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396" w:rsidRPr="00D84317" w:rsidRDefault="002E5396" w:rsidP="002E5396">
      <w:pPr>
        <w:spacing w:before="240" w:after="240" w:line="360" w:lineRule="auto"/>
        <w:jc w:val="both"/>
        <w:rPr>
          <w:rFonts w:ascii="Palatino Linotype" w:hAnsi="Palatino Linotype" w:cs="Arial"/>
        </w:rPr>
      </w:pPr>
      <w:r w:rsidRPr="00080788">
        <w:rPr>
          <w:rFonts w:ascii="Palatino Linotype" w:hAnsi="Palatino Linotype"/>
        </w:rPr>
        <w:t xml:space="preserve">Resolución del Pleno del Instituto de Transparencia, Acceso a la Información Pública y Protección de Datos Personales del Estado de México y Municipios, </w:t>
      </w:r>
      <w:r w:rsidRPr="00080788">
        <w:rPr>
          <w:rFonts w:ascii="Palatino Linotype" w:eastAsia="Calibri" w:hAnsi="Palatino Linotype" w:cs="Arial"/>
        </w:rPr>
        <w:t>con domicilio en Metepec, Estado de México,</w:t>
      </w:r>
      <w:r w:rsidRPr="00080788">
        <w:rPr>
          <w:rFonts w:ascii="Palatino Linotype" w:hAnsi="Palatino Linotype"/>
        </w:rPr>
        <w:t xml:space="preserve"> de fecha</w:t>
      </w:r>
      <w:r w:rsidRPr="00080788">
        <w:rPr>
          <w:rStyle w:val="apple-converted-space"/>
          <w:rFonts w:ascii="Palatino Linotype" w:hAnsi="Palatino Linotype" w:cs="Arial"/>
        </w:rPr>
        <w:t xml:space="preserve"> </w:t>
      </w:r>
      <w:r w:rsidR="00606693">
        <w:rPr>
          <w:rStyle w:val="apple-converted-space"/>
          <w:rFonts w:ascii="Palatino Linotype" w:hAnsi="Palatino Linotype" w:cs="Arial"/>
        </w:rPr>
        <w:t>doce</w:t>
      </w:r>
      <w:r w:rsidR="00600B42">
        <w:rPr>
          <w:rStyle w:val="apple-converted-space"/>
          <w:rFonts w:ascii="Palatino Linotype" w:hAnsi="Palatino Linotype" w:cs="Arial"/>
        </w:rPr>
        <w:t xml:space="preserve"> de enero</w:t>
      </w:r>
      <w:r w:rsidR="00FC37F3">
        <w:rPr>
          <w:rStyle w:val="normaltextrun"/>
          <w:rFonts w:ascii="Palatino Linotype" w:hAnsi="Palatino Linotype" w:cs="Arial"/>
        </w:rPr>
        <w:t xml:space="preserve"> de</w:t>
      </w:r>
      <w:r w:rsidR="00600B42">
        <w:rPr>
          <w:rStyle w:val="normaltextrun"/>
          <w:rFonts w:ascii="Palatino Linotype" w:hAnsi="Palatino Linotype" w:cs="Arial"/>
        </w:rPr>
        <w:t>l dos mil veintidós</w:t>
      </w:r>
      <w:r w:rsidRPr="00D84317">
        <w:rPr>
          <w:rStyle w:val="normaltextrun"/>
          <w:rFonts w:ascii="Palatino Linotype" w:hAnsi="Palatino Linotype" w:cs="Arial"/>
        </w:rPr>
        <w:t>.</w:t>
      </w: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Visto</w:t>
      </w:r>
      <w:r w:rsidR="00607616">
        <w:rPr>
          <w:rFonts w:ascii="Palatino Linotype" w:hAnsi="Palatino Linotype" w:cs="Arial"/>
        </w:rPr>
        <w:t xml:space="preserve"> el</w:t>
      </w:r>
      <w:r w:rsidRPr="00080788">
        <w:rPr>
          <w:rFonts w:ascii="Palatino Linotype" w:hAnsi="Palatino Linotype" w:cs="Arial"/>
        </w:rPr>
        <w:t xml:space="preserve"> expediente relativo</w:t>
      </w:r>
      <w:r w:rsidR="00607616">
        <w:rPr>
          <w:rFonts w:ascii="Palatino Linotype" w:hAnsi="Palatino Linotype" w:cs="Arial"/>
        </w:rPr>
        <w:t xml:space="preserve"> al</w:t>
      </w:r>
      <w:r w:rsidRPr="00080788">
        <w:rPr>
          <w:rFonts w:ascii="Palatino Linotype" w:hAnsi="Palatino Linotype" w:cs="Arial"/>
        </w:rPr>
        <w:t xml:space="preserve"> recurso de revisión </w:t>
      </w:r>
      <w:r w:rsidR="00BF60BB">
        <w:rPr>
          <w:rFonts w:ascii="Palatino Linotype" w:hAnsi="Palatino Linotype" w:cs="Arial"/>
          <w:b/>
          <w:bCs/>
        </w:rPr>
        <w:t>04644</w:t>
      </w:r>
      <w:r w:rsidR="00523162">
        <w:rPr>
          <w:rFonts w:ascii="Palatino Linotype" w:hAnsi="Palatino Linotype" w:cs="Arial"/>
          <w:b/>
          <w:bCs/>
        </w:rPr>
        <w:t>/</w:t>
      </w:r>
      <w:r w:rsidR="009D67A9">
        <w:rPr>
          <w:rFonts w:ascii="Palatino Linotype" w:hAnsi="Palatino Linotype" w:cs="Arial"/>
          <w:b/>
          <w:bCs/>
        </w:rPr>
        <w:t>INFOEM/IP/RR/2021</w:t>
      </w:r>
      <w:r w:rsidRPr="00080788">
        <w:rPr>
          <w:rFonts w:ascii="Palatino Linotype" w:hAnsi="Palatino Linotype" w:cs="Arial"/>
        </w:rPr>
        <w:t>, interpuesto por</w:t>
      </w:r>
      <w:r w:rsidR="00BF60BB">
        <w:rPr>
          <w:rFonts w:ascii="Palatino Linotype" w:hAnsi="Palatino Linotype" w:cs="Arial"/>
          <w:b/>
        </w:rPr>
        <w:t xml:space="preserve"> </w:t>
      </w:r>
      <w:r w:rsidR="007905F8">
        <w:rPr>
          <w:rFonts w:ascii="Palatino Linotype" w:hAnsi="Palatino Linotype" w:cs="Arial"/>
          <w:b/>
        </w:rPr>
        <w:t xml:space="preserve">XXXXX </w:t>
      </w:r>
      <w:proofErr w:type="spellStart"/>
      <w:r w:rsidR="007905F8">
        <w:rPr>
          <w:rFonts w:ascii="Palatino Linotype" w:hAnsi="Palatino Linotype" w:cs="Arial"/>
          <w:b/>
        </w:rPr>
        <w:t>XXXXX</w:t>
      </w:r>
      <w:proofErr w:type="spellEnd"/>
      <w:r w:rsidR="007905F8">
        <w:rPr>
          <w:rFonts w:ascii="Palatino Linotype" w:hAnsi="Palatino Linotype" w:cs="Arial"/>
          <w:b/>
        </w:rPr>
        <w:t xml:space="preserve"> </w:t>
      </w:r>
      <w:proofErr w:type="spellStart"/>
      <w:r w:rsidR="007905F8">
        <w:rPr>
          <w:rFonts w:ascii="Palatino Linotype" w:hAnsi="Palatino Linotype" w:cs="Arial"/>
          <w:b/>
        </w:rPr>
        <w:t>XXXXX</w:t>
      </w:r>
      <w:proofErr w:type="spellEnd"/>
      <w:r w:rsidR="007905F8">
        <w:rPr>
          <w:rFonts w:ascii="Palatino Linotype" w:hAnsi="Palatino Linotype" w:cs="Arial"/>
          <w:b/>
        </w:rPr>
        <w:t xml:space="preserve"> XXXXXX</w:t>
      </w:r>
      <w:r w:rsidR="00116785">
        <w:rPr>
          <w:rFonts w:ascii="Palatino Linotype" w:hAnsi="Palatino Linotype" w:cs="Arial"/>
        </w:rPr>
        <w:t>, en lo sucesivo el</w:t>
      </w:r>
      <w:r w:rsidRPr="00080788">
        <w:rPr>
          <w:rFonts w:ascii="Palatino Linotype" w:hAnsi="Palatino Linotype" w:cs="Arial"/>
        </w:rPr>
        <w:t xml:space="preserve"> </w:t>
      </w:r>
      <w:r w:rsidR="00606693" w:rsidRPr="00080788">
        <w:rPr>
          <w:rFonts w:ascii="Palatino Linotype" w:hAnsi="Palatino Linotype" w:cs="Arial"/>
          <w:b/>
        </w:rPr>
        <w:t>RECURRENTE</w:t>
      </w:r>
      <w:r w:rsidRPr="00080788">
        <w:rPr>
          <w:rFonts w:ascii="Palatino Linotype" w:hAnsi="Palatino Linotype" w:cs="Arial"/>
        </w:rPr>
        <w:t xml:space="preserve"> en contra de la respuesta a su sol</w:t>
      </w:r>
      <w:r w:rsidR="00AC7486">
        <w:rPr>
          <w:rFonts w:ascii="Palatino Linotype" w:hAnsi="Palatino Linotype" w:cs="Arial"/>
        </w:rPr>
        <w:t>icitud de información con número</w:t>
      </w:r>
      <w:r w:rsidR="00523162">
        <w:rPr>
          <w:rFonts w:ascii="Palatino Linotype" w:hAnsi="Palatino Linotype" w:cs="Arial"/>
        </w:rPr>
        <w:t xml:space="preserve"> de folio </w:t>
      </w:r>
      <w:r w:rsidR="00BF60BB" w:rsidRPr="00BF60BB">
        <w:rPr>
          <w:rFonts w:ascii="Palatino Linotype" w:hAnsi="Palatino Linotype" w:cs="Arial"/>
          <w:b/>
        </w:rPr>
        <w:t>00336/SF/IP/2021</w:t>
      </w:r>
      <w:r w:rsidR="00116785" w:rsidRPr="00FC37F3">
        <w:rPr>
          <w:rFonts w:ascii="Palatino Linotype" w:hAnsi="Palatino Linotype" w:cs="Arial"/>
          <w:b/>
        </w:rPr>
        <w:t xml:space="preserve">, </w:t>
      </w:r>
      <w:r w:rsidR="00BF60BB">
        <w:rPr>
          <w:rFonts w:ascii="Palatino Linotype" w:hAnsi="Palatino Linotype" w:cs="Arial"/>
        </w:rPr>
        <w:t>por parte de la</w:t>
      </w:r>
      <w:r w:rsidR="003B19DA">
        <w:rPr>
          <w:rFonts w:ascii="Palatino Linotype" w:hAnsi="Palatino Linotype" w:cs="Arial"/>
        </w:rPr>
        <w:t xml:space="preserve"> </w:t>
      </w:r>
      <w:r w:rsidR="00BF60BB">
        <w:rPr>
          <w:rFonts w:ascii="Palatino Linotype" w:hAnsi="Palatino Linotype" w:cs="Arial"/>
          <w:b/>
        </w:rPr>
        <w:t>Secretaría de Finanzas</w:t>
      </w:r>
      <w:r w:rsidRPr="00FC37F3">
        <w:rPr>
          <w:rFonts w:ascii="Palatino Linotype" w:hAnsi="Palatino Linotype" w:cs="Arial"/>
          <w:b/>
        </w:rPr>
        <w:t xml:space="preserve">, </w:t>
      </w:r>
      <w:r w:rsidRPr="009D67A9">
        <w:rPr>
          <w:rFonts w:ascii="Palatino Linotype" w:hAnsi="Palatino Linotype" w:cs="Arial"/>
        </w:rPr>
        <w:t>en lo sucesivo</w:t>
      </w:r>
      <w:r w:rsidRPr="00080788">
        <w:rPr>
          <w:rFonts w:ascii="Palatino Linotype" w:hAnsi="Palatino Linotype" w:cs="Arial"/>
        </w:rPr>
        <w:t xml:space="preserve"> el </w:t>
      </w:r>
      <w:r w:rsidR="00606693" w:rsidRPr="00080788">
        <w:rPr>
          <w:rFonts w:ascii="Palatino Linotype" w:hAnsi="Palatino Linotype" w:cs="Arial"/>
          <w:b/>
        </w:rPr>
        <w:t>SUJETO OBLIGADO</w:t>
      </w:r>
      <w:r w:rsidRPr="00080788">
        <w:rPr>
          <w:rFonts w:ascii="Palatino Linotype" w:hAnsi="Palatino Linotype" w:cs="Arial"/>
          <w:b/>
        </w:rPr>
        <w:t xml:space="preserve">; </w:t>
      </w:r>
      <w:r w:rsidRPr="00080788">
        <w:rPr>
          <w:rFonts w:ascii="Palatino Linotype" w:hAnsi="Palatino Linotype" w:cs="Arial"/>
        </w:rPr>
        <w:t>se procede a dictar la pres</w:t>
      </w:r>
      <w:r w:rsidR="008C01E0">
        <w:rPr>
          <w:rFonts w:ascii="Palatino Linotype" w:hAnsi="Palatino Linotype" w:cs="Arial"/>
        </w:rPr>
        <w:t>ente resolución, con base en los</w:t>
      </w:r>
      <w:r w:rsidRPr="00080788">
        <w:rPr>
          <w:rFonts w:ascii="Palatino Linotype" w:hAnsi="Palatino Linotype" w:cs="Arial"/>
        </w:rPr>
        <w:t xml:space="preserve"> siguientes:</w:t>
      </w:r>
    </w:p>
    <w:p w:rsidR="002E5396" w:rsidRPr="00080788" w:rsidRDefault="002E5396" w:rsidP="002E5396">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080788">
        <w:rPr>
          <w:rFonts w:ascii="Palatino Linotype" w:hAnsi="Palatino Linotype" w:cs="Arial"/>
          <w:b/>
          <w:sz w:val="24"/>
          <w:szCs w:val="24"/>
        </w:rPr>
        <w:t>A N T E C E D E N T E S:</w:t>
      </w:r>
    </w:p>
    <w:p w:rsidR="002E5396"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 xml:space="preserve">1. Solicitud de acceso a la información. </w:t>
      </w:r>
      <w:r w:rsidR="00BF60BB">
        <w:rPr>
          <w:rFonts w:ascii="Palatino Linotype" w:hAnsi="Palatino Linotype" w:cs="Arial"/>
        </w:rPr>
        <w:t>Con fecha dos</w:t>
      </w:r>
      <w:r w:rsidR="00CF3852">
        <w:rPr>
          <w:rFonts w:ascii="Palatino Linotype" w:hAnsi="Palatino Linotype" w:cs="Arial"/>
        </w:rPr>
        <w:t xml:space="preserve"> de agosto</w:t>
      </w:r>
      <w:r w:rsidR="009D67A9">
        <w:rPr>
          <w:rFonts w:ascii="Palatino Linotype" w:hAnsi="Palatino Linotype" w:cs="Arial"/>
        </w:rPr>
        <w:t xml:space="preserve"> </w:t>
      </w:r>
      <w:r w:rsidR="00FF6012">
        <w:rPr>
          <w:rFonts w:ascii="Palatino Linotype" w:hAnsi="Palatino Linotype" w:cs="Arial"/>
        </w:rPr>
        <w:t>de</w:t>
      </w:r>
      <w:r w:rsidR="009D67A9">
        <w:rPr>
          <w:rFonts w:ascii="Palatino Linotype" w:hAnsi="Palatino Linotype" w:cs="Arial"/>
        </w:rPr>
        <w:t>l dos mil veintiuno</w:t>
      </w:r>
      <w:r w:rsidRPr="00080788">
        <w:rPr>
          <w:rFonts w:ascii="Palatino Linotype" w:hAnsi="Palatino Linotype" w:cs="Arial"/>
        </w:rPr>
        <w:t xml:space="preserve">, la parte </w:t>
      </w:r>
      <w:r w:rsidR="00606693" w:rsidRPr="00080788">
        <w:rPr>
          <w:rFonts w:ascii="Palatino Linotype" w:hAnsi="Palatino Linotype" w:cs="Arial"/>
          <w:b/>
        </w:rPr>
        <w:t>RECURRENTE</w:t>
      </w:r>
      <w:r w:rsidR="00606693" w:rsidRPr="00080788">
        <w:rPr>
          <w:rFonts w:ascii="Palatino Linotype" w:hAnsi="Palatino Linotype" w:cs="Arial"/>
        </w:rPr>
        <w:t xml:space="preserve"> </w:t>
      </w:r>
      <w:r w:rsidRPr="00080788">
        <w:rPr>
          <w:rFonts w:ascii="Palatino Linotype" w:hAnsi="Palatino Linotype" w:cs="Arial"/>
        </w:rPr>
        <w:t xml:space="preserve">formuló solicitud de acceso a información pública al </w:t>
      </w:r>
      <w:r w:rsidRPr="00080788">
        <w:rPr>
          <w:rFonts w:ascii="Palatino Linotype" w:hAnsi="Palatino Linotype" w:cs="Arial"/>
          <w:b/>
        </w:rPr>
        <w:t>Sujeto Obligado</w:t>
      </w:r>
      <w:r w:rsidRPr="00080788">
        <w:rPr>
          <w:rFonts w:ascii="Palatino Linotype" w:hAnsi="Palatino Linotype" w:cs="Arial"/>
        </w:rPr>
        <w:t xml:space="preserve"> a través del Sistema de Acceso a la Información Mexiquense, en adelante </w:t>
      </w:r>
      <w:r w:rsidRPr="00080788">
        <w:rPr>
          <w:rFonts w:ascii="Palatino Linotype" w:hAnsi="Palatino Linotype" w:cs="Arial"/>
          <w:b/>
        </w:rPr>
        <w:t>SAIMEX,</w:t>
      </w:r>
      <w:r w:rsidRPr="00080788">
        <w:rPr>
          <w:rFonts w:ascii="Palatino Linotype" w:hAnsi="Palatino Linotype" w:cs="Arial"/>
        </w:rPr>
        <w:t xml:space="preserve"> requiriéndole lo siguiente:</w:t>
      </w:r>
    </w:p>
    <w:p w:rsidR="00AA47E4" w:rsidRPr="00607616" w:rsidRDefault="00AA47E4" w:rsidP="00607616">
      <w:pPr>
        <w:ind w:left="851" w:right="758"/>
        <w:jc w:val="both"/>
        <w:rPr>
          <w:rFonts w:ascii="Palatino Linotype" w:eastAsia="Palatino Linotype" w:hAnsi="Palatino Linotype" w:cs="Palatino Linotype"/>
          <w:i/>
          <w:sz w:val="22"/>
          <w:szCs w:val="22"/>
        </w:rPr>
      </w:pPr>
      <w:r w:rsidRPr="00607616">
        <w:rPr>
          <w:rFonts w:ascii="Palatino Linotype" w:eastAsia="Palatino Linotype" w:hAnsi="Palatino Linotype" w:cs="Palatino Linotype"/>
          <w:i/>
          <w:sz w:val="22"/>
          <w:szCs w:val="22"/>
        </w:rPr>
        <w:t>“</w:t>
      </w:r>
      <w:r w:rsidR="00CB1002">
        <w:rPr>
          <w:rFonts w:ascii="Palatino Linotype" w:eastAsia="Palatino Linotype" w:hAnsi="Palatino Linotype" w:cs="Palatino Linotype"/>
          <w:i/>
          <w:sz w:val="22"/>
          <w:szCs w:val="22"/>
        </w:rPr>
        <w:t>G</w:t>
      </w:r>
      <w:r w:rsidR="00BF60BB" w:rsidRPr="00BF60BB">
        <w:rPr>
          <w:rFonts w:ascii="Palatino Linotype" w:eastAsia="Palatino Linotype" w:hAnsi="Palatino Linotype" w:cs="Palatino Linotype"/>
          <w:i/>
          <w:sz w:val="22"/>
          <w:szCs w:val="22"/>
        </w:rPr>
        <w:t xml:space="preserve">OBIERNO DEL ESTADO DE MÉXICO O SU SECRETARIA DE FINANZAS; AYUNTAMIENTO DE TOLUCA; AYUNTAMIENTO DE NAUCALPAN; PODER LEGISLATIVO DEL ESTADO DE MÉXICO; DELEGACIÓN DEL GOBIERNO FEDERAL EN EL ESTADO DE MÉXICO; Presentes Para Contestar De Esta Solicitud Lo Que Les Competa……. • El Gobierno De Toluca Y Naucalpan Manifiestan Que No Ha Recibido Recursos Que Le Corresponden Por Parte Del Gobierno Del Estado De México, El L Gobierno Del Estado De México A Través Del A Secretaria De Finanzas, Ha Manifestado Que No Le Debe Dinero A Municipios, Entre Ellos Toluca Y Naucalpan, Con El Propósito De Saber La Verdad Respecto </w:t>
      </w:r>
      <w:proofErr w:type="spellStart"/>
      <w:r w:rsidR="00BF60BB" w:rsidRPr="00BF60BB">
        <w:rPr>
          <w:rFonts w:ascii="Palatino Linotype" w:eastAsia="Palatino Linotype" w:hAnsi="Palatino Linotype" w:cs="Palatino Linotype"/>
          <w:i/>
          <w:sz w:val="22"/>
          <w:szCs w:val="22"/>
        </w:rPr>
        <w:t>Ala</w:t>
      </w:r>
      <w:proofErr w:type="spellEnd"/>
      <w:r w:rsidR="00BF60BB" w:rsidRPr="00BF60BB">
        <w:rPr>
          <w:rFonts w:ascii="Palatino Linotype" w:eastAsia="Palatino Linotype" w:hAnsi="Palatino Linotype" w:cs="Palatino Linotype"/>
          <w:i/>
          <w:sz w:val="22"/>
          <w:szCs w:val="22"/>
        </w:rPr>
        <w:t xml:space="preserve"> Falta De Liquidez De Estos Gobiernos Para Pagar Sueldos Y Salarios De Trabajadores Que En Al Menos 30 Años No Se Habían Dado Antes, Le Pido Al Secretario De Fianzas O A Quienes El Decida Se Enfocarme Lo Siguiente: • Las Participaciones Y Aportaciones Que Le Correspondencia A Estos Dos Municipios Por Cualquier Fondo O Concepto Desde </w:t>
      </w:r>
      <w:r w:rsidR="00BF60BB" w:rsidRPr="00BF60BB">
        <w:rPr>
          <w:rFonts w:ascii="Palatino Linotype" w:eastAsia="Palatino Linotype" w:hAnsi="Palatino Linotype" w:cs="Palatino Linotype"/>
          <w:i/>
          <w:sz w:val="22"/>
          <w:szCs w:val="22"/>
        </w:rPr>
        <w:lastRenderedPageBreak/>
        <w:t xml:space="preserve">2013 </w:t>
      </w:r>
      <w:proofErr w:type="spellStart"/>
      <w:r w:rsidR="00BF60BB" w:rsidRPr="00BF60BB">
        <w:rPr>
          <w:rFonts w:ascii="Palatino Linotype" w:eastAsia="Palatino Linotype" w:hAnsi="Palatino Linotype" w:cs="Palatino Linotype"/>
          <w:i/>
          <w:sz w:val="22"/>
          <w:szCs w:val="22"/>
        </w:rPr>
        <w:t>Ala</w:t>
      </w:r>
      <w:proofErr w:type="spellEnd"/>
      <w:r w:rsidR="00BF60BB" w:rsidRPr="00BF60BB">
        <w:rPr>
          <w:rFonts w:ascii="Palatino Linotype" w:eastAsia="Palatino Linotype" w:hAnsi="Palatino Linotype" w:cs="Palatino Linotype"/>
          <w:i/>
          <w:sz w:val="22"/>
          <w:szCs w:val="22"/>
        </w:rPr>
        <w:t xml:space="preserve"> Fecha. • Las Participaciones Federal Que Se Han Entregado O Trasferido En Efectivo O A Bancos De Estos Municipios Desde 2013 A La Fecha. • Las Retenciones Que Se Hayan Hecho Desde 2013 A La Fecha A Toluca Y Naucalpan, Por Conceptos De Adeudos Con El SAT, ISSEMYM ISSTE, CFE, CAEM, Conagua, Cumplimientos De Deuda Bancaria U Cualquier Otro Concepto, Exhibiendo Para Esto Los Documentos Donde Se </w:t>
      </w:r>
      <w:proofErr w:type="spellStart"/>
      <w:r w:rsidR="00BF60BB" w:rsidRPr="00BF60BB">
        <w:rPr>
          <w:rFonts w:ascii="Palatino Linotype" w:eastAsia="Palatino Linotype" w:hAnsi="Palatino Linotype" w:cs="Palatino Linotype"/>
          <w:i/>
          <w:sz w:val="22"/>
          <w:szCs w:val="22"/>
        </w:rPr>
        <w:t>Registro</w:t>
      </w:r>
      <w:proofErr w:type="spellEnd"/>
      <w:r w:rsidR="00BF60BB" w:rsidRPr="00BF60BB">
        <w:rPr>
          <w:rFonts w:ascii="Palatino Linotype" w:eastAsia="Palatino Linotype" w:hAnsi="Palatino Linotype" w:cs="Palatino Linotype"/>
          <w:i/>
          <w:sz w:val="22"/>
          <w:szCs w:val="22"/>
        </w:rPr>
        <w:t xml:space="preserve"> Estas Deducciones Al Respecto. • Los Registros De Deuda </w:t>
      </w:r>
      <w:proofErr w:type="gramStart"/>
      <w:r w:rsidR="00BF60BB" w:rsidRPr="00BF60BB">
        <w:rPr>
          <w:rFonts w:ascii="Palatino Linotype" w:eastAsia="Palatino Linotype" w:hAnsi="Palatino Linotype" w:cs="Palatino Linotype"/>
          <w:i/>
          <w:sz w:val="22"/>
          <w:szCs w:val="22"/>
        </w:rPr>
        <w:t>Publica</w:t>
      </w:r>
      <w:proofErr w:type="gramEnd"/>
      <w:r w:rsidR="00BF60BB" w:rsidRPr="00BF60BB">
        <w:rPr>
          <w:rFonts w:ascii="Palatino Linotype" w:eastAsia="Palatino Linotype" w:hAnsi="Palatino Linotype" w:cs="Palatino Linotype"/>
          <w:i/>
          <w:sz w:val="22"/>
          <w:szCs w:val="22"/>
        </w:rPr>
        <w:t xml:space="preserve"> Que Estos Municipio Hayan Registrado Ante El Gobierno Del Estado O La Federación. Y Que Tenga En Su Poder O Haya Conocido El GEM. • • En Resumen Es Saber </w:t>
      </w:r>
      <w:proofErr w:type="spellStart"/>
      <w:r w:rsidR="00BF60BB" w:rsidRPr="00BF60BB">
        <w:rPr>
          <w:rFonts w:ascii="Palatino Linotype" w:eastAsia="Palatino Linotype" w:hAnsi="Palatino Linotype" w:cs="Palatino Linotype"/>
          <w:i/>
          <w:sz w:val="22"/>
          <w:szCs w:val="22"/>
        </w:rPr>
        <w:t>Cuanto</w:t>
      </w:r>
      <w:proofErr w:type="spellEnd"/>
      <w:r w:rsidR="00BF60BB" w:rsidRPr="00BF60BB">
        <w:rPr>
          <w:rFonts w:ascii="Palatino Linotype" w:eastAsia="Palatino Linotype" w:hAnsi="Palatino Linotype" w:cs="Palatino Linotype"/>
          <w:i/>
          <w:sz w:val="22"/>
          <w:szCs w:val="22"/>
        </w:rPr>
        <w:t xml:space="preserve"> Les Correspondía A Estos Municipios Desde 2013 </w:t>
      </w:r>
      <w:proofErr w:type="spellStart"/>
      <w:r w:rsidR="00BF60BB" w:rsidRPr="00BF60BB">
        <w:rPr>
          <w:rFonts w:ascii="Palatino Linotype" w:eastAsia="Palatino Linotype" w:hAnsi="Palatino Linotype" w:cs="Palatino Linotype"/>
          <w:i/>
          <w:sz w:val="22"/>
          <w:szCs w:val="22"/>
        </w:rPr>
        <w:t>Ala</w:t>
      </w:r>
      <w:proofErr w:type="spellEnd"/>
      <w:r w:rsidR="00BF60BB" w:rsidRPr="00BF60BB">
        <w:rPr>
          <w:rFonts w:ascii="Palatino Linotype" w:eastAsia="Palatino Linotype" w:hAnsi="Palatino Linotype" w:cs="Palatino Linotype"/>
          <w:i/>
          <w:sz w:val="22"/>
          <w:szCs w:val="22"/>
        </w:rPr>
        <w:t xml:space="preserve"> Fecha Y Cuanto Se Les Ha Entregado Efectivamente O Retenido, Esta Información Debe Estar En Sus Registros Contables Actuales O Históricos, </w:t>
      </w:r>
      <w:proofErr w:type="spellStart"/>
      <w:r w:rsidR="00BF60BB" w:rsidRPr="00BF60BB">
        <w:rPr>
          <w:rFonts w:ascii="Palatino Linotype" w:eastAsia="Palatino Linotype" w:hAnsi="Palatino Linotype" w:cs="Palatino Linotype"/>
          <w:i/>
          <w:sz w:val="22"/>
          <w:szCs w:val="22"/>
        </w:rPr>
        <w:t>Ademas</w:t>
      </w:r>
      <w:proofErr w:type="spellEnd"/>
      <w:r w:rsidR="00BF60BB" w:rsidRPr="00BF60BB">
        <w:rPr>
          <w:rFonts w:ascii="Palatino Linotype" w:eastAsia="Palatino Linotype" w:hAnsi="Palatino Linotype" w:cs="Palatino Linotype"/>
          <w:i/>
          <w:sz w:val="22"/>
          <w:szCs w:val="22"/>
        </w:rPr>
        <w:t xml:space="preserve"> De Tener Comprobantes De Trasferencia Bancaria U Otros Documentos Como Pólizas O Registros Contables O Administrativos Que Evidencia Esta Situación, Estos Datos Deben Formar Parte De La Cuenta Publica Y La Glosa Dela Misma. • Las Auditorias Que Tenga El GEM, Respecto A Cumplimiento De La Trasferencia De Participaciones Y Aportaciones Estatales Y Federales A Los Municipios, Dela Secretaria De La Contraloría, El OSFEM la ASF o La Auditoria Federal Correspondiente, Desde 2013 </w:t>
      </w:r>
      <w:proofErr w:type="spellStart"/>
      <w:r w:rsidR="00BF60BB" w:rsidRPr="00BF60BB">
        <w:rPr>
          <w:rFonts w:ascii="Palatino Linotype" w:eastAsia="Palatino Linotype" w:hAnsi="Palatino Linotype" w:cs="Palatino Linotype"/>
          <w:i/>
          <w:sz w:val="22"/>
          <w:szCs w:val="22"/>
        </w:rPr>
        <w:t>Ala</w:t>
      </w:r>
      <w:proofErr w:type="spellEnd"/>
      <w:r w:rsidR="00BF60BB" w:rsidRPr="00BF60BB">
        <w:rPr>
          <w:rFonts w:ascii="Palatino Linotype" w:eastAsia="Palatino Linotype" w:hAnsi="Palatino Linotype" w:cs="Palatino Linotype"/>
          <w:i/>
          <w:sz w:val="22"/>
          <w:szCs w:val="22"/>
        </w:rPr>
        <w:t xml:space="preserve"> Fecha. • Todos Los Documentos Oficiales Que Tenga El Gobierno Del Estado De México Y Los Municipios En Mención Respecto A Estas Aportaciones Y Deducciones. • También </w:t>
      </w:r>
      <w:proofErr w:type="spellStart"/>
      <w:r w:rsidR="00BF60BB" w:rsidRPr="00BF60BB">
        <w:rPr>
          <w:rFonts w:ascii="Palatino Linotype" w:eastAsia="Palatino Linotype" w:hAnsi="Palatino Linotype" w:cs="Palatino Linotype"/>
          <w:i/>
          <w:sz w:val="22"/>
          <w:szCs w:val="22"/>
        </w:rPr>
        <w:t>Ala</w:t>
      </w:r>
      <w:proofErr w:type="spellEnd"/>
      <w:r w:rsidR="00BF60BB" w:rsidRPr="00BF60BB">
        <w:rPr>
          <w:rFonts w:ascii="Palatino Linotype" w:eastAsia="Palatino Linotype" w:hAnsi="Palatino Linotype" w:cs="Palatino Linotype"/>
          <w:i/>
          <w:sz w:val="22"/>
          <w:szCs w:val="22"/>
        </w:rPr>
        <w:t xml:space="preserve"> Secretaria De Finanzas Al Evidencia Que Han Recibido Por Parte De La Federación Estos Recursos En Forma Regular, Por Lo Que Solicitamos De Igual Forma El Cumplimiento O Registros Contables O Bancarios Que Evidencien Que La Cuarta Trasformación Ha Cumplido </w:t>
      </w:r>
      <w:proofErr w:type="spellStart"/>
      <w:r w:rsidR="00BF60BB" w:rsidRPr="00BF60BB">
        <w:rPr>
          <w:rFonts w:ascii="Palatino Linotype" w:eastAsia="Palatino Linotype" w:hAnsi="Palatino Linotype" w:cs="Palatino Linotype"/>
          <w:i/>
          <w:sz w:val="22"/>
          <w:szCs w:val="22"/>
        </w:rPr>
        <w:t>Ala</w:t>
      </w:r>
      <w:proofErr w:type="spellEnd"/>
      <w:r w:rsidR="00BF60BB" w:rsidRPr="00BF60BB">
        <w:rPr>
          <w:rFonts w:ascii="Palatino Linotype" w:eastAsia="Palatino Linotype" w:hAnsi="Palatino Linotype" w:cs="Palatino Linotype"/>
          <w:i/>
          <w:sz w:val="22"/>
          <w:szCs w:val="22"/>
        </w:rPr>
        <w:t xml:space="preserve"> Entidad Con Esta Obligación Financiera. 1.-Ya Basta Del Dime Y Diretes De Uno Y Otro Nivel De Gobierno Y A Los Ciudadanos Nos Den Malas Cuentas, Exigimos Estos Documentos Para Saber La Verdad Que Siempre Se Oculta Y Saber </w:t>
      </w:r>
      <w:proofErr w:type="spellStart"/>
      <w:r w:rsidR="00BF60BB" w:rsidRPr="00BF60BB">
        <w:rPr>
          <w:rFonts w:ascii="Palatino Linotype" w:eastAsia="Palatino Linotype" w:hAnsi="Palatino Linotype" w:cs="Palatino Linotype"/>
          <w:i/>
          <w:sz w:val="22"/>
          <w:szCs w:val="22"/>
        </w:rPr>
        <w:t>Quienes</w:t>
      </w:r>
      <w:proofErr w:type="spellEnd"/>
      <w:r w:rsidR="00BF60BB" w:rsidRPr="00BF60BB">
        <w:rPr>
          <w:rFonts w:ascii="Palatino Linotype" w:eastAsia="Palatino Linotype" w:hAnsi="Palatino Linotype" w:cs="Palatino Linotype"/>
          <w:i/>
          <w:sz w:val="22"/>
          <w:szCs w:val="22"/>
        </w:rPr>
        <w:t xml:space="preserve"> Mienten O Dicen La Verdad O Verdades Ca Medias. 2.-Señores INAI e INFOEM Consideren Esta Solicitud Y La Que Haremos Al Su Vez A Los Municipios Y A La Legislatura Como Parte De Un Ejercicio De Rendición De Cuentas , Producto Dela Poca Transparencia De Todos Estos Entes Públicos, Que No Hacen Lo Necesario Para Informar Al Publico De Su Gestión, Estos Recursos Federales Y Municipales No 3.-Es Preocupante Para Todos, El Saber Los Pasivos Que Se Tienen, Tanto A Empleados Como Contratistas Y Proveedores Y De Cuanto Va A Ser El Hoyo De Este Mal Manejo Presupuestal. Recibieron Un Caos Financiero Pero Es Evidente Que Los Tesoreros Encargados No Supieron Hacer Lo Propio Para Compensar Esta Deficiencia Y Los Ayuntamientos También No Hacen Lo Que Les Toca, En Especial Sus Inútiles Síndicos Que No Cuidan El Ingreso Y Egreso De Los Municipios Por Ser Incompetentes En Esta Situación.</w:t>
      </w:r>
      <w:r w:rsidRPr="00607616">
        <w:rPr>
          <w:rFonts w:ascii="Palatino Linotype" w:eastAsia="Palatino Linotype" w:hAnsi="Palatino Linotype" w:cs="Palatino Linotype"/>
          <w:i/>
          <w:sz w:val="22"/>
          <w:szCs w:val="22"/>
        </w:rPr>
        <w:t>” (Sic)</w:t>
      </w:r>
    </w:p>
    <w:p w:rsidR="00AA47E4" w:rsidRDefault="00AA47E4" w:rsidP="00AA47E4">
      <w:pPr>
        <w:spacing w:before="240" w:after="240" w:line="360" w:lineRule="auto"/>
        <w:jc w:val="both"/>
        <w:rPr>
          <w:rFonts w:ascii="Palatino Linotype" w:hAnsi="Palatino Linotype" w:cs="Arial"/>
        </w:rPr>
      </w:pPr>
      <w:r w:rsidRPr="00080788">
        <w:rPr>
          <w:rFonts w:ascii="Palatino Linotype" w:hAnsi="Palatino Linotype" w:cs="Arial"/>
          <w:b/>
        </w:rPr>
        <w:lastRenderedPageBreak/>
        <w:t xml:space="preserve">Modalidad elegida para la entrega de la información: </w:t>
      </w:r>
      <w:r w:rsidRPr="00080788">
        <w:rPr>
          <w:rFonts w:ascii="Palatino Linotype" w:hAnsi="Palatino Linotype" w:cs="Arial"/>
        </w:rPr>
        <w:t xml:space="preserve">a través del </w:t>
      </w:r>
      <w:r w:rsidRPr="00080788">
        <w:rPr>
          <w:rFonts w:ascii="Palatino Linotype" w:hAnsi="Palatino Linotype" w:cs="Arial"/>
          <w:b/>
        </w:rPr>
        <w:t>SAIMEX</w:t>
      </w:r>
      <w:r w:rsidRPr="00080788">
        <w:rPr>
          <w:rFonts w:ascii="Palatino Linotype" w:hAnsi="Palatino Linotype" w:cs="Arial"/>
        </w:rPr>
        <w:t>.</w:t>
      </w:r>
    </w:p>
    <w:p w:rsidR="00AA47E4" w:rsidRDefault="00AA47E4" w:rsidP="00CF3852">
      <w:pPr>
        <w:spacing w:before="240" w:after="240" w:line="360" w:lineRule="auto"/>
        <w:contextualSpacing/>
        <w:jc w:val="both"/>
        <w:rPr>
          <w:rFonts w:ascii="Palatino Linotype" w:hAnsi="Palatino Linotype" w:cs="Arial"/>
        </w:rPr>
      </w:pPr>
      <w:r>
        <w:rPr>
          <w:rFonts w:ascii="Palatino Linotype" w:hAnsi="Palatino Linotype" w:cs="Arial"/>
          <w:b/>
        </w:rPr>
        <w:t xml:space="preserve">2. </w:t>
      </w:r>
      <w:r w:rsidRPr="00AA3766">
        <w:rPr>
          <w:rFonts w:ascii="Palatino Linotype" w:hAnsi="Palatino Linotype" w:cs="Arial"/>
          <w:b/>
        </w:rPr>
        <w:t xml:space="preserve">Respuesta. </w:t>
      </w:r>
      <w:r w:rsidRPr="00AA3766">
        <w:rPr>
          <w:rFonts w:ascii="Palatino Linotype" w:hAnsi="Palatino Linotype" w:cs="Arial"/>
        </w:rPr>
        <w:t xml:space="preserve">Con </w:t>
      </w:r>
      <w:r w:rsidR="00BF60BB">
        <w:rPr>
          <w:rFonts w:ascii="Palatino Linotype" w:hAnsi="Palatino Linotype" w:cs="Arial"/>
        </w:rPr>
        <w:t>fecha veintitrés</w:t>
      </w:r>
      <w:r w:rsidR="00CF3852">
        <w:rPr>
          <w:rFonts w:ascii="Palatino Linotype" w:hAnsi="Palatino Linotype" w:cs="Arial"/>
        </w:rPr>
        <w:t xml:space="preserve"> de agosto</w:t>
      </w:r>
      <w:r w:rsidR="00FF6012">
        <w:rPr>
          <w:rFonts w:ascii="Palatino Linotype" w:hAnsi="Palatino Linotype" w:cs="Arial"/>
        </w:rPr>
        <w:t xml:space="preserve"> de</w:t>
      </w:r>
      <w:r w:rsidR="00AF6A2E">
        <w:rPr>
          <w:rFonts w:ascii="Palatino Linotype" w:hAnsi="Palatino Linotype" w:cs="Arial"/>
        </w:rPr>
        <w:t>l dos mil veintiuno</w:t>
      </w:r>
      <w:r w:rsidRPr="00080788">
        <w:rPr>
          <w:rFonts w:ascii="Palatino Linotype" w:hAnsi="Palatino Linotype" w:cs="Arial"/>
        </w:rPr>
        <w:t xml:space="preserve"> el </w:t>
      </w:r>
      <w:r w:rsidRPr="00080788">
        <w:rPr>
          <w:rFonts w:ascii="Palatino Linotype" w:hAnsi="Palatino Linotype" w:cs="Arial"/>
          <w:b/>
        </w:rPr>
        <w:t>Sujeto Obligado</w:t>
      </w:r>
      <w:r w:rsidRPr="00080788">
        <w:rPr>
          <w:rFonts w:ascii="Palatino Linotype" w:hAnsi="Palatino Linotype" w:cs="Arial"/>
        </w:rPr>
        <w:t xml:space="preserve"> envió su respuesta</w:t>
      </w:r>
      <w:r w:rsidR="00607616">
        <w:rPr>
          <w:rFonts w:ascii="Palatino Linotype" w:hAnsi="Palatino Linotype" w:cs="Arial"/>
        </w:rPr>
        <w:t xml:space="preserve"> a la solicitud</w:t>
      </w:r>
      <w:r w:rsidRPr="00080788">
        <w:rPr>
          <w:rFonts w:ascii="Palatino Linotype" w:hAnsi="Palatino Linotype" w:cs="Arial"/>
        </w:rPr>
        <w:t xml:space="preserve"> de acceso a la información a través del SAIMEX, la cual versa como sigue:</w:t>
      </w:r>
    </w:p>
    <w:p w:rsidR="00AA47E4" w:rsidRDefault="00AA47E4" w:rsidP="00AA47E4">
      <w:pPr>
        <w:spacing w:before="240" w:after="240" w:line="360" w:lineRule="auto"/>
        <w:contextualSpacing/>
        <w:jc w:val="both"/>
        <w:rPr>
          <w:rFonts w:ascii="Palatino Linotype" w:hAnsi="Palatino Linotype" w:cs="Arial"/>
        </w:rPr>
      </w:pPr>
    </w:p>
    <w:p w:rsidR="00CF3852" w:rsidRPr="00606693" w:rsidRDefault="00AA47E4" w:rsidP="00CC2B1D">
      <w:pPr>
        <w:spacing w:before="240" w:after="240"/>
        <w:ind w:left="851" w:right="902"/>
        <w:contextualSpacing/>
        <w:jc w:val="both"/>
        <w:rPr>
          <w:rFonts w:ascii="Palatino Linotype" w:hAnsi="Palatino Linotype"/>
          <w:i/>
          <w:color w:val="000000"/>
          <w:sz w:val="22"/>
          <w:szCs w:val="22"/>
        </w:rPr>
      </w:pPr>
      <w:r w:rsidRPr="00606693">
        <w:rPr>
          <w:rFonts w:ascii="Palatino Linotype" w:hAnsi="Palatino Linotype"/>
          <w:i/>
          <w:color w:val="000000"/>
          <w:sz w:val="22"/>
          <w:szCs w:val="22"/>
        </w:rPr>
        <w:t>“</w:t>
      </w:r>
      <w:r w:rsidR="00CF3852" w:rsidRPr="00606693">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F60BB" w:rsidRPr="00606693" w:rsidRDefault="00BF60BB" w:rsidP="00CC2B1D">
      <w:pPr>
        <w:spacing w:before="240" w:after="240"/>
        <w:ind w:left="851" w:right="902"/>
        <w:contextualSpacing/>
        <w:jc w:val="both"/>
        <w:rPr>
          <w:rFonts w:ascii="Palatino Linotype" w:hAnsi="Palatino Linotype"/>
          <w:i/>
          <w:color w:val="000000"/>
          <w:sz w:val="22"/>
          <w:szCs w:val="22"/>
        </w:rPr>
      </w:pPr>
      <w:r w:rsidRPr="00606693">
        <w:rPr>
          <w:rFonts w:ascii="Palatino Linotype" w:hAnsi="Palatino Linotype"/>
          <w:i/>
          <w:color w:val="000000"/>
          <w:sz w:val="22"/>
          <w:szCs w:val="22"/>
        </w:rPr>
        <w:t>Sobre el particular, sírvase encontrar en archivo adjunto copia del oficio de notificación número 20700004S/UT-1306/2021 mediante el cual se detalla lo referente a su solicitud.</w:t>
      </w:r>
    </w:p>
    <w:p w:rsidR="00CF3852" w:rsidRPr="00606693" w:rsidRDefault="00BF60BB" w:rsidP="00CF3852">
      <w:pPr>
        <w:spacing w:before="240" w:after="240"/>
        <w:ind w:left="851" w:right="902"/>
        <w:contextualSpacing/>
        <w:jc w:val="both"/>
        <w:rPr>
          <w:rFonts w:ascii="Palatino Linotype" w:hAnsi="Palatino Linotype"/>
          <w:i/>
          <w:color w:val="000000"/>
          <w:sz w:val="22"/>
          <w:szCs w:val="22"/>
        </w:rPr>
      </w:pPr>
      <w:r w:rsidRPr="00606693">
        <w:rPr>
          <w:rFonts w:ascii="Palatino Linotype" w:hAnsi="Palatino Linotype"/>
          <w:i/>
          <w:color w:val="000000"/>
          <w:sz w:val="22"/>
          <w:szCs w:val="22"/>
        </w:rPr>
        <w:t xml:space="preserve"> </w:t>
      </w:r>
      <w:r w:rsidR="00AA47E4" w:rsidRPr="00606693">
        <w:rPr>
          <w:rFonts w:ascii="Palatino Linotype" w:hAnsi="Palatino Linotype"/>
          <w:i/>
          <w:color w:val="000000"/>
          <w:sz w:val="22"/>
          <w:szCs w:val="22"/>
        </w:rPr>
        <w:t>ATENTAMENTE</w:t>
      </w:r>
    </w:p>
    <w:p w:rsidR="00AA47E4" w:rsidRPr="00606693" w:rsidRDefault="00BF60BB" w:rsidP="00AA47E4">
      <w:pPr>
        <w:spacing w:before="240" w:after="240"/>
        <w:ind w:left="851" w:right="902"/>
        <w:contextualSpacing/>
        <w:jc w:val="both"/>
        <w:rPr>
          <w:rFonts w:ascii="Palatino Linotype" w:hAnsi="Palatino Linotype"/>
          <w:i/>
          <w:color w:val="000000"/>
          <w:sz w:val="22"/>
          <w:szCs w:val="22"/>
        </w:rPr>
      </w:pPr>
      <w:r w:rsidRPr="00606693">
        <w:rPr>
          <w:rFonts w:ascii="Palatino Linotype" w:hAnsi="Palatino Linotype"/>
          <w:i/>
          <w:color w:val="000000"/>
          <w:sz w:val="22"/>
          <w:szCs w:val="22"/>
        </w:rPr>
        <w:t xml:space="preserve">Lic. Rodolfo Esteban </w:t>
      </w:r>
      <w:proofErr w:type="spellStart"/>
      <w:r w:rsidRPr="00606693">
        <w:rPr>
          <w:rFonts w:ascii="Palatino Linotype" w:hAnsi="Palatino Linotype"/>
          <w:i/>
          <w:color w:val="000000"/>
          <w:sz w:val="22"/>
          <w:szCs w:val="22"/>
        </w:rPr>
        <w:t>Rivadeneyra</w:t>
      </w:r>
      <w:proofErr w:type="spellEnd"/>
      <w:r w:rsidRPr="00606693">
        <w:rPr>
          <w:rFonts w:ascii="Palatino Linotype" w:hAnsi="Palatino Linotype"/>
          <w:i/>
          <w:color w:val="000000"/>
          <w:sz w:val="22"/>
          <w:szCs w:val="22"/>
        </w:rPr>
        <w:t xml:space="preserve"> Hernández</w:t>
      </w:r>
      <w:r w:rsidR="00AA47E4" w:rsidRPr="00606693">
        <w:rPr>
          <w:rFonts w:ascii="Palatino Linotype" w:hAnsi="Palatino Linotype"/>
          <w:i/>
          <w:color w:val="000000"/>
          <w:sz w:val="22"/>
          <w:szCs w:val="22"/>
        </w:rPr>
        <w:t>” (Sic)</w:t>
      </w:r>
    </w:p>
    <w:p w:rsidR="00C57D70" w:rsidRDefault="00C57D70" w:rsidP="00C57D70">
      <w:pPr>
        <w:spacing w:before="240" w:after="240"/>
        <w:ind w:right="902"/>
        <w:contextualSpacing/>
        <w:jc w:val="both"/>
        <w:rPr>
          <w:rFonts w:ascii="Palatino Linotype" w:hAnsi="Palatino Linotype"/>
          <w:i/>
          <w:color w:val="000000"/>
        </w:rPr>
      </w:pPr>
    </w:p>
    <w:p w:rsidR="00FF6012" w:rsidRPr="00FF6012" w:rsidRDefault="00CF3852" w:rsidP="00AA47E4">
      <w:pPr>
        <w:spacing w:before="240" w:after="240" w:line="360" w:lineRule="auto"/>
        <w:contextualSpacing/>
        <w:jc w:val="both"/>
        <w:rPr>
          <w:rFonts w:ascii="Palatino Linotype" w:hAnsi="Palatino Linotype" w:cs="Arial"/>
        </w:rPr>
      </w:pPr>
      <w:r>
        <w:rPr>
          <w:rFonts w:ascii="Palatino Linotype" w:hAnsi="Palatino Linotype" w:cs="Arial"/>
        </w:rPr>
        <w:t>Adjuntando su respuesta los</w:t>
      </w:r>
      <w:r w:rsidR="00A77769">
        <w:rPr>
          <w:rFonts w:ascii="Palatino Linotype" w:hAnsi="Palatino Linotype" w:cs="Arial"/>
        </w:rPr>
        <w:t xml:space="preserve"> archivo</w:t>
      </w:r>
      <w:r>
        <w:rPr>
          <w:rFonts w:ascii="Palatino Linotype" w:hAnsi="Palatino Linotype" w:cs="Arial"/>
        </w:rPr>
        <w:t>s</w:t>
      </w:r>
      <w:r w:rsidR="00A77769">
        <w:rPr>
          <w:rFonts w:ascii="Palatino Linotype" w:hAnsi="Palatino Linotype" w:cs="Arial"/>
        </w:rPr>
        <w:t xml:space="preserve"> electrónico</w:t>
      </w:r>
      <w:r>
        <w:rPr>
          <w:rFonts w:ascii="Palatino Linotype" w:hAnsi="Palatino Linotype" w:cs="Arial"/>
        </w:rPr>
        <w:t>s denominados:</w:t>
      </w:r>
      <w:r w:rsidR="00FA3441">
        <w:rPr>
          <w:rFonts w:ascii="Palatino Linotype" w:hAnsi="Palatino Linotype" w:cs="Arial"/>
        </w:rPr>
        <w:t xml:space="preserve">  “</w:t>
      </w:r>
      <w:hyperlink r:id="rId8" w:tgtFrame="_blank" w:history="1">
        <w:r w:rsidR="00FA3441" w:rsidRPr="00FA3441">
          <w:rPr>
            <w:rFonts w:ascii="Palatino Linotype" w:hAnsi="Palatino Linotype"/>
          </w:rPr>
          <w:t>336 Contaduría General Gubernamental.pdf</w:t>
        </w:r>
      </w:hyperlink>
      <w:r w:rsidR="00FA3441">
        <w:rPr>
          <w:rFonts w:ascii="Palatino Linotype" w:hAnsi="Palatino Linotype" w:cs="Arial"/>
        </w:rPr>
        <w:t>”, “</w:t>
      </w:r>
      <w:hyperlink r:id="rId9" w:tgtFrame="_blank" w:history="1">
        <w:r w:rsidR="00FA3441" w:rsidRPr="00FA3441">
          <w:rPr>
            <w:rFonts w:ascii="Palatino Linotype" w:hAnsi="Palatino Linotype"/>
          </w:rPr>
          <w:t>336 DG Política Fiscal.pdf</w:t>
        </w:r>
      </w:hyperlink>
      <w:r w:rsidR="00FA3441">
        <w:rPr>
          <w:rFonts w:ascii="Palatino Linotype" w:hAnsi="Palatino Linotype" w:cs="Arial"/>
        </w:rPr>
        <w:t>”, “</w:t>
      </w:r>
      <w:hyperlink r:id="rId10" w:tgtFrame="_blank" w:history="1">
        <w:r w:rsidR="00FA3441" w:rsidRPr="00FA3441">
          <w:rPr>
            <w:rFonts w:ascii="Palatino Linotype" w:hAnsi="Palatino Linotype"/>
          </w:rPr>
          <w:t>336 DG Crédito.pdf</w:t>
        </w:r>
      </w:hyperlink>
      <w:r w:rsidR="00FA3441">
        <w:rPr>
          <w:rFonts w:ascii="Palatino Linotype" w:hAnsi="Palatino Linotype" w:cs="Arial"/>
        </w:rPr>
        <w:t>”, “</w:t>
      </w:r>
      <w:hyperlink r:id="rId11" w:tgtFrame="_blank" w:history="1">
        <w:r w:rsidR="00FA3441" w:rsidRPr="00FA3441">
          <w:rPr>
            <w:rFonts w:ascii="Palatino Linotype" w:hAnsi="Palatino Linotype"/>
          </w:rPr>
          <w:t>336 SSPP.pdf</w:t>
        </w:r>
      </w:hyperlink>
      <w:r w:rsidR="00FA3441">
        <w:rPr>
          <w:rFonts w:ascii="Palatino Linotype" w:hAnsi="Palatino Linotype" w:cs="Arial"/>
        </w:rPr>
        <w:t>”, “</w:t>
      </w:r>
      <w:hyperlink r:id="rId12" w:tgtFrame="_blank" w:history="1">
        <w:r w:rsidR="00FA3441" w:rsidRPr="00FA3441">
          <w:rPr>
            <w:rFonts w:ascii="Palatino Linotype" w:hAnsi="Palatino Linotype"/>
          </w:rPr>
          <w:t>336 DG Evaluación y Recursos Federales.pdf</w:t>
        </w:r>
      </w:hyperlink>
      <w:r w:rsidR="00FA3441">
        <w:rPr>
          <w:rFonts w:ascii="Palatino Linotype" w:hAnsi="Palatino Linotype" w:cs="Arial"/>
        </w:rPr>
        <w:t>” y “</w:t>
      </w:r>
      <w:hyperlink r:id="rId13" w:tgtFrame="_blank" w:history="1">
        <w:r w:rsidR="00FA3441" w:rsidRPr="00FA3441">
          <w:rPr>
            <w:rFonts w:ascii="Palatino Linotype" w:hAnsi="Palatino Linotype"/>
          </w:rPr>
          <w:t>UIPPE 336.pdf</w:t>
        </w:r>
      </w:hyperlink>
      <w:r w:rsidR="00FA3441">
        <w:rPr>
          <w:rFonts w:ascii="Palatino Linotype" w:hAnsi="Palatino Linotype" w:cs="Arial"/>
        </w:rPr>
        <w:t>”</w:t>
      </w:r>
      <w:r>
        <w:rPr>
          <w:rFonts w:ascii="Palatino Linotype" w:hAnsi="Palatino Linotype" w:cs="Arial"/>
        </w:rPr>
        <w:t>; los</w:t>
      </w:r>
      <w:r w:rsidR="00A77769">
        <w:rPr>
          <w:rFonts w:ascii="Palatino Linotype" w:hAnsi="Palatino Linotype" w:cs="Arial"/>
        </w:rPr>
        <w:t xml:space="preserve"> cual</w:t>
      </w:r>
      <w:r>
        <w:rPr>
          <w:rFonts w:ascii="Palatino Linotype" w:hAnsi="Palatino Linotype" w:cs="Arial"/>
        </w:rPr>
        <w:t>es</w:t>
      </w:r>
      <w:r w:rsidR="00A77769">
        <w:rPr>
          <w:rFonts w:ascii="Palatino Linotype" w:hAnsi="Palatino Linotype" w:cs="Arial"/>
        </w:rPr>
        <w:t xml:space="preserve"> será</w:t>
      </w:r>
      <w:r>
        <w:rPr>
          <w:rFonts w:ascii="Palatino Linotype" w:hAnsi="Palatino Linotype" w:cs="Arial"/>
        </w:rPr>
        <w:t>n</w:t>
      </w:r>
      <w:r w:rsidR="00A77769">
        <w:rPr>
          <w:rFonts w:ascii="Palatino Linotype" w:hAnsi="Palatino Linotype" w:cs="Arial"/>
        </w:rPr>
        <w:t xml:space="preserve"> analizado</w:t>
      </w:r>
      <w:r>
        <w:rPr>
          <w:rFonts w:ascii="Palatino Linotype" w:hAnsi="Palatino Linotype" w:cs="Arial"/>
        </w:rPr>
        <w:t>s</w:t>
      </w:r>
      <w:r w:rsidR="00FF6012">
        <w:rPr>
          <w:rFonts w:ascii="Palatino Linotype" w:hAnsi="Palatino Linotype" w:cs="Arial"/>
        </w:rPr>
        <w:t xml:space="preserve"> en el aparto de estudio correspondiente.</w:t>
      </w:r>
    </w:p>
    <w:p w:rsidR="00FF6012" w:rsidRDefault="00FF6012" w:rsidP="00AA47E4">
      <w:pPr>
        <w:spacing w:before="240" w:after="240" w:line="360" w:lineRule="auto"/>
        <w:contextualSpacing/>
        <w:jc w:val="both"/>
        <w:rPr>
          <w:rFonts w:ascii="Palatino Linotype" w:hAnsi="Palatino Linotype" w:cs="Arial"/>
          <w:b/>
        </w:rPr>
      </w:pPr>
    </w:p>
    <w:p w:rsidR="00AA47E4" w:rsidRDefault="00607616" w:rsidP="00AA47E4">
      <w:pPr>
        <w:spacing w:before="240" w:after="240" w:line="360" w:lineRule="auto"/>
        <w:contextualSpacing/>
        <w:jc w:val="both"/>
        <w:rPr>
          <w:rFonts w:ascii="Palatino Linotype" w:hAnsi="Palatino Linotype" w:cs="Arial"/>
        </w:rPr>
      </w:pPr>
      <w:r>
        <w:rPr>
          <w:rFonts w:ascii="Palatino Linotype" w:hAnsi="Palatino Linotype" w:cs="Arial"/>
          <w:b/>
        </w:rPr>
        <w:t>3. Interposición del</w:t>
      </w:r>
      <w:r w:rsidR="00AA47E4" w:rsidRPr="00080788">
        <w:rPr>
          <w:rFonts w:ascii="Palatino Linotype" w:hAnsi="Palatino Linotype" w:cs="Arial"/>
          <w:b/>
        </w:rPr>
        <w:t xml:space="preserve"> recurso de revisión. </w:t>
      </w:r>
      <w:r w:rsidR="00600B42">
        <w:rPr>
          <w:rFonts w:ascii="Palatino Linotype" w:hAnsi="Palatino Linotype" w:cs="Arial"/>
        </w:rPr>
        <w:t>Inconforme el</w:t>
      </w:r>
      <w:r w:rsidR="00AA47E4" w:rsidRPr="00080788">
        <w:rPr>
          <w:rFonts w:ascii="Palatino Linotype" w:hAnsi="Palatino Linotype" w:cs="Arial"/>
        </w:rPr>
        <w:t xml:space="preserve"> solicitante con la respuesta del </w:t>
      </w:r>
      <w:r w:rsidR="00AA47E4" w:rsidRPr="00080788">
        <w:rPr>
          <w:rFonts w:ascii="Palatino Linotype" w:hAnsi="Palatino Linotype" w:cs="Arial"/>
          <w:b/>
        </w:rPr>
        <w:t>Sujeto Obligado</w:t>
      </w:r>
      <w:r w:rsidR="00AA47E4" w:rsidRPr="00080788">
        <w:rPr>
          <w:rFonts w:ascii="Palatino Linotype" w:hAnsi="Palatino Linotype" w:cs="Arial"/>
        </w:rPr>
        <w:t xml:space="preserve"> interpuso </w:t>
      </w:r>
      <w:r w:rsidR="00600B42">
        <w:rPr>
          <w:rFonts w:ascii="Palatino Linotype" w:hAnsi="Palatino Linotype" w:cs="Arial"/>
        </w:rPr>
        <w:t>el</w:t>
      </w:r>
      <w:r w:rsidR="00AA47E4">
        <w:rPr>
          <w:rFonts w:ascii="Palatino Linotype" w:hAnsi="Palatino Linotype" w:cs="Arial"/>
        </w:rPr>
        <w:t xml:space="preserve"> </w:t>
      </w:r>
      <w:r w:rsidR="00AA47E4" w:rsidRPr="00080788">
        <w:rPr>
          <w:rFonts w:ascii="Palatino Linotype" w:hAnsi="Palatino Linotype" w:cs="Arial"/>
        </w:rPr>
        <w:t>recurso de revisión a t</w:t>
      </w:r>
      <w:r w:rsidR="00AA47E4">
        <w:rPr>
          <w:rFonts w:ascii="Palatino Linotype" w:hAnsi="Palatino Linotype" w:cs="Arial"/>
        </w:rPr>
        <w:t>ravé</w:t>
      </w:r>
      <w:r w:rsidR="00CF3852">
        <w:rPr>
          <w:rFonts w:ascii="Palatino Linotype" w:hAnsi="Palatino Linotype" w:cs="Arial"/>
        </w:rPr>
        <w:t>s del SAIMEX en f</w:t>
      </w:r>
      <w:r w:rsidR="00FA3441">
        <w:rPr>
          <w:rFonts w:ascii="Palatino Linotype" w:hAnsi="Palatino Linotype" w:cs="Arial"/>
        </w:rPr>
        <w:t>echa nueve de septiembre</w:t>
      </w:r>
      <w:r w:rsidR="00FF6012">
        <w:rPr>
          <w:rFonts w:ascii="Palatino Linotype" w:hAnsi="Palatino Linotype" w:cs="Arial"/>
        </w:rPr>
        <w:t xml:space="preserve"> de</w:t>
      </w:r>
      <w:r w:rsidR="00AF6A2E">
        <w:rPr>
          <w:rFonts w:ascii="Palatino Linotype" w:hAnsi="Palatino Linotype" w:cs="Arial"/>
        </w:rPr>
        <w:t>l dos mil veintiuno</w:t>
      </w:r>
      <w:r w:rsidR="00AA47E4" w:rsidRPr="00080788">
        <w:rPr>
          <w:rFonts w:ascii="Palatino Linotype" w:hAnsi="Palatino Linotype" w:cs="Arial"/>
        </w:rPr>
        <w:t>, a través del cual expresó lo siguiente:</w:t>
      </w:r>
    </w:p>
    <w:p w:rsidR="00AA47E4" w:rsidRDefault="00AA47E4" w:rsidP="00AA47E4">
      <w:pPr>
        <w:spacing w:before="240" w:after="240" w:line="360" w:lineRule="auto"/>
        <w:contextualSpacing/>
        <w:jc w:val="both"/>
        <w:rPr>
          <w:rFonts w:ascii="Palatino Linotype" w:hAnsi="Palatino Linotype" w:cs="Arial"/>
        </w:rPr>
      </w:pPr>
    </w:p>
    <w:p w:rsidR="00AA47E4" w:rsidRPr="00D6780E" w:rsidRDefault="00AA47E4" w:rsidP="00AA47E4">
      <w:pPr>
        <w:spacing w:line="360" w:lineRule="auto"/>
        <w:rPr>
          <w:rFonts w:ascii="Palatino Linotype" w:hAnsi="Palatino Linotype" w:cs="Arial"/>
          <w:b/>
        </w:rPr>
      </w:pPr>
      <w:r w:rsidRPr="00D6780E">
        <w:rPr>
          <w:rFonts w:ascii="Palatino Linotype" w:hAnsi="Palatino Linotype" w:cs="Arial"/>
          <w:b/>
        </w:rPr>
        <w:t>a) Acto impugnado.</w:t>
      </w:r>
    </w:p>
    <w:p w:rsidR="00AA47E4" w:rsidRPr="00606693" w:rsidRDefault="00AA47E4" w:rsidP="005A59DC">
      <w:pPr>
        <w:spacing w:after="240"/>
        <w:ind w:left="851" w:right="900"/>
        <w:jc w:val="both"/>
        <w:rPr>
          <w:rFonts w:ascii="Palatino Linotype" w:hAnsi="Palatino Linotype"/>
          <w:i/>
          <w:color w:val="000000"/>
          <w:sz w:val="22"/>
          <w:szCs w:val="22"/>
        </w:rPr>
      </w:pPr>
      <w:r w:rsidRPr="00606693">
        <w:rPr>
          <w:rFonts w:ascii="Palatino Linotype" w:hAnsi="Palatino Linotype"/>
          <w:i/>
          <w:color w:val="000000"/>
          <w:sz w:val="22"/>
          <w:szCs w:val="22"/>
        </w:rPr>
        <w:t>“</w:t>
      </w:r>
      <w:r w:rsidR="00FA3441" w:rsidRPr="00606693">
        <w:rPr>
          <w:rFonts w:ascii="Palatino Linotype" w:hAnsi="Palatino Linotype"/>
          <w:i/>
          <w:color w:val="000000"/>
          <w:sz w:val="22"/>
          <w:szCs w:val="22"/>
        </w:rPr>
        <w:t xml:space="preserve">la </w:t>
      </w:r>
      <w:proofErr w:type="spellStart"/>
      <w:r w:rsidR="00FA3441" w:rsidRPr="00606693">
        <w:rPr>
          <w:rFonts w:ascii="Palatino Linotype" w:hAnsi="Palatino Linotype"/>
          <w:i/>
          <w:color w:val="000000"/>
          <w:sz w:val="22"/>
          <w:szCs w:val="22"/>
        </w:rPr>
        <w:t>informacion</w:t>
      </w:r>
      <w:proofErr w:type="spellEnd"/>
      <w:r w:rsidR="00FA3441" w:rsidRPr="00606693">
        <w:rPr>
          <w:rFonts w:ascii="Palatino Linotype" w:hAnsi="Palatino Linotype"/>
          <w:i/>
          <w:color w:val="000000"/>
          <w:sz w:val="22"/>
          <w:szCs w:val="22"/>
        </w:rPr>
        <w:t xml:space="preserve"> es incompleta y dada la </w:t>
      </w:r>
      <w:proofErr w:type="spellStart"/>
      <w:r w:rsidR="00FA3441" w:rsidRPr="00606693">
        <w:rPr>
          <w:rFonts w:ascii="Palatino Linotype" w:hAnsi="Palatino Linotype"/>
          <w:i/>
          <w:color w:val="000000"/>
          <w:sz w:val="22"/>
          <w:szCs w:val="22"/>
        </w:rPr>
        <w:t>situacion</w:t>
      </w:r>
      <w:proofErr w:type="spellEnd"/>
      <w:r w:rsidR="00FA3441" w:rsidRPr="00606693">
        <w:rPr>
          <w:rFonts w:ascii="Palatino Linotype" w:hAnsi="Palatino Linotype"/>
          <w:i/>
          <w:color w:val="000000"/>
          <w:sz w:val="22"/>
          <w:szCs w:val="22"/>
        </w:rPr>
        <w:t xml:space="preserve"> </w:t>
      </w:r>
      <w:proofErr w:type="spellStart"/>
      <w:r w:rsidR="00FA3441" w:rsidRPr="00606693">
        <w:rPr>
          <w:rFonts w:ascii="Palatino Linotype" w:hAnsi="Palatino Linotype"/>
          <w:i/>
          <w:color w:val="000000"/>
          <w:sz w:val="22"/>
          <w:szCs w:val="22"/>
        </w:rPr>
        <w:t>finaciera</w:t>
      </w:r>
      <w:proofErr w:type="spellEnd"/>
      <w:r w:rsidR="00FA3441" w:rsidRPr="00606693">
        <w:rPr>
          <w:rFonts w:ascii="Palatino Linotype" w:hAnsi="Palatino Linotype"/>
          <w:i/>
          <w:color w:val="000000"/>
          <w:sz w:val="22"/>
          <w:szCs w:val="22"/>
        </w:rPr>
        <w:t xml:space="preserve"> del </w:t>
      </w:r>
      <w:proofErr w:type="spellStart"/>
      <w:r w:rsidR="00FA3441" w:rsidRPr="00606693">
        <w:rPr>
          <w:rFonts w:ascii="Palatino Linotype" w:hAnsi="Palatino Linotype"/>
          <w:i/>
          <w:color w:val="000000"/>
          <w:sz w:val="22"/>
          <w:szCs w:val="22"/>
        </w:rPr>
        <w:t>municpio</w:t>
      </w:r>
      <w:proofErr w:type="spellEnd"/>
      <w:r w:rsidR="00FA3441" w:rsidRPr="00606693">
        <w:rPr>
          <w:rFonts w:ascii="Palatino Linotype" w:hAnsi="Palatino Linotype"/>
          <w:i/>
          <w:color w:val="000000"/>
          <w:sz w:val="22"/>
          <w:szCs w:val="22"/>
        </w:rPr>
        <w:t xml:space="preserve"> es importante que este sujeto obligado proporcione la </w:t>
      </w:r>
      <w:proofErr w:type="spellStart"/>
      <w:r w:rsidR="00FA3441" w:rsidRPr="00606693">
        <w:rPr>
          <w:rFonts w:ascii="Palatino Linotype" w:hAnsi="Palatino Linotype"/>
          <w:i/>
          <w:color w:val="000000"/>
          <w:sz w:val="22"/>
          <w:szCs w:val="22"/>
        </w:rPr>
        <w:t>informacion</w:t>
      </w:r>
      <w:proofErr w:type="spellEnd"/>
      <w:r w:rsidR="00FA3441" w:rsidRPr="00606693">
        <w:rPr>
          <w:rFonts w:ascii="Palatino Linotype" w:hAnsi="Palatino Linotype"/>
          <w:i/>
          <w:color w:val="000000"/>
          <w:sz w:val="22"/>
          <w:szCs w:val="22"/>
        </w:rPr>
        <w:t xml:space="preserve"> para conocer la verdad al respecto</w:t>
      </w:r>
      <w:r w:rsidR="00523162" w:rsidRPr="00606693">
        <w:rPr>
          <w:rFonts w:ascii="Palatino Linotype" w:hAnsi="Palatino Linotype"/>
          <w:i/>
          <w:color w:val="000000"/>
          <w:sz w:val="22"/>
          <w:szCs w:val="22"/>
        </w:rPr>
        <w:t>”</w:t>
      </w:r>
      <w:r w:rsidR="00AF6A2E" w:rsidRPr="00606693">
        <w:rPr>
          <w:rFonts w:ascii="Palatino Linotype" w:hAnsi="Palatino Linotype"/>
          <w:i/>
          <w:color w:val="000000"/>
          <w:sz w:val="22"/>
          <w:szCs w:val="22"/>
        </w:rPr>
        <w:t xml:space="preserve"> </w:t>
      </w:r>
      <w:r w:rsidRPr="00606693">
        <w:rPr>
          <w:rFonts w:ascii="Palatino Linotype" w:hAnsi="Palatino Linotype"/>
          <w:i/>
          <w:color w:val="000000"/>
          <w:sz w:val="22"/>
          <w:szCs w:val="22"/>
        </w:rPr>
        <w:t>(Sic)</w:t>
      </w:r>
    </w:p>
    <w:p w:rsidR="00AA47E4" w:rsidRPr="00080788" w:rsidRDefault="00AA47E4" w:rsidP="00AA47E4">
      <w:pPr>
        <w:spacing w:line="360" w:lineRule="auto"/>
        <w:jc w:val="both"/>
        <w:rPr>
          <w:rFonts w:ascii="Palatino Linotype" w:hAnsi="Palatino Linotype" w:cs="Arial"/>
          <w:b/>
        </w:rPr>
      </w:pPr>
      <w:r w:rsidRPr="00080788">
        <w:rPr>
          <w:rFonts w:ascii="Palatino Linotype" w:hAnsi="Palatino Linotype" w:cs="Arial"/>
          <w:b/>
        </w:rPr>
        <w:t>b) Motivos de inconformidad.</w:t>
      </w:r>
    </w:p>
    <w:p w:rsidR="00AA47E4" w:rsidRPr="00606693" w:rsidRDefault="00AA47E4" w:rsidP="00AA47E4">
      <w:pPr>
        <w:spacing w:after="240"/>
        <w:ind w:left="851" w:right="900"/>
        <w:jc w:val="both"/>
        <w:rPr>
          <w:rFonts w:ascii="Palatino Linotype" w:hAnsi="Palatino Linotype"/>
          <w:i/>
          <w:color w:val="000000"/>
          <w:sz w:val="22"/>
          <w:szCs w:val="22"/>
        </w:rPr>
      </w:pPr>
      <w:r w:rsidRPr="00606693">
        <w:rPr>
          <w:rFonts w:ascii="Palatino Linotype" w:hAnsi="Palatino Linotype"/>
          <w:i/>
          <w:color w:val="000000"/>
          <w:sz w:val="22"/>
          <w:szCs w:val="22"/>
        </w:rPr>
        <w:lastRenderedPageBreak/>
        <w:t>“</w:t>
      </w:r>
      <w:r w:rsidR="00FA3441" w:rsidRPr="00606693">
        <w:rPr>
          <w:rFonts w:ascii="Palatino Linotype" w:hAnsi="Palatino Linotype"/>
          <w:i/>
          <w:color w:val="000000"/>
          <w:sz w:val="22"/>
          <w:szCs w:val="22"/>
        </w:rPr>
        <w:t xml:space="preserve">la </w:t>
      </w:r>
      <w:proofErr w:type="spellStart"/>
      <w:r w:rsidR="00FA3441" w:rsidRPr="00606693">
        <w:rPr>
          <w:rFonts w:ascii="Palatino Linotype" w:hAnsi="Palatino Linotype"/>
          <w:i/>
          <w:color w:val="000000"/>
          <w:sz w:val="22"/>
          <w:szCs w:val="22"/>
        </w:rPr>
        <w:t>informacion</w:t>
      </w:r>
      <w:proofErr w:type="spellEnd"/>
      <w:r w:rsidR="00FA3441" w:rsidRPr="00606693">
        <w:rPr>
          <w:rFonts w:ascii="Palatino Linotype" w:hAnsi="Palatino Linotype"/>
          <w:i/>
          <w:color w:val="000000"/>
          <w:sz w:val="22"/>
          <w:szCs w:val="22"/>
        </w:rPr>
        <w:t xml:space="preserve"> es incompleta y es el deber informar para conocer la verdad de la </w:t>
      </w:r>
      <w:proofErr w:type="spellStart"/>
      <w:r w:rsidR="00FA3441" w:rsidRPr="00606693">
        <w:rPr>
          <w:rFonts w:ascii="Palatino Linotype" w:hAnsi="Palatino Linotype"/>
          <w:i/>
          <w:color w:val="000000"/>
          <w:sz w:val="22"/>
          <w:szCs w:val="22"/>
        </w:rPr>
        <w:t>condicion</w:t>
      </w:r>
      <w:proofErr w:type="spellEnd"/>
      <w:r w:rsidR="00FA3441" w:rsidRPr="00606693">
        <w:rPr>
          <w:rFonts w:ascii="Palatino Linotype" w:hAnsi="Palatino Linotype"/>
          <w:i/>
          <w:color w:val="000000"/>
          <w:sz w:val="22"/>
          <w:szCs w:val="22"/>
        </w:rPr>
        <w:t xml:space="preserve"> real de Toluca</w:t>
      </w:r>
      <w:r w:rsidR="00AF6A2E" w:rsidRPr="00606693">
        <w:rPr>
          <w:rFonts w:ascii="Palatino Linotype" w:hAnsi="Palatino Linotype"/>
          <w:i/>
          <w:color w:val="000000"/>
          <w:sz w:val="22"/>
          <w:szCs w:val="22"/>
        </w:rPr>
        <w:t>” (</w:t>
      </w:r>
      <w:r w:rsidRPr="00606693">
        <w:rPr>
          <w:rFonts w:ascii="Palatino Linotype" w:hAnsi="Palatino Linotype"/>
          <w:i/>
          <w:color w:val="000000"/>
          <w:sz w:val="22"/>
          <w:szCs w:val="22"/>
        </w:rPr>
        <w:t>Sic)</w:t>
      </w:r>
    </w:p>
    <w:p w:rsidR="005A59DC" w:rsidRDefault="00607616" w:rsidP="00AA47E4">
      <w:pPr>
        <w:spacing w:before="240" w:after="240" w:line="360" w:lineRule="auto"/>
        <w:contextualSpacing/>
        <w:jc w:val="both"/>
        <w:rPr>
          <w:rFonts w:ascii="Palatino Linotype" w:eastAsia="Calibri" w:hAnsi="Palatino Linotype" w:cs="Arial"/>
        </w:rPr>
      </w:pPr>
      <w:r>
        <w:rPr>
          <w:rFonts w:ascii="Palatino Linotype" w:hAnsi="Palatino Linotype"/>
          <w:b/>
        </w:rPr>
        <w:t>4</w:t>
      </w:r>
      <w:r w:rsidR="00AA47E4">
        <w:rPr>
          <w:rFonts w:ascii="Palatino Linotype" w:hAnsi="Palatino Linotype"/>
          <w:b/>
        </w:rPr>
        <w:t xml:space="preserve">. Turno. </w:t>
      </w:r>
      <w:r w:rsidR="00AA47E4" w:rsidRPr="005A3029">
        <w:rPr>
          <w:rFonts w:ascii="Palatino Linotype" w:hAnsi="Palatino Linotype"/>
        </w:rPr>
        <w:t xml:space="preserve">De conformidad con el artículo 185, fracción I de la </w:t>
      </w:r>
      <w:r w:rsidR="00AA47E4" w:rsidRPr="005A3029">
        <w:rPr>
          <w:rFonts w:ascii="Palatino Linotype" w:hAnsi="Palatino Linotype" w:cs="Arial"/>
        </w:rPr>
        <w:t>Ley de Transparencia y Acceso a la Información Pública del E</w:t>
      </w:r>
      <w:r>
        <w:rPr>
          <w:rFonts w:ascii="Palatino Linotype" w:hAnsi="Palatino Linotype" w:cs="Arial"/>
        </w:rPr>
        <w:t>stado de México y Municipios</w:t>
      </w:r>
      <w:r w:rsidR="00AA47E4">
        <w:rPr>
          <w:rFonts w:ascii="Palatino Linotype" w:hAnsi="Palatino Linotype" w:cs="Arial"/>
        </w:rPr>
        <w:t>, el</w:t>
      </w:r>
      <w:r w:rsidR="00AA47E4" w:rsidRPr="005A3029">
        <w:rPr>
          <w:rFonts w:ascii="Palatino Linotype" w:hAnsi="Palatino Linotype" w:cs="Arial"/>
        </w:rPr>
        <w:t xml:space="preserve"> recurso de revisión número </w:t>
      </w:r>
      <w:r w:rsidR="00FA3441">
        <w:rPr>
          <w:rFonts w:ascii="Palatino Linotype" w:hAnsi="Palatino Linotype"/>
          <w:b/>
          <w:lang w:val="es-ES_tradnl"/>
        </w:rPr>
        <w:t>04644</w:t>
      </w:r>
      <w:r w:rsidR="00AF6A2E">
        <w:rPr>
          <w:rFonts w:ascii="Palatino Linotype" w:hAnsi="Palatino Linotype"/>
          <w:b/>
          <w:lang w:val="es-ES_tradnl"/>
        </w:rPr>
        <w:t>/INFOEM/IP/RR/2021</w:t>
      </w:r>
      <w:r w:rsidR="00AA47E4">
        <w:rPr>
          <w:rFonts w:ascii="Palatino Linotype" w:hAnsi="Palatino Linotype"/>
          <w:b/>
          <w:lang w:val="es-ES_tradnl"/>
        </w:rPr>
        <w:t xml:space="preserve"> </w:t>
      </w:r>
      <w:r w:rsidR="00AA47E4" w:rsidRPr="00DD4185">
        <w:rPr>
          <w:rFonts w:ascii="Palatino Linotype" w:hAnsi="Palatino Linotype"/>
          <w:lang w:val="es-ES_tradnl"/>
        </w:rPr>
        <w:t>se turnó</w:t>
      </w:r>
      <w:r w:rsidR="00AA47E4">
        <w:rPr>
          <w:rFonts w:ascii="Palatino Linotype" w:hAnsi="Palatino Linotype"/>
          <w:b/>
          <w:lang w:val="es-ES_tradnl"/>
        </w:rPr>
        <w:t xml:space="preserve"> </w:t>
      </w:r>
      <w:r w:rsidR="00AA47E4" w:rsidRPr="009F7D9F">
        <w:rPr>
          <w:rFonts w:ascii="Palatino Linotype" w:eastAsia="Calibri" w:hAnsi="Palatino Linotype" w:cs="Arial"/>
        </w:rPr>
        <w:t xml:space="preserve">por el sistema electrónico del Instituto de Transparencia, Acceso a la Información Pública y Protección de Datos Personales del Estado de México y Municipios, </w:t>
      </w:r>
      <w:r w:rsidR="00056F1D">
        <w:rPr>
          <w:rFonts w:ascii="Palatino Linotype" w:hAnsi="Palatino Linotype" w:cs="Arial"/>
        </w:rPr>
        <w:t>a la</w:t>
      </w:r>
      <w:r w:rsidR="00056F1D">
        <w:rPr>
          <w:rFonts w:ascii="Palatino Linotype" w:eastAsia="Calibri" w:hAnsi="Palatino Linotype" w:cs="Arial"/>
        </w:rPr>
        <w:t xml:space="preserve"> Comisionada</w:t>
      </w:r>
      <w:r w:rsidR="00AA47E4" w:rsidRPr="009F7D9F">
        <w:rPr>
          <w:rFonts w:ascii="Palatino Linotype" w:eastAsia="Calibri" w:hAnsi="Palatino Linotype" w:cs="Arial"/>
        </w:rPr>
        <w:t xml:space="preserve"> </w:t>
      </w:r>
      <w:r w:rsidR="002E0FEE">
        <w:rPr>
          <w:rFonts w:ascii="Palatino Linotype" w:eastAsia="Calibri" w:hAnsi="Palatino Linotype" w:cs="Arial"/>
          <w:b/>
        </w:rPr>
        <w:t>Guadalupe Ramírez Peña,</w:t>
      </w:r>
      <w:r w:rsidR="00AA47E4" w:rsidRPr="009F7D9F">
        <w:rPr>
          <w:rFonts w:ascii="Palatino Linotype" w:hAnsi="Palatino Linotype" w:cs="Arial"/>
        </w:rPr>
        <w:t xml:space="preserve"> para su análisis, estudio, elaboración del proyecto y </w:t>
      </w:r>
      <w:r w:rsidR="00AA47E4" w:rsidRPr="009F7D9F">
        <w:rPr>
          <w:rFonts w:ascii="Palatino Linotype" w:eastAsia="Calibri" w:hAnsi="Palatino Linotype" w:cs="Arial"/>
        </w:rPr>
        <w:t xml:space="preserve">presentación </w:t>
      </w:r>
      <w:r w:rsidR="00AA47E4">
        <w:rPr>
          <w:rFonts w:ascii="Palatino Linotype" w:eastAsia="Calibri" w:hAnsi="Palatino Linotype" w:cs="Arial"/>
        </w:rPr>
        <w:t>a</w:t>
      </w:r>
      <w:r>
        <w:rPr>
          <w:rFonts w:ascii="Palatino Linotype" w:eastAsia="Calibri" w:hAnsi="Palatino Linotype" w:cs="Arial"/>
        </w:rPr>
        <w:t>nte el Pleno de este Instituto.</w:t>
      </w:r>
    </w:p>
    <w:p w:rsidR="00056F1D" w:rsidRDefault="00056F1D" w:rsidP="00AA47E4">
      <w:pPr>
        <w:spacing w:before="240" w:after="240" w:line="360" w:lineRule="auto"/>
        <w:contextualSpacing/>
        <w:jc w:val="both"/>
        <w:rPr>
          <w:rFonts w:ascii="Palatino Linotype" w:eastAsia="Calibri" w:hAnsi="Palatino Linotype" w:cs="Arial"/>
        </w:rPr>
      </w:pPr>
    </w:p>
    <w:p w:rsidR="00AA47E4" w:rsidRDefault="00607616" w:rsidP="00AA47E4">
      <w:pPr>
        <w:spacing w:before="240" w:after="240" w:line="360" w:lineRule="auto"/>
        <w:contextualSpacing/>
        <w:jc w:val="both"/>
        <w:rPr>
          <w:rFonts w:ascii="Palatino Linotype" w:hAnsi="Palatino Linotype" w:cs="Arial"/>
        </w:rPr>
      </w:pPr>
      <w:r>
        <w:rPr>
          <w:rFonts w:ascii="Palatino Linotype" w:hAnsi="Palatino Linotype" w:cs="Arial"/>
          <w:b/>
        </w:rPr>
        <w:t>5. Admisión del</w:t>
      </w:r>
      <w:r w:rsidR="00AA47E4" w:rsidRPr="00080788">
        <w:rPr>
          <w:rFonts w:ascii="Palatino Linotype" w:hAnsi="Palatino Linotype" w:cs="Arial"/>
          <w:b/>
        </w:rPr>
        <w:t xml:space="preserve"> recurso de revisión: </w:t>
      </w:r>
      <w:r w:rsidR="00FA3441">
        <w:rPr>
          <w:rFonts w:ascii="Palatino Linotype" w:hAnsi="Palatino Linotype" w:cs="Arial"/>
        </w:rPr>
        <w:t>En fecha diecisiete de septiembre</w:t>
      </w:r>
      <w:r w:rsidR="00367B45">
        <w:rPr>
          <w:rFonts w:ascii="Palatino Linotype" w:hAnsi="Palatino Linotype" w:cs="Arial"/>
        </w:rPr>
        <w:t xml:space="preserve"> de</w:t>
      </w:r>
      <w:r w:rsidR="00AF6A2E">
        <w:rPr>
          <w:rFonts w:ascii="Palatino Linotype" w:hAnsi="Palatino Linotype" w:cs="Arial"/>
        </w:rPr>
        <w:t>l dos mil veintiuno</w:t>
      </w:r>
      <w:r w:rsidR="00FA3441">
        <w:rPr>
          <w:rFonts w:ascii="Palatino Linotype" w:hAnsi="Palatino Linotype" w:cs="Arial"/>
        </w:rPr>
        <w:t>, la</w:t>
      </w:r>
      <w:r w:rsidR="00600B42">
        <w:rPr>
          <w:rFonts w:ascii="Palatino Linotype" w:hAnsi="Palatino Linotype" w:cs="Arial"/>
        </w:rPr>
        <w:t xml:space="preserve"> Comisionada</w:t>
      </w:r>
      <w:r w:rsidR="00AA47E4" w:rsidRPr="00080788">
        <w:rPr>
          <w:rFonts w:ascii="Palatino Linotype" w:hAnsi="Palatino Linotype" w:cs="Arial"/>
        </w:rPr>
        <w:t xml:space="preserve"> ponente</w:t>
      </w:r>
      <w:r>
        <w:rPr>
          <w:rFonts w:ascii="Palatino Linotype" w:hAnsi="Palatino Linotype" w:cs="Arial"/>
        </w:rPr>
        <w:t>, admitió a trámite el</w:t>
      </w:r>
      <w:r w:rsidR="00AA47E4" w:rsidRPr="00080788">
        <w:rPr>
          <w:rFonts w:ascii="Palatino Linotype" w:hAnsi="Palatino Linotype" w:cs="Arial"/>
        </w:rPr>
        <w:t xml:space="preserve">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CC2B1D" w:rsidRPr="00056F1D" w:rsidRDefault="00607616" w:rsidP="00CC2B1D">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lang w:eastAsia="es-ES"/>
        </w:rPr>
      </w:pPr>
      <w:r w:rsidRPr="00056F1D">
        <w:rPr>
          <w:rFonts w:ascii="Palatino Linotype" w:hAnsi="Palatino Linotype" w:cs="Arial"/>
          <w:b/>
          <w:sz w:val="24"/>
          <w:szCs w:val="24"/>
        </w:rPr>
        <w:t>6</w:t>
      </w:r>
      <w:r w:rsidR="00AA47E4" w:rsidRPr="00056F1D">
        <w:rPr>
          <w:rFonts w:ascii="Palatino Linotype" w:hAnsi="Palatino Linotype" w:cs="Arial"/>
          <w:b/>
          <w:sz w:val="24"/>
          <w:szCs w:val="24"/>
        </w:rPr>
        <w:t>. Manifestaciones</w:t>
      </w:r>
      <w:r w:rsidR="00AA47E4" w:rsidRPr="00056F1D">
        <w:rPr>
          <w:rFonts w:ascii="Palatino Linotype" w:hAnsi="Palatino Linotype" w:cs="Arial"/>
          <w:sz w:val="24"/>
          <w:szCs w:val="24"/>
        </w:rPr>
        <w:t xml:space="preserve">: </w:t>
      </w:r>
      <w:r w:rsidR="00CC2B1D" w:rsidRPr="00056F1D">
        <w:rPr>
          <w:rFonts w:ascii="Palatino Linotype" w:hAnsi="Palatino Linotype" w:cs="Arial"/>
          <w:sz w:val="24"/>
          <w:szCs w:val="24"/>
          <w:lang w:eastAsia="es-ES"/>
        </w:rPr>
        <w:t>De las constancias que integran el expediente en que se actúa se advierte que la recurrente fue omisa en ofrecer pruebas y alegatos.</w:t>
      </w:r>
    </w:p>
    <w:p w:rsidR="00CC2B1D" w:rsidRPr="0051099D" w:rsidRDefault="00CC2B1D" w:rsidP="00CC2B1D">
      <w:pPr>
        <w:spacing w:line="360" w:lineRule="auto"/>
        <w:jc w:val="both"/>
        <w:rPr>
          <w:rFonts w:ascii="Palatino Linotype" w:hAnsi="Palatino Linotype"/>
        </w:rPr>
      </w:pPr>
      <w:r w:rsidRPr="00056F1D">
        <w:rPr>
          <w:rFonts w:ascii="Palatino Linotype" w:hAnsi="Palatino Linotype" w:cs="Arial"/>
        </w:rPr>
        <w:t xml:space="preserve">Por su parte, el </w:t>
      </w:r>
      <w:r w:rsidRPr="00056F1D">
        <w:rPr>
          <w:rFonts w:ascii="Palatino Linotype" w:hAnsi="Palatino Linotype" w:cs="Arial"/>
          <w:b/>
        </w:rPr>
        <w:t>Sujeto Obligado</w:t>
      </w:r>
      <w:r w:rsidR="00FA3441">
        <w:rPr>
          <w:rFonts w:ascii="Palatino Linotype" w:hAnsi="Palatino Linotype" w:cs="Arial"/>
        </w:rPr>
        <w:t xml:space="preserve"> en fecha veinticuatro de septiembre</w:t>
      </w:r>
      <w:r w:rsidRPr="00056F1D">
        <w:rPr>
          <w:rFonts w:ascii="Palatino Linotype" w:hAnsi="Palatino Linotype" w:cs="Arial"/>
        </w:rPr>
        <w:t xml:space="preserve"> del dos mil veintiuno, remi</w:t>
      </w:r>
      <w:r w:rsidR="00056F1D">
        <w:rPr>
          <w:rFonts w:ascii="Palatino Linotype" w:hAnsi="Palatino Linotype" w:cs="Arial"/>
        </w:rPr>
        <w:t>te en vía informe justificado los</w:t>
      </w:r>
      <w:r w:rsidRPr="00056F1D">
        <w:rPr>
          <w:rFonts w:ascii="Palatino Linotype" w:hAnsi="Palatino Linotype" w:cs="Arial"/>
        </w:rPr>
        <w:t xml:space="preserve"> archivo</w:t>
      </w:r>
      <w:r w:rsidR="00056F1D">
        <w:rPr>
          <w:rFonts w:ascii="Palatino Linotype" w:hAnsi="Palatino Linotype" w:cs="Arial"/>
        </w:rPr>
        <w:t>s</w:t>
      </w:r>
      <w:r w:rsidRPr="00056F1D">
        <w:rPr>
          <w:rFonts w:ascii="Palatino Linotype" w:hAnsi="Palatino Linotype" w:cs="Arial"/>
        </w:rPr>
        <w:t xml:space="preserve"> electrónico</w:t>
      </w:r>
      <w:r w:rsidR="00056F1D">
        <w:rPr>
          <w:rFonts w:ascii="Palatino Linotype" w:hAnsi="Palatino Linotype" w:cs="Arial"/>
        </w:rPr>
        <w:t>s</w:t>
      </w:r>
      <w:r w:rsidRPr="00056F1D">
        <w:rPr>
          <w:rFonts w:ascii="Palatino Linotype" w:hAnsi="Palatino Linotype" w:cs="Arial"/>
        </w:rPr>
        <w:t xml:space="preserve"> siguiente</w:t>
      </w:r>
      <w:r w:rsidR="00056F1D">
        <w:rPr>
          <w:rFonts w:ascii="Palatino Linotype" w:hAnsi="Palatino Linotype" w:cs="Arial"/>
        </w:rPr>
        <w:t>s</w:t>
      </w:r>
      <w:r w:rsidRPr="00056F1D">
        <w:rPr>
          <w:rFonts w:ascii="Palatino Linotype" w:hAnsi="Palatino Linotype" w:cs="Arial"/>
        </w:rPr>
        <w:t>:</w:t>
      </w:r>
      <w:r w:rsidR="00FA3441">
        <w:rPr>
          <w:rFonts w:ascii="Palatino Linotype" w:hAnsi="Palatino Linotype" w:cs="Arial"/>
        </w:rPr>
        <w:t xml:space="preserve"> “</w:t>
      </w:r>
      <w:hyperlink r:id="rId14" w:history="1">
        <w:r w:rsidR="00FA3441" w:rsidRPr="00FA3441">
          <w:rPr>
            <w:rFonts w:ascii="Palatino Linotype" w:hAnsi="Palatino Linotype"/>
          </w:rPr>
          <w:t>RR 4644-2021 DGC.pdf</w:t>
        </w:r>
      </w:hyperlink>
      <w:r w:rsidR="00FA3441">
        <w:rPr>
          <w:rFonts w:ascii="Palatino Linotype" w:hAnsi="Palatino Linotype" w:cs="Arial"/>
        </w:rPr>
        <w:t>”, “</w:t>
      </w:r>
      <w:hyperlink r:id="rId15" w:history="1">
        <w:r w:rsidR="00FA3441" w:rsidRPr="00FA3441">
          <w:rPr>
            <w:rFonts w:ascii="Palatino Linotype" w:hAnsi="Palatino Linotype"/>
          </w:rPr>
          <w:t>RR 4644-2021 DGPF.pdf</w:t>
        </w:r>
      </w:hyperlink>
      <w:r w:rsidR="00FA3441">
        <w:rPr>
          <w:rFonts w:ascii="Palatino Linotype" w:hAnsi="Palatino Linotype" w:cs="Arial"/>
        </w:rPr>
        <w:t>”, “</w:t>
      </w:r>
      <w:hyperlink r:id="rId16" w:history="1">
        <w:r w:rsidR="00FA3441" w:rsidRPr="00FA3441">
          <w:rPr>
            <w:rFonts w:ascii="Palatino Linotype" w:hAnsi="Palatino Linotype"/>
          </w:rPr>
          <w:t>Informe Justificado 4644-2021.pdf</w:t>
        </w:r>
      </w:hyperlink>
      <w:r w:rsidR="00FA3441">
        <w:rPr>
          <w:rFonts w:ascii="Palatino Linotype" w:hAnsi="Palatino Linotype" w:cs="Arial"/>
        </w:rPr>
        <w:t>”, “</w:t>
      </w:r>
      <w:hyperlink r:id="rId17" w:history="1">
        <w:r w:rsidR="00FA3441" w:rsidRPr="00FA3441">
          <w:rPr>
            <w:rFonts w:ascii="Palatino Linotype" w:hAnsi="Palatino Linotype"/>
          </w:rPr>
          <w:t>RR 4644-2021 CGG.pdf</w:t>
        </w:r>
      </w:hyperlink>
      <w:r w:rsidR="00FA3441">
        <w:rPr>
          <w:rFonts w:ascii="Palatino Linotype" w:hAnsi="Palatino Linotype" w:cs="Arial"/>
        </w:rPr>
        <w:t>”, “</w:t>
      </w:r>
      <w:hyperlink r:id="rId18" w:history="1">
        <w:r w:rsidR="00FA3441" w:rsidRPr="00FA3441">
          <w:rPr>
            <w:rFonts w:ascii="Palatino Linotype" w:hAnsi="Palatino Linotype"/>
          </w:rPr>
          <w:t>RR 4644-2021 DGI.pdf</w:t>
        </w:r>
      </w:hyperlink>
      <w:r w:rsidR="00FA3441">
        <w:rPr>
          <w:rFonts w:ascii="Palatino Linotype" w:hAnsi="Palatino Linotype" w:cs="Arial"/>
        </w:rPr>
        <w:t>” y “</w:t>
      </w:r>
      <w:hyperlink r:id="rId19" w:history="1">
        <w:r w:rsidR="00FA3441" w:rsidRPr="00FA3441">
          <w:rPr>
            <w:rFonts w:ascii="Palatino Linotype" w:hAnsi="Palatino Linotype"/>
          </w:rPr>
          <w:t>RR 4644-2021 DGEIFRF.pdf</w:t>
        </w:r>
      </w:hyperlink>
      <w:r w:rsidR="0051099D">
        <w:rPr>
          <w:rFonts w:ascii="Palatino Linotype" w:hAnsi="Palatino Linotype" w:cs="Arial"/>
        </w:rPr>
        <w:t xml:space="preserve">”, </w:t>
      </w:r>
      <w:r w:rsidR="00056F1D" w:rsidRPr="0051099D">
        <w:rPr>
          <w:rFonts w:ascii="Palatino Linotype" w:hAnsi="Palatino Linotype"/>
        </w:rPr>
        <w:t>los</w:t>
      </w:r>
      <w:r w:rsidRPr="0051099D">
        <w:rPr>
          <w:rFonts w:ascii="Palatino Linotype" w:hAnsi="Palatino Linotype"/>
        </w:rPr>
        <w:t xml:space="preserve"> cual</w:t>
      </w:r>
      <w:r w:rsidR="00056F1D" w:rsidRPr="0051099D">
        <w:rPr>
          <w:rFonts w:ascii="Palatino Linotype" w:hAnsi="Palatino Linotype"/>
        </w:rPr>
        <w:t xml:space="preserve">es </w:t>
      </w:r>
      <w:r w:rsidR="00600B42">
        <w:rPr>
          <w:rFonts w:ascii="Palatino Linotype" w:hAnsi="Palatino Linotype"/>
        </w:rPr>
        <w:t>se determinó</w:t>
      </w:r>
      <w:r w:rsidRPr="0051099D">
        <w:rPr>
          <w:rFonts w:ascii="Palatino Linotype" w:hAnsi="Palatino Linotype"/>
        </w:rPr>
        <w:t xml:space="preserve"> poner a l</w:t>
      </w:r>
      <w:r w:rsidR="0051099D">
        <w:rPr>
          <w:rFonts w:ascii="Palatino Linotype" w:hAnsi="Palatino Linotype"/>
        </w:rPr>
        <w:t xml:space="preserve">a vista </w:t>
      </w:r>
      <w:r w:rsidR="00600B42">
        <w:rPr>
          <w:rFonts w:ascii="Palatino Linotype" w:hAnsi="Palatino Linotype"/>
        </w:rPr>
        <w:t>del recurrente y sin que hiciera</w:t>
      </w:r>
      <w:r w:rsidR="0051099D">
        <w:rPr>
          <w:rFonts w:ascii="Palatino Linotype" w:hAnsi="Palatino Linotype"/>
        </w:rPr>
        <w:t xml:space="preserve"> manifestación alguna al respecto.</w:t>
      </w:r>
    </w:p>
    <w:p w:rsidR="00A77769" w:rsidRDefault="00A77769" w:rsidP="00523162">
      <w:pPr>
        <w:widowControl w:val="0"/>
        <w:autoSpaceDE w:val="0"/>
        <w:autoSpaceDN w:val="0"/>
        <w:adjustRightInd w:val="0"/>
        <w:spacing w:before="240" w:after="240" w:line="360" w:lineRule="auto"/>
        <w:contextualSpacing/>
        <w:jc w:val="both"/>
        <w:rPr>
          <w:rFonts w:ascii="Palatino Linotype" w:hAnsi="Palatino Linotype"/>
          <w:b/>
        </w:rPr>
      </w:pPr>
    </w:p>
    <w:p w:rsidR="00AA47E4" w:rsidRDefault="00523162" w:rsidP="00AA47E4">
      <w:pPr>
        <w:spacing w:line="360" w:lineRule="auto"/>
        <w:contextualSpacing/>
        <w:jc w:val="both"/>
        <w:rPr>
          <w:rFonts w:ascii="Palatino Linotype" w:hAnsi="Palatino Linotype"/>
        </w:rPr>
      </w:pPr>
      <w:r>
        <w:rPr>
          <w:rFonts w:ascii="Palatino Linotype" w:hAnsi="Palatino Linotype"/>
          <w:b/>
        </w:rPr>
        <w:lastRenderedPageBreak/>
        <w:t xml:space="preserve">8.- </w:t>
      </w:r>
      <w:r w:rsidR="00AA47E4" w:rsidRPr="00911351">
        <w:rPr>
          <w:rFonts w:ascii="Palatino Linotype" w:hAnsi="Palatino Linotype"/>
          <w:b/>
        </w:rPr>
        <w:t>Cierre de instrucción</w:t>
      </w:r>
      <w:r w:rsidR="00AA47E4" w:rsidRPr="00907540">
        <w:rPr>
          <w:rFonts w:ascii="Palatino Linotype" w:hAnsi="Palatino Linotype"/>
          <w:b/>
        </w:rPr>
        <w:t xml:space="preserve">. </w:t>
      </w:r>
      <w:r w:rsidR="003675B4" w:rsidRPr="00907540">
        <w:rPr>
          <w:rFonts w:ascii="Palatino Linotype" w:hAnsi="Palatino Linotype"/>
        </w:rPr>
        <w:t>En</w:t>
      </w:r>
      <w:r w:rsidR="003675B4" w:rsidRPr="0051099D">
        <w:rPr>
          <w:rFonts w:ascii="Palatino Linotype" w:hAnsi="Palatino Linotype"/>
        </w:rPr>
        <w:t xml:space="preserve"> fecha</w:t>
      </w:r>
      <w:r w:rsidR="0051099D" w:rsidRPr="0051099D">
        <w:rPr>
          <w:rFonts w:ascii="Palatino Linotype" w:hAnsi="Palatino Linotype"/>
        </w:rPr>
        <w:t xml:space="preserve"> veintidós de noviembre</w:t>
      </w:r>
      <w:r w:rsidR="003675B4" w:rsidRPr="0051099D">
        <w:rPr>
          <w:rFonts w:ascii="Palatino Linotype" w:hAnsi="Palatino Linotype"/>
        </w:rPr>
        <w:t xml:space="preserve"> de</w:t>
      </w:r>
      <w:r w:rsidR="00907540" w:rsidRPr="0051099D">
        <w:rPr>
          <w:rFonts w:ascii="Palatino Linotype" w:hAnsi="Palatino Linotype"/>
        </w:rPr>
        <w:t xml:space="preserve">l dos mil </w:t>
      </w:r>
      <w:r w:rsidR="00907540" w:rsidRPr="00907540">
        <w:rPr>
          <w:rFonts w:ascii="Palatino Linotype" w:hAnsi="Palatino Linotype"/>
        </w:rPr>
        <w:t>veintiuno</w:t>
      </w:r>
      <w:r w:rsidR="00056F1D">
        <w:rPr>
          <w:rFonts w:ascii="Palatino Linotype" w:hAnsi="Palatino Linotype"/>
        </w:rPr>
        <w:t xml:space="preserve"> la</w:t>
      </w:r>
      <w:r>
        <w:rPr>
          <w:rFonts w:ascii="Palatino Linotype" w:hAnsi="Palatino Linotype"/>
        </w:rPr>
        <w:t xml:space="preserve"> Comisionad</w:t>
      </w:r>
      <w:r w:rsidR="00056F1D">
        <w:rPr>
          <w:rFonts w:ascii="Palatino Linotype" w:hAnsi="Palatino Linotype"/>
        </w:rPr>
        <w:t>a</w:t>
      </w:r>
      <w:r>
        <w:rPr>
          <w:rFonts w:ascii="Palatino Linotype" w:hAnsi="Palatino Linotype"/>
        </w:rPr>
        <w:t xml:space="preserve"> ponente determinó </w:t>
      </w:r>
      <w:r w:rsidR="00AA47E4" w:rsidRPr="00907540">
        <w:rPr>
          <w:rFonts w:ascii="Palatino Linotype" w:hAnsi="Palatino Linotype"/>
        </w:rPr>
        <w:t>el cierre de instrucción en términos de la fracción VI del artículo 185 de la Ley de Transparencia y Acceso a la</w:t>
      </w:r>
      <w:r w:rsidR="00AA47E4" w:rsidRPr="00911351">
        <w:rPr>
          <w:rFonts w:ascii="Palatino Linotype" w:hAnsi="Palatino Linotype"/>
        </w:rPr>
        <w:t xml:space="preserve"> Información Pública del Estado de México y Municipios.</w:t>
      </w:r>
    </w:p>
    <w:p w:rsidR="00600B42" w:rsidRDefault="00600B42" w:rsidP="00AA47E4">
      <w:pPr>
        <w:spacing w:line="360" w:lineRule="auto"/>
        <w:contextualSpacing/>
        <w:jc w:val="both"/>
        <w:rPr>
          <w:rFonts w:ascii="Palatino Linotype" w:hAnsi="Palatino Linotype"/>
        </w:rPr>
      </w:pPr>
    </w:p>
    <w:p w:rsidR="00600B42" w:rsidRPr="00641CF7" w:rsidRDefault="00600B42" w:rsidP="00AA47E4">
      <w:pPr>
        <w:spacing w:line="360" w:lineRule="auto"/>
        <w:contextualSpacing/>
        <w:jc w:val="both"/>
        <w:rPr>
          <w:rFonts w:ascii="Palatino Linotype" w:hAnsi="Palatino Linotype" w:cs="Arial"/>
        </w:rPr>
      </w:pPr>
      <w:r>
        <w:rPr>
          <w:rFonts w:ascii="Palatino Linotype" w:hAnsi="Palatino Linotype" w:cs="Arial"/>
          <w:b/>
        </w:rPr>
        <w:t xml:space="preserve">9.- </w:t>
      </w:r>
      <w:r w:rsidRPr="004E377A">
        <w:rPr>
          <w:rFonts w:ascii="Palatino Linotype" w:hAnsi="Palatino Linotype" w:cs="Arial"/>
          <w:b/>
        </w:rPr>
        <w:t>Ampliación del plazo.</w:t>
      </w:r>
      <w:r w:rsidRPr="004E377A">
        <w:rPr>
          <w:rFonts w:ascii="Palatino Linotype" w:hAnsi="Palatino Linotype" w:cs="Arial"/>
        </w:rPr>
        <w:t xml:space="preserve"> En fecha</w:t>
      </w:r>
      <w:r>
        <w:rPr>
          <w:rFonts w:ascii="Palatino Linotype" w:hAnsi="Palatino Linotype" w:cs="Arial"/>
        </w:rPr>
        <w:t xml:space="preserve"> nueve de diciembre</w:t>
      </w:r>
      <w:r w:rsidRPr="004E377A">
        <w:rPr>
          <w:rFonts w:ascii="Palatino Linotype" w:hAnsi="Palatino Linotype" w:cs="Arial"/>
        </w:rPr>
        <w:t xml:space="preserve"> del año dos mil </w:t>
      </w:r>
      <w:r w:rsidRPr="004E377A">
        <w:rPr>
          <w:rFonts w:ascii="Palatino Linotype" w:hAnsi="Palatino Linotype" w:cs="Arial"/>
          <w:bCs/>
        </w:rPr>
        <w:t>veintiuno,</w:t>
      </w:r>
      <w:r w:rsidRPr="004E377A">
        <w:rPr>
          <w:rFonts w:ascii="Palatino Linotype" w:hAnsi="Palatino Linotype" w:cs="Arial"/>
        </w:rPr>
        <w:t xml:space="preserve"> con fundamento en el artículo 181, párrafo tercero de la Ley de Transparencia y Acceso a la Información Pública del Estado de México y Municipios, se acordó la ampliación del plazo para su resolución</w:t>
      </w:r>
    </w:p>
    <w:p w:rsidR="003675B4" w:rsidRDefault="003675B4" w:rsidP="003B19DA">
      <w:pPr>
        <w:pStyle w:val="Prrafodelista"/>
        <w:widowControl w:val="0"/>
        <w:tabs>
          <w:tab w:val="left" w:pos="709"/>
        </w:tabs>
        <w:autoSpaceDE w:val="0"/>
        <w:autoSpaceDN w:val="0"/>
        <w:adjustRightInd w:val="0"/>
        <w:spacing w:before="120" w:after="240" w:line="360" w:lineRule="auto"/>
        <w:ind w:left="0"/>
        <w:contextualSpacing/>
        <w:jc w:val="center"/>
        <w:rPr>
          <w:rFonts w:ascii="Palatino Linotype" w:hAnsi="Palatino Linotype" w:cs="Arial"/>
          <w:b/>
          <w:sz w:val="24"/>
          <w:szCs w:val="24"/>
        </w:rPr>
      </w:pPr>
    </w:p>
    <w:p w:rsidR="002E5396" w:rsidRPr="00080788" w:rsidRDefault="00F2018E" w:rsidP="003B19DA">
      <w:pPr>
        <w:pStyle w:val="Prrafodelista"/>
        <w:widowControl w:val="0"/>
        <w:tabs>
          <w:tab w:val="left" w:pos="709"/>
        </w:tabs>
        <w:autoSpaceDE w:val="0"/>
        <w:autoSpaceDN w:val="0"/>
        <w:adjustRightInd w:val="0"/>
        <w:spacing w:before="120" w:after="240" w:line="360" w:lineRule="auto"/>
        <w:ind w:left="0"/>
        <w:jc w:val="center"/>
        <w:rPr>
          <w:rFonts w:ascii="Palatino Linotype" w:hAnsi="Palatino Linotype" w:cs="Arial"/>
          <w:b/>
          <w:sz w:val="24"/>
          <w:szCs w:val="24"/>
        </w:rPr>
      </w:pPr>
      <w:r>
        <w:rPr>
          <w:rFonts w:ascii="Palatino Linotype" w:hAnsi="Palatino Linotype" w:cs="Arial"/>
          <w:b/>
          <w:sz w:val="24"/>
          <w:szCs w:val="24"/>
        </w:rPr>
        <w:t>II</w:t>
      </w:r>
      <w:r>
        <w:rPr>
          <w:rFonts w:ascii="Palatino Linotype" w:hAnsi="Palatino Linotype" w:cs="Arial"/>
          <w:b/>
          <w:sz w:val="24"/>
          <w:szCs w:val="24"/>
        </w:rPr>
        <w:tab/>
      </w:r>
      <w:r w:rsidR="002E5396" w:rsidRPr="00080788">
        <w:rPr>
          <w:rFonts w:ascii="Palatino Linotype" w:hAnsi="Palatino Linotype" w:cs="Arial"/>
          <w:b/>
          <w:sz w:val="24"/>
          <w:szCs w:val="24"/>
        </w:rPr>
        <w:t>C O N S I D E R A N D O:</w:t>
      </w:r>
    </w:p>
    <w:p w:rsidR="002E5396" w:rsidRPr="00080788" w:rsidRDefault="002E5396" w:rsidP="002E5396">
      <w:pPr>
        <w:spacing w:before="240" w:after="240" w:line="360" w:lineRule="auto"/>
        <w:jc w:val="both"/>
        <w:rPr>
          <w:rFonts w:ascii="Palatino Linotype" w:hAnsi="Palatino Linotype"/>
          <w:shd w:val="clear" w:color="auto" w:fill="FFFFFF"/>
        </w:rPr>
      </w:pPr>
      <w:r w:rsidRPr="00080788">
        <w:rPr>
          <w:rFonts w:ascii="Palatino Linotype" w:hAnsi="Palatino Linotype" w:cs="Arial"/>
          <w:b/>
        </w:rPr>
        <w:t xml:space="preserve">Primero. Competencia. </w:t>
      </w:r>
      <w:r w:rsidRPr="00080788">
        <w:rPr>
          <w:rFonts w:ascii="Palatino Linotype" w:hAnsi="Palatino Linotype"/>
          <w:shd w:val="clear" w:color="auto" w:fill="FFFFFF"/>
        </w:rPr>
        <w:t>El Instituto de Transparencia, Acceso a la Información Pública y Protección de Datos Personales del Estado de México y Municipios, es compe</w:t>
      </w:r>
      <w:r w:rsidR="00275567">
        <w:rPr>
          <w:rFonts w:ascii="Palatino Linotype" w:hAnsi="Palatino Linotype"/>
          <w:shd w:val="clear" w:color="auto" w:fill="FFFFFF"/>
        </w:rPr>
        <w:t>tente para conocer y resolver los</w:t>
      </w:r>
      <w:r w:rsidRPr="00080788">
        <w:rPr>
          <w:rFonts w:ascii="Palatino Linotype" w:hAnsi="Palatino Linotype"/>
          <w:shd w:val="clear" w:color="auto" w:fill="FFFFFF"/>
        </w:rPr>
        <w:t xml:space="preserve"> presente</w:t>
      </w:r>
      <w:r w:rsidR="00275567">
        <w:rPr>
          <w:rFonts w:ascii="Palatino Linotype" w:hAnsi="Palatino Linotype"/>
          <w:shd w:val="clear" w:color="auto" w:fill="FFFFFF"/>
        </w:rPr>
        <w:t>s</w:t>
      </w:r>
      <w:r w:rsidRPr="00080788">
        <w:rPr>
          <w:rFonts w:ascii="Palatino Linotype" w:hAnsi="Palatino Linotype"/>
          <w:shd w:val="clear" w:color="auto" w:fill="FFFFFF"/>
        </w:rPr>
        <w:t xml:space="preserve"> recurso</w:t>
      </w:r>
      <w:r w:rsidR="00275567">
        <w:rPr>
          <w:rFonts w:ascii="Palatino Linotype" w:hAnsi="Palatino Linotype"/>
          <w:shd w:val="clear" w:color="auto" w:fill="FFFFFF"/>
        </w:rPr>
        <w:t>s</w:t>
      </w:r>
      <w:r w:rsidRPr="00080788">
        <w:rPr>
          <w:rFonts w:ascii="Palatino Linotype" w:hAnsi="Palatino Linotype"/>
          <w:shd w:val="clear" w:color="auto" w:fill="FFFFFF"/>
        </w:rPr>
        <w:t xml:space="preserve"> de revisión interpuesto</w:t>
      </w:r>
      <w:r w:rsidR="00275567">
        <w:rPr>
          <w:rFonts w:ascii="Palatino Linotype" w:hAnsi="Palatino Linotype"/>
          <w:shd w:val="clear" w:color="auto" w:fill="FFFFFF"/>
        </w:rPr>
        <w:t>s</w:t>
      </w:r>
      <w:r w:rsidRPr="00080788">
        <w:rPr>
          <w:rFonts w:ascii="Palatino Linotype" w:hAnsi="Palatino Linotype"/>
          <w:shd w:val="clear" w:color="auto" w:fill="FFFFFF"/>
        </w:rPr>
        <w:t xml:space="preserve"> por la parte recurrente, conforme a lo dispuesto en los artículos 6, apartado A de la Constitución Política de los Estados Unidos Mexicanos; 5, párrafos </w:t>
      </w:r>
      <w:r w:rsidR="00AA111E">
        <w:rPr>
          <w:rFonts w:ascii="Palatino Linotype" w:hAnsi="Palatino Linotype"/>
          <w:shd w:val="clear" w:color="auto" w:fill="FFFFFF"/>
        </w:rPr>
        <w:t xml:space="preserve">trigésimo, </w:t>
      </w:r>
      <w:r w:rsidR="00EB2E0F">
        <w:rPr>
          <w:rFonts w:ascii="Palatino Linotype" w:hAnsi="Palatino Linotype"/>
          <w:shd w:val="clear" w:color="auto" w:fill="FFFFFF"/>
        </w:rPr>
        <w:t xml:space="preserve"> trigésimo primero</w:t>
      </w:r>
      <w:r w:rsidR="00AA111E">
        <w:rPr>
          <w:rFonts w:ascii="Palatino Linotype" w:hAnsi="Palatino Linotype"/>
          <w:shd w:val="clear" w:color="auto" w:fill="FFFFFF"/>
        </w:rPr>
        <w:t xml:space="preserve"> y trigésimo segundo</w:t>
      </w:r>
      <w:r w:rsidRPr="00080788">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Pr="00080788">
        <w:rPr>
          <w:rStyle w:val="apple-converted-space"/>
          <w:rFonts w:ascii="Palatino Linotype" w:hAnsi="Palatino Linotype"/>
          <w:shd w:val="clear" w:color="auto" w:fill="FFFFFF"/>
        </w:rPr>
        <w:t xml:space="preserve"> </w:t>
      </w:r>
      <w:r w:rsidRPr="00080788">
        <w:rPr>
          <w:rFonts w:ascii="Palatino Linotype" w:hAnsi="Palatino Linotype" w:cs="Arial"/>
        </w:rPr>
        <w:t xml:space="preserve">9, fracciones I y XXIV y 11 </w:t>
      </w:r>
      <w:r w:rsidRPr="00080788">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EB2E0F" w:rsidRDefault="002E5396" w:rsidP="00EB2E0F">
      <w:pPr>
        <w:spacing w:before="240" w:after="240" w:line="360" w:lineRule="auto"/>
        <w:jc w:val="both"/>
        <w:rPr>
          <w:rFonts w:ascii="Palatino Linotype" w:eastAsia="Palatino Linotype" w:hAnsi="Palatino Linotype" w:cs="Palatino Linotype"/>
        </w:rPr>
      </w:pPr>
      <w:r w:rsidRPr="00080788">
        <w:rPr>
          <w:rFonts w:ascii="Palatino Linotype" w:hAnsi="Palatino Linotype" w:cs="Arial"/>
          <w:b/>
        </w:rPr>
        <w:t>Segundo. Oportunidad y Procedibilidad del Recurso de Revisión</w:t>
      </w:r>
      <w:r w:rsidRPr="00080788">
        <w:rPr>
          <w:rFonts w:ascii="Palatino Linotype" w:hAnsi="Palatino Linotype" w:cs="Arial"/>
        </w:rPr>
        <w:t>. De conformidad con los requisitos de Oportu</w:t>
      </w:r>
      <w:r w:rsidR="00600B42">
        <w:rPr>
          <w:rFonts w:ascii="Palatino Linotype" w:hAnsi="Palatino Linotype" w:cs="Arial"/>
        </w:rPr>
        <w:t>nidad y Procedibilidad que debe reunir el</w:t>
      </w:r>
      <w:r w:rsidRPr="00080788">
        <w:rPr>
          <w:rFonts w:ascii="Palatino Linotype" w:hAnsi="Palatino Linotype" w:cs="Arial"/>
        </w:rPr>
        <w:t xml:space="preserve"> </w:t>
      </w:r>
      <w:r w:rsidRPr="00080788">
        <w:rPr>
          <w:rFonts w:ascii="Palatino Linotype" w:hAnsi="Palatino Linotype" w:cs="Arial"/>
        </w:rPr>
        <w:lastRenderedPageBreak/>
        <w:t>re</w:t>
      </w:r>
      <w:r w:rsidR="00600B42">
        <w:rPr>
          <w:rFonts w:ascii="Palatino Linotype" w:hAnsi="Palatino Linotype" w:cs="Arial"/>
        </w:rPr>
        <w:t>curso de revisión interpuesto</w:t>
      </w:r>
      <w:r w:rsidRPr="00080788">
        <w:rPr>
          <w:rFonts w:ascii="Palatino Linotype" w:hAnsi="Palatino Linotype" w:cs="Arial"/>
        </w:rPr>
        <w:t xml:space="preserve">, previstos en los artículos 178 y 180 de la </w:t>
      </w:r>
      <w:r w:rsidRPr="00080788">
        <w:rPr>
          <w:rFonts w:ascii="Palatino Linotype" w:hAnsi="Palatino Linotype" w:cs="Arial"/>
          <w:lang w:eastAsia="es-MX"/>
        </w:rPr>
        <w:t xml:space="preserve">Ley de Transparencia y Acceso a la Información Pública del Estado de México y Municipios; </w:t>
      </w:r>
      <w:r w:rsidR="00275567">
        <w:rPr>
          <w:rFonts w:ascii="Palatino Linotype" w:hAnsi="Palatino Linotype" w:cs="Arial"/>
          <w:lang w:eastAsia="es-MX"/>
        </w:rPr>
        <w:t>e</w:t>
      </w:r>
      <w:r w:rsidR="003675B4">
        <w:rPr>
          <w:rFonts w:ascii="Palatino Linotype" w:hAnsi="Palatino Linotype" w:cs="Arial"/>
          <w:lang w:eastAsia="es-MX"/>
        </w:rPr>
        <w:t>n la especie se advierte que el</w:t>
      </w:r>
      <w:r w:rsidRPr="00080788">
        <w:rPr>
          <w:rFonts w:ascii="Palatino Linotype" w:hAnsi="Palatino Linotype" w:cs="Arial"/>
          <w:lang w:eastAsia="es-MX"/>
        </w:rPr>
        <w:t xml:space="preserve"> presente medio de impugnación fue interpuesto dentro del plazo de quince días previsto en el primer artículo de referencia; toda vez que el Sujeto Obligado emitió su respuesta a la solicitud planteada </w:t>
      </w:r>
      <w:r w:rsidR="00FA544C">
        <w:rPr>
          <w:rFonts w:ascii="Palatino Linotype" w:hAnsi="Palatino Linotype" w:cs="Arial"/>
          <w:lang w:eastAsia="es-MX"/>
        </w:rPr>
        <w:t>po</w:t>
      </w:r>
      <w:r w:rsidR="00060750">
        <w:rPr>
          <w:rFonts w:ascii="Palatino Linotype" w:hAnsi="Palatino Linotype" w:cs="Arial"/>
          <w:lang w:eastAsia="es-MX"/>
        </w:rPr>
        <w:t>r el</w:t>
      </w:r>
      <w:r w:rsidR="00AA23D5">
        <w:rPr>
          <w:rFonts w:ascii="Palatino Linotype" w:hAnsi="Palatino Linotype" w:cs="Arial"/>
          <w:lang w:eastAsia="es-MX"/>
        </w:rPr>
        <w:t xml:space="preserve"> </w:t>
      </w:r>
      <w:r w:rsidR="00AA111E">
        <w:rPr>
          <w:rFonts w:ascii="Palatino Linotype" w:hAnsi="Palatino Linotype" w:cs="Arial"/>
          <w:lang w:eastAsia="es-MX"/>
        </w:rPr>
        <w:t>solicitante en fecha veintitrés</w:t>
      </w:r>
      <w:r w:rsidR="00056F1D">
        <w:rPr>
          <w:rFonts w:ascii="Palatino Linotype" w:hAnsi="Palatino Linotype" w:cs="Arial"/>
          <w:lang w:eastAsia="es-MX"/>
        </w:rPr>
        <w:t xml:space="preserve"> de agosto</w:t>
      </w:r>
      <w:r w:rsidR="003675B4">
        <w:rPr>
          <w:rFonts w:ascii="Palatino Linotype" w:hAnsi="Palatino Linotype" w:cs="Arial"/>
          <w:lang w:eastAsia="es-MX"/>
        </w:rPr>
        <w:t xml:space="preserve"> de</w:t>
      </w:r>
      <w:r w:rsidR="00EB2E0F">
        <w:rPr>
          <w:rFonts w:ascii="Palatino Linotype" w:hAnsi="Palatino Linotype" w:cs="Arial"/>
          <w:lang w:eastAsia="es-MX"/>
        </w:rPr>
        <w:t>l año dos mil veintiuno</w:t>
      </w:r>
      <w:r w:rsidRPr="00080788">
        <w:rPr>
          <w:rFonts w:ascii="Palatino Linotype" w:hAnsi="Palatino Linotype" w:cs="Arial"/>
          <w:lang w:eastAsia="es-MX"/>
        </w:rPr>
        <w:t xml:space="preserve"> y el recurrente presentó </w:t>
      </w:r>
      <w:r w:rsidR="00F0712F">
        <w:rPr>
          <w:rFonts w:ascii="Palatino Linotype" w:hAnsi="Palatino Linotype" w:cs="Arial"/>
          <w:lang w:eastAsia="es-MX"/>
        </w:rPr>
        <w:t>su</w:t>
      </w:r>
      <w:r w:rsidR="00275567">
        <w:rPr>
          <w:rFonts w:ascii="Palatino Linotype" w:hAnsi="Palatino Linotype" w:cs="Arial"/>
          <w:lang w:eastAsia="es-MX"/>
        </w:rPr>
        <w:t xml:space="preserve"> </w:t>
      </w:r>
      <w:r w:rsidRPr="00080788">
        <w:rPr>
          <w:rFonts w:ascii="Palatino Linotype" w:hAnsi="Palatino Linotype" w:cs="Arial"/>
          <w:lang w:eastAsia="es-MX"/>
        </w:rPr>
        <w:t>rec</w:t>
      </w:r>
      <w:r w:rsidR="008035A8">
        <w:rPr>
          <w:rFonts w:ascii="Palatino Linotype" w:hAnsi="Palatino Linotype" w:cs="Arial"/>
          <w:lang w:eastAsia="es-MX"/>
        </w:rPr>
        <w:t>urso</w:t>
      </w:r>
      <w:r w:rsidR="00F0712F">
        <w:rPr>
          <w:rFonts w:ascii="Palatino Linotype" w:hAnsi="Palatino Linotype" w:cs="Arial"/>
          <w:lang w:eastAsia="es-MX"/>
        </w:rPr>
        <w:t xml:space="preserve"> de revisión el </w:t>
      </w:r>
      <w:r w:rsidR="00AA111E">
        <w:rPr>
          <w:rFonts w:ascii="Palatino Linotype" w:hAnsi="Palatino Linotype" w:cs="Arial"/>
          <w:lang w:eastAsia="es-MX"/>
        </w:rPr>
        <w:t>nueve de septiembre</w:t>
      </w:r>
      <w:r w:rsidR="00EB2E0F">
        <w:rPr>
          <w:rFonts w:ascii="Palatino Linotype" w:hAnsi="Palatino Linotype" w:cs="Arial"/>
          <w:lang w:eastAsia="es-MX"/>
        </w:rPr>
        <w:t xml:space="preserve"> del mismo año</w:t>
      </w:r>
      <w:r w:rsidR="008035A8">
        <w:rPr>
          <w:rFonts w:ascii="Palatino Linotype" w:hAnsi="Palatino Linotype" w:cs="Arial"/>
          <w:lang w:eastAsia="es-MX"/>
        </w:rPr>
        <w:t xml:space="preserve">, </w:t>
      </w:r>
      <w:r w:rsidR="00AA111E">
        <w:rPr>
          <w:rFonts w:ascii="Palatino Linotype" w:eastAsia="Palatino Linotype" w:hAnsi="Palatino Linotype" w:cs="Palatino Linotype"/>
        </w:rPr>
        <w:t>esto es al treceavo</w:t>
      </w:r>
      <w:r w:rsidR="00EB2E0F">
        <w:rPr>
          <w:rFonts w:ascii="Palatino Linotype" w:eastAsia="Palatino Linotype" w:hAnsi="Palatino Linotype" w:cs="Palatino Linotype"/>
        </w:rPr>
        <w:t xml:space="preserve"> día hábil siguiente de aquel en que tuvo conocimiento de la respuesta</w:t>
      </w:r>
      <w:r w:rsidR="00EB2E0F">
        <w:rPr>
          <w:rFonts w:ascii="Palatino Linotype" w:eastAsia="Palatino Linotype" w:hAnsi="Palatino Linotype" w:cs="Palatino Linotype"/>
          <w:highlight w:val="white"/>
        </w:rPr>
        <w:t>;</w:t>
      </w:r>
      <w:r w:rsidR="00EB2E0F">
        <w:rPr>
          <w:rFonts w:ascii="Palatino Linotype" w:eastAsia="Palatino Linotype" w:hAnsi="Palatino Linotype" w:cs="Palatino Linotype"/>
        </w:rPr>
        <w:t xml:space="preserve"> evidenciándose que la interposición del recurso se encuentra dentro de los márgenes temporales previstos en el citado precepto legal.</w:t>
      </w:r>
    </w:p>
    <w:p w:rsidR="00275567" w:rsidRPr="00706EA3" w:rsidRDefault="00275567" w:rsidP="00275567">
      <w:pPr>
        <w:spacing w:before="240" w:after="240" w:line="360" w:lineRule="auto"/>
        <w:contextualSpacing/>
        <w:jc w:val="both"/>
        <w:rPr>
          <w:rFonts w:ascii="Palatino Linotype" w:hAnsi="Palatino Linotype" w:cs="Arial"/>
        </w:rPr>
      </w:pPr>
      <w:r>
        <w:rPr>
          <w:rFonts w:ascii="Palatino Linotype" w:hAnsi="Palatino Linotype" w:cs="Arial"/>
        </w:rPr>
        <w:t>A</w:t>
      </w:r>
      <w:r w:rsidRPr="00080788">
        <w:rPr>
          <w:rFonts w:ascii="Palatino Linotype" w:hAnsi="Palatino Linotype" w:cs="Arial"/>
        </w:rPr>
        <w:t>demás, por cuanto hace a la procedibilidad d</w:t>
      </w:r>
      <w:r w:rsidR="00060750">
        <w:rPr>
          <w:rFonts w:ascii="Palatino Linotype" w:hAnsi="Palatino Linotype" w:cs="Arial"/>
        </w:rPr>
        <w:t>el recurso</w:t>
      </w:r>
      <w:r>
        <w:rPr>
          <w:rFonts w:ascii="Palatino Linotype" w:hAnsi="Palatino Linotype" w:cs="Arial"/>
        </w:rPr>
        <w:t xml:space="preserve"> de revisión, es de suma importancia </w:t>
      </w:r>
      <w:r w:rsidRPr="00AA2C16">
        <w:rPr>
          <w:rFonts w:ascii="Palatino Linotype" w:hAnsi="Palatino Linotype" w:cs="Arial"/>
        </w:rPr>
        <w:t>señalar que la parte recurrente se identifica como "</w:t>
      </w:r>
      <w:r w:rsidR="007905F8">
        <w:rPr>
          <w:rFonts w:ascii="Palatino Linotype" w:hAnsi="Palatino Linotype" w:cs="Arial"/>
        </w:rPr>
        <w:t xml:space="preserve">XXXXX </w:t>
      </w:r>
      <w:proofErr w:type="spellStart"/>
      <w:r w:rsidR="007905F8">
        <w:rPr>
          <w:rFonts w:ascii="Palatino Linotype" w:hAnsi="Palatino Linotype" w:cs="Arial"/>
        </w:rPr>
        <w:t>XXXXX</w:t>
      </w:r>
      <w:proofErr w:type="spellEnd"/>
      <w:r w:rsidR="007905F8">
        <w:rPr>
          <w:rFonts w:ascii="Palatino Linotype" w:hAnsi="Palatino Linotype" w:cs="Arial"/>
        </w:rPr>
        <w:t xml:space="preserve"> XXXX XXX</w:t>
      </w:r>
      <w:r w:rsidRPr="00AA2C16">
        <w:rPr>
          <w:rFonts w:ascii="Palatino Linotype" w:hAnsi="Palatino Linotype" w:cs="Arial"/>
        </w:rPr>
        <w:t>"</w:t>
      </w:r>
      <w:r>
        <w:rPr>
          <w:rFonts w:ascii="Palatino Linotype" w:hAnsi="Palatino Linotype" w:cs="Arial"/>
        </w:rPr>
        <w:t xml:space="preserve"> como se advierte en el detalle de seguimiento del SAIMEX</w:t>
      </w:r>
      <w:r w:rsidRPr="00AA2C16">
        <w:rPr>
          <w:rFonts w:ascii="Palatino Linotype" w:hAnsi="Palatino Linotype" w:cs="Arial"/>
        </w:rPr>
        <w:t xml:space="preserve">, no obstante lo anterior, </w:t>
      </w:r>
      <w:r w:rsidR="00F0712F">
        <w:rPr>
          <w:rFonts w:ascii="Palatino Linotype" w:hAnsi="Palatino Linotype" w:cs="Arial"/>
        </w:rPr>
        <w:t xml:space="preserve">no </w:t>
      </w:r>
      <w:r w:rsidRPr="00AA2C16">
        <w:rPr>
          <w:rFonts w:ascii="Palatino Linotype" w:hAnsi="Palatino Linotype" w:cs="Arial"/>
        </w:rPr>
        <w:t xml:space="preserve">proporcionar el nombre </w:t>
      </w:r>
      <w:r w:rsidR="00F0712F">
        <w:rPr>
          <w:rFonts w:ascii="Palatino Linotype" w:hAnsi="Palatino Linotype" w:cs="Arial"/>
        </w:rPr>
        <w:t>no es motivo para archivar la solicitud</w:t>
      </w:r>
      <w:r w:rsidRPr="00AA2C16">
        <w:rPr>
          <w:rFonts w:ascii="Palatino Linotype" w:hAnsi="Palatino Linotype" w:cs="Arial"/>
        </w:rPr>
        <w:t xml:space="preserve"> de</w:t>
      </w:r>
      <w:bookmarkStart w:id="0" w:name="_GoBack"/>
      <w:bookmarkEnd w:id="0"/>
      <w:r w:rsidRPr="00AA2C16">
        <w:rPr>
          <w:rFonts w:ascii="Palatino Linotype" w:hAnsi="Palatino Linotype" w:cs="Arial"/>
        </w:rPr>
        <w:t xml:space="preserve"> acceso a la información pública </w:t>
      </w:r>
      <w:r w:rsidR="00F0712F">
        <w:rPr>
          <w:rFonts w:ascii="Palatino Linotype" w:hAnsi="Palatino Linotype" w:cs="Arial"/>
        </w:rPr>
        <w:t xml:space="preserve">como concluida, </w:t>
      </w:r>
      <w:r w:rsidRPr="00AA2C16">
        <w:rPr>
          <w:rFonts w:ascii="Palatino Linotype" w:hAnsi="Palatino Linotype" w:cs="Arial"/>
        </w:rPr>
        <w:t xml:space="preserve">conforme a lo previsto en el artículo 155, penúltimo párrafo de la Ley </w:t>
      </w:r>
      <w:r w:rsidRPr="00706EA3">
        <w:rPr>
          <w:rFonts w:ascii="Palatino Linotype" w:hAnsi="Palatino Linotype" w:cs="Arial"/>
        </w:rPr>
        <w:t>de Transparencia y Acceso a la Información Pública del Estado d</w:t>
      </w:r>
      <w:r>
        <w:rPr>
          <w:rFonts w:ascii="Palatino Linotype" w:hAnsi="Palatino Linotype" w:cs="Arial"/>
        </w:rPr>
        <w:t>e México y Municipios que establece</w:t>
      </w:r>
      <w:r w:rsidRPr="00706EA3">
        <w:rPr>
          <w:rFonts w:ascii="Palatino Linotype" w:hAnsi="Palatino Linotype" w:cs="Arial"/>
        </w:rPr>
        <w:t xml:space="preserve"> lo siguiente:</w:t>
      </w:r>
    </w:p>
    <w:p w:rsidR="00275567" w:rsidRDefault="00275567" w:rsidP="00275567">
      <w:pPr>
        <w:spacing w:before="240" w:after="240"/>
        <w:ind w:left="567" w:right="474"/>
        <w:contextualSpacing/>
        <w:jc w:val="both"/>
        <w:rPr>
          <w:rFonts w:ascii="Palatino Linotype" w:hAnsi="Palatino Linotype" w:cs="Arial"/>
          <w:i/>
        </w:rPr>
      </w:pPr>
    </w:p>
    <w:p w:rsidR="00275567" w:rsidRPr="00AA2C16" w:rsidRDefault="00275567" w:rsidP="00275567">
      <w:pPr>
        <w:spacing w:before="240" w:after="240"/>
        <w:ind w:left="567" w:right="474"/>
        <w:contextualSpacing/>
        <w:jc w:val="both"/>
        <w:rPr>
          <w:rFonts w:ascii="Palatino Linotype" w:hAnsi="Palatino Linotype" w:cs="Arial"/>
          <w:i/>
          <w:sz w:val="22"/>
          <w:szCs w:val="22"/>
        </w:rPr>
      </w:pPr>
      <w:r w:rsidRPr="00AA2C16">
        <w:rPr>
          <w:rFonts w:ascii="Palatino Linotype" w:hAnsi="Palatino Linotype" w:cs="Arial"/>
          <w:i/>
          <w:sz w:val="22"/>
          <w:szCs w:val="22"/>
        </w:rPr>
        <w:t>"</w:t>
      </w:r>
      <w:r w:rsidRPr="00EA7A3F">
        <w:rPr>
          <w:rFonts w:ascii="Palatino Linotype" w:hAnsi="Palatino Linotype" w:cs="Arial"/>
          <w:b/>
          <w:i/>
          <w:sz w:val="22"/>
          <w:szCs w:val="22"/>
        </w:rPr>
        <w:t>Las solicitudes anónimas</w:t>
      </w:r>
      <w:r w:rsidRPr="00AA2C16">
        <w:rPr>
          <w:rFonts w:ascii="Palatino Linotype" w:hAnsi="Palatino Linotype" w:cs="Arial"/>
          <w:i/>
          <w:sz w:val="22"/>
          <w:szCs w:val="22"/>
        </w:rPr>
        <w:t xml:space="preserve">, con nombre incompleto o seudónimo </w:t>
      </w:r>
      <w:r w:rsidRPr="00EA7A3F">
        <w:rPr>
          <w:rFonts w:ascii="Palatino Linotype" w:hAnsi="Palatino Linotype" w:cs="Arial"/>
          <w:b/>
          <w:i/>
          <w:sz w:val="22"/>
          <w:szCs w:val="22"/>
        </w:rPr>
        <w:t>serán procedentes para su trámite por parte del sujeto obligado ante quien se presente</w:t>
      </w:r>
      <w:r w:rsidRPr="00AA2C16">
        <w:rPr>
          <w:rFonts w:ascii="Palatino Linotype" w:hAnsi="Palatino Linotype" w:cs="Arial"/>
          <w:i/>
          <w:sz w:val="22"/>
          <w:szCs w:val="22"/>
        </w:rPr>
        <w:t>. No podrá requerirse información adicional con motivo del nombre proporcionado por el solicitante."</w:t>
      </w:r>
      <w:r w:rsidR="0051099D">
        <w:rPr>
          <w:rFonts w:ascii="Palatino Linotype" w:hAnsi="Palatino Linotype" w:cs="Arial"/>
          <w:i/>
          <w:sz w:val="22"/>
          <w:szCs w:val="22"/>
        </w:rPr>
        <w:t>(Sic)</w:t>
      </w:r>
    </w:p>
    <w:p w:rsidR="00275567" w:rsidRDefault="00275567" w:rsidP="00275567">
      <w:pPr>
        <w:spacing w:before="240" w:after="240" w:line="360" w:lineRule="auto"/>
        <w:contextualSpacing/>
        <w:jc w:val="both"/>
        <w:rPr>
          <w:rFonts w:eastAsiaTheme="minorHAnsi"/>
          <w:i/>
          <w:iCs/>
          <w:color w:val="1F1F1F"/>
          <w:w w:val="95"/>
          <w:sz w:val="22"/>
          <w:szCs w:val="22"/>
          <w:lang w:val="es-MX" w:eastAsia="en-US"/>
        </w:rPr>
      </w:pPr>
    </w:p>
    <w:p w:rsidR="00275567" w:rsidRPr="00204E0C" w:rsidRDefault="00275567" w:rsidP="00275567">
      <w:pPr>
        <w:spacing w:before="240" w:after="240" w:line="360" w:lineRule="auto"/>
        <w:contextualSpacing/>
        <w:jc w:val="both"/>
        <w:rPr>
          <w:rFonts w:ascii="Palatino Linotype" w:hAnsi="Palatino Linotype" w:cs="Arial"/>
        </w:rPr>
      </w:pPr>
      <w:r w:rsidRPr="00204E0C">
        <w:rPr>
          <w:rFonts w:ascii="Palatino Linotype" w:hAnsi="Palatino Linotype" w:cs="Arial"/>
        </w:rPr>
        <w:t>Robusteciendo lo anterior se encuent</w:t>
      </w:r>
      <w:r>
        <w:rPr>
          <w:rFonts w:ascii="Palatino Linotype" w:hAnsi="Palatino Linotype" w:cs="Arial"/>
        </w:rPr>
        <w:t>ra lo dispuesto en el artículo</w:t>
      </w:r>
      <w:r w:rsidRPr="00204E0C">
        <w:rPr>
          <w:rFonts w:ascii="Palatino Linotype" w:hAnsi="Palatino Linotype" w:cs="Arial"/>
        </w:rPr>
        <w:t xml:space="preserve"> 6, Apartado A,</w:t>
      </w:r>
      <w:r>
        <w:rPr>
          <w:rFonts w:ascii="Palatino Linotype" w:hAnsi="Palatino Linotype" w:cs="Arial"/>
        </w:rPr>
        <w:t xml:space="preserve"> fracciones III</w:t>
      </w:r>
      <w:r w:rsidRPr="00204E0C">
        <w:rPr>
          <w:rFonts w:ascii="Palatino Linotype" w:hAnsi="Palatino Linotype" w:cs="Arial"/>
        </w:rPr>
        <w:t xml:space="preserve"> de la Constitución Política de los Estados Unidos Mexicanos </w:t>
      </w:r>
      <w:r>
        <w:rPr>
          <w:rFonts w:ascii="Palatino Linotype" w:hAnsi="Palatino Linotype" w:cs="Arial"/>
        </w:rPr>
        <w:t>que establece:</w:t>
      </w:r>
    </w:p>
    <w:p w:rsidR="00275567" w:rsidRDefault="00275567" w:rsidP="00275567">
      <w:pPr>
        <w:spacing w:before="240" w:after="240"/>
        <w:ind w:left="567" w:right="474"/>
        <w:contextualSpacing/>
        <w:jc w:val="both"/>
        <w:rPr>
          <w:rFonts w:ascii="Palatino Linotype" w:hAnsi="Palatino Linotype" w:cs="Arial"/>
          <w:i/>
        </w:rPr>
      </w:pPr>
    </w:p>
    <w:p w:rsidR="00275567" w:rsidRPr="00204E0C" w:rsidRDefault="00275567" w:rsidP="00275567">
      <w:pPr>
        <w:spacing w:before="240" w:after="240"/>
        <w:ind w:left="567" w:right="474"/>
        <w:contextualSpacing/>
        <w:jc w:val="both"/>
        <w:rPr>
          <w:rFonts w:ascii="Palatino Linotype" w:hAnsi="Palatino Linotype" w:cs="Arial"/>
          <w:i/>
          <w:sz w:val="22"/>
          <w:szCs w:val="22"/>
        </w:rPr>
      </w:pPr>
      <w:r w:rsidRPr="00204E0C">
        <w:rPr>
          <w:rFonts w:ascii="Palatino Linotype" w:hAnsi="Palatino Linotype" w:cs="Arial"/>
          <w:i/>
          <w:sz w:val="22"/>
          <w:szCs w:val="22"/>
        </w:rPr>
        <w:lastRenderedPageBreak/>
        <w:t>"</w:t>
      </w:r>
      <w:r>
        <w:rPr>
          <w:rFonts w:ascii="Palatino Linotype" w:hAnsi="Palatino Linotype" w:cs="Arial"/>
          <w:b/>
          <w:i/>
          <w:sz w:val="22"/>
          <w:szCs w:val="22"/>
        </w:rPr>
        <w:t>Artículo 6</w:t>
      </w:r>
      <w:r w:rsidRPr="00854B1C">
        <w:rPr>
          <w:rFonts w:ascii="Palatino Linotype" w:hAnsi="Palatino Linotype" w:cs="Arial"/>
          <w:b/>
          <w:i/>
          <w:sz w:val="22"/>
          <w:szCs w:val="22"/>
        </w:rPr>
        <w:t>.-</w:t>
      </w:r>
      <w:r w:rsidRPr="00204E0C">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275567" w:rsidRPr="00204E0C" w:rsidRDefault="00275567" w:rsidP="00275567">
      <w:pPr>
        <w:spacing w:before="240" w:after="240"/>
        <w:ind w:left="567" w:right="474"/>
        <w:contextualSpacing/>
        <w:jc w:val="both"/>
        <w:rPr>
          <w:rFonts w:ascii="Palatino Linotype" w:hAnsi="Palatino Linotype" w:cs="Arial"/>
          <w:i/>
          <w:sz w:val="22"/>
          <w:szCs w:val="22"/>
        </w:rPr>
      </w:pPr>
      <w:r w:rsidRPr="00204E0C">
        <w:rPr>
          <w:rFonts w:ascii="Palatino Linotype" w:hAnsi="Palatino Linotype" w:cs="Arial"/>
          <w:i/>
          <w:sz w:val="22"/>
          <w:szCs w:val="22"/>
        </w:rPr>
        <w:t>Para efectos de lo dispuesto en el presente artículo se observará lo siguiente:</w:t>
      </w:r>
    </w:p>
    <w:p w:rsidR="00275567" w:rsidRPr="00204E0C" w:rsidRDefault="00275567" w:rsidP="00275567">
      <w:pPr>
        <w:spacing w:before="240" w:after="240"/>
        <w:ind w:left="567" w:right="474"/>
        <w:contextualSpacing/>
        <w:jc w:val="both"/>
        <w:rPr>
          <w:rFonts w:ascii="Palatino Linotype" w:hAnsi="Palatino Linotype" w:cs="Arial"/>
          <w:i/>
          <w:sz w:val="22"/>
          <w:szCs w:val="22"/>
        </w:rPr>
      </w:pPr>
    </w:p>
    <w:p w:rsidR="00275567" w:rsidRPr="00204E0C" w:rsidRDefault="00275567" w:rsidP="00275567">
      <w:pPr>
        <w:spacing w:before="240" w:after="240"/>
        <w:ind w:left="567" w:right="474"/>
        <w:contextualSpacing/>
        <w:jc w:val="both"/>
        <w:rPr>
          <w:rFonts w:ascii="Palatino Linotype" w:hAnsi="Palatino Linotype" w:cs="Arial"/>
          <w:i/>
          <w:sz w:val="22"/>
          <w:szCs w:val="22"/>
        </w:rPr>
      </w:pPr>
      <w:r w:rsidRPr="00204E0C">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275567" w:rsidRPr="00204E0C" w:rsidRDefault="00275567" w:rsidP="00275567">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 xml:space="preserve">III. Toda persona, sin necesidad </w:t>
      </w:r>
      <w:r w:rsidRPr="00204E0C">
        <w:rPr>
          <w:rFonts w:ascii="Palatino Linotype" w:hAnsi="Palatino Linotype" w:cs="Arial"/>
          <w:i/>
          <w:sz w:val="22"/>
          <w:szCs w:val="22"/>
        </w:rPr>
        <w:t>de acredi</w:t>
      </w:r>
      <w:r>
        <w:rPr>
          <w:rFonts w:ascii="Palatino Linotype" w:hAnsi="Palatino Linotype" w:cs="Arial"/>
          <w:i/>
          <w:sz w:val="22"/>
          <w:szCs w:val="22"/>
        </w:rPr>
        <w:t>tar interés alguno o justificar</w:t>
      </w:r>
      <w:r w:rsidRPr="00204E0C">
        <w:rPr>
          <w:rFonts w:ascii="Palatino Linotype" w:hAnsi="Palatino Linotype" w:cs="Arial"/>
          <w:i/>
          <w:sz w:val="22"/>
          <w:szCs w:val="22"/>
        </w:rPr>
        <w:t xml:space="preserve"> su</w:t>
      </w:r>
      <w:r>
        <w:rPr>
          <w:rFonts w:ascii="Palatino Linotype" w:hAnsi="Palatino Linotype" w:cs="Arial"/>
          <w:i/>
          <w:sz w:val="22"/>
          <w:szCs w:val="22"/>
        </w:rPr>
        <w:t xml:space="preserve"> </w:t>
      </w:r>
      <w:r w:rsidRPr="00204E0C">
        <w:rPr>
          <w:rFonts w:ascii="Palatino Linotype" w:hAnsi="Palatino Linotype" w:cs="Arial"/>
          <w:i/>
          <w:sz w:val="22"/>
          <w:szCs w:val="22"/>
        </w:rPr>
        <w:t>utilización, tendrá acceso gratuito a la información pública, a sus datos personales o a la rectificación de éstos.</w:t>
      </w:r>
      <w:r w:rsidR="00EB2E0F">
        <w:rPr>
          <w:rFonts w:ascii="Palatino Linotype" w:hAnsi="Palatino Linotype" w:cs="Arial"/>
          <w:i/>
          <w:sz w:val="22"/>
          <w:szCs w:val="22"/>
        </w:rPr>
        <w:t>” (Sic)</w:t>
      </w:r>
    </w:p>
    <w:p w:rsidR="00275567" w:rsidRPr="00204E0C" w:rsidRDefault="00275567" w:rsidP="00275567">
      <w:pPr>
        <w:spacing w:before="240" w:after="240"/>
        <w:ind w:left="567" w:right="474"/>
        <w:contextualSpacing/>
        <w:jc w:val="both"/>
        <w:rPr>
          <w:rFonts w:ascii="Palatino Linotype" w:hAnsi="Palatino Linotype" w:cs="Arial"/>
          <w:i/>
          <w:sz w:val="22"/>
          <w:szCs w:val="22"/>
        </w:rPr>
      </w:pPr>
    </w:p>
    <w:p w:rsidR="00275567" w:rsidRPr="00204E0C" w:rsidRDefault="00275567" w:rsidP="00275567">
      <w:pPr>
        <w:spacing w:before="240" w:after="240" w:line="360" w:lineRule="auto"/>
        <w:contextualSpacing/>
        <w:jc w:val="both"/>
        <w:rPr>
          <w:rFonts w:ascii="Palatino Linotype" w:hAnsi="Palatino Linotype" w:cs="Arial"/>
        </w:rPr>
      </w:pPr>
      <w:r>
        <w:rPr>
          <w:rFonts w:ascii="Palatino Linotype" w:hAnsi="Palatino Linotype" w:cs="Arial"/>
        </w:rPr>
        <w:t>Así como el artículo 5</w:t>
      </w:r>
      <w:r w:rsidRPr="00204E0C">
        <w:rPr>
          <w:rFonts w:ascii="Palatino Linotype" w:hAnsi="Palatino Linotype" w:cs="Arial"/>
        </w:rPr>
        <w:t xml:space="preserve"> </w:t>
      </w:r>
      <w:r>
        <w:rPr>
          <w:rFonts w:ascii="Palatino Linotype" w:hAnsi="Palatino Linotype" w:cs="Arial"/>
        </w:rPr>
        <w:t xml:space="preserve">fracción III, </w:t>
      </w:r>
      <w:r w:rsidRPr="00204E0C">
        <w:rPr>
          <w:rFonts w:ascii="Palatino Linotype" w:hAnsi="Palatino Linotype" w:cs="Arial"/>
        </w:rPr>
        <w:t>párrafos vigésimo</w:t>
      </w:r>
      <w:r w:rsidR="00EB2E0F">
        <w:rPr>
          <w:rFonts w:ascii="Palatino Linotype" w:hAnsi="Palatino Linotype" w:cs="Arial"/>
        </w:rPr>
        <w:t xml:space="preserve"> noveno</w:t>
      </w:r>
      <w:r w:rsidRPr="00204E0C">
        <w:rPr>
          <w:rFonts w:ascii="Palatino Linotype" w:hAnsi="Palatino Linotype" w:cs="Arial"/>
        </w:rPr>
        <w:t xml:space="preserve">, </w:t>
      </w:r>
      <w:r w:rsidR="00EB2E0F">
        <w:rPr>
          <w:rFonts w:ascii="Palatino Linotype" w:hAnsi="Palatino Linotype" w:cs="Arial"/>
        </w:rPr>
        <w:t>trigésimo</w:t>
      </w:r>
      <w:r w:rsidRPr="00204E0C">
        <w:rPr>
          <w:rFonts w:ascii="Palatino Linotype" w:hAnsi="Palatino Linotype" w:cs="Arial"/>
        </w:rPr>
        <w:t xml:space="preserve"> y </w:t>
      </w:r>
      <w:r w:rsidR="00EB2E0F">
        <w:rPr>
          <w:rFonts w:ascii="Palatino Linotype" w:hAnsi="Palatino Linotype" w:cs="Arial"/>
        </w:rPr>
        <w:t>trigésimo primero</w:t>
      </w:r>
      <w:r w:rsidRPr="00204E0C">
        <w:rPr>
          <w:rFonts w:ascii="Palatino Linotype" w:hAnsi="Palatino Linotype" w:cs="Arial"/>
        </w:rPr>
        <w:t>, de la Constitución Política del Estad</w:t>
      </w:r>
      <w:r>
        <w:rPr>
          <w:rFonts w:ascii="Palatino Linotype" w:hAnsi="Palatino Linotype" w:cs="Arial"/>
        </w:rPr>
        <w:t>o Libre y Soberano de México, que determina</w:t>
      </w:r>
      <w:r w:rsidRPr="00204E0C">
        <w:rPr>
          <w:rFonts w:ascii="Palatino Linotype" w:hAnsi="Palatino Linotype" w:cs="Arial"/>
        </w:rPr>
        <w:t xml:space="preserve"> lo siguiente:</w:t>
      </w:r>
    </w:p>
    <w:p w:rsidR="00275567" w:rsidRPr="00204E0C" w:rsidRDefault="00275567" w:rsidP="00275567">
      <w:pPr>
        <w:spacing w:before="240" w:after="240"/>
        <w:ind w:right="474"/>
        <w:contextualSpacing/>
        <w:jc w:val="both"/>
        <w:rPr>
          <w:rFonts w:ascii="Palatino Linotype" w:hAnsi="Palatino Linotype" w:cs="Arial"/>
          <w:i/>
          <w:sz w:val="22"/>
          <w:szCs w:val="22"/>
        </w:rPr>
      </w:pPr>
    </w:p>
    <w:p w:rsidR="00275567" w:rsidRDefault="00275567" w:rsidP="00275567">
      <w:pPr>
        <w:spacing w:before="240" w:after="240"/>
        <w:ind w:left="567" w:right="474"/>
        <w:contextualSpacing/>
        <w:jc w:val="both"/>
        <w:rPr>
          <w:rFonts w:ascii="Palatino Linotype" w:hAnsi="Palatino Linotype" w:cs="Arial"/>
          <w:i/>
          <w:sz w:val="22"/>
          <w:szCs w:val="22"/>
        </w:rPr>
      </w:pPr>
      <w:r w:rsidRPr="00204E0C">
        <w:rPr>
          <w:rFonts w:ascii="Palatino Linotype" w:hAnsi="Palatino Linotype" w:cs="Arial"/>
          <w:i/>
          <w:sz w:val="22"/>
          <w:szCs w:val="22"/>
        </w:rPr>
        <w:t>"</w:t>
      </w:r>
      <w:r w:rsidRPr="00854B1C">
        <w:rPr>
          <w:rFonts w:ascii="Palatino Linotype" w:hAnsi="Palatino Linotype" w:cs="Arial"/>
          <w:b/>
          <w:i/>
          <w:sz w:val="22"/>
          <w:szCs w:val="22"/>
        </w:rPr>
        <w:t>Artículo 5.-</w:t>
      </w:r>
      <w:r w:rsidRPr="00204E0C">
        <w:rPr>
          <w:rFonts w:ascii="Palatino Linotype" w:hAnsi="Palatino Linotype" w:cs="Arial"/>
          <w:i/>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w:t>
      </w:r>
      <w:r>
        <w:rPr>
          <w:rFonts w:ascii="Palatino Linotype" w:hAnsi="Palatino Linotype" w:cs="Arial"/>
          <w:i/>
          <w:sz w:val="22"/>
          <w:szCs w:val="22"/>
        </w:rPr>
        <w:t>establece”.(Sic)</w:t>
      </w:r>
    </w:p>
    <w:p w:rsidR="00275567" w:rsidRPr="00851562" w:rsidRDefault="00275567" w:rsidP="00275567">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w:t>
      </w:r>
    </w:p>
    <w:p w:rsidR="00275567" w:rsidRPr="00851562" w:rsidRDefault="00275567" w:rsidP="00275567">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Toda persona en el Estado de México, tiene derecho al libre acceso a la información plural y oportuna, así como a buscar recibir y difundir información e ideas de toda índole por cualquier medio de expresión.</w:t>
      </w:r>
    </w:p>
    <w:p w:rsidR="00275567" w:rsidRPr="00851562" w:rsidRDefault="00275567" w:rsidP="00275567">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w:t>
      </w:r>
    </w:p>
    <w:p w:rsidR="00275567" w:rsidRPr="00851562" w:rsidRDefault="00275567" w:rsidP="00275567">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El derecho a la información será garantizado por el Estado. La ley establecerá las previsiones que permitan asegurar la protección, el respeto y la difusión de este derecho.</w:t>
      </w:r>
    </w:p>
    <w:p w:rsidR="00275567" w:rsidRPr="00851562" w:rsidRDefault="00275567" w:rsidP="00275567">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275567" w:rsidRPr="00851562" w:rsidRDefault="00275567" w:rsidP="00275567">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275567" w:rsidRPr="00851562" w:rsidRDefault="00275567" w:rsidP="00275567">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lastRenderedPageBreak/>
        <w:t>(...)</w:t>
      </w:r>
    </w:p>
    <w:p w:rsidR="00275567" w:rsidRDefault="00275567" w:rsidP="00275567">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w:t>
      </w:r>
      <w:r>
        <w:rPr>
          <w:rFonts w:ascii="Palatino Linotype" w:hAnsi="Palatino Linotype" w:cs="Arial"/>
          <w:i/>
          <w:sz w:val="22"/>
          <w:szCs w:val="22"/>
        </w:rPr>
        <w:t xml:space="preserve">” </w:t>
      </w:r>
      <w:r w:rsidRPr="00851562">
        <w:rPr>
          <w:rFonts w:ascii="Palatino Linotype" w:hAnsi="Palatino Linotype" w:cs="Arial"/>
          <w:i/>
          <w:sz w:val="22"/>
          <w:szCs w:val="22"/>
        </w:rPr>
        <w:t>(...)</w:t>
      </w:r>
    </w:p>
    <w:p w:rsidR="00275567" w:rsidRDefault="00275567" w:rsidP="00275567">
      <w:pPr>
        <w:spacing w:before="240" w:after="240"/>
        <w:ind w:left="567" w:right="474"/>
        <w:contextualSpacing/>
        <w:jc w:val="both"/>
        <w:rPr>
          <w:rFonts w:ascii="Palatino Linotype" w:hAnsi="Palatino Linotype" w:cs="Arial"/>
          <w:i/>
          <w:sz w:val="22"/>
          <w:szCs w:val="22"/>
        </w:rPr>
      </w:pPr>
    </w:p>
    <w:p w:rsidR="00275567" w:rsidRPr="00851562" w:rsidRDefault="00275567" w:rsidP="00275567">
      <w:pPr>
        <w:spacing w:before="240" w:after="240" w:line="360" w:lineRule="auto"/>
        <w:contextualSpacing/>
        <w:jc w:val="both"/>
        <w:rPr>
          <w:rFonts w:ascii="Palatino Linotype" w:hAnsi="Palatino Linotype" w:cs="Arial"/>
        </w:rPr>
      </w:pPr>
      <w:r w:rsidRPr="00851562">
        <w:rPr>
          <w:rFonts w:ascii="Palatino Linotype" w:hAnsi="Palatino Linotype" w:cs="Arial"/>
        </w:rPr>
        <w:t>Por otra parte, del contenido del artículo 1</w:t>
      </w:r>
      <w:r>
        <w:rPr>
          <w:rFonts w:ascii="Palatino Linotype" w:hAnsi="Palatino Linotype" w:cs="Arial"/>
        </w:rPr>
        <w:t xml:space="preserve"> </w:t>
      </w:r>
      <w:r w:rsidRPr="00851562">
        <w:rPr>
          <w:rFonts w:ascii="Palatino Linotype" w:hAnsi="Palatino Linotype" w:cs="Arial"/>
        </w:rPr>
        <w:t>de la Constitución Política de los Estados</w:t>
      </w:r>
    </w:p>
    <w:p w:rsidR="00275567" w:rsidRDefault="00275567" w:rsidP="00275567">
      <w:pPr>
        <w:spacing w:before="240" w:after="240" w:line="360" w:lineRule="auto"/>
        <w:contextualSpacing/>
        <w:jc w:val="both"/>
        <w:rPr>
          <w:rFonts w:ascii="Palatino Linotype" w:hAnsi="Palatino Linotype" w:cs="Arial"/>
        </w:rPr>
      </w:pPr>
      <w:r w:rsidRPr="00851562">
        <w:rPr>
          <w:rFonts w:ascii="Palatino Linotype" w:hAnsi="Palatino Linotype" w:cs="Arial"/>
        </w:rPr>
        <w:t>Unidos mexicanos, se destaca lo siguiente:</w:t>
      </w:r>
    </w:p>
    <w:p w:rsidR="00275567" w:rsidRDefault="00275567" w:rsidP="00275567">
      <w:pPr>
        <w:spacing w:before="240" w:after="240" w:line="360" w:lineRule="auto"/>
        <w:contextualSpacing/>
        <w:jc w:val="both"/>
        <w:rPr>
          <w:i/>
          <w:iCs/>
          <w:color w:val="000000"/>
          <w:sz w:val="25"/>
          <w:szCs w:val="25"/>
        </w:rPr>
      </w:pPr>
    </w:p>
    <w:p w:rsidR="00275567" w:rsidRPr="00851562" w:rsidRDefault="00275567" w:rsidP="00275567">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w:t>
      </w:r>
      <w:r w:rsidRPr="00854B1C">
        <w:rPr>
          <w:rFonts w:ascii="Palatino Linotype" w:hAnsi="Palatino Linotype" w:cs="Arial"/>
          <w:b/>
          <w:i/>
          <w:sz w:val="22"/>
          <w:szCs w:val="22"/>
        </w:rPr>
        <w:t xml:space="preserve">Artículo </w:t>
      </w:r>
      <w:r>
        <w:rPr>
          <w:rFonts w:ascii="Palatino Linotype" w:hAnsi="Palatino Linotype" w:cs="Arial"/>
          <w:b/>
          <w:i/>
          <w:sz w:val="22"/>
          <w:szCs w:val="22"/>
        </w:rPr>
        <w:t>1</w:t>
      </w:r>
      <w:r w:rsidRPr="00851562">
        <w:rPr>
          <w:rFonts w:ascii="Palatino Linotype" w:hAnsi="Palatino Linotype" w:cs="Arial"/>
          <w:i/>
          <w:sz w:val="22"/>
          <w:szCs w:val="22"/>
        </w:rPr>
        <w:t xml:space="preserve">. En los Estados Unidos Mexicanos todas las personas gozarán de los derechos humanos reconocidos en esta </w:t>
      </w:r>
      <w:r w:rsidR="00523162">
        <w:rPr>
          <w:rFonts w:ascii="Palatino Linotype" w:hAnsi="Palatino Linotype" w:cs="Arial"/>
          <w:i/>
          <w:sz w:val="22"/>
          <w:szCs w:val="22"/>
        </w:rPr>
        <w:t xml:space="preserve">Constitución y en los tratados </w:t>
      </w:r>
      <w:r w:rsidRPr="00851562">
        <w:rPr>
          <w:rFonts w:ascii="Palatino Linotype" w:hAnsi="Palatino Linotype" w:cs="Arial"/>
          <w:i/>
          <w:sz w:val="22"/>
          <w:szCs w:val="22"/>
        </w:rPr>
        <w:t>interna</w:t>
      </w:r>
      <w:r>
        <w:rPr>
          <w:rFonts w:ascii="Palatino Linotype" w:hAnsi="Palatino Linotype" w:cs="Arial"/>
          <w:i/>
          <w:sz w:val="22"/>
          <w:szCs w:val="22"/>
        </w:rPr>
        <w:t>cionales de los que el Estado Mexicano</w:t>
      </w:r>
      <w:r w:rsidRPr="00851562">
        <w:rPr>
          <w:rFonts w:ascii="Palatino Linotype" w:hAnsi="Palatino Linotype" w:cs="Arial"/>
          <w:i/>
          <w:sz w:val="22"/>
          <w:szCs w:val="22"/>
        </w:rPr>
        <w:t xml:space="preserve"> sea parte, así como de las garantías para su protección, cuyo </w:t>
      </w:r>
      <w:r>
        <w:rPr>
          <w:rFonts w:ascii="Palatino Linotype" w:hAnsi="Palatino Linotype" w:cs="Arial"/>
          <w:i/>
          <w:sz w:val="22"/>
          <w:szCs w:val="22"/>
        </w:rPr>
        <w:t>ejer</w:t>
      </w:r>
      <w:r w:rsidRPr="00851562">
        <w:rPr>
          <w:rFonts w:ascii="Palatino Linotype" w:hAnsi="Palatino Linotype" w:cs="Arial"/>
          <w:i/>
          <w:sz w:val="22"/>
          <w:szCs w:val="22"/>
        </w:rPr>
        <w:t>cicio no podrá restringirse ni suspenderse, salvo en los casos y bajo las condiciones que esta Constitución establece.</w:t>
      </w:r>
    </w:p>
    <w:p w:rsidR="00275567" w:rsidRPr="00851562" w:rsidRDefault="00275567" w:rsidP="00275567">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Las normas relativas a los derechos humanos se interpretarán de conformidad con esta Constitución y con</w:t>
      </w:r>
      <w:r>
        <w:rPr>
          <w:rFonts w:ascii="Palatino Linotype" w:hAnsi="Palatino Linotype" w:cs="Arial"/>
          <w:i/>
          <w:sz w:val="22"/>
          <w:szCs w:val="22"/>
        </w:rPr>
        <w:t xml:space="preserve"> </w:t>
      </w:r>
      <w:r w:rsidRPr="00851562">
        <w:rPr>
          <w:rFonts w:ascii="Palatino Linotype" w:hAnsi="Palatino Linotype" w:cs="Arial"/>
          <w:i/>
          <w:sz w:val="22"/>
          <w:szCs w:val="22"/>
        </w:rPr>
        <w:t>los tratados internacionales de la materia favoreciendo en todo tiempo a las personas la protección más amplia.</w:t>
      </w:r>
    </w:p>
    <w:p w:rsidR="00275567" w:rsidRPr="00851562" w:rsidRDefault="00275567" w:rsidP="00275567">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sidR="00523162">
        <w:rPr>
          <w:rFonts w:ascii="Palatino Linotype" w:hAnsi="Palatino Linotype" w:cs="Arial"/>
          <w:i/>
          <w:sz w:val="22"/>
          <w:szCs w:val="22"/>
        </w:rPr>
        <w:t>(Sic)</w:t>
      </w:r>
    </w:p>
    <w:p w:rsidR="00275567" w:rsidRDefault="00275567" w:rsidP="00275567">
      <w:pPr>
        <w:spacing w:before="240" w:after="240" w:line="360" w:lineRule="auto"/>
        <w:contextualSpacing/>
        <w:jc w:val="both"/>
        <w:rPr>
          <w:rFonts w:eastAsiaTheme="minorHAnsi"/>
          <w:i/>
          <w:iCs/>
          <w:sz w:val="23"/>
          <w:szCs w:val="23"/>
          <w:lang w:val="es-MX" w:eastAsia="en-US"/>
        </w:rPr>
      </w:pPr>
    </w:p>
    <w:p w:rsidR="00275567" w:rsidRDefault="00275567" w:rsidP="00275567">
      <w:pPr>
        <w:spacing w:before="240" w:after="240" w:line="360" w:lineRule="auto"/>
        <w:contextualSpacing/>
        <w:jc w:val="both"/>
        <w:rPr>
          <w:rFonts w:ascii="Palatino Linotype" w:hAnsi="Palatino Linotype" w:cs="Arial"/>
        </w:rPr>
      </w:pPr>
      <w:r>
        <w:rPr>
          <w:rFonts w:ascii="Palatino Linotype" w:hAnsi="Palatino Linotype" w:cs="Arial"/>
        </w:rPr>
        <w:t xml:space="preserve">Esto es, que </w:t>
      </w:r>
      <w:r w:rsidRPr="00851562">
        <w:rPr>
          <w:rFonts w:ascii="Palatino Linotype" w:hAnsi="Palatino Linotype" w:cs="Arial"/>
        </w:rPr>
        <w:t>el derecho humano de acceso a la información pública</w:t>
      </w:r>
      <w:r>
        <w:rPr>
          <w:rFonts w:ascii="Palatino Linotype" w:hAnsi="Palatino Linotype" w:cs="Arial"/>
        </w:rPr>
        <w:t>,</w:t>
      </w:r>
      <w:r w:rsidRPr="00851562">
        <w:rPr>
          <w:rFonts w:ascii="Palatino Linotype" w:hAnsi="Palatino Linotype" w:cs="Arial"/>
        </w:rPr>
        <w:t xml:space="preserve"> se aprecia que toda persona, sin necesidad de acreditar interés alguno o justificar su </w:t>
      </w:r>
      <w:r>
        <w:rPr>
          <w:rFonts w:ascii="Palatino Linotype" w:hAnsi="Palatino Linotype" w:cs="Arial"/>
        </w:rPr>
        <w:t>interposición</w:t>
      </w:r>
      <w:r w:rsidRPr="00851562">
        <w:rPr>
          <w:rFonts w:ascii="Palatino Linotype" w:hAnsi="Palatino Linotype" w:cs="Arial"/>
        </w:rPr>
        <w:t>, deberá tener acceso</w:t>
      </w:r>
      <w:r>
        <w:rPr>
          <w:rFonts w:ascii="Palatino Linotype" w:hAnsi="Palatino Linotype" w:cs="Arial"/>
        </w:rPr>
        <w:t xml:space="preserve"> </w:t>
      </w:r>
      <w:r w:rsidRPr="00AA2C16">
        <w:rPr>
          <w:rFonts w:ascii="Palatino Linotype" w:hAnsi="Palatino Linotype" w:cs="Arial"/>
        </w:rPr>
        <w:t xml:space="preserve">a la información pública, es decir, dicho </w:t>
      </w:r>
      <w:r w:rsidRPr="00854B1C">
        <w:rPr>
          <w:rFonts w:ascii="Palatino Linotype" w:hAnsi="Palatino Linotype" w:cs="Arial"/>
          <w:i/>
        </w:rPr>
        <w:t>derecho fundamental exime a quien lo ejerce</w:t>
      </w:r>
      <w:r w:rsidRPr="00AA2C16">
        <w:rPr>
          <w:rFonts w:ascii="Palatino Linotype" w:hAnsi="Palatino Linotype" w:cs="Arial"/>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FC163C" w:rsidRDefault="00FC163C" w:rsidP="00275567">
      <w:pPr>
        <w:spacing w:before="240" w:after="240" w:line="360" w:lineRule="auto"/>
        <w:contextualSpacing/>
        <w:jc w:val="both"/>
        <w:rPr>
          <w:rFonts w:ascii="Palatino Linotype" w:hAnsi="Palatino Linotype" w:cs="Arial"/>
        </w:rPr>
      </w:pPr>
    </w:p>
    <w:p w:rsidR="00275567" w:rsidRDefault="00B02E01" w:rsidP="00275567">
      <w:pPr>
        <w:spacing w:line="360" w:lineRule="auto"/>
        <w:jc w:val="both"/>
        <w:rPr>
          <w:rFonts w:ascii="Palatino Linotype" w:hAnsi="Palatino Linotype"/>
        </w:rPr>
      </w:pPr>
      <w:r>
        <w:rPr>
          <w:rFonts w:ascii="Palatino Linotype" w:hAnsi="Palatino Linotype"/>
        </w:rPr>
        <w:lastRenderedPageBreak/>
        <w:t>Lo que se fortalece con</w:t>
      </w:r>
      <w:r w:rsidR="00275567" w:rsidRPr="008915FA">
        <w:rPr>
          <w:rFonts w:ascii="Palatino Linotype" w:hAnsi="Palatino Linotype"/>
        </w:rPr>
        <w:t xml:space="preserve"> el Criterio 6/2014 del entonces Instituto Federal de Acceso a la Información y Protección de Datos, ahora Instituto Nacional de Transparencia Acceso a la Información y Protección de Datos Personales, el cual se reproduce para una mayor referencia:</w:t>
      </w:r>
    </w:p>
    <w:p w:rsidR="00060750" w:rsidRDefault="00060750" w:rsidP="00275567">
      <w:pPr>
        <w:spacing w:line="360" w:lineRule="auto"/>
        <w:jc w:val="both"/>
        <w:rPr>
          <w:rFonts w:ascii="Palatino Linotype" w:hAnsi="Palatino Linotype"/>
        </w:rPr>
      </w:pPr>
    </w:p>
    <w:p w:rsidR="00275567" w:rsidRPr="00060750" w:rsidRDefault="00275567" w:rsidP="00275567">
      <w:pPr>
        <w:ind w:left="851" w:right="758"/>
        <w:contextualSpacing/>
        <w:jc w:val="both"/>
        <w:rPr>
          <w:rFonts w:ascii="Palatino Linotype" w:hAnsi="Palatino Linotype"/>
          <w:i/>
          <w:sz w:val="22"/>
          <w:szCs w:val="22"/>
        </w:rPr>
      </w:pPr>
      <w:r w:rsidRPr="00060750">
        <w:rPr>
          <w:rFonts w:ascii="Palatino Linotype" w:hAnsi="Palatino Linotype"/>
          <w:i/>
          <w:sz w:val="22"/>
          <w:szCs w:val="22"/>
        </w:rPr>
        <w:t>“Acceso a información gubernamental. No debe condicionarse a que el solicitante acredite su personalidad, demuestre interés algu</w:t>
      </w:r>
      <w:r w:rsidR="00EA7A3F" w:rsidRPr="00060750">
        <w:rPr>
          <w:rFonts w:ascii="Palatino Linotype" w:hAnsi="Palatino Linotype"/>
          <w:i/>
          <w:sz w:val="22"/>
          <w:szCs w:val="22"/>
        </w:rPr>
        <w:t xml:space="preserve">no o justifique su utilización. </w:t>
      </w:r>
      <w:r w:rsidRPr="00060750">
        <w:rPr>
          <w:rFonts w:ascii="Palatino Linotype" w:hAnsi="Palatino Linotype"/>
          <w:i/>
          <w:sz w:val="22"/>
          <w:szCs w:val="22"/>
        </w:rPr>
        <w:t>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r w:rsidR="00523162" w:rsidRPr="00060750">
        <w:rPr>
          <w:rFonts w:ascii="Palatino Linotype" w:hAnsi="Palatino Linotype"/>
          <w:i/>
          <w:sz w:val="22"/>
          <w:szCs w:val="22"/>
        </w:rPr>
        <w:t>(Sic)</w:t>
      </w:r>
    </w:p>
    <w:p w:rsidR="00275567" w:rsidRDefault="00275567" w:rsidP="00275567">
      <w:pPr>
        <w:ind w:left="851" w:right="758"/>
        <w:contextualSpacing/>
        <w:jc w:val="both"/>
        <w:rPr>
          <w:rFonts w:ascii="Palatino Linotype" w:hAnsi="Palatino Linotype"/>
          <w:i/>
        </w:rPr>
      </w:pPr>
    </w:p>
    <w:p w:rsidR="00275567" w:rsidRDefault="00275567" w:rsidP="00275567">
      <w:pPr>
        <w:spacing w:line="360" w:lineRule="auto"/>
        <w:contextualSpacing/>
        <w:jc w:val="both"/>
        <w:rPr>
          <w:rFonts w:ascii="Palatino Linotype" w:hAnsi="Palatino Linotype"/>
        </w:rPr>
      </w:pPr>
      <w:r w:rsidRPr="008915FA">
        <w:rPr>
          <w:rFonts w:ascii="Palatino Linotype" w:hAnsi="Palatino Linotype"/>
        </w:rPr>
        <w:t>En consecuencia, dado lo expuesto y fundado con anterioridad, se estima que el requisito relativo al nombre del recurrente no constituye un presupuesto indispensable de procedibilidad del Recurso de Revisión, en términos de los artículos 25 de la Convención Americana de Derechos Humanos, 1, párrafos segundo y tercero, 6 apartado A fracción III de la Constitución Política de los Estados Unidos Mexica</w:t>
      </w:r>
      <w:r w:rsidR="00F86B36">
        <w:rPr>
          <w:rFonts w:ascii="Palatino Linotype" w:hAnsi="Palatino Linotype"/>
        </w:rPr>
        <w:t>nos y 5 párrafo vigésimo noveno</w:t>
      </w:r>
      <w:r w:rsidRPr="008915FA">
        <w:rPr>
          <w:rFonts w:ascii="Palatino Linotype" w:hAnsi="Palatino Linotype"/>
        </w:rPr>
        <w:t xml:space="preserve">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w:t>
      </w:r>
      <w:r w:rsidR="00FC163C">
        <w:rPr>
          <w:rFonts w:ascii="Palatino Linotype" w:hAnsi="Palatino Linotype"/>
        </w:rPr>
        <w:t>ctrónicas de los</w:t>
      </w:r>
      <w:r w:rsidRPr="008915FA">
        <w:rPr>
          <w:rFonts w:ascii="Palatino Linotype" w:hAnsi="Palatino Linotype"/>
        </w:rPr>
        <w:t xml:space="preserve"> expediente</w:t>
      </w:r>
      <w:r w:rsidR="00FC163C">
        <w:rPr>
          <w:rFonts w:ascii="Palatino Linotype" w:hAnsi="Palatino Linotype"/>
        </w:rPr>
        <w:t>s</w:t>
      </w:r>
      <w:r w:rsidRPr="008915FA">
        <w:rPr>
          <w:rFonts w:ascii="Palatino Linotype" w:hAnsi="Palatino Linotype"/>
        </w:rPr>
        <w:t xml:space="preserve"> en revisión, de las que se desprende que la parte recurrente, es la misma que realizó la solicitud de acceso a la información pública que ahora se impugna.</w:t>
      </w:r>
    </w:p>
    <w:p w:rsidR="00060750" w:rsidRDefault="00060750" w:rsidP="00060750">
      <w:pPr>
        <w:spacing w:before="240" w:after="240" w:line="360" w:lineRule="auto"/>
        <w:ind w:right="-93"/>
        <w:jc w:val="both"/>
        <w:rPr>
          <w:rFonts w:ascii="Palatino Linotype" w:hAnsi="Palatino Linotype"/>
          <w:color w:val="000000"/>
        </w:rPr>
      </w:pPr>
      <w:r>
        <w:rPr>
          <w:rFonts w:ascii="Palatino Linotype" w:hAnsi="Palatino Linotype"/>
          <w:color w:val="000000"/>
        </w:rPr>
        <w:lastRenderedPageBreak/>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7E6426" w:rsidRDefault="007E6426" w:rsidP="007E6426">
      <w:pPr>
        <w:pStyle w:val="paragraph"/>
        <w:spacing w:before="0" w:beforeAutospacing="0" w:after="0" w:afterAutospacing="0" w:line="360" w:lineRule="auto"/>
        <w:ind w:right="-150"/>
        <w:jc w:val="both"/>
        <w:textAlignment w:val="baseline"/>
        <w:rPr>
          <w:rStyle w:val="normaltextrun"/>
          <w:rFonts w:ascii="Palatino Linotype" w:hAnsi="Palatino Linotype" w:cs="Segoe UI"/>
        </w:rPr>
      </w:pPr>
      <w:r>
        <w:rPr>
          <w:rStyle w:val="normaltextrun"/>
          <w:rFonts w:ascii="Palatino Linotype" w:hAnsi="Palatino Linotype" w:cs="Segoe UI"/>
        </w:rPr>
        <w:t>Ahora bien</w:t>
      </w:r>
      <w:r w:rsidR="00154522">
        <w:rPr>
          <w:rStyle w:val="normaltextrun"/>
          <w:rFonts w:ascii="Palatino Linotype" w:hAnsi="Palatino Linotype" w:cs="Segoe UI"/>
        </w:rPr>
        <w:t>,</w:t>
      </w:r>
      <w:r w:rsidRPr="00911351">
        <w:rPr>
          <w:rStyle w:val="normaltextrun"/>
          <w:rFonts w:ascii="Palatino Linotype" w:hAnsi="Palatino Linotype" w:cs="Segoe UI"/>
        </w:rPr>
        <w:t xml:space="preserve"> resulta</w:t>
      </w:r>
      <w:r w:rsidR="00FC163C">
        <w:rPr>
          <w:rStyle w:val="normaltextrun"/>
          <w:rFonts w:ascii="Palatino Linotype" w:hAnsi="Palatino Linotype" w:cs="Segoe UI"/>
        </w:rPr>
        <w:t xml:space="preserve"> pr</w:t>
      </w:r>
      <w:r w:rsidR="00EA7A3F">
        <w:rPr>
          <w:rStyle w:val="normaltextrun"/>
          <w:rFonts w:ascii="Palatino Linotype" w:hAnsi="Palatino Linotype" w:cs="Segoe UI"/>
        </w:rPr>
        <w:t>ocedente la interposición del</w:t>
      </w:r>
      <w:r w:rsidRPr="00911351">
        <w:rPr>
          <w:rStyle w:val="normaltextrun"/>
          <w:rFonts w:ascii="Palatino Linotype" w:hAnsi="Palatino Linotype" w:cs="Segoe UI"/>
        </w:rPr>
        <w:t xml:space="preserve"> </w:t>
      </w:r>
      <w:r w:rsidR="00854B1C">
        <w:rPr>
          <w:rStyle w:val="normaltextrun"/>
          <w:rFonts w:ascii="Palatino Linotype" w:hAnsi="Palatino Linotype" w:cs="Segoe UI"/>
        </w:rPr>
        <w:t>recurso</w:t>
      </w:r>
      <w:r w:rsidR="00EA7A3F">
        <w:rPr>
          <w:rStyle w:val="normaltextrun"/>
          <w:rFonts w:ascii="Palatino Linotype" w:hAnsi="Palatino Linotype" w:cs="Segoe UI"/>
        </w:rPr>
        <w:t xml:space="preserve"> revisión</w:t>
      </w:r>
      <w:r w:rsidR="00854B1C">
        <w:rPr>
          <w:rStyle w:val="normaltextrun"/>
          <w:rFonts w:ascii="Palatino Linotype" w:hAnsi="Palatino Linotype" w:cs="Segoe UI"/>
        </w:rPr>
        <w:t>, según lo aducido por el</w:t>
      </w:r>
      <w:r w:rsidR="00EA7A3F">
        <w:rPr>
          <w:rStyle w:val="normaltextrun"/>
          <w:rFonts w:ascii="Palatino Linotype" w:hAnsi="Palatino Linotype" w:cs="Segoe UI"/>
        </w:rPr>
        <w:t xml:space="preserve"> recurrente en su acto impugnado como en sus</w:t>
      </w:r>
      <w:r w:rsidRPr="00911351">
        <w:rPr>
          <w:rStyle w:val="normaltextrun"/>
          <w:rFonts w:ascii="Palatino Linotype" w:hAnsi="Palatino Linotype" w:cs="Segoe UI"/>
        </w:rPr>
        <w:t xml:space="preserve"> motivos de inconformidad, de acuerdo al artículo</w:t>
      </w:r>
      <w:r>
        <w:rPr>
          <w:rStyle w:val="apple-converted-space"/>
          <w:rFonts w:ascii="Palatino Linotype" w:hAnsi="Palatino Linotype" w:cs="Segoe UI"/>
        </w:rPr>
        <w:t xml:space="preserve"> </w:t>
      </w:r>
      <w:r w:rsidR="00154522">
        <w:rPr>
          <w:rStyle w:val="normaltextrun"/>
          <w:rFonts w:ascii="Palatino Linotype" w:hAnsi="Palatino Linotype" w:cs="Segoe UI"/>
        </w:rPr>
        <w:t xml:space="preserve">179 </w:t>
      </w:r>
      <w:r w:rsidR="00AA111E">
        <w:rPr>
          <w:rStyle w:val="normaltextrun"/>
          <w:rFonts w:ascii="Palatino Linotype" w:hAnsi="Palatino Linotype" w:cs="Segoe UI"/>
        </w:rPr>
        <w:t>fracción</w:t>
      </w:r>
      <w:r w:rsidR="00154522">
        <w:rPr>
          <w:rStyle w:val="normaltextrun"/>
          <w:rFonts w:ascii="Palatino Linotype" w:hAnsi="Palatino Linotype" w:cs="Segoe UI"/>
        </w:rPr>
        <w:t xml:space="preserve"> V</w:t>
      </w:r>
      <w:r w:rsidR="005A3B9D">
        <w:rPr>
          <w:rStyle w:val="normaltextrun"/>
          <w:rFonts w:ascii="Palatino Linotype" w:hAnsi="Palatino Linotype" w:cs="Segoe UI"/>
        </w:rPr>
        <w:t xml:space="preserve"> </w:t>
      </w:r>
      <w:r>
        <w:rPr>
          <w:rStyle w:val="normaltextrun"/>
          <w:rFonts w:ascii="Palatino Linotype" w:hAnsi="Palatino Linotype" w:cs="Segoe UI"/>
        </w:rPr>
        <w:t xml:space="preserve">de la </w:t>
      </w:r>
      <w:r w:rsidRPr="00911351">
        <w:rPr>
          <w:rStyle w:val="normaltextrun"/>
          <w:rFonts w:ascii="Palatino Linotype" w:hAnsi="Palatino Linotype" w:cs="Segoe UI"/>
        </w:rPr>
        <w:t>Ley de Transparencia y Acceso a la Información Pública del Estado de México y Municipios</w:t>
      </w:r>
      <w:r>
        <w:rPr>
          <w:rStyle w:val="normaltextrun"/>
          <w:rFonts w:ascii="Palatino Linotype" w:hAnsi="Palatino Linotype" w:cs="Segoe UI"/>
        </w:rPr>
        <w:t>;</w:t>
      </w:r>
      <w:r w:rsidRPr="00911351">
        <w:rPr>
          <w:rStyle w:val="normaltextrun"/>
          <w:rFonts w:ascii="Palatino Linotype" w:hAnsi="Palatino Linotype" w:cs="Segoe UI"/>
        </w:rPr>
        <w:t xml:space="preserve"> que a la letra dice:</w:t>
      </w:r>
    </w:p>
    <w:p w:rsidR="00154522" w:rsidRDefault="00154522" w:rsidP="007E6426">
      <w:pPr>
        <w:pStyle w:val="paragraph"/>
        <w:spacing w:before="0" w:beforeAutospacing="0" w:after="0" w:afterAutospacing="0" w:line="360" w:lineRule="auto"/>
        <w:ind w:right="-150"/>
        <w:jc w:val="both"/>
        <w:textAlignment w:val="baseline"/>
        <w:rPr>
          <w:rStyle w:val="eop"/>
          <w:rFonts w:ascii="Palatino Linotype" w:hAnsi="Palatino Linotype" w:cs="Segoe UI"/>
        </w:rPr>
      </w:pPr>
    </w:p>
    <w:p w:rsidR="007E6426" w:rsidRDefault="007E6426" w:rsidP="00154522">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911351">
        <w:rPr>
          <w:rStyle w:val="normaltextrun"/>
          <w:rFonts w:ascii="Palatino Linotype" w:hAnsi="Palatino Linotype" w:cs="Segoe UI"/>
          <w:b/>
          <w:bCs/>
          <w:i/>
          <w:iCs/>
          <w:sz w:val="22"/>
          <w:szCs w:val="22"/>
        </w:rPr>
        <w:t>“</w:t>
      </w:r>
      <w:r w:rsidRPr="00911351">
        <w:rPr>
          <w:rFonts w:ascii="Palatino Linotype" w:hAnsi="Palatino Linotype"/>
          <w:b/>
          <w:i/>
          <w:sz w:val="22"/>
          <w:szCs w:val="22"/>
        </w:rPr>
        <w:t>Artículo 179</w:t>
      </w:r>
      <w:r w:rsidRPr="00911351">
        <w:rPr>
          <w:rFonts w:ascii="Palatino Linotype" w:hAnsi="Palatino Linotype"/>
          <w:i/>
          <w:sz w:val="22"/>
          <w:szCs w:val="22"/>
        </w:rPr>
        <w:t xml:space="preserve">. </w:t>
      </w:r>
      <w:r w:rsidRPr="00911351">
        <w:rPr>
          <w:rFonts w:ascii="Palatino Linotype" w:hAnsi="Palatino Linotype"/>
          <w:b/>
          <w:i/>
          <w:sz w:val="22"/>
          <w:szCs w:val="22"/>
        </w:rPr>
        <w:t>El recurso de revisión</w:t>
      </w:r>
      <w:r w:rsidRPr="00911351">
        <w:rPr>
          <w:rFonts w:ascii="Palatino Linotype" w:hAnsi="Palatino Linotype"/>
          <w:i/>
          <w:sz w:val="22"/>
          <w:szCs w:val="22"/>
        </w:rPr>
        <w:t xml:space="preserve"> es un medio de protección que la Ley otorga a los particulares, para hacer valer su derecho de acceso a la información pública</w:t>
      </w:r>
      <w:r w:rsidRPr="00911351">
        <w:rPr>
          <w:rFonts w:ascii="Palatino Linotype" w:hAnsi="Palatino Linotype"/>
          <w:b/>
          <w:i/>
          <w:sz w:val="22"/>
          <w:szCs w:val="22"/>
        </w:rPr>
        <w:t>, y procederá en contra de las siguientes causas</w:t>
      </w:r>
      <w:r w:rsidRPr="00911351">
        <w:rPr>
          <w:rFonts w:ascii="Palatino Linotype" w:hAnsi="Palatino Linotype"/>
          <w:i/>
          <w:sz w:val="22"/>
          <w:szCs w:val="22"/>
        </w:rPr>
        <w:t>:</w:t>
      </w:r>
    </w:p>
    <w:p w:rsidR="00154522" w:rsidRPr="00911351" w:rsidRDefault="00154522" w:rsidP="00154522">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t>…</w:t>
      </w:r>
    </w:p>
    <w:p w:rsidR="007E6426" w:rsidRDefault="00154522" w:rsidP="00AA111E">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154522">
        <w:rPr>
          <w:rFonts w:ascii="Palatino Linotype" w:hAnsi="Palatino Linotype"/>
          <w:i/>
          <w:sz w:val="22"/>
          <w:szCs w:val="22"/>
        </w:rPr>
        <w:t>V. La entrega de información incompleta</w:t>
      </w:r>
      <w:r w:rsidR="00AA111E">
        <w:rPr>
          <w:rFonts w:ascii="Palatino Linotype" w:hAnsi="Palatino Linotype"/>
          <w:i/>
          <w:sz w:val="22"/>
          <w:szCs w:val="22"/>
        </w:rPr>
        <w:t>…</w:t>
      </w:r>
      <w:r w:rsidR="00854B1C">
        <w:rPr>
          <w:rFonts w:ascii="Palatino Linotype" w:hAnsi="Palatino Linotype"/>
          <w:i/>
          <w:sz w:val="22"/>
          <w:szCs w:val="22"/>
        </w:rPr>
        <w:t>” (</w:t>
      </w:r>
      <w:r w:rsidR="007E6426">
        <w:rPr>
          <w:rFonts w:ascii="Palatino Linotype" w:hAnsi="Palatino Linotype"/>
          <w:i/>
          <w:sz w:val="22"/>
          <w:szCs w:val="22"/>
        </w:rPr>
        <w:t>Sic)</w:t>
      </w:r>
    </w:p>
    <w:p w:rsidR="00854B1C" w:rsidRDefault="00854B1C" w:rsidP="00E115C4">
      <w:pPr>
        <w:pStyle w:val="paragraph"/>
        <w:spacing w:before="240" w:beforeAutospacing="0" w:after="240" w:afterAutospacing="0" w:line="360" w:lineRule="auto"/>
        <w:ind w:right="-91"/>
        <w:contextualSpacing/>
        <w:jc w:val="both"/>
        <w:textAlignment w:val="baseline"/>
        <w:rPr>
          <w:rFonts w:ascii="Palatino Linotype" w:hAnsi="Palatino Linotype"/>
          <w:b/>
          <w:i/>
          <w:sz w:val="22"/>
          <w:szCs w:val="22"/>
        </w:rPr>
      </w:pPr>
    </w:p>
    <w:p w:rsidR="002E5396" w:rsidRPr="00AA23D5" w:rsidRDefault="002E5396" w:rsidP="002E5396">
      <w:pPr>
        <w:pStyle w:val="paragraph"/>
        <w:spacing w:before="0" w:beforeAutospacing="0" w:after="240" w:afterAutospacing="0" w:line="360" w:lineRule="auto"/>
        <w:ind w:right="-150"/>
        <w:jc w:val="both"/>
        <w:textAlignment w:val="baseline"/>
        <w:rPr>
          <w:rStyle w:val="normaltextrun"/>
          <w:rFonts w:ascii="Palatino Linotype" w:hAnsi="Palatino Linotype" w:cs="Segoe UI"/>
        </w:rPr>
      </w:pPr>
      <w:r w:rsidRPr="00080788">
        <w:rPr>
          <w:rFonts w:ascii="Palatino Linotype" w:hAnsi="Palatino Linotype" w:cs="Arial"/>
          <w:b/>
        </w:rPr>
        <w:t>Tercero. Materia de Revisión</w:t>
      </w:r>
      <w:r w:rsidRPr="00080788">
        <w:rPr>
          <w:rFonts w:ascii="Palatino Linotype" w:hAnsi="Palatino Linotype" w:cs="Arial"/>
        </w:rPr>
        <w:t xml:space="preserve">: </w:t>
      </w:r>
      <w:r w:rsidRPr="00AA23D5">
        <w:rPr>
          <w:rStyle w:val="normaltextrun"/>
          <w:rFonts w:ascii="Palatino Linotype" w:hAnsi="Palatino Linotype" w:cs="Segoe UI"/>
        </w:rPr>
        <w:t>Con base en</w:t>
      </w:r>
      <w:r w:rsidR="00FC163C">
        <w:rPr>
          <w:rStyle w:val="normaltextrun"/>
          <w:rFonts w:ascii="Palatino Linotype" w:hAnsi="Palatino Linotype" w:cs="Segoe UI"/>
        </w:rPr>
        <w:t xml:space="preserve"> </w:t>
      </w:r>
      <w:r w:rsidR="00060750">
        <w:rPr>
          <w:rStyle w:val="normaltextrun"/>
          <w:rFonts w:ascii="Palatino Linotype" w:hAnsi="Palatino Linotype" w:cs="Segoe UI"/>
        </w:rPr>
        <w:t>las constancias que obran en el</w:t>
      </w:r>
      <w:r w:rsidRPr="00AA23D5">
        <w:rPr>
          <w:rStyle w:val="normaltextrun"/>
          <w:rFonts w:ascii="Palatino Linotype" w:hAnsi="Palatino Linotype" w:cs="Segoe UI"/>
        </w:rPr>
        <w:t xml:space="preserve"> expediente que se actúa</w:t>
      </w:r>
      <w:r w:rsidR="00FC163C">
        <w:rPr>
          <w:rStyle w:val="normaltextrun"/>
          <w:rFonts w:ascii="Palatino Linotype" w:hAnsi="Palatino Linotype" w:cs="Segoe UI"/>
        </w:rPr>
        <w:t>n</w:t>
      </w:r>
      <w:r w:rsidRPr="00AA23D5">
        <w:rPr>
          <w:rStyle w:val="normaltextrun"/>
          <w:rFonts w:ascii="Palatino Linotype" w:hAnsi="Palatino Linotype" w:cs="Segoe UI"/>
        </w:rPr>
        <w:t xml:space="preserve">, este Instituto tiene la convicción de que la presente resolución tiene como objetivo central determinar si la respuesta </w:t>
      </w:r>
      <w:r w:rsidR="00AA111E">
        <w:rPr>
          <w:rStyle w:val="normaltextrun"/>
          <w:rFonts w:ascii="Palatino Linotype" w:hAnsi="Palatino Linotype" w:cs="Segoe UI"/>
        </w:rPr>
        <w:t>como el informe justificado proporcionados</w:t>
      </w:r>
      <w:r w:rsidR="00CD1FAF">
        <w:rPr>
          <w:rStyle w:val="normaltextrun"/>
          <w:rFonts w:ascii="Palatino Linotype" w:hAnsi="Palatino Linotype" w:cs="Segoe UI"/>
        </w:rPr>
        <w:t xml:space="preserve"> </w:t>
      </w:r>
      <w:r w:rsidRPr="00AA23D5">
        <w:rPr>
          <w:rStyle w:val="normaltextrun"/>
          <w:rFonts w:ascii="Palatino Linotype" w:hAnsi="Palatino Linotype" w:cs="Segoe UI"/>
        </w:rPr>
        <w:t xml:space="preserve">por el </w:t>
      </w:r>
      <w:r w:rsidR="00AA23D5" w:rsidRPr="00AA23D5">
        <w:rPr>
          <w:rStyle w:val="normaltextrun"/>
          <w:rFonts w:ascii="Palatino Linotype" w:hAnsi="Palatino Linotype" w:cs="Segoe UI"/>
        </w:rPr>
        <w:t>Sujeto Obligado</w:t>
      </w:r>
      <w:r w:rsidR="00AA111E">
        <w:rPr>
          <w:rStyle w:val="normaltextrun"/>
          <w:rFonts w:ascii="Palatino Linotype" w:hAnsi="Palatino Linotype" w:cs="Segoe UI"/>
        </w:rPr>
        <w:t>, son correctos</w:t>
      </w:r>
      <w:r w:rsidRPr="00AA23D5">
        <w:rPr>
          <w:rStyle w:val="normaltextrun"/>
          <w:rFonts w:ascii="Palatino Linotype" w:hAnsi="Palatino Linotype" w:cs="Segoe UI"/>
        </w:rPr>
        <w:t xml:space="preserve"> y suficiente</w:t>
      </w:r>
      <w:r w:rsidR="00AA111E">
        <w:rPr>
          <w:rStyle w:val="normaltextrun"/>
          <w:rFonts w:ascii="Palatino Linotype" w:hAnsi="Palatino Linotype" w:cs="Segoe UI"/>
        </w:rPr>
        <w:t>s</w:t>
      </w:r>
      <w:r w:rsidRPr="00AA23D5">
        <w:rPr>
          <w:rStyle w:val="normaltextrun"/>
          <w:rFonts w:ascii="Palatino Linotype" w:hAnsi="Palatino Linotype" w:cs="Segoe UI"/>
        </w:rPr>
        <w:t xml:space="preserve"> para tener por atendida la solicitud de acceso a la información.</w:t>
      </w:r>
    </w:p>
    <w:p w:rsidR="00060750" w:rsidRDefault="002E5396" w:rsidP="002E5396">
      <w:pPr>
        <w:spacing w:before="240" w:after="240" w:line="360" w:lineRule="auto"/>
        <w:jc w:val="both"/>
        <w:rPr>
          <w:rFonts w:ascii="Palatino Linotype" w:hAnsi="Palatino Linotype"/>
        </w:rPr>
      </w:pPr>
      <w:r w:rsidRPr="00340981">
        <w:rPr>
          <w:rFonts w:ascii="Palatino Linotype" w:hAnsi="Palatino Linotype" w:cs="Arial"/>
          <w:b/>
        </w:rPr>
        <w:t xml:space="preserve">Cuarto. Estudio de fondo del asunto. </w:t>
      </w:r>
      <w:r w:rsidRPr="00DE4E6A">
        <w:rPr>
          <w:rFonts w:ascii="Palatino Linotype" w:hAnsi="Palatino Linotype"/>
        </w:rPr>
        <w:t xml:space="preserve">Del análisis de la solicitud de información motivo del recurso de revisión </w:t>
      </w:r>
      <w:r w:rsidRPr="008E3BFA">
        <w:rPr>
          <w:rFonts w:ascii="Palatino Linotype" w:hAnsi="Palatino Linotype"/>
        </w:rPr>
        <w:t>que ahora se resuelve</w:t>
      </w:r>
      <w:r w:rsidR="00DE4E6A" w:rsidRPr="008E3BFA">
        <w:rPr>
          <w:rFonts w:ascii="Palatino Linotype" w:hAnsi="Palatino Linotype"/>
        </w:rPr>
        <w:t>,</w:t>
      </w:r>
      <w:r w:rsidRPr="008E3BFA">
        <w:rPr>
          <w:rFonts w:ascii="Palatino Linotype" w:hAnsi="Palatino Linotype"/>
        </w:rPr>
        <w:t xml:space="preserve"> se advier</w:t>
      </w:r>
      <w:r w:rsidR="00AA23D5" w:rsidRPr="008E3BFA">
        <w:rPr>
          <w:rFonts w:ascii="Palatino Linotype" w:hAnsi="Palatino Linotype"/>
        </w:rPr>
        <w:t>te</w:t>
      </w:r>
      <w:r w:rsidR="00AA111E">
        <w:rPr>
          <w:rFonts w:ascii="Palatino Linotype" w:hAnsi="Palatino Linotype"/>
        </w:rPr>
        <w:t xml:space="preserve"> que el particular requirió </w:t>
      </w:r>
      <w:r w:rsidR="00060750">
        <w:rPr>
          <w:rFonts w:ascii="Palatino Linotype" w:hAnsi="Palatino Linotype"/>
        </w:rPr>
        <w:t>la información referente a los recursos otorgados a el Gobierno de Toluca y Naucalpan, por parte del Gobierno del Estado de México a través de la Secretaría de Finanzas del Estado de México, conforme a lo siguiente:</w:t>
      </w:r>
    </w:p>
    <w:p w:rsidR="00840054" w:rsidRDefault="00AA111E" w:rsidP="000B5146">
      <w:pPr>
        <w:pStyle w:val="Prrafodelista"/>
        <w:numPr>
          <w:ilvl w:val="0"/>
          <w:numId w:val="4"/>
        </w:numPr>
        <w:spacing w:before="240" w:after="240" w:line="360" w:lineRule="auto"/>
        <w:jc w:val="both"/>
        <w:rPr>
          <w:rFonts w:ascii="Palatino Linotype" w:hAnsi="Palatino Linotype"/>
        </w:rPr>
      </w:pPr>
      <w:r w:rsidRPr="00840054">
        <w:rPr>
          <w:rFonts w:ascii="Palatino Linotype" w:hAnsi="Palatino Linotype"/>
        </w:rPr>
        <w:lastRenderedPageBreak/>
        <w:t xml:space="preserve">Las Participaciones </w:t>
      </w:r>
      <w:r w:rsidR="00840054" w:rsidRPr="00840054">
        <w:rPr>
          <w:rFonts w:ascii="Palatino Linotype" w:hAnsi="Palatino Linotype"/>
        </w:rPr>
        <w:t>y Aportaciones que le correspondía a estos d</w:t>
      </w:r>
      <w:r w:rsidRPr="00840054">
        <w:rPr>
          <w:rFonts w:ascii="Palatino Linotype" w:hAnsi="Palatino Linotype"/>
        </w:rPr>
        <w:t xml:space="preserve">os </w:t>
      </w:r>
      <w:r w:rsidR="00840054" w:rsidRPr="00840054">
        <w:rPr>
          <w:rFonts w:ascii="Palatino Linotype" w:hAnsi="Palatino Linotype"/>
        </w:rPr>
        <w:t>Municipios por Cualquier Fondo o Concepto desde 2013 a</w:t>
      </w:r>
      <w:r w:rsidR="00887DED" w:rsidRPr="00840054">
        <w:rPr>
          <w:rFonts w:ascii="Palatino Linotype" w:hAnsi="Palatino Linotype"/>
        </w:rPr>
        <w:t xml:space="preserve"> </w:t>
      </w:r>
      <w:r w:rsidR="00840054" w:rsidRPr="00840054">
        <w:rPr>
          <w:rFonts w:ascii="Palatino Linotype" w:hAnsi="Palatino Linotype"/>
        </w:rPr>
        <w:t>la f</w:t>
      </w:r>
      <w:r w:rsidRPr="00840054">
        <w:rPr>
          <w:rFonts w:ascii="Palatino Linotype" w:hAnsi="Palatino Linotype"/>
        </w:rPr>
        <w:t xml:space="preserve">echa. </w:t>
      </w:r>
    </w:p>
    <w:p w:rsidR="00840054" w:rsidRDefault="00AA111E" w:rsidP="000B5146">
      <w:pPr>
        <w:pStyle w:val="Prrafodelista"/>
        <w:numPr>
          <w:ilvl w:val="0"/>
          <w:numId w:val="4"/>
        </w:numPr>
        <w:spacing w:before="240" w:after="240" w:line="360" w:lineRule="auto"/>
        <w:jc w:val="both"/>
        <w:rPr>
          <w:rFonts w:ascii="Palatino Linotype" w:hAnsi="Palatino Linotype"/>
        </w:rPr>
      </w:pPr>
      <w:r w:rsidRPr="00840054">
        <w:rPr>
          <w:rFonts w:ascii="Palatino Linotype" w:hAnsi="Palatino Linotype"/>
        </w:rPr>
        <w:t>Las Participaciones Federal</w:t>
      </w:r>
      <w:r w:rsidR="00840054" w:rsidRPr="00840054">
        <w:rPr>
          <w:rFonts w:ascii="Palatino Linotype" w:hAnsi="Palatino Linotype"/>
        </w:rPr>
        <w:t>es que se han entregado o trasferido en efectivo o a Bancos de estos Municipios d</w:t>
      </w:r>
      <w:r w:rsidRPr="00840054">
        <w:rPr>
          <w:rFonts w:ascii="Palatino Linotype" w:hAnsi="Palatino Linotype"/>
        </w:rPr>
        <w:t xml:space="preserve">esde </w:t>
      </w:r>
      <w:r w:rsidR="00840054" w:rsidRPr="00840054">
        <w:rPr>
          <w:rFonts w:ascii="Palatino Linotype" w:hAnsi="Palatino Linotype"/>
        </w:rPr>
        <w:t>2013 a la f</w:t>
      </w:r>
      <w:r w:rsidRPr="00840054">
        <w:rPr>
          <w:rFonts w:ascii="Palatino Linotype" w:hAnsi="Palatino Linotype"/>
        </w:rPr>
        <w:t xml:space="preserve">echa. </w:t>
      </w:r>
    </w:p>
    <w:p w:rsidR="00840054" w:rsidRDefault="00840054" w:rsidP="000B5146">
      <w:pPr>
        <w:pStyle w:val="Prrafodelista"/>
        <w:numPr>
          <w:ilvl w:val="0"/>
          <w:numId w:val="4"/>
        </w:numPr>
        <w:spacing w:before="240" w:after="240" w:line="360" w:lineRule="auto"/>
        <w:jc w:val="both"/>
        <w:rPr>
          <w:rFonts w:ascii="Palatino Linotype" w:hAnsi="Palatino Linotype"/>
        </w:rPr>
      </w:pPr>
      <w:r w:rsidRPr="00840054">
        <w:rPr>
          <w:rFonts w:ascii="Palatino Linotype" w:hAnsi="Palatino Linotype"/>
        </w:rPr>
        <w:t>Las Retenciones que se h</w:t>
      </w:r>
      <w:r>
        <w:rPr>
          <w:rFonts w:ascii="Palatino Linotype" w:hAnsi="Palatino Linotype"/>
        </w:rPr>
        <w:t>ayan hecho desde 2013 a la fecha a Toluca y Naucalpan, por conceptos de Adeudos con e</w:t>
      </w:r>
      <w:r w:rsidR="00AA111E" w:rsidRPr="00840054">
        <w:rPr>
          <w:rFonts w:ascii="Palatino Linotype" w:hAnsi="Palatino Linotype"/>
        </w:rPr>
        <w:t>l SAT, ISSE</w:t>
      </w:r>
      <w:r w:rsidR="00A00C46">
        <w:rPr>
          <w:rFonts w:ascii="Palatino Linotype" w:hAnsi="Palatino Linotype"/>
        </w:rPr>
        <w:t xml:space="preserve">MYM, </w:t>
      </w:r>
      <w:r>
        <w:rPr>
          <w:rFonts w:ascii="Palatino Linotype" w:hAnsi="Palatino Linotype"/>
        </w:rPr>
        <w:t xml:space="preserve">ISSTE, CFE, CAEM, </w:t>
      </w:r>
      <w:r w:rsidR="00A00C46">
        <w:rPr>
          <w:rFonts w:ascii="Palatino Linotype" w:hAnsi="Palatino Linotype"/>
        </w:rPr>
        <w:t>CONAGUA</w:t>
      </w:r>
      <w:r>
        <w:rPr>
          <w:rFonts w:ascii="Palatino Linotype" w:hAnsi="Palatino Linotype"/>
        </w:rPr>
        <w:t>, cumplimientos de Deuda Bancaria u cualquier otro Concepto, exhibiendo para esto los documentos donde de r</w:t>
      </w:r>
      <w:r w:rsidR="00AA111E" w:rsidRPr="00840054">
        <w:rPr>
          <w:rFonts w:ascii="Palatino Linotype" w:hAnsi="Palatino Linotype"/>
        </w:rPr>
        <w:t xml:space="preserve">egistro </w:t>
      </w:r>
      <w:r>
        <w:rPr>
          <w:rFonts w:ascii="Palatino Linotype" w:hAnsi="Palatino Linotype"/>
        </w:rPr>
        <w:t>estas deducciones al r</w:t>
      </w:r>
      <w:r w:rsidR="00AA111E" w:rsidRPr="00840054">
        <w:rPr>
          <w:rFonts w:ascii="Palatino Linotype" w:hAnsi="Palatino Linotype"/>
        </w:rPr>
        <w:t>especto.</w:t>
      </w:r>
    </w:p>
    <w:p w:rsidR="00887DED" w:rsidRDefault="00840054" w:rsidP="000B5146">
      <w:pPr>
        <w:pStyle w:val="Prrafodelista"/>
        <w:numPr>
          <w:ilvl w:val="0"/>
          <w:numId w:val="4"/>
        </w:numPr>
        <w:spacing w:before="240" w:after="240" w:line="360" w:lineRule="auto"/>
        <w:jc w:val="both"/>
        <w:rPr>
          <w:rFonts w:ascii="Palatino Linotype" w:hAnsi="Palatino Linotype"/>
        </w:rPr>
      </w:pPr>
      <w:r>
        <w:rPr>
          <w:rFonts w:ascii="Palatino Linotype" w:hAnsi="Palatino Linotype"/>
        </w:rPr>
        <w:t>Los Registros de Deuda Pública q</w:t>
      </w:r>
      <w:r w:rsidR="00AA111E" w:rsidRPr="00840054">
        <w:rPr>
          <w:rFonts w:ascii="Palatino Linotype" w:hAnsi="Palatino Linotype"/>
        </w:rPr>
        <w:t xml:space="preserve">ue </w:t>
      </w:r>
      <w:r>
        <w:rPr>
          <w:rFonts w:ascii="Palatino Linotype" w:hAnsi="Palatino Linotype"/>
        </w:rPr>
        <w:t>e</w:t>
      </w:r>
      <w:r w:rsidR="00AA111E" w:rsidRPr="00840054">
        <w:rPr>
          <w:rFonts w:ascii="Palatino Linotype" w:hAnsi="Palatino Linotype"/>
        </w:rPr>
        <w:t>stos Municipio</w:t>
      </w:r>
      <w:r>
        <w:rPr>
          <w:rFonts w:ascii="Palatino Linotype" w:hAnsi="Palatino Linotype"/>
        </w:rPr>
        <w:t>s hayan registrado ante el Gobierno del Estado o la Federación, y que tenga en su Poder o haya conocido el</w:t>
      </w:r>
      <w:r w:rsidR="00AA111E" w:rsidRPr="00840054">
        <w:rPr>
          <w:rFonts w:ascii="Palatino Linotype" w:hAnsi="Palatino Linotype"/>
        </w:rPr>
        <w:t xml:space="preserve"> GEM. </w:t>
      </w:r>
    </w:p>
    <w:p w:rsidR="00840054" w:rsidRDefault="00840054" w:rsidP="008E520C">
      <w:pPr>
        <w:pStyle w:val="Prrafodelista"/>
        <w:numPr>
          <w:ilvl w:val="0"/>
          <w:numId w:val="4"/>
        </w:numPr>
        <w:spacing w:before="240" w:after="240" w:line="360" w:lineRule="auto"/>
        <w:jc w:val="both"/>
        <w:rPr>
          <w:rFonts w:ascii="Palatino Linotype" w:hAnsi="Palatino Linotype"/>
        </w:rPr>
      </w:pPr>
      <w:r>
        <w:rPr>
          <w:rFonts w:ascii="Palatino Linotype" w:hAnsi="Palatino Linotype"/>
        </w:rPr>
        <w:t xml:space="preserve">Cuanto le correspondía a estos Municipios desde el 2013 a la fecha y cuanto se les ha entregado efectivamente o retenido. </w:t>
      </w:r>
    </w:p>
    <w:p w:rsidR="00840054" w:rsidRDefault="00840054" w:rsidP="008E520C">
      <w:pPr>
        <w:pStyle w:val="Prrafodelista"/>
        <w:numPr>
          <w:ilvl w:val="0"/>
          <w:numId w:val="4"/>
        </w:numPr>
        <w:spacing w:before="240" w:after="240" w:line="360" w:lineRule="auto"/>
        <w:jc w:val="both"/>
        <w:rPr>
          <w:rFonts w:ascii="Palatino Linotype" w:hAnsi="Palatino Linotype"/>
          <w:color w:val="FF0000"/>
        </w:rPr>
      </w:pPr>
      <w:r w:rsidRPr="00130788">
        <w:rPr>
          <w:rFonts w:ascii="Palatino Linotype" w:hAnsi="Palatino Linotype"/>
        </w:rPr>
        <w:t>Las Auditorias que tenga el GEM, respecto al cumplimiento de la Trasferencia d</w:t>
      </w:r>
      <w:r w:rsidR="00AA111E" w:rsidRPr="00130788">
        <w:rPr>
          <w:rFonts w:ascii="Palatino Linotype" w:hAnsi="Palatino Linotype"/>
        </w:rPr>
        <w:t>e Participac</w:t>
      </w:r>
      <w:r w:rsidRPr="00130788">
        <w:rPr>
          <w:rFonts w:ascii="Palatino Linotype" w:hAnsi="Palatino Linotype"/>
        </w:rPr>
        <w:t xml:space="preserve">iones </w:t>
      </w:r>
      <w:r>
        <w:rPr>
          <w:rFonts w:ascii="Palatino Linotype" w:hAnsi="Palatino Linotype"/>
        </w:rPr>
        <w:t>y Aportaciones Estatales y Federales a</w:t>
      </w:r>
      <w:r w:rsidR="00060750">
        <w:rPr>
          <w:rFonts w:ascii="Palatino Linotype" w:hAnsi="Palatino Linotype"/>
        </w:rPr>
        <w:t xml:space="preserve"> los Municipios, de la Secretarí</w:t>
      </w:r>
      <w:r>
        <w:rPr>
          <w:rFonts w:ascii="Palatino Linotype" w:hAnsi="Palatino Linotype"/>
        </w:rPr>
        <w:t>a de la Contraloría, e</w:t>
      </w:r>
      <w:r w:rsidR="00AA111E" w:rsidRPr="00840054">
        <w:rPr>
          <w:rFonts w:ascii="Palatino Linotype" w:hAnsi="Palatino Linotype"/>
        </w:rPr>
        <w:t xml:space="preserve">l OSFEM </w:t>
      </w:r>
      <w:r>
        <w:rPr>
          <w:rFonts w:ascii="Palatino Linotype" w:hAnsi="Palatino Linotype"/>
        </w:rPr>
        <w:t>y la ASF o l</w:t>
      </w:r>
      <w:r w:rsidR="00060750">
        <w:rPr>
          <w:rFonts w:ascii="Palatino Linotype" w:hAnsi="Palatino Linotype"/>
        </w:rPr>
        <w:t>a Auditorí</w:t>
      </w:r>
      <w:r w:rsidR="00AA111E" w:rsidRPr="00840054">
        <w:rPr>
          <w:rFonts w:ascii="Palatino Linotype" w:hAnsi="Palatino Linotype"/>
        </w:rPr>
        <w:t>a Federa</w:t>
      </w:r>
      <w:r w:rsidR="00060750">
        <w:rPr>
          <w:rFonts w:ascii="Palatino Linotype" w:hAnsi="Palatino Linotype"/>
        </w:rPr>
        <w:t>l Correspondiente, d</w:t>
      </w:r>
      <w:r>
        <w:rPr>
          <w:rFonts w:ascii="Palatino Linotype" w:hAnsi="Palatino Linotype"/>
        </w:rPr>
        <w:t>esde 2013 a la</w:t>
      </w:r>
      <w:r w:rsidR="00060750">
        <w:rPr>
          <w:rFonts w:ascii="Palatino Linotype" w:hAnsi="Palatino Linotype"/>
        </w:rPr>
        <w:t xml:space="preserve"> f</w:t>
      </w:r>
      <w:r w:rsidR="00AA111E" w:rsidRPr="00840054">
        <w:rPr>
          <w:rFonts w:ascii="Palatino Linotype" w:hAnsi="Palatino Linotype"/>
        </w:rPr>
        <w:t xml:space="preserve">echa. </w:t>
      </w:r>
    </w:p>
    <w:p w:rsidR="00130788" w:rsidRPr="00130788" w:rsidRDefault="00840054" w:rsidP="000B5146">
      <w:pPr>
        <w:pStyle w:val="Prrafodelista"/>
        <w:numPr>
          <w:ilvl w:val="0"/>
          <w:numId w:val="4"/>
        </w:numPr>
        <w:spacing w:before="240" w:after="240" w:line="360" w:lineRule="auto"/>
        <w:jc w:val="both"/>
        <w:rPr>
          <w:rFonts w:ascii="Palatino Linotype" w:hAnsi="Palatino Linotype"/>
        </w:rPr>
      </w:pPr>
      <w:r w:rsidRPr="00130788">
        <w:rPr>
          <w:rFonts w:ascii="Palatino Linotype" w:hAnsi="Palatino Linotype"/>
        </w:rPr>
        <w:t>Todos los documentos oficiales que tenga el Gobierno del Estado de México y l</w:t>
      </w:r>
      <w:r w:rsidR="00AA111E" w:rsidRPr="00130788">
        <w:rPr>
          <w:rFonts w:ascii="Palatino Linotype" w:hAnsi="Palatino Linotype"/>
        </w:rPr>
        <w:t xml:space="preserve">os </w:t>
      </w:r>
      <w:r w:rsidR="00060750">
        <w:rPr>
          <w:rFonts w:ascii="Palatino Linotype" w:hAnsi="Palatino Linotype"/>
        </w:rPr>
        <w:t>Municipios en mención respecto a estas a</w:t>
      </w:r>
      <w:r w:rsidRPr="00130788">
        <w:rPr>
          <w:rFonts w:ascii="Palatino Linotype" w:hAnsi="Palatino Linotype"/>
        </w:rPr>
        <w:t>portaciones y</w:t>
      </w:r>
      <w:r w:rsidR="00060750">
        <w:rPr>
          <w:rFonts w:ascii="Palatino Linotype" w:hAnsi="Palatino Linotype"/>
        </w:rPr>
        <w:t xml:space="preserve"> d</w:t>
      </w:r>
      <w:r w:rsidR="00AA111E" w:rsidRPr="00130788">
        <w:rPr>
          <w:rFonts w:ascii="Palatino Linotype" w:hAnsi="Palatino Linotype"/>
        </w:rPr>
        <w:t xml:space="preserve">educciones. </w:t>
      </w:r>
    </w:p>
    <w:p w:rsidR="00130788" w:rsidRPr="00130788" w:rsidRDefault="00060750" w:rsidP="000B5146">
      <w:pPr>
        <w:pStyle w:val="Prrafodelista"/>
        <w:numPr>
          <w:ilvl w:val="0"/>
          <w:numId w:val="4"/>
        </w:numPr>
        <w:spacing w:before="240" w:after="240" w:line="360" w:lineRule="auto"/>
        <w:jc w:val="both"/>
        <w:rPr>
          <w:rFonts w:ascii="Palatino Linotype" w:hAnsi="Palatino Linotype"/>
        </w:rPr>
      </w:pPr>
      <w:r>
        <w:rPr>
          <w:rFonts w:ascii="Palatino Linotype" w:hAnsi="Palatino Linotype"/>
        </w:rPr>
        <w:t>Evidencia que han r</w:t>
      </w:r>
      <w:r w:rsidR="00840054" w:rsidRPr="00130788">
        <w:rPr>
          <w:rFonts w:ascii="Palatino Linotype" w:hAnsi="Palatino Linotype"/>
        </w:rPr>
        <w:t>ecibido po</w:t>
      </w:r>
      <w:r>
        <w:rPr>
          <w:rFonts w:ascii="Palatino Linotype" w:hAnsi="Palatino Linotype"/>
        </w:rPr>
        <w:t>r parte de la Federación estos r</w:t>
      </w:r>
      <w:r w:rsidR="00840054" w:rsidRPr="00130788">
        <w:rPr>
          <w:rFonts w:ascii="Palatino Linotype" w:hAnsi="Palatino Linotype"/>
        </w:rPr>
        <w:t>ecursos en f</w:t>
      </w:r>
      <w:r>
        <w:rPr>
          <w:rFonts w:ascii="Palatino Linotype" w:hAnsi="Palatino Linotype"/>
        </w:rPr>
        <w:t>orma r</w:t>
      </w:r>
      <w:r w:rsidR="00130788" w:rsidRPr="00130788">
        <w:rPr>
          <w:rFonts w:ascii="Palatino Linotype" w:hAnsi="Palatino Linotype"/>
        </w:rPr>
        <w:t>egular.</w:t>
      </w:r>
    </w:p>
    <w:p w:rsidR="00130788" w:rsidRDefault="00130788" w:rsidP="008E520C">
      <w:pPr>
        <w:pStyle w:val="Prrafodelista"/>
        <w:numPr>
          <w:ilvl w:val="0"/>
          <w:numId w:val="4"/>
        </w:numPr>
        <w:spacing w:before="240" w:after="240" w:line="360" w:lineRule="auto"/>
        <w:jc w:val="both"/>
        <w:rPr>
          <w:rFonts w:ascii="Palatino Linotype" w:hAnsi="Palatino Linotype"/>
        </w:rPr>
      </w:pPr>
      <w:r>
        <w:rPr>
          <w:rFonts w:ascii="Palatino Linotype" w:hAnsi="Palatino Linotype"/>
        </w:rPr>
        <w:t>El Cumplimiento o</w:t>
      </w:r>
      <w:r w:rsidR="00AA111E" w:rsidRPr="00840054">
        <w:rPr>
          <w:rFonts w:ascii="Palatino Linotype" w:hAnsi="Palatino Linotype"/>
        </w:rPr>
        <w:t xml:space="preserve"> Regist</w:t>
      </w:r>
      <w:r>
        <w:rPr>
          <w:rFonts w:ascii="Palatino Linotype" w:hAnsi="Palatino Linotype"/>
        </w:rPr>
        <w:t>ros Contables o Bancarios que evidencien que la Cuarta Trasformación ha Cumplido a la Entidad con e</w:t>
      </w:r>
      <w:r w:rsidR="00AA111E" w:rsidRPr="00840054">
        <w:rPr>
          <w:rFonts w:ascii="Palatino Linotype" w:hAnsi="Palatino Linotype"/>
        </w:rPr>
        <w:t>sta Obligación Financiera</w:t>
      </w:r>
    </w:p>
    <w:p w:rsidR="0099311E" w:rsidRPr="00F32BA7" w:rsidRDefault="002E5396" w:rsidP="00130788">
      <w:pPr>
        <w:spacing w:before="240" w:after="240" w:line="360" w:lineRule="auto"/>
        <w:jc w:val="both"/>
        <w:rPr>
          <w:rFonts w:ascii="Palatino Linotype" w:hAnsi="Palatino Linotype"/>
        </w:rPr>
      </w:pPr>
      <w:r w:rsidRPr="00F32BA7">
        <w:rPr>
          <w:rFonts w:ascii="Palatino Linotype" w:hAnsi="Palatino Linotype"/>
        </w:rPr>
        <w:lastRenderedPageBreak/>
        <w:t xml:space="preserve">Por su parte el Sujeto Obligado </w:t>
      </w:r>
      <w:r w:rsidR="00340981" w:rsidRPr="00F32BA7">
        <w:rPr>
          <w:rFonts w:ascii="Palatino Linotype" w:hAnsi="Palatino Linotype"/>
        </w:rPr>
        <w:t>emitió su r</w:t>
      </w:r>
      <w:r w:rsidR="00D642F2" w:rsidRPr="00F32BA7">
        <w:rPr>
          <w:rFonts w:ascii="Palatino Linotype" w:hAnsi="Palatino Linotype"/>
        </w:rPr>
        <w:t xml:space="preserve">espuesta </w:t>
      </w:r>
      <w:r w:rsidR="007B053A" w:rsidRPr="00F32BA7">
        <w:rPr>
          <w:rFonts w:ascii="Palatino Linotype" w:hAnsi="Palatino Linotype"/>
        </w:rPr>
        <w:t>a través de los</w:t>
      </w:r>
      <w:r w:rsidR="002F0E46" w:rsidRPr="00F32BA7">
        <w:rPr>
          <w:rFonts w:ascii="Palatino Linotype" w:hAnsi="Palatino Linotype"/>
        </w:rPr>
        <w:t xml:space="preserve"> siguiente</w:t>
      </w:r>
      <w:r w:rsidR="007B053A" w:rsidRPr="00F32BA7">
        <w:rPr>
          <w:rFonts w:ascii="Palatino Linotype" w:hAnsi="Palatino Linotype"/>
        </w:rPr>
        <w:t>s</w:t>
      </w:r>
      <w:r w:rsidR="002F0E46" w:rsidRPr="00F32BA7">
        <w:rPr>
          <w:rFonts w:ascii="Palatino Linotype" w:hAnsi="Palatino Linotype"/>
        </w:rPr>
        <w:t xml:space="preserve"> archivo</w:t>
      </w:r>
      <w:r w:rsidR="007B053A" w:rsidRPr="00F32BA7">
        <w:rPr>
          <w:rFonts w:ascii="Palatino Linotype" w:hAnsi="Palatino Linotype"/>
        </w:rPr>
        <w:t>s</w:t>
      </w:r>
      <w:r w:rsidR="002F0E46" w:rsidRPr="00F32BA7">
        <w:rPr>
          <w:rFonts w:ascii="Palatino Linotype" w:hAnsi="Palatino Linotype"/>
        </w:rPr>
        <w:t xml:space="preserve"> electrónico</w:t>
      </w:r>
      <w:r w:rsidR="007B053A" w:rsidRPr="00F32BA7">
        <w:rPr>
          <w:rFonts w:ascii="Palatino Linotype" w:hAnsi="Palatino Linotype"/>
        </w:rPr>
        <w:t>s</w:t>
      </w:r>
      <w:r w:rsidR="0099311E" w:rsidRPr="00F32BA7">
        <w:rPr>
          <w:rFonts w:ascii="Palatino Linotype" w:hAnsi="Palatino Linotype"/>
        </w:rPr>
        <w:t>:</w:t>
      </w:r>
    </w:p>
    <w:p w:rsidR="00130788" w:rsidRDefault="00130788" w:rsidP="00130788">
      <w:pPr>
        <w:spacing w:before="240" w:after="240" w:line="360" w:lineRule="auto"/>
        <w:jc w:val="both"/>
        <w:rPr>
          <w:rFonts w:ascii="Palatino Linotype" w:hAnsi="Palatino Linotype" w:cs="Arial"/>
        </w:rPr>
      </w:pPr>
      <w:r>
        <w:rPr>
          <w:rFonts w:ascii="Palatino Linotype" w:hAnsi="Palatino Linotype" w:cs="Arial"/>
        </w:rPr>
        <w:t>“</w:t>
      </w:r>
      <w:hyperlink r:id="rId20" w:tgtFrame="_blank" w:history="1">
        <w:r w:rsidRPr="00FA3441">
          <w:rPr>
            <w:rFonts w:ascii="Palatino Linotype" w:hAnsi="Palatino Linotype"/>
          </w:rPr>
          <w:t>336 Contaduría General Gubernamental.pdf</w:t>
        </w:r>
      </w:hyperlink>
      <w:r>
        <w:rPr>
          <w:rFonts w:ascii="Palatino Linotype" w:hAnsi="Palatino Linotype" w:cs="Arial"/>
        </w:rPr>
        <w:t xml:space="preserve">”, el cual contiene el oficio número 20704002040000L/074/2021, por medio del cual la Contadora General Gubernamental, informó, al Jefe de la UIPPE y Titular de la Unidad de Transparencia, ambos de la Secretaría de Finanzas, respecto a los fondos de aportaciones federales de los 125 Municipios del Estado de México, de los ejercicios fiscales 2013 a 2020, incluidos Naucalpan y Toluca, </w:t>
      </w:r>
      <w:r w:rsidR="00017DD9">
        <w:rPr>
          <w:rFonts w:ascii="Palatino Linotype" w:hAnsi="Palatino Linotype" w:cs="Arial"/>
        </w:rPr>
        <w:t>es información pública y se encuentra disponible para su consulta en la Cuenta Pública del Gobierno, Organismos Auxiliares y Autónomos del Estado de México, en los siguientes enlaces electrónicos:</w:t>
      </w:r>
    </w:p>
    <w:p w:rsidR="00017DD9" w:rsidRDefault="00017DD9" w:rsidP="00130788">
      <w:pPr>
        <w:spacing w:before="240" w:after="240" w:line="360" w:lineRule="auto"/>
        <w:jc w:val="both"/>
        <w:rPr>
          <w:rFonts w:ascii="Palatino Linotype" w:hAnsi="Palatino Linotype" w:cs="Arial"/>
        </w:rPr>
      </w:pPr>
      <w:r>
        <w:rPr>
          <w:noProof/>
          <w:lang w:val="es-MX" w:eastAsia="es-MX"/>
        </w:rPr>
        <w:drawing>
          <wp:inline distT="0" distB="0" distL="0" distR="0" wp14:anchorId="175F4CBF" wp14:editId="6B78D124">
            <wp:extent cx="5656820" cy="2416629"/>
            <wp:effectExtent l="0" t="0" r="127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7990" t="50225" r="22648" b="13263"/>
                    <a:stretch/>
                  </pic:blipFill>
                  <pic:spPr bwMode="auto">
                    <a:xfrm>
                      <a:off x="0" y="0"/>
                      <a:ext cx="5694003" cy="2432514"/>
                    </a:xfrm>
                    <a:prstGeom prst="rect">
                      <a:avLst/>
                    </a:prstGeom>
                    <a:ln>
                      <a:noFill/>
                    </a:ln>
                    <a:extLst>
                      <a:ext uri="{53640926-AAD7-44D8-BBD7-CCE9431645EC}">
                        <a14:shadowObscured xmlns:a14="http://schemas.microsoft.com/office/drawing/2010/main"/>
                      </a:ext>
                    </a:extLst>
                  </pic:spPr>
                </pic:pic>
              </a:graphicData>
            </a:graphic>
          </wp:inline>
        </w:drawing>
      </w:r>
    </w:p>
    <w:p w:rsidR="00017DD9" w:rsidRDefault="00017DD9" w:rsidP="00130788">
      <w:pPr>
        <w:spacing w:before="240" w:after="240" w:line="360" w:lineRule="auto"/>
        <w:jc w:val="both"/>
        <w:rPr>
          <w:rFonts w:ascii="Palatino Linotype" w:hAnsi="Palatino Linotype" w:cs="Arial"/>
        </w:rPr>
      </w:pPr>
      <w:r>
        <w:rPr>
          <w:rFonts w:ascii="Palatino Linotype" w:hAnsi="Palatino Linotype" w:cs="Arial"/>
        </w:rPr>
        <w:t>Por otro lado agregó, que los recursos son entregados a cada municipio conforme al fundamento legal que señala en su respuesta.</w:t>
      </w:r>
    </w:p>
    <w:p w:rsidR="00017DD9" w:rsidRDefault="00017DD9" w:rsidP="00130788">
      <w:pPr>
        <w:spacing w:before="240" w:after="240" w:line="360" w:lineRule="auto"/>
        <w:jc w:val="both"/>
        <w:rPr>
          <w:rFonts w:ascii="Palatino Linotype" w:hAnsi="Palatino Linotype" w:cs="Arial"/>
        </w:rPr>
      </w:pPr>
      <w:r>
        <w:rPr>
          <w:rFonts w:ascii="Palatino Linotype" w:hAnsi="Palatino Linotype" w:cs="Arial"/>
        </w:rPr>
        <w:t xml:space="preserve">Por último señaló, que lo referente al ejercicio fiscal en curso, puede ser consultado en el acuerdo por el que se da conocer el calendario de entrega, porcentaje, formulas </w:t>
      </w:r>
      <w:r>
        <w:rPr>
          <w:rFonts w:ascii="Palatino Linotype" w:hAnsi="Palatino Linotype" w:cs="Arial"/>
        </w:rPr>
        <w:lastRenderedPageBreak/>
        <w:t>y variables utilizadas, así como los montos estimados que recibiría cada municipio por concepto de participaciones federales y estatales, para el ejercicio fiscal 2021, publicado en la gaceta del Gobierno del Estado de México de fecha 15 de febrero 2021, proporcionado el siguiente enlace electrónico:</w:t>
      </w:r>
    </w:p>
    <w:p w:rsidR="00017DD9" w:rsidRDefault="00017DD9" w:rsidP="00130788">
      <w:pPr>
        <w:spacing w:before="240" w:after="240" w:line="360" w:lineRule="auto"/>
        <w:jc w:val="both"/>
        <w:rPr>
          <w:rFonts w:ascii="Palatino Linotype" w:hAnsi="Palatino Linotype" w:cs="Arial"/>
        </w:rPr>
      </w:pPr>
      <w:r>
        <w:rPr>
          <w:noProof/>
          <w:lang w:val="es-MX" w:eastAsia="es-MX"/>
        </w:rPr>
        <w:drawing>
          <wp:inline distT="0" distB="0" distL="0" distR="0" wp14:anchorId="36996A61" wp14:editId="70B82D4D">
            <wp:extent cx="5598795" cy="665018"/>
            <wp:effectExtent l="0" t="0" r="190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7989" t="90102" r="22866" b="4055"/>
                    <a:stretch/>
                  </pic:blipFill>
                  <pic:spPr bwMode="auto">
                    <a:xfrm>
                      <a:off x="0" y="0"/>
                      <a:ext cx="5674224" cy="673977"/>
                    </a:xfrm>
                    <a:prstGeom prst="rect">
                      <a:avLst/>
                    </a:prstGeom>
                    <a:ln>
                      <a:noFill/>
                    </a:ln>
                    <a:extLst>
                      <a:ext uri="{53640926-AAD7-44D8-BBD7-CCE9431645EC}">
                        <a14:shadowObscured xmlns:a14="http://schemas.microsoft.com/office/drawing/2010/main"/>
                      </a:ext>
                    </a:extLst>
                  </pic:spPr>
                </pic:pic>
              </a:graphicData>
            </a:graphic>
          </wp:inline>
        </w:drawing>
      </w:r>
    </w:p>
    <w:p w:rsidR="00017DD9" w:rsidRDefault="00017DD9" w:rsidP="00130788">
      <w:pPr>
        <w:spacing w:before="240" w:after="240" w:line="360" w:lineRule="auto"/>
        <w:jc w:val="both"/>
        <w:rPr>
          <w:rFonts w:ascii="Palatino Linotype" w:hAnsi="Palatino Linotype" w:cs="Arial"/>
        </w:rPr>
      </w:pPr>
      <w:r>
        <w:rPr>
          <w:rFonts w:ascii="Palatino Linotype" w:hAnsi="Palatino Linotype" w:cs="Arial"/>
        </w:rPr>
        <w:t xml:space="preserve">Y que dicha información fue consultada por última vez el dos de agosto del 2021, por medio del navegador “google Chrome”. </w:t>
      </w:r>
    </w:p>
    <w:p w:rsidR="00130788" w:rsidRDefault="00130788" w:rsidP="00130788">
      <w:pPr>
        <w:spacing w:before="240" w:after="240" w:line="360" w:lineRule="auto"/>
        <w:jc w:val="both"/>
        <w:rPr>
          <w:rFonts w:ascii="Palatino Linotype" w:hAnsi="Palatino Linotype" w:cs="Arial"/>
        </w:rPr>
      </w:pPr>
      <w:r>
        <w:rPr>
          <w:rFonts w:ascii="Palatino Linotype" w:hAnsi="Palatino Linotype" w:cs="Arial"/>
        </w:rPr>
        <w:t>“</w:t>
      </w:r>
      <w:hyperlink r:id="rId23" w:tgtFrame="_blank" w:history="1">
        <w:r w:rsidRPr="00FA3441">
          <w:rPr>
            <w:rFonts w:ascii="Palatino Linotype" w:hAnsi="Palatino Linotype"/>
          </w:rPr>
          <w:t>336 DG Política Fiscal.pdf</w:t>
        </w:r>
      </w:hyperlink>
      <w:r>
        <w:rPr>
          <w:rFonts w:ascii="Palatino Linotype" w:hAnsi="Palatino Linotype" w:cs="Arial"/>
        </w:rPr>
        <w:t xml:space="preserve">”, </w:t>
      </w:r>
      <w:r w:rsidR="00017DD9">
        <w:rPr>
          <w:rFonts w:ascii="Palatino Linotype" w:hAnsi="Palatino Linotype" w:cs="Arial"/>
        </w:rPr>
        <w:t xml:space="preserve">el cual contiene el oficio número </w:t>
      </w:r>
      <w:r w:rsidR="008D7548">
        <w:rPr>
          <w:rFonts w:ascii="Palatino Linotype" w:hAnsi="Palatino Linotype" w:cs="Arial"/>
        </w:rPr>
        <w:t xml:space="preserve">20703003010000L-012/2021, por medio del cual la Dirección General de Política Fiscal, informó al Jefe de la UIPPE y Titular de la Unidad de Transparencia, ambos de la Secretaría de Finanzas, que sobre las participaciones entregadas a los municipios de Toluca y Naucalpan de Juárez en el periodo de 2013 a julio de 2021, pueden ser consultadas en el sitio web de la Secretaría de Finanzas en la sección de participaciones a municipios en el enlace: </w:t>
      </w:r>
      <w:hyperlink r:id="rId24" w:history="1">
        <w:r w:rsidR="008D7548" w:rsidRPr="00C1344D">
          <w:rPr>
            <w:rStyle w:val="Hipervnculo"/>
            <w:rFonts w:ascii="Palatino Linotype" w:hAnsi="Palatino Linotype" w:cs="Arial"/>
          </w:rPr>
          <w:t>https://sfpya.edomexico.gob.mx/participaciones/</w:t>
        </w:r>
      </w:hyperlink>
      <w:r w:rsidR="008D7548">
        <w:rPr>
          <w:rFonts w:ascii="Palatino Linotype" w:hAnsi="Palatino Linotype" w:cs="Arial"/>
        </w:rPr>
        <w:t>.</w:t>
      </w:r>
    </w:p>
    <w:p w:rsidR="008D7548" w:rsidRDefault="00A00C46" w:rsidP="00130788">
      <w:pPr>
        <w:spacing w:before="240" w:after="240" w:line="360" w:lineRule="auto"/>
        <w:jc w:val="both"/>
        <w:rPr>
          <w:rFonts w:ascii="Palatino Linotype" w:hAnsi="Palatino Linotype" w:cs="Arial"/>
        </w:rPr>
      </w:pPr>
      <w:r>
        <w:rPr>
          <w:rFonts w:ascii="Palatino Linotype" w:hAnsi="Palatino Linotype" w:cs="Arial"/>
        </w:rPr>
        <w:t>Respecto de las retenciones, señaló, las que se le han hecho ambos Municipios desde el 2013 y al mes de junio de 2021, al FORTAMUN, por adeudos en materia de agua con CAEM y CONAGUA, son las siguientes:</w:t>
      </w:r>
    </w:p>
    <w:p w:rsidR="008D7548" w:rsidRDefault="00A00C46" w:rsidP="00130788">
      <w:pPr>
        <w:spacing w:before="240" w:after="240" w:line="360" w:lineRule="auto"/>
        <w:jc w:val="both"/>
        <w:rPr>
          <w:rFonts w:ascii="Palatino Linotype" w:hAnsi="Palatino Linotype" w:cs="Arial"/>
        </w:rPr>
      </w:pPr>
      <w:r>
        <w:rPr>
          <w:noProof/>
          <w:lang w:val="es-MX" w:eastAsia="es-MX"/>
        </w:rPr>
        <w:lastRenderedPageBreak/>
        <w:drawing>
          <wp:inline distT="0" distB="0" distL="0" distR="0" wp14:anchorId="68D134B4" wp14:editId="17F31FAA">
            <wp:extent cx="5330434" cy="2755076"/>
            <wp:effectExtent l="0" t="0" r="381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1742" t="24642" r="16628" b="12326"/>
                    <a:stretch/>
                  </pic:blipFill>
                  <pic:spPr bwMode="auto">
                    <a:xfrm>
                      <a:off x="0" y="0"/>
                      <a:ext cx="5362076" cy="2771431"/>
                    </a:xfrm>
                    <a:prstGeom prst="rect">
                      <a:avLst/>
                    </a:prstGeom>
                    <a:ln>
                      <a:noFill/>
                    </a:ln>
                    <a:extLst>
                      <a:ext uri="{53640926-AAD7-44D8-BBD7-CCE9431645EC}">
                        <a14:shadowObscured xmlns:a14="http://schemas.microsoft.com/office/drawing/2010/main"/>
                      </a:ext>
                    </a:extLst>
                  </pic:spPr>
                </pic:pic>
              </a:graphicData>
            </a:graphic>
          </wp:inline>
        </w:drawing>
      </w:r>
    </w:p>
    <w:p w:rsidR="00130788" w:rsidRDefault="00130788" w:rsidP="00130788">
      <w:pPr>
        <w:spacing w:before="240" w:after="240" w:line="360" w:lineRule="auto"/>
        <w:jc w:val="both"/>
        <w:rPr>
          <w:rFonts w:ascii="Palatino Linotype" w:hAnsi="Palatino Linotype" w:cs="Arial"/>
        </w:rPr>
      </w:pPr>
      <w:r>
        <w:rPr>
          <w:rFonts w:ascii="Palatino Linotype" w:hAnsi="Palatino Linotype" w:cs="Arial"/>
        </w:rPr>
        <w:t>“</w:t>
      </w:r>
      <w:hyperlink r:id="rId26" w:tgtFrame="_blank" w:history="1">
        <w:r w:rsidRPr="00FA3441">
          <w:rPr>
            <w:rFonts w:ascii="Palatino Linotype" w:hAnsi="Palatino Linotype"/>
          </w:rPr>
          <w:t>336 DG Crédito.pdf</w:t>
        </w:r>
      </w:hyperlink>
      <w:r>
        <w:rPr>
          <w:rFonts w:ascii="Palatino Linotype" w:hAnsi="Palatino Linotype" w:cs="Arial"/>
        </w:rPr>
        <w:t xml:space="preserve">”, </w:t>
      </w:r>
      <w:r w:rsidR="00A16504">
        <w:rPr>
          <w:rFonts w:ascii="Palatino Linotype" w:hAnsi="Palatino Linotype" w:cs="Arial"/>
        </w:rPr>
        <w:t xml:space="preserve">el cual contiene el oficio número 20705002A000000-429/2021, por medio del cual la Dirección General de Crédito, informó al Jefe de la UIPPE y Titular de la Unidad de Transparencia, ambos de la Secretaría de Finanzas; que en lo que se refiere a la parte de “…las retenciones que se han hecho desde el 2013 a la fecha, a Toluca y Naucalpan, por concepto de adeudos con el SAT, ISSEMYM, ISSSTE, </w:t>
      </w:r>
      <w:r w:rsidR="00A16504">
        <w:rPr>
          <w:rFonts w:ascii="Palatino Linotype" w:hAnsi="Palatino Linotype"/>
        </w:rPr>
        <w:t>CFE, CAEM, CONAGUA…”, el link oficial donde puede hacer la consulta de la información de los últimos seis años; siendo el siguiente:</w:t>
      </w:r>
    </w:p>
    <w:p w:rsidR="00033042" w:rsidRDefault="00A16504" w:rsidP="00130788">
      <w:pPr>
        <w:spacing w:before="240" w:after="240" w:line="360" w:lineRule="auto"/>
        <w:jc w:val="both"/>
        <w:rPr>
          <w:rFonts w:ascii="Palatino Linotype" w:hAnsi="Palatino Linotype" w:cs="Arial"/>
        </w:rPr>
      </w:pPr>
      <w:r>
        <w:rPr>
          <w:noProof/>
          <w:lang w:val="es-MX" w:eastAsia="es-MX"/>
        </w:rPr>
        <w:drawing>
          <wp:inline distT="0" distB="0" distL="0" distR="0" wp14:anchorId="0A56EEFA" wp14:editId="441AB161">
            <wp:extent cx="5231080" cy="227882"/>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0519" t="46097" r="33930" b="49557"/>
                    <a:stretch/>
                  </pic:blipFill>
                  <pic:spPr bwMode="auto">
                    <a:xfrm>
                      <a:off x="0" y="0"/>
                      <a:ext cx="5442781" cy="237104"/>
                    </a:xfrm>
                    <a:prstGeom prst="rect">
                      <a:avLst/>
                    </a:prstGeom>
                    <a:ln>
                      <a:noFill/>
                    </a:ln>
                    <a:extLst>
                      <a:ext uri="{53640926-AAD7-44D8-BBD7-CCE9431645EC}">
                        <a14:shadowObscured xmlns:a14="http://schemas.microsoft.com/office/drawing/2010/main"/>
                      </a:ext>
                    </a:extLst>
                  </pic:spPr>
                </pic:pic>
              </a:graphicData>
            </a:graphic>
          </wp:inline>
        </w:drawing>
      </w:r>
    </w:p>
    <w:p w:rsidR="001A6196" w:rsidRDefault="001A6196" w:rsidP="00130788">
      <w:pPr>
        <w:spacing w:before="240" w:after="240" w:line="360" w:lineRule="auto"/>
        <w:jc w:val="both"/>
        <w:rPr>
          <w:rFonts w:ascii="Palatino Linotype" w:hAnsi="Palatino Linotype" w:cs="Arial"/>
        </w:rPr>
      </w:pPr>
      <w:r>
        <w:rPr>
          <w:noProof/>
          <w:lang w:val="es-MX" w:eastAsia="es-MX"/>
        </w:rPr>
        <w:drawing>
          <wp:inline distT="0" distB="0" distL="0" distR="0" wp14:anchorId="7AA04B51" wp14:editId="62F8EB22">
            <wp:extent cx="5480050" cy="1104900"/>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8650" r="49423" b="72440"/>
                    <a:stretch/>
                  </pic:blipFill>
                  <pic:spPr bwMode="auto">
                    <a:xfrm>
                      <a:off x="0" y="0"/>
                      <a:ext cx="5480050" cy="1104900"/>
                    </a:xfrm>
                    <a:prstGeom prst="rect">
                      <a:avLst/>
                    </a:prstGeom>
                    <a:ln>
                      <a:noFill/>
                    </a:ln>
                    <a:extLst>
                      <a:ext uri="{53640926-AAD7-44D8-BBD7-CCE9431645EC}">
                        <a14:shadowObscured xmlns:a14="http://schemas.microsoft.com/office/drawing/2010/main"/>
                      </a:ext>
                    </a:extLst>
                  </pic:spPr>
                </pic:pic>
              </a:graphicData>
            </a:graphic>
          </wp:inline>
        </w:drawing>
      </w:r>
    </w:p>
    <w:p w:rsidR="00033042" w:rsidRDefault="00033042" w:rsidP="00130788">
      <w:pPr>
        <w:spacing w:before="240" w:after="240" w:line="360" w:lineRule="auto"/>
        <w:jc w:val="both"/>
        <w:rPr>
          <w:rFonts w:ascii="Palatino Linotype" w:hAnsi="Palatino Linotype" w:cs="Arial"/>
        </w:rPr>
      </w:pPr>
      <w:r>
        <w:rPr>
          <w:rFonts w:ascii="Palatino Linotype" w:hAnsi="Palatino Linotype" w:cs="Arial"/>
        </w:rPr>
        <w:t xml:space="preserve">Respecto, de los registros de deuda pública que estos municipios </w:t>
      </w:r>
      <w:r w:rsidR="00F32BA7">
        <w:rPr>
          <w:rFonts w:ascii="Palatino Linotype" w:hAnsi="Palatino Linotype" w:cs="Arial"/>
        </w:rPr>
        <w:t>hayan</w:t>
      </w:r>
      <w:r>
        <w:rPr>
          <w:rFonts w:ascii="Palatino Linotype" w:hAnsi="Palatino Linotype" w:cs="Arial"/>
        </w:rPr>
        <w:t xml:space="preserve"> registrado ante el Gobierno del Estado de México o la Federación y que tenga en su poder o </w:t>
      </w:r>
      <w:r>
        <w:rPr>
          <w:rFonts w:ascii="Palatino Linotype" w:hAnsi="Palatino Linotype" w:cs="Arial"/>
        </w:rPr>
        <w:lastRenderedPageBreak/>
        <w:t>haya conocido el GEM, señaló que dicha información se encuentra en la siguiente liga electrónica:</w:t>
      </w:r>
    </w:p>
    <w:p w:rsidR="00A16504" w:rsidRDefault="00A16504" w:rsidP="00130788">
      <w:pPr>
        <w:spacing w:before="240" w:after="240" w:line="360" w:lineRule="auto"/>
        <w:jc w:val="both"/>
        <w:rPr>
          <w:rFonts w:ascii="Palatino Linotype" w:hAnsi="Palatino Linotype" w:cs="Arial"/>
        </w:rPr>
      </w:pPr>
      <w:r>
        <w:rPr>
          <w:noProof/>
          <w:lang w:val="es-MX" w:eastAsia="es-MX"/>
        </w:rPr>
        <w:drawing>
          <wp:inline distT="0" distB="0" distL="0" distR="0" wp14:anchorId="6830999D" wp14:editId="2B8215F2">
            <wp:extent cx="5388311" cy="445324"/>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5242" t="61731" r="20845" b="33176"/>
                    <a:stretch/>
                  </pic:blipFill>
                  <pic:spPr bwMode="auto">
                    <a:xfrm>
                      <a:off x="0" y="0"/>
                      <a:ext cx="5461594" cy="451381"/>
                    </a:xfrm>
                    <a:prstGeom prst="rect">
                      <a:avLst/>
                    </a:prstGeom>
                    <a:ln>
                      <a:noFill/>
                    </a:ln>
                    <a:extLst>
                      <a:ext uri="{53640926-AAD7-44D8-BBD7-CCE9431645EC}">
                        <a14:shadowObscured xmlns:a14="http://schemas.microsoft.com/office/drawing/2010/main"/>
                      </a:ext>
                    </a:extLst>
                  </pic:spPr>
                </pic:pic>
              </a:graphicData>
            </a:graphic>
          </wp:inline>
        </w:drawing>
      </w:r>
    </w:p>
    <w:p w:rsidR="00D9406A" w:rsidRDefault="007905F8" w:rsidP="00130788">
      <w:pPr>
        <w:spacing w:before="240" w:after="240" w:line="360" w:lineRule="auto"/>
        <w:jc w:val="both"/>
        <w:rPr>
          <w:rFonts w:ascii="Palatino Linotype" w:hAnsi="Palatino Linotype" w:cs="Arial"/>
        </w:rPr>
      </w:pPr>
      <w:hyperlink r:id="rId29" w:history="1">
        <w:r w:rsidR="00D9406A" w:rsidRPr="00917361">
          <w:rPr>
            <w:rStyle w:val="Hipervnculo"/>
            <w:rFonts w:ascii="Palatino Linotype" w:hAnsi="Palatino Linotype" w:cs="Arial"/>
          </w:rPr>
          <w:t>https://datos.edomex.gob.mx/dataset/deuda-publica-del-gobierno-del-estado-de-m%C3%A9xico/resource/b168362cf9b8-454b-9531-0ec8243cc593</w:t>
        </w:r>
      </w:hyperlink>
      <w:r w:rsidR="00D9406A">
        <w:rPr>
          <w:rFonts w:ascii="Palatino Linotype" w:hAnsi="Palatino Linotype" w:cs="Arial"/>
        </w:rPr>
        <w:t xml:space="preserve"> </w:t>
      </w:r>
    </w:p>
    <w:p w:rsidR="00A16504" w:rsidRDefault="00033042" w:rsidP="00130788">
      <w:pPr>
        <w:spacing w:before="240" w:after="240" w:line="360" w:lineRule="auto"/>
        <w:jc w:val="both"/>
        <w:rPr>
          <w:rFonts w:ascii="Palatino Linotype" w:hAnsi="Palatino Linotype" w:cs="Arial"/>
        </w:rPr>
      </w:pPr>
      <w:r>
        <w:rPr>
          <w:rFonts w:ascii="Palatino Linotype" w:hAnsi="Palatino Linotype" w:cs="Arial"/>
        </w:rPr>
        <w:t>Finalizando, que dichas ligas fueron consultadas por última vez el dos de agosto del 2021, por medio del navegador “google Chrome”.</w:t>
      </w:r>
    </w:p>
    <w:p w:rsidR="00172C2A" w:rsidRDefault="00130788" w:rsidP="00172C2A">
      <w:pPr>
        <w:spacing w:before="240" w:after="240" w:line="360" w:lineRule="auto"/>
        <w:jc w:val="both"/>
        <w:rPr>
          <w:rFonts w:ascii="Palatino Linotype" w:hAnsi="Palatino Linotype" w:cs="Arial"/>
        </w:rPr>
      </w:pPr>
      <w:r>
        <w:rPr>
          <w:rFonts w:ascii="Palatino Linotype" w:hAnsi="Palatino Linotype" w:cs="Arial"/>
        </w:rPr>
        <w:t>“</w:t>
      </w:r>
      <w:hyperlink r:id="rId30" w:tgtFrame="_blank" w:history="1">
        <w:r w:rsidRPr="00FA3441">
          <w:rPr>
            <w:rFonts w:ascii="Palatino Linotype" w:hAnsi="Palatino Linotype"/>
          </w:rPr>
          <w:t>336 SSPP.pdf</w:t>
        </w:r>
      </w:hyperlink>
      <w:r>
        <w:rPr>
          <w:rFonts w:ascii="Palatino Linotype" w:hAnsi="Palatino Linotype" w:cs="Arial"/>
        </w:rPr>
        <w:t xml:space="preserve">”, </w:t>
      </w:r>
      <w:r w:rsidR="00172C2A">
        <w:rPr>
          <w:rFonts w:ascii="Palatino Linotype" w:hAnsi="Palatino Linotype" w:cs="Arial"/>
        </w:rPr>
        <w:t xml:space="preserve">el cual contiene el oficio número 2070404L/02362061, por medio del cual el Director General de Inversión, informó al </w:t>
      </w:r>
      <w:r w:rsidR="00172C2A" w:rsidRPr="00F32BA7">
        <w:rPr>
          <w:rFonts w:ascii="Palatino Linotype" w:hAnsi="Palatino Linotype" w:cs="Arial"/>
        </w:rPr>
        <w:t>Jefe de la UIPPE y Titular de la Unidad de Transparenci</w:t>
      </w:r>
      <w:r w:rsidR="00172C2A">
        <w:rPr>
          <w:rFonts w:ascii="Palatino Linotype" w:hAnsi="Palatino Linotype" w:cs="Arial"/>
        </w:rPr>
        <w:t>a, ambos de la Secretaría de Finanzas, que de acuerdo a la información proporcionada por la Dirección de Inversión lo siguiente:</w:t>
      </w:r>
    </w:p>
    <w:p w:rsidR="001E4EE9" w:rsidRPr="00F32BA7" w:rsidRDefault="001E4EE9" w:rsidP="00172C2A">
      <w:pPr>
        <w:spacing w:before="240" w:after="240" w:line="360" w:lineRule="auto"/>
        <w:jc w:val="both"/>
        <w:rPr>
          <w:rFonts w:ascii="Palatino Linotype" w:hAnsi="Palatino Linotype" w:cs="Arial"/>
        </w:rPr>
      </w:pPr>
      <w:r>
        <w:rPr>
          <w:noProof/>
          <w:lang w:val="es-MX" w:eastAsia="es-MX"/>
        </w:rPr>
        <w:drawing>
          <wp:inline distT="0" distB="0" distL="0" distR="0" wp14:anchorId="6771DD2C" wp14:editId="134F9FD9">
            <wp:extent cx="5543550" cy="15303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0168" t="37819" r="24757" b="32006"/>
                    <a:stretch/>
                  </pic:blipFill>
                  <pic:spPr bwMode="auto">
                    <a:xfrm>
                      <a:off x="0" y="0"/>
                      <a:ext cx="5543550" cy="1530350"/>
                    </a:xfrm>
                    <a:prstGeom prst="rect">
                      <a:avLst/>
                    </a:prstGeom>
                    <a:ln>
                      <a:noFill/>
                    </a:ln>
                    <a:extLst>
                      <a:ext uri="{53640926-AAD7-44D8-BBD7-CCE9431645EC}">
                        <a14:shadowObscured xmlns:a14="http://schemas.microsoft.com/office/drawing/2010/main"/>
                      </a:ext>
                    </a:extLst>
                  </pic:spPr>
                </pic:pic>
              </a:graphicData>
            </a:graphic>
          </wp:inline>
        </w:drawing>
      </w:r>
    </w:p>
    <w:p w:rsidR="00172C2A" w:rsidRDefault="00130788" w:rsidP="00172C2A">
      <w:pPr>
        <w:spacing w:before="240" w:after="240" w:line="360" w:lineRule="auto"/>
        <w:jc w:val="both"/>
        <w:rPr>
          <w:rFonts w:ascii="Palatino Linotype" w:hAnsi="Palatino Linotype" w:cs="Arial"/>
        </w:rPr>
      </w:pPr>
      <w:r>
        <w:rPr>
          <w:rFonts w:ascii="Palatino Linotype" w:hAnsi="Palatino Linotype" w:cs="Arial"/>
        </w:rPr>
        <w:t>“</w:t>
      </w:r>
      <w:hyperlink r:id="rId32" w:tgtFrame="_blank" w:history="1">
        <w:r w:rsidRPr="00FA3441">
          <w:rPr>
            <w:rFonts w:ascii="Palatino Linotype" w:hAnsi="Palatino Linotype"/>
          </w:rPr>
          <w:t>336 DG Evaluación y Recursos Federales.pdf</w:t>
        </w:r>
      </w:hyperlink>
      <w:r>
        <w:rPr>
          <w:rFonts w:ascii="Palatino Linotype" w:hAnsi="Palatino Linotype" w:cs="Arial"/>
        </w:rPr>
        <w:t>”,</w:t>
      </w:r>
      <w:r w:rsidR="00F32BA7">
        <w:rPr>
          <w:rFonts w:ascii="Palatino Linotype" w:hAnsi="Palatino Linotype" w:cs="Arial"/>
        </w:rPr>
        <w:t xml:space="preserve"> </w:t>
      </w:r>
      <w:r w:rsidR="00172C2A">
        <w:rPr>
          <w:rFonts w:ascii="Palatino Linotype" w:hAnsi="Palatino Linotype" w:cs="Arial"/>
        </w:rPr>
        <w:t xml:space="preserve">el cual contiene el oficio </w:t>
      </w:r>
      <w:r w:rsidR="00172C2A" w:rsidRPr="00F32BA7">
        <w:rPr>
          <w:rFonts w:ascii="Palatino Linotype" w:hAnsi="Palatino Linotype" w:cs="Arial"/>
        </w:rPr>
        <w:t xml:space="preserve">número 20704000020000S/116/2021, por medio del cual </w:t>
      </w:r>
      <w:r w:rsidR="00172C2A">
        <w:rPr>
          <w:rFonts w:ascii="Palatino Linotype" w:hAnsi="Palatino Linotype" w:cs="Arial"/>
        </w:rPr>
        <w:t>la Dirección de Evaluación de la Información Financiera y Recursos Federales</w:t>
      </w:r>
      <w:r w:rsidR="00172C2A" w:rsidRPr="00F32BA7">
        <w:rPr>
          <w:rFonts w:ascii="Palatino Linotype" w:hAnsi="Palatino Linotype" w:cs="Arial"/>
        </w:rPr>
        <w:t>, informó al Jefe de la UIPPE y Titular de la Unidad de Transparencia, ambo</w:t>
      </w:r>
      <w:r w:rsidR="00172C2A">
        <w:rPr>
          <w:rFonts w:ascii="Palatino Linotype" w:hAnsi="Palatino Linotype" w:cs="Arial"/>
        </w:rPr>
        <w:t xml:space="preserve">s de la Secretaría de Finanzas, que respecto a </w:t>
      </w:r>
      <w:r w:rsidR="00172C2A">
        <w:rPr>
          <w:rFonts w:ascii="Palatino Linotype" w:hAnsi="Palatino Linotype" w:cs="Arial"/>
        </w:rPr>
        <w:lastRenderedPageBreak/>
        <w:t>lo requerido por el particular puede ser consultada en las siguientes ligas electrónicas:</w:t>
      </w:r>
    </w:p>
    <w:p w:rsidR="00172C2A" w:rsidRPr="00F32BA7" w:rsidRDefault="00172C2A" w:rsidP="00172C2A">
      <w:pPr>
        <w:spacing w:before="240" w:after="240" w:line="360" w:lineRule="auto"/>
        <w:jc w:val="both"/>
        <w:rPr>
          <w:rFonts w:ascii="Palatino Linotype" w:hAnsi="Palatino Linotype" w:cs="Arial"/>
        </w:rPr>
      </w:pPr>
      <w:r>
        <w:rPr>
          <w:noProof/>
          <w:lang w:val="es-MX" w:eastAsia="es-MX"/>
        </w:rPr>
        <w:drawing>
          <wp:inline distT="0" distB="0" distL="0" distR="0" wp14:anchorId="36768F83" wp14:editId="7D6C66EF">
            <wp:extent cx="5384800" cy="2298700"/>
            <wp:effectExtent l="0" t="0" r="635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1412" t="25347" r="23851" b="40253"/>
                    <a:stretch/>
                  </pic:blipFill>
                  <pic:spPr bwMode="auto">
                    <a:xfrm>
                      <a:off x="0" y="0"/>
                      <a:ext cx="5384800" cy="2298700"/>
                    </a:xfrm>
                    <a:prstGeom prst="rect">
                      <a:avLst/>
                    </a:prstGeom>
                    <a:ln>
                      <a:noFill/>
                    </a:ln>
                    <a:extLst>
                      <a:ext uri="{53640926-AAD7-44D8-BBD7-CCE9431645EC}">
                        <a14:shadowObscured xmlns:a14="http://schemas.microsoft.com/office/drawing/2010/main"/>
                      </a:ext>
                    </a:extLst>
                  </pic:spPr>
                </pic:pic>
              </a:graphicData>
            </a:graphic>
          </wp:inline>
        </w:drawing>
      </w:r>
    </w:p>
    <w:p w:rsidR="00130788" w:rsidRDefault="00172C2A" w:rsidP="00172C2A">
      <w:pPr>
        <w:spacing w:before="240" w:after="240" w:line="360" w:lineRule="auto"/>
        <w:jc w:val="both"/>
        <w:rPr>
          <w:rFonts w:ascii="Palatino Linotype" w:hAnsi="Palatino Linotype" w:cs="Arial"/>
        </w:rPr>
      </w:pPr>
      <w:r>
        <w:rPr>
          <w:rFonts w:ascii="Palatino Linotype" w:hAnsi="Palatino Linotype" w:cs="Arial"/>
        </w:rPr>
        <w:t xml:space="preserve"> </w:t>
      </w:r>
      <w:r w:rsidR="00130788">
        <w:rPr>
          <w:rFonts w:ascii="Palatino Linotype" w:hAnsi="Palatino Linotype" w:cs="Arial"/>
        </w:rPr>
        <w:t>“</w:t>
      </w:r>
      <w:hyperlink r:id="rId34" w:tgtFrame="_blank" w:history="1">
        <w:r w:rsidR="00130788" w:rsidRPr="00FA3441">
          <w:rPr>
            <w:rFonts w:ascii="Palatino Linotype" w:hAnsi="Palatino Linotype"/>
          </w:rPr>
          <w:t>UIPPE 336.pdf</w:t>
        </w:r>
      </w:hyperlink>
      <w:r w:rsidR="00130788">
        <w:rPr>
          <w:rFonts w:ascii="Palatino Linotype" w:hAnsi="Palatino Linotype" w:cs="Arial"/>
        </w:rPr>
        <w:t xml:space="preserve">”, </w:t>
      </w:r>
      <w:r w:rsidR="00F32BA7">
        <w:rPr>
          <w:rFonts w:ascii="Palatino Linotype" w:hAnsi="Palatino Linotype" w:cs="Arial"/>
        </w:rPr>
        <w:t xml:space="preserve">el cual contiene el oficio número </w:t>
      </w:r>
      <w:r w:rsidR="000B5146">
        <w:rPr>
          <w:rFonts w:ascii="Palatino Linotype" w:hAnsi="Palatino Linotype" w:cs="Arial"/>
        </w:rPr>
        <w:t xml:space="preserve">207000004S/UT-1306/2021, por medio del cual el </w:t>
      </w:r>
      <w:r w:rsidR="000B5146" w:rsidRPr="00F32BA7">
        <w:rPr>
          <w:rFonts w:ascii="Palatino Linotype" w:hAnsi="Palatino Linotype" w:cs="Arial"/>
        </w:rPr>
        <w:t>Jefe de la UIPPE y Titular</w:t>
      </w:r>
      <w:r w:rsidR="000B5146">
        <w:rPr>
          <w:rFonts w:ascii="Palatino Linotype" w:hAnsi="Palatino Linotype" w:cs="Arial"/>
        </w:rPr>
        <w:t xml:space="preserve"> de la Unidad de Transparencia de la Secretaría de Finanzas, inform</w:t>
      </w:r>
      <w:r w:rsidR="001A6196">
        <w:rPr>
          <w:rFonts w:ascii="Palatino Linotype" w:hAnsi="Palatino Linotype" w:cs="Arial"/>
        </w:rPr>
        <w:t>ó</w:t>
      </w:r>
      <w:r w:rsidR="000B5146">
        <w:rPr>
          <w:rFonts w:ascii="Palatino Linotype" w:hAnsi="Palatino Linotype" w:cs="Arial"/>
        </w:rPr>
        <w:t xml:space="preserve"> al particular la información proporcionada por los Servidores Públicos Habilitados de la  Contaduría General Gubernamental, Dirección General de Política Fiscal, Dirección General de Crédito, Dirección General de Inversión y de la Dirección General de Evaluación de la Información Financiera y de Recursos Federales, a través de los oficios correspondientes. </w:t>
      </w:r>
    </w:p>
    <w:p w:rsidR="00C10079" w:rsidRDefault="00DD33AE" w:rsidP="00DD33AE">
      <w:pPr>
        <w:spacing w:before="240" w:after="240" w:line="360" w:lineRule="auto"/>
        <w:jc w:val="both"/>
        <w:rPr>
          <w:rFonts w:ascii="Palatino Linotype" w:hAnsi="Palatino Linotype" w:cs="Arial"/>
        </w:rPr>
      </w:pPr>
      <w:r w:rsidRPr="000B5146">
        <w:rPr>
          <w:rFonts w:ascii="Palatino Linotype" w:hAnsi="Palatino Linotype" w:cs="Arial"/>
        </w:rPr>
        <w:t>Inconforme el recurrente</w:t>
      </w:r>
      <w:r w:rsidR="00C10079" w:rsidRPr="000B5146">
        <w:rPr>
          <w:rFonts w:ascii="Palatino Linotype" w:hAnsi="Palatino Linotype" w:cs="Arial"/>
        </w:rPr>
        <w:t xml:space="preserve"> con la respuesta</w:t>
      </w:r>
      <w:r w:rsidRPr="000B5146">
        <w:rPr>
          <w:rFonts w:ascii="Palatino Linotype" w:hAnsi="Palatino Linotype" w:cs="Arial"/>
        </w:rPr>
        <w:t>, interpuso el Recurso d</w:t>
      </w:r>
      <w:r w:rsidR="00C10079" w:rsidRPr="000B5146">
        <w:rPr>
          <w:rFonts w:ascii="Palatino Linotype" w:hAnsi="Palatino Linotype" w:cs="Arial"/>
        </w:rPr>
        <w:t xml:space="preserve">e Revisión que se </w:t>
      </w:r>
      <w:r w:rsidR="00C10079">
        <w:rPr>
          <w:rFonts w:ascii="Palatino Linotype" w:hAnsi="Palatino Linotype" w:cs="Arial"/>
        </w:rPr>
        <w:t xml:space="preserve">resuelve, </w:t>
      </w:r>
      <w:r w:rsidR="000B5146">
        <w:rPr>
          <w:rFonts w:ascii="Palatino Linotype" w:hAnsi="Palatino Linotype" w:cs="Arial"/>
        </w:rPr>
        <w:t xml:space="preserve">en lo medular </w:t>
      </w:r>
      <w:r w:rsidR="00C10079">
        <w:rPr>
          <w:rFonts w:ascii="Palatino Linotype" w:hAnsi="Palatino Linotype" w:cs="Arial"/>
        </w:rPr>
        <w:t xml:space="preserve">porque </w:t>
      </w:r>
      <w:r w:rsidR="00E603CC">
        <w:rPr>
          <w:rFonts w:ascii="Palatino Linotype" w:hAnsi="Palatino Linotype" w:cs="Arial"/>
        </w:rPr>
        <w:t>la informac</w:t>
      </w:r>
      <w:r w:rsidR="00B45525">
        <w:rPr>
          <w:rFonts w:ascii="Palatino Linotype" w:hAnsi="Palatino Linotype" w:cs="Arial"/>
        </w:rPr>
        <w:t xml:space="preserve">ión proporcionada </w:t>
      </w:r>
      <w:r w:rsidR="000B5146">
        <w:rPr>
          <w:rFonts w:ascii="Palatino Linotype" w:hAnsi="Palatino Linotype" w:cs="Arial"/>
        </w:rPr>
        <w:t>es incompleta.</w:t>
      </w:r>
    </w:p>
    <w:p w:rsidR="00E603CC" w:rsidRDefault="00DD33AE" w:rsidP="002F0E46">
      <w:pPr>
        <w:spacing w:before="240" w:after="240" w:line="360" w:lineRule="auto"/>
        <w:jc w:val="both"/>
        <w:rPr>
          <w:rFonts w:ascii="Palatino Linotype" w:hAnsi="Palatino Linotype" w:cs="Arial"/>
        </w:rPr>
      </w:pPr>
      <w:r w:rsidRPr="00F81330">
        <w:rPr>
          <w:rFonts w:ascii="Palatino Linotype" w:hAnsi="Palatino Linotype" w:cs="Arial"/>
        </w:rPr>
        <w:t>Una vez notificado el recurso de revi</w:t>
      </w:r>
      <w:r w:rsidR="007122F1" w:rsidRPr="00F81330">
        <w:rPr>
          <w:rFonts w:ascii="Palatino Linotype" w:hAnsi="Palatino Linotype" w:cs="Arial"/>
        </w:rPr>
        <w:t xml:space="preserve">sión al Sujeto Obligado, </w:t>
      </w:r>
      <w:r w:rsidR="00B45525">
        <w:rPr>
          <w:rFonts w:ascii="Palatino Linotype" w:hAnsi="Palatino Linotype" w:cs="Arial"/>
        </w:rPr>
        <w:t xml:space="preserve">rindió su informe justificado a </w:t>
      </w:r>
      <w:r w:rsidR="00C05F83">
        <w:rPr>
          <w:rFonts w:ascii="Palatino Linotype" w:hAnsi="Palatino Linotype" w:cs="Arial"/>
        </w:rPr>
        <w:t>través de los archivos electrónicos, siguiente</w:t>
      </w:r>
      <w:r w:rsidR="000B5146">
        <w:rPr>
          <w:rFonts w:ascii="Palatino Linotype" w:hAnsi="Palatino Linotype" w:cs="Arial"/>
        </w:rPr>
        <w:t>s</w:t>
      </w:r>
      <w:r w:rsidR="00C05F83">
        <w:rPr>
          <w:rFonts w:ascii="Palatino Linotype" w:hAnsi="Palatino Linotype" w:cs="Arial"/>
        </w:rPr>
        <w:t>:</w:t>
      </w:r>
    </w:p>
    <w:p w:rsidR="000B5146" w:rsidRDefault="000B5146" w:rsidP="000B5146">
      <w:pPr>
        <w:spacing w:line="360" w:lineRule="auto"/>
        <w:jc w:val="both"/>
        <w:rPr>
          <w:rFonts w:ascii="Palatino Linotype" w:hAnsi="Palatino Linotype" w:cs="Arial"/>
        </w:rPr>
      </w:pPr>
      <w:r>
        <w:rPr>
          <w:rFonts w:ascii="Palatino Linotype" w:hAnsi="Palatino Linotype" w:cs="Arial"/>
        </w:rPr>
        <w:t>“</w:t>
      </w:r>
      <w:hyperlink r:id="rId35" w:history="1">
        <w:r w:rsidRPr="00FA3441">
          <w:rPr>
            <w:rFonts w:ascii="Palatino Linotype" w:hAnsi="Palatino Linotype"/>
          </w:rPr>
          <w:t>RR 4644-2021 DGC.pdf</w:t>
        </w:r>
      </w:hyperlink>
      <w:r>
        <w:rPr>
          <w:rFonts w:ascii="Palatino Linotype" w:hAnsi="Palatino Linotype" w:cs="Arial"/>
        </w:rPr>
        <w:t xml:space="preserve">”, </w:t>
      </w:r>
      <w:r w:rsidR="00D9406A">
        <w:rPr>
          <w:rFonts w:ascii="Palatino Linotype" w:hAnsi="Palatino Linotype" w:cs="Arial"/>
        </w:rPr>
        <w:t>por medio del cual el Director General de Crédito del Sujeto Obligado, ratificó su respuesta.</w:t>
      </w:r>
    </w:p>
    <w:p w:rsidR="00D9406A" w:rsidRDefault="00D9406A" w:rsidP="000B5146">
      <w:pPr>
        <w:spacing w:line="360" w:lineRule="auto"/>
        <w:jc w:val="both"/>
        <w:rPr>
          <w:rFonts w:ascii="Palatino Linotype" w:hAnsi="Palatino Linotype" w:cs="Arial"/>
        </w:rPr>
      </w:pPr>
    </w:p>
    <w:p w:rsidR="000B5146" w:rsidRDefault="000B5146" w:rsidP="000B5146">
      <w:pPr>
        <w:spacing w:line="360" w:lineRule="auto"/>
        <w:jc w:val="both"/>
        <w:rPr>
          <w:rFonts w:ascii="Palatino Linotype" w:hAnsi="Palatino Linotype" w:cs="Arial"/>
        </w:rPr>
      </w:pPr>
      <w:r>
        <w:rPr>
          <w:rFonts w:ascii="Palatino Linotype" w:hAnsi="Palatino Linotype" w:cs="Arial"/>
        </w:rPr>
        <w:t>“</w:t>
      </w:r>
      <w:hyperlink r:id="rId36" w:history="1">
        <w:r w:rsidRPr="00FA3441">
          <w:rPr>
            <w:rFonts w:ascii="Palatino Linotype" w:hAnsi="Palatino Linotype"/>
          </w:rPr>
          <w:t>RR 4644-2021 DGPF.pdf</w:t>
        </w:r>
      </w:hyperlink>
      <w:r>
        <w:rPr>
          <w:rFonts w:ascii="Palatino Linotype" w:hAnsi="Palatino Linotype" w:cs="Arial"/>
        </w:rPr>
        <w:t xml:space="preserve">”, </w:t>
      </w:r>
      <w:r w:rsidR="00D9406A">
        <w:rPr>
          <w:rFonts w:ascii="Palatino Linotype" w:hAnsi="Palatino Linotype" w:cs="Arial"/>
        </w:rPr>
        <w:t xml:space="preserve">por medio del cual la Dirección General de Política Fiscal, </w:t>
      </w:r>
      <w:r w:rsidR="00410225">
        <w:rPr>
          <w:rFonts w:ascii="Palatino Linotype" w:hAnsi="Palatino Linotype" w:cs="Arial"/>
        </w:rPr>
        <w:t>señaló como novedoso que el procedimiento para ingresar a las participaciones que corresponden a los municipios de Toluca y Naucalpan de Juárez, del periodo comprendido 2013 a 2021.</w:t>
      </w:r>
    </w:p>
    <w:p w:rsidR="00410225" w:rsidRDefault="00410225" w:rsidP="000B5146">
      <w:pPr>
        <w:spacing w:line="360" w:lineRule="auto"/>
        <w:jc w:val="both"/>
        <w:rPr>
          <w:rFonts w:ascii="Palatino Linotype" w:hAnsi="Palatino Linotype" w:cs="Arial"/>
        </w:rPr>
      </w:pPr>
    </w:p>
    <w:p w:rsidR="000B5146" w:rsidRDefault="000B5146" w:rsidP="000B5146">
      <w:pPr>
        <w:spacing w:line="360" w:lineRule="auto"/>
        <w:jc w:val="both"/>
        <w:rPr>
          <w:rFonts w:ascii="Palatino Linotype" w:hAnsi="Palatino Linotype" w:cs="Arial"/>
        </w:rPr>
      </w:pPr>
      <w:r>
        <w:rPr>
          <w:rFonts w:ascii="Palatino Linotype" w:hAnsi="Palatino Linotype" w:cs="Arial"/>
        </w:rPr>
        <w:t>“</w:t>
      </w:r>
      <w:hyperlink r:id="rId37" w:history="1">
        <w:r w:rsidRPr="00FA3441">
          <w:rPr>
            <w:rFonts w:ascii="Palatino Linotype" w:hAnsi="Palatino Linotype"/>
          </w:rPr>
          <w:t>Informe Justificado 4644-2021.pdf</w:t>
        </w:r>
      </w:hyperlink>
      <w:r>
        <w:rPr>
          <w:rFonts w:ascii="Palatino Linotype" w:hAnsi="Palatino Linotype" w:cs="Arial"/>
        </w:rPr>
        <w:t xml:space="preserve">”, </w:t>
      </w:r>
      <w:r w:rsidR="00E305A3">
        <w:rPr>
          <w:rFonts w:ascii="Palatino Linotype" w:hAnsi="Palatino Linotype" w:cs="Arial"/>
        </w:rPr>
        <w:t xml:space="preserve">el cual contiene el informe justificado del Sujeto Obligado, por medio del cual informó las respuestas dadas por los Servidores Públicos Habilitados de la </w:t>
      </w:r>
      <w:r w:rsidR="00E305A3" w:rsidRPr="00E305A3">
        <w:rPr>
          <w:rFonts w:ascii="Palatino Linotype" w:hAnsi="Palatino Linotype" w:cs="Arial"/>
        </w:rPr>
        <w:t xml:space="preserve">Dirección General de Política Fiscal, Contaduría General Gubernamental, Dirección General de Crédito, Dirección General de Inversión y Dirección General de Evaluación de la Información Financiera y Recursos Federales, todos de la Secretaría de Finanzas, </w:t>
      </w:r>
      <w:r w:rsidR="00E305A3">
        <w:rPr>
          <w:rFonts w:ascii="Palatino Linotype" w:hAnsi="Palatino Linotype" w:cs="Arial"/>
        </w:rPr>
        <w:t xml:space="preserve">a los motivos de inconformidad del recurrente, a través de los cuales en lo medular ratificaron su respuesta inicial. </w:t>
      </w:r>
    </w:p>
    <w:p w:rsidR="00410225" w:rsidRDefault="00410225" w:rsidP="000B5146">
      <w:pPr>
        <w:spacing w:line="360" w:lineRule="auto"/>
        <w:jc w:val="both"/>
        <w:rPr>
          <w:rFonts w:ascii="Palatino Linotype" w:hAnsi="Palatino Linotype" w:cs="Arial"/>
        </w:rPr>
      </w:pPr>
    </w:p>
    <w:p w:rsidR="00C11064" w:rsidRDefault="000B5146" w:rsidP="000B5146">
      <w:pPr>
        <w:spacing w:line="360" w:lineRule="auto"/>
        <w:jc w:val="both"/>
        <w:rPr>
          <w:rFonts w:ascii="Palatino Linotype" w:hAnsi="Palatino Linotype" w:cs="Arial"/>
        </w:rPr>
      </w:pPr>
      <w:r>
        <w:rPr>
          <w:rFonts w:ascii="Palatino Linotype" w:hAnsi="Palatino Linotype" w:cs="Arial"/>
        </w:rPr>
        <w:t>“</w:t>
      </w:r>
      <w:hyperlink r:id="rId38" w:history="1">
        <w:r w:rsidRPr="00FA3441">
          <w:rPr>
            <w:rFonts w:ascii="Palatino Linotype" w:hAnsi="Palatino Linotype"/>
          </w:rPr>
          <w:t>RR 4644-2021 CGG.pdf</w:t>
        </w:r>
      </w:hyperlink>
      <w:r>
        <w:rPr>
          <w:rFonts w:ascii="Palatino Linotype" w:hAnsi="Palatino Linotype" w:cs="Arial"/>
        </w:rPr>
        <w:t xml:space="preserve">”, </w:t>
      </w:r>
      <w:r w:rsidR="00410225">
        <w:rPr>
          <w:rFonts w:ascii="Palatino Linotype" w:hAnsi="Palatino Linotype" w:cs="Arial"/>
        </w:rPr>
        <w:t xml:space="preserve">por medio del cual la Contaduría General </w:t>
      </w:r>
      <w:r w:rsidR="00C11064">
        <w:rPr>
          <w:rFonts w:ascii="Palatino Linotype" w:hAnsi="Palatino Linotype" w:cs="Arial"/>
        </w:rPr>
        <w:t>Gubernamental del Sujeto Obligado, informó tomando en consideración la solicitud de acceso a la información del particular, que de acuerdo al fundamento legal que señala, ratificar su respuesta contenida en el oficio 20704002040000L/074/2021, conforme a lo siguiente:</w:t>
      </w:r>
    </w:p>
    <w:p w:rsidR="00C11064" w:rsidRDefault="00C11064" w:rsidP="000B5146">
      <w:pPr>
        <w:spacing w:line="360" w:lineRule="auto"/>
        <w:jc w:val="both"/>
        <w:rPr>
          <w:rFonts w:ascii="Palatino Linotype" w:hAnsi="Palatino Linotype" w:cs="Arial"/>
        </w:rPr>
      </w:pPr>
      <w:r>
        <w:rPr>
          <w:noProof/>
          <w:lang w:val="es-MX" w:eastAsia="es-MX"/>
        </w:rPr>
        <w:drawing>
          <wp:inline distT="0" distB="0" distL="0" distR="0" wp14:anchorId="680F9864" wp14:editId="054F1B59">
            <wp:extent cx="5518150" cy="1409700"/>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2108" t="42044" r="27160" b="34420"/>
                    <a:stretch/>
                  </pic:blipFill>
                  <pic:spPr bwMode="auto">
                    <a:xfrm>
                      <a:off x="0" y="0"/>
                      <a:ext cx="5518150" cy="1409700"/>
                    </a:xfrm>
                    <a:prstGeom prst="rect">
                      <a:avLst/>
                    </a:prstGeom>
                    <a:ln>
                      <a:noFill/>
                    </a:ln>
                    <a:extLst>
                      <a:ext uri="{53640926-AAD7-44D8-BBD7-CCE9431645EC}">
                        <a14:shadowObscured xmlns:a14="http://schemas.microsoft.com/office/drawing/2010/main"/>
                      </a:ext>
                    </a:extLst>
                  </pic:spPr>
                </pic:pic>
              </a:graphicData>
            </a:graphic>
          </wp:inline>
        </w:drawing>
      </w:r>
    </w:p>
    <w:p w:rsidR="000B5146" w:rsidRDefault="000B5146" w:rsidP="000B5146">
      <w:pPr>
        <w:spacing w:line="360" w:lineRule="auto"/>
        <w:jc w:val="both"/>
        <w:rPr>
          <w:rFonts w:ascii="Palatino Linotype" w:hAnsi="Palatino Linotype" w:cs="Arial"/>
        </w:rPr>
      </w:pPr>
      <w:r>
        <w:rPr>
          <w:rFonts w:ascii="Palatino Linotype" w:hAnsi="Palatino Linotype" w:cs="Arial"/>
        </w:rPr>
        <w:lastRenderedPageBreak/>
        <w:t>“</w:t>
      </w:r>
      <w:hyperlink r:id="rId40" w:history="1">
        <w:r w:rsidRPr="00FA3441">
          <w:rPr>
            <w:rFonts w:ascii="Palatino Linotype" w:hAnsi="Palatino Linotype"/>
          </w:rPr>
          <w:t>RR 4644-2021 DGI.pdf</w:t>
        </w:r>
      </w:hyperlink>
      <w:r w:rsidR="00C11064">
        <w:rPr>
          <w:rFonts w:ascii="Palatino Linotype" w:hAnsi="Palatino Linotype" w:cs="Arial"/>
        </w:rPr>
        <w:t>”, por medio del cual la Dirección General de Inversión del Sujeto Obligado, ratificó su respuesta inicial.</w:t>
      </w:r>
    </w:p>
    <w:p w:rsidR="00C11064" w:rsidRDefault="00C11064" w:rsidP="000B5146">
      <w:pPr>
        <w:spacing w:line="360" w:lineRule="auto"/>
        <w:jc w:val="both"/>
        <w:rPr>
          <w:rFonts w:ascii="Palatino Linotype" w:hAnsi="Palatino Linotype" w:cs="Arial"/>
        </w:rPr>
      </w:pPr>
    </w:p>
    <w:p w:rsidR="000B5146" w:rsidRDefault="000B5146" w:rsidP="00E305A3">
      <w:pPr>
        <w:spacing w:line="360" w:lineRule="auto"/>
        <w:jc w:val="both"/>
        <w:rPr>
          <w:rFonts w:ascii="Palatino Linotype" w:hAnsi="Palatino Linotype" w:cs="Arial"/>
        </w:rPr>
      </w:pPr>
      <w:r>
        <w:rPr>
          <w:rFonts w:ascii="Palatino Linotype" w:hAnsi="Palatino Linotype" w:cs="Arial"/>
        </w:rPr>
        <w:t>“</w:t>
      </w:r>
      <w:hyperlink r:id="rId41" w:history="1">
        <w:r w:rsidRPr="00FA3441">
          <w:rPr>
            <w:rFonts w:ascii="Palatino Linotype" w:hAnsi="Palatino Linotype"/>
          </w:rPr>
          <w:t>RR 4644-2021 DGEIFRF.pdf</w:t>
        </w:r>
      </w:hyperlink>
      <w:r w:rsidR="00C11064">
        <w:rPr>
          <w:rFonts w:ascii="Palatino Linotype" w:hAnsi="Palatino Linotype" w:cs="Arial"/>
        </w:rPr>
        <w:t>”, por medio del cual la Dirección de Evaluación de la Información Financiera y Recursos Federales</w:t>
      </w:r>
      <w:r w:rsidR="008C440C">
        <w:rPr>
          <w:rFonts w:ascii="Palatino Linotype" w:hAnsi="Palatino Linotype" w:cs="Arial"/>
        </w:rPr>
        <w:t>, ratificó</w:t>
      </w:r>
      <w:r w:rsidR="00E305A3">
        <w:rPr>
          <w:rFonts w:ascii="Palatino Linotype" w:hAnsi="Palatino Linotype" w:cs="Arial"/>
        </w:rPr>
        <w:t xml:space="preserve"> su respuesta inicial.</w:t>
      </w:r>
    </w:p>
    <w:p w:rsidR="00C52873" w:rsidRDefault="00C52873" w:rsidP="00C52873">
      <w:pPr>
        <w:spacing w:before="240" w:after="240" w:line="360" w:lineRule="auto"/>
        <w:jc w:val="both"/>
        <w:rPr>
          <w:rFonts w:ascii="Palatino Linotype" w:hAnsi="Palatino Linotype"/>
        </w:rPr>
      </w:pPr>
      <w:r w:rsidRPr="005052F5">
        <w:rPr>
          <w:rFonts w:ascii="Palatino Linotype" w:hAnsi="Palatino Linotype"/>
        </w:rPr>
        <w:t xml:space="preserve">En tal contexto, del análisis de las constancias que integran el expediente en que se </w:t>
      </w:r>
      <w:r w:rsidR="00A7660E" w:rsidRPr="005052F5">
        <w:rPr>
          <w:rFonts w:ascii="Palatino Linotype" w:hAnsi="Palatino Linotype"/>
        </w:rPr>
        <w:t>actúa,</w:t>
      </w:r>
      <w:r w:rsidRPr="005052F5">
        <w:rPr>
          <w:rFonts w:ascii="Palatino Linotype" w:hAnsi="Palatino Linotype"/>
        </w:rPr>
        <w:t xml:space="preserve"> así como de la materia sobre la que versa la solicitud de acceso a la información pública, se advierte que los motivos de</w:t>
      </w:r>
      <w:r w:rsidRPr="00080788">
        <w:rPr>
          <w:rFonts w:ascii="Palatino Linotype" w:hAnsi="Palatino Linotype"/>
        </w:rPr>
        <w:t xml:space="preserve"> </w:t>
      </w:r>
      <w:r>
        <w:rPr>
          <w:rFonts w:ascii="Palatino Linotype" w:hAnsi="Palatino Linotype"/>
        </w:rPr>
        <w:t>inconformidad acontecen</w:t>
      </w:r>
      <w:r w:rsidR="00BB5235">
        <w:rPr>
          <w:rFonts w:ascii="Palatino Linotype" w:hAnsi="Palatino Linotype"/>
        </w:rPr>
        <w:t xml:space="preserve"> </w:t>
      </w:r>
      <w:r w:rsidR="002F0E46">
        <w:rPr>
          <w:rFonts w:ascii="Palatino Linotype" w:hAnsi="Palatino Linotype"/>
        </w:rPr>
        <w:t xml:space="preserve">fundados </w:t>
      </w:r>
      <w:r w:rsidR="002F0E46" w:rsidRPr="005052F5">
        <w:rPr>
          <w:rFonts w:ascii="Palatino Linotype" w:hAnsi="Palatino Linotype"/>
        </w:rPr>
        <w:t xml:space="preserve">para </w:t>
      </w:r>
      <w:r w:rsidR="007B2EF1" w:rsidRPr="005052F5">
        <w:rPr>
          <w:rFonts w:ascii="Palatino Linotype" w:hAnsi="Palatino Linotype"/>
        </w:rPr>
        <w:t>MODIFICAR</w:t>
      </w:r>
      <w:r w:rsidRPr="005052F5">
        <w:rPr>
          <w:rFonts w:ascii="Palatino Linotype" w:hAnsi="Palatino Linotype"/>
        </w:rPr>
        <w:t xml:space="preserve"> la respuesta </w:t>
      </w:r>
      <w:r w:rsidRPr="0063409B">
        <w:rPr>
          <w:rFonts w:ascii="Palatino Linotype" w:hAnsi="Palatino Linotype"/>
        </w:rPr>
        <w:t xml:space="preserve">del </w:t>
      </w:r>
      <w:r w:rsidR="00606693" w:rsidRPr="00606693">
        <w:rPr>
          <w:rFonts w:ascii="Palatino Linotype" w:hAnsi="Palatino Linotype"/>
          <w:b/>
        </w:rPr>
        <w:t>SUJETO OBLIGADO</w:t>
      </w:r>
      <w:r w:rsidR="00606693">
        <w:rPr>
          <w:rFonts w:ascii="Palatino Linotype" w:hAnsi="Palatino Linotype"/>
        </w:rPr>
        <w:t xml:space="preserve"> </w:t>
      </w:r>
      <w:r>
        <w:rPr>
          <w:rFonts w:ascii="Palatino Linotype" w:hAnsi="Palatino Linotype"/>
        </w:rPr>
        <w:t>y ordenar la entrega de la información en versión pública</w:t>
      </w:r>
      <w:r w:rsidR="00E74F48">
        <w:rPr>
          <w:rFonts w:ascii="Palatino Linotype" w:hAnsi="Palatino Linotype"/>
        </w:rPr>
        <w:t xml:space="preserve"> de ser procedente</w:t>
      </w:r>
      <w:r>
        <w:rPr>
          <w:rFonts w:ascii="Palatino Linotype" w:hAnsi="Palatino Linotype"/>
        </w:rPr>
        <w:t xml:space="preserve">, </w:t>
      </w:r>
      <w:r w:rsidRPr="0063409B">
        <w:rPr>
          <w:rFonts w:ascii="Palatino Linotype" w:hAnsi="Palatino Linotype"/>
        </w:rPr>
        <w:t>en razón de las consideraciones de derecho que a continuación se exponen:</w:t>
      </w:r>
    </w:p>
    <w:p w:rsidR="00C52873" w:rsidRDefault="00C52873" w:rsidP="00C52873">
      <w:pPr>
        <w:spacing w:before="240" w:after="240" w:line="360" w:lineRule="auto"/>
        <w:jc w:val="both"/>
        <w:rPr>
          <w:rFonts w:ascii="Palatino Linotype" w:eastAsia="Calibri" w:hAnsi="Palatino Linotype" w:cs="Arial"/>
        </w:rPr>
      </w:pPr>
      <w:r w:rsidRPr="00125841">
        <w:rPr>
          <w:rFonts w:ascii="Palatino Linotype" w:hAnsi="Palatino Linotype"/>
        </w:rPr>
        <w:t xml:space="preserve">Ante todo, </w:t>
      </w:r>
      <w:r>
        <w:rPr>
          <w:rFonts w:ascii="Palatino Linotype" w:hAnsi="Palatino Linotype" w:cs="Arial"/>
          <w:color w:val="000000"/>
        </w:rPr>
        <w:t>se debe resaltar que con la</w:t>
      </w:r>
      <w:r w:rsidR="00907540">
        <w:rPr>
          <w:rFonts w:ascii="Palatino Linotype" w:hAnsi="Palatino Linotype" w:cs="Arial"/>
          <w:color w:val="000000"/>
        </w:rPr>
        <w:t>s manifestaciones hechas</w:t>
      </w:r>
      <w:r w:rsidR="007122F1">
        <w:rPr>
          <w:rFonts w:ascii="Palatino Linotype" w:hAnsi="Palatino Linotype" w:cs="Arial"/>
          <w:color w:val="000000"/>
        </w:rPr>
        <w:t xml:space="preserve"> valer por </w:t>
      </w:r>
      <w:r w:rsidR="00606693" w:rsidRPr="00606693">
        <w:rPr>
          <w:rFonts w:ascii="Palatino Linotype" w:hAnsi="Palatino Linotype" w:cs="Arial"/>
          <w:b/>
          <w:color w:val="000000"/>
        </w:rPr>
        <w:t>EL SUJETO OBLIGADO</w:t>
      </w:r>
      <w:r w:rsidR="00F1378F">
        <w:rPr>
          <w:rFonts w:ascii="Palatino Linotype" w:hAnsi="Palatino Linotype" w:cs="Arial"/>
          <w:color w:val="000000"/>
        </w:rPr>
        <w:t xml:space="preserve"> en respuesta, </w:t>
      </w:r>
      <w:r w:rsidR="007122F1">
        <w:rPr>
          <w:rFonts w:ascii="Palatino Linotype" w:hAnsi="Palatino Linotype" w:cs="Arial"/>
          <w:color w:val="000000"/>
        </w:rPr>
        <w:t>proporcionada</w:t>
      </w:r>
      <w:r>
        <w:rPr>
          <w:rFonts w:ascii="Palatino Linotype" w:hAnsi="Palatino Linotype" w:cs="Arial"/>
          <w:color w:val="000000"/>
        </w:rPr>
        <w:t xml:space="preserve"> en el SAIMEX, </w:t>
      </w:r>
      <w:r w:rsidR="007122F1">
        <w:rPr>
          <w:rFonts w:ascii="Palatino Linotype" w:hAnsi="Palatino Linotype"/>
        </w:rPr>
        <w:t>éste</w:t>
      </w:r>
      <w:r w:rsidRPr="00125841">
        <w:rPr>
          <w:rFonts w:ascii="Palatino Linotype" w:hAnsi="Palatino Linotype"/>
        </w:rPr>
        <w:t xml:space="preserve"> </w:t>
      </w:r>
      <w:r w:rsidRPr="00125841">
        <w:rPr>
          <w:rFonts w:ascii="Palatino Linotype" w:hAnsi="Palatino Linotype" w:cs="Arial"/>
        </w:rPr>
        <w:t xml:space="preserve">no niega contar con la información solicitada por el recurrente, sino </w:t>
      </w:r>
      <w:r w:rsidR="00FA0A5D">
        <w:rPr>
          <w:rFonts w:ascii="Palatino Linotype" w:eastAsia="Calibri" w:hAnsi="Palatino Linotype" w:cs="Arial"/>
          <w:lang w:val="es-MX" w:eastAsia="en-US"/>
        </w:rPr>
        <w:t>por el contrario</w:t>
      </w:r>
      <w:r w:rsidR="005052F5">
        <w:rPr>
          <w:rFonts w:ascii="Palatino Linotype" w:eastAsia="Calibri" w:hAnsi="Palatino Linotype" w:cs="Arial"/>
          <w:lang w:val="es-MX" w:eastAsia="en-US"/>
        </w:rPr>
        <w:t>;</w:t>
      </w:r>
      <w:r w:rsidRPr="00125841">
        <w:rPr>
          <w:rFonts w:ascii="Palatino Linotype" w:eastAsia="Calibri" w:hAnsi="Palatino Linotype" w:cs="Arial"/>
          <w:lang w:val="es-MX" w:eastAsia="en-US"/>
        </w:rPr>
        <w:t xml:space="preserve"> </w:t>
      </w:r>
      <w:r w:rsidRPr="00125841">
        <w:rPr>
          <w:rFonts w:ascii="Palatino Linotype" w:eastAsia="Calibri" w:hAnsi="Palatino Linotype" w:cs="Arial"/>
        </w:rPr>
        <w:t xml:space="preserve">por lo </w:t>
      </w:r>
      <w:r>
        <w:rPr>
          <w:rFonts w:ascii="Palatino Linotype" w:eastAsia="Calibri" w:hAnsi="Palatino Linotype" w:cs="Arial"/>
        </w:rPr>
        <w:t xml:space="preserve">cual, </w:t>
      </w:r>
      <w:r w:rsidRPr="00125841">
        <w:rPr>
          <w:rFonts w:ascii="Palatino Linotype" w:eastAsia="Calibri" w:hAnsi="Palatino Linotype" w:cs="Arial"/>
        </w:rPr>
        <w:t>la naturaleza jurídica de la información solicitada,</w:t>
      </w:r>
      <w:r>
        <w:rPr>
          <w:rFonts w:ascii="Palatino Linotype" w:eastAsia="Calibri" w:hAnsi="Palatino Linotype" w:cs="Arial"/>
        </w:rPr>
        <w:t xml:space="preserve"> en el caso concreto, </w:t>
      </w:r>
      <w:r w:rsidRPr="00125841">
        <w:rPr>
          <w:rFonts w:ascii="Palatino Linotype" w:eastAsia="Calibri" w:hAnsi="Palatino Linotype" w:cs="Arial"/>
        </w:rPr>
        <w:t>se obvia.</w:t>
      </w:r>
    </w:p>
    <w:p w:rsidR="00C52873" w:rsidRPr="007153F2" w:rsidRDefault="00C52873" w:rsidP="00C52873">
      <w:pPr>
        <w:widowControl w:val="0"/>
        <w:autoSpaceDE w:val="0"/>
        <w:autoSpaceDN w:val="0"/>
        <w:adjustRightInd w:val="0"/>
        <w:spacing w:before="240" w:after="240" w:line="360" w:lineRule="auto"/>
        <w:jc w:val="both"/>
        <w:rPr>
          <w:rFonts w:ascii="Palatino Linotype" w:eastAsia="Arial Unicode MS" w:hAnsi="Palatino Linotype" w:cs="Arial"/>
        </w:rPr>
      </w:pPr>
      <w:r w:rsidRPr="00943101">
        <w:rPr>
          <w:rFonts w:ascii="Palatino Linotype" w:eastAsia="Calibri" w:hAnsi="Palatino Linotype" w:cs="Arial"/>
        </w:rPr>
        <w:t>Lo anterior es así, ya que e</w:t>
      </w:r>
      <w:r w:rsidRPr="00943101">
        <w:rPr>
          <w:rFonts w:ascii="Palatino Linotype" w:eastAsia="Arial Unicode MS" w:hAnsi="Palatino Linotype" w:cs="Arial"/>
        </w:rPr>
        <w:t xml:space="preserve">l estudio enunciado tiene por objeto determinar si el </w:t>
      </w:r>
      <w:r w:rsidR="00606693" w:rsidRPr="00606693">
        <w:rPr>
          <w:rFonts w:ascii="Palatino Linotype" w:eastAsia="Arial Unicode MS" w:hAnsi="Palatino Linotype" w:cs="Arial"/>
          <w:b/>
        </w:rPr>
        <w:t>SUJETO OBLIGADO</w:t>
      </w:r>
      <w:r>
        <w:rPr>
          <w:rFonts w:ascii="Palatino Linotype" w:eastAsia="Arial Unicode MS" w:hAnsi="Palatino Linotype" w:cs="Arial"/>
        </w:rPr>
        <w:t xml:space="preserve"> genera, posee o administra</w:t>
      </w:r>
      <w:r w:rsidRPr="00943101">
        <w:rPr>
          <w:rFonts w:ascii="Palatino Linotype" w:eastAsia="Arial Unicode MS" w:hAnsi="Palatino Linotype" w:cs="Arial"/>
        </w:rPr>
        <w:t xml:space="preserve"> la información solicitada</w:t>
      </w:r>
      <w:r w:rsidRPr="00943101">
        <w:rPr>
          <w:rFonts w:ascii="Palatino Linotype" w:eastAsia="Arial Unicode MS" w:hAnsi="Palatino Linotype" w:cs="Arial"/>
          <w:color w:val="000000"/>
        </w:rPr>
        <w:t>;</w:t>
      </w:r>
      <w:r w:rsidRPr="00943101">
        <w:rPr>
          <w:rFonts w:ascii="Palatino Linotype" w:eastAsia="Arial Unicode MS" w:hAnsi="Palatino Linotype" w:cs="Arial"/>
        </w:rPr>
        <w:t xml:space="preserve"> sin embargo, en aquellos casos en que éste la asume, ello efectivamente está en su poder; por consiguiente, sería ocioso y a nada práctico nos conduciría su estudio, ya que se insiste, la información pública solicitada fue asumida por el </w:t>
      </w:r>
      <w:r w:rsidRPr="00856704">
        <w:rPr>
          <w:rFonts w:ascii="Palatino Linotype" w:eastAsia="Arial Unicode MS" w:hAnsi="Palatino Linotype" w:cs="Arial"/>
        </w:rPr>
        <w:t>Sujeto Obligado.</w:t>
      </w:r>
    </w:p>
    <w:p w:rsidR="00C52873" w:rsidRDefault="006D26C6" w:rsidP="00C52873">
      <w:pPr>
        <w:spacing w:before="240" w:after="240" w:line="360" w:lineRule="auto"/>
        <w:jc w:val="both"/>
        <w:rPr>
          <w:rFonts w:ascii="Palatino Linotype" w:hAnsi="Palatino Linotype" w:cs="Arial"/>
        </w:rPr>
      </w:pPr>
      <w:r>
        <w:rPr>
          <w:rFonts w:ascii="Palatino Linotype" w:eastAsia="Calibri" w:hAnsi="Palatino Linotype" w:cs="Arial"/>
          <w:lang w:val="es-MX" w:eastAsia="en-US"/>
        </w:rPr>
        <w:t>E</w:t>
      </w:r>
      <w:r w:rsidR="00C52873" w:rsidRPr="00A147B8">
        <w:rPr>
          <w:rFonts w:ascii="Palatino Linotype" w:eastAsia="Calibri" w:hAnsi="Palatino Linotype" w:cs="Arial"/>
          <w:lang w:val="es-MX" w:eastAsia="en-US"/>
        </w:rPr>
        <w:t>s conveniente analizar si la respuesta</w:t>
      </w:r>
      <w:r w:rsidR="00A147B8">
        <w:rPr>
          <w:rFonts w:ascii="Palatino Linotype" w:eastAsia="Calibri" w:hAnsi="Palatino Linotype" w:cs="Arial"/>
          <w:lang w:val="es-MX" w:eastAsia="en-US"/>
        </w:rPr>
        <w:t xml:space="preserve"> </w:t>
      </w:r>
      <w:r w:rsidR="00C52873" w:rsidRPr="00A147B8">
        <w:rPr>
          <w:rFonts w:ascii="Palatino Linotype" w:eastAsia="Calibri" w:hAnsi="Palatino Linotype" w:cs="Arial"/>
          <w:lang w:val="es-MX" w:eastAsia="en-US"/>
        </w:rPr>
        <w:t xml:space="preserve">del </w:t>
      </w:r>
      <w:r w:rsidR="00606693" w:rsidRPr="00A147B8">
        <w:rPr>
          <w:rFonts w:ascii="Palatino Linotype" w:eastAsia="Calibri" w:hAnsi="Palatino Linotype" w:cs="Arial"/>
          <w:b/>
          <w:lang w:val="es-MX" w:eastAsia="en-US"/>
        </w:rPr>
        <w:t>SUJETO OBLIGADO</w:t>
      </w:r>
      <w:r w:rsidR="00606693" w:rsidRPr="00A147B8">
        <w:rPr>
          <w:rFonts w:ascii="Palatino Linotype" w:eastAsia="Calibri" w:hAnsi="Palatino Linotype" w:cs="Arial"/>
          <w:lang w:val="es-MX" w:eastAsia="en-US"/>
        </w:rPr>
        <w:t xml:space="preserve"> </w:t>
      </w:r>
      <w:r w:rsidR="00C52873" w:rsidRPr="00A147B8">
        <w:rPr>
          <w:rFonts w:ascii="Palatino Linotype" w:eastAsia="Calibri" w:hAnsi="Palatino Linotype" w:cs="Arial"/>
          <w:lang w:val="es-MX" w:eastAsia="en-US"/>
        </w:rPr>
        <w:t xml:space="preserve">cumple con los requisitos y procedimientos del derecho de acceso a la información pública, en atención a que en la </w:t>
      </w:r>
      <w:r w:rsidR="00C52873" w:rsidRPr="00A147B8">
        <w:rPr>
          <w:rFonts w:ascii="Palatino Linotype" w:hAnsi="Palatino Linotype" w:cs="Arial"/>
        </w:rPr>
        <w:t>Ley de Transparencia y Acceso</w:t>
      </w:r>
      <w:r w:rsidR="00C52873" w:rsidRPr="007122F1">
        <w:rPr>
          <w:rFonts w:ascii="Palatino Linotype" w:hAnsi="Palatino Linotype" w:cs="Arial"/>
        </w:rPr>
        <w:t xml:space="preserve"> a la Información Pública del </w:t>
      </w:r>
      <w:r w:rsidR="00C52873" w:rsidRPr="007122F1">
        <w:rPr>
          <w:rFonts w:ascii="Palatino Linotype" w:hAnsi="Palatino Linotype" w:cs="Arial"/>
        </w:rPr>
        <w:lastRenderedPageBreak/>
        <w:t xml:space="preserve">Estado de México y Municipios en su artículo 4, que dice que toda la información generada, obtenida, adquirida, transformada, administrada o en posesión de los sujetos obligados es pública y accesible de manera permanente a cualquier persona, </w:t>
      </w:r>
      <w:r w:rsidR="00C52873" w:rsidRPr="000534DD">
        <w:rPr>
          <w:rFonts w:ascii="Palatino Linotype" w:hAnsi="Palatino Linotype" w:cs="Arial"/>
        </w:rPr>
        <w:t xml:space="preserve">privilegiando el principio de máxima publicidad, como </w:t>
      </w:r>
      <w:r w:rsidR="00C52873">
        <w:rPr>
          <w:rFonts w:ascii="Palatino Linotype" w:hAnsi="Palatino Linotype" w:cs="Arial"/>
        </w:rPr>
        <w:t>así lo establece dicha determinación, que a continuación se trascribe para un mejor entendimiento:</w:t>
      </w:r>
    </w:p>
    <w:p w:rsidR="00C52873" w:rsidRDefault="00C52873" w:rsidP="00C52873">
      <w:pPr>
        <w:spacing w:before="240" w:after="240"/>
        <w:ind w:left="709" w:right="760"/>
        <w:contextualSpacing/>
        <w:jc w:val="both"/>
        <w:rPr>
          <w:rFonts w:ascii="Palatino Linotype" w:hAnsi="Palatino Linotype" w:cs="Arial"/>
          <w:i/>
          <w:sz w:val="22"/>
          <w:szCs w:val="22"/>
        </w:rPr>
      </w:pPr>
      <w:r>
        <w:rPr>
          <w:rFonts w:ascii="Palatino Linotype" w:hAnsi="Palatino Linotype" w:cs="Arial"/>
          <w:i/>
          <w:sz w:val="22"/>
          <w:szCs w:val="22"/>
        </w:rPr>
        <w:t>“</w:t>
      </w:r>
      <w:r w:rsidRPr="001013A9">
        <w:rPr>
          <w:rFonts w:ascii="Palatino Linotype" w:hAnsi="Palatino Linotype" w:cs="Arial"/>
          <w:b/>
          <w:i/>
          <w:sz w:val="22"/>
          <w:szCs w:val="22"/>
        </w:rPr>
        <w:t>Artículo 4</w:t>
      </w:r>
      <w:r w:rsidRPr="004B2697">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C52873" w:rsidRDefault="00C52873" w:rsidP="00C52873">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4B2697">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C52873" w:rsidRDefault="00C52873" w:rsidP="00C52873">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t>Los sujetos obligados deben poner en práctica, políticas y programas de acceso a la información que se apeguen a criterios de publicidad, veracidad, oportunidad, precisión y suficiencia en beneficio de los solicitantes</w:t>
      </w:r>
      <w:r w:rsidR="00BB5235" w:rsidRPr="004B2697">
        <w:rPr>
          <w:rFonts w:ascii="Palatino Linotype" w:hAnsi="Palatino Linotype" w:cs="Arial"/>
          <w:i/>
          <w:sz w:val="22"/>
          <w:szCs w:val="22"/>
        </w:rPr>
        <w:t>.</w:t>
      </w:r>
      <w:r w:rsidR="00BB5235">
        <w:rPr>
          <w:rFonts w:ascii="Palatino Linotype" w:hAnsi="Palatino Linotype" w:cs="Arial"/>
          <w:i/>
          <w:sz w:val="22"/>
          <w:szCs w:val="22"/>
        </w:rPr>
        <w:t>” (</w:t>
      </w:r>
      <w:r>
        <w:rPr>
          <w:rFonts w:ascii="Palatino Linotype" w:hAnsi="Palatino Linotype" w:cs="Arial"/>
          <w:i/>
          <w:sz w:val="22"/>
          <w:szCs w:val="22"/>
        </w:rPr>
        <w:t>Sic)</w:t>
      </w:r>
    </w:p>
    <w:p w:rsidR="00C52873" w:rsidRPr="004B2697" w:rsidRDefault="00C52873" w:rsidP="00C52873">
      <w:pPr>
        <w:spacing w:before="240" w:after="240"/>
        <w:ind w:left="709" w:right="760"/>
        <w:contextualSpacing/>
        <w:jc w:val="both"/>
        <w:rPr>
          <w:rFonts w:ascii="Palatino Linotype" w:hAnsi="Palatino Linotype" w:cs="Arial"/>
          <w:i/>
          <w:sz w:val="22"/>
          <w:szCs w:val="22"/>
        </w:rPr>
      </w:pPr>
    </w:p>
    <w:p w:rsidR="00C52873" w:rsidRDefault="00C52873" w:rsidP="00C52873">
      <w:pPr>
        <w:spacing w:before="240" w:after="240" w:line="360" w:lineRule="auto"/>
        <w:jc w:val="both"/>
        <w:rPr>
          <w:rFonts w:ascii="Palatino Linotype" w:hAnsi="Palatino Linotype" w:cs="Arial"/>
        </w:rPr>
      </w:pPr>
      <w:r>
        <w:rPr>
          <w:rFonts w:ascii="Palatino Linotype" w:hAnsi="Palatino Linotype" w:cs="Arial"/>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 que a la letra dice:</w:t>
      </w:r>
    </w:p>
    <w:p w:rsidR="00C52873" w:rsidRDefault="00C52873" w:rsidP="00C52873">
      <w:pPr>
        <w:spacing w:before="240" w:after="240"/>
        <w:ind w:left="567" w:right="758"/>
        <w:contextualSpacing/>
        <w:jc w:val="both"/>
        <w:rPr>
          <w:rFonts w:ascii="Palatino Linotype" w:hAnsi="Palatino Linotype" w:cs="Arial"/>
          <w:i/>
          <w:sz w:val="22"/>
          <w:szCs w:val="22"/>
        </w:rPr>
      </w:pPr>
      <w:r w:rsidRPr="001013A9">
        <w:rPr>
          <w:rFonts w:ascii="Palatino Linotype" w:hAnsi="Palatino Linotype" w:cs="Arial"/>
          <w:b/>
          <w:i/>
          <w:sz w:val="22"/>
          <w:szCs w:val="22"/>
        </w:rPr>
        <w:t>“Artículo 12.-</w:t>
      </w:r>
      <w:r>
        <w:rPr>
          <w:rFonts w:ascii="Palatino Linotype" w:hAnsi="Palatino Linotype" w:cs="Arial"/>
          <w:i/>
          <w:sz w:val="22"/>
          <w:szCs w:val="22"/>
        </w:rPr>
        <w:t xml:space="preserve"> </w:t>
      </w:r>
      <w:r w:rsidRPr="00B11B43">
        <w:rPr>
          <w:rFonts w:ascii="Palatino Linotype" w:hAnsi="Palatino Linotype" w:cs="Arial"/>
          <w:i/>
          <w:sz w:val="22"/>
          <w:szCs w:val="22"/>
        </w:rPr>
        <w:t xml:space="preserve">Quienes generen, recopilen, administren, manejen, procesen, archiven o conserven información pública serán responsables de la misma en los términos de las disposiciones jurídicas aplicables. </w:t>
      </w:r>
    </w:p>
    <w:p w:rsidR="00C52873" w:rsidRDefault="00C52873" w:rsidP="00C52873">
      <w:pPr>
        <w:spacing w:before="240" w:after="240"/>
        <w:ind w:left="567" w:right="758"/>
        <w:contextualSpacing/>
        <w:jc w:val="both"/>
        <w:rPr>
          <w:rFonts w:ascii="Palatino Linotype" w:hAnsi="Palatino Linotype" w:cs="Arial"/>
          <w:i/>
          <w:sz w:val="22"/>
          <w:szCs w:val="22"/>
        </w:rPr>
      </w:pPr>
    </w:p>
    <w:p w:rsidR="00C52873" w:rsidRPr="00B11B43" w:rsidRDefault="00C52873" w:rsidP="00C52873">
      <w:pPr>
        <w:spacing w:before="240" w:after="240"/>
        <w:ind w:left="567" w:right="758"/>
        <w:contextualSpacing/>
        <w:jc w:val="both"/>
        <w:rPr>
          <w:rFonts w:ascii="Palatino Linotype" w:hAnsi="Palatino Linotype" w:cs="Arial"/>
          <w:i/>
          <w:sz w:val="22"/>
          <w:szCs w:val="22"/>
        </w:rPr>
      </w:pPr>
      <w:r w:rsidRPr="000756A1">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B11B43">
        <w:rPr>
          <w:rFonts w:ascii="Palatino Linotype" w:hAnsi="Palatino Linotype" w:cs="Arial"/>
          <w:i/>
          <w:sz w:val="22"/>
          <w:szCs w:val="22"/>
        </w:rPr>
        <w:t xml:space="preserve">. </w:t>
      </w:r>
      <w:r w:rsidRPr="000756A1">
        <w:rPr>
          <w:rFonts w:ascii="Palatino Linotype" w:hAnsi="Palatino Linotype" w:cs="Arial"/>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cs="Arial"/>
          <w:b/>
          <w:i/>
          <w:sz w:val="22"/>
          <w:szCs w:val="22"/>
        </w:rPr>
        <w:t>” (Sic)</w:t>
      </w:r>
    </w:p>
    <w:p w:rsidR="00C52873" w:rsidRDefault="00C52873" w:rsidP="00C52873">
      <w:pPr>
        <w:spacing w:line="360" w:lineRule="auto"/>
        <w:ind w:right="-93"/>
        <w:jc w:val="both"/>
        <w:rPr>
          <w:rFonts w:ascii="Palatino Linotype" w:hAnsi="Palatino Linotype" w:cs="Arial"/>
          <w:color w:val="000000"/>
        </w:rPr>
      </w:pPr>
    </w:p>
    <w:p w:rsidR="00C52873" w:rsidRDefault="00C52873" w:rsidP="00C52873">
      <w:pPr>
        <w:spacing w:line="360" w:lineRule="auto"/>
        <w:ind w:right="-93"/>
        <w:jc w:val="both"/>
        <w:rPr>
          <w:rFonts w:ascii="Palatino Linotype" w:hAnsi="Palatino Linotype" w:cs="Arial"/>
          <w:color w:val="000000"/>
        </w:rPr>
      </w:pPr>
      <w:r>
        <w:rPr>
          <w:rFonts w:ascii="Palatino Linotype" w:hAnsi="Palatino Linotype" w:cs="Arial"/>
          <w:color w:val="000000"/>
        </w:rPr>
        <w:t xml:space="preserve">Es decir, </w:t>
      </w:r>
      <w:r w:rsidRPr="00640A05">
        <w:rPr>
          <w:rFonts w:ascii="Palatino Linotype" w:hAnsi="Palatino Linotype" w:cs="Arial"/>
          <w:color w:val="000000"/>
        </w:rPr>
        <w:t xml:space="preserve">que todo sujeto obligado que genere, recopile, administre, procese, archive, posea o conserven, son responsables de la misma teniendo a su vez la obligación de proporcionar la información que se les requiera </w:t>
      </w:r>
      <w:r>
        <w:rPr>
          <w:rFonts w:ascii="Palatino Linotype" w:hAnsi="Palatino Linotype" w:cs="Arial"/>
          <w:color w:val="000000"/>
        </w:rPr>
        <w:t>sin necesidad de resumirla, efectuar procedimientos para obtenerla, calcular y practicar investigaciones; en otras palabras, que lo</w:t>
      </w:r>
      <w:r w:rsidR="001A6196">
        <w:rPr>
          <w:rFonts w:ascii="Palatino Linotype" w:hAnsi="Palatino Linotype" w:cs="Arial"/>
          <w:color w:val="000000"/>
        </w:rPr>
        <w:t>s</w:t>
      </w:r>
      <w:r>
        <w:rPr>
          <w:rFonts w:ascii="Palatino Linotype" w:hAnsi="Palatino Linotype" w:cs="Arial"/>
          <w:color w:val="000000"/>
        </w:rPr>
        <w:t xml:space="preserve"> Sujetos Obligados solo se concretaran a proporcionar la información solicitada que tengan en su poder en el estado que se encuentran, sin necesidad de concretarse al interés o términos específicos del solicitante.</w:t>
      </w:r>
    </w:p>
    <w:p w:rsidR="002F0E46" w:rsidRDefault="002F0E46" w:rsidP="00C52873">
      <w:pPr>
        <w:spacing w:line="360" w:lineRule="auto"/>
        <w:ind w:right="-93"/>
        <w:jc w:val="both"/>
        <w:rPr>
          <w:rFonts w:ascii="Palatino Linotype" w:hAnsi="Palatino Linotype" w:cs="Arial"/>
          <w:color w:val="000000"/>
        </w:rPr>
      </w:pPr>
    </w:p>
    <w:p w:rsidR="00C52873" w:rsidRDefault="00C52873" w:rsidP="00C52873">
      <w:pPr>
        <w:spacing w:line="360" w:lineRule="auto"/>
        <w:jc w:val="both"/>
        <w:rPr>
          <w:rFonts w:ascii="Palatino Linotype" w:hAnsi="Palatino Linotype"/>
          <w:b/>
          <w:bCs/>
          <w:color w:val="000000"/>
        </w:rPr>
      </w:pPr>
      <w:r>
        <w:rPr>
          <w:rFonts w:ascii="Palatino Linotype" w:hAnsi="Palatino Linotype" w:cs="Arial"/>
          <w:color w:val="000000"/>
        </w:rPr>
        <w:t xml:space="preserve">Sirve de apoyo a lo anterior, el criterio 03-17, expuesto por </w:t>
      </w:r>
      <w:r>
        <w:rPr>
          <w:rFonts w:ascii="Palatino Linotype" w:eastAsia="Arial Unicode MS" w:hAnsi="Palatino Linotype" w:cs="Arial"/>
          <w:color w:val="000000"/>
        </w:rPr>
        <w:t>el Instituto Nacional de Transparencia, Acceso a la Información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rsidR="00C52873" w:rsidRDefault="00C52873" w:rsidP="00C52873">
      <w:pPr>
        <w:ind w:left="851" w:right="850"/>
        <w:jc w:val="both"/>
        <w:rPr>
          <w:rFonts w:ascii="Palatino Linotype" w:hAnsi="Palatino Linotype" w:cs="Arial"/>
          <w:color w:val="000000"/>
        </w:rPr>
      </w:pPr>
    </w:p>
    <w:p w:rsidR="00C52873" w:rsidRDefault="00C52873" w:rsidP="00C5287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Pr>
          <w:rFonts w:ascii="Palatino Linotype" w:hAnsi="Palatino Linotype" w:cs="Arial"/>
          <w:b/>
          <w:i/>
          <w:color w:val="000000"/>
          <w:sz w:val="22"/>
          <w:szCs w:val="22"/>
        </w:rPr>
        <w:t>No existe obligación de elaborar documentos ad hoc para atender las solicitudes de acceso a la información.</w:t>
      </w:r>
      <w:r>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C52873" w:rsidRDefault="00C52873" w:rsidP="00C5287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 xml:space="preserve">Resoluciones: </w:t>
      </w:r>
    </w:p>
    <w:p w:rsidR="00C52873" w:rsidRDefault="00C52873" w:rsidP="00C5287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C52873" w:rsidRDefault="00C52873" w:rsidP="00C5287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lastRenderedPageBreak/>
        <w:sym w:font="Symbol" w:char="F0B7"/>
      </w:r>
      <w:r>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C52873" w:rsidRDefault="00C52873" w:rsidP="00C5287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r w:rsidR="00F159AC">
        <w:rPr>
          <w:rFonts w:ascii="Palatino Linotype" w:hAnsi="Palatino Linotype" w:cs="Arial"/>
          <w:i/>
          <w:color w:val="000000"/>
          <w:sz w:val="22"/>
          <w:szCs w:val="22"/>
        </w:rPr>
        <w:t>(Sic)</w:t>
      </w:r>
    </w:p>
    <w:p w:rsidR="00A147B8" w:rsidRDefault="00A147B8" w:rsidP="00C52873">
      <w:pPr>
        <w:spacing w:line="360" w:lineRule="auto"/>
        <w:jc w:val="both"/>
        <w:rPr>
          <w:rFonts w:ascii="Palatino Linotype" w:hAnsi="Palatino Linotype" w:cs="Arial"/>
        </w:rPr>
      </w:pPr>
    </w:p>
    <w:p w:rsidR="00C52873" w:rsidRDefault="00C52873" w:rsidP="00C52873">
      <w:pPr>
        <w:spacing w:line="360" w:lineRule="auto"/>
        <w:jc w:val="both"/>
        <w:rPr>
          <w:rFonts w:ascii="Palatino Linotype" w:hAnsi="Palatino Linotype" w:cs="Arial"/>
          <w:color w:val="000000" w:themeColor="text1"/>
        </w:rPr>
      </w:pPr>
      <w:r>
        <w:rPr>
          <w:rFonts w:ascii="Palatino Linotype" w:hAnsi="Palatino Linotype" w:cs="Arial"/>
        </w:rPr>
        <w:t>En esa tesitura,</w:t>
      </w:r>
      <w:r w:rsidRPr="004975CB">
        <w:rPr>
          <w:rFonts w:ascii="Palatino Linotype" w:hAnsi="Palatino Linotype" w:cs="Arial"/>
        </w:rPr>
        <w:t xml:space="preserve"> </w:t>
      </w:r>
      <w:r>
        <w:rPr>
          <w:rFonts w:ascii="Palatino Linotype" w:hAnsi="Palatino Linotype" w:cs="Arial"/>
        </w:rPr>
        <w:t>el artículo 24 en su último párrafo de la Ley de la M</w:t>
      </w:r>
      <w:r w:rsidRPr="004975CB">
        <w:rPr>
          <w:rFonts w:ascii="Palatino Linotype" w:hAnsi="Palatino Linotype" w:cs="Arial"/>
        </w:rPr>
        <w:t xml:space="preserve">ateria, dispone que los Sujetos Obligados </w:t>
      </w:r>
      <w:r w:rsidRPr="009E12B6">
        <w:rPr>
          <w:rFonts w:ascii="Palatino Linotype" w:hAnsi="Palatino Linotype" w:cs="Arial"/>
          <w:color w:val="000000" w:themeColor="text1"/>
        </w:rPr>
        <w:t xml:space="preserve">sólo proporcionarán la información pública que </w:t>
      </w:r>
      <w:r w:rsidRPr="009E12B6">
        <w:rPr>
          <w:rFonts w:ascii="Palatino Linotype" w:hAnsi="Palatino Linotype" w:cs="Arial"/>
        </w:rPr>
        <w:t>generen</w:t>
      </w:r>
      <w:r w:rsidRPr="009E12B6">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w:t>
      </w:r>
      <w:r>
        <w:rPr>
          <w:rFonts w:ascii="Palatino Linotype" w:hAnsi="Palatino Linotype" w:cs="Arial"/>
          <w:color w:val="000000" w:themeColor="text1"/>
        </w:rPr>
        <w:t>jetos Obligados, garantizar el Derecho de Acceso a la Información Pública, lo que no sucedió en el presente caso.</w:t>
      </w:r>
    </w:p>
    <w:p w:rsidR="00C52873" w:rsidRDefault="00C52873" w:rsidP="00C52873">
      <w:pPr>
        <w:spacing w:line="360" w:lineRule="auto"/>
        <w:jc w:val="both"/>
        <w:rPr>
          <w:rFonts w:ascii="Palatino Linotype" w:hAnsi="Palatino Linotype" w:cs="Arial"/>
          <w:color w:val="000000" w:themeColor="text1"/>
        </w:rPr>
      </w:pPr>
    </w:p>
    <w:p w:rsidR="00C52873" w:rsidRDefault="00C52873" w:rsidP="00C52873">
      <w:pPr>
        <w:spacing w:before="240" w:after="240" w:line="360" w:lineRule="auto"/>
        <w:ind w:right="49"/>
        <w:contextualSpacing/>
        <w:jc w:val="both"/>
        <w:rPr>
          <w:rFonts w:ascii="Palatino Linotype" w:hAnsi="Palatino Linotype" w:cs="Arial"/>
        </w:rPr>
      </w:pPr>
      <w:r w:rsidRPr="00FC1F16">
        <w:rPr>
          <w:rFonts w:ascii="Palatino Linotype" w:hAnsi="Palatino Linotype" w:cs="Arial"/>
        </w:rPr>
        <w:t xml:space="preserve">Siempre </w:t>
      </w:r>
      <w:r>
        <w:rPr>
          <w:rFonts w:ascii="Palatino Linotype" w:hAnsi="Palatino Linotype" w:cs="Arial"/>
        </w:rPr>
        <w:t xml:space="preserve">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w:t>
      </w:r>
    </w:p>
    <w:p w:rsidR="00C52873" w:rsidRDefault="00C52873" w:rsidP="00C52873">
      <w:pPr>
        <w:spacing w:before="240" w:after="240" w:line="360" w:lineRule="auto"/>
        <w:ind w:right="49"/>
        <w:contextualSpacing/>
        <w:jc w:val="both"/>
        <w:rPr>
          <w:rFonts w:ascii="Palatino Linotype" w:hAnsi="Palatino Linotype" w:cs="Arial"/>
        </w:rPr>
      </w:pPr>
    </w:p>
    <w:p w:rsidR="00C52873" w:rsidRPr="004975CB" w:rsidRDefault="00C52873" w:rsidP="00C52873">
      <w:pPr>
        <w:spacing w:line="360" w:lineRule="auto"/>
        <w:jc w:val="both"/>
        <w:rPr>
          <w:rFonts w:ascii="Palatino Linotype" w:hAnsi="Palatino Linotype" w:cs="Arial"/>
        </w:rPr>
      </w:pPr>
      <w:r w:rsidRPr="004975CB">
        <w:rPr>
          <w:rFonts w:ascii="Palatino Linotype" w:hAnsi="Palatino Linotype" w:cs="Arial"/>
        </w:rPr>
        <w:t>En conclusión</w:t>
      </w:r>
      <w:r>
        <w:rPr>
          <w:rFonts w:ascii="Palatino Linotype" w:hAnsi="Palatino Linotype" w:cs="Arial"/>
        </w:rPr>
        <w:t>,</w:t>
      </w:r>
      <w:r w:rsidRPr="004975CB">
        <w:rPr>
          <w:rFonts w:ascii="Palatino Linotype" w:hAnsi="Palatino Linotype" w:cs="Arial"/>
        </w:rPr>
        <w:t xml:space="preserv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w:t>
      </w:r>
      <w:r w:rsidRPr="004975CB">
        <w:rPr>
          <w:rFonts w:ascii="Palatino Linotype" w:hAnsi="Palatino Linotype" w:cs="Arial"/>
        </w:rPr>
        <w:lastRenderedPageBreak/>
        <w:t xml:space="preserve">podrán estar en cualquier medio, sea escrito, impreso, sonoro, visual, electrónico, informático u holográfico de conformidad con el artículo 3, fracción XI de la Ley de la materia, el cual señala lo siguiente: </w:t>
      </w:r>
    </w:p>
    <w:p w:rsidR="00C52873" w:rsidRPr="004975CB" w:rsidRDefault="00C52873" w:rsidP="00C52873">
      <w:pPr>
        <w:ind w:left="851" w:right="899"/>
        <w:jc w:val="both"/>
        <w:rPr>
          <w:rFonts w:ascii="Palatino Linotype" w:hAnsi="Palatino Linotype" w:cs="Arial"/>
          <w:i/>
          <w:sz w:val="22"/>
          <w:szCs w:val="22"/>
        </w:rPr>
      </w:pPr>
    </w:p>
    <w:p w:rsidR="00C52873" w:rsidRPr="004975CB" w:rsidRDefault="00C52873" w:rsidP="00C52873">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rsidR="00C52873" w:rsidRPr="004975CB" w:rsidRDefault="00C52873" w:rsidP="00C52873">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p>
    <w:p w:rsidR="00C52873" w:rsidRPr="009E12B6" w:rsidRDefault="00C52873" w:rsidP="00C52873">
      <w:pPr>
        <w:ind w:left="851"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19366F">
        <w:rPr>
          <w:rFonts w:ascii="Palatino Linotype" w:hAnsi="Palatino Linotype" w:cs="Arial"/>
          <w:i/>
          <w:color w:val="000000"/>
          <w:sz w:val="22"/>
          <w:szCs w:val="22"/>
        </w:rPr>
        <w:t>actas</w:t>
      </w:r>
      <w:r w:rsidRPr="0005622E">
        <w:rPr>
          <w:rFonts w:ascii="Palatino Linotype" w:hAnsi="Palatino Linotype" w:cs="Arial"/>
          <w:b/>
          <w:i/>
          <w:color w:val="000000"/>
          <w:sz w:val="22"/>
          <w:szCs w:val="22"/>
        </w:rPr>
        <w:t>,</w:t>
      </w:r>
      <w:r w:rsidRPr="009E12B6">
        <w:rPr>
          <w:rFonts w:ascii="Palatino Linotype" w:hAnsi="Palatino Linotype" w:cs="Arial"/>
          <w:i/>
          <w:color w:val="000000"/>
          <w:sz w:val="22"/>
          <w:szCs w:val="22"/>
        </w:rPr>
        <w:t xml:space="preserve"> resoluciones, oficios, correspondencia, acuerdos, directivas, directrices, circulares, </w:t>
      </w:r>
      <w:r w:rsidRPr="00E21332">
        <w:rPr>
          <w:rFonts w:ascii="Palatino Linotype" w:hAnsi="Palatino Linotype" w:cs="Arial"/>
          <w:i/>
          <w:color w:val="000000"/>
          <w:sz w:val="22"/>
          <w:szCs w:val="22"/>
        </w:rPr>
        <w:t>contratos, convenios,</w:t>
      </w:r>
      <w:r w:rsidRPr="009E12B6">
        <w:rPr>
          <w:rFonts w:ascii="Palatino Linotype" w:hAnsi="Palatino Linotype" w:cs="Arial"/>
          <w:i/>
          <w:color w:val="000000"/>
          <w:sz w:val="22"/>
          <w:szCs w:val="22"/>
        </w:rPr>
        <w:t xml:space="preserve">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w:t>
      </w:r>
      <w:r>
        <w:rPr>
          <w:rFonts w:ascii="Palatino Linotype" w:hAnsi="Palatino Linotype" w:cs="Arial"/>
          <w:i/>
          <w:color w:val="000000"/>
          <w:sz w:val="22"/>
          <w:szCs w:val="22"/>
        </w:rPr>
        <w:t>nico, informático u holográfico…</w:t>
      </w:r>
      <w:r w:rsidR="00E21332" w:rsidRPr="009E12B6">
        <w:rPr>
          <w:rFonts w:ascii="Palatino Linotype" w:hAnsi="Palatino Linotype" w:cs="Arial"/>
          <w:i/>
          <w:color w:val="000000"/>
          <w:sz w:val="22"/>
          <w:szCs w:val="22"/>
        </w:rPr>
        <w:t>”</w:t>
      </w:r>
      <w:r w:rsidR="00E21332">
        <w:rPr>
          <w:rFonts w:ascii="Palatino Linotype" w:hAnsi="Palatino Linotype" w:cs="Arial"/>
          <w:i/>
          <w:color w:val="000000"/>
          <w:sz w:val="22"/>
          <w:szCs w:val="22"/>
        </w:rPr>
        <w:t xml:space="preserve"> (</w:t>
      </w:r>
      <w:r>
        <w:rPr>
          <w:rFonts w:ascii="Palatino Linotype" w:hAnsi="Palatino Linotype" w:cs="Arial"/>
          <w:i/>
          <w:color w:val="000000"/>
          <w:sz w:val="22"/>
          <w:szCs w:val="22"/>
        </w:rPr>
        <w:t>Sic)</w:t>
      </w:r>
    </w:p>
    <w:p w:rsidR="00C52873" w:rsidRPr="009E12B6" w:rsidRDefault="00C52873" w:rsidP="00C52873">
      <w:pPr>
        <w:ind w:left="851" w:right="899"/>
        <w:jc w:val="both"/>
        <w:rPr>
          <w:rFonts w:ascii="Palatino Linotype" w:hAnsi="Palatino Linotype" w:cs="Arial"/>
          <w:sz w:val="22"/>
          <w:szCs w:val="22"/>
        </w:rPr>
      </w:pPr>
    </w:p>
    <w:p w:rsidR="00C52873" w:rsidRPr="009E12B6" w:rsidRDefault="00C52873" w:rsidP="00C52873">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t xml:space="preserve">Siendo aplicable, el Criterio </w:t>
      </w:r>
      <w:r w:rsidRPr="009E12B6">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E12B6">
        <w:rPr>
          <w:rFonts w:ascii="Palatino Linotype" w:hAnsi="Palatino Linotype" w:cs="Arial"/>
        </w:rPr>
        <w:t>cuyo rubro y texto refieren lo siguiente:</w:t>
      </w:r>
    </w:p>
    <w:p w:rsidR="00C52873" w:rsidRPr="009E12B6" w:rsidRDefault="00C52873" w:rsidP="00C52873">
      <w:pPr>
        <w:ind w:left="851" w:right="899"/>
        <w:jc w:val="both"/>
        <w:rPr>
          <w:rFonts w:ascii="Palatino Linotype" w:hAnsi="Palatino Linotype" w:cs="Arial"/>
        </w:rPr>
      </w:pPr>
    </w:p>
    <w:p w:rsidR="00C52873" w:rsidRPr="004B675A" w:rsidRDefault="00C52873" w:rsidP="00C52873">
      <w:pPr>
        <w:ind w:left="851" w:right="899"/>
        <w:jc w:val="both"/>
        <w:rPr>
          <w:rFonts w:ascii="Palatino Linotype" w:hAnsi="Palatino Linotype" w:cs="Arial"/>
          <w:b/>
          <w:i/>
          <w:sz w:val="22"/>
          <w:szCs w:val="22"/>
          <w:lang w:eastAsia="es-MX"/>
        </w:rPr>
      </w:pPr>
      <w:r w:rsidRPr="009E12B6">
        <w:rPr>
          <w:rFonts w:ascii="Palatino Linotype" w:hAnsi="Palatino Linotype" w:cs="Arial"/>
          <w:b/>
          <w:sz w:val="22"/>
          <w:szCs w:val="22"/>
          <w:lang w:eastAsia="es-MX"/>
        </w:rPr>
        <w:t>“</w:t>
      </w:r>
      <w:r w:rsidRPr="004B675A">
        <w:rPr>
          <w:rFonts w:ascii="Palatino Linotype" w:hAnsi="Palatino Linotype" w:cs="Arial"/>
          <w:b/>
          <w:i/>
          <w:sz w:val="22"/>
          <w:szCs w:val="22"/>
          <w:lang w:eastAsia="es-MX"/>
        </w:rPr>
        <w:t>CRITERIO 0002-11</w:t>
      </w:r>
    </w:p>
    <w:p w:rsidR="00C52873" w:rsidRPr="009E12B6" w:rsidRDefault="00C52873" w:rsidP="00C52873">
      <w:pPr>
        <w:ind w:left="851" w:right="899"/>
        <w:jc w:val="both"/>
        <w:rPr>
          <w:rFonts w:ascii="Palatino Linotype" w:hAnsi="Palatino Linotype" w:cs="Arial"/>
          <w:i/>
          <w:sz w:val="22"/>
          <w:szCs w:val="22"/>
          <w:lang w:eastAsia="es-MX"/>
        </w:rPr>
      </w:pPr>
      <w:r w:rsidRPr="004B675A">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4B675A">
        <w:rPr>
          <w:rFonts w:ascii="Palatino Linotype" w:hAnsi="Palatino Linotype" w:cs="Arial"/>
          <w:b/>
          <w:bCs/>
          <w:i/>
          <w:sz w:val="22"/>
          <w:szCs w:val="22"/>
          <w:lang w:eastAsia="es-MX"/>
        </w:rPr>
        <w:t xml:space="preserve">V, XV, Y XVI, </w:t>
      </w:r>
      <w:r w:rsidRPr="004B675A">
        <w:rPr>
          <w:rFonts w:ascii="Palatino Linotype" w:hAnsi="Palatino Linotype" w:cs="Arial"/>
          <w:b/>
          <w:i/>
          <w:sz w:val="22"/>
          <w:szCs w:val="22"/>
          <w:lang w:eastAsia="es-MX"/>
        </w:rPr>
        <w:t>3°, 4°, 11 Y 41.</w:t>
      </w:r>
      <w:r w:rsidRPr="004B675A">
        <w:rPr>
          <w:rFonts w:ascii="Palatino Linotype" w:hAnsi="Palatino Linotype" w:cs="Arial"/>
          <w:i/>
          <w:sz w:val="22"/>
          <w:szCs w:val="22"/>
          <w:lang w:eastAsia="es-MX"/>
        </w:rPr>
        <w:t xml:space="preserve"> De conformidad con los artículos antes referidos, el derecho de acceso a la información pública</w:t>
      </w:r>
      <w:r w:rsidRPr="009E12B6">
        <w:rPr>
          <w:rFonts w:ascii="Palatino Linotype" w:hAnsi="Palatino Linotype" w:cs="Arial"/>
          <w:i/>
          <w:sz w:val="22"/>
          <w:szCs w:val="22"/>
          <w:lang w:eastAsia="es-MX"/>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52873" w:rsidRPr="009E12B6" w:rsidRDefault="00C52873" w:rsidP="00C52873">
      <w:pPr>
        <w:ind w:left="851"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t>En consecuencia el acceso a la información se refiere a que se cumplan cualquiera de los siguientes tres supuestos:</w:t>
      </w:r>
    </w:p>
    <w:p w:rsidR="00C52873" w:rsidRPr="00A32E26" w:rsidRDefault="00C52873" w:rsidP="00C52873">
      <w:pPr>
        <w:ind w:left="851" w:right="899"/>
        <w:jc w:val="both"/>
        <w:rPr>
          <w:rFonts w:ascii="Palatino Linotype" w:hAnsi="Palatino Linotype" w:cs="Arial"/>
          <w:i/>
          <w:sz w:val="22"/>
          <w:szCs w:val="22"/>
          <w:lang w:eastAsia="es-MX"/>
        </w:rPr>
      </w:pPr>
      <w:r w:rsidRPr="00A32E26">
        <w:rPr>
          <w:rFonts w:ascii="Palatino Linotype" w:hAnsi="Palatino Linotype" w:cs="Arial"/>
          <w:i/>
          <w:sz w:val="22"/>
          <w:szCs w:val="22"/>
          <w:lang w:eastAsia="es-MX"/>
        </w:rPr>
        <w:t>1) Que se trate de información registrada en cualquier soporte documental, que en ejercicio de las atribuciones conferidas, sea generada por los Sujetos Obligados;</w:t>
      </w:r>
    </w:p>
    <w:p w:rsidR="00C52873" w:rsidRPr="00A32E26" w:rsidRDefault="00C52873" w:rsidP="00C52873">
      <w:pPr>
        <w:ind w:left="851" w:right="899"/>
        <w:jc w:val="both"/>
        <w:rPr>
          <w:rFonts w:ascii="Palatino Linotype" w:hAnsi="Palatino Linotype" w:cs="Arial"/>
          <w:b/>
          <w:i/>
          <w:sz w:val="22"/>
          <w:szCs w:val="22"/>
          <w:lang w:eastAsia="es-MX"/>
        </w:rPr>
      </w:pPr>
      <w:r w:rsidRPr="00A32E26">
        <w:rPr>
          <w:rFonts w:ascii="Palatino Linotype" w:hAnsi="Palatino Linotype" w:cs="Arial"/>
          <w:b/>
          <w:i/>
          <w:sz w:val="22"/>
          <w:szCs w:val="22"/>
          <w:lang w:eastAsia="es-MX"/>
        </w:rPr>
        <w:t>2) Que se trate de información registrada en cualquier soporte documental, que en ejercicio de las atribuciones conferidas, sea administrada por los Sujetos Obligados, y</w:t>
      </w:r>
    </w:p>
    <w:p w:rsidR="00C52873" w:rsidRPr="00A32E26" w:rsidRDefault="00C52873" w:rsidP="00C52873">
      <w:pPr>
        <w:ind w:left="851" w:right="899"/>
        <w:jc w:val="both"/>
        <w:rPr>
          <w:rFonts w:ascii="Palatino Linotype" w:hAnsi="Palatino Linotype" w:cs="Arial"/>
          <w:b/>
          <w:i/>
          <w:sz w:val="22"/>
          <w:szCs w:val="22"/>
          <w:lang w:eastAsia="es-MX"/>
        </w:rPr>
      </w:pPr>
      <w:r w:rsidRPr="00A32E26">
        <w:rPr>
          <w:rFonts w:ascii="Palatino Linotype" w:hAnsi="Palatino Linotype" w:cs="Arial"/>
          <w:b/>
          <w:i/>
          <w:sz w:val="22"/>
          <w:szCs w:val="22"/>
          <w:lang w:eastAsia="es-MX"/>
        </w:rPr>
        <w:lastRenderedPageBreak/>
        <w:t>3) Que se trate de información registrada en cualquier soporte documental, que en ejercicio de las atribuciones conferidas, se encuentre en posesión de los Sujetos O</w:t>
      </w:r>
      <w:r w:rsidR="00F159AC">
        <w:rPr>
          <w:rFonts w:ascii="Palatino Linotype" w:hAnsi="Palatino Linotype" w:cs="Arial"/>
          <w:b/>
          <w:i/>
          <w:sz w:val="22"/>
          <w:szCs w:val="22"/>
          <w:lang w:eastAsia="es-MX"/>
        </w:rPr>
        <w:t>bligados.”(Sic)</w:t>
      </w:r>
    </w:p>
    <w:p w:rsidR="00C52873" w:rsidRDefault="00C52873" w:rsidP="00C52873">
      <w:pPr>
        <w:spacing w:line="360" w:lineRule="auto"/>
        <w:ind w:right="-93"/>
        <w:jc w:val="both"/>
        <w:rPr>
          <w:rFonts w:ascii="Palatino Linotype" w:eastAsia="Palatino Linotype" w:hAnsi="Palatino Linotype" w:cs="Palatino Linotype"/>
          <w:color w:val="000000"/>
        </w:rPr>
      </w:pPr>
    </w:p>
    <w:p w:rsidR="00E74F48" w:rsidRDefault="001A6196" w:rsidP="00C52873">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Precisado lo anterior,</w:t>
      </w:r>
      <w:r w:rsidR="00E74F48">
        <w:rPr>
          <w:rFonts w:ascii="Palatino Linotype" w:eastAsia="Palatino Linotype" w:hAnsi="Palatino Linotype" w:cs="Palatino Linotype"/>
          <w:color w:val="000000"/>
        </w:rPr>
        <w:t xml:space="preserve"> se procede a realizar un cuadro </w:t>
      </w:r>
      <w:r w:rsidR="00E03E59">
        <w:rPr>
          <w:rFonts w:ascii="Palatino Linotype" w:eastAsia="Palatino Linotype" w:hAnsi="Palatino Linotype" w:cs="Palatino Linotype"/>
          <w:color w:val="000000"/>
        </w:rPr>
        <w:t>comparativo</w:t>
      </w:r>
      <w:r w:rsidR="00E74F48">
        <w:rPr>
          <w:rFonts w:ascii="Palatino Linotype" w:eastAsia="Palatino Linotype" w:hAnsi="Palatino Linotype" w:cs="Palatino Linotype"/>
          <w:color w:val="000000"/>
        </w:rPr>
        <w:t xml:space="preserve"> con la información requerida, la proporcionada en respuesta e informe justificado, para hacer la comparación de aquella información que satisface el derecho de acceso a la información del particular, como se distingue a continuación:</w:t>
      </w:r>
    </w:p>
    <w:tbl>
      <w:tblPr>
        <w:tblStyle w:val="Tablaconcuadrcula"/>
        <w:tblW w:w="8926" w:type="dxa"/>
        <w:tblInd w:w="0" w:type="dxa"/>
        <w:tblLayout w:type="fixed"/>
        <w:tblLook w:val="04A0" w:firstRow="1" w:lastRow="0" w:firstColumn="1" w:lastColumn="0" w:noHBand="0" w:noVBand="1"/>
      </w:tblPr>
      <w:tblGrid>
        <w:gridCol w:w="1696"/>
        <w:gridCol w:w="4253"/>
        <w:gridCol w:w="1417"/>
        <w:gridCol w:w="1560"/>
      </w:tblGrid>
      <w:tr w:rsidR="00681BB2" w:rsidRPr="00F159AC" w:rsidTr="00F85FD9">
        <w:tc>
          <w:tcPr>
            <w:tcW w:w="1696" w:type="dxa"/>
          </w:tcPr>
          <w:p w:rsidR="00A5006E" w:rsidRPr="00F159AC" w:rsidRDefault="008E1379" w:rsidP="00F159AC">
            <w:pPr>
              <w:ind w:right="-93"/>
              <w:contextualSpacing/>
              <w:jc w:val="both"/>
              <w:rPr>
                <w:rFonts w:ascii="Palatino Linotype" w:eastAsia="Palatino Linotype" w:hAnsi="Palatino Linotype" w:cs="Palatino Linotype"/>
                <w:color w:val="000000"/>
                <w:sz w:val="20"/>
                <w:szCs w:val="20"/>
              </w:rPr>
            </w:pPr>
            <w:r w:rsidRPr="00F159AC">
              <w:rPr>
                <w:rFonts w:ascii="Palatino Linotype" w:eastAsia="Palatino Linotype" w:hAnsi="Palatino Linotype" w:cs="Palatino Linotype"/>
                <w:color w:val="000000"/>
                <w:sz w:val="20"/>
                <w:szCs w:val="20"/>
              </w:rPr>
              <w:t>Solicitud</w:t>
            </w:r>
          </w:p>
        </w:tc>
        <w:tc>
          <w:tcPr>
            <w:tcW w:w="4253" w:type="dxa"/>
          </w:tcPr>
          <w:p w:rsidR="00A5006E" w:rsidRPr="00F159AC" w:rsidRDefault="008E1379" w:rsidP="00F159AC">
            <w:pPr>
              <w:ind w:right="-93"/>
              <w:contextualSpacing/>
              <w:jc w:val="both"/>
              <w:rPr>
                <w:rFonts w:ascii="Palatino Linotype" w:eastAsia="Palatino Linotype" w:hAnsi="Palatino Linotype" w:cs="Palatino Linotype"/>
                <w:color w:val="000000"/>
                <w:sz w:val="20"/>
                <w:szCs w:val="20"/>
              </w:rPr>
            </w:pPr>
            <w:r w:rsidRPr="00F159AC">
              <w:rPr>
                <w:rFonts w:ascii="Palatino Linotype" w:eastAsia="Palatino Linotype" w:hAnsi="Palatino Linotype" w:cs="Palatino Linotype"/>
                <w:color w:val="000000"/>
                <w:sz w:val="20"/>
                <w:szCs w:val="20"/>
              </w:rPr>
              <w:t>Respuesta</w:t>
            </w:r>
          </w:p>
        </w:tc>
        <w:tc>
          <w:tcPr>
            <w:tcW w:w="1417" w:type="dxa"/>
          </w:tcPr>
          <w:p w:rsidR="00A5006E" w:rsidRPr="00F159AC" w:rsidRDefault="008E1379" w:rsidP="00681BB2">
            <w:pPr>
              <w:ind w:right="-93"/>
              <w:contextualSpacing/>
              <w:jc w:val="center"/>
              <w:rPr>
                <w:rFonts w:ascii="Palatino Linotype" w:eastAsia="Palatino Linotype" w:hAnsi="Palatino Linotype" w:cs="Palatino Linotype"/>
                <w:color w:val="000000"/>
                <w:sz w:val="20"/>
                <w:szCs w:val="20"/>
              </w:rPr>
            </w:pPr>
            <w:r w:rsidRPr="00F159AC">
              <w:rPr>
                <w:rFonts w:ascii="Palatino Linotype" w:eastAsia="Palatino Linotype" w:hAnsi="Palatino Linotype" w:cs="Palatino Linotype"/>
                <w:color w:val="000000"/>
                <w:sz w:val="20"/>
                <w:szCs w:val="20"/>
              </w:rPr>
              <w:t>Informe Justificado</w:t>
            </w:r>
          </w:p>
        </w:tc>
        <w:tc>
          <w:tcPr>
            <w:tcW w:w="1560" w:type="dxa"/>
          </w:tcPr>
          <w:p w:rsidR="00A5006E" w:rsidRPr="00F159AC" w:rsidRDefault="008E1379" w:rsidP="00F159AC">
            <w:pPr>
              <w:ind w:right="-93"/>
              <w:contextualSpacing/>
              <w:jc w:val="both"/>
              <w:rPr>
                <w:rFonts w:ascii="Palatino Linotype" w:eastAsia="Palatino Linotype" w:hAnsi="Palatino Linotype" w:cs="Palatino Linotype"/>
                <w:color w:val="000000"/>
                <w:sz w:val="20"/>
                <w:szCs w:val="20"/>
              </w:rPr>
            </w:pPr>
            <w:r w:rsidRPr="00F159AC">
              <w:rPr>
                <w:rFonts w:ascii="Palatino Linotype" w:eastAsia="Palatino Linotype" w:hAnsi="Palatino Linotype" w:cs="Palatino Linotype"/>
                <w:color w:val="000000"/>
                <w:sz w:val="20"/>
                <w:szCs w:val="20"/>
              </w:rPr>
              <w:t xml:space="preserve">Colma </w:t>
            </w:r>
          </w:p>
        </w:tc>
      </w:tr>
      <w:tr w:rsidR="00681BB2" w:rsidRPr="00F159AC" w:rsidTr="00F85FD9">
        <w:tc>
          <w:tcPr>
            <w:tcW w:w="1696" w:type="dxa"/>
          </w:tcPr>
          <w:p w:rsidR="00A5006E" w:rsidRPr="005052F5" w:rsidRDefault="006E09BC" w:rsidP="005052F5">
            <w:pPr>
              <w:spacing w:before="240" w:after="240"/>
              <w:contextualSpacing/>
              <w:jc w:val="both"/>
              <w:rPr>
                <w:rFonts w:ascii="Palatino Linotype" w:hAnsi="Palatino Linotype"/>
                <w:sz w:val="16"/>
                <w:szCs w:val="16"/>
              </w:rPr>
            </w:pPr>
            <w:r w:rsidRPr="00F5557A">
              <w:rPr>
                <w:rFonts w:ascii="Palatino Linotype" w:hAnsi="Palatino Linotype"/>
                <w:sz w:val="16"/>
                <w:szCs w:val="16"/>
              </w:rPr>
              <w:t xml:space="preserve">1.- </w:t>
            </w:r>
            <w:r w:rsidR="005052F5" w:rsidRPr="00F5557A">
              <w:rPr>
                <w:rFonts w:ascii="Palatino Linotype" w:hAnsi="Palatino Linotype"/>
                <w:sz w:val="16"/>
                <w:szCs w:val="16"/>
              </w:rPr>
              <w:t xml:space="preserve">Las Participaciones y Aportaciones que le correspondía a estos dos Municipios por Cualquier Fondo o Concepto desde 2013 a la fecha. </w:t>
            </w:r>
          </w:p>
        </w:tc>
        <w:tc>
          <w:tcPr>
            <w:tcW w:w="4253" w:type="dxa"/>
          </w:tcPr>
          <w:p w:rsidR="00A5006E" w:rsidRDefault="006E09BC" w:rsidP="006E09BC">
            <w:pPr>
              <w:spacing w:before="240" w:after="240"/>
              <w:contextualSpacing/>
              <w:jc w:val="both"/>
              <w:rPr>
                <w:rFonts w:ascii="Palatino Linotype" w:hAnsi="Palatino Linotype"/>
                <w:sz w:val="16"/>
                <w:szCs w:val="16"/>
              </w:rPr>
            </w:pPr>
            <w:r w:rsidRPr="006E09BC">
              <w:rPr>
                <w:rFonts w:ascii="Palatino Linotype" w:hAnsi="Palatino Linotype"/>
                <w:sz w:val="16"/>
                <w:szCs w:val="16"/>
              </w:rPr>
              <w:t>El Sujeto Obligado entregó</w:t>
            </w:r>
            <w:r w:rsidR="00BE0C4E">
              <w:rPr>
                <w:rFonts w:ascii="Palatino Linotype" w:eastAsia="Palatino Linotype" w:hAnsi="Palatino Linotype" w:cs="Palatino Linotype"/>
                <w:color w:val="000000"/>
                <w:sz w:val="20"/>
                <w:szCs w:val="20"/>
              </w:rPr>
              <w:t xml:space="preserve"> </w:t>
            </w:r>
            <w:r w:rsidR="00BE0C4E" w:rsidRPr="00BE0C4E">
              <w:rPr>
                <w:rFonts w:ascii="Palatino Linotype" w:hAnsi="Palatino Linotype"/>
                <w:sz w:val="16"/>
                <w:szCs w:val="16"/>
              </w:rPr>
              <w:t xml:space="preserve">ocho </w:t>
            </w:r>
            <w:r w:rsidR="00BE0C4E">
              <w:rPr>
                <w:rFonts w:ascii="Palatino Linotype" w:hAnsi="Palatino Linotype"/>
                <w:sz w:val="16"/>
                <w:szCs w:val="16"/>
              </w:rPr>
              <w:t>link, en donde dice que se encuentra la información correspondiente a los fondos de aportaciones federales de los 125 municipios del Estado de México, de los ejercicios fiscales 2013 a 2020, incluidos Naucalpan y Toluca.</w:t>
            </w:r>
          </w:p>
          <w:p w:rsidR="00BE0C4E" w:rsidRDefault="00BE0C4E" w:rsidP="00BE0C4E">
            <w:pPr>
              <w:spacing w:before="240" w:after="240"/>
              <w:contextualSpacing/>
              <w:jc w:val="both"/>
              <w:rPr>
                <w:rFonts w:ascii="Palatino Linotype" w:hAnsi="Palatino Linotype"/>
                <w:sz w:val="16"/>
                <w:szCs w:val="16"/>
              </w:rPr>
            </w:pPr>
            <w:r>
              <w:rPr>
                <w:rFonts w:ascii="Palatino Linotype" w:hAnsi="Palatino Linotype"/>
                <w:sz w:val="16"/>
                <w:szCs w:val="16"/>
              </w:rPr>
              <w:t>-Sobre al ejercicio fiscal en curso (2021), señaló puede ser consultado en el acuerdo por el que se da a conocer el calendario de entrega, porcentaje, formulas y variable utilizadas, así como los montos estimados que recibiría cada municipio por concepto de participaciones federales y estatales, para el ejercicio fiscal 2021, publicado en la gaceta del Gobierno del Estado de México de fecha 15 de febrero de 2021, en el en</w:t>
            </w:r>
            <w:r w:rsidR="001A6196">
              <w:rPr>
                <w:rFonts w:ascii="Palatino Linotype" w:hAnsi="Palatino Linotype"/>
                <w:sz w:val="16"/>
                <w:szCs w:val="16"/>
              </w:rPr>
              <w:t>lace electrónico que proporcionó</w:t>
            </w:r>
            <w:r>
              <w:rPr>
                <w:rFonts w:ascii="Palatino Linotype" w:hAnsi="Palatino Linotype"/>
                <w:sz w:val="16"/>
                <w:szCs w:val="16"/>
              </w:rPr>
              <w:t xml:space="preserve">. </w:t>
            </w:r>
          </w:p>
          <w:p w:rsidR="0051099D" w:rsidRDefault="0051099D" w:rsidP="00BE0C4E">
            <w:pPr>
              <w:spacing w:before="240" w:after="240"/>
              <w:contextualSpacing/>
              <w:jc w:val="both"/>
              <w:rPr>
                <w:rFonts w:ascii="Palatino Linotype" w:hAnsi="Palatino Linotype"/>
                <w:sz w:val="16"/>
                <w:szCs w:val="16"/>
              </w:rPr>
            </w:pPr>
            <w:r>
              <w:rPr>
                <w:rFonts w:ascii="Palatino Linotype" w:hAnsi="Palatino Linotype"/>
                <w:sz w:val="16"/>
                <w:szCs w:val="16"/>
              </w:rPr>
              <w:t>También sobre las participaciones entregadas a los municipios de Toluca y Naucalpan del periodo 2013 a julio de 2021, puede ser consultados en el sitio web de la Secretaría de Finanzas en la sección de participaciones a municipios en el enlace siguiente:</w:t>
            </w:r>
          </w:p>
          <w:p w:rsidR="0051099D" w:rsidRPr="00F159AC" w:rsidRDefault="007905F8" w:rsidP="00BE0C4E">
            <w:pPr>
              <w:spacing w:before="240" w:after="240"/>
              <w:contextualSpacing/>
              <w:jc w:val="both"/>
              <w:rPr>
                <w:rFonts w:ascii="Palatino Linotype" w:eastAsia="Palatino Linotype" w:hAnsi="Palatino Linotype" w:cs="Palatino Linotype"/>
                <w:color w:val="000000"/>
                <w:sz w:val="20"/>
                <w:szCs w:val="20"/>
              </w:rPr>
            </w:pPr>
            <w:hyperlink r:id="rId42" w:history="1">
              <w:r w:rsidR="00710B9D" w:rsidRPr="00710B9D">
                <w:rPr>
                  <w:sz w:val="16"/>
                  <w:szCs w:val="16"/>
                </w:rPr>
                <w:t>https://sfpya.edomexico.gob.mx/participaciones/</w:t>
              </w:r>
            </w:hyperlink>
            <w:r w:rsidR="00710B9D" w:rsidRPr="00710B9D">
              <w:rPr>
                <w:rFonts w:ascii="Palatino Linotype" w:hAnsi="Palatino Linotype"/>
                <w:sz w:val="16"/>
                <w:szCs w:val="16"/>
              </w:rPr>
              <w:t>.</w:t>
            </w:r>
          </w:p>
        </w:tc>
        <w:tc>
          <w:tcPr>
            <w:tcW w:w="1417" w:type="dxa"/>
          </w:tcPr>
          <w:p w:rsidR="00A5006E" w:rsidRPr="00F159AC" w:rsidRDefault="004621AF" w:rsidP="0051099D">
            <w:pPr>
              <w:ind w:right="-93"/>
              <w:contextualSpacing/>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Ratifica respuesta</w:t>
            </w:r>
          </w:p>
        </w:tc>
        <w:tc>
          <w:tcPr>
            <w:tcW w:w="1560" w:type="dxa"/>
          </w:tcPr>
          <w:p w:rsidR="008B56E5" w:rsidRDefault="008B56E5" w:rsidP="008B56E5">
            <w:pPr>
              <w:ind w:right="-93"/>
              <w:contextualSpacing/>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Parcialmente</w:t>
            </w:r>
          </w:p>
          <w:p w:rsidR="00A5006E" w:rsidRPr="00F159AC" w:rsidRDefault="008B56E5" w:rsidP="001A6196">
            <w:pPr>
              <w:ind w:right="-93"/>
              <w:contextualSpacing/>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Faltó la información del ramo 28 y </w:t>
            </w:r>
            <w:r w:rsidR="00606693">
              <w:rPr>
                <w:rFonts w:ascii="Palatino Linotype" w:eastAsia="Palatino Linotype" w:hAnsi="Palatino Linotype" w:cs="Palatino Linotype"/>
                <w:color w:val="000000"/>
                <w:sz w:val="20"/>
                <w:szCs w:val="20"/>
              </w:rPr>
              <w:t xml:space="preserve">de </w:t>
            </w:r>
            <w:r>
              <w:rPr>
                <w:rFonts w:ascii="Palatino Linotype" w:eastAsia="Palatino Linotype" w:hAnsi="Palatino Linotype" w:cs="Palatino Linotype"/>
                <w:color w:val="000000"/>
                <w:sz w:val="20"/>
                <w:szCs w:val="20"/>
              </w:rPr>
              <w:t>las participaciones y aportaciones del 2013 al 2015</w:t>
            </w:r>
            <w:r w:rsidR="001A6196">
              <w:rPr>
                <w:rFonts w:ascii="Palatino Linotype" w:eastAsia="Palatino Linotype" w:hAnsi="Palatino Linotype" w:cs="Palatino Linotype"/>
                <w:color w:val="000000"/>
                <w:sz w:val="20"/>
                <w:szCs w:val="20"/>
              </w:rPr>
              <w:t>, y del 2016.</w:t>
            </w:r>
          </w:p>
        </w:tc>
      </w:tr>
      <w:tr w:rsidR="00681BB2" w:rsidRPr="00F159AC" w:rsidTr="00F85FD9">
        <w:tc>
          <w:tcPr>
            <w:tcW w:w="1696" w:type="dxa"/>
          </w:tcPr>
          <w:p w:rsidR="00A5006E" w:rsidRPr="00F159AC" w:rsidRDefault="006E09BC" w:rsidP="005052F5">
            <w:pPr>
              <w:spacing w:before="240" w:after="240"/>
              <w:contextualSpacing/>
              <w:jc w:val="both"/>
              <w:rPr>
                <w:rFonts w:ascii="Palatino Linotype" w:eastAsia="Palatino Linotype" w:hAnsi="Palatino Linotype" w:cs="Palatino Linotype"/>
                <w:color w:val="000000"/>
                <w:sz w:val="20"/>
                <w:szCs w:val="20"/>
              </w:rPr>
            </w:pPr>
            <w:r w:rsidRPr="00F5557A">
              <w:rPr>
                <w:rFonts w:ascii="Palatino Linotype" w:hAnsi="Palatino Linotype"/>
                <w:sz w:val="16"/>
                <w:szCs w:val="16"/>
              </w:rPr>
              <w:t xml:space="preserve">2.- </w:t>
            </w:r>
            <w:r w:rsidR="005052F5" w:rsidRPr="00F5557A">
              <w:rPr>
                <w:rFonts w:ascii="Palatino Linotype" w:hAnsi="Palatino Linotype"/>
                <w:sz w:val="16"/>
                <w:szCs w:val="16"/>
              </w:rPr>
              <w:t>Las Participaciones Federales que se han entregado o trasferido en efectivo o a Bancos de estos Municipios desde 2013 a la fecha.</w:t>
            </w:r>
            <w:r w:rsidR="005052F5" w:rsidRPr="005052F5">
              <w:rPr>
                <w:rFonts w:ascii="Palatino Linotype" w:hAnsi="Palatino Linotype"/>
                <w:sz w:val="16"/>
                <w:szCs w:val="16"/>
              </w:rPr>
              <w:t xml:space="preserve"> </w:t>
            </w:r>
          </w:p>
        </w:tc>
        <w:tc>
          <w:tcPr>
            <w:tcW w:w="4253" w:type="dxa"/>
          </w:tcPr>
          <w:p w:rsidR="004621AF" w:rsidRDefault="004621AF" w:rsidP="004621AF">
            <w:pPr>
              <w:spacing w:before="240" w:after="240"/>
              <w:contextualSpacing/>
              <w:jc w:val="both"/>
              <w:rPr>
                <w:rFonts w:ascii="Palatino Linotype" w:hAnsi="Palatino Linotype"/>
                <w:sz w:val="16"/>
                <w:szCs w:val="16"/>
              </w:rPr>
            </w:pPr>
            <w:r w:rsidRPr="006E09BC">
              <w:rPr>
                <w:rFonts w:ascii="Palatino Linotype" w:hAnsi="Palatino Linotype"/>
                <w:sz w:val="16"/>
                <w:szCs w:val="16"/>
              </w:rPr>
              <w:t>El Sujeto Obligado entregó</w:t>
            </w:r>
            <w:r>
              <w:rPr>
                <w:rFonts w:ascii="Palatino Linotype" w:eastAsia="Palatino Linotype" w:hAnsi="Palatino Linotype" w:cs="Palatino Linotype"/>
                <w:color w:val="000000"/>
                <w:sz w:val="20"/>
                <w:szCs w:val="20"/>
              </w:rPr>
              <w:t xml:space="preserve"> </w:t>
            </w:r>
            <w:r w:rsidRPr="00BE0C4E">
              <w:rPr>
                <w:rFonts w:ascii="Palatino Linotype" w:hAnsi="Palatino Linotype"/>
                <w:sz w:val="16"/>
                <w:szCs w:val="16"/>
              </w:rPr>
              <w:t xml:space="preserve">ocho </w:t>
            </w:r>
            <w:r>
              <w:rPr>
                <w:rFonts w:ascii="Palatino Linotype" w:hAnsi="Palatino Linotype"/>
                <w:sz w:val="16"/>
                <w:szCs w:val="16"/>
              </w:rPr>
              <w:t>link, en donde dice que se encuentra la información correspondiente a los fondos de aportaciones federales de los 125 municipios del Estado de México, de los ejercicios fiscales 2013 a 2020, incluidos Naucalpan y Toluca.</w:t>
            </w:r>
          </w:p>
          <w:p w:rsidR="004621AF" w:rsidRDefault="004621AF" w:rsidP="004621AF">
            <w:pPr>
              <w:spacing w:before="240" w:after="240"/>
              <w:contextualSpacing/>
              <w:jc w:val="both"/>
              <w:rPr>
                <w:rFonts w:ascii="Palatino Linotype" w:hAnsi="Palatino Linotype"/>
                <w:sz w:val="16"/>
                <w:szCs w:val="16"/>
              </w:rPr>
            </w:pPr>
            <w:r>
              <w:rPr>
                <w:rFonts w:ascii="Palatino Linotype" w:hAnsi="Palatino Linotype"/>
                <w:sz w:val="16"/>
                <w:szCs w:val="16"/>
              </w:rPr>
              <w:t>-Sobre al ejercicio fiscal en curso (2021), señaló puede ser consultado en el acuerdo por el que se da a conocer el calendario de entrega, porcentaje, formulas y variable utilizadas, así como los montos estimados que recibiría cada municipio por concepto de participaciones federales y estatales, para el ejercicio fiscal 2021, publicado en la gaceta del Gobierno del Estado de México de fecha 15 de febrero de 2021, en el enlace electrónico que proporciono.</w:t>
            </w:r>
          </w:p>
          <w:p w:rsidR="00A5006E" w:rsidRDefault="004621AF" w:rsidP="00BE0C4E">
            <w:pPr>
              <w:spacing w:before="240" w:after="240"/>
              <w:contextualSpacing/>
              <w:jc w:val="both"/>
              <w:rPr>
                <w:rFonts w:ascii="Palatino Linotype" w:eastAsia="Palatino Linotype" w:hAnsi="Palatino Linotype" w:cs="Palatino Linotype"/>
                <w:color w:val="000000"/>
                <w:sz w:val="20"/>
                <w:szCs w:val="20"/>
              </w:rPr>
            </w:pPr>
            <w:r>
              <w:rPr>
                <w:rFonts w:ascii="Palatino Linotype" w:hAnsi="Palatino Linotype"/>
                <w:sz w:val="16"/>
                <w:szCs w:val="16"/>
              </w:rPr>
              <w:t>-</w:t>
            </w:r>
            <w:r w:rsidR="00BE0C4E" w:rsidRPr="00BE0C4E">
              <w:rPr>
                <w:rFonts w:ascii="Palatino Linotype" w:hAnsi="Palatino Linotype"/>
                <w:sz w:val="16"/>
                <w:szCs w:val="16"/>
              </w:rPr>
              <w:t>El Sujeto Obligado señaló que los recursos son entregados a cada municipio</w:t>
            </w:r>
            <w:r w:rsidR="00BE0C4E">
              <w:rPr>
                <w:rFonts w:ascii="Palatino Linotype" w:eastAsia="Palatino Linotype" w:hAnsi="Palatino Linotype" w:cs="Palatino Linotype"/>
                <w:color w:val="000000"/>
                <w:sz w:val="20"/>
                <w:szCs w:val="20"/>
              </w:rPr>
              <w:t xml:space="preserve">. </w:t>
            </w:r>
          </w:p>
          <w:p w:rsidR="00710B9D" w:rsidRDefault="00710B9D" w:rsidP="00710B9D">
            <w:pPr>
              <w:spacing w:before="240" w:after="240"/>
              <w:contextualSpacing/>
              <w:jc w:val="both"/>
              <w:rPr>
                <w:rFonts w:ascii="Palatino Linotype" w:hAnsi="Palatino Linotype"/>
                <w:sz w:val="16"/>
                <w:szCs w:val="16"/>
              </w:rPr>
            </w:pPr>
            <w:r>
              <w:rPr>
                <w:rFonts w:ascii="Palatino Linotype" w:hAnsi="Palatino Linotype"/>
                <w:sz w:val="16"/>
                <w:szCs w:val="16"/>
              </w:rPr>
              <w:t xml:space="preserve">También sobre las participaciones entregadas a los municipios de Toluca y Naucalpan del periodo 2013 a julio de 2021, puede ser consultados en el sitio web de la </w:t>
            </w:r>
            <w:r>
              <w:rPr>
                <w:rFonts w:ascii="Palatino Linotype" w:hAnsi="Palatino Linotype"/>
                <w:sz w:val="16"/>
                <w:szCs w:val="16"/>
              </w:rPr>
              <w:lastRenderedPageBreak/>
              <w:t>Secretaría de Finanzas en la sección de participaciones a municipios en el enlace siguiente:</w:t>
            </w:r>
          </w:p>
          <w:p w:rsidR="00710B9D" w:rsidRPr="007A3028" w:rsidRDefault="007905F8" w:rsidP="00710B9D">
            <w:pPr>
              <w:spacing w:before="240" w:after="240"/>
              <w:contextualSpacing/>
              <w:jc w:val="both"/>
              <w:rPr>
                <w:rFonts w:ascii="Palatino Linotype" w:eastAsia="Palatino Linotype" w:hAnsi="Palatino Linotype" w:cs="Palatino Linotype"/>
                <w:color w:val="000000"/>
                <w:sz w:val="20"/>
                <w:szCs w:val="20"/>
              </w:rPr>
            </w:pPr>
            <w:hyperlink r:id="rId43" w:history="1">
              <w:r w:rsidR="00710B9D" w:rsidRPr="007A3028">
                <w:rPr>
                  <w:rFonts w:ascii="Palatino Linotype" w:hAnsi="Palatino Linotype"/>
                  <w:sz w:val="16"/>
                  <w:szCs w:val="16"/>
                </w:rPr>
                <w:t>https://sfpya.edomexico.gob.mx/participaciones/</w:t>
              </w:r>
            </w:hyperlink>
            <w:r w:rsidR="00710B9D" w:rsidRPr="007A3028">
              <w:rPr>
                <w:rFonts w:ascii="Palatino Linotype" w:hAnsi="Palatino Linotype"/>
                <w:sz w:val="16"/>
                <w:szCs w:val="16"/>
              </w:rPr>
              <w:t>.</w:t>
            </w:r>
          </w:p>
        </w:tc>
        <w:tc>
          <w:tcPr>
            <w:tcW w:w="1417" w:type="dxa"/>
          </w:tcPr>
          <w:p w:rsidR="00DC1622" w:rsidRPr="0051099D" w:rsidRDefault="00BE0C4E" w:rsidP="00BE0C4E">
            <w:pPr>
              <w:spacing w:before="240" w:after="240"/>
              <w:contextualSpacing/>
              <w:jc w:val="center"/>
              <w:rPr>
                <w:rFonts w:ascii="Palatino Linotype" w:eastAsia="Palatino Linotype" w:hAnsi="Palatino Linotype" w:cs="Palatino Linotype"/>
                <w:color w:val="000000"/>
                <w:sz w:val="20"/>
                <w:szCs w:val="20"/>
              </w:rPr>
            </w:pPr>
            <w:r w:rsidRPr="0051099D">
              <w:rPr>
                <w:rFonts w:ascii="Palatino Linotype" w:hAnsi="Palatino Linotype"/>
                <w:sz w:val="20"/>
                <w:szCs w:val="20"/>
              </w:rPr>
              <w:lastRenderedPageBreak/>
              <w:t>Ratifica la respuesta</w:t>
            </w:r>
          </w:p>
        </w:tc>
        <w:tc>
          <w:tcPr>
            <w:tcW w:w="1560" w:type="dxa"/>
          </w:tcPr>
          <w:p w:rsidR="008B56E5" w:rsidRDefault="008B56E5" w:rsidP="008B56E5">
            <w:pPr>
              <w:ind w:right="-93"/>
              <w:contextualSpacing/>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Parcialmente</w:t>
            </w:r>
          </w:p>
          <w:p w:rsidR="00A5006E" w:rsidRPr="00F159AC" w:rsidRDefault="008B56E5" w:rsidP="008B56E5">
            <w:pPr>
              <w:ind w:right="-93"/>
              <w:contextualSpacing/>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Faltó la información del ramo 28 y las participaciones y aportaciones del 2013 al 2015</w:t>
            </w:r>
          </w:p>
        </w:tc>
      </w:tr>
      <w:tr w:rsidR="00681BB2" w:rsidRPr="00F159AC" w:rsidTr="00F85FD9">
        <w:tc>
          <w:tcPr>
            <w:tcW w:w="1696" w:type="dxa"/>
          </w:tcPr>
          <w:p w:rsidR="00F159AC" w:rsidRPr="005052F5" w:rsidRDefault="006E09BC" w:rsidP="005052F5">
            <w:pPr>
              <w:spacing w:before="240" w:after="240"/>
              <w:contextualSpacing/>
              <w:jc w:val="both"/>
              <w:rPr>
                <w:rFonts w:ascii="Palatino Linotype" w:hAnsi="Palatino Linotype"/>
                <w:sz w:val="16"/>
                <w:szCs w:val="16"/>
              </w:rPr>
            </w:pPr>
            <w:r>
              <w:rPr>
                <w:rFonts w:ascii="Palatino Linotype" w:hAnsi="Palatino Linotype"/>
                <w:sz w:val="16"/>
                <w:szCs w:val="16"/>
              </w:rPr>
              <w:t xml:space="preserve">3.- </w:t>
            </w:r>
            <w:r w:rsidR="005052F5" w:rsidRPr="005052F5">
              <w:rPr>
                <w:rFonts w:ascii="Palatino Linotype" w:hAnsi="Palatino Linotype"/>
                <w:sz w:val="16"/>
                <w:szCs w:val="16"/>
              </w:rPr>
              <w:t xml:space="preserve">Las Retenciones que se </w:t>
            </w:r>
            <w:r w:rsidR="005052F5" w:rsidRPr="00681BB2">
              <w:rPr>
                <w:rFonts w:ascii="Palatino Linotype" w:hAnsi="Palatino Linotype"/>
                <w:sz w:val="16"/>
                <w:szCs w:val="16"/>
              </w:rPr>
              <w:t>hayan hecho desde 2013 a la fecha a Toluca y Naucalpan, por conceptos de Adeudos con el SAT, ISSEMYM, ISSTE, CFE, CAEM, CONAGUA, cumplimientos de Deuda Bancaria u cualquier otro Concepto, exhibiendo para esto los documentos donde de registro estas deducciones al respecto.</w:t>
            </w:r>
          </w:p>
        </w:tc>
        <w:tc>
          <w:tcPr>
            <w:tcW w:w="4253" w:type="dxa"/>
          </w:tcPr>
          <w:p w:rsidR="00F159AC" w:rsidRDefault="00681BB2" w:rsidP="00681BB2">
            <w:pPr>
              <w:spacing w:before="240" w:after="240"/>
              <w:contextualSpacing/>
              <w:jc w:val="both"/>
              <w:rPr>
                <w:rFonts w:ascii="Palatino Linotype" w:hAnsi="Palatino Linotype"/>
                <w:sz w:val="16"/>
                <w:szCs w:val="16"/>
              </w:rPr>
            </w:pPr>
            <w:r w:rsidRPr="00681BB2">
              <w:rPr>
                <w:rFonts w:ascii="Palatino Linotype" w:hAnsi="Palatino Linotype"/>
                <w:sz w:val="16"/>
                <w:szCs w:val="16"/>
              </w:rPr>
              <w:t>El Sujeto Obligado manifestó</w:t>
            </w:r>
            <w:r>
              <w:rPr>
                <w:rFonts w:ascii="Palatino Linotype" w:hAnsi="Palatino Linotype"/>
                <w:sz w:val="16"/>
                <w:szCs w:val="16"/>
              </w:rPr>
              <w:t xml:space="preserve"> que los adeudos en materia de agua con CAEM y CONAGUA son los siguientes: </w:t>
            </w:r>
          </w:p>
          <w:p w:rsidR="00681BB2" w:rsidRDefault="00681BB2" w:rsidP="00681BB2">
            <w:pPr>
              <w:spacing w:before="240" w:after="240"/>
              <w:contextualSpacing/>
              <w:jc w:val="both"/>
              <w:rPr>
                <w:rFonts w:ascii="Palatino Linotype" w:eastAsia="Palatino Linotype" w:hAnsi="Palatino Linotype" w:cs="Palatino Linotype"/>
                <w:color w:val="000000"/>
                <w:sz w:val="20"/>
                <w:szCs w:val="20"/>
              </w:rPr>
            </w:pPr>
            <w:r>
              <w:rPr>
                <w:noProof/>
                <w:lang w:val="es-MX" w:eastAsia="es-MX"/>
              </w:rPr>
              <w:drawing>
                <wp:inline distT="0" distB="0" distL="0" distR="0" wp14:anchorId="102D8726" wp14:editId="3DA67B5F">
                  <wp:extent cx="2185035" cy="1704109"/>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1742" t="24642" r="16628" b="12326"/>
                          <a:stretch/>
                        </pic:blipFill>
                        <pic:spPr bwMode="auto">
                          <a:xfrm>
                            <a:off x="0" y="0"/>
                            <a:ext cx="2218761" cy="1730412"/>
                          </a:xfrm>
                          <a:prstGeom prst="rect">
                            <a:avLst/>
                          </a:prstGeom>
                          <a:ln>
                            <a:noFill/>
                          </a:ln>
                          <a:extLst>
                            <a:ext uri="{53640926-AAD7-44D8-BBD7-CCE9431645EC}">
                              <a14:shadowObscured xmlns:a14="http://schemas.microsoft.com/office/drawing/2010/main"/>
                            </a:ext>
                          </a:extLst>
                        </pic:spPr>
                      </pic:pic>
                    </a:graphicData>
                  </a:graphic>
                </wp:inline>
              </w:drawing>
            </w:r>
          </w:p>
          <w:p w:rsidR="00681BB2" w:rsidRDefault="00681BB2" w:rsidP="00681BB2">
            <w:pPr>
              <w:spacing w:before="240" w:after="240"/>
              <w:contextualSpacing/>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También indicó que la información de mérito, puede ser consultada de los últimos seis años, en el siguiente link:</w:t>
            </w:r>
          </w:p>
          <w:p w:rsidR="00681BB2" w:rsidRDefault="007905F8" w:rsidP="00681BB2">
            <w:pPr>
              <w:spacing w:before="240" w:after="240"/>
              <w:contextualSpacing/>
              <w:jc w:val="both"/>
              <w:rPr>
                <w:rFonts w:ascii="Palatino Linotype" w:eastAsia="Palatino Linotype" w:hAnsi="Palatino Linotype" w:cs="Palatino Linotype"/>
                <w:color w:val="000000"/>
                <w:sz w:val="20"/>
                <w:szCs w:val="20"/>
              </w:rPr>
            </w:pPr>
            <w:hyperlink r:id="rId44" w:history="1">
              <w:r w:rsidR="00F85FD9" w:rsidRPr="003507CC">
                <w:rPr>
                  <w:rStyle w:val="Hipervnculo"/>
                  <w:rFonts w:ascii="Palatino Linotype" w:eastAsia="Palatino Linotype" w:hAnsi="Palatino Linotype" w:cs="Palatino Linotype"/>
                  <w:sz w:val="20"/>
                  <w:szCs w:val="20"/>
                </w:rPr>
                <w:t>https://sfpya.edomexico.gob.mx/participaciones/consultaConstancia.jsp</w:t>
              </w:r>
            </w:hyperlink>
          </w:p>
          <w:p w:rsidR="00F85FD9" w:rsidRDefault="00F85FD9" w:rsidP="00681BB2">
            <w:pPr>
              <w:spacing w:before="240" w:after="240"/>
              <w:contextualSpacing/>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las Deducciones también se advierten en la siguiente liga: </w:t>
            </w:r>
          </w:p>
          <w:p w:rsidR="00F85FD9" w:rsidRDefault="007905F8" w:rsidP="00681BB2">
            <w:pPr>
              <w:spacing w:before="240" w:after="240"/>
              <w:contextualSpacing/>
              <w:jc w:val="both"/>
              <w:rPr>
                <w:rFonts w:ascii="Palatino Linotype" w:eastAsia="Palatino Linotype" w:hAnsi="Palatino Linotype" w:cs="Palatino Linotype"/>
                <w:color w:val="000000"/>
                <w:sz w:val="20"/>
                <w:szCs w:val="20"/>
              </w:rPr>
            </w:pPr>
            <w:hyperlink r:id="rId45" w:history="1">
              <w:r w:rsidR="00F85FD9" w:rsidRPr="003507CC">
                <w:rPr>
                  <w:rStyle w:val="Hipervnculo"/>
                  <w:rFonts w:ascii="Palatino Linotype" w:eastAsia="Palatino Linotype" w:hAnsi="Palatino Linotype" w:cs="Palatino Linotype"/>
                  <w:sz w:val="20"/>
                  <w:szCs w:val="20"/>
                </w:rPr>
                <w:t>https://pilotodgr.edomex.gob.mx/participaciones/</w:t>
              </w:r>
            </w:hyperlink>
          </w:p>
          <w:p w:rsidR="00F85FD9" w:rsidRPr="00F159AC" w:rsidRDefault="00F85FD9" w:rsidP="00681BB2">
            <w:pPr>
              <w:spacing w:before="240" w:after="240"/>
              <w:contextualSpacing/>
              <w:jc w:val="both"/>
              <w:rPr>
                <w:rFonts w:ascii="Palatino Linotype" w:eastAsia="Palatino Linotype" w:hAnsi="Palatino Linotype" w:cs="Palatino Linotype"/>
                <w:color w:val="000000"/>
                <w:sz w:val="20"/>
                <w:szCs w:val="20"/>
              </w:rPr>
            </w:pPr>
            <w:r w:rsidRPr="00F85FD9">
              <w:rPr>
                <w:rFonts w:ascii="Palatino Linotype" w:eastAsia="Palatino Linotype" w:hAnsi="Palatino Linotype" w:cs="Palatino Linotype"/>
                <w:color w:val="000000"/>
                <w:sz w:val="20"/>
                <w:szCs w:val="20"/>
              </w:rPr>
              <w:t>Sin embargo</w:t>
            </w:r>
            <w:r w:rsidR="001A6196">
              <w:rPr>
                <w:rFonts w:ascii="Palatino Linotype" w:eastAsia="Palatino Linotype" w:hAnsi="Palatino Linotype" w:cs="Palatino Linotype"/>
                <w:color w:val="000000"/>
                <w:sz w:val="20"/>
                <w:szCs w:val="20"/>
              </w:rPr>
              <w:t>,</w:t>
            </w:r>
            <w:r w:rsidRPr="00F85FD9">
              <w:rPr>
                <w:rFonts w:ascii="Palatino Linotype" w:eastAsia="Palatino Linotype" w:hAnsi="Palatino Linotype" w:cs="Palatino Linotype"/>
                <w:color w:val="000000"/>
                <w:sz w:val="20"/>
                <w:szCs w:val="20"/>
              </w:rPr>
              <w:t xml:space="preserve"> no se especifica porque concepto.</w:t>
            </w:r>
            <w:r>
              <w:rPr>
                <w:rFonts w:ascii="Palatino Linotype" w:hAnsi="Palatino Linotype"/>
                <w:sz w:val="16"/>
                <w:szCs w:val="16"/>
              </w:rPr>
              <w:t xml:space="preserve"> </w:t>
            </w:r>
          </w:p>
        </w:tc>
        <w:tc>
          <w:tcPr>
            <w:tcW w:w="1417" w:type="dxa"/>
          </w:tcPr>
          <w:p w:rsidR="00F159AC" w:rsidRPr="00F159AC" w:rsidRDefault="00681BB2" w:rsidP="00681BB2">
            <w:pPr>
              <w:ind w:right="-93"/>
              <w:contextualSpacing/>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Ratifica la respuesta</w:t>
            </w:r>
          </w:p>
        </w:tc>
        <w:tc>
          <w:tcPr>
            <w:tcW w:w="1560" w:type="dxa"/>
          </w:tcPr>
          <w:p w:rsidR="00F159AC" w:rsidRPr="008E2E36" w:rsidRDefault="00681BB2" w:rsidP="008E2E36">
            <w:pPr>
              <w:spacing w:before="240" w:after="240"/>
              <w:contextualSpacing/>
              <w:jc w:val="both"/>
              <w:rPr>
                <w:rFonts w:ascii="Palatino Linotype" w:hAnsi="Palatino Linotype"/>
                <w:sz w:val="16"/>
                <w:szCs w:val="16"/>
              </w:rPr>
            </w:pPr>
            <w:r w:rsidRPr="008E2E36">
              <w:rPr>
                <w:rFonts w:ascii="Palatino Linotype" w:hAnsi="Palatino Linotype"/>
                <w:sz w:val="16"/>
                <w:szCs w:val="16"/>
              </w:rPr>
              <w:t>Parcialmente</w:t>
            </w:r>
          </w:p>
          <w:p w:rsidR="00681BB2" w:rsidRDefault="00681BB2" w:rsidP="005A3F93">
            <w:pPr>
              <w:spacing w:before="240" w:after="240"/>
              <w:contextualSpacing/>
              <w:jc w:val="both"/>
              <w:rPr>
                <w:rFonts w:ascii="Palatino Linotype" w:hAnsi="Palatino Linotype"/>
                <w:sz w:val="16"/>
                <w:szCs w:val="16"/>
              </w:rPr>
            </w:pPr>
            <w:r w:rsidRPr="008E2E36">
              <w:rPr>
                <w:rFonts w:ascii="Palatino Linotype" w:hAnsi="Palatino Linotype"/>
                <w:sz w:val="16"/>
                <w:szCs w:val="16"/>
              </w:rPr>
              <w:t>Faltó la informació</w:t>
            </w:r>
            <w:r w:rsidR="00F85FD9" w:rsidRPr="008E2E36">
              <w:rPr>
                <w:rFonts w:ascii="Palatino Linotype" w:hAnsi="Palatino Linotype"/>
                <w:sz w:val="16"/>
                <w:szCs w:val="16"/>
              </w:rPr>
              <w:t>n del SAT, ISSEMYM, ISSTE</w:t>
            </w:r>
            <w:r w:rsidR="008E2E36" w:rsidRPr="008E2E36">
              <w:rPr>
                <w:rFonts w:ascii="Palatino Linotype" w:hAnsi="Palatino Linotype"/>
                <w:sz w:val="16"/>
                <w:szCs w:val="16"/>
              </w:rPr>
              <w:t xml:space="preserve"> (es incompetencia el Ayuntamiento de Toluca y Naucalpan es del Gobierno del Estado de México y no pertenece a la Federación)</w:t>
            </w:r>
            <w:r w:rsidR="00F85FD9" w:rsidRPr="008E2E36">
              <w:rPr>
                <w:rFonts w:ascii="Palatino Linotype" w:hAnsi="Palatino Linotype"/>
                <w:sz w:val="16"/>
                <w:szCs w:val="16"/>
              </w:rPr>
              <w:t xml:space="preserve"> y CFE</w:t>
            </w:r>
            <w:r w:rsidR="005A3F93">
              <w:rPr>
                <w:rFonts w:ascii="Palatino Linotype" w:hAnsi="Palatino Linotype"/>
                <w:sz w:val="16"/>
                <w:szCs w:val="16"/>
              </w:rPr>
              <w:t xml:space="preserve"> de </w:t>
            </w:r>
            <w:r w:rsidR="00F85FD9" w:rsidRPr="008E2E36">
              <w:rPr>
                <w:rFonts w:ascii="Palatino Linotype" w:hAnsi="Palatino Linotype"/>
                <w:sz w:val="16"/>
                <w:szCs w:val="16"/>
              </w:rPr>
              <w:t xml:space="preserve">las ligas proporcionadas si bien se  advierten las deducciones; sin embargo, no se advierten </w:t>
            </w:r>
            <w:r w:rsidR="00FD7B6B">
              <w:rPr>
                <w:rFonts w:ascii="Palatino Linotype" w:hAnsi="Palatino Linotype"/>
                <w:sz w:val="16"/>
                <w:szCs w:val="16"/>
              </w:rPr>
              <w:t>las retenciones</w:t>
            </w:r>
            <w:r w:rsidR="00F85FD9" w:rsidRPr="008E2E36">
              <w:rPr>
                <w:rFonts w:ascii="Palatino Linotype" w:hAnsi="Palatino Linotype"/>
                <w:sz w:val="16"/>
                <w:szCs w:val="16"/>
              </w:rPr>
              <w:t xml:space="preserve">. </w:t>
            </w:r>
          </w:p>
          <w:p w:rsidR="00DF05DA" w:rsidRPr="008E2E36" w:rsidRDefault="00DF05DA" w:rsidP="005A3F93">
            <w:pPr>
              <w:spacing w:before="240" w:after="240"/>
              <w:contextualSpacing/>
              <w:jc w:val="both"/>
              <w:rPr>
                <w:rFonts w:ascii="Palatino Linotype" w:hAnsi="Palatino Linotype"/>
                <w:sz w:val="16"/>
                <w:szCs w:val="16"/>
              </w:rPr>
            </w:pPr>
            <w:r>
              <w:rPr>
                <w:rFonts w:ascii="Palatino Linotype" w:hAnsi="Palatino Linotype"/>
                <w:sz w:val="16"/>
                <w:szCs w:val="16"/>
              </w:rPr>
              <w:t>Entrega sólo de la CAEM y CONAGUA.</w:t>
            </w:r>
          </w:p>
        </w:tc>
      </w:tr>
      <w:tr w:rsidR="00681BB2" w:rsidRPr="00F159AC" w:rsidTr="00F85FD9">
        <w:tc>
          <w:tcPr>
            <w:tcW w:w="1696" w:type="dxa"/>
          </w:tcPr>
          <w:p w:rsidR="00F159AC" w:rsidRPr="005052F5" w:rsidRDefault="006E09BC" w:rsidP="005052F5">
            <w:pPr>
              <w:spacing w:before="240" w:after="240"/>
              <w:contextualSpacing/>
              <w:jc w:val="both"/>
              <w:rPr>
                <w:rFonts w:ascii="Palatino Linotype" w:hAnsi="Palatino Linotype"/>
                <w:sz w:val="16"/>
                <w:szCs w:val="16"/>
              </w:rPr>
            </w:pPr>
            <w:r>
              <w:rPr>
                <w:rFonts w:ascii="Palatino Linotype" w:hAnsi="Palatino Linotype"/>
                <w:sz w:val="16"/>
                <w:szCs w:val="16"/>
              </w:rPr>
              <w:t xml:space="preserve">4.- </w:t>
            </w:r>
            <w:r w:rsidR="005052F5" w:rsidRPr="005052F5">
              <w:rPr>
                <w:rFonts w:ascii="Palatino Linotype" w:hAnsi="Palatino Linotype"/>
                <w:sz w:val="16"/>
                <w:szCs w:val="16"/>
              </w:rPr>
              <w:t xml:space="preserve">Los Registros de Deuda Pública que estos Municipios hayan registrado ante el Gobierno del Estado o la Federación, y que tenga en su Poder o haya conocido el GEM. </w:t>
            </w:r>
          </w:p>
        </w:tc>
        <w:tc>
          <w:tcPr>
            <w:tcW w:w="4253" w:type="dxa"/>
          </w:tcPr>
          <w:p w:rsidR="00681BB2" w:rsidRPr="00812322" w:rsidRDefault="00681BB2" w:rsidP="00681BB2">
            <w:pPr>
              <w:spacing w:before="240" w:after="240"/>
              <w:contextualSpacing/>
              <w:jc w:val="both"/>
              <w:rPr>
                <w:rFonts w:ascii="Palatino Linotype" w:hAnsi="Palatino Linotype"/>
                <w:sz w:val="16"/>
                <w:szCs w:val="16"/>
              </w:rPr>
            </w:pPr>
            <w:r w:rsidRPr="00812322">
              <w:rPr>
                <w:rFonts w:ascii="Palatino Linotype" w:hAnsi="Palatino Linotype"/>
                <w:sz w:val="16"/>
                <w:szCs w:val="16"/>
              </w:rPr>
              <w:t>El Sujeto Obligado, manifestó que los registros de deuda pública que estos municipios hayan registrado ante el Gobierno del Estado de México o la Federación y que tenga en su poder o haya conocido el GEM, señaló que dicha información se encuentra en la siguiente liga electrónica:</w:t>
            </w:r>
          </w:p>
          <w:p w:rsidR="006A1B44" w:rsidRPr="006A1B44" w:rsidRDefault="006A1B44" w:rsidP="00681BB2">
            <w:pPr>
              <w:spacing w:before="240" w:after="240"/>
              <w:contextualSpacing/>
              <w:jc w:val="both"/>
              <w:rPr>
                <w:rFonts w:ascii="Palatino Linotype" w:eastAsia="Palatino Linotype" w:hAnsi="Palatino Linotype" w:cs="Palatino Linotype"/>
                <w:color w:val="FF0000"/>
                <w:sz w:val="20"/>
                <w:szCs w:val="20"/>
              </w:rPr>
            </w:pPr>
          </w:p>
          <w:p w:rsidR="00681BB2" w:rsidRPr="006A1B44" w:rsidRDefault="007905F8" w:rsidP="006A1B44">
            <w:pPr>
              <w:spacing w:before="240" w:after="240"/>
              <w:contextualSpacing/>
              <w:jc w:val="both"/>
              <w:rPr>
                <w:rFonts w:ascii="Palatino Linotype" w:eastAsia="Palatino Linotype" w:hAnsi="Palatino Linotype" w:cs="Palatino Linotype"/>
                <w:color w:val="FF0000"/>
                <w:sz w:val="20"/>
                <w:szCs w:val="20"/>
              </w:rPr>
            </w:pPr>
            <w:hyperlink r:id="rId46" w:history="1">
              <w:r w:rsidR="00812322" w:rsidRPr="00032702">
                <w:rPr>
                  <w:rStyle w:val="Hipervnculo"/>
                  <w:rFonts w:eastAsia="Palatino Linotype" w:cs="Palatino Linotype"/>
                  <w:sz w:val="20"/>
                  <w:szCs w:val="20"/>
                </w:rPr>
                <w:t>https://datos.edomex.gob.mx/dataset/deuda-publica-del-gobierno-del-estado-de-mexico/resource/b168362cf9b8-454b-9531-0ec8243cc593</w:t>
              </w:r>
            </w:hyperlink>
            <w:r w:rsidR="00681BB2" w:rsidRPr="006A1B44">
              <w:rPr>
                <w:rFonts w:ascii="Palatino Linotype" w:eastAsia="Palatino Linotype" w:hAnsi="Palatino Linotype" w:cs="Palatino Linotype"/>
                <w:color w:val="FF0000"/>
                <w:sz w:val="20"/>
                <w:szCs w:val="20"/>
              </w:rPr>
              <w:t xml:space="preserve"> </w:t>
            </w:r>
          </w:p>
          <w:p w:rsidR="00F159AC" w:rsidRPr="00F159AC" w:rsidRDefault="00F159AC" w:rsidP="00F159AC">
            <w:pPr>
              <w:ind w:right="-93"/>
              <w:contextualSpacing/>
              <w:jc w:val="both"/>
              <w:rPr>
                <w:rFonts w:ascii="Palatino Linotype" w:eastAsia="Palatino Linotype" w:hAnsi="Palatino Linotype" w:cs="Palatino Linotype"/>
                <w:color w:val="000000"/>
                <w:sz w:val="20"/>
                <w:szCs w:val="20"/>
              </w:rPr>
            </w:pPr>
          </w:p>
        </w:tc>
        <w:tc>
          <w:tcPr>
            <w:tcW w:w="1417" w:type="dxa"/>
          </w:tcPr>
          <w:p w:rsidR="00F159AC" w:rsidRPr="00F159AC" w:rsidRDefault="00812322" w:rsidP="00C4093F">
            <w:pPr>
              <w:spacing w:before="240" w:after="240"/>
              <w:contextualSpacing/>
              <w:jc w:val="both"/>
              <w:rPr>
                <w:rFonts w:ascii="Palatino Linotype" w:eastAsia="Palatino Linotype" w:hAnsi="Palatino Linotype" w:cs="Palatino Linotype"/>
                <w:color w:val="000000"/>
                <w:sz w:val="20"/>
                <w:szCs w:val="20"/>
              </w:rPr>
            </w:pPr>
            <w:r w:rsidRPr="00812322">
              <w:rPr>
                <w:rFonts w:ascii="Palatino Linotype" w:hAnsi="Palatino Linotype"/>
                <w:sz w:val="16"/>
                <w:szCs w:val="16"/>
              </w:rPr>
              <w:t>Ratifica la respuesta</w:t>
            </w:r>
          </w:p>
        </w:tc>
        <w:tc>
          <w:tcPr>
            <w:tcW w:w="1560" w:type="dxa"/>
          </w:tcPr>
          <w:p w:rsidR="00F159AC" w:rsidRDefault="00812322" w:rsidP="00812322">
            <w:pPr>
              <w:ind w:right="-93"/>
              <w:contextualSpacing/>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No </w:t>
            </w:r>
          </w:p>
          <w:p w:rsidR="00812322" w:rsidRPr="00F159AC" w:rsidRDefault="00812322" w:rsidP="00812322">
            <w:pPr>
              <w:spacing w:before="240" w:after="240"/>
              <w:contextualSpacing/>
              <w:jc w:val="both"/>
              <w:rPr>
                <w:rFonts w:ascii="Palatino Linotype" w:eastAsia="Palatino Linotype" w:hAnsi="Palatino Linotype" w:cs="Palatino Linotype"/>
                <w:color w:val="000000"/>
                <w:sz w:val="20"/>
                <w:szCs w:val="20"/>
              </w:rPr>
            </w:pPr>
            <w:r w:rsidRPr="00812322">
              <w:rPr>
                <w:rFonts w:ascii="Palatino Linotype" w:hAnsi="Palatino Linotype"/>
                <w:sz w:val="16"/>
                <w:szCs w:val="16"/>
              </w:rPr>
              <w:t>En la liga proporcionada no se advierte la información</w:t>
            </w:r>
          </w:p>
        </w:tc>
      </w:tr>
      <w:tr w:rsidR="00681BB2" w:rsidRPr="00F159AC" w:rsidTr="00F85FD9">
        <w:tc>
          <w:tcPr>
            <w:tcW w:w="1696" w:type="dxa"/>
          </w:tcPr>
          <w:p w:rsidR="00F159AC" w:rsidRPr="005052F5" w:rsidRDefault="006E09BC" w:rsidP="005052F5">
            <w:pPr>
              <w:spacing w:before="240" w:after="240"/>
              <w:contextualSpacing/>
              <w:jc w:val="both"/>
              <w:rPr>
                <w:rFonts w:ascii="Palatino Linotype" w:hAnsi="Palatino Linotype"/>
                <w:sz w:val="16"/>
                <w:szCs w:val="16"/>
              </w:rPr>
            </w:pPr>
            <w:r w:rsidRPr="00F5557A">
              <w:rPr>
                <w:rFonts w:ascii="Palatino Linotype" w:hAnsi="Palatino Linotype"/>
                <w:sz w:val="16"/>
                <w:szCs w:val="16"/>
              </w:rPr>
              <w:t xml:space="preserve">5.- </w:t>
            </w:r>
            <w:r w:rsidR="005052F5" w:rsidRPr="00F5557A">
              <w:rPr>
                <w:rFonts w:ascii="Palatino Linotype" w:hAnsi="Palatino Linotype"/>
                <w:sz w:val="16"/>
                <w:szCs w:val="16"/>
              </w:rPr>
              <w:t>Cuanto le correspondía a estos Municipios desde el 2013 a la fecha y cuanto se les ha entregado efectivamente o retenido.</w:t>
            </w:r>
            <w:r w:rsidR="005052F5" w:rsidRPr="005052F5">
              <w:rPr>
                <w:rFonts w:ascii="Palatino Linotype" w:hAnsi="Palatino Linotype"/>
                <w:sz w:val="16"/>
                <w:szCs w:val="16"/>
              </w:rPr>
              <w:t xml:space="preserve"> </w:t>
            </w:r>
          </w:p>
        </w:tc>
        <w:tc>
          <w:tcPr>
            <w:tcW w:w="4253" w:type="dxa"/>
          </w:tcPr>
          <w:p w:rsidR="00385BFB" w:rsidRDefault="00385BFB" w:rsidP="00385BFB">
            <w:pPr>
              <w:spacing w:before="240" w:after="240"/>
              <w:contextualSpacing/>
              <w:jc w:val="both"/>
              <w:rPr>
                <w:rFonts w:ascii="Palatino Linotype" w:hAnsi="Palatino Linotype"/>
                <w:sz w:val="16"/>
                <w:szCs w:val="16"/>
              </w:rPr>
            </w:pPr>
            <w:r w:rsidRPr="006E09BC">
              <w:rPr>
                <w:rFonts w:ascii="Palatino Linotype" w:hAnsi="Palatino Linotype"/>
                <w:sz w:val="16"/>
                <w:szCs w:val="16"/>
              </w:rPr>
              <w:t>El Sujeto Obligado entregó</w:t>
            </w:r>
            <w:r>
              <w:rPr>
                <w:rFonts w:ascii="Palatino Linotype" w:eastAsia="Palatino Linotype" w:hAnsi="Palatino Linotype" w:cs="Palatino Linotype"/>
                <w:color w:val="000000"/>
                <w:sz w:val="20"/>
                <w:szCs w:val="20"/>
              </w:rPr>
              <w:t xml:space="preserve"> </w:t>
            </w:r>
            <w:r w:rsidRPr="00BE0C4E">
              <w:rPr>
                <w:rFonts w:ascii="Palatino Linotype" w:hAnsi="Palatino Linotype"/>
                <w:sz w:val="16"/>
                <w:szCs w:val="16"/>
              </w:rPr>
              <w:t xml:space="preserve">ocho </w:t>
            </w:r>
            <w:r>
              <w:rPr>
                <w:rFonts w:ascii="Palatino Linotype" w:hAnsi="Palatino Linotype"/>
                <w:sz w:val="16"/>
                <w:szCs w:val="16"/>
              </w:rPr>
              <w:t>link</w:t>
            </w:r>
            <w:r w:rsidR="001A6196">
              <w:rPr>
                <w:rFonts w:ascii="Palatino Linotype" w:hAnsi="Palatino Linotype"/>
                <w:sz w:val="16"/>
                <w:szCs w:val="16"/>
              </w:rPr>
              <w:t>s</w:t>
            </w:r>
            <w:r>
              <w:rPr>
                <w:rFonts w:ascii="Palatino Linotype" w:hAnsi="Palatino Linotype"/>
                <w:sz w:val="16"/>
                <w:szCs w:val="16"/>
              </w:rPr>
              <w:t>, en donde dice que se encuentra la información correspondiente a los fondos de aportaciones federales de los 125 municipios del Estado de México, de los ejercicios fiscales 2013 a 2020, incluidos Naucalpan y Toluca.</w:t>
            </w:r>
          </w:p>
          <w:p w:rsidR="00385BFB" w:rsidRDefault="00385BFB" w:rsidP="00385BFB">
            <w:pPr>
              <w:spacing w:before="240" w:after="240"/>
              <w:contextualSpacing/>
              <w:jc w:val="both"/>
              <w:rPr>
                <w:rFonts w:ascii="Palatino Linotype" w:hAnsi="Palatino Linotype"/>
                <w:sz w:val="16"/>
                <w:szCs w:val="16"/>
              </w:rPr>
            </w:pPr>
            <w:r>
              <w:rPr>
                <w:rFonts w:ascii="Palatino Linotype" w:hAnsi="Palatino Linotype"/>
                <w:sz w:val="16"/>
                <w:szCs w:val="16"/>
              </w:rPr>
              <w:t xml:space="preserve">-Sobre al ejercicio fiscal en curso (2021), señaló puede ser consultado en el acuerdo por el que se da a conocer el calendario de entrega, porcentaje, formulas y variable utilizadas, así como los montos estimados que recibiría cada municipio por concepto de participaciones federales y estatales, para el ejercicio fiscal 2021, publicado en la </w:t>
            </w:r>
            <w:r>
              <w:rPr>
                <w:rFonts w:ascii="Palatino Linotype" w:hAnsi="Palatino Linotype"/>
                <w:sz w:val="16"/>
                <w:szCs w:val="16"/>
              </w:rPr>
              <w:lastRenderedPageBreak/>
              <w:t>gaceta del Gobierno del Estado de México de fecha 15 de febrero de 2021, en el enlace electrónico que proporciono.</w:t>
            </w:r>
          </w:p>
          <w:p w:rsidR="00385BFB" w:rsidRDefault="00385BFB" w:rsidP="00385BFB">
            <w:pPr>
              <w:spacing w:before="240" w:after="240"/>
              <w:contextualSpacing/>
              <w:jc w:val="both"/>
              <w:rPr>
                <w:rFonts w:ascii="Palatino Linotype" w:eastAsia="Palatino Linotype" w:hAnsi="Palatino Linotype" w:cs="Palatino Linotype"/>
                <w:color w:val="000000"/>
                <w:sz w:val="20"/>
                <w:szCs w:val="20"/>
              </w:rPr>
            </w:pPr>
            <w:r>
              <w:rPr>
                <w:rFonts w:ascii="Palatino Linotype" w:hAnsi="Palatino Linotype"/>
                <w:sz w:val="16"/>
                <w:szCs w:val="16"/>
              </w:rPr>
              <w:t>-</w:t>
            </w:r>
            <w:r w:rsidRPr="00BE0C4E">
              <w:rPr>
                <w:rFonts w:ascii="Palatino Linotype" w:hAnsi="Palatino Linotype"/>
                <w:sz w:val="16"/>
                <w:szCs w:val="16"/>
              </w:rPr>
              <w:t>El Sujeto Obligado señaló que los recursos son entregados a cada municipio</w:t>
            </w:r>
            <w:r>
              <w:rPr>
                <w:rFonts w:ascii="Palatino Linotype" w:eastAsia="Palatino Linotype" w:hAnsi="Palatino Linotype" w:cs="Palatino Linotype"/>
                <w:color w:val="000000"/>
                <w:sz w:val="20"/>
                <w:szCs w:val="20"/>
              </w:rPr>
              <w:t xml:space="preserve">. </w:t>
            </w:r>
          </w:p>
          <w:p w:rsidR="00385BFB" w:rsidRDefault="00385BFB" w:rsidP="00385BFB">
            <w:pPr>
              <w:spacing w:before="240" w:after="240"/>
              <w:contextualSpacing/>
              <w:jc w:val="both"/>
              <w:rPr>
                <w:rFonts w:ascii="Palatino Linotype" w:hAnsi="Palatino Linotype"/>
                <w:sz w:val="16"/>
                <w:szCs w:val="16"/>
              </w:rPr>
            </w:pPr>
            <w:r>
              <w:rPr>
                <w:rFonts w:ascii="Palatino Linotype" w:hAnsi="Palatino Linotype"/>
                <w:sz w:val="16"/>
                <w:szCs w:val="16"/>
              </w:rPr>
              <w:t>También sobre las participaciones entregadas a los municipios de Toluca y Naucalpan del periodo 2013 a julio de 2021, puede ser consultados en el sitio web de la Secretaría de Finanzas en la sección de participaciones a municipios en el enlace siguiente:</w:t>
            </w:r>
          </w:p>
          <w:p w:rsidR="00F159AC" w:rsidRPr="00F159AC" w:rsidRDefault="007905F8" w:rsidP="00385BFB">
            <w:pPr>
              <w:ind w:right="-93"/>
              <w:contextualSpacing/>
              <w:jc w:val="both"/>
              <w:rPr>
                <w:rFonts w:ascii="Palatino Linotype" w:eastAsia="Palatino Linotype" w:hAnsi="Palatino Linotype" w:cs="Palatino Linotype"/>
                <w:color w:val="000000"/>
                <w:sz w:val="20"/>
                <w:szCs w:val="20"/>
              </w:rPr>
            </w:pPr>
            <w:hyperlink r:id="rId47" w:history="1">
              <w:r w:rsidR="00385BFB" w:rsidRPr="007A3028">
                <w:rPr>
                  <w:rFonts w:ascii="Palatino Linotype" w:hAnsi="Palatino Linotype"/>
                  <w:sz w:val="16"/>
                  <w:szCs w:val="16"/>
                </w:rPr>
                <w:t>https://sfpya.edomexico.gob.mx/participaciones/</w:t>
              </w:r>
            </w:hyperlink>
            <w:r w:rsidR="00385BFB" w:rsidRPr="007A3028">
              <w:rPr>
                <w:rFonts w:ascii="Palatino Linotype" w:hAnsi="Palatino Linotype"/>
                <w:sz w:val="16"/>
                <w:szCs w:val="16"/>
              </w:rPr>
              <w:t>.</w:t>
            </w:r>
          </w:p>
        </w:tc>
        <w:tc>
          <w:tcPr>
            <w:tcW w:w="1417" w:type="dxa"/>
          </w:tcPr>
          <w:p w:rsidR="00F159AC" w:rsidRPr="00F159AC" w:rsidRDefault="00385BFB" w:rsidP="00385BFB">
            <w:pPr>
              <w:spacing w:before="240" w:after="240"/>
              <w:contextualSpacing/>
              <w:jc w:val="both"/>
              <w:rPr>
                <w:rFonts w:ascii="Palatino Linotype" w:eastAsia="Palatino Linotype" w:hAnsi="Palatino Linotype" w:cs="Palatino Linotype"/>
                <w:color w:val="000000"/>
                <w:sz w:val="20"/>
                <w:szCs w:val="20"/>
              </w:rPr>
            </w:pPr>
            <w:r w:rsidRPr="00385BFB">
              <w:rPr>
                <w:rFonts w:ascii="Palatino Linotype" w:hAnsi="Palatino Linotype"/>
                <w:sz w:val="16"/>
                <w:szCs w:val="16"/>
              </w:rPr>
              <w:lastRenderedPageBreak/>
              <w:t>Ratifica la respuesta</w:t>
            </w:r>
          </w:p>
        </w:tc>
        <w:tc>
          <w:tcPr>
            <w:tcW w:w="1560" w:type="dxa"/>
          </w:tcPr>
          <w:p w:rsidR="00F159AC" w:rsidRDefault="008B56E5" w:rsidP="00385BFB">
            <w:pPr>
              <w:ind w:right="-93"/>
              <w:contextualSpacing/>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Parcialmente</w:t>
            </w:r>
          </w:p>
          <w:p w:rsidR="008B56E5" w:rsidRPr="00F159AC" w:rsidRDefault="008B56E5" w:rsidP="008B56E5">
            <w:pPr>
              <w:ind w:right="-93"/>
              <w:contextualSpacing/>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Faltó la información del ramo 28 y las participaciones</w:t>
            </w:r>
            <w:r w:rsidR="005A3F93">
              <w:rPr>
                <w:rFonts w:ascii="Palatino Linotype" w:eastAsia="Palatino Linotype" w:hAnsi="Palatino Linotype" w:cs="Palatino Linotype"/>
                <w:color w:val="000000"/>
                <w:sz w:val="20"/>
                <w:szCs w:val="20"/>
              </w:rPr>
              <w:t xml:space="preserve"> y aportaciones del 2013 al 2021.</w:t>
            </w:r>
          </w:p>
        </w:tc>
      </w:tr>
      <w:tr w:rsidR="00681BB2" w:rsidRPr="00F159AC" w:rsidTr="00F85FD9">
        <w:tc>
          <w:tcPr>
            <w:tcW w:w="1696" w:type="dxa"/>
          </w:tcPr>
          <w:p w:rsidR="00142BE8" w:rsidRPr="005052F5" w:rsidRDefault="006E09BC" w:rsidP="001A6196">
            <w:pPr>
              <w:spacing w:before="240" w:after="240"/>
              <w:contextualSpacing/>
              <w:jc w:val="both"/>
              <w:rPr>
                <w:rFonts w:ascii="Palatino Linotype" w:hAnsi="Palatino Linotype"/>
                <w:color w:val="FF0000"/>
                <w:sz w:val="16"/>
                <w:szCs w:val="16"/>
              </w:rPr>
            </w:pPr>
            <w:r>
              <w:rPr>
                <w:rFonts w:ascii="Palatino Linotype" w:hAnsi="Palatino Linotype"/>
                <w:sz w:val="16"/>
                <w:szCs w:val="16"/>
              </w:rPr>
              <w:t xml:space="preserve">6.- </w:t>
            </w:r>
            <w:r w:rsidR="005052F5" w:rsidRPr="005052F5">
              <w:rPr>
                <w:rFonts w:ascii="Palatino Linotype" w:hAnsi="Palatino Linotype"/>
                <w:sz w:val="16"/>
                <w:szCs w:val="16"/>
              </w:rPr>
              <w:t>Las Auditorias que tenga el GEM, respecto al cumplimiento de la Trasferencia de Participaciones y Aportaciones Estatales y Federales a los Municipios, de la Secretar</w:t>
            </w:r>
            <w:r w:rsidR="001A6196">
              <w:rPr>
                <w:rFonts w:ascii="Palatino Linotype" w:hAnsi="Palatino Linotype"/>
                <w:sz w:val="16"/>
                <w:szCs w:val="16"/>
              </w:rPr>
              <w:t>í</w:t>
            </w:r>
            <w:r w:rsidR="005052F5" w:rsidRPr="005052F5">
              <w:rPr>
                <w:rFonts w:ascii="Palatino Linotype" w:hAnsi="Palatino Linotype"/>
                <w:sz w:val="16"/>
                <w:szCs w:val="16"/>
              </w:rPr>
              <w:t xml:space="preserve">a de la Contraloría, el OSFEM y la ASF o la Auditoria Federal Correspondiente, Desde 2013 a la Fecha. </w:t>
            </w:r>
          </w:p>
        </w:tc>
        <w:tc>
          <w:tcPr>
            <w:tcW w:w="4253" w:type="dxa"/>
          </w:tcPr>
          <w:p w:rsidR="00142BE8" w:rsidRDefault="00385BFB" w:rsidP="00385BFB">
            <w:pPr>
              <w:spacing w:before="240" w:after="240"/>
              <w:contextualSpacing/>
              <w:rPr>
                <w:rFonts w:ascii="Palatino Linotype" w:eastAsia="Palatino Linotype" w:hAnsi="Palatino Linotype" w:cs="Palatino Linotype"/>
                <w:color w:val="000000"/>
                <w:sz w:val="20"/>
                <w:szCs w:val="20"/>
              </w:rPr>
            </w:pPr>
            <w:r w:rsidRPr="00385BFB">
              <w:rPr>
                <w:rFonts w:ascii="Palatino Linotype" w:hAnsi="Palatino Linotype"/>
                <w:sz w:val="16"/>
                <w:szCs w:val="16"/>
              </w:rPr>
              <w:t xml:space="preserve">No </w:t>
            </w:r>
            <w:r>
              <w:rPr>
                <w:rFonts w:ascii="Palatino Linotype" w:hAnsi="Palatino Linotype"/>
                <w:sz w:val="16"/>
                <w:szCs w:val="16"/>
              </w:rPr>
              <w:t xml:space="preserve">se pronunció al respecto </w:t>
            </w:r>
          </w:p>
        </w:tc>
        <w:tc>
          <w:tcPr>
            <w:tcW w:w="1417" w:type="dxa"/>
          </w:tcPr>
          <w:p w:rsidR="00142BE8" w:rsidRDefault="00385BFB" w:rsidP="00385BFB">
            <w:pPr>
              <w:spacing w:before="240" w:after="240"/>
              <w:contextualSpacing/>
              <w:rPr>
                <w:rFonts w:ascii="Palatino Linotype" w:eastAsia="Palatino Linotype" w:hAnsi="Palatino Linotype" w:cs="Palatino Linotype"/>
                <w:color w:val="000000"/>
                <w:sz w:val="20"/>
                <w:szCs w:val="20"/>
              </w:rPr>
            </w:pPr>
            <w:r w:rsidRPr="00385BFB">
              <w:rPr>
                <w:rFonts w:ascii="Palatino Linotype" w:hAnsi="Palatino Linotype"/>
                <w:sz w:val="16"/>
                <w:szCs w:val="16"/>
              </w:rPr>
              <w:t>No se pronunció</w:t>
            </w:r>
          </w:p>
        </w:tc>
        <w:tc>
          <w:tcPr>
            <w:tcW w:w="1560" w:type="dxa"/>
          </w:tcPr>
          <w:p w:rsidR="00142BE8" w:rsidRDefault="00385BFB" w:rsidP="00385BFB">
            <w:pPr>
              <w:spacing w:before="240" w:after="240"/>
              <w:contextualSpacing/>
              <w:jc w:val="center"/>
              <w:rPr>
                <w:rFonts w:ascii="Palatino Linotype" w:hAnsi="Palatino Linotype"/>
                <w:sz w:val="16"/>
                <w:szCs w:val="16"/>
              </w:rPr>
            </w:pPr>
            <w:r w:rsidRPr="00385BFB">
              <w:rPr>
                <w:rFonts w:ascii="Palatino Linotype" w:hAnsi="Palatino Linotype"/>
                <w:sz w:val="16"/>
                <w:szCs w:val="16"/>
              </w:rPr>
              <w:t>No</w:t>
            </w:r>
          </w:p>
          <w:p w:rsidR="00385BFB" w:rsidRDefault="00385BFB" w:rsidP="00385BFB">
            <w:pPr>
              <w:spacing w:before="240" w:after="240"/>
              <w:contextualSpacing/>
              <w:jc w:val="center"/>
              <w:rPr>
                <w:rFonts w:ascii="Palatino Linotype" w:eastAsia="Palatino Linotype" w:hAnsi="Palatino Linotype" w:cs="Palatino Linotype"/>
                <w:color w:val="000000"/>
                <w:sz w:val="20"/>
                <w:szCs w:val="20"/>
              </w:rPr>
            </w:pPr>
            <w:r>
              <w:rPr>
                <w:rFonts w:ascii="Palatino Linotype" w:hAnsi="Palatino Linotype"/>
                <w:sz w:val="16"/>
                <w:szCs w:val="16"/>
              </w:rPr>
              <w:t>Incompetencia</w:t>
            </w:r>
          </w:p>
        </w:tc>
      </w:tr>
      <w:tr w:rsidR="00681BB2" w:rsidRPr="00F159AC" w:rsidTr="00F85FD9">
        <w:tc>
          <w:tcPr>
            <w:tcW w:w="1696" w:type="dxa"/>
          </w:tcPr>
          <w:p w:rsidR="005052F5" w:rsidRPr="005052F5" w:rsidRDefault="006E09BC" w:rsidP="005052F5">
            <w:pPr>
              <w:spacing w:before="240" w:after="240"/>
              <w:contextualSpacing/>
              <w:jc w:val="both"/>
              <w:rPr>
                <w:rFonts w:ascii="Palatino Linotype" w:hAnsi="Palatino Linotype"/>
                <w:sz w:val="20"/>
                <w:szCs w:val="20"/>
              </w:rPr>
            </w:pPr>
            <w:r w:rsidRPr="00F5557A">
              <w:rPr>
                <w:rFonts w:ascii="Palatino Linotype" w:hAnsi="Palatino Linotype"/>
                <w:sz w:val="16"/>
                <w:szCs w:val="16"/>
              </w:rPr>
              <w:t xml:space="preserve">7.- </w:t>
            </w:r>
            <w:r w:rsidR="005052F5" w:rsidRPr="00F5557A">
              <w:rPr>
                <w:rFonts w:ascii="Palatino Linotype" w:hAnsi="Palatino Linotype"/>
                <w:sz w:val="16"/>
                <w:szCs w:val="16"/>
              </w:rPr>
              <w:t>Todos los documentos oficiales que tengan el Gobierno del Estado de México y los Municipios en Mención respecto a estas Aportaciones y Deducciones.</w:t>
            </w:r>
            <w:r w:rsidR="005052F5" w:rsidRPr="005052F5">
              <w:rPr>
                <w:rFonts w:ascii="Palatino Linotype" w:hAnsi="Palatino Linotype"/>
                <w:sz w:val="16"/>
                <w:szCs w:val="16"/>
              </w:rPr>
              <w:t xml:space="preserve"> </w:t>
            </w:r>
          </w:p>
        </w:tc>
        <w:tc>
          <w:tcPr>
            <w:tcW w:w="4253" w:type="dxa"/>
          </w:tcPr>
          <w:p w:rsidR="009C14BC" w:rsidRDefault="009C14BC" w:rsidP="009C14BC">
            <w:pPr>
              <w:spacing w:before="240" w:after="240"/>
              <w:contextualSpacing/>
              <w:jc w:val="both"/>
              <w:rPr>
                <w:rFonts w:ascii="Palatino Linotype" w:hAnsi="Palatino Linotype"/>
                <w:sz w:val="16"/>
                <w:szCs w:val="16"/>
              </w:rPr>
            </w:pPr>
            <w:r w:rsidRPr="006E09BC">
              <w:rPr>
                <w:rFonts w:ascii="Palatino Linotype" w:hAnsi="Palatino Linotype"/>
                <w:sz w:val="16"/>
                <w:szCs w:val="16"/>
              </w:rPr>
              <w:t>El Sujeto Obligado entregó</w:t>
            </w:r>
            <w:r>
              <w:rPr>
                <w:rFonts w:ascii="Palatino Linotype" w:eastAsia="Palatino Linotype" w:hAnsi="Palatino Linotype" w:cs="Palatino Linotype"/>
                <w:color w:val="000000"/>
                <w:sz w:val="20"/>
                <w:szCs w:val="20"/>
              </w:rPr>
              <w:t xml:space="preserve"> </w:t>
            </w:r>
            <w:r w:rsidRPr="00BE0C4E">
              <w:rPr>
                <w:rFonts w:ascii="Palatino Linotype" w:hAnsi="Palatino Linotype"/>
                <w:sz w:val="16"/>
                <w:szCs w:val="16"/>
              </w:rPr>
              <w:t xml:space="preserve">ocho </w:t>
            </w:r>
            <w:r>
              <w:rPr>
                <w:rFonts w:ascii="Palatino Linotype" w:hAnsi="Palatino Linotype"/>
                <w:sz w:val="16"/>
                <w:szCs w:val="16"/>
              </w:rPr>
              <w:t>link</w:t>
            </w:r>
            <w:r w:rsidR="001A6196">
              <w:rPr>
                <w:rFonts w:ascii="Palatino Linotype" w:hAnsi="Palatino Linotype"/>
                <w:sz w:val="16"/>
                <w:szCs w:val="16"/>
              </w:rPr>
              <w:t>s</w:t>
            </w:r>
            <w:r>
              <w:rPr>
                <w:rFonts w:ascii="Palatino Linotype" w:hAnsi="Palatino Linotype"/>
                <w:sz w:val="16"/>
                <w:szCs w:val="16"/>
              </w:rPr>
              <w:t>, en donde dice que se encuentra la información correspondiente a los fondos de aportaciones federales de los 125 municipios del Estado de México, de los ejercicios fiscales 2013 a 2020, incluidos Naucalpan y Toluca.</w:t>
            </w:r>
          </w:p>
          <w:p w:rsidR="009C14BC" w:rsidRDefault="009C14BC" w:rsidP="009C14BC">
            <w:pPr>
              <w:spacing w:before="240" w:after="240"/>
              <w:contextualSpacing/>
              <w:jc w:val="both"/>
              <w:rPr>
                <w:rFonts w:ascii="Palatino Linotype" w:hAnsi="Palatino Linotype"/>
                <w:sz w:val="16"/>
                <w:szCs w:val="16"/>
              </w:rPr>
            </w:pPr>
            <w:r>
              <w:rPr>
                <w:rFonts w:ascii="Palatino Linotype" w:hAnsi="Palatino Linotype"/>
                <w:sz w:val="16"/>
                <w:szCs w:val="16"/>
              </w:rPr>
              <w:t>-Sobre al ejercicio fiscal en curso (2021), señaló puede ser consultado en el acuerdo por el que se da a conocer el calendario de entrega, porcentaje, formulas y variable utilizadas, así como los montos estimados que recibiría cada municipio por concepto de participaciones federales y estatales, para el ejercicio fiscal 2021, publicado en la gaceta del Gobierno del Estado de México de fecha 15 de febrero de 2021, en el enlace electrónico que proporciono.</w:t>
            </w:r>
          </w:p>
          <w:p w:rsidR="009C14BC" w:rsidRDefault="009C14BC" w:rsidP="009C14BC">
            <w:pPr>
              <w:spacing w:before="240" w:after="240"/>
              <w:contextualSpacing/>
              <w:jc w:val="both"/>
              <w:rPr>
                <w:rFonts w:ascii="Palatino Linotype" w:eastAsia="Palatino Linotype" w:hAnsi="Palatino Linotype" w:cs="Palatino Linotype"/>
                <w:color w:val="000000"/>
                <w:sz w:val="20"/>
                <w:szCs w:val="20"/>
              </w:rPr>
            </w:pPr>
            <w:r>
              <w:rPr>
                <w:rFonts w:ascii="Palatino Linotype" w:hAnsi="Palatino Linotype"/>
                <w:sz w:val="16"/>
                <w:szCs w:val="16"/>
              </w:rPr>
              <w:t>-</w:t>
            </w:r>
            <w:r w:rsidRPr="00BE0C4E">
              <w:rPr>
                <w:rFonts w:ascii="Palatino Linotype" w:hAnsi="Palatino Linotype"/>
                <w:sz w:val="16"/>
                <w:szCs w:val="16"/>
              </w:rPr>
              <w:t>El Sujeto Obligado señaló que los recursos son entregados a cada municipio</w:t>
            </w:r>
            <w:r>
              <w:rPr>
                <w:rFonts w:ascii="Palatino Linotype" w:eastAsia="Palatino Linotype" w:hAnsi="Palatino Linotype" w:cs="Palatino Linotype"/>
                <w:color w:val="000000"/>
                <w:sz w:val="20"/>
                <w:szCs w:val="20"/>
              </w:rPr>
              <w:t xml:space="preserve">. </w:t>
            </w:r>
          </w:p>
          <w:p w:rsidR="009C14BC" w:rsidRDefault="009C14BC" w:rsidP="009C14BC">
            <w:pPr>
              <w:spacing w:before="240" w:after="240"/>
              <w:contextualSpacing/>
              <w:jc w:val="both"/>
              <w:rPr>
                <w:rFonts w:ascii="Palatino Linotype" w:hAnsi="Palatino Linotype"/>
                <w:sz w:val="16"/>
                <w:szCs w:val="16"/>
              </w:rPr>
            </w:pPr>
            <w:r>
              <w:rPr>
                <w:rFonts w:ascii="Palatino Linotype" w:hAnsi="Palatino Linotype"/>
                <w:sz w:val="16"/>
                <w:szCs w:val="16"/>
              </w:rPr>
              <w:t>También sobre las participaciones entregadas a los municipios de Toluca y Naucalpan del periodo 2013 a julio de 2021, puede ser consultados en el sitio web de la Secretaría de Finanzas en la sección de participaciones a municipios en el enlace siguiente:</w:t>
            </w:r>
          </w:p>
          <w:p w:rsidR="005052F5" w:rsidRDefault="007905F8" w:rsidP="009C14BC">
            <w:pPr>
              <w:ind w:right="-93"/>
              <w:contextualSpacing/>
              <w:jc w:val="both"/>
              <w:rPr>
                <w:rFonts w:ascii="Palatino Linotype" w:hAnsi="Palatino Linotype"/>
                <w:sz w:val="16"/>
                <w:szCs w:val="16"/>
              </w:rPr>
            </w:pPr>
            <w:hyperlink r:id="rId48" w:history="1">
              <w:r w:rsidR="009C14BC" w:rsidRPr="007A3028">
                <w:rPr>
                  <w:rFonts w:ascii="Palatino Linotype" w:hAnsi="Palatino Linotype"/>
                  <w:sz w:val="16"/>
                  <w:szCs w:val="16"/>
                </w:rPr>
                <w:t>https://sfpya.edomexico.gob.mx/participaciones/</w:t>
              </w:r>
            </w:hyperlink>
          </w:p>
          <w:p w:rsidR="009C14BC" w:rsidRDefault="009C14BC" w:rsidP="009C14BC">
            <w:pPr>
              <w:ind w:right="-93"/>
              <w:contextualSpacing/>
              <w:jc w:val="both"/>
              <w:rPr>
                <w:rFonts w:ascii="Palatino Linotype" w:eastAsia="Palatino Linotype" w:hAnsi="Palatino Linotype" w:cs="Palatino Linotype"/>
                <w:color w:val="000000"/>
                <w:sz w:val="20"/>
                <w:szCs w:val="20"/>
              </w:rPr>
            </w:pPr>
            <w:r>
              <w:rPr>
                <w:rFonts w:ascii="Palatino Linotype" w:hAnsi="Palatino Linotype"/>
                <w:sz w:val="16"/>
                <w:szCs w:val="16"/>
              </w:rPr>
              <w:t>-La Dirección de evaluación de la Información Financiera y Recursos Federales, informo que la información solicitada puede ser consultada en las siguientes ligas electrónicas:</w:t>
            </w:r>
          </w:p>
          <w:p w:rsidR="009C14BC" w:rsidRDefault="009C14BC" w:rsidP="00F159AC">
            <w:pPr>
              <w:ind w:right="-93"/>
              <w:contextualSpacing/>
              <w:jc w:val="both"/>
              <w:rPr>
                <w:rFonts w:ascii="Palatino Linotype" w:eastAsia="Palatino Linotype" w:hAnsi="Palatino Linotype" w:cs="Palatino Linotype"/>
                <w:color w:val="000000"/>
                <w:sz w:val="20"/>
                <w:szCs w:val="20"/>
              </w:rPr>
            </w:pPr>
            <w:r>
              <w:rPr>
                <w:noProof/>
                <w:lang w:val="es-MX" w:eastAsia="es-MX"/>
              </w:rPr>
              <w:lastRenderedPageBreak/>
              <w:drawing>
                <wp:inline distT="0" distB="0" distL="0" distR="0" wp14:anchorId="226B18C6" wp14:editId="01A21982">
                  <wp:extent cx="2457170" cy="1013336"/>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1412" t="25347" r="23851" b="40253"/>
                          <a:stretch/>
                        </pic:blipFill>
                        <pic:spPr bwMode="auto">
                          <a:xfrm>
                            <a:off x="0" y="0"/>
                            <a:ext cx="2478653" cy="1022195"/>
                          </a:xfrm>
                          <a:prstGeom prst="rect">
                            <a:avLst/>
                          </a:prstGeom>
                          <a:ln>
                            <a:noFill/>
                          </a:ln>
                          <a:extLst>
                            <a:ext uri="{53640926-AAD7-44D8-BBD7-CCE9431645EC}">
                              <a14:shadowObscured xmlns:a14="http://schemas.microsoft.com/office/drawing/2010/main"/>
                            </a:ext>
                          </a:extLst>
                        </pic:spPr>
                      </pic:pic>
                    </a:graphicData>
                  </a:graphic>
                </wp:inline>
              </w:drawing>
            </w:r>
          </w:p>
          <w:p w:rsidR="009C14BC" w:rsidRDefault="009C14BC" w:rsidP="00F159AC">
            <w:pPr>
              <w:ind w:right="-93"/>
              <w:contextualSpacing/>
              <w:jc w:val="both"/>
              <w:rPr>
                <w:rFonts w:ascii="Palatino Linotype" w:eastAsia="Palatino Linotype" w:hAnsi="Palatino Linotype" w:cs="Palatino Linotype"/>
                <w:color w:val="000000"/>
                <w:sz w:val="20"/>
                <w:szCs w:val="20"/>
              </w:rPr>
            </w:pPr>
          </w:p>
        </w:tc>
        <w:tc>
          <w:tcPr>
            <w:tcW w:w="1417" w:type="dxa"/>
          </w:tcPr>
          <w:p w:rsidR="005052F5" w:rsidRPr="009C14BC" w:rsidRDefault="009C14BC" w:rsidP="009C14BC">
            <w:pPr>
              <w:spacing w:before="240" w:after="240"/>
              <w:contextualSpacing/>
              <w:jc w:val="both"/>
              <w:rPr>
                <w:rFonts w:ascii="Palatino Linotype" w:hAnsi="Palatino Linotype"/>
                <w:sz w:val="16"/>
                <w:szCs w:val="16"/>
              </w:rPr>
            </w:pPr>
            <w:r w:rsidRPr="009C14BC">
              <w:rPr>
                <w:rFonts w:ascii="Palatino Linotype" w:hAnsi="Palatino Linotype"/>
                <w:sz w:val="16"/>
                <w:szCs w:val="16"/>
              </w:rPr>
              <w:lastRenderedPageBreak/>
              <w:t>Ratifica respuesta</w:t>
            </w:r>
          </w:p>
        </w:tc>
        <w:tc>
          <w:tcPr>
            <w:tcW w:w="1560" w:type="dxa"/>
          </w:tcPr>
          <w:p w:rsidR="008B56E5" w:rsidRDefault="008B56E5" w:rsidP="008B56E5">
            <w:pPr>
              <w:ind w:right="-93"/>
              <w:contextualSpacing/>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Parcialmente</w:t>
            </w:r>
          </w:p>
          <w:p w:rsidR="005052F5" w:rsidRPr="009C14BC" w:rsidRDefault="008B56E5" w:rsidP="008B56E5">
            <w:pPr>
              <w:spacing w:before="240" w:after="240"/>
              <w:contextualSpacing/>
              <w:jc w:val="both"/>
              <w:rPr>
                <w:rFonts w:ascii="Palatino Linotype" w:hAnsi="Palatino Linotype"/>
                <w:sz w:val="16"/>
                <w:szCs w:val="16"/>
              </w:rPr>
            </w:pPr>
            <w:r>
              <w:rPr>
                <w:rFonts w:ascii="Palatino Linotype" w:eastAsia="Palatino Linotype" w:hAnsi="Palatino Linotype" w:cs="Palatino Linotype"/>
                <w:color w:val="000000"/>
                <w:sz w:val="20"/>
                <w:szCs w:val="20"/>
              </w:rPr>
              <w:t>Faltó la información del ramo 28 y las participaciones</w:t>
            </w:r>
            <w:r w:rsidR="005A3F93">
              <w:rPr>
                <w:rFonts w:ascii="Palatino Linotype" w:eastAsia="Palatino Linotype" w:hAnsi="Palatino Linotype" w:cs="Palatino Linotype"/>
                <w:color w:val="000000"/>
                <w:sz w:val="20"/>
                <w:szCs w:val="20"/>
              </w:rPr>
              <w:t xml:space="preserve"> y aportaciones del 2013 al 2021.</w:t>
            </w:r>
          </w:p>
        </w:tc>
      </w:tr>
      <w:tr w:rsidR="00681BB2" w:rsidRPr="00F159AC" w:rsidTr="00F85FD9">
        <w:tc>
          <w:tcPr>
            <w:tcW w:w="1696" w:type="dxa"/>
          </w:tcPr>
          <w:p w:rsidR="005052F5" w:rsidRPr="005052F5" w:rsidRDefault="006E09BC" w:rsidP="005052F5">
            <w:pPr>
              <w:spacing w:before="240" w:after="240"/>
              <w:contextualSpacing/>
              <w:jc w:val="both"/>
              <w:rPr>
                <w:rFonts w:ascii="Palatino Linotype" w:hAnsi="Palatino Linotype"/>
                <w:sz w:val="16"/>
                <w:szCs w:val="16"/>
              </w:rPr>
            </w:pPr>
            <w:r w:rsidRPr="00F5557A">
              <w:rPr>
                <w:rFonts w:ascii="Palatino Linotype" w:hAnsi="Palatino Linotype"/>
                <w:sz w:val="16"/>
                <w:szCs w:val="16"/>
              </w:rPr>
              <w:t xml:space="preserve">8.- </w:t>
            </w:r>
            <w:r w:rsidR="005052F5" w:rsidRPr="00F5557A">
              <w:rPr>
                <w:rFonts w:ascii="Palatino Linotype" w:hAnsi="Palatino Linotype"/>
                <w:sz w:val="16"/>
                <w:szCs w:val="16"/>
              </w:rPr>
              <w:t>Evidencia que han Recibido por parte de la Federación estos Recursos en forma Regular.</w:t>
            </w:r>
          </w:p>
        </w:tc>
        <w:tc>
          <w:tcPr>
            <w:tcW w:w="4253" w:type="dxa"/>
          </w:tcPr>
          <w:p w:rsidR="009C14BC" w:rsidRDefault="009C14BC" w:rsidP="009C14BC">
            <w:pPr>
              <w:spacing w:before="240" w:after="240"/>
              <w:contextualSpacing/>
              <w:jc w:val="both"/>
              <w:rPr>
                <w:rFonts w:ascii="Palatino Linotype" w:hAnsi="Palatino Linotype"/>
                <w:sz w:val="16"/>
                <w:szCs w:val="16"/>
              </w:rPr>
            </w:pPr>
            <w:r w:rsidRPr="006E09BC">
              <w:rPr>
                <w:rFonts w:ascii="Palatino Linotype" w:hAnsi="Palatino Linotype"/>
                <w:sz w:val="16"/>
                <w:szCs w:val="16"/>
              </w:rPr>
              <w:t>El Sujeto Obligado entregó</w:t>
            </w:r>
            <w:r>
              <w:rPr>
                <w:rFonts w:ascii="Palatino Linotype" w:eastAsia="Palatino Linotype" w:hAnsi="Palatino Linotype" w:cs="Palatino Linotype"/>
                <w:color w:val="000000"/>
                <w:sz w:val="20"/>
                <w:szCs w:val="20"/>
              </w:rPr>
              <w:t xml:space="preserve"> </w:t>
            </w:r>
            <w:r w:rsidRPr="00BE0C4E">
              <w:rPr>
                <w:rFonts w:ascii="Palatino Linotype" w:hAnsi="Palatino Linotype"/>
                <w:sz w:val="16"/>
                <w:szCs w:val="16"/>
              </w:rPr>
              <w:t xml:space="preserve">ocho </w:t>
            </w:r>
            <w:r>
              <w:rPr>
                <w:rFonts w:ascii="Palatino Linotype" w:hAnsi="Palatino Linotype"/>
                <w:sz w:val="16"/>
                <w:szCs w:val="16"/>
              </w:rPr>
              <w:t>link, en donde dice que se encuentra la información correspondiente a los fondos de aportaciones federales de los 125 municipios del Estado de México, de los ejercicios fiscales 2013 a 2020, incluidos Naucalpan y Toluca.</w:t>
            </w:r>
          </w:p>
          <w:p w:rsidR="009C14BC" w:rsidRDefault="009C14BC" w:rsidP="009C14BC">
            <w:pPr>
              <w:spacing w:before="240" w:after="240"/>
              <w:contextualSpacing/>
              <w:jc w:val="both"/>
              <w:rPr>
                <w:rFonts w:ascii="Palatino Linotype" w:hAnsi="Palatino Linotype"/>
                <w:sz w:val="16"/>
                <w:szCs w:val="16"/>
              </w:rPr>
            </w:pPr>
            <w:r>
              <w:rPr>
                <w:rFonts w:ascii="Palatino Linotype" w:hAnsi="Palatino Linotype"/>
                <w:sz w:val="16"/>
                <w:szCs w:val="16"/>
              </w:rPr>
              <w:t>-Sobre al ejercicio fiscal en curso (2021), señaló puede ser consultado en el acuerdo por el que se da a conocer el calendario de entrega, porcentaje, formulas y variable utilizadas, así como los montos estimados que recibiría cada municipio por concepto de participaciones federales y estatales, para el ejercicio fiscal 2021, publicado en la gaceta del Gobierno del Estado de México de fecha 15 de febrero de 2021, en el enlace electrónico que proporciono.</w:t>
            </w:r>
          </w:p>
          <w:p w:rsidR="009C14BC" w:rsidRDefault="009C14BC" w:rsidP="009C14BC">
            <w:pPr>
              <w:spacing w:before="240" w:after="240"/>
              <w:contextualSpacing/>
              <w:jc w:val="both"/>
              <w:rPr>
                <w:rFonts w:ascii="Palatino Linotype" w:eastAsia="Palatino Linotype" w:hAnsi="Palatino Linotype" w:cs="Palatino Linotype"/>
                <w:color w:val="000000"/>
                <w:sz w:val="20"/>
                <w:szCs w:val="20"/>
              </w:rPr>
            </w:pPr>
            <w:r>
              <w:rPr>
                <w:rFonts w:ascii="Palatino Linotype" w:hAnsi="Palatino Linotype"/>
                <w:sz w:val="16"/>
                <w:szCs w:val="16"/>
              </w:rPr>
              <w:t>-</w:t>
            </w:r>
            <w:r w:rsidRPr="00BE0C4E">
              <w:rPr>
                <w:rFonts w:ascii="Palatino Linotype" w:hAnsi="Palatino Linotype"/>
                <w:sz w:val="16"/>
                <w:szCs w:val="16"/>
              </w:rPr>
              <w:t>El Sujeto Obligado señaló que los recursos son entregados a cada municipio</w:t>
            </w:r>
            <w:r>
              <w:rPr>
                <w:rFonts w:ascii="Palatino Linotype" w:eastAsia="Palatino Linotype" w:hAnsi="Palatino Linotype" w:cs="Palatino Linotype"/>
                <w:color w:val="000000"/>
                <w:sz w:val="20"/>
                <w:szCs w:val="20"/>
              </w:rPr>
              <w:t xml:space="preserve">. </w:t>
            </w:r>
          </w:p>
          <w:p w:rsidR="009C14BC" w:rsidRDefault="009C14BC" w:rsidP="009C14BC">
            <w:pPr>
              <w:spacing w:before="240" w:after="240"/>
              <w:contextualSpacing/>
              <w:jc w:val="both"/>
              <w:rPr>
                <w:rFonts w:ascii="Palatino Linotype" w:hAnsi="Palatino Linotype"/>
                <w:sz w:val="16"/>
                <w:szCs w:val="16"/>
              </w:rPr>
            </w:pPr>
            <w:r>
              <w:rPr>
                <w:rFonts w:ascii="Palatino Linotype" w:hAnsi="Palatino Linotype"/>
                <w:sz w:val="16"/>
                <w:szCs w:val="16"/>
              </w:rPr>
              <w:t>También sobre las participaciones entregadas a los municipios de Toluca y Naucalpan del periodo 2013 a julio de 2021, puede ser consultados en el sitio web de la Secretaría de Finanzas en la sección de participaciones a municipios en el enlace siguiente:</w:t>
            </w:r>
          </w:p>
          <w:p w:rsidR="009C14BC" w:rsidRDefault="007905F8" w:rsidP="009C14BC">
            <w:pPr>
              <w:ind w:right="-93"/>
              <w:contextualSpacing/>
              <w:jc w:val="both"/>
              <w:rPr>
                <w:rFonts w:ascii="Palatino Linotype" w:hAnsi="Palatino Linotype"/>
                <w:sz w:val="16"/>
                <w:szCs w:val="16"/>
              </w:rPr>
            </w:pPr>
            <w:hyperlink r:id="rId49" w:history="1">
              <w:r w:rsidR="009C14BC" w:rsidRPr="007A3028">
                <w:rPr>
                  <w:rFonts w:ascii="Palatino Linotype" w:hAnsi="Palatino Linotype"/>
                  <w:sz w:val="16"/>
                  <w:szCs w:val="16"/>
                </w:rPr>
                <w:t>https://sfpya.edomexico.gob.mx/participaciones/</w:t>
              </w:r>
            </w:hyperlink>
          </w:p>
          <w:p w:rsidR="009C14BC" w:rsidRDefault="009C14BC" w:rsidP="009C14BC">
            <w:pPr>
              <w:ind w:right="-93"/>
              <w:contextualSpacing/>
              <w:jc w:val="both"/>
              <w:rPr>
                <w:rFonts w:ascii="Palatino Linotype" w:eastAsia="Palatino Linotype" w:hAnsi="Palatino Linotype" w:cs="Palatino Linotype"/>
                <w:color w:val="000000"/>
                <w:sz w:val="20"/>
                <w:szCs w:val="20"/>
              </w:rPr>
            </w:pPr>
            <w:r>
              <w:rPr>
                <w:rFonts w:ascii="Palatino Linotype" w:hAnsi="Palatino Linotype"/>
                <w:sz w:val="16"/>
                <w:szCs w:val="16"/>
              </w:rPr>
              <w:t>-La Dirección de evaluación de la Información Financie</w:t>
            </w:r>
            <w:r w:rsidR="00041350">
              <w:rPr>
                <w:rFonts w:ascii="Palatino Linotype" w:hAnsi="Palatino Linotype"/>
                <w:sz w:val="16"/>
                <w:szCs w:val="16"/>
              </w:rPr>
              <w:t>ra y Recursos Federales, informó</w:t>
            </w:r>
            <w:r>
              <w:rPr>
                <w:rFonts w:ascii="Palatino Linotype" w:hAnsi="Palatino Linotype"/>
                <w:sz w:val="16"/>
                <w:szCs w:val="16"/>
              </w:rPr>
              <w:t xml:space="preserve"> que la información solicitada puede ser consultada en las siguientes ligas electrónicas:</w:t>
            </w:r>
          </w:p>
          <w:p w:rsidR="009C14BC" w:rsidRDefault="009C14BC" w:rsidP="009C14BC">
            <w:pPr>
              <w:ind w:right="-93"/>
              <w:contextualSpacing/>
              <w:jc w:val="both"/>
              <w:rPr>
                <w:rFonts w:ascii="Palatino Linotype" w:eastAsia="Palatino Linotype" w:hAnsi="Palatino Linotype" w:cs="Palatino Linotype"/>
                <w:color w:val="000000"/>
                <w:sz w:val="20"/>
                <w:szCs w:val="20"/>
              </w:rPr>
            </w:pPr>
            <w:r>
              <w:rPr>
                <w:noProof/>
                <w:lang w:val="es-MX" w:eastAsia="es-MX"/>
              </w:rPr>
              <w:drawing>
                <wp:inline distT="0" distB="0" distL="0" distR="0" wp14:anchorId="6B159745" wp14:editId="36591BCB">
                  <wp:extent cx="2457170" cy="1013336"/>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1412" t="25347" r="23851" b="40253"/>
                          <a:stretch/>
                        </pic:blipFill>
                        <pic:spPr bwMode="auto">
                          <a:xfrm>
                            <a:off x="0" y="0"/>
                            <a:ext cx="2478653" cy="1022195"/>
                          </a:xfrm>
                          <a:prstGeom prst="rect">
                            <a:avLst/>
                          </a:prstGeom>
                          <a:ln>
                            <a:noFill/>
                          </a:ln>
                          <a:extLst>
                            <a:ext uri="{53640926-AAD7-44D8-BBD7-CCE9431645EC}">
                              <a14:shadowObscured xmlns:a14="http://schemas.microsoft.com/office/drawing/2010/main"/>
                            </a:ext>
                          </a:extLst>
                        </pic:spPr>
                      </pic:pic>
                    </a:graphicData>
                  </a:graphic>
                </wp:inline>
              </w:drawing>
            </w:r>
          </w:p>
          <w:p w:rsidR="005052F5" w:rsidRDefault="005052F5" w:rsidP="00F159AC">
            <w:pPr>
              <w:ind w:right="-93"/>
              <w:contextualSpacing/>
              <w:jc w:val="both"/>
              <w:rPr>
                <w:rFonts w:ascii="Palatino Linotype" w:eastAsia="Palatino Linotype" w:hAnsi="Palatino Linotype" w:cs="Palatino Linotype"/>
                <w:color w:val="000000"/>
                <w:sz w:val="20"/>
                <w:szCs w:val="20"/>
              </w:rPr>
            </w:pPr>
          </w:p>
        </w:tc>
        <w:tc>
          <w:tcPr>
            <w:tcW w:w="1417" w:type="dxa"/>
          </w:tcPr>
          <w:p w:rsidR="005052F5" w:rsidRPr="009C14BC" w:rsidRDefault="009C14BC" w:rsidP="009C14BC">
            <w:pPr>
              <w:spacing w:before="240" w:after="240"/>
              <w:contextualSpacing/>
              <w:jc w:val="both"/>
              <w:rPr>
                <w:rFonts w:ascii="Palatino Linotype" w:hAnsi="Palatino Linotype"/>
                <w:sz w:val="16"/>
                <w:szCs w:val="16"/>
              </w:rPr>
            </w:pPr>
            <w:r w:rsidRPr="009C14BC">
              <w:rPr>
                <w:rFonts w:ascii="Palatino Linotype" w:hAnsi="Palatino Linotype"/>
                <w:sz w:val="16"/>
                <w:szCs w:val="16"/>
              </w:rPr>
              <w:t>Ratifica respuesta</w:t>
            </w:r>
          </w:p>
        </w:tc>
        <w:tc>
          <w:tcPr>
            <w:tcW w:w="1560" w:type="dxa"/>
          </w:tcPr>
          <w:p w:rsidR="008B56E5" w:rsidRDefault="008B56E5" w:rsidP="008B56E5">
            <w:pPr>
              <w:ind w:right="-93"/>
              <w:contextualSpacing/>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Parcialmente</w:t>
            </w:r>
          </w:p>
          <w:p w:rsidR="005052F5" w:rsidRPr="009C14BC" w:rsidRDefault="008B56E5" w:rsidP="008B56E5">
            <w:pPr>
              <w:spacing w:before="240" w:after="240"/>
              <w:contextualSpacing/>
              <w:jc w:val="both"/>
              <w:rPr>
                <w:rFonts w:ascii="Palatino Linotype" w:hAnsi="Palatino Linotype"/>
                <w:sz w:val="16"/>
                <w:szCs w:val="16"/>
              </w:rPr>
            </w:pPr>
            <w:r>
              <w:rPr>
                <w:rFonts w:ascii="Palatino Linotype" w:eastAsia="Palatino Linotype" w:hAnsi="Palatino Linotype" w:cs="Palatino Linotype"/>
                <w:color w:val="000000"/>
                <w:sz w:val="20"/>
                <w:szCs w:val="20"/>
              </w:rPr>
              <w:t>Faltó la información del ramo 28 y las participaciones y aportaciones del 2013 a</w:t>
            </w:r>
            <w:r w:rsidR="005A3F93">
              <w:rPr>
                <w:rFonts w:ascii="Palatino Linotype" w:eastAsia="Palatino Linotype" w:hAnsi="Palatino Linotype" w:cs="Palatino Linotype"/>
                <w:color w:val="000000"/>
                <w:sz w:val="20"/>
                <w:szCs w:val="20"/>
              </w:rPr>
              <w:t>l 2021</w:t>
            </w:r>
          </w:p>
        </w:tc>
      </w:tr>
      <w:tr w:rsidR="00681BB2" w:rsidRPr="00F159AC" w:rsidTr="00F85FD9">
        <w:tc>
          <w:tcPr>
            <w:tcW w:w="1696" w:type="dxa"/>
          </w:tcPr>
          <w:p w:rsidR="005052F5" w:rsidRPr="005052F5" w:rsidRDefault="006E09BC" w:rsidP="005052F5">
            <w:pPr>
              <w:spacing w:before="240" w:after="240"/>
              <w:contextualSpacing/>
              <w:jc w:val="both"/>
              <w:rPr>
                <w:rFonts w:ascii="Palatino Linotype" w:hAnsi="Palatino Linotype"/>
                <w:sz w:val="16"/>
                <w:szCs w:val="16"/>
              </w:rPr>
            </w:pPr>
            <w:r w:rsidRPr="00F5557A">
              <w:rPr>
                <w:rFonts w:ascii="Palatino Linotype" w:hAnsi="Palatino Linotype"/>
                <w:sz w:val="16"/>
                <w:szCs w:val="16"/>
              </w:rPr>
              <w:t xml:space="preserve">9.- </w:t>
            </w:r>
            <w:r w:rsidR="005052F5" w:rsidRPr="00F5557A">
              <w:rPr>
                <w:rFonts w:ascii="Palatino Linotype" w:hAnsi="Palatino Linotype"/>
                <w:sz w:val="16"/>
                <w:szCs w:val="16"/>
              </w:rPr>
              <w:t>El Cumplimiento o Registros Contables o Bancarios que evidencien que la Cuarta Trasformación ha Cumplido a la Entidad con esta Obligación Financiera</w:t>
            </w:r>
            <w:r w:rsidRPr="00F5557A">
              <w:rPr>
                <w:rFonts w:ascii="Palatino Linotype" w:hAnsi="Palatino Linotype"/>
                <w:sz w:val="16"/>
                <w:szCs w:val="16"/>
              </w:rPr>
              <w:t>.</w:t>
            </w:r>
          </w:p>
          <w:p w:rsidR="005052F5" w:rsidRPr="005052F5" w:rsidRDefault="005052F5" w:rsidP="005052F5">
            <w:pPr>
              <w:spacing w:before="240" w:after="240"/>
              <w:contextualSpacing/>
              <w:jc w:val="both"/>
              <w:rPr>
                <w:rFonts w:ascii="Palatino Linotype" w:hAnsi="Palatino Linotype"/>
                <w:sz w:val="20"/>
                <w:szCs w:val="20"/>
              </w:rPr>
            </w:pPr>
          </w:p>
        </w:tc>
        <w:tc>
          <w:tcPr>
            <w:tcW w:w="4253" w:type="dxa"/>
          </w:tcPr>
          <w:p w:rsidR="0046785C" w:rsidRDefault="0046785C" w:rsidP="00F159AC">
            <w:pPr>
              <w:ind w:right="-93"/>
              <w:contextualSpacing/>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No se pronunció al respecto. </w:t>
            </w:r>
          </w:p>
          <w:p w:rsidR="0046785C" w:rsidRDefault="0046785C" w:rsidP="0046785C">
            <w:pPr>
              <w:ind w:right="-93"/>
              <w:contextualSpacing/>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Sin embargo, con la información entregada en los puntos 1, 2, 5, 7 y 8, evidencian el cumplimiento por parte del Gobierno del Estado de México, a esta obligación financiera.</w:t>
            </w:r>
          </w:p>
          <w:p w:rsidR="005052F5" w:rsidRDefault="005052F5" w:rsidP="0046785C">
            <w:pPr>
              <w:ind w:right="-93"/>
              <w:contextualSpacing/>
              <w:jc w:val="both"/>
              <w:rPr>
                <w:rFonts w:ascii="Palatino Linotype" w:eastAsia="Palatino Linotype" w:hAnsi="Palatino Linotype" w:cs="Palatino Linotype"/>
                <w:color w:val="000000"/>
                <w:sz w:val="20"/>
                <w:szCs w:val="20"/>
              </w:rPr>
            </w:pPr>
          </w:p>
        </w:tc>
        <w:tc>
          <w:tcPr>
            <w:tcW w:w="1417" w:type="dxa"/>
          </w:tcPr>
          <w:p w:rsidR="005052F5" w:rsidRDefault="0046785C" w:rsidP="00F159AC">
            <w:pPr>
              <w:ind w:right="-93"/>
              <w:contextualSpacing/>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No se pronunció al respecto</w:t>
            </w:r>
          </w:p>
        </w:tc>
        <w:tc>
          <w:tcPr>
            <w:tcW w:w="1560" w:type="dxa"/>
          </w:tcPr>
          <w:p w:rsidR="008B56E5" w:rsidRDefault="008B56E5" w:rsidP="008B56E5">
            <w:pPr>
              <w:ind w:right="-93"/>
              <w:contextualSpacing/>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Parcialmente</w:t>
            </w:r>
          </w:p>
          <w:p w:rsidR="0046785C" w:rsidRDefault="008B56E5" w:rsidP="008B56E5">
            <w:pPr>
              <w:ind w:right="-93"/>
              <w:contextualSpacing/>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Faltó la información del ramo 28 y las participaciones y aportaciones del 2013 al 2015</w:t>
            </w:r>
            <w:r w:rsidR="00041350">
              <w:rPr>
                <w:rFonts w:ascii="Palatino Linotype" w:eastAsia="Palatino Linotype" w:hAnsi="Palatino Linotype" w:cs="Palatino Linotype"/>
                <w:color w:val="000000"/>
                <w:sz w:val="20"/>
                <w:szCs w:val="20"/>
              </w:rPr>
              <w:t>.</w:t>
            </w:r>
          </w:p>
        </w:tc>
      </w:tr>
    </w:tbl>
    <w:p w:rsidR="00E74F48" w:rsidRDefault="00E74F48" w:rsidP="00C52873">
      <w:pPr>
        <w:spacing w:line="360" w:lineRule="auto"/>
        <w:ind w:right="-93"/>
        <w:jc w:val="both"/>
        <w:rPr>
          <w:rFonts w:ascii="Palatino Linotype" w:eastAsia="Palatino Linotype" w:hAnsi="Palatino Linotype" w:cs="Palatino Linotype"/>
          <w:color w:val="000000"/>
        </w:rPr>
      </w:pPr>
    </w:p>
    <w:p w:rsidR="009A7838" w:rsidRDefault="002F1956" w:rsidP="00C52873">
      <w:pPr>
        <w:spacing w:line="360" w:lineRule="auto"/>
        <w:ind w:right="-93"/>
        <w:jc w:val="both"/>
        <w:rPr>
          <w:rFonts w:ascii="Palatino Linotype" w:eastAsia="Palatino Linotype" w:hAnsi="Palatino Linotype" w:cs="Palatino Linotype"/>
        </w:rPr>
      </w:pPr>
      <w:r w:rsidRPr="009A7838">
        <w:rPr>
          <w:rFonts w:ascii="Palatino Linotype" w:eastAsia="Palatino Linotype" w:hAnsi="Palatino Linotype" w:cs="Palatino Linotype"/>
        </w:rPr>
        <w:lastRenderedPageBreak/>
        <w:t>En virtud del cuadro comparativo</w:t>
      </w:r>
      <w:r w:rsidR="00C52873" w:rsidRPr="009A7838">
        <w:rPr>
          <w:rFonts w:ascii="Palatino Linotype" w:eastAsia="Palatino Linotype" w:hAnsi="Palatino Linotype" w:cs="Palatino Linotype"/>
        </w:rPr>
        <w:t xml:space="preserve"> anterior, se determina que </w:t>
      </w:r>
      <w:r w:rsidR="00F1378F" w:rsidRPr="009A7838">
        <w:rPr>
          <w:rFonts w:ascii="Palatino Linotype" w:eastAsia="Palatino Linotype" w:hAnsi="Palatino Linotype" w:cs="Palatino Linotype"/>
        </w:rPr>
        <w:t xml:space="preserve">la información </w:t>
      </w:r>
      <w:r w:rsidR="009A7838">
        <w:rPr>
          <w:rFonts w:ascii="Palatino Linotype" w:eastAsia="Palatino Linotype" w:hAnsi="Palatino Linotype" w:cs="Palatino Linotype"/>
        </w:rPr>
        <w:t>descrita en l</w:t>
      </w:r>
      <w:r w:rsidRPr="009A7838">
        <w:rPr>
          <w:rFonts w:ascii="Palatino Linotype" w:eastAsia="Palatino Linotype" w:hAnsi="Palatino Linotype" w:cs="Palatino Linotype"/>
        </w:rPr>
        <w:t xml:space="preserve">os numerales 1, 2, </w:t>
      </w:r>
      <w:r w:rsidR="005A3F93">
        <w:rPr>
          <w:rFonts w:ascii="Palatino Linotype" w:eastAsia="Palatino Linotype" w:hAnsi="Palatino Linotype" w:cs="Palatino Linotype"/>
        </w:rPr>
        <w:t xml:space="preserve">3, </w:t>
      </w:r>
      <w:r w:rsidRPr="009A7838">
        <w:rPr>
          <w:rFonts w:ascii="Palatino Linotype" w:eastAsia="Palatino Linotype" w:hAnsi="Palatino Linotype" w:cs="Palatino Linotype"/>
        </w:rPr>
        <w:t>5, 7, 8 y 9</w:t>
      </w:r>
      <w:r w:rsidR="009A7838" w:rsidRPr="009A7838">
        <w:rPr>
          <w:rFonts w:ascii="Palatino Linotype" w:eastAsia="Palatino Linotype" w:hAnsi="Palatino Linotype" w:cs="Palatino Linotype"/>
        </w:rPr>
        <w:t xml:space="preserve">, </w:t>
      </w:r>
      <w:r w:rsidR="009A7838">
        <w:rPr>
          <w:rFonts w:ascii="Palatino Linotype" w:eastAsia="Palatino Linotype" w:hAnsi="Palatino Linotype" w:cs="Palatino Linotype"/>
        </w:rPr>
        <w:t>se relaciona entre sí, por consiguiente será abordada de manera conjunta.</w:t>
      </w:r>
    </w:p>
    <w:p w:rsidR="00041350" w:rsidRDefault="00041350" w:rsidP="00C52873">
      <w:pPr>
        <w:spacing w:line="360" w:lineRule="auto"/>
        <w:ind w:right="-93"/>
        <w:jc w:val="both"/>
        <w:rPr>
          <w:rFonts w:ascii="Palatino Linotype" w:eastAsia="Palatino Linotype" w:hAnsi="Palatino Linotype" w:cs="Palatino Linotype"/>
        </w:rPr>
      </w:pPr>
    </w:p>
    <w:p w:rsidR="005150DE" w:rsidRDefault="005150DE" w:rsidP="00216AAA">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D</w:t>
      </w:r>
      <w:r w:rsidR="00216AAA" w:rsidRPr="00216AAA">
        <w:rPr>
          <w:rFonts w:ascii="Palatino Linotype" w:eastAsia="Palatino Linotype" w:hAnsi="Palatino Linotype" w:cs="Palatino Linotype"/>
        </w:rPr>
        <w:t xml:space="preserve">e acuerdo al análisis de este rubro de la solicitud se advierte que el hoy Recurrente desea conocer las cantidades junto con expresión documental sobre las aportaciones </w:t>
      </w:r>
      <w:r w:rsidR="00606693">
        <w:rPr>
          <w:rFonts w:ascii="Palatino Linotype" w:eastAsia="Palatino Linotype" w:hAnsi="Palatino Linotype" w:cs="Palatino Linotype"/>
        </w:rPr>
        <w:t xml:space="preserve">y participaciones </w:t>
      </w:r>
      <w:r w:rsidR="00216AAA" w:rsidRPr="00216AAA">
        <w:rPr>
          <w:rFonts w:ascii="Palatino Linotype" w:eastAsia="Palatino Linotype" w:hAnsi="Palatino Linotype" w:cs="Palatino Linotype"/>
        </w:rPr>
        <w:t>Federales y Estatales que se le hayan realizado al Ayuntamiento de Toluca</w:t>
      </w:r>
      <w:r>
        <w:rPr>
          <w:rFonts w:ascii="Palatino Linotype" w:eastAsia="Palatino Linotype" w:hAnsi="Palatino Linotype" w:cs="Palatino Linotype"/>
        </w:rPr>
        <w:t xml:space="preserve"> y Naucalpan, desde dos mil trece</w:t>
      </w:r>
      <w:r w:rsidR="00216AAA" w:rsidRPr="00216AAA">
        <w:rPr>
          <w:rFonts w:ascii="Palatino Linotype" w:eastAsia="Palatino Linotype" w:hAnsi="Palatino Linotype" w:cs="Palatino Linotype"/>
        </w:rPr>
        <w:t xml:space="preserve"> a la fecha de la presente solicitud de información, es decir, al dos de agosto de dos mil veintiuno. </w:t>
      </w:r>
    </w:p>
    <w:p w:rsidR="005150DE" w:rsidRDefault="005150DE" w:rsidP="00216AAA">
      <w:pPr>
        <w:spacing w:line="360" w:lineRule="auto"/>
        <w:ind w:right="-93"/>
        <w:jc w:val="both"/>
        <w:rPr>
          <w:rFonts w:ascii="Palatino Linotype" w:eastAsia="Palatino Linotype" w:hAnsi="Palatino Linotype" w:cs="Palatino Linotype"/>
        </w:rPr>
      </w:pPr>
    </w:p>
    <w:p w:rsidR="00216AAA" w:rsidRPr="00216AAA" w:rsidRDefault="00216AAA" w:rsidP="00216AAA">
      <w:pPr>
        <w:spacing w:line="360" w:lineRule="auto"/>
        <w:ind w:right="-93"/>
        <w:jc w:val="both"/>
        <w:rPr>
          <w:rFonts w:ascii="Palatino Linotype" w:eastAsia="Palatino Linotype" w:hAnsi="Palatino Linotype" w:cs="Palatino Linotype"/>
        </w:rPr>
      </w:pPr>
      <w:r w:rsidRPr="00216AAA">
        <w:rPr>
          <w:rFonts w:ascii="Palatino Linotype" w:eastAsia="Palatino Linotype" w:hAnsi="Palatino Linotype" w:cs="Palatino Linotype"/>
        </w:rPr>
        <w:t xml:space="preserve">Sobre el tema, de acuerdo por con el Glosario de Términos más usuales en materia de Ingreso, Gasto y Deuda Pública (consultado en: </w:t>
      </w:r>
      <w:hyperlink r:id="rId50" w:history="1">
        <w:r w:rsidRPr="00216AAA">
          <w:rPr>
            <w:rFonts w:ascii="Palatino Linotype" w:eastAsia="Palatino Linotype" w:hAnsi="Palatino Linotype" w:cs="Palatino Linotype"/>
          </w:rPr>
          <w:t>https://www.cefp.gob.mx/publicaciones/documento/2014/noviembre/cefp0202014.pdf</w:t>
        </w:r>
      </w:hyperlink>
      <w:r w:rsidRPr="00216AAA">
        <w:rPr>
          <w:rFonts w:ascii="Palatino Linotype" w:eastAsia="Palatino Linotype" w:hAnsi="Palatino Linotype" w:cs="Palatino Linotype"/>
        </w:rPr>
        <w:t xml:space="preserve"> el once de noviembre de dos mil veintiuno) se entiende lo siguiente: </w:t>
      </w:r>
    </w:p>
    <w:p w:rsidR="00216AAA" w:rsidRDefault="00216AAA" w:rsidP="00216AAA">
      <w:pPr>
        <w:spacing w:line="360" w:lineRule="auto"/>
      </w:pPr>
    </w:p>
    <w:p w:rsidR="00216AAA" w:rsidRPr="00216AAA" w:rsidRDefault="00216AAA" w:rsidP="00216AAA">
      <w:pPr>
        <w:ind w:left="567" w:right="567"/>
        <w:contextualSpacing/>
        <w:rPr>
          <w:rFonts w:ascii="Palatino Linotype" w:hAnsi="Palatino Linotype"/>
          <w:b/>
          <w:i/>
          <w:sz w:val="22"/>
          <w:szCs w:val="22"/>
        </w:rPr>
      </w:pPr>
      <w:r w:rsidRPr="00216AAA">
        <w:rPr>
          <w:rFonts w:ascii="Palatino Linotype" w:hAnsi="Palatino Linotype"/>
          <w:b/>
          <w:i/>
          <w:sz w:val="22"/>
          <w:szCs w:val="22"/>
        </w:rPr>
        <w:t xml:space="preserve">PARTICIPACIONES FEDERALES </w:t>
      </w:r>
    </w:p>
    <w:p w:rsidR="00216AAA" w:rsidRPr="00216AAA" w:rsidRDefault="00216AAA" w:rsidP="00041350">
      <w:pPr>
        <w:ind w:left="567" w:right="567"/>
        <w:contextualSpacing/>
        <w:jc w:val="both"/>
        <w:rPr>
          <w:rFonts w:ascii="Palatino Linotype" w:hAnsi="Palatino Linotype"/>
          <w:i/>
          <w:sz w:val="22"/>
          <w:szCs w:val="22"/>
        </w:rPr>
      </w:pPr>
      <w:r w:rsidRPr="00216AAA">
        <w:rPr>
          <w:rFonts w:ascii="Palatino Linotype" w:hAnsi="Palatino Linotype"/>
          <w:b/>
          <w:i/>
          <w:sz w:val="22"/>
          <w:szCs w:val="22"/>
          <w:u w:val="single"/>
        </w:rPr>
        <w:t>Son los recursos que corresponden a los</w:t>
      </w:r>
      <w:r w:rsidRPr="00216AAA">
        <w:rPr>
          <w:rFonts w:ascii="Palatino Linotype" w:hAnsi="Palatino Linotype"/>
          <w:i/>
          <w:sz w:val="22"/>
          <w:szCs w:val="22"/>
        </w:rPr>
        <w:t xml:space="preserve"> estados, </w:t>
      </w:r>
      <w:r w:rsidRPr="00216AAA">
        <w:rPr>
          <w:rFonts w:ascii="Palatino Linotype" w:hAnsi="Palatino Linotype"/>
          <w:b/>
          <w:i/>
          <w:sz w:val="22"/>
          <w:szCs w:val="22"/>
          <w:u w:val="single"/>
        </w:rPr>
        <w:t xml:space="preserve">municipios </w:t>
      </w:r>
      <w:r w:rsidRPr="00216AAA">
        <w:rPr>
          <w:rFonts w:ascii="Palatino Linotype" w:hAnsi="Palatino Linotype"/>
          <w:i/>
          <w:sz w:val="22"/>
          <w:szCs w:val="22"/>
        </w:rPr>
        <w:t xml:space="preserve">y Distrito Federal, conforme al pacto federal, dispuesto en la Ley de Coordinación Fiscal. </w:t>
      </w:r>
      <w:r w:rsidRPr="00216AAA">
        <w:rPr>
          <w:rFonts w:ascii="Palatino Linotype" w:hAnsi="Palatino Linotype"/>
          <w:b/>
          <w:i/>
          <w:sz w:val="22"/>
          <w:szCs w:val="22"/>
          <w:u w:val="single"/>
        </w:rPr>
        <w:t>Los cuales provienen de la Recaudación Federal Participable del ejercicio fiscal correspondiente (que captan las oficinas recaudadoras) y que, en términos de la normatividad aplicable, se distribuyen a través del Ramo General 28 del Presupuesto de Egresos de la Federación:</w:t>
      </w:r>
      <w:r w:rsidRPr="00216AAA">
        <w:rPr>
          <w:rFonts w:ascii="Palatino Linotype" w:hAnsi="Palatino Linotype"/>
          <w:i/>
          <w:sz w:val="22"/>
          <w:szCs w:val="22"/>
        </w:rPr>
        <w:t xml:space="preserve"> (Participaciones a entidades Federativas y Municipios).</w:t>
      </w:r>
    </w:p>
    <w:p w:rsidR="00216AAA" w:rsidRPr="00216AAA" w:rsidRDefault="00216AAA" w:rsidP="00216AAA">
      <w:pPr>
        <w:ind w:left="567" w:right="567"/>
        <w:contextualSpacing/>
        <w:rPr>
          <w:rFonts w:ascii="Palatino Linotype" w:hAnsi="Palatino Linotype"/>
          <w:i/>
          <w:sz w:val="22"/>
          <w:szCs w:val="22"/>
        </w:rPr>
      </w:pPr>
    </w:p>
    <w:p w:rsidR="00216AAA" w:rsidRPr="00216AAA" w:rsidRDefault="00216AAA" w:rsidP="00041350">
      <w:pPr>
        <w:ind w:left="567" w:right="567"/>
        <w:contextualSpacing/>
        <w:jc w:val="both"/>
        <w:rPr>
          <w:rFonts w:ascii="Palatino Linotype" w:hAnsi="Palatino Linotype"/>
          <w:b/>
          <w:i/>
          <w:sz w:val="22"/>
          <w:szCs w:val="22"/>
        </w:rPr>
      </w:pPr>
      <w:r w:rsidRPr="00216AAA">
        <w:rPr>
          <w:rFonts w:ascii="Palatino Linotype" w:hAnsi="Palatino Linotype"/>
          <w:b/>
          <w:i/>
          <w:sz w:val="22"/>
          <w:szCs w:val="22"/>
        </w:rPr>
        <w:t xml:space="preserve">PARTICIPACIONES Y APORTACIONES </w:t>
      </w:r>
    </w:p>
    <w:p w:rsidR="00216AAA" w:rsidRPr="00216AAA" w:rsidRDefault="00216AAA" w:rsidP="00041350">
      <w:pPr>
        <w:ind w:left="567" w:right="567"/>
        <w:contextualSpacing/>
        <w:jc w:val="both"/>
        <w:rPr>
          <w:rFonts w:ascii="Palatino Linotype" w:hAnsi="Palatino Linotype"/>
          <w:i/>
          <w:sz w:val="22"/>
          <w:szCs w:val="22"/>
        </w:rPr>
      </w:pPr>
      <w:r w:rsidRPr="00216AAA">
        <w:rPr>
          <w:rFonts w:ascii="Palatino Linotype" w:hAnsi="Palatino Linotype"/>
          <w:b/>
          <w:i/>
          <w:sz w:val="22"/>
          <w:szCs w:val="22"/>
          <w:u w:val="single"/>
        </w:rPr>
        <w:t>Asignaciones destinadas a cubrir las participaciones y aportaciones para</w:t>
      </w:r>
      <w:r w:rsidRPr="00216AAA">
        <w:rPr>
          <w:rFonts w:ascii="Palatino Linotype" w:hAnsi="Palatino Linotype"/>
          <w:i/>
          <w:sz w:val="22"/>
          <w:szCs w:val="22"/>
        </w:rPr>
        <w:t xml:space="preserve"> las entidades federativas y </w:t>
      </w:r>
      <w:r w:rsidRPr="00216AAA">
        <w:rPr>
          <w:rFonts w:ascii="Palatino Linotype" w:hAnsi="Palatino Linotype"/>
          <w:b/>
          <w:i/>
          <w:sz w:val="22"/>
          <w:szCs w:val="22"/>
          <w:u w:val="single"/>
        </w:rPr>
        <w:t>los municipios</w:t>
      </w:r>
      <w:r w:rsidRPr="00216AAA">
        <w:rPr>
          <w:rFonts w:ascii="Palatino Linotype" w:hAnsi="Palatino Linotype"/>
          <w:i/>
          <w:sz w:val="22"/>
          <w:szCs w:val="22"/>
        </w:rPr>
        <w:t xml:space="preserve">. </w:t>
      </w:r>
      <w:r w:rsidRPr="00216AAA">
        <w:rPr>
          <w:rFonts w:ascii="Palatino Linotype" w:hAnsi="Palatino Linotype"/>
          <w:b/>
          <w:i/>
          <w:sz w:val="22"/>
          <w:szCs w:val="22"/>
          <w:u w:val="single"/>
        </w:rPr>
        <w:t>Incluye las asignaciones destinadas a la ejecución de programas federales en las entidades federativas</w:t>
      </w:r>
      <w:r w:rsidRPr="00216AAA">
        <w:rPr>
          <w:rFonts w:ascii="Palatino Linotype" w:hAnsi="Palatino Linotype"/>
          <w:i/>
          <w:sz w:val="22"/>
          <w:szCs w:val="22"/>
        </w:rPr>
        <w:t>, mediante la reasignación de responsabilidades y recursos presupuestarios, en los términos de los convenios que celebre el Gobierno federal con éstas.</w:t>
      </w:r>
    </w:p>
    <w:p w:rsidR="00216AAA" w:rsidRPr="00216AAA" w:rsidRDefault="00216AAA" w:rsidP="00216AAA">
      <w:pPr>
        <w:ind w:left="567" w:right="567"/>
        <w:contextualSpacing/>
        <w:rPr>
          <w:rFonts w:ascii="Palatino Linotype" w:hAnsi="Palatino Linotype"/>
          <w:b/>
          <w:i/>
          <w:sz w:val="22"/>
          <w:szCs w:val="22"/>
        </w:rPr>
      </w:pPr>
      <w:r w:rsidRPr="00216AAA">
        <w:rPr>
          <w:rFonts w:ascii="Palatino Linotype" w:hAnsi="Palatino Linotype"/>
          <w:b/>
          <w:i/>
          <w:sz w:val="22"/>
          <w:szCs w:val="22"/>
        </w:rPr>
        <w:t xml:space="preserve">APORTACIONES FEDERALES </w:t>
      </w:r>
    </w:p>
    <w:p w:rsidR="00216AAA" w:rsidRPr="00216AAA" w:rsidRDefault="00216AAA" w:rsidP="00041350">
      <w:pPr>
        <w:ind w:left="567" w:right="567"/>
        <w:contextualSpacing/>
        <w:jc w:val="both"/>
        <w:rPr>
          <w:rFonts w:ascii="Palatino Linotype" w:hAnsi="Palatino Linotype"/>
          <w:i/>
          <w:sz w:val="22"/>
          <w:szCs w:val="22"/>
        </w:rPr>
      </w:pPr>
      <w:r w:rsidRPr="00216AAA">
        <w:rPr>
          <w:rFonts w:ascii="Palatino Linotype" w:hAnsi="Palatino Linotype"/>
          <w:b/>
          <w:i/>
          <w:sz w:val="22"/>
          <w:szCs w:val="22"/>
          <w:u w:val="single"/>
        </w:rPr>
        <w:lastRenderedPageBreak/>
        <w:t>Son los recursos que la Federación transfiere a las haciendas públicas de los Estados</w:t>
      </w:r>
      <w:r w:rsidRPr="00216AAA">
        <w:rPr>
          <w:rFonts w:ascii="Palatino Linotype" w:hAnsi="Palatino Linotype"/>
          <w:i/>
          <w:sz w:val="22"/>
          <w:szCs w:val="22"/>
        </w:rPr>
        <w:t xml:space="preserve">, Distrito Federal, </w:t>
      </w:r>
      <w:r w:rsidRPr="00216AAA">
        <w:rPr>
          <w:rFonts w:ascii="Palatino Linotype" w:hAnsi="Palatino Linotype"/>
          <w:b/>
          <w:i/>
          <w:sz w:val="22"/>
          <w:szCs w:val="22"/>
          <w:u w:val="single"/>
        </w:rPr>
        <w:t>y en su caso, de los Municipios, a través del Ramo 33</w:t>
      </w:r>
      <w:r w:rsidRPr="00216AAA">
        <w:rPr>
          <w:rFonts w:ascii="Palatino Linotype" w:hAnsi="Palatino Linotype"/>
          <w:i/>
          <w:sz w:val="22"/>
          <w:szCs w:val="22"/>
        </w:rPr>
        <w:t xml:space="preserve">, </w:t>
      </w:r>
      <w:r w:rsidRPr="00216AAA">
        <w:rPr>
          <w:rFonts w:ascii="Palatino Linotype" w:hAnsi="Palatino Linotype"/>
          <w:b/>
          <w:i/>
          <w:sz w:val="22"/>
          <w:szCs w:val="22"/>
          <w:u w:val="single"/>
        </w:rPr>
        <w:t>condicionando su gasto a la consecución y cumplimiento de los objetivos que para cada tipo de aportación establece esta Ley, para los Fondos siguientes</w:t>
      </w:r>
      <w:r w:rsidRPr="00216AAA">
        <w:rPr>
          <w:rFonts w:ascii="Palatino Linotype" w:hAnsi="Palatino Linotype"/>
          <w:i/>
          <w:sz w:val="22"/>
          <w:szCs w:val="22"/>
        </w:rPr>
        <w:t>:</w:t>
      </w:r>
    </w:p>
    <w:p w:rsidR="00216AAA" w:rsidRPr="00216AAA" w:rsidRDefault="00216AAA" w:rsidP="00216AAA">
      <w:pPr>
        <w:ind w:left="567" w:right="567"/>
        <w:contextualSpacing/>
        <w:rPr>
          <w:rFonts w:ascii="Palatino Linotype" w:hAnsi="Palatino Linotype"/>
          <w:i/>
          <w:sz w:val="22"/>
          <w:szCs w:val="22"/>
        </w:rPr>
      </w:pPr>
    </w:p>
    <w:p w:rsidR="00216AAA" w:rsidRPr="00216AAA" w:rsidRDefault="00216AAA" w:rsidP="00041350">
      <w:pPr>
        <w:ind w:left="567" w:right="567"/>
        <w:contextualSpacing/>
        <w:jc w:val="both"/>
        <w:rPr>
          <w:rFonts w:ascii="Palatino Linotype" w:hAnsi="Palatino Linotype"/>
          <w:i/>
          <w:sz w:val="22"/>
          <w:szCs w:val="22"/>
        </w:rPr>
      </w:pPr>
      <w:r w:rsidRPr="00216AAA">
        <w:rPr>
          <w:rFonts w:ascii="Palatino Linotype" w:hAnsi="Palatino Linotype"/>
          <w:i/>
          <w:sz w:val="22"/>
          <w:szCs w:val="22"/>
        </w:rPr>
        <w:t xml:space="preserve">I. Fondo de Aportaciones para la Nómina Educativa y Gasto Operativo (FONE); </w:t>
      </w:r>
    </w:p>
    <w:p w:rsidR="00216AAA" w:rsidRPr="00216AAA" w:rsidRDefault="00216AAA" w:rsidP="00041350">
      <w:pPr>
        <w:ind w:left="567" w:right="567"/>
        <w:contextualSpacing/>
        <w:jc w:val="both"/>
        <w:rPr>
          <w:rFonts w:ascii="Palatino Linotype" w:hAnsi="Palatino Linotype"/>
          <w:i/>
          <w:sz w:val="22"/>
          <w:szCs w:val="22"/>
        </w:rPr>
      </w:pPr>
      <w:r w:rsidRPr="00216AAA">
        <w:rPr>
          <w:rFonts w:ascii="Palatino Linotype" w:hAnsi="Palatino Linotype"/>
          <w:i/>
          <w:sz w:val="22"/>
          <w:szCs w:val="22"/>
        </w:rPr>
        <w:t xml:space="preserve">II. Fondo de Aportaciones para los Servicios de Salud (FASSA); </w:t>
      </w:r>
    </w:p>
    <w:p w:rsidR="00216AAA" w:rsidRPr="00216AAA" w:rsidRDefault="00216AAA" w:rsidP="00041350">
      <w:pPr>
        <w:ind w:left="567" w:right="567"/>
        <w:contextualSpacing/>
        <w:jc w:val="both"/>
        <w:rPr>
          <w:rFonts w:ascii="Palatino Linotype" w:hAnsi="Palatino Linotype"/>
          <w:i/>
          <w:sz w:val="22"/>
          <w:szCs w:val="22"/>
        </w:rPr>
      </w:pPr>
      <w:r w:rsidRPr="00216AAA">
        <w:rPr>
          <w:rFonts w:ascii="Palatino Linotype" w:hAnsi="Palatino Linotype"/>
          <w:i/>
          <w:sz w:val="22"/>
          <w:szCs w:val="22"/>
        </w:rPr>
        <w:t xml:space="preserve">III. Fondo de Aportaciones para la Infraestructura Social (FAIS); </w:t>
      </w:r>
    </w:p>
    <w:p w:rsidR="00216AAA" w:rsidRPr="00216AAA" w:rsidRDefault="00216AAA" w:rsidP="00041350">
      <w:pPr>
        <w:ind w:left="567" w:right="567"/>
        <w:contextualSpacing/>
        <w:jc w:val="both"/>
        <w:rPr>
          <w:rFonts w:ascii="Palatino Linotype" w:hAnsi="Palatino Linotype"/>
          <w:i/>
          <w:sz w:val="22"/>
          <w:szCs w:val="22"/>
        </w:rPr>
      </w:pPr>
      <w:r w:rsidRPr="00216AAA">
        <w:rPr>
          <w:rFonts w:ascii="Palatino Linotype" w:hAnsi="Palatino Linotype"/>
          <w:i/>
          <w:sz w:val="22"/>
          <w:szCs w:val="22"/>
        </w:rPr>
        <w:t xml:space="preserve">IV. Fondo de Aportaciones para el Fortalecimiento de los Municipios y de las Demarcaciones Territoriales del Distrito Federal (FORTAMUNDF); </w:t>
      </w:r>
    </w:p>
    <w:p w:rsidR="00216AAA" w:rsidRPr="00216AAA" w:rsidRDefault="00216AAA" w:rsidP="00041350">
      <w:pPr>
        <w:ind w:left="567" w:right="567"/>
        <w:contextualSpacing/>
        <w:jc w:val="both"/>
        <w:rPr>
          <w:rFonts w:ascii="Palatino Linotype" w:hAnsi="Palatino Linotype"/>
          <w:i/>
          <w:sz w:val="22"/>
          <w:szCs w:val="22"/>
        </w:rPr>
      </w:pPr>
      <w:r w:rsidRPr="00216AAA">
        <w:rPr>
          <w:rFonts w:ascii="Palatino Linotype" w:hAnsi="Palatino Linotype"/>
          <w:i/>
          <w:sz w:val="22"/>
          <w:szCs w:val="22"/>
        </w:rPr>
        <w:t>V. Fondo de Aportaciones Múltiples (FAM).</w:t>
      </w:r>
    </w:p>
    <w:p w:rsidR="00216AAA" w:rsidRPr="00216AAA" w:rsidRDefault="00216AAA" w:rsidP="00041350">
      <w:pPr>
        <w:ind w:left="567" w:right="567"/>
        <w:contextualSpacing/>
        <w:jc w:val="both"/>
        <w:rPr>
          <w:rFonts w:ascii="Palatino Linotype" w:hAnsi="Palatino Linotype"/>
          <w:i/>
          <w:sz w:val="22"/>
          <w:szCs w:val="22"/>
        </w:rPr>
      </w:pPr>
      <w:r w:rsidRPr="00216AAA">
        <w:rPr>
          <w:rFonts w:ascii="Palatino Linotype" w:hAnsi="Palatino Linotype"/>
          <w:i/>
          <w:sz w:val="22"/>
          <w:szCs w:val="22"/>
        </w:rPr>
        <w:t xml:space="preserve">VI. Fondo de Aportaciones para la Educación Tecnológica y de Adultos (FAETA); </w:t>
      </w:r>
    </w:p>
    <w:p w:rsidR="00216AAA" w:rsidRPr="00216AAA" w:rsidRDefault="00216AAA" w:rsidP="00041350">
      <w:pPr>
        <w:ind w:left="567" w:right="567"/>
        <w:contextualSpacing/>
        <w:jc w:val="both"/>
        <w:rPr>
          <w:rFonts w:ascii="Palatino Linotype" w:hAnsi="Palatino Linotype"/>
          <w:i/>
          <w:sz w:val="22"/>
          <w:szCs w:val="22"/>
        </w:rPr>
      </w:pPr>
      <w:r w:rsidRPr="00216AAA">
        <w:rPr>
          <w:rFonts w:ascii="Palatino Linotype" w:hAnsi="Palatino Linotype"/>
          <w:i/>
          <w:sz w:val="22"/>
          <w:szCs w:val="22"/>
        </w:rPr>
        <w:t xml:space="preserve">VII. Fondo de Aportaciones para la Seguridad Pública de los Estados y del Distrito Federal (FASP), y </w:t>
      </w:r>
    </w:p>
    <w:p w:rsidR="00216AAA" w:rsidRPr="00216AAA" w:rsidRDefault="00216AAA" w:rsidP="00041350">
      <w:pPr>
        <w:ind w:left="567" w:right="567"/>
        <w:contextualSpacing/>
        <w:jc w:val="both"/>
        <w:rPr>
          <w:rFonts w:ascii="Palatino Linotype" w:hAnsi="Palatino Linotype"/>
          <w:i/>
          <w:sz w:val="22"/>
          <w:szCs w:val="22"/>
        </w:rPr>
      </w:pPr>
      <w:r w:rsidRPr="00216AAA">
        <w:rPr>
          <w:rFonts w:ascii="Palatino Linotype" w:hAnsi="Palatino Linotype"/>
          <w:i/>
          <w:sz w:val="22"/>
          <w:szCs w:val="22"/>
        </w:rPr>
        <w:t>VIII. Fondo de Aportaciones para el Fortalecimiento de las Entidades Federativas (FAFEF)</w:t>
      </w:r>
    </w:p>
    <w:p w:rsidR="00216AAA" w:rsidRPr="00216AAA" w:rsidRDefault="00216AAA" w:rsidP="00041350">
      <w:pPr>
        <w:ind w:left="567" w:right="567"/>
        <w:contextualSpacing/>
        <w:jc w:val="both"/>
        <w:rPr>
          <w:rFonts w:ascii="Palatino Linotype" w:hAnsi="Palatino Linotype"/>
          <w:i/>
          <w:sz w:val="22"/>
          <w:szCs w:val="22"/>
        </w:rPr>
      </w:pPr>
    </w:p>
    <w:p w:rsidR="00216AAA" w:rsidRPr="00216AAA" w:rsidRDefault="00216AAA" w:rsidP="00041350">
      <w:pPr>
        <w:ind w:left="567" w:right="567"/>
        <w:contextualSpacing/>
        <w:jc w:val="both"/>
        <w:rPr>
          <w:rFonts w:ascii="Palatino Linotype" w:hAnsi="Palatino Linotype"/>
          <w:i/>
          <w:sz w:val="22"/>
          <w:szCs w:val="22"/>
        </w:rPr>
      </w:pPr>
      <w:r w:rsidRPr="00216AAA">
        <w:rPr>
          <w:rFonts w:ascii="Palatino Linotype" w:hAnsi="Palatino Linotype"/>
          <w:i/>
          <w:sz w:val="22"/>
          <w:szCs w:val="22"/>
        </w:rPr>
        <w:t>Dichos Fondos se integrarán, distribuirán, administrarán, ejercerán y supervisarán, de acuerdo a lo dispuesto en la Ley de Coordinación Fiscal.</w:t>
      </w:r>
    </w:p>
    <w:p w:rsidR="00216AAA" w:rsidRPr="00216AAA" w:rsidRDefault="00216AAA" w:rsidP="00041350">
      <w:pPr>
        <w:ind w:left="567" w:right="567"/>
        <w:contextualSpacing/>
        <w:jc w:val="both"/>
        <w:rPr>
          <w:rFonts w:ascii="Palatino Linotype" w:hAnsi="Palatino Linotype"/>
          <w:i/>
          <w:sz w:val="22"/>
          <w:szCs w:val="22"/>
        </w:rPr>
      </w:pPr>
    </w:p>
    <w:p w:rsidR="00216AAA" w:rsidRPr="00216AAA" w:rsidRDefault="00216AAA" w:rsidP="00041350">
      <w:pPr>
        <w:ind w:left="567" w:right="567"/>
        <w:contextualSpacing/>
        <w:jc w:val="both"/>
        <w:rPr>
          <w:rFonts w:ascii="Palatino Linotype" w:hAnsi="Palatino Linotype"/>
          <w:i/>
          <w:sz w:val="22"/>
          <w:szCs w:val="22"/>
        </w:rPr>
      </w:pPr>
      <w:r w:rsidRPr="00216AAA">
        <w:rPr>
          <w:rFonts w:ascii="Palatino Linotype" w:hAnsi="Palatino Linotype"/>
          <w:i/>
          <w:sz w:val="22"/>
          <w:szCs w:val="22"/>
        </w:rPr>
        <w:t>El Fondo de Aportaciones para la Nómina Educativa y Gasto Operativo será administrado por la Secretaría de Hacienda y Crédito Público.</w:t>
      </w:r>
      <w:r w:rsidR="00041350">
        <w:rPr>
          <w:rFonts w:ascii="Palatino Linotype" w:hAnsi="Palatino Linotype"/>
          <w:i/>
          <w:sz w:val="22"/>
          <w:szCs w:val="22"/>
        </w:rPr>
        <w:t>” (Sic9</w:t>
      </w:r>
    </w:p>
    <w:p w:rsidR="00216AAA" w:rsidRDefault="00216AAA" w:rsidP="00041350">
      <w:pPr>
        <w:spacing w:line="360" w:lineRule="auto"/>
        <w:jc w:val="both"/>
      </w:pPr>
    </w:p>
    <w:p w:rsidR="00216AAA" w:rsidRPr="005A3F93" w:rsidRDefault="00216AAA" w:rsidP="00216AAA">
      <w:pPr>
        <w:spacing w:line="360" w:lineRule="auto"/>
        <w:jc w:val="both"/>
        <w:rPr>
          <w:rFonts w:ascii="Palatino Linotype" w:hAnsi="Palatino Linotype"/>
        </w:rPr>
      </w:pPr>
      <w:r w:rsidRPr="00216AAA">
        <w:rPr>
          <w:rFonts w:ascii="Palatino Linotype" w:hAnsi="Palatino Linotype"/>
        </w:rPr>
        <w:t>Co</w:t>
      </w:r>
      <w:r w:rsidR="005316FA">
        <w:rPr>
          <w:rFonts w:ascii="Palatino Linotype" w:hAnsi="Palatino Linotype"/>
        </w:rPr>
        <w:t>nforme a lo anterior, se logra indicar</w:t>
      </w:r>
      <w:r w:rsidRPr="00216AAA">
        <w:rPr>
          <w:rFonts w:ascii="Palatino Linotype" w:hAnsi="Palatino Linotype"/>
        </w:rPr>
        <w:t>, que el interés del hoy Recurrente es conocer el monto de las Participaciones y Aportaciones Federales</w:t>
      </w:r>
      <w:r w:rsidR="00606693">
        <w:rPr>
          <w:rFonts w:ascii="Palatino Linotype" w:hAnsi="Palatino Linotype"/>
        </w:rPr>
        <w:t xml:space="preserve"> y Estatales</w:t>
      </w:r>
      <w:r w:rsidRPr="00216AAA">
        <w:rPr>
          <w:rFonts w:ascii="Palatino Linotype" w:hAnsi="Palatino Linotype"/>
        </w:rPr>
        <w:t xml:space="preserve"> realizadas al Ayuntamiento de Toluca</w:t>
      </w:r>
      <w:r w:rsidR="008737AB">
        <w:rPr>
          <w:rFonts w:ascii="Palatino Linotype" w:hAnsi="Palatino Linotype"/>
        </w:rPr>
        <w:t xml:space="preserve"> y Naucalpan</w:t>
      </w:r>
      <w:r w:rsidRPr="00216AAA">
        <w:rPr>
          <w:rFonts w:ascii="Palatino Linotype" w:hAnsi="Palatino Linotype"/>
        </w:rPr>
        <w:t>. En razón de lo a</w:t>
      </w:r>
      <w:r w:rsidR="005316FA">
        <w:rPr>
          <w:rFonts w:ascii="Palatino Linotype" w:hAnsi="Palatino Linotype"/>
        </w:rPr>
        <w:t>nterior, este Instituto localizó</w:t>
      </w:r>
      <w:r w:rsidRPr="00216AAA">
        <w:rPr>
          <w:rFonts w:ascii="Palatino Linotype" w:hAnsi="Palatino Linotype"/>
        </w:rPr>
        <w:t xml:space="preserve"> en: </w:t>
      </w:r>
      <w:hyperlink r:id="rId51" w:history="1">
        <w:r w:rsidRPr="00216AAA">
          <w:rPr>
            <w:rStyle w:val="Hipervnculo"/>
            <w:rFonts w:ascii="Palatino Linotype" w:hAnsi="Palatino Linotype"/>
          </w:rPr>
          <w:t>https://www.ppef.hacienda.gob.mx/es/PPEF2021/tomoI-III</w:t>
        </w:r>
      </w:hyperlink>
      <w:r w:rsidRPr="00216AAA">
        <w:rPr>
          <w:rFonts w:ascii="Palatino Linotype" w:hAnsi="Palatino Linotype"/>
        </w:rPr>
        <w:t xml:space="preserve"> que respecto al ejercicio fiscal </w:t>
      </w:r>
      <w:r w:rsidRPr="005A3F93">
        <w:rPr>
          <w:rFonts w:ascii="Palatino Linotype" w:hAnsi="Palatino Linotype"/>
        </w:rPr>
        <w:t xml:space="preserve">de dos mil veintiuno, de manera enunciativa </w:t>
      </w:r>
      <w:r w:rsidR="008737AB" w:rsidRPr="005A3F93">
        <w:rPr>
          <w:rFonts w:ascii="Palatino Linotype" w:hAnsi="Palatino Linotype"/>
        </w:rPr>
        <w:t>más</w:t>
      </w:r>
      <w:r w:rsidRPr="005A3F93">
        <w:rPr>
          <w:rFonts w:ascii="Palatino Linotype" w:hAnsi="Palatino Linotype"/>
        </w:rPr>
        <w:t xml:space="preserve"> no limitativa</w:t>
      </w:r>
      <w:r w:rsidR="000C73BC" w:rsidRPr="005A3F93">
        <w:rPr>
          <w:rFonts w:ascii="Palatino Linotype" w:hAnsi="Palatino Linotype"/>
        </w:rPr>
        <w:t>,</w:t>
      </w:r>
      <w:r w:rsidRPr="005A3F93">
        <w:rPr>
          <w:rFonts w:ascii="Palatino Linotype" w:hAnsi="Palatino Linotype"/>
        </w:rPr>
        <w:t xml:space="preserve"> los Ramos Generales 28 y 33, comprenden: </w:t>
      </w:r>
    </w:p>
    <w:p w:rsidR="00216AAA" w:rsidRPr="00216AAA" w:rsidRDefault="00216AAA" w:rsidP="00216AAA">
      <w:pPr>
        <w:spacing w:line="360" w:lineRule="auto"/>
        <w:jc w:val="both"/>
        <w:rPr>
          <w:rFonts w:ascii="Palatino Linotype" w:hAnsi="Palatino Linotype"/>
        </w:rPr>
      </w:pPr>
    </w:p>
    <w:p w:rsidR="00216AAA" w:rsidRDefault="00216AAA" w:rsidP="00216AAA">
      <w:pPr>
        <w:spacing w:line="360" w:lineRule="auto"/>
        <w:jc w:val="center"/>
      </w:pPr>
      <w:r>
        <w:rPr>
          <w:noProof/>
          <w:lang w:val="es-MX" w:eastAsia="es-MX"/>
        </w:rPr>
        <w:lastRenderedPageBreak/>
        <mc:AlternateContent>
          <mc:Choice Requires="wps">
            <w:drawing>
              <wp:anchor distT="0" distB="0" distL="114300" distR="114300" simplePos="0" relativeHeight="251668480" behindDoc="0" locked="0" layoutInCell="1" allowOverlap="1" wp14:anchorId="6F80871D" wp14:editId="30CC43BF">
                <wp:simplePos x="0" y="0"/>
                <wp:positionH relativeFrom="column">
                  <wp:posOffset>1766570</wp:posOffset>
                </wp:positionH>
                <wp:positionV relativeFrom="paragraph">
                  <wp:posOffset>1456690</wp:posOffset>
                </wp:positionV>
                <wp:extent cx="2273935" cy="286385"/>
                <wp:effectExtent l="0" t="0" r="12065" b="18415"/>
                <wp:wrapNone/>
                <wp:docPr id="26" name="Rectangle 15"/>
                <wp:cNvGraphicFramePr/>
                <a:graphic xmlns:a="http://schemas.openxmlformats.org/drawingml/2006/main">
                  <a:graphicData uri="http://schemas.microsoft.com/office/word/2010/wordprocessingShape">
                    <wps:wsp>
                      <wps:cNvSpPr/>
                      <wps:spPr>
                        <a:xfrm>
                          <a:off x="0" y="0"/>
                          <a:ext cx="2273300"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6BC8D30" id="Rectangle 15" o:spid="_x0000_s1026" style="position:absolute;margin-left:139.1pt;margin-top:114.7pt;width:179.05pt;height:2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" filled="f" strokecolor="black [3213]" strokeweight="1pt"/>
            </w:pict>
          </mc:Fallback>
        </mc:AlternateContent>
      </w:r>
      <w:r>
        <w:rPr>
          <w:noProof/>
          <w:lang w:val="es-MX" w:eastAsia="es-MX"/>
        </w:rPr>
        <mc:AlternateContent>
          <mc:Choice Requires="wps">
            <w:drawing>
              <wp:anchor distT="0" distB="0" distL="114300" distR="114300" simplePos="0" relativeHeight="251669504" behindDoc="0" locked="0" layoutInCell="1" allowOverlap="1" wp14:anchorId="274FB28E" wp14:editId="3781C5F5">
                <wp:simplePos x="0" y="0"/>
                <wp:positionH relativeFrom="column">
                  <wp:posOffset>1774190</wp:posOffset>
                </wp:positionH>
                <wp:positionV relativeFrom="paragraph">
                  <wp:posOffset>1098550</wp:posOffset>
                </wp:positionV>
                <wp:extent cx="2273935" cy="191135"/>
                <wp:effectExtent l="0" t="0" r="12065" b="18415"/>
                <wp:wrapNone/>
                <wp:docPr id="27" name="Rectangle 14"/>
                <wp:cNvGraphicFramePr/>
                <a:graphic xmlns:a="http://schemas.openxmlformats.org/drawingml/2006/main">
                  <a:graphicData uri="http://schemas.microsoft.com/office/word/2010/wordprocessingShape">
                    <wps:wsp>
                      <wps:cNvSpPr/>
                      <wps:spPr>
                        <a:xfrm>
                          <a:off x="0" y="0"/>
                          <a:ext cx="2273300"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D72CB6" id="Rectangle 14" o:spid="_x0000_s1026" style="position:absolute;margin-left:139.7pt;margin-top:86.5pt;width:179.05pt;height:1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" filled="f" strokecolor="black [3213]" strokeweight="1pt"/>
            </w:pict>
          </mc:Fallback>
        </mc:AlternateContent>
      </w:r>
      <w:r>
        <w:rPr>
          <w:noProof/>
          <w:lang w:val="es-MX" w:eastAsia="es-MX"/>
        </w:rPr>
        <w:drawing>
          <wp:inline distT="0" distB="0" distL="0" distR="0" wp14:anchorId="08940FB7" wp14:editId="332B8C70">
            <wp:extent cx="2305050" cy="2038350"/>
            <wp:effectExtent l="0" t="0" r="0"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05050" cy="2038350"/>
                    </a:xfrm>
                    <a:prstGeom prst="rect">
                      <a:avLst/>
                    </a:prstGeom>
                    <a:noFill/>
                    <a:ln>
                      <a:noFill/>
                    </a:ln>
                  </pic:spPr>
                </pic:pic>
              </a:graphicData>
            </a:graphic>
          </wp:inline>
        </w:drawing>
      </w:r>
    </w:p>
    <w:p w:rsidR="00216AAA" w:rsidRPr="00216AAA" w:rsidRDefault="00216AAA" w:rsidP="00216AAA">
      <w:pPr>
        <w:spacing w:line="360" w:lineRule="auto"/>
        <w:rPr>
          <w:rFonts w:ascii="Palatino Linotype" w:hAnsi="Palatino Linotype"/>
        </w:rPr>
      </w:pPr>
      <w:r w:rsidRPr="00216AAA">
        <w:rPr>
          <w:rFonts w:ascii="Palatino Linotype" w:hAnsi="Palatino Linotype"/>
        </w:rPr>
        <w:t xml:space="preserve">Ambos Ramos Generales comprenden la transferencia de recursos que se realizan a las Entidades Federativas y Municipios, las cuales ambos se basan de acuerdo a la siguiente estructura: </w:t>
      </w:r>
    </w:p>
    <w:p w:rsidR="00216AAA" w:rsidRDefault="00216AAA" w:rsidP="00216AAA">
      <w:pPr>
        <w:spacing w:line="360" w:lineRule="auto"/>
      </w:pPr>
    </w:p>
    <w:p w:rsidR="004A51BD" w:rsidRDefault="004A51BD" w:rsidP="00216AAA">
      <w:pPr>
        <w:spacing w:line="360" w:lineRule="auto"/>
      </w:pPr>
    </w:p>
    <w:p w:rsidR="00216AAA" w:rsidRDefault="00216AAA" w:rsidP="00216AAA">
      <w:pPr>
        <w:spacing w:line="360" w:lineRule="auto"/>
        <w:jc w:val="center"/>
      </w:pPr>
      <w:r>
        <w:rPr>
          <w:noProof/>
          <w:lang w:val="es-MX" w:eastAsia="es-MX"/>
        </w:rPr>
        <mc:AlternateContent>
          <mc:Choice Requires="wps">
            <w:drawing>
              <wp:anchor distT="0" distB="0" distL="114300" distR="114300" simplePos="0" relativeHeight="251670528" behindDoc="0" locked="0" layoutInCell="1" allowOverlap="1" wp14:anchorId="28B77DEE" wp14:editId="2266D3C0">
                <wp:simplePos x="0" y="0"/>
                <wp:positionH relativeFrom="column">
                  <wp:posOffset>634365</wp:posOffset>
                </wp:positionH>
                <wp:positionV relativeFrom="paragraph">
                  <wp:posOffset>1584960</wp:posOffset>
                </wp:positionV>
                <wp:extent cx="4231005" cy="1555750"/>
                <wp:effectExtent l="0" t="0" r="17145" b="25400"/>
                <wp:wrapNone/>
                <wp:docPr id="28" name="Rectangle 13"/>
                <wp:cNvGraphicFramePr/>
                <a:graphic xmlns:a="http://schemas.openxmlformats.org/drawingml/2006/main">
                  <a:graphicData uri="http://schemas.microsoft.com/office/word/2010/wordprocessingShape">
                    <wps:wsp>
                      <wps:cNvSpPr/>
                      <wps:spPr>
                        <a:xfrm>
                          <a:off x="0" y="0"/>
                          <a:ext cx="4231005" cy="15557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02FBA4" id="Rectangle 13" o:spid="_x0000_s1026" style="position:absolute;margin-left:49.95pt;margin-top:124.8pt;width:333.15pt;height:1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" filled="f" strokecolor="black [3213]" strokeweight="1.5pt"/>
            </w:pict>
          </mc:Fallback>
        </mc:AlternateContent>
      </w:r>
      <w:r>
        <w:rPr>
          <w:noProof/>
          <w:lang w:val="es-MX" w:eastAsia="es-MX"/>
        </w:rPr>
        <w:drawing>
          <wp:inline distT="0" distB="0" distL="0" distR="0" wp14:anchorId="5DD640BE" wp14:editId="7F7EAA9C">
            <wp:extent cx="3971925" cy="2959100"/>
            <wp:effectExtent l="0" t="0" r="9525"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71925" cy="2959100"/>
                    </a:xfrm>
                    <a:prstGeom prst="rect">
                      <a:avLst/>
                    </a:prstGeom>
                    <a:noFill/>
                    <a:ln>
                      <a:noFill/>
                    </a:ln>
                  </pic:spPr>
                </pic:pic>
              </a:graphicData>
            </a:graphic>
          </wp:inline>
        </w:drawing>
      </w:r>
    </w:p>
    <w:p w:rsidR="00216AAA" w:rsidRDefault="00216AAA" w:rsidP="00216AAA">
      <w:pPr>
        <w:spacing w:line="360" w:lineRule="auto"/>
        <w:jc w:val="center"/>
      </w:pPr>
      <w:r>
        <w:rPr>
          <w:noProof/>
          <w:lang w:val="es-MX" w:eastAsia="es-MX"/>
        </w:rPr>
        <w:lastRenderedPageBreak/>
        <mc:AlternateContent>
          <mc:Choice Requires="wps">
            <w:drawing>
              <wp:anchor distT="0" distB="0" distL="114300" distR="114300" simplePos="0" relativeHeight="251671552" behindDoc="0" locked="0" layoutInCell="1" allowOverlap="1" wp14:anchorId="396430F6" wp14:editId="53B724CF">
                <wp:simplePos x="0" y="0"/>
                <wp:positionH relativeFrom="column">
                  <wp:posOffset>475615</wp:posOffset>
                </wp:positionH>
                <wp:positionV relativeFrom="paragraph">
                  <wp:posOffset>1239520</wp:posOffset>
                </wp:positionV>
                <wp:extent cx="4514215" cy="998220"/>
                <wp:effectExtent l="0" t="0" r="19685" b="11430"/>
                <wp:wrapNone/>
                <wp:docPr id="29" name="Rectangle 12"/>
                <wp:cNvGraphicFramePr/>
                <a:graphic xmlns:a="http://schemas.openxmlformats.org/drawingml/2006/main">
                  <a:graphicData uri="http://schemas.microsoft.com/office/word/2010/wordprocessingShape">
                    <wps:wsp>
                      <wps:cNvSpPr/>
                      <wps:spPr>
                        <a:xfrm>
                          <a:off x="0" y="0"/>
                          <a:ext cx="4514215" cy="99822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1D4B55" id="Rectangle 12" o:spid="_x0000_s1026" style="position:absolute;margin-left:37.45pt;margin-top:97.6pt;width:355.45pt;height:78.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" filled="f" strokecolor="black [3213]" strokeweight="1.5pt"/>
            </w:pict>
          </mc:Fallback>
        </mc:AlternateContent>
      </w:r>
      <w:r>
        <w:rPr>
          <w:noProof/>
          <w:lang w:val="es-MX" w:eastAsia="es-MX"/>
        </w:rPr>
        <w:drawing>
          <wp:inline distT="0" distB="0" distL="0" distR="0" wp14:anchorId="340BF211" wp14:editId="495239FC">
            <wp:extent cx="4200525" cy="2238375"/>
            <wp:effectExtent l="0" t="0" r="9525" b="9525"/>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00525" cy="2238375"/>
                    </a:xfrm>
                    <a:prstGeom prst="rect">
                      <a:avLst/>
                    </a:prstGeom>
                    <a:noFill/>
                    <a:ln>
                      <a:noFill/>
                    </a:ln>
                  </pic:spPr>
                </pic:pic>
              </a:graphicData>
            </a:graphic>
          </wp:inline>
        </w:drawing>
      </w:r>
    </w:p>
    <w:p w:rsidR="00216AAA" w:rsidRDefault="00216AAA" w:rsidP="00216AAA">
      <w:pPr>
        <w:spacing w:line="360" w:lineRule="auto"/>
      </w:pPr>
    </w:p>
    <w:p w:rsidR="00216AAA" w:rsidRPr="00216AAA" w:rsidRDefault="00216AAA" w:rsidP="00216AAA">
      <w:pPr>
        <w:spacing w:line="360" w:lineRule="auto"/>
        <w:rPr>
          <w:rFonts w:ascii="Palatino Linotype" w:hAnsi="Palatino Linotype"/>
        </w:rPr>
      </w:pPr>
      <w:r w:rsidRPr="00216AAA">
        <w:rPr>
          <w:rFonts w:ascii="Palatino Linotype" w:hAnsi="Palatino Linotype"/>
        </w:rPr>
        <w:t>De acuerdo a lo anterior</w:t>
      </w:r>
      <w:r w:rsidR="00B41E4B">
        <w:rPr>
          <w:rFonts w:ascii="Palatino Linotype" w:hAnsi="Palatino Linotype"/>
        </w:rPr>
        <w:t>mente expuesto se logra inferir</w:t>
      </w:r>
      <w:r w:rsidRPr="00216AAA">
        <w:rPr>
          <w:rFonts w:ascii="Palatino Linotype" w:hAnsi="Palatino Linotype"/>
        </w:rPr>
        <w:t xml:space="preserve"> lo siguiente: </w:t>
      </w:r>
    </w:p>
    <w:p w:rsidR="00216AAA" w:rsidRDefault="00216AAA" w:rsidP="00216AAA">
      <w:pPr>
        <w:spacing w:line="360" w:lineRule="auto"/>
      </w:pPr>
    </w:p>
    <w:p w:rsidR="00216AAA" w:rsidRPr="004A51BD" w:rsidRDefault="004A51BD" w:rsidP="004A51BD">
      <w:pPr>
        <w:spacing w:line="360" w:lineRule="auto"/>
        <w:contextualSpacing/>
        <w:jc w:val="both"/>
        <w:rPr>
          <w:rFonts w:ascii="Palatino Linotype" w:hAnsi="Palatino Linotype"/>
        </w:rPr>
      </w:pPr>
      <w:r>
        <w:rPr>
          <w:rFonts w:ascii="Palatino Linotype" w:hAnsi="Palatino Linotype"/>
          <w:b/>
        </w:rPr>
        <w:t>*</w:t>
      </w:r>
      <w:r w:rsidR="00216AAA" w:rsidRPr="004A51BD">
        <w:rPr>
          <w:rFonts w:ascii="Palatino Linotype" w:hAnsi="Palatino Linotype"/>
          <w:b/>
        </w:rPr>
        <w:t>Los recursos del Ramo General 28 no están etiquetados</w:t>
      </w:r>
      <w:r w:rsidR="00216AAA" w:rsidRPr="004A51BD">
        <w:rPr>
          <w:rFonts w:ascii="Palatino Linotype" w:hAnsi="Palatino Linotype"/>
        </w:rPr>
        <w:t>, es decir, estos recursos no tienen un destino específico en el ga</w:t>
      </w:r>
      <w:r w:rsidR="00B41E4B">
        <w:rPr>
          <w:rFonts w:ascii="Palatino Linotype" w:hAnsi="Palatino Linotype"/>
        </w:rPr>
        <w:t>s</w:t>
      </w:r>
      <w:r w:rsidR="00216AAA" w:rsidRPr="004A51BD">
        <w:rPr>
          <w:rFonts w:ascii="Palatino Linotype" w:hAnsi="Palatino Linotype"/>
        </w:rPr>
        <w:t xml:space="preserve">to de los gobiernos locales. Su carácter principal es resarcitorio por lo que, tiene como fin asignar los recursos de manera proporcional a la participación de las entidades en la actividad económica y la recaudación, y por lo tanto pretende generar incentivos para incrementar el crecimiento económico y el esfuerzo recaudatorio. </w:t>
      </w:r>
    </w:p>
    <w:p w:rsidR="00216AAA" w:rsidRPr="00216AAA" w:rsidRDefault="00216AAA" w:rsidP="00216AAA">
      <w:pPr>
        <w:pStyle w:val="Prrafodelista"/>
        <w:spacing w:line="360" w:lineRule="auto"/>
        <w:jc w:val="both"/>
        <w:rPr>
          <w:rFonts w:ascii="Palatino Linotype" w:hAnsi="Palatino Linotype"/>
          <w:sz w:val="24"/>
          <w:szCs w:val="24"/>
        </w:rPr>
      </w:pPr>
    </w:p>
    <w:p w:rsidR="00216AAA" w:rsidRPr="004A51BD" w:rsidRDefault="004A51BD" w:rsidP="004A51BD">
      <w:pPr>
        <w:spacing w:line="360" w:lineRule="auto"/>
        <w:contextualSpacing/>
        <w:jc w:val="both"/>
        <w:rPr>
          <w:rFonts w:ascii="Palatino Linotype" w:hAnsi="Palatino Linotype"/>
        </w:rPr>
      </w:pPr>
      <w:r>
        <w:rPr>
          <w:rFonts w:ascii="Palatino Linotype" w:hAnsi="Palatino Linotype"/>
          <w:b/>
        </w:rPr>
        <w:t>*</w:t>
      </w:r>
      <w:r w:rsidR="00216AAA" w:rsidRPr="004A51BD">
        <w:rPr>
          <w:rFonts w:ascii="Palatino Linotype" w:hAnsi="Palatino Linotype"/>
          <w:b/>
        </w:rPr>
        <w:t>Los recursos del Ramo General 33 comprende recursos</w:t>
      </w:r>
      <w:r w:rsidR="00216AAA" w:rsidRPr="004A51BD">
        <w:rPr>
          <w:rFonts w:ascii="Palatino Linotype" w:hAnsi="Palatino Linotype"/>
        </w:rPr>
        <w:t xml:space="preserve"> que la Federación transfiere a las haciendas públicas de los Estados, Distrito Federal, y en su caso, de los Municipios, </w:t>
      </w:r>
      <w:r w:rsidR="00216AAA" w:rsidRPr="004A51BD">
        <w:rPr>
          <w:rFonts w:ascii="Palatino Linotype" w:hAnsi="Palatino Linotype"/>
          <w:b/>
        </w:rPr>
        <w:t>condicionando su gasto a la consecución y cumplimiento de los objetivos</w:t>
      </w:r>
      <w:r w:rsidR="00216AAA" w:rsidRPr="004A51BD">
        <w:rPr>
          <w:rFonts w:ascii="Palatino Linotype" w:hAnsi="Palatino Linotype"/>
        </w:rPr>
        <w:t xml:space="preserve">. Las aportaciones federales para la ejecución de las actividades relacionadas con áreas prioritarias para el desarrollo nacional, como la educación básica y normal, salud, combate a la pobreza, asistencia social, infraestructura educativa, fortalecimiento de las entidades federativas y para los municipios y </w:t>
      </w:r>
      <w:r w:rsidR="00216AAA" w:rsidRPr="004A51BD">
        <w:rPr>
          <w:rFonts w:ascii="Palatino Linotype" w:hAnsi="Palatino Linotype"/>
        </w:rPr>
        <w:lastRenderedPageBreak/>
        <w:t xml:space="preserve">demarcaciones territoriales de la Ciudad de México, seguridad pública, educación tecnológica y de adultos. </w:t>
      </w:r>
    </w:p>
    <w:p w:rsidR="00216AAA" w:rsidRPr="00216AAA" w:rsidRDefault="00216AAA" w:rsidP="00216AAA">
      <w:pPr>
        <w:spacing w:line="360" w:lineRule="auto"/>
        <w:jc w:val="both"/>
        <w:rPr>
          <w:rFonts w:ascii="Palatino Linotype" w:hAnsi="Palatino Linotype"/>
        </w:rPr>
      </w:pPr>
    </w:p>
    <w:p w:rsidR="00216AAA" w:rsidRPr="00216AAA" w:rsidRDefault="004A51BD" w:rsidP="00216AAA">
      <w:pPr>
        <w:spacing w:line="360" w:lineRule="auto"/>
        <w:jc w:val="both"/>
        <w:rPr>
          <w:rFonts w:ascii="Palatino Linotype" w:hAnsi="Palatino Linotype"/>
        </w:rPr>
      </w:pPr>
      <w:r>
        <w:rPr>
          <w:rFonts w:ascii="Palatino Linotype" w:eastAsia="Calibri" w:hAnsi="Palatino Linotype" w:cs="Tahoma"/>
          <w:lang w:eastAsia="es-ES_tradnl"/>
        </w:rPr>
        <w:t>Para ilustrar lo anterior, a</w:t>
      </w:r>
      <w:r w:rsidR="00216AAA" w:rsidRPr="00216AAA">
        <w:rPr>
          <w:rFonts w:ascii="Palatino Linotype" w:hAnsi="Palatino Linotype"/>
        </w:rPr>
        <w:t xml:space="preserve"> fin de dar c</w:t>
      </w:r>
      <w:r w:rsidR="00B41E4B">
        <w:rPr>
          <w:rFonts w:ascii="Palatino Linotype" w:hAnsi="Palatino Linotype"/>
        </w:rPr>
        <w:t>laridad de lo entregado por el ente r</w:t>
      </w:r>
      <w:r w:rsidR="00216AAA" w:rsidRPr="00216AAA">
        <w:rPr>
          <w:rFonts w:ascii="Palatino Linotype" w:hAnsi="Palatino Linotype"/>
        </w:rPr>
        <w:t xml:space="preserve">ecurrido, </w:t>
      </w:r>
      <w:r w:rsidR="00B41E4B">
        <w:rPr>
          <w:rFonts w:ascii="Palatino Linotype" w:hAnsi="Palatino Linotype"/>
        </w:rPr>
        <w:t>este Organismo Garante, localizó</w:t>
      </w:r>
      <w:r w:rsidR="00216AAA" w:rsidRPr="00216AAA">
        <w:rPr>
          <w:rFonts w:ascii="Palatino Linotype" w:hAnsi="Palatino Linotype"/>
        </w:rPr>
        <w:t xml:space="preserve"> en: </w:t>
      </w:r>
      <w:hyperlink r:id="rId55" w:history="1">
        <w:r w:rsidR="00216AAA" w:rsidRPr="00216AAA">
          <w:rPr>
            <w:rStyle w:val="Hipervnculo"/>
            <w:rFonts w:ascii="Palatino Linotype" w:hAnsi="Palatino Linotype"/>
          </w:rPr>
          <w:t>https://transparenciafiscal.edomex.gob.mx/ramo28</w:t>
        </w:r>
      </w:hyperlink>
      <w:r w:rsidR="00216AAA" w:rsidRPr="00216AAA">
        <w:rPr>
          <w:rFonts w:ascii="Palatino Linotype" w:hAnsi="Palatino Linotype"/>
        </w:rPr>
        <w:t xml:space="preserve"> y </w:t>
      </w:r>
      <w:hyperlink r:id="rId56" w:history="1">
        <w:r w:rsidR="00216AAA" w:rsidRPr="00216AAA">
          <w:rPr>
            <w:rStyle w:val="Hipervnculo"/>
            <w:rFonts w:ascii="Palatino Linotype" w:hAnsi="Palatino Linotype"/>
          </w:rPr>
          <w:t>https://transparenciafiscal.edomex.gob.mx/sites/transparenciafiscal.edomex.gob.mx/files/files/pdf/marco-programatico-presupuestal/gaceta-reglas-part-2021.pdf</w:t>
        </w:r>
      </w:hyperlink>
      <w:r w:rsidR="00216AAA" w:rsidRPr="00216AAA">
        <w:rPr>
          <w:rFonts w:ascii="Palatino Linotype" w:hAnsi="Palatino Linotype"/>
        </w:rPr>
        <w:t xml:space="preserve"> que las Constancias de Liquidación de Particiones comprenden: </w:t>
      </w:r>
    </w:p>
    <w:p w:rsidR="00216AAA" w:rsidRDefault="00216AAA" w:rsidP="00216AAA">
      <w:pPr>
        <w:spacing w:line="360" w:lineRule="auto"/>
      </w:pPr>
    </w:p>
    <w:p w:rsidR="00216AAA" w:rsidRDefault="00216AAA" w:rsidP="00216AAA">
      <w:pPr>
        <w:spacing w:line="360" w:lineRule="auto"/>
        <w:jc w:val="center"/>
      </w:pPr>
      <w:r>
        <w:rPr>
          <w:noProof/>
          <w:lang w:val="es-MX" w:eastAsia="es-MX"/>
        </w:rPr>
        <w:drawing>
          <wp:inline distT="0" distB="0" distL="0" distR="0" wp14:anchorId="72876125" wp14:editId="4EA6B829">
            <wp:extent cx="4476750" cy="2047875"/>
            <wp:effectExtent l="0" t="0" r="0" b="9525"/>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76750" cy="2047875"/>
                    </a:xfrm>
                    <a:prstGeom prst="rect">
                      <a:avLst/>
                    </a:prstGeom>
                    <a:noFill/>
                    <a:ln>
                      <a:noFill/>
                    </a:ln>
                  </pic:spPr>
                </pic:pic>
              </a:graphicData>
            </a:graphic>
          </wp:inline>
        </w:drawing>
      </w:r>
    </w:p>
    <w:p w:rsidR="00216AAA" w:rsidRDefault="00216AAA" w:rsidP="00216AAA">
      <w:pPr>
        <w:spacing w:line="360" w:lineRule="auto"/>
      </w:pPr>
    </w:p>
    <w:p w:rsidR="00216AAA" w:rsidRPr="00216AAA" w:rsidRDefault="00216AAA" w:rsidP="008737AB">
      <w:pPr>
        <w:spacing w:line="360" w:lineRule="auto"/>
        <w:jc w:val="both"/>
        <w:rPr>
          <w:rFonts w:ascii="Palatino Linotype" w:hAnsi="Palatino Linotype"/>
        </w:rPr>
      </w:pPr>
      <w:r w:rsidRPr="00216AAA">
        <w:rPr>
          <w:rFonts w:ascii="Palatino Linotype" w:hAnsi="Palatino Linotype"/>
        </w:rPr>
        <w:t xml:space="preserve">De lo anteriormente expuesto, se advierte que los documentos proporcionados por el Sujeto Obligado atienden parcialmente lo solicitado por el Recurrente, de acuerdo a las siguientes consideraciones: </w:t>
      </w:r>
    </w:p>
    <w:p w:rsidR="00216AAA" w:rsidRDefault="00216AAA" w:rsidP="00216AAA">
      <w:pPr>
        <w:spacing w:line="360" w:lineRule="auto"/>
      </w:pPr>
    </w:p>
    <w:p w:rsidR="004A51BD" w:rsidRDefault="0034594D" w:rsidP="004A51BD">
      <w:pPr>
        <w:spacing w:line="360" w:lineRule="auto"/>
        <w:jc w:val="both"/>
        <w:rPr>
          <w:rFonts w:ascii="Palatino Linotype" w:eastAsia="Calibri" w:hAnsi="Palatino Linotype" w:cs="Tahoma"/>
          <w:lang w:eastAsia="es-ES_tradnl"/>
        </w:rPr>
      </w:pPr>
      <w:r w:rsidRPr="0034594D">
        <w:rPr>
          <w:rFonts w:ascii="Palatino Linotype" w:hAnsi="Palatino Linotype"/>
        </w:rPr>
        <w:t>*S</w:t>
      </w:r>
      <w:r w:rsidR="004A51BD" w:rsidRPr="0034594D">
        <w:rPr>
          <w:rFonts w:ascii="Palatino Linotype" w:hAnsi="Palatino Linotype"/>
        </w:rPr>
        <w:t xml:space="preserve">e advierte que el Sujeto Obligado proporciono únicamente las </w:t>
      </w:r>
      <w:r w:rsidR="004A51BD" w:rsidRPr="0034594D">
        <w:rPr>
          <w:rFonts w:ascii="Palatino Linotype" w:eastAsia="Calibri" w:hAnsi="Palatino Linotype" w:cs="Tahoma"/>
          <w:lang w:eastAsia="es-ES_tradnl"/>
        </w:rPr>
        <w:t xml:space="preserve">constancias de liquidación de participaciones desde el primero de enero del año 2016 al mes de agosto del año 2021 (dos de agosto del 2021 fecha de la solicitud), no así las </w:t>
      </w:r>
      <w:r w:rsidR="004A51BD" w:rsidRPr="0034594D">
        <w:rPr>
          <w:rFonts w:ascii="Palatino Linotype" w:eastAsia="Calibri" w:hAnsi="Palatino Linotype" w:cs="Tahoma"/>
          <w:lang w:eastAsia="es-ES_tradnl"/>
        </w:rPr>
        <w:lastRenderedPageBreak/>
        <w:t>constancias de liquidación de participaciones del primero de enero del año 2013 al treinta y uno de diciembre del año 2015.</w:t>
      </w:r>
    </w:p>
    <w:p w:rsidR="00B41E4B" w:rsidRDefault="00B41E4B" w:rsidP="004A51BD">
      <w:pPr>
        <w:spacing w:line="360" w:lineRule="auto"/>
        <w:jc w:val="both"/>
        <w:rPr>
          <w:rFonts w:ascii="Palatino Linotype" w:eastAsia="Calibri" w:hAnsi="Palatino Linotype" w:cs="Tahoma"/>
          <w:lang w:eastAsia="es-ES_tradnl"/>
        </w:rPr>
      </w:pPr>
    </w:p>
    <w:p w:rsidR="00B41E4B" w:rsidRDefault="00B41E4B" w:rsidP="004A51BD">
      <w:pPr>
        <w:spacing w:line="360" w:lineRule="auto"/>
        <w:jc w:val="both"/>
        <w:rPr>
          <w:rFonts w:ascii="Palatino Linotype" w:eastAsia="Calibri" w:hAnsi="Palatino Linotype" w:cs="Tahoma"/>
          <w:lang w:eastAsia="es-ES_tradnl"/>
        </w:rPr>
      </w:pPr>
      <w:r>
        <w:rPr>
          <w:rFonts w:ascii="Palatino Linotype" w:eastAsia="Calibri" w:hAnsi="Palatino Linotype" w:cs="Tahoma"/>
          <w:lang w:eastAsia="es-ES_tradnl"/>
        </w:rPr>
        <w:t>*Las constancias de liquidación de participaciones que se pueden descargar del link “</w:t>
      </w:r>
      <w:hyperlink r:id="rId58" w:history="1">
        <w:r w:rsidRPr="00247874">
          <w:rPr>
            <w:rStyle w:val="Hipervnculo"/>
            <w:rFonts w:ascii="Palatino Linotype" w:eastAsia="Calibri" w:hAnsi="Palatino Linotype" w:cs="Tahoma"/>
            <w:lang w:eastAsia="es-ES_tradnl"/>
          </w:rPr>
          <w:t>https://sfpya.edomexico.gob.mx/participaciones/consultaConstancia.jsp</w:t>
        </w:r>
      </w:hyperlink>
      <w:r>
        <w:rPr>
          <w:rFonts w:ascii="Palatino Linotype" w:eastAsia="Calibri" w:hAnsi="Palatino Linotype" w:cs="Tahoma"/>
          <w:lang w:eastAsia="es-ES_tradnl"/>
        </w:rPr>
        <w:t>”(</w:t>
      </w:r>
      <w:r w:rsidR="00B26E11">
        <w:rPr>
          <w:rFonts w:ascii="Palatino Linotype" w:eastAsia="Calibri" w:hAnsi="Palatino Linotype" w:cs="Tahoma"/>
          <w:lang w:eastAsia="es-ES_tradnl"/>
        </w:rPr>
        <w:t>indicada en el punto anterior</w:t>
      </w:r>
      <w:r>
        <w:rPr>
          <w:rFonts w:ascii="Palatino Linotype" w:eastAsia="Calibri" w:hAnsi="Palatino Linotype" w:cs="Tahoma"/>
          <w:lang w:eastAsia="es-ES_tradnl"/>
        </w:rPr>
        <w:t>), tanto para el Municipio de Toluca como para N</w:t>
      </w:r>
      <w:r w:rsidR="00B26E11">
        <w:rPr>
          <w:rFonts w:ascii="Palatino Linotype" w:eastAsia="Calibri" w:hAnsi="Palatino Linotype" w:cs="Tahoma"/>
          <w:lang w:eastAsia="es-ES_tradnl"/>
        </w:rPr>
        <w:t>aucalpan, se observa</w:t>
      </w:r>
      <w:r>
        <w:rPr>
          <w:rFonts w:ascii="Palatino Linotype" w:eastAsia="Calibri" w:hAnsi="Palatino Linotype" w:cs="Tahoma"/>
          <w:lang w:eastAsia="es-ES_tradnl"/>
        </w:rPr>
        <w:t xml:space="preserve"> que </w:t>
      </w:r>
      <w:r w:rsidR="00DF05DA">
        <w:rPr>
          <w:rFonts w:ascii="Palatino Linotype" w:eastAsia="Calibri" w:hAnsi="Palatino Linotype" w:cs="Tahoma"/>
          <w:lang w:eastAsia="es-ES_tradnl"/>
        </w:rPr>
        <w:t xml:space="preserve">aparte de contener los incisos a, c, d, f, g y j, </w:t>
      </w:r>
      <w:r w:rsidR="00C205E5">
        <w:rPr>
          <w:rFonts w:ascii="Palatino Linotype" w:eastAsia="Calibri" w:hAnsi="Palatino Linotype" w:cs="Tahoma"/>
          <w:lang w:eastAsia="es-ES_tradnl"/>
        </w:rPr>
        <w:t>no en todas las</w:t>
      </w:r>
      <w:r>
        <w:rPr>
          <w:rFonts w:ascii="Palatino Linotype" w:eastAsia="Calibri" w:hAnsi="Palatino Linotype" w:cs="Tahoma"/>
          <w:lang w:eastAsia="es-ES_tradnl"/>
        </w:rPr>
        <w:t xml:space="preserve"> </w:t>
      </w:r>
      <w:r w:rsidR="00B26E11">
        <w:rPr>
          <w:rFonts w:ascii="Palatino Linotype" w:eastAsia="Calibri" w:hAnsi="Palatino Linotype" w:cs="Tahoma"/>
          <w:lang w:eastAsia="es-ES_tradnl"/>
        </w:rPr>
        <w:t xml:space="preserve">constancias </w:t>
      </w:r>
      <w:r>
        <w:rPr>
          <w:rFonts w:ascii="Palatino Linotype" w:eastAsia="Calibri" w:hAnsi="Palatino Linotype" w:cs="Tahoma"/>
          <w:lang w:eastAsia="es-ES_tradnl"/>
        </w:rPr>
        <w:t>contienen la información de las diminuciones por conceptos de ISSEMYM</w:t>
      </w:r>
      <w:r w:rsidR="00C205E5">
        <w:rPr>
          <w:rFonts w:ascii="Palatino Linotype" w:eastAsia="Calibri" w:hAnsi="Palatino Linotype" w:cs="Tahoma"/>
          <w:lang w:eastAsia="es-ES_tradnl"/>
        </w:rPr>
        <w:t xml:space="preserve"> </w:t>
      </w:r>
      <w:r w:rsidR="00DF05DA">
        <w:rPr>
          <w:rFonts w:ascii="Palatino Linotype" w:eastAsia="Calibri" w:hAnsi="Palatino Linotype" w:cs="Tahoma"/>
          <w:lang w:eastAsia="es-ES_tradnl"/>
        </w:rPr>
        <w:t xml:space="preserve">(inciso e) </w:t>
      </w:r>
      <w:r w:rsidR="00C205E5">
        <w:rPr>
          <w:rFonts w:ascii="Palatino Linotype" w:eastAsia="Calibri" w:hAnsi="Palatino Linotype" w:cs="Tahoma"/>
          <w:lang w:eastAsia="es-ES_tradnl"/>
        </w:rPr>
        <w:t>y de las participaciones por el</w:t>
      </w:r>
      <w:r w:rsidR="00B26E11">
        <w:rPr>
          <w:rFonts w:ascii="Palatino Linotype" w:eastAsia="Calibri" w:hAnsi="Palatino Linotype" w:cs="Tahoma"/>
          <w:lang w:eastAsia="es-ES_tradnl"/>
        </w:rPr>
        <w:t xml:space="preserve"> </w:t>
      </w:r>
      <w:r>
        <w:rPr>
          <w:rFonts w:ascii="Palatino Linotype" w:eastAsia="Calibri" w:hAnsi="Palatino Linotype" w:cs="Tahoma"/>
          <w:lang w:eastAsia="es-ES_tradnl"/>
        </w:rPr>
        <w:t>Impuesto Sobre la Renta</w:t>
      </w:r>
      <w:r w:rsidR="00DF05DA">
        <w:rPr>
          <w:rFonts w:ascii="Palatino Linotype" w:eastAsia="Calibri" w:hAnsi="Palatino Linotype" w:cs="Tahoma"/>
          <w:lang w:eastAsia="es-ES_tradnl"/>
        </w:rPr>
        <w:t xml:space="preserve"> (h)</w:t>
      </w:r>
      <w:r w:rsidR="00C205E5">
        <w:rPr>
          <w:rFonts w:ascii="Palatino Linotype" w:eastAsia="Calibri" w:hAnsi="Palatino Linotype" w:cs="Tahoma"/>
          <w:lang w:eastAsia="es-ES_tradnl"/>
        </w:rPr>
        <w:t>, y en ninguna se observa el concepto por</w:t>
      </w:r>
      <w:r w:rsidR="00B26E11">
        <w:rPr>
          <w:rFonts w:ascii="Palatino Linotype" w:eastAsia="Calibri" w:hAnsi="Palatino Linotype" w:cs="Tahoma"/>
          <w:lang w:eastAsia="es-ES_tradnl"/>
        </w:rPr>
        <w:t xml:space="preserve"> Energía Eléctrica con la Comisión Federal de Electricidad</w:t>
      </w:r>
      <w:r w:rsidR="004E7E9F">
        <w:rPr>
          <w:rFonts w:ascii="Palatino Linotype" w:eastAsia="Calibri" w:hAnsi="Palatino Linotype" w:cs="Tahoma"/>
          <w:lang w:eastAsia="es-ES_tradnl"/>
        </w:rPr>
        <w:t xml:space="preserve"> (inciso i)</w:t>
      </w:r>
      <w:r w:rsidR="00C205E5">
        <w:rPr>
          <w:rFonts w:ascii="Palatino Linotype" w:eastAsia="Calibri" w:hAnsi="Palatino Linotype" w:cs="Tahoma"/>
          <w:lang w:eastAsia="es-ES_tradnl"/>
        </w:rPr>
        <w:t>.</w:t>
      </w:r>
      <w:r>
        <w:rPr>
          <w:rFonts w:ascii="Palatino Linotype" w:eastAsia="Calibri" w:hAnsi="Palatino Linotype" w:cs="Tahoma"/>
          <w:lang w:eastAsia="es-ES_tradnl"/>
        </w:rPr>
        <w:t xml:space="preserve"> </w:t>
      </w:r>
      <w:r w:rsidR="00C205E5">
        <w:rPr>
          <w:rFonts w:ascii="Palatino Linotype" w:eastAsia="Calibri" w:hAnsi="Palatino Linotype" w:cs="Tahoma"/>
          <w:lang w:eastAsia="es-ES_tradnl"/>
        </w:rPr>
        <w:t>P</w:t>
      </w:r>
      <w:r>
        <w:rPr>
          <w:rFonts w:ascii="Palatino Linotype" w:eastAsia="Calibri" w:hAnsi="Palatino Linotype" w:cs="Tahoma"/>
          <w:lang w:eastAsia="es-ES_tradnl"/>
        </w:rPr>
        <w:t>or ejemplo para el Ayuntamiento de Toluca en los años:</w:t>
      </w:r>
    </w:p>
    <w:tbl>
      <w:tblPr>
        <w:tblStyle w:val="Tablaconcuadrcula"/>
        <w:tblW w:w="10955" w:type="dxa"/>
        <w:tblInd w:w="-1066" w:type="dxa"/>
        <w:tblLayout w:type="fixed"/>
        <w:tblLook w:val="04A0" w:firstRow="1" w:lastRow="0" w:firstColumn="1" w:lastColumn="0" w:noHBand="0" w:noVBand="1"/>
      </w:tblPr>
      <w:tblGrid>
        <w:gridCol w:w="531"/>
        <w:gridCol w:w="882"/>
        <w:gridCol w:w="850"/>
        <w:gridCol w:w="851"/>
        <w:gridCol w:w="850"/>
        <w:gridCol w:w="897"/>
        <w:gridCol w:w="850"/>
        <w:gridCol w:w="851"/>
        <w:gridCol w:w="850"/>
        <w:gridCol w:w="850"/>
        <w:gridCol w:w="851"/>
        <w:gridCol w:w="850"/>
        <w:gridCol w:w="992"/>
      </w:tblGrid>
      <w:tr w:rsidR="00A06FDD" w:rsidRPr="00193E28" w:rsidTr="004630DC">
        <w:tc>
          <w:tcPr>
            <w:tcW w:w="531" w:type="dxa"/>
          </w:tcPr>
          <w:p w:rsidR="00193E28" w:rsidRPr="00A06FDD" w:rsidRDefault="00193E28" w:rsidP="00A06FDD">
            <w:pPr>
              <w:contextualSpacing/>
              <w:jc w:val="both"/>
              <w:rPr>
                <w:rFonts w:ascii="Palatino Linotype" w:eastAsia="Calibri" w:hAnsi="Palatino Linotype" w:cs="Tahoma"/>
                <w:sz w:val="11"/>
                <w:szCs w:val="11"/>
                <w:lang w:eastAsia="es-ES_tradnl"/>
              </w:rPr>
            </w:pPr>
            <w:r w:rsidRPr="00A06FDD">
              <w:rPr>
                <w:rFonts w:ascii="Palatino Linotype" w:eastAsia="Calibri" w:hAnsi="Palatino Linotype" w:cs="Tahoma"/>
                <w:sz w:val="11"/>
                <w:szCs w:val="11"/>
                <w:lang w:eastAsia="es-ES_tradnl"/>
              </w:rPr>
              <w:t>Años</w:t>
            </w:r>
          </w:p>
        </w:tc>
        <w:tc>
          <w:tcPr>
            <w:tcW w:w="882" w:type="dxa"/>
          </w:tcPr>
          <w:p w:rsidR="00193E28" w:rsidRPr="00A06FDD" w:rsidRDefault="00193E28" w:rsidP="00A06FDD">
            <w:pPr>
              <w:contextualSpacing/>
              <w:jc w:val="both"/>
              <w:rPr>
                <w:rFonts w:ascii="Palatino Linotype" w:eastAsia="Calibri" w:hAnsi="Palatino Linotype" w:cs="Tahoma"/>
                <w:sz w:val="11"/>
                <w:szCs w:val="11"/>
                <w:lang w:eastAsia="es-ES_tradnl"/>
              </w:rPr>
            </w:pPr>
            <w:r w:rsidRPr="00A06FDD">
              <w:rPr>
                <w:rFonts w:ascii="Palatino Linotype" w:eastAsia="Calibri" w:hAnsi="Palatino Linotype" w:cs="Tahoma"/>
                <w:sz w:val="11"/>
                <w:szCs w:val="11"/>
                <w:lang w:eastAsia="es-ES_tradnl"/>
              </w:rPr>
              <w:t>Enero</w:t>
            </w:r>
          </w:p>
        </w:tc>
        <w:tc>
          <w:tcPr>
            <w:tcW w:w="850" w:type="dxa"/>
          </w:tcPr>
          <w:p w:rsidR="00193E28" w:rsidRPr="00A06FDD" w:rsidRDefault="00193E28" w:rsidP="00A06FDD">
            <w:pPr>
              <w:contextualSpacing/>
              <w:jc w:val="both"/>
              <w:rPr>
                <w:rFonts w:ascii="Palatino Linotype" w:eastAsia="Calibri" w:hAnsi="Palatino Linotype" w:cs="Tahoma"/>
                <w:sz w:val="11"/>
                <w:szCs w:val="11"/>
                <w:lang w:eastAsia="es-ES_tradnl"/>
              </w:rPr>
            </w:pPr>
            <w:r w:rsidRPr="00A06FDD">
              <w:rPr>
                <w:rFonts w:ascii="Palatino Linotype" w:eastAsia="Calibri" w:hAnsi="Palatino Linotype" w:cs="Tahoma"/>
                <w:sz w:val="11"/>
                <w:szCs w:val="11"/>
                <w:lang w:eastAsia="es-ES_tradnl"/>
              </w:rPr>
              <w:t>Febrero</w:t>
            </w:r>
          </w:p>
        </w:tc>
        <w:tc>
          <w:tcPr>
            <w:tcW w:w="851" w:type="dxa"/>
          </w:tcPr>
          <w:p w:rsidR="00193E28" w:rsidRPr="00A06FDD" w:rsidRDefault="00193E28" w:rsidP="00A06FDD">
            <w:pPr>
              <w:contextualSpacing/>
              <w:jc w:val="both"/>
              <w:rPr>
                <w:rFonts w:ascii="Palatino Linotype" w:eastAsia="Calibri" w:hAnsi="Palatino Linotype" w:cs="Tahoma"/>
                <w:sz w:val="11"/>
                <w:szCs w:val="11"/>
                <w:lang w:eastAsia="es-ES_tradnl"/>
              </w:rPr>
            </w:pPr>
            <w:r w:rsidRPr="00A06FDD">
              <w:rPr>
                <w:rFonts w:ascii="Palatino Linotype" w:eastAsia="Calibri" w:hAnsi="Palatino Linotype" w:cs="Tahoma"/>
                <w:sz w:val="11"/>
                <w:szCs w:val="11"/>
                <w:lang w:eastAsia="es-ES_tradnl"/>
              </w:rPr>
              <w:t>Marzo</w:t>
            </w:r>
          </w:p>
        </w:tc>
        <w:tc>
          <w:tcPr>
            <w:tcW w:w="850" w:type="dxa"/>
          </w:tcPr>
          <w:p w:rsidR="00193E28" w:rsidRPr="00A06FDD" w:rsidRDefault="00193E28" w:rsidP="00A06FDD">
            <w:pPr>
              <w:contextualSpacing/>
              <w:jc w:val="both"/>
              <w:rPr>
                <w:rFonts w:ascii="Palatino Linotype" w:eastAsia="Calibri" w:hAnsi="Palatino Linotype" w:cs="Tahoma"/>
                <w:sz w:val="11"/>
                <w:szCs w:val="11"/>
                <w:lang w:eastAsia="es-ES_tradnl"/>
              </w:rPr>
            </w:pPr>
            <w:r w:rsidRPr="00A06FDD">
              <w:rPr>
                <w:rFonts w:ascii="Palatino Linotype" w:eastAsia="Calibri" w:hAnsi="Palatino Linotype" w:cs="Tahoma"/>
                <w:sz w:val="11"/>
                <w:szCs w:val="11"/>
                <w:lang w:eastAsia="es-ES_tradnl"/>
              </w:rPr>
              <w:t>Abril</w:t>
            </w:r>
          </w:p>
        </w:tc>
        <w:tc>
          <w:tcPr>
            <w:tcW w:w="897" w:type="dxa"/>
          </w:tcPr>
          <w:p w:rsidR="00193E28" w:rsidRPr="00A06FDD" w:rsidRDefault="00193E28" w:rsidP="00A06FDD">
            <w:pPr>
              <w:contextualSpacing/>
              <w:jc w:val="both"/>
              <w:rPr>
                <w:rFonts w:ascii="Palatino Linotype" w:eastAsia="Calibri" w:hAnsi="Palatino Linotype" w:cs="Tahoma"/>
                <w:sz w:val="11"/>
                <w:szCs w:val="11"/>
                <w:lang w:eastAsia="es-ES_tradnl"/>
              </w:rPr>
            </w:pPr>
            <w:r w:rsidRPr="00A06FDD">
              <w:rPr>
                <w:rFonts w:ascii="Palatino Linotype" w:eastAsia="Calibri" w:hAnsi="Palatino Linotype" w:cs="Tahoma"/>
                <w:sz w:val="11"/>
                <w:szCs w:val="11"/>
                <w:lang w:eastAsia="es-ES_tradnl"/>
              </w:rPr>
              <w:t>Mayo</w:t>
            </w:r>
          </w:p>
        </w:tc>
        <w:tc>
          <w:tcPr>
            <w:tcW w:w="850" w:type="dxa"/>
          </w:tcPr>
          <w:p w:rsidR="00193E28" w:rsidRPr="00A06FDD" w:rsidRDefault="00193E28" w:rsidP="00A06FDD">
            <w:pPr>
              <w:contextualSpacing/>
              <w:jc w:val="both"/>
              <w:rPr>
                <w:rFonts w:ascii="Palatino Linotype" w:eastAsia="Calibri" w:hAnsi="Palatino Linotype" w:cs="Tahoma"/>
                <w:sz w:val="11"/>
                <w:szCs w:val="11"/>
                <w:lang w:eastAsia="es-ES_tradnl"/>
              </w:rPr>
            </w:pPr>
            <w:r w:rsidRPr="00A06FDD">
              <w:rPr>
                <w:rFonts w:ascii="Palatino Linotype" w:eastAsia="Calibri" w:hAnsi="Palatino Linotype" w:cs="Tahoma"/>
                <w:sz w:val="11"/>
                <w:szCs w:val="11"/>
                <w:lang w:eastAsia="es-ES_tradnl"/>
              </w:rPr>
              <w:t>Junio</w:t>
            </w:r>
          </w:p>
        </w:tc>
        <w:tc>
          <w:tcPr>
            <w:tcW w:w="851" w:type="dxa"/>
          </w:tcPr>
          <w:p w:rsidR="00193E28" w:rsidRPr="00A06FDD" w:rsidRDefault="00193E28" w:rsidP="00A06FDD">
            <w:pPr>
              <w:contextualSpacing/>
              <w:jc w:val="both"/>
              <w:rPr>
                <w:rFonts w:ascii="Palatino Linotype" w:eastAsia="Calibri" w:hAnsi="Palatino Linotype" w:cs="Tahoma"/>
                <w:sz w:val="11"/>
                <w:szCs w:val="11"/>
                <w:lang w:eastAsia="es-ES_tradnl"/>
              </w:rPr>
            </w:pPr>
            <w:r w:rsidRPr="00A06FDD">
              <w:rPr>
                <w:rFonts w:ascii="Palatino Linotype" w:eastAsia="Calibri" w:hAnsi="Palatino Linotype" w:cs="Tahoma"/>
                <w:sz w:val="11"/>
                <w:szCs w:val="11"/>
                <w:lang w:eastAsia="es-ES_tradnl"/>
              </w:rPr>
              <w:t>Julio</w:t>
            </w:r>
          </w:p>
        </w:tc>
        <w:tc>
          <w:tcPr>
            <w:tcW w:w="850" w:type="dxa"/>
          </w:tcPr>
          <w:p w:rsidR="00193E28" w:rsidRPr="00A06FDD" w:rsidRDefault="00193E28" w:rsidP="00A06FDD">
            <w:pPr>
              <w:contextualSpacing/>
              <w:jc w:val="both"/>
              <w:rPr>
                <w:rFonts w:ascii="Palatino Linotype" w:eastAsia="Calibri" w:hAnsi="Palatino Linotype" w:cs="Tahoma"/>
                <w:sz w:val="11"/>
                <w:szCs w:val="11"/>
                <w:lang w:eastAsia="es-ES_tradnl"/>
              </w:rPr>
            </w:pPr>
            <w:r w:rsidRPr="00A06FDD">
              <w:rPr>
                <w:rFonts w:ascii="Palatino Linotype" w:eastAsia="Calibri" w:hAnsi="Palatino Linotype" w:cs="Tahoma"/>
                <w:sz w:val="11"/>
                <w:szCs w:val="11"/>
                <w:lang w:eastAsia="es-ES_tradnl"/>
              </w:rPr>
              <w:t>Agosto</w:t>
            </w:r>
          </w:p>
        </w:tc>
        <w:tc>
          <w:tcPr>
            <w:tcW w:w="850" w:type="dxa"/>
          </w:tcPr>
          <w:p w:rsidR="00193E28" w:rsidRPr="00A06FDD" w:rsidRDefault="00193E28" w:rsidP="00A06FDD">
            <w:pPr>
              <w:contextualSpacing/>
              <w:jc w:val="both"/>
              <w:rPr>
                <w:rFonts w:ascii="Palatino Linotype" w:eastAsia="Calibri" w:hAnsi="Palatino Linotype" w:cs="Tahoma"/>
                <w:sz w:val="11"/>
                <w:szCs w:val="11"/>
                <w:lang w:eastAsia="es-ES_tradnl"/>
              </w:rPr>
            </w:pPr>
            <w:r w:rsidRPr="00A06FDD">
              <w:rPr>
                <w:rFonts w:ascii="Palatino Linotype" w:eastAsia="Calibri" w:hAnsi="Palatino Linotype" w:cs="Tahoma"/>
                <w:sz w:val="11"/>
                <w:szCs w:val="11"/>
                <w:lang w:eastAsia="es-ES_tradnl"/>
              </w:rPr>
              <w:t>Septiembre</w:t>
            </w:r>
          </w:p>
        </w:tc>
        <w:tc>
          <w:tcPr>
            <w:tcW w:w="851" w:type="dxa"/>
          </w:tcPr>
          <w:p w:rsidR="00193E28" w:rsidRPr="00A06FDD" w:rsidRDefault="00193E28" w:rsidP="00A06FDD">
            <w:pPr>
              <w:contextualSpacing/>
              <w:jc w:val="both"/>
              <w:rPr>
                <w:rFonts w:ascii="Palatino Linotype" w:eastAsia="Calibri" w:hAnsi="Palatino Linotype" w:cs="Tahoma"/>
                <w:sz w:val="11"/>
                <w:szCs w:val="11"/>
                <w:lang w:eastAsia="es-ES_tradnl"/>
              </w:rPr>
            </w:pPr>
            <w:r w:rsidRPr="00A06FDD">
              <w:rPr>
                <w:rFonts w:ascii="Palatino Linotype" w:eastAsia="Calibri" w:hAnsi="Palatino Linotype" w:cs="Tahoma"/>
                <w:sz w:val="11"/>
                <w:szCs w:val="11"/>
                <w:lang w:eastAsia="es-ES_tradnl"/>
              </w:rPr>
              <w:t>Octubre</w:t>
            </w:r>
          </w:p>
        </w:tc>
        <w:tc>
          <w:tcPr>
            <w:tcW w:w="850" w:type="dxa"/>
          </w:tcPr>
          <w:p w:rsidR="00193E28" w:rsidRPr="00A06FDD" w:rsidRDefault="00193E28" w:rsidP="00A06FDD">
            <w:pPr>
              <w:contextualSpacing/>
              <w:jc w:val="both"/>
              <w:rPr>
                <w:rFonts w:ascii="Palatino Linotype" w:eastAsia="Calibri" w:hAnsi="Palatino Linotype" w:cs="Tahoma"/>
                <w:sz w:val="11"/>
                <w:szCs w:val="11"/>
                <w:lang w:eastAsia="es-ES_tradnl"/>
              </w:rPr>
            </w:pPr>
            <w:r w:rsidRPr="00A06FDD">
              <w:rPr>
                <w:rFonts w:ascii="Palatino Linotype" w:eastAsia="Calibri" w:hAnsi="Palatino Linotype" w:cs="Tahoma"/>
                <w:sz w:val="11"/>
                <w:szCs w:val="11"/>
                <w:lang w:eastAsia="es-ES_tradnl"/>
              </w:rPr>
              <w:t>Noviembre</w:t>
            </w:r>
          </w:p>
        </w:tc>
        <w:tc>
          <w:tcPr>
            <w:tcW w:w="992" w:type="dxa"/>
          </w:tcPr>
          <w:p w:rsidR="00193E28" w:rsidRPr="00A06FDD" w:rsidRDefault="00193E28" w:rsidP="004A51BD">
            <w:pPr>
              <w:spacing w:line="360" w:lineRule="auto"/>
              <w:jc w:val="both"/>
              <w:rPr>
                <w:rFonts w:ascii="Palatino Linotype" w:eastAsia="Calibri" w:hAnsi="Palatino Linotype" w:cs="Tahoma"/>
                <w:sz w:val="11"/>
                <w:szCs w:val="11"/>
                <w:lang w:eastAsia="es-ES_tradnl"/>
              </w:rPr>
            </w:pPr>
            <w:r w:rsidRPr="00A06FDD">
              <w:rPr>
                <w:rFonts w:ascii="Palatino Linotype" w:eastAsia="Calibri" w:hAnsi="Palatino Linotype" w:cs="Tahoma"/>
                <w:sz w:val="11"/>
                <w:szCs w:val="11"/>
                <w:lang w:eastAsia="es-ES_tradnl"/>
              </w:rPr>
              <w:t>Diciembre</w:t>
            </w:r>
          </w:p>
        </w:tc>
      </w:tr>
      <w:tr w:rsidR="004E7E9F" w:rsidRPr="00193E28" w:rsidTr="004630DC">
        <w:tc>
          <w:tcPr>
            <w:tcW w:w="531" w:type="dxa"/>
          </w:tcPr>
          <w:p w:rsidR="004E7E9F" w:rsidRPr="00A06FDD" w:rsidRDefault="004E7E9F" w:rsidP="004E7E9F">
            <w:pPr>
              <w:contextualSpacing/>
              <w:jc w:val="both"/>
              <w:rPr>
                <w:rFonts w:ascii="Palatino Linotype" w:eastAsia="Calibri" w:hAnsi="Palatino Linotype" w:cs="Tahoma"/>
                <w:sz w:val="14"/>
                <w:szCs w:val="14"/>
                <w:lang w:eastAsia="es-ES_tradnl"/>
              </w:rPr>
            </w:pPr>
            <w:r w:rsidRPr="00A06FDD">
              <w:rPr>
                <w:rFonts w:ascii="Palatino Linotype" w:eastAsia="Calibri" w:hAnsi="Palatino Linotype" w:cs="Tahoma"/>
                <w:sz w:val="14"/>
                <w:szCs w:val="14"/>
                <w:lang w:eastAsia="es-ES_tradnl"/>
              </w:rPr>
              <w:t>2016</w:t>
            </w:r>
          </w:p>
        </w:tc>
        <w:tc>
          <w:tcPr>
            <w:tcW w:w="882" w:type="dxa"/>
          </w:tcPr>
          <w:p w:rsidR="004E7E9F" w:rsidRPr="00A06FDD" w:rsidRDefault="004E7E9F" w:rsidP="004E7E9F">
            <w:pPr>
              <w:contextualSpacing/>
              <w:jc w:val="both"/>
              <w:rPr>
                <w:rFonts w:ascii="Palatino Linotype" w:eastAsia="Calibri" w:hAnsi="Palatino Linotype" w:cs="Tahoma"/>
                <w:sz w:val="14"/>
                <w:szCs w:val="14"/>
                <w:lang w:eastAsia="es-ES_tradnl"/>
              </w:rPr>
            </w:pPr>
            <w:r>
              <w:rPr>
                <w:rFonts w:ascii="Palatino Linotype" w:eastAsia="Calibri" w:hAnsi="Palatino Linotype" w:cs="Tahoma"/>
                <w:sz w:val="14"/>
                <w:szCs w:val="14"/>
                <w:lang w:eastAsia="es-ES_tradnl"/>
              </w:rPr>
              <w:t>Falta los incisos e, h e i.</w:t>
            </w:r>
          </w:p>
        </w:tc>
        <w:tc>
          <w:tcPr>
            <w:tcW w:w="850" w:type="dxa"/>
          </w:tcPr>
          <w:p w:rsidR="004E7E9F" w:rsidRPr="00A06FDD" w:rsidRDefault="004E7E9F" w:rsidP="004E7E9F">
            <w:pPr>
              <w:contextualSpacing/>
              <w:jc w:val="both"/>
              <w:rPr>
                <w:rFonts w:ascii="Palatino Linotype" w:eastAsia="Calibri" w:hAnsi="Palatino Linotype" w:cs="Tahoma"/>
                <w:sz w:val="14"/>
                <w:szCs w:val="14"/>
                <w:lang w:eastAsia="es-ES_tradnl"/>
              </w:rPr>
            </w:pPr>
            <w:r>
              <w:rPr>
                <w:rFonts w:ascii="Palatino Linotype" w:eastAsia="Calibri" w:hAnsi="Palatino Linotype" w:cs="Tahoma"/>
                <w:sz w:val="14"/>
                <w:szCs w:val="14"/>
                <w:lang w:eastAsia="es-ES_tradnl"/>
              </w:rPr>
              <w:t>Falta los incisos  i y e.</w:t>
            </w:r>
          </w:p>
        </w:tc>
        <w:tc>
          <w:tcPr>
            <w:tcW w:w="851" w:type="dxa"/>
          </w:tcPr>
          <w:p w:rsidR="004E7E9F" w:rsidRDefault="004E7E9F" w:rsidP="004E7E9F">
            <w:r w:rsidRPr="007777F6">
              <w:rPr>
                <w:rFonts w:ascii="Palatino Linotype" w:eastAsia="Calibri" w:hAnsi="Palatino Linotype" w:cs="Tahoma"/>
                <w:sz w:val="14"/>
                <w:szCs w:val="14"/>
                <w:lang w:eastAsia="es-ES_tradnl"/>
              </w:rPr>
              <w:t>Falta los incisos  i y e.</w:t>
            </w:r>
          </w:p>
        </w:tc>
        <w:tc>
          <w:tcPr>
            <w:tcW w:w="850" w:type="dxa"/>
          </w:tcPr>
          <w:p w:rsidR="004E7E9F" w:rsidRDefault="004E7E9F" w:rsidP="004E7E9F">
            <w:r w:rsidRPr="007777F6">
              <w:rPr>
                <w:rFonts w:ascii="Palatino Linotype" w:eastAsia="Calibri" w:hAnsi="Palatino Linotype" w:cs="Tahoma"/>
                <w:sz w:val="14"/>
                <w:szCs w:val="14"/>
                <w:lang w:eastAsia="es-ES_tradnl"/>
              </w:rPr>
              <w:t>Falta los incisos  i y e.</w:t>
            </w:r>
          </w:p>
        </w:tc>
        <w:tc>
          <w:tcPr>
            <w:tcW w:w="897" w:type="dxa"/>
          </w:tcPr>
          <w:p w:rsidR="004E7E9F" w:rsidRDefault="004E7E9F" w:rsidP="004E7E9F">
            <w:r w:rsidRPr="007777F6">
              <w:rPr>
                <w:rFonts w:ascii="Palatino Linotype" w:eastAsia="Calibri" w:hAnsi="Palatino Linotype" w:cs="Tahoma"/>
                <w:sz w:val="14"/>
                <w:szCs w:val="14"/>
                <w:lang w:eastAsia="es-ES_tradnl"/>
              </w:rPr>
              <w:t>Falta los incisos  i y e.</w:t>
            </w:r>
          </w:p>
        </w:tc>
        <w:tc>
          <w:tcPr>
            <w:tcW w:w="850" w:type="dxa"/>
          </w:tcPr>
          <w:p w:rsidR="004E7E9F" w:rsidRDefault="004E7E9F" w:rsidP="004E7E9F">
            <w:r w:rsidRPr="007777F6">
              <w:rPr>
                <w:rFonts w:ascii="Palatino Linotype" w:eastAsia="Calibri" w:hAnsi="Palatino Linotype" w:cs="Tahoma"/>
                <w:sz w:val="14"/>
                <w:szCs w:val="14"/>
                <w:lang w:eastAsia="es-ES_tradnl"/>
              </w:rPr>
              <w:t>Falta los incisos  i y e.</w:t>
            </w:r>
          </w:p>
        </w:tc>
        <w:tc>
          <w:tcPr>
            <w:tcW w:w="851" w:type="dxa"/>
          </w:tcPr>
          <w:p w:rsidR="004E7E9F" w:rsidRDefault="004E7E9F" w:rsidP="004E7E9F">
            <w:r w:rsidRPr="007777F6">
              <w:rPr>
                <w:rFonts w:ascii="Palatino Linotype" w:eastAsia="Calibri" w:hAnsi="Palatino Linotype" w:cs="Tahoma"/>
                <w:sz w:val="14"/>
                <w:szCs w:val="14"/>
                <w:lang w:eastAsia="es-ES_tradnl"/>
              </w:rPr>
              <w:t>Falta los incisos  i y e.</w:t>
            </w:r>
          </w:p>
        </w:tc>
        <w:tc>
          <w:tcPr>
            <w:tcW w:w="850" w:type="dxa"/>
          </w:tcPr>
          <w:p w:rsidR="004E7E9F" w:rsidRDefault="004E7E9F" w:rsidP="004E7E9F">
            <w:r w:rsidRPr="007777F6">
              <w:rPr>
                <w:rFonts w:ascii="Palatino Linotype" w:eastAsia="Calibri" w:hAnsi="Palatino Linotype" w:cs="Tahoma"/>
                <w:sz w:val="14"/>
                <w:szCs w:val="14"/>
                <w:lang w:eastAsia="es-ES_tradnl"/>
              </w:rPr>
              <w:t>Falta los incisos  i y e.</w:t>
            </w:r>
          </w:p>
        </w:tc>
        <w:tc>
          <w:tcPr>
            <w:tcW w:w="850" w:type="dxa"/>
          </w:tcPr>
          <w:p w:rsidR="004E7E9F" w:rsidRDefault="004E7E9F" w:rsidP="004E7E9F">
            <w:r w:rsidRPr="007777F6">
              <w:rPr>
                <w:rFonts w:ascii="Palatino Linotype" w:eastAsia="Calibri" w:hAnsi="Palatino Linotype" w:cs="Tahoma"/>
                <w:sz w:val="14"/>
                <w:szCs w:val="14"/>
                <w:lang w:eastAsia="es-ES_tradnl"/>
              </w:rPr>
              <w:t>Falta los incisos  i y e.</w:t>
            </w:r>
          </w:p>
        </w:tc>
        <w:tc>
          <w:tcPr>
            <w:tcW w:w="851" w:type="dxa"/>
          </w:tcPr>
          <w:p w:rsidR="004E7E9F" w:rsidRDefault="004E7E9F" w:rsidP="004E7E9F">
            <w:r w:rsidRPr="007777F6">
              <w:rPr>
                <w:rFonts w:ascii="Palatino Linotype" w:eastAsia="Calibri" w:hAnsi="Palatino Linotype" w:cs="Tahoma"/>
                <w:sz w:val="14"/>
                <w:szCs w:val="14"/>
                <w:lang w:eastAsia="es-ES_tradnl"/>
              </w:rPr>
              <w:t>Falta los incisos  i y e.</w:t>
            </w:r>
          </w:p>
        </w:tc>
        <w:tc>
          <w:tcPr>
            <w:tcW w:w="850" w:type="dxa"/>
          </w:tcPr>
          <w:p w:rsidR="004E7E9F" w:rsidRDefault="004E7E9F" w:rsidP="004E7E9F">
            <w:r w:rsidRPr="007777F6">
              <w:rPr>
                <w:rFonts w:ascii="Palatino Linotype" w:eastAsia="Calibri" w:hAnsi="Palatino Linotype" w:cs="Tahoma"/>
                <w:sz w:val="14"/>
                <w:szCs w:val="14"/>
                <w:lang w:eastAsia="es-ES_tradnl"/>
              </w:rPr>
              <w:t>Falta los incisos  i y e.</w:t>
            </w:r>
          </w:p>
        </w:tc>
        <w:tc>
          <w:tcPr>
            <w:tcW w:w="992" w:type="dxa"/>
          </w:tcPr>
          <w:p w:rsidR="004E7E9F" w:rsidRDefault="004E7E9F" w:rsidP="004E7E9F">
            <w:r w:rsidRPr="007777F6">
              <w:rPr>
                <w:rFonts w:ascii="Palatino Linotype" w:eastAsia="Calibri" w:hAnsi="Palatino Linotype" w:cs="Tahoma"/>
                <w:sz w:val="14"/>
                <w:szCs w:val="14"/>
                <w:lang w:eastAsia="es-ES_tradnl"/>
              </w:rPr>
              <w:t>Falta los incisos  i y e.</w:t>
            </w:r>
          </w:p>
        </w:tc>
      </w:tr>
      <w:tr w:rsidR="004E7E9F" w:rsidRPr="00193E28" w:rsidTr="004630DC">
        <w:tc>
          <w:tcPr>
            <w:tcW w:w="531" w:type="dxa"/>
          </w:tcPr>
          <w:p w:rsidR="004E7E9F" w:rsidRPr="00A06FDD" w:rsidRDefault="004E7E9F" w:rsidP="004E7E9F">
            <w:pPr>
              <w:contextualSpacing/>
              <w:jc w:val="both"/>
              <w:rPr>
                <w:rFonts w:ascii="Palatino Linotype" w:eastAsia="Calibri" w:hAnsi="Palatino Linotype" w:cs="Tahoma"/>
                <w:sz w:val="14"/>
                <w:szCs w:val="14"/>
                <w:lang w:eastAsia="es-ES_tradnl"/>
              </w:rPr>
            </w:pPr>
            <w:r w:rsidRPr="00A06FDD">
              <w:rPr>
                <w:rFonts w:ascii="Palatino Linotype" w:eastAsia="Calibri" w:hAnsi="Palatino Linotype" w:cs="Tahoma"/>
                <w:sz w:val="14"/>
                <w:szCs w:val="14"/>
                <w:lang w:eastAsia="es-ES_tradnl"/>
              </w:rPr>
              <w:t>2017</w:t>
            </w:r>
          </w:p>
        </w:tc>
        <w:tc>
          <w:tcPr>
            <w:tcW w:w="882" w:type="dxa"/>
          </w:tcPr>
          <w:p w:rsidR="004E7E9F" w:rsidRDefault="004E7E9F" w:rsidP="004E7E9F">
            <w:r w:rsidRPr="00C9312C">
              <w:rPr>
                <w:rFonts w:ascii="Palatino Linotype" w:eastAsia="Calibri" w:hAnsi="Palatino Linotype" w:cs="Tahoma"/>
                <w:sz w:val="14"/>
                <w:szCs w:val="14"/>
                <w:lang w:eastAsia="es-ES_tradnl"/>
              </w:rPr>
              <w:t>Falta los incisos  i y e.</w:t>
            </w:r>
          </w:p>
        </w:tc>
        <w:tc>
          <w:tcPr>
            <w:tcW w:w="850" w:type="dxa"/>
          </w:tcPr>
          <w:p w:rsidR="004E7E9F" w:rsidRDefault="004E7E9F" w:rsidP="004E7E9F">
            <w:r w:rsidRPr="00C9312C">
              <w:rPr>
                <w:rFonts w:ascii="Palatino Linotype" w:eastAsia="Calibri" w:hAnsi="Palatino Linotype" w:cs="Tahoma"/>
                <w:sz w:val="14"/>
                <w:szCs w:val="14"/>
                <w:lang w:eastAsia="es-ES_tradnl"/>
              </w:rPr>
              <w:t>Falta los incisos  i y e.</w:t>
            </w:r>
          </w:p>
        </w:tc>
        <w:tc>
          <w:tcPr>
            <w:tcW w:w="851" w:type="dxa"/>
          </w:tcPr>
          <w:p w:rsidR="004E7E9F" w:rsidRDefault="004E7E9F" w:rsidP="004E7E9F">
            <w:r w:rsidRPr="00C9312C">
              <w:rPr>
                <w:rFonts w:ascii="Palatino Linotype" w:eastAsia="Calibri" w:hAnsi="Palatino Linotype" w:cs="Tahoma"/>
                <w:sz w:val="14"/>
                <w:szCs w:val="14"/>
                <w:lang w:eastAsia="es-ES_tradnl"/>
              </w:rPr>
              <w:t>Falta los incisos  i y e.</w:t>
            </w:r>
          </w:p>
        </w:tc>
        <w:tc>
          <w:tcPr>
            <w:tcW w:w="850" w:type="dxa"/>
          </w:tcPr>
          <w:p w:rsidR="004E7E9F" w:rsidRDefault="004E7E9F" w:rsidP="004E7E9F">
            <w:r w:rsidRPr="00C9312C">
              <w:rPr>
                <w:rFonts w:ascii="Palatino Linotype" w:eastAsia="Calibri" w:hAnsi="Palatino Linotype" w:cs="Tahoma"/>
                <w:sz w:val="14"/>
                <w:szCs w:val="14"/>
                <w:lang w:eastAsia="es-ES_tradnl"/>
              </w:rPr>
              <w:t>Falta los incisos  i y e.</w:t>
            </w:r>
          </w:p>
        </w:tc>
        <w:tc>
          <w:tcPr>
            <w:tcW w:w="897" w:type="dxa"/>
          </w:tcPr>
          <w:p w:rsidR="004E7E9F" w:rsidRDefault="004E7E9F" w:rsidP="004E7E9F">
            <w:r w:rsidRPr="00C9312C">
              <w:rPr>
                <w:rFonts w:ascii="Palatino Linotype" w:eastAsia="Calibri" w:hAnsi="Palatino Linotype" w:cs="Tahoma"/>
                <w:sz w:val="14"/>
                <w:szCs w:val="14"/>
                <w:lang w:eastAsia="es-ES_tradnl"/>
              </w:rPr>
              <w:t>Falta los incisos  i y e.</w:t>
            </w:r>
          </w:p>
        </w:tc>
        <w:tc>
          <w:tcPr>
            <w:tcW w:w="850" w:type="dxa"/>
          </w:tcPr>
          <w:p w:rsidR="004E7E9F" w:rsidRDefault="004E7E9F" w:rsidP="004E7E9F">
            <w:r w:rsidRPr="00C9312C">
              <w:rPr>
                <w:rFonts w:ascii="Palatino Linotype" w:eastAsia="Calibri" w:hAnsi="Palatino Linotype" w:cs="Tahoma"/>
                <w:sz w:val="14"/>
                <w:szCs w:val="14"/>
                <w:lang w:eastAsia="es-ES_tradnl"/>
              </w:rPr>
              <w:t>Falta los incisos  i y e.</w:t>
            </w:r>
          </w:p>
        </w:tc>
        <w:tc>
          <w:tcPr>
            <w:tcW w:w="851" w:type="dxa"/>
          </w:tcPr>
          <w:p w:rsidR="004E7E9F" w:rsidRDefault="004E7E9F" w:rsidP="004E7E9F">
            <w:r w:rsidRPr="00C9312C">
              <w:rPr>
                <w:rFonts w:ascii="Palatino Linotype" w:eastAsia="Calibri" w:hAnsi="Palatino Linotype" w:cs="Tahoma"/>
                <w:sz w:val="14"/>
                <w:szCs w:val="14"/>
                <w:lang w:eastAsia="es-ES_tradnl"/>
              </w:rPr>
              <w:t>Falta los incisos  i y e.</w:t>
            </w:r>
          </w:p>
        </w:tc>
        <w:tc>
          <w:tcPr>
            <w:tcW w:w="850" w:type="dxa"/>
          </w:tcPr>
          <w:p w:rsidR="004E7E9F" w:rsidRDefault="004E7E9F" w:rsidP="004E7E9F">
            <w:r w:rsidRPr="00C9312C">
              <w:rPr>
                <w:rFonts w:ascii="Palatino Linotype" w:eastAsia="Calibri" w:hAnsi="Palatino Linotype" w:cs="Tahoma"/>
                <w:sz w:val="14"/>
                <w:szCs w:val="14"/>
                <w:lang w:eastAsia="es-ES_tradnl"/>
              </w:rPr>
              <w:t>Falta los incisos  i y e.</w:t>
            </w:r>
          </w:p>
        </w:tc>
        <w:tc>
          <w:tcPr>
            <w:tcW w:w="850" w:type="dxa"/>
          </w:tcPr>
          <w:p w:rsidR="004E7E9F" w:rsidRDefault="004E7E9F" w:rsidP="004E7E9F">
            <w:r w:rsidRPr="00C9312C">
              <w:rPr>
                <w:rFonts w:ascii="Palatino Linotype" w:eastAsia="Calibri" w:hAnsi="Palatino Linotype" w:cs="Tahoma"/>
                <w:sz w:val="14"/>
                <w:szCs w:val="14"/>
                <w:lang w:eastAsia="es-ES_tradnl"/>
              </w:rPr>
              <w:t>Falta los incisos  i y e.</w:t>
            </w:r>
          </w:p>
        </w:tc>
        <w:tc>
          <w:tcPr>
            <w:tcW w:w="851" w:type="dxa"/>
          </w:tcPr>
          <w:p w:rsidR="004E7E9F" w:rsidRDefault="004E7E9F" w:rsidP="004E7E9F">
            <w:r w:rsidRPr="00C9312C">
              <w:rPr>
                <w:rFonts w:ascii="Palatino Linotype" w:eastAsia="Calibri" w:hAnsi="Palatino Linotype" w:cs="Tahoma"/>
                <w:sz w:val="14"/>
                <w:szCs w:val="14"/>
                <w:lang w:eastAsia="es-ES_tradnl"/>
              </w:rPr>
              <w:t>Falta los incisos  i y e.</w:t>
            </w:r>
          </w:p>
        </w:tc>
        <w:tc>
          <w:tcPr>
            <w:tcW w:w="850" w:type="dxa"/>
          </w:tcPr>
          <w:p w:rsidR="004E7E9F" w:rsidRDefault="004E7E9F" w:rsidP="004E7E9F">
            <w:r w:rsidRPr="00C9312C">
              <w:rPr>
                <w:rFonts w:ascii="Palatino Linotype" w:eastAsia="Calibri" w:hAnsi="Palatino Linotype" w:cs="Tahoma"/>
                <w:sz w:val="14"/>
                <w:szCs w:val="14"/>
                <w:lang w:eastAsia="es-ES_tradnl"/>
              </w:rPr>
              <w:t>Falta los incisos  i y e.</w:t>
            </w:r>
          </w:p>
        </w:tc>
        <w:tc>
          <w:tcPr>
            <w:tcW w:w="992" w:type="dxa"/>
          </w:tcPr>
          <w:p w:rsidR="004E7E9F" w:rsidRDefault="004E7E9F" w:rsidP="004E7E9F">
            <w:r w:rsidRPr="00C9312C">
              <w:rPr>
                <w:rFonts w:ascii="Palatino Linotype" w:eastAsia="Calibri" w:hAnsi="Palatino Linotype" w:cs="Tahoma"/>
                <w:sz w:val="14"/>
                <w:szCs w:val="14"/>
                <w:lang w:eastAsia="es-ES_tradnl"/>
              </w:rPr>
              <w:t>Falta los incisos  i y e.</w:t>
            </w:r>
          </w:p>
        </w:tc>
      </w:tr>
      <w:tr w:rsidR="004E7E9F" w:rsidRPr="00193E28" w:rsidTr="004630DC">
        <w:tc>
          <w:tcPr>
            <w:tcW w:w="531" w:type="dxa"/>
          </w:tcPr>
          <w:p w:rsidR="004E7E9F" w:rsidRPr="00A06FDD" w:rsidRDefault="004E7E9F" w:rsidP="004E7E9F">
            <w:pPr>
              <w:contextualSpacing/>
              <w:jc w:val="both"/>
              <w:rPr>
                <w:rFonts w:ascii="Palatino Linotype" w:eastAsia="Calibri" w:hAnsi="Palatino Linotype" w:cs="Tahoma"/>
                <w:sz w:val="14"/>
                <w:szCs w:val="14"/>
                <w:lang w:eastAsia="es-ES_tradnl"/>
              </w:rPr>
            </w:pPr>
            <w:r w:rsidRPr="00A06FDD">
              <w:rPr>
                <w:rFonts w:ascii="Palatino Linotype" w:eastAsia="Calibri" w:hAnsi="Palatino Linotype" w:cs="Tahoma"/>
                <w:sz w:val="14"/>
                <w:szCs w:val="14"/>
                <w:lang w:eastAsia="es-ES_tradnl"/>
              </w:rPr>
              <w:t>2018</w:t>
            </w:r>
          </w:p>
        </w:tc>
        <w:tc>
          <w:tcPr>
            <w:tcW w:w="882" w:type="dxa"/>
          </w:tcPr>
          <w:p w:rsidR="004E7E9F" w:rsidRDefault="004E7E9F" w:rsidP="004E7E9F">
            <w:r w:rsidRPr="00AF22F0">
              <w:rPr>
                <w:rFonts w:ascii="Palatino Linotype" w:eastAsia="Calibri" w:hAnsi="Palatino Linotype" w:cs="Tahoma"/>
                <w:sz w:val="14"/>
                <w:szCs w:val="14"/>
                <w:lang w:eastAsia="es-ES_tradnl"/>
              </w:rPr>
              <w:t>Falta los incisos  i y e.</w:t>
            </w:r>
          </w:p>
        </w:tc>
        <w:tc>
          <w:tcPr>
            <w:tcW w:w="850" w:type="dxa"/>
          </w:tcPr>
          <w:p w:rsidR="004E7E9F" w:rsidRDefault="004E7E9F" w:rsidP="004E7E9F">
            <w:r w:rsidRPr="00AF22F0">
              <w:rPr>
                <w:rFonts w:ascii="Palatino Linotype" w:eastAsia="Calibri" w:hAnsi="Palatino Linotype" w:cs="Tahoma"/>
                <w:sz w:val="14"/>
                <w:szCs w:val="14"/>
                <w:lang w:eastAsia="es-ES_tradnl"/>
              </w:rPr>
              <w:t>Falta los incisos  i y e.</w:t>
            </w:r>
          </w:p>
        </w:tc>
        <w:tc>
          <w:tcPr>
            <w:tcW w:w="851" w:type="dxa"/>
          </w:tcPr>
          <w:p w:rsidR="004E7E9F" w:rsidRDefault="004E7E9F" w:rsidP="004E7E9F">
            <w:r w:rsidRPr="00AF22F0">
              <w:rPr>
                <w:rFonts w:ascii="Palatino Linotype" w:eastAsia="Calibri" w:hAnsi="Palatino Linotype" w:cs="Tahoma"/>
                <w:sz w:val="14"/>
                <w:szCs w:val="14"/>
                <w:lang w:eastAsia="es-ES_tradnl"/>
              </w:rPr>
              <w:t>Falta los incisos  i y e.</w:t>
            </w:r>
          </w:p>
        </w:tc>
        <w:tc>
          <w:tcPr>
            <w:tcW w:w="850" w:type="dxa"/>
          </w:tcPr>
          <w:p w:rsidR="004E7E9F" w:rsidRDefault="004E7E9F" w:rsidP="004E7E9F">
            <w:r w:rsidRPr="00AF22F0">
              <w:rPr>
                <w:rFonts w:ascii="Palatino Linotype" w:eastAsia="Calibri" w:hAnsi="Palatino Linotype" w:cs="Tahoma"/>
                <w:sz w:val="14"/>
                <w:szCs w:val="14"/>
                <w:lang w:eastAsia="es-ES_tradnl"/>
              </w:rPr>
              <w:t>Falta los incisos  i y e.</w:t>
            </w:r>
          </w:p>
        </w:tc>
        <w:tc>
          <w:tcPr>
            <w:tcW w:w="897" w:type="dxa"/>
          </w:tcPr>
          <w:p w:rsidR="004E7E9F" w:rsidRDefault="004E7E9F" w:rsidP="004E7E9F">
            <w:r w:rsidRPr="00AF22F0">
              <w:rPr>
                <w:rFonts w:ascii="Palatino Linotype" w:eastAsia="Calibri" w:hAnsi="Palatino Linotype" w:cs="Tahoma"/>
                <w:sz w:val="14"/>
                <w:szCs w:val="14"/>
                <w:lang w:eastAsia="es-ES_tradnl"/>
              </w:rPr>
              <w:t>Falta los incisos  i y e.</w:t>
            </w:r>
          </w:p>
        </w:tc>
        <w:tc>
          <w:tcPr>
            <w:tcW w:w="850" w:type="dxa"/>
          </w:tcPr>
          <w:p w:rsidR="004E7E9F" w:rsidRDefault="004E7E9F" w:rsidP="004E7E9F">
            <w:r w:rsidRPr="00AF22F0">
              <w:rPr>
                <w:rFonts w:ascii="Palatino Linotype" w:eastAsia="Calibri" w:hAnsi="Palatino Linotype" w:cs="Tahoma"/>
                <w:sz w:val="14"/>
                <w:szCs w:val="14"/>
                <w:lang w:eastAsia="es-ES_tradnl"/>
              </w:rPr>
              <w:t>Falta los incisos  i y e.</w:t>
            </w:r>
          </w:p>
        </w:tc>
        <w:tc>
          <w:tcPr>
            <w:tcW w:w="851" w:type="dxa"/>
          </w:tcPr>
          <w:p w:rsidR="004E7E9F" w:rsidRDefault="004E7E9F" w:rsidP="004E7E9F">
            <w:r w:rsidRPr="00AF22F0">
              <w:rPr>
                <w:rFonts w:ascii="Palatino Linotype" w:eastAsia="Calibri" w:hAnsi="Palatino Linotype" w:cs="Tahoma"/>
                <w:sz w:val="14"/>
                <w:szCs w:val="14"/>
                <w:lang w:eastAsia="es-ES_tradnl"/>
              </w:rPr>
              <w:t>Falta los incisos  i y e.</w:t>
            </w:r>
          </w:p>
        </w:tc>
        <w:tc>
          <w:tcPr>
            <w:tcW w:w="850" w:type="dxa"/>
          </w:tcPr>
          <w:p w:rsidR="004E7E9F" w:rsidRDefault="004E7E9F" w:rsidP="004E7E9F">
            <w:r w:rsidRPr="00AF22F0">
              <w:rPr>
                <w:rFonts w:ascii="Palatino Linotype" w:eastAsia="Calibri" w:hAnsi="Palatino Linotype" w:cs="Tahoma"/>
                <w:sz w:val="14"/>
                <w:szCs w:val="14"/>
                <w:lang w:eastAsia="es-ES_tradnl"/>
              </w:rPr>
              <w:t>Falta los incisos  i y e.</w:t>
            </w:r>
          </w:p>
        </w:tc>
        <w:tc>
          <w:tcPr>
            <w:tcW w:w="850" w:type="dxa"/>
          </w:tcPr>
          <w:p w:rsidR="004E7E9F" w:rsidRDefault="004E7E9F" w:rsidP="004E7E9F">
            <w:r w:rsidRPr="00AF22F0">
              <w:rPr>
                <w:rFonts w:ascii="Palatino Linotype" w:eastAsia="Calibri" w:hAnsi="Palatino Linotype" w:cs="Tahoma"/>
                <w:sz w:val="14"/>
                <w:szCs w:val="14"/>
                <w:lang w:eastAsia="es-ES_tradnl"/>
              </w:rPr>
              <w:t>Falta los incisos  i y e.</w:t>
            </w:r>
          </w:p>
        </w:tc>
        <w:tc>
          <w:tcPr>
            <w:tcW w:w="851" w:type="dxa"/>
          </w:tcPr>
          <w:p w:rsidR="004E7E9F" w:rsidRDefault="004E7E9F" w:rsidP="004E7E9F">
            <w:r w:rsidRPr="00AF22F0">
              <w:rPr>
                <w:rFonts w:ascii="Palatino Linotype" w:eastAsia="Calibri" w:hAnsi="Palatino Linotype" w:cs="Tahoma"/>
                <w:sz w:val="14"/>
                <w:szCs w:val="14"/>
                <w:lang w:eastAsia="es-ES_tradnl"/>
              </w:rPr>
              <w:t>Falta los incisos  i y e.</w:t>
            </w:r>
          </w:p>
        </w:tc>
        <w:tc>
          <w:tcPr>
            <w:tcW w:w="850" w:type="dxa"/>
          </w:tcPr>
          <w:p w:rsidR="004E7E9F" w:rsidRDefault="004E7E9F" w:rsidP="004E7E9F">
            <w:r w:rsidRPr="00AF22F0">
              <w:rPr>
                <w:rFonts w:ascii="Palatino Linotype" w:eastAsia="Calibri" w:hAnsi="Palatino Linotype" w:cs="Tahoma"/>
                <w:sz w:val="14"/>
                <w:szCs w:val="14"/>
                <w:lang w:eastAsia="es-ES_tradnl"/>
              </w:rPr>
              <w:t>Falta los incisos  i y e.</w:t>
            </w:r>
          </w:p>
        </w:tc>
        <w:tc>
          <w:tcPr>
            <w:tcW w:w="992" w:type="dxa"/>
          </w:tcPr>
          <w:p w:rsidR="004E7E9F" w:rsidRDefault="004E7E9F" w:rsidP="004E7E9F">
            <w:r w:rsidRPr="00AF22F0">
              <w:rPr>
                <w:rFonts w:ascii="Palatino Linotype" w:eastAsia="Calibri" w:hAnsi="Palatino Linotype" w:cs="Tahoma"/>
                <w:sz w:val="14"/>
                <w:szCs w:val="14"/>
                <w:lang w:eastAsia="es-ES_tradnl"/>
              </w:rPr>
              <w:t>Falta los incisos  i y e.</w:t>
            </w:r>
          </w:p>
        </w:tc>
      </w:tr>
      <w:tr w:rsidR="004E7E9F" w:rsidRPr="00193E28" w:rsidTr="004630DC">
        <w:tc>
          <w:tcPr>
            <w:tcW w:w="531" w:type="dxa"/>
          </w:tcPr>
          <w:p w:rsidR="004E7E9F" w:rsidRPr="00A06FDD" w:rsidRDefault="004E7E9F" w:rsidP="004E7E9F">
            <w:pPr>
              <w:contextualSpacing/>
              <w:jc w:val="both"/>
              <w:rPr>
                <w:rFonts w:ascii="Palatino Linotype" w:eastAsia="Calibri" w:hAnsi="Palatino Linotype" w:cs="Tahoma"/>
                <w:sz w:val="14"/>
                <w:szCs w:val="14"/>
                <w:lang w:eastAsia="es-ES_tradnl"/>
              </w:rPr>
            </w:pPr>
            <w:r w:rsidRPr="00A06FDD">
              <w:rPr>
                <w:rFonts w:ascii="Palatino Linotype" w:eastAsia="Calibri" w:hAnsi="Palatino Linotype" w:cs="Tahoma"/>
                <w:sz w:val="14"/>
                <w:szCs w:val="14"/>
                <w:lang w:eastAsia="es-ES_tradnl"/>
              </w:rPr>
              <w:t>2019</w:t>
            </w:r>
          </w:p>
        </w:tc>
        <w:tc>
          <w:tcPr>
            <w:tcW w:w="882" w:type="dxa"/>
          </w:tcPr>
          <w:p w:rsidR="004E7E9F" w:rsidRDefault="004E7E9F" w:rsidP="004E7E9F">
            <w:r w:rsidRPr="00E47244">
              <w:rPr>
                <w:rFonts w:ascii="Palatino Linotype" w:eastAsia="Calibri" w:hAnsi="Palatino Linotype" w:cs="Tahoma"/>
                <w:sz w:val="14"/>
                <w:szCs w:val="14"/>
                <w:lang w:eastAsia="es-ES_tradnl"/>
              </w:rPr>
              <w:t>Falta los incisos  i y e.</w:t>
            </w:r>
          </w:p>
        </w:tc>
        <w:tc>
          <w:tcPr>
            <w:tcW w:w="850" w:type="dxa"/>
          </w:tcPr>
          <w:p w:rsidR="004E7E9F" w:rsidRDefault="004E7E9F" w:rsidP="004E7E9F">
            <w:r w:rsidRPr="00E47244">
              <w:rPr>
                <w:rFonts w:ascii="Palatino Linotype" w:eastAsia="Calibri" w:hAnsi="Palatino Linotype" w:cs="Tahoma"/>
                <w:sz w:val="14"/>
                <w:szCs w:val="14"/>
                <w:lang w:eastAsia="es-ES_tradnl"/>
              </w:rPr>
              <w:t>Falta los incisos  i y e.</w:t>
            </w:r>
          </w:p>
        </w:tc>
        <w:tc>
          <w:tcPr>
            <w:tcW w:w="851" w:type="dxa"/>
          </w:tcPr>
          <w:p w:rsidR="004E7E9F" w:rsidRDefault="004E7E9F" w:rsidP="004E7E9F">
            <w:r w:rsidRPr="00E47244">
              <w:rPr>
                <w:rFonts w:ascii="Palatino Linotype" w:eastAsia="Calibri" w:hAnsi="Palatino Linotype" w:cs="Tahoma"/>
                <w:sz w:val="14"/>
                <w:szCs w:val="14"/>
                <w:lang w:eastAsia="es-ES_tradnl"/>
              </w:rPr>
              <w:t>Falta los incisos  i y e.</w:t>
            </w:r>
          </w:p>
        </w:tc>
        <w:tc>
          <w:tcPr>
            <w:tcW w:w="850" w:type="dxa"/>
          </w:tcPr>
          <w:p w:rsidR="004E7E9F" w:rsidRDefault="004E7E9F" w:rsidP="004E7E9F">
            <w:r w:rsidRPr="00E47244">
              <w:rPr>
                <w:rFonts w:ascii="Palatino Linotype" w:eastAsia="Calibri" w:hAnsi="Palatino Linotype" w:cs="Tahoma"/>
                <w:sz w:val="14"/>
                <w:szCs w:val="14"/>
                <w:lang w:eastAsia="es-ES_tradnl"/>
              </w:rPr>
              <w:t>Falta los incisos  i y e.</w:t>
            </w:r>
          </w:p>
        </w:tc>
        <w:tc>
          <w:tcPr>
            <w:tcW w:w="897" w:type="dxa"/>
          </w:tcPr>
          <w:p w:rsidR="004E7E9F" w:rsidRDefault="004E7E9F" w:rsidP="004E7E9F">
            <w:r w:rsidRPr="00E47244">
              <w:rPr>
                <w:rFonts w:ascii="Palatino Linotype" w:eastAsia="Calibri" w:hAnsi="Palatino Linotype" w:cs="Tahoma"/>
                <w:sz w:val="14"/>
                <w:szCs w:val="14"/>
                <w:lang w:eastAsia="es-ES_tradnl"/>
              </w:rPr>
              <w:t>Falta los incisos  i y e.</w:t>
            </w:r>
          </w:p>
        </w:tc>
        <w:tc>
          <w:tcPr>
            <w:tcW w:w="850" w:type="dxa"/>
          </w:tcPr>
          <w:p w:rsidR="004E7E9F" w:rsidRDefault="004E7E9F" w:rsidP="004E7E9F">
            <w:r w:rsidRPr="00E47244">
              <w:rPr>
                <w:rFonts w:ascii="Palatino Linotype" w:eastAsia="Calibri" w:hAnsi="Palatino Linotype" w:cs="Tahoma"/>
                <w:sz w:val="14"/>
                <w:szCs w:val="14"/>
                <w:lang w:eastAsia="es-ES_tradnl"/>
              </w:rPr>
              <w:t>Falta los incisos  i y e.</w:t>
            </w:r>
          </w:p>
        </w:tc>
        <w:tc>
          <w:tcPr>
            <w:tcW w:w="851" w:type="dxa"/>
          </w:tcPr>
          <w:p w:rsidR="004E7E9F" w:rsidRDefault="004E7E9F" w:rsidP="004E7E9F">
            <w:r w:rsidRPr="00E47244">
              <w:rPr>
                <w:rFonts w:ascii="Palatino Linotype" w:eastAsia="Calibri" w:hAnsi="Palatino Linotype" w:cs="Tahoma"/>
                <w:sz w:val="14"/>
                <w:szCs w:val="14"/>
                <w:lang w:eastAsia="es-ES_tradnl"/>
              </w:rPr>
              <w:t>Falta los incisos  i y e.</w:t>
            </w:r>
          </w:p>
        </w:tc>
        <w:tc>
          <w:tcPr>
            <w:tcW w:w="850" w:type="dxa"/>
          </w:tcPr>
          <w:p w:rsidR="004E7E9F" w:rsidRDefault="004E7E9F" w:rsidP="004E7E9F">
            <w:r w:rsidRPr="00E47244">
              <w:rPr>
                <w:rFonts w:ascii="Palatino Linotype" w:eastAsia="Calibri" w:hAnsi="Palatino Linotype" w:cs="Tahoma"/>
                <w:sz w:val="14"/>
                <w:szCs w:val="14"/>
                <w:lang w:eastAsia="es-ES_tradnl"/>
              </w:rPr>
              <w:t>Falta los incisos  i y e.</w:t>
            </w:r>
          </w:p>
        </w:tc>
        <w:tc>
          <w:tcPr>
            <w:tcW w:w="850" w:type="dxa"/>
          </w:tcPr>
          <w:p w:rsidR="004E7E9F" w:rsidRDefault="004E7E9F" w:rsidP="004E7E9F">
            <w:r w:rsidRPr="00E47244">
              <w:rPr>
                <w:rFonts w:ascii="Palatino Linotype" w:eastAsia="Calibri" w:hAnsi="Palatino Linotype" w:cs="Tahoma"/>
                <w:sz w:val="14"/>
                <w:szCs w:val="14"/>
                <w:lang w:eastAsia="es-ES_tradnl"/>
              </w:rPr>
              <w:t>Falta los incisos  i y e.</w:t>
            </w:r>
          </w:p>
        </w:tc>
        <w:tc>
          <w:tcPr>
            <w:tcW w:w="851" w:type="dxa"/>
          </w:tcPr>
          <w:p w:rsidR="004E7E9F" w:rsidRDefault="004E7E9F" w:rsidP="004E7E9F">
            <w:r w:rsidRPr="00E47244">
              <w:rPr>
                <w:rFonts w:ascii="Palatino Linotype" w:eastAsia="Calibri" w:hAnsi="Palatino Linotype" w:cs="Tahoma"/>
                <w:sz w:val="14"/>
                <w:szCs w:val="14"/>
                <w:lang w:eastAsia="es-ES_tradnl"/>
              </w:rPr>
              <w:t>Falta los incisos  i y e.</w:t>
            </w:r>
          </w:p>
        </w:tc>
        <w:tc>
          <w:tcPr>
            <w:tcW w:w="850" w:type="dxa"/>
          </w:tcPr>
          <w:p w:rsidR="004E7E9F" w:rsidRDefault="004E7E9F" w:rsidP="004E7E9F">
            <w:r w:rsidRPr="00E47244">
              <w:rPr>
                <w:rFonts w:ascii="Palatino Linotype" w:eastAsia="Calibri" w:hAnsi="Palatino Linotype" w:cs="Tahoma"/>
                <w:sz w:val="14"/>
                <w:szCs w:val="14"/>
                <w:lang w:eastAsia="es-ES_tradnl"/>
              </w:rPr>
              <w:t>Falta los incisos  i y e.</w:t>
            </w:r>
          </w:p>
        </w:tc>
        <w:tc>
          <w:tcPr>
            <w:tcW w:w="992" w:type="dxa"/>
          </w:tcPr>
          <w:p w:rsidR="004E7E9F" w:rsidRDefault="004E7E9F" w:rsidP="004E7E9F">
            <w:r w:rsidRPr="00E47244">
              <w:rPr>
                <w:rFonts w:ascii="Palatino Linotype" w:eastAsia="Calibri" w:hAnsi="Palatino Linotype" w:cs="Tahoma"/>
                <w:sz w:val="14"/>
                <w:szCs w:val="14"/>
                <w:lang w:eastAsia="es-ES_tradnl"/>
              </w:rPr>
              <w:t>Falta los incisos  i y e.</w:t>
            </w:r>
          </w:p>
        </w:tc>
      </w:tr>
      <w:tr w:rsidR="004E7E9F" w:rsidRPr="00193E28" w:rsidTr="004630DC">
        <w:tc>
          <w:tcPr>
            <w:tcW w:w="531" w:type="dxa"/>
          </w:tcPr>
          <w:p w:rsidR="004E7E9F" w:rsidRPr="00A06FDD" w:rsidRDefault="004E7E9F" w:rsidP="004E7E9F">
            <w:pPr>
              <w:contextualSpacing/>
              <w:jc w:val="both"/>
              <w:rPr>
                <w:rFonts w:ascii="Palatino Linotype" w:eastAsia="Calibri" w:hAnsi="Palatino Linotype" w:cs="Tahoma"/>
                <w:sz w:val="14"/>
                <w:szCs w:val="14"/>
                <w:lang w:eastAsia="es-ES_tradnl"/>
              </w:rPr>
            </w:pPr>
            <w:r w:rsidRPr="00A06FDD">
              <w:rPr>
                <w:rFonts w:ascii="Palatino Linotype" w:eastAsia="Calibri" w:hAnsi="Palatino Linotype" w:cs="Tahoma"/>
                <w:sz w:val="14"/>
                <w:szCs w:val="14"/>
                <w:lang w:eastAsia="es-ES_tradnl"/>
              </w:rPr>
              <w:t>2020</w:t>
            </w:r>
          </w:p>
        </w:tc>
        <w:tc>
          <w:tcPr>
            <w:tcW w:w="882" w:type="dxa"/>
          </w:tcPr>
          <w:p w:rsidR="004E7E9F" w:rsidRDefault="004E7E9F" w:rsidP="004E7E9F">
            <w:r w:rsidRPr="00706D23">
              <w:rPr>
                <w:rFonts w:ascii="Palatino Linotype" w:eastAsia="Calibri" w:hAnsi="Palatino Linotype" w:cs="Tahoma"/>
                <w:sz w:val="14"/>
                <w:szCs w:val="14"/>
                <w:lang w:eastAsia="es-ES_tradnl"/>
              </w:rPr>
              <w:t>Falta los incisos  i y e.</w:t>
            </w:r>
          </w:p>
        </w:tc>
        <w:tc>
          <w:tcPr>
            <w:tcW w:w="850" w:type="dxa"/>
          </w:tcPr>
          <w:p w:rsidR="004E7E9F" w:rsidRDefault="004E7E9F" w:rsidP="004E7E9F">
            <w:r w:rsidRPr="00706D23">
              <w:rPr>
                <w:rFonts w:ascii="Palatino Linotype" w:eastAsia="Calibri" w:hAnsi="Palatino Linotype" w:cs="Tahoma"/>
                <w:sz w:val="14"/>
                <w:szCs w:val="14"/>
                <w:lang w:eastAsia="es-ES_tradnl"/>
              </w:rPr>
              <w:t>Falta los incisos  i y e.</w:t>
            </w:r>
          </w:p>
        </w:tc>
        <w:tc>
          <w:tcPr>
            <w:tcW w:w="851" w:type="dxa"/>
          </w:tcPr>
          <w:p w:rsidR="004E7E9F" w:rsidRDefault="004E7E9F" w:rsidP="004E7E9F">
            <w:r w:rsidRPr="00706D23">
              <w:rPr>
                <w:rFonts w:ascii="Palatino Linotype" w:eastAsia="Calibri" w:hAnsi="Palatino Linotype" w:cs="Tahoma"/>
                <w:sz w:val="14"/>
                <w:szCs w:val="14"/>
                <w:lang w:eastAsia="es-ES_tradnl"/>
              </w:rPr>
              <w:t>Falta los incisos  i y e.</w:t>
            </w:r>
          </w:p>
        </w:tc>
        <w:tc>
          <w:tcPr>
            <w:tcW w:w="850" w:type="dxa"/>
          </w:tcPr>
          <w:p w:rsidR="004E7E9F" w:rsidRDefault="004E7E9F" w:rsidP="004E7E9F">
            <w:r w:rsidRPr="00706D23">
              <w:rPr>
                <w:rFonts w:ascii="Palatino Linotype" w:eastAsia="Calibri" w:hAnsi="Palatino Linotype" w:cs="Tahoma"/>
                <w:sz w:val="14"/>
                <w:szCs w:val="14"/>
                <w:lang w:eastAsia="es-ES_tradnl"/>
              </w:rPr>
              <w:t>Falta los incisos  i y e.</w:t>
            </w:r>
          </w:p>
        </w:tc>
        <w:tc>
          <w:tcPr>
            <w:tcW w:w="897" w:type="dxa"/>
          </w:tcPr>
          <w:p w:rsidR="004E7E9F" w:rsidRDefault="004E7E9F" w:rsidP="004E7E9F">
            <w:r w:rsidRPr="00706D23">
              <w:rPr>
                <w:rFonts w:ascii="Palatino Linotype" w:eastAsia="Calibri" w:hAnsi="Palatino Linotype" w:cs="Tahoma"/>
                <w:sz w:val="14"/>
                <w:szCs w:val="14"/>
                <w:lang w:eastAsia="es-ES_tradnl"/>
              </w:rPr>
              <w:t>Falta los incisos  i y e.</w:t>
            </w:r>
          </w:p>
        </w:tc>
        <w:tc>
          <w:tcPr>
            <w:tcW w:w="850" w:type="dxa"/>
          </w:tcPr>
          <w:p w:rsidR="004E7E9F" w:rsidRDefault="004E7E9F" w:rsidP="004E7E9F">
            <w:r w:rsidRPr="00706D23">
              <w:rPr>
                <w:rFonts w:ascii="Palatino Linotype" w:eastAsia="Calibri" w:hAnsi="Palatino Linotype" w:cs="Tahoma"/>
                <w:sz w:val="14"/>
                <w:szCs w:val="14"/>
                <w:lang w:eastAsia="es-ES_tradnl"/>
              </w:rPr>
              <w:t>Falta los incisos  i y e.</w:t>
            </w:r>
          </w:p>
        </w:tc>
        <w:tc>
          <w:tcPr>
            <w:tcW w:w="851" w:type="dxa"/>
          </w:tcPr>
          <w:p w:rsidR="004E7E9F" w:rsidRDefault="004E7E9F" w:rsidP="004E7E9F">
            <w:r w:rsidRPr="00706D23">
              <w:rPr>
                <w:rFonts w:ascii="Palatino Linotype" w:eastAsia="Calibri" w:hAnsi="Palatino Linotype" w:cs="Tahoma"/>
                <w:sz w:val="14"/>
                <w:szCs w:val="14"/>
                <w:lang w:eastAsia="es-ES_tradnl"/>
              </w:rPr>
              <w:t>Falta los incisos  i y e.</w:t>
            </w:r>
          </w:p>
        </w:tc>
        <w:tc>
          <w:tcPr>
            <w:tcW w:w="850" w:type="dxa"/>
          </w:tcPr>
          <w:p w:rsidR="004E7E9F" w:rsidRDefault="004E7E9F" w:rsidP="004E7E9F">
            <w:r w:rsidRPr="00706D23">
              <w:rPr>
                <w:rFonts w:ascii="Palatino Linotype" w:eastAsia="Calibri" w:hAnsi="Palatino Linotype" w:cs="Tahoma"/>
                <w:sz w:val="14"/>
                <w:szCs w:val="14"/>
                <w:lang w:eastAsia="es-ES_tradnl"/>
              </w:rPr>
              <w:t>Falta los incisos  i y e.</w:t>
            </w:r>
          </w:p>
        </w:tc>
        <w:tc>
          <w:tcPr>
            <w:tcW w:w="850" w:type="dxa"/>
          </w:tcPr>
          <w:p w:rsidR="004E7E9F" w:rsidRDefault="004E7E9F" w:rsidP="004E7E9F">
            <w:r w:rsidRPr="00F71719">
              <w:rPr>
                <w:rFonts w:ascii="Palatino Linotype" w:eastAsia="Calibri" w:hAnsi="Palatino Linotype" w:cs="Tahoma"/>
                <w:sz w:val="14"/>
                <w:szCs w:val="14"/>
                <w:lang w:eastAsia="es-ES_tradnl"/>
              </w:rPr>
              <w:t>Falta el  inciso i</w:t>
            </w:r>
          </w:p>
        </w:tc>
        <w:tc>
          <w:tcPr>
            <w:tcW w:w="851" w:type="dxa"/>
          </w:tcPr>
          <w:p w:rsidR="004E7E9F" w:rsidRDefault="004E7E9F" w:rsidP="004E7E9F">
            <w:r w:rsidRPr="00F71719">
              <w:rPr>
                <w:rFonts w:ascii="Palatino Linotype" w:eastAsia="Calibri" w:hAnsi="Palatino Linotype" w:cs="Tahoma"/>
                <w:sz w:val="14"/>
                <w:szCs w:val="14"/>
                <w:lang w:eastAsia="es-ES_tradnl"/>
              </w:rPr>
              <w:t>Falta el  inciso i</w:t>
            </w:r>
          </w:p>
        </w:tc>
        <w:tc>
          <w:tcPr>
            <w:tcW w:w="850" w:type="dxa"/>
          </w:tcPr>
          <w:p w:rsidR="004E7E9F" w:rsidRDefault="004E7E9F" w:rsidP="004E7E9F">
            <w:r w:rsidRPr="00F71719">
              <w:rPr>
                <w:rFonts w:ascii="Palatino Linotype" w:eastAsia="Calibri" w:hAnsi="Palatino Linotype" w:cs="Tahoma"/>
                <w:sz w:val="14"/>
                <w:szCs w:val="14"/>
                <w:lang w:eastAsia="es-ES_tradnl"/>
              </w:rPr>
              <w:t>Falta el  inciso i</w:t>
            </w:r>
          </w:p>
        </w:tc>
        <w:tc>
          <w:tcPr>
            <w:tcW w:w="992" w:type="dxa"/>
          </w:tcPr>
          <w:p w:rsidR="004E7E9F" w:rsidRDefault="004E7E9F" w:rsidP="004E7E9F">
            <w:r w:rsidRPr="00F71719">
              <w:rPr>
                <w:rFonts w:ascii="Palatino Linotype" w:eastAsia="Calibri" w:hAnsi="Palatino Linotype" w:cs="Tahoma"/>
                <w:sz w:val="14"/>
                <w:szCs w:val="14"/>
                <w:lang w:eastAsia="es-ES_tradnl"/>
              </w:rPr>
              <w:t>Falta el  inciso i</w:t>
            </w:r>
          </w:p>
        </w:tc>
      </w:tr>
      <w:tr w:rsidR="004E7E9F" w:rsidRPr="00193E28" w:rsidTr="004630DC">
        <w:tc>
          <w:tcPr>
            <w:tcW w:w="531" w:type="dxa"/>
          </w:tcPr>
          <w:p w:rsidR="004E7E9F" w:rsidRPr="00A06FDD" w:rsidRDefault="004E7E9F" w:rsidP="004E7E9F">
            <w:pPr>
              <w:contextualSpacing/>
              <w:jc w:val="both"/>
              <w:rPr>
                <w:rFonts w:ascii="Palatino Linotype" w:eastAsia="Calibri" w:hAnsi="Palatino Linotype" w:cs="Tahoma"/>
                <w:sz w:val="14"/>
                <w:szCs w:val="14"/>
                <w:lang w:eastAsia="es-ES_tradnl"/>
              </w:rPr>
            </w:pPr>
            <w:r w:rsidRPr="00A06FDD">
              <w:rPr>
                <w:rFonts w:ascii="Palatino Linotype" w:eastAsia="Calibri" w:hAnsi="Palatino Linotype" w:cs="Tahoma"/>
                <w:sz w:val="14"/>
                <w:szCs w:val="14"/>
                <w:lang w:eastAsia="es-ES_tradnl"/>
              </w:rPr>
              <w:t>2021</w:t>
            </w:r>
          </w:p>
        </w:tc>
        <w:tc>
          <w:tcPr>
            <w:tcW w:w="882" w:type="dxa"/>
          </w:tcPr>
          <w:p w:rsidR="004E7E9F" w:rsidRPr="00A06FDD" w:rsidRDefault="004E7E9F" w:rsidP="004E7E9F">
            <w:pPr>
              <w:contextualSpacing/>
              <w:jc w:val="both"/>
              <w:rPr>
                <w:rFonts w:ascii="Palatino Linotype" w:eastAsia="Calibri" w:hAnsi="Palatino Linotype" w:cs="Tahoma"/>
                <w:sz w:val="12"/>
                <w:szCs w:val="12"/>
                <w:lang w:eastAsia="es-ES_tradnl"/>
              </w:rPr>
            </w:pPr>
            <w:r>
              <w:rPr>
                <w:rFonts w:ascii="Palatino Linotype" w:eastAsia="Calibri" w:hAnsi="Palatino Linotype" w:cs="Tahoma"/>
                <w:sz w:val="14"/>
                <w:szCs w:val="14"/>
                <w:lang w:eastAsia="es-ES_tradnl"/>
              </w:rPr>
              <w:t>Falta el  inciso i</w:t>
            </w:r>
          </w:p>
        </w:tc>
        <w:tc>
          <w:tcPr>
            <w:tcW w:w="850" w:type="dxa"/>
          </w:tcPr>
          <w:p w:rsidR="004E7E9F" w:rsidRDefault="004E7E9F" w:rsidP="004E7E9F">
            <w:r w:rsidRPr="00862DBE">
              <w:rPr>
                <w:rFonts w:ascii="Palatino Linotype" w:eastAsia="Calibri" w:hAnsi="Palatino Linotype" w:cs="Tahoma"/>
                <w:sz w:val="14"/>
                <w:szCs w:val="14"/>
                <w:lang w:eastAsia="es-ES_tradnl"/>
              </w:rPr>
              <w:t>Falta el  inciso i</w:t>
            </w:r>
          </w:p>
        </w:tc>
        <w:tc>
          <w:tcPr>
            <w:tcW w:w="851" w:type="dxa"/>
          </w:tcPr>
          <w:p w:rsidR="004E7E9F" w:rsidRDefault="004E7E9F" w:rsidP="004E7E9F">
            <w:r w:rsidRPr="00862DBE">
              <w:rPr>
                <w:rFonts w:ascii="Palatino Linotype" w:eastAsia="Calibri" w:hAnsi="Palatino Linotype" w:cs="Tahoma"/>
                <w:sz w:val="14"/>
                <w:szCs w:val="14"/>
                <w:lang w:eastAsia="es-ES_tradnl"/>
              </w:rPr>
              <w:t>Falta el  inciso i</w:t>
            </w:r>
          </w:p>
        </w:tc>
        <w:tc>
          <w:tcPr>
            <w:tcW w:w="850" w:type="dxa"/>
          </w:tcPr>
          <w:p w:rsidR="004E7E9F" w:rsidRDefault="004E7E9F" w:rsidP="004E7E9F">
            <w:r w:rsidRPr="00862DBE">
              <w:rPr>
                <w:rFonts w:ascii="Palatino Linotype" w:eastAsia="Calibri" w:hAnsi="Palatino Linotype" w:cs="Tahoma"/>
                <w:sz w:val="14"/>
                <w:szCs w:val="14"/>
                <w:lang w:eastAsia="es-ES_tradnl"/>
              </w:rPr>
              <w:t>Falta el  inciso i</w:t>
            </w:r>
          </w:p>
        </w:tc>
        <w:tc>
          <w:tcPr>
            <w:tcW w:w="897" w:type="dxa"/>
          </w:tcPr>
          <w:p w:rsidR="004E7E9F" w:rsidRDefault="004E7E9F" w:rsidP="004E7E9F">
            <w:r w:rsidRPr="00862DBE">
              <w:rPr>
                <w:rFonts w:ascii="Palatino Linotype" w:eastAsia="Calibri" w:hAnsi="Palatino Linotype" w:cs="Tahoma"/>
                <w:sz w:val="14"/>
                <w:szCs w:val="14"/>
                <w:lang w:eastAsia="es-ES_tradnl"/>
              </w:rPr>
              <w:t>Falta el  inciso i</w:t>
            </w:r>
          </w:p>
        </w:tc>
        <w:tc>
          <w:tcPr>
            <w:tcW w:w="850" w:type="dxa"/>
          </w:tcPr>
          <w:p w:rsidR="004E7E9F" w:rsidRDefault="004E7E9F" w:rsidP="004E7E9F">
            <w:r w:rsidRPr="00862DBE">
              <w:rPr>
                <w:rFonts w:ascii="Palatino Linotype" w:eastAsia="Calibri" w:hAnsi="Palatino Linotype" w:cs="Tahoma"/>
                <w:sz w:val="14"/>
                <w:szCs w:val="14"/>
                <w:lang w:eastAsia="es-ES_tradnl"/>
              </w:rPr>
              <w:t>Falta el  inciso i</w:t>
            </w:r>
          </w:p>
        </w:tc>
        <w:tc>
          <w:tcPr>
            <w:tcW w:w="851" w:type="dxa"/>
          </w:tcPr>
          <w:p w:rsidR="004E7E9F" w:rsidRDefault="004E7E9F" w:rsidP="004E7E9F">
            <w:r w:rsidRPr="00862DBE">
              <w:rPr>
                <w:rFonts w:ascii="Palatino Linotype" w:eastAsia="Calibri" w:hAnsi="Palatino Linotype" w:cs="Tahoma"/>
                <w:sz w:val="14"/>
                <w:szCs w:val="14"/>
                <w:lang w:eastAsia="es-ES_tradnl"/>
              </w:rPr>
              <w:t>Falta el  inciso i</w:t>
            </w:r>
          </w:p>
        </w:tc>
        <w:tc>
          <w:tcPr>
            <w:tcW w:w="850" w:type="dxa"/>
          </w:tcPr>
          <w:p w:rsidR="004E7E9F" w:rsidRDefault="004E7E9F" w:rsidP="004E7E9F">
            <w:r w:rsidRPr="00862DBE">
              <w:rPr>
                <w:rFonts w:ascii="Palatino Linotype" w:eastAsia="Calibri" w:hAnsi="Palatino Linotype" w:cs="Tahoma"/>
                <w:sz w:val="14"/>
                <w:szCs w:val="14"/>
                <w:lang w:eastAsia="es-ES_tradnl"/>
              </w:rPr>
              <w:t>Falta el  inciso i</w:t>
            </w:r>
          </w:p>
        </w:tc>
        <w:tc>
          <w:tcPr>
            <w:tcW w:w="850" w:type="dxa"/>
          </w:tcPr>
          <w:p w:rsidR="004E7E9F" w:rsidRPr="00A06FDD" w:rsidRDefault="004E7E9F" w:rsidP="004E7E9F">
            <w:pPr>
              <w:contextualSpacing/>
              <w:jc w:val="both"/>
              <w:rPr>
                <w:rFonts w:ascii="Palatino Linotype" w:eastAsia="Calibri" w:hAnsi="Palatino Linotype" w:cs="Tahoma"/>
                <w:sz w:val="14"/>
                <w:szCs w:val="14"/>
                <w:lang w:eastAsia="es-ES_tradnl"/>
              </w:rPr>
            </w:pPr>
            <w:r>
              <w:rPr>
                <w:rFonts w:ascii="Palatino Linotype" w:eastAsia="Calibri" w:hAnsi="Palatino Linotype" w:cs="Tahoma"/>
                <w:sz w:val="14"/>
                <w:szCs w:val="14"/>
                <w:lang w:eastAsia="es-ES_tradnl"/>
              </w:rPr>
              <w:t>Fuera de la temporalidad de la solicitud</w:t>
            </w:r>
          </w:p>
        </w:tc>
        <w:tc>
          <w:tcPr>
            <w:tcW w:w="851" w:type="dxa"/>
          </w:tcPr>
          <w:p w:rsidR="004E7E9F" w:rsidRPr="00A06FDD" w:rsidRDefault="004E7E9F" w:rsidP="004E7E9F">
            <w:pPr>
              <w:contextualSpacing/>
              <w:jc w:val="both"/>
              <w:rPr>
                <w:rFonts w:ascii="Palatino Linotype" w:eastAsia="Calibri" w:hAnsi="Palatino Linotype" w:cs="Tahoma"/>
                <w:sz w:val="14"/>
                <w:szCs w:val="14"/>
                <w:lang w:eastAsia="es-ES_tradnl"/>
              </w:rPr>
            </w:pPr>
            <w:r>
              <w:rPr>
                <w:rFonts w:ascii="Palatino Linotype" w:eastAsia="Calibri" w:hAnsi="Palatino Linotype" w:cs="Tahoma"/>
                <w:sz w:val="14"/>
                <w:szCs w:val="14"/>
                <w:lang w:eastAsia="es-ES_tradnl"/>
              </w:rPr>
              <w:t>Fuera de la temporalidad de la solicitud</w:t>
            </w:r>
          </w:p>
        </w:tc>
        <w:tc>
          <w:tcPr>
            <w:tcW w:w="850" w:type="dxa"/>
          </w:tcPr>
          <w:p w:rsidR="004E7E9F" w:rsidRPr="00A06FDD" w:rsidRDefault="004E7E9F" w:rsidP="004E7E9F">
            <w:pPr>
              <w:contextualSpacing/>
              <w:jc w:val="both"/>
              <w:rPr>
                <w:rFonts w:ascii="Palatino Linotype" w:eastAsia="Calibri" w:hAnsi="Palatino Linotype" w:cs="Tahoma"/>
                <w:sz w:val="14"/>
                <w:szCs w:val="14"/>
                <w:lang w:eastAsia="es-ES_tradnl"/>
              </w:rPr>
            </w:pPr>
            <w:r>
              <w:rPr>
                <w:rFonts w:ascii="Palatino Linotype" w:eastAsia="Calibri" w:hAnsi="Palatino Linotype" w:cs="Tahoma"/>
                <w:sz w:val="14"/>
                <w:szCs w:val="14"/>
                <w:lang w:eastAsia="es-ES_tradnl"/>
              </w:rPr>
              <w:t>Fuera de la temporalidad de la solicitud</w:t>
            </w:r>
          </w:p>
        </w:tc>
        <w:tc>
          <w:tcPr>
            <w:tcW w:w="992" w:type="dxa"/>
          </w:tcPr>
          <w:p w:rsidR="004E7E9F" w:rsidRPr="00A06FDD" w:rsidRDefault="004E7E9F" w:rsidP="004E7E9F">
            <w:pPr>
              <w:spacing w:line="360" w:lineRule="auto"/>
              <w:jc w:val="both"/>
              <w:rPr>
                <w:rFonts w:ascii="Palatino Linotype" w:eastAsia="Calibri" w:hAnsi="Palatino Linotype" w:cs="Tahoma"/>
                <w:sz w:val="14"/>
                <w:szCs w:val="14"/>
                <w:lang w:eastAsia="es-ES_tradnl"/>
              </w:rPr>
            </w:pPr>
            <w:r>
              <w:rPr>
                <w:rFonts w:ascii="Palatino Linotype" w:eastAsia="Calibri" w:hAnsi="Palatino Linotype" w:cs="Tahoma"/>
                <w:sz w:val="14"/>
                <w:szCs w:val="14"/>
                <w:lang w:eastAsia="es-ES_tradnl"/>
              </w:rPr>
              <w:t>Fuera de la temporalidad de la solicitud</w:t>
            </w:r>
          </w:p>
        </w:tc>
      </w:tr>
    </w:tbl>
    <w:p w:rsidR="00B41E4B" w:rsidRDefault="00B41E4B" w:rsidP="004A51BD">
      <w:pPr>
        <w:spacing w:line="360" w:lineRule="auto"/>
        <w:jc w:val="both"/>
        <w:rPr>
          <w:rFonts w:ascii="Palatino Linotype" w:eastAsia="Calibri" w:hAnsi="Palatino Linotype" w:cs="Tahoma"/>
          <w:lang w:eastAsia="es-ES_tradnl"/>
        </w:rPr>
      </w:pPr>
    </w:p>
    <w:p w:rsidR="00B26E11" w:rsidRDefault="00B26E11" w:rsidP="004A51BD">
      <w:pPr>
        <w:spacing w:line="360" w:lineRule="auto"/>
        <w:jc w:val="both"/>
        <w:rPr>
          <w:rFonts w:ascii="Palatino Linotype" w:eastAsia="Calibri" w:hAnsi="Palatino Linotype" w:cs="Tahoma"/>
          <w:lang w:eastAsia="es-ES_tradnl"/>
        </w:rPr>
      </w:pPr>
      <w:r>
        <w:rPr>
          <w:rFonts w:ascii="Palatino Linotype" w:eastAsia="Calibri" w:hAnsi="Palatino Linotype" w:cs="Tahoma"/>
          <w:lang w:eastAsia="es-ES_tradnl"/>
        </w:rPr>
        <w:t>Para Ayuntamiento de Naucalpan, en los años:</w:t>
      </w:r>
    </w:p>
    <w:tbl>
      <w:tblPr>
        <w:tblStyle w:val="Tablaconcuadrcula"/>
        <w:tblW w:w="10955" w:type="dxa"/>
        <w:tblInd w:w="-1066" w:type="dxa"/>
        <w:tblLayout w:type="fixed"/>
        <w:tblLook w:val="04A0" w:firstRow="1" w:lastRow="0" w:firstColumn="1" w:lastColumn="0" w:noHBand="0" w:noVBand="1"/>
      </w:tblPr>
      <w:tblGrid>
        <w:gridCol w:w="531"/>
        <w:gridCol w:w="882"/>
        <w:gridCol w:w="850"/>
        <w:gridCol w:w="851"/>
        <w:gridCol w:w="850"/>
        <w:gridCol w:w="897"/>
        <w:gridCol w:w="850"/>
        <w:gridCol w:w="851"/>
        <w:gridCol w:w="850"/>
        <w:gridCol w:w="850"/>
        <w:gridCol w:w="851"/>
        <w:gridCol w:w="850"/>
        <w:gridCol w:w="992"/>
      </w:tblGrid>
      <w:tr w:rsidR="006665A0" w:rsidRPr="00193E28" w:rsidTr="006665A0">
        <w:tc>
          <w:tcPr>
            <w:tcW w:w="531" w:type="dxa"/>
          </w:tcPr>
          <w:p w:rsidR="006665A0" w:rsidRPr="00A06FDD" w:rsidRDefault="006665A0" w:rsidP="006665A0">
            <w:pPr>
              <w:contextualSpacing/>
              <w:jc w:val="both"/>
              <w:rPr>
                <w:rFonts w:ascii="Palatino Linotype" w:eastAsia="Calibri" w:hAnsi="Palatino Linotype" w:cs="Tahoma"/>
                <w:sz w:val="11"/>
                <w:szCs w:val="11"/>
                <w:lang w:eastAsia="es-ES_tradnl"/>
              </w:rPr>
            </w:pPr>
            <w:r w:rsidRPr="00A06FDD">
              <w:rPr>
                <w:rFonts w:ascii="Palatino Linotype" w:eastAsia="Calibri" w:hAnsi="Palatino Linotype" w:cs="Tahoma"/>
                <w:sz w:val="11"/>
                <w:szCs w:val="11"/>
                <w:lang w:eastAsia="es-ES_tradnl"/>
              </w:rPr>
              <w:t>Años</w:t>
            </w:r>
          </w:p>
        </w:tc>
        <w:tc>
          <w:tcPr>
            <w:tcW w:w="882" w:type="dxa"/>
          </w:tcPr>
          <w:p w:rsidR="006665A0" w:rsidRPr="00A06FDD" w:rsidRDefault="006665A0" w:rsidP="006665A0">
            <w:pPr>
              <w:contextualSpacing/>
              <w:jc w:val="both"/>
              <w:rPr>
                <w:rFonts w:ascii="Palatino Linotype" w:eastAsia="Calibri" w:hAnsi="Palatino Linotype" w:cs="Tahoma"/>
                <w:sz w:val="11"/>
                <w:szCs w:val="11"/>
                <w:lang w:eastAsia="es-ES_tradnl"/>
              </w:rPr>
            </w:pPr>
            <w:r w:rsidRPr="00A06FDD">
              <w:rPr>
                <w:rFonts w:ascii="Palatino Linotype" w:eastAsia="Calibri" w:hAnsi="Palatino Linotype" w:cs="Tahoma"/>
                <w:sz w:val="11"/>
                <w:szCs w:val="11"/>
                <w:lang w:eastAsia="es-ES_tradnl"/>
              </w:rPr>
              <w:t>Enero</w:t>
            </w:r>
          </w:p>
        </w:tc>
        <w:tc>
          <w:tcPr>
            <w:tcW w:w="850" w:type="dxa"/>
          </w:tcPr>
          <w:p w:rsidR="006665A0" w:rsidRPr="00A06FDD" w:rsidRDefault="006665A0" w:rsidP="006665A0">
            <w:pPr>
              <w:contextualSpacing/>
              <w:jc w:val="both"/>
              <w:rPr>
                <w:rFonts w:ascii="Palatino Linotype" w:eastAsia="Calibri" w:hAnsi="Palatino Linotype" w:cs="Tahoma"/>
                <w:sz w:val="11"/>
                <w:szCs w:val="11"/>
                <w:lang w:eastAsia="es-ES_tradnl"/>
              </w:rPr>
            </w:pPr>
            <w:r w:rsidRPr="00A06FDD">
              <w:rPr>
                <w:rFonts w:ascii="Palatino Linotype" w:eastAsia="Calibri" w:hAnsi="Palatino Linotype" w:cs="Tahoma"/>
                <w:sz w:val="11"/>
                <w:szCs w:val="11"/>
                <w:lang w:eastAsia="es-ES_tradnl"/>
              </w:rPr>
              <w:t>Febrero</w:t>
            </w:r>
          </w:p>
        </w:tc>
        <w:tc>
          <w:tcPr>
            <w:tcW w:w="851" w:type="dxa"/>
          </w:tcPr>
          <w:p w:rsidR="006665A0" w:rsidRPr="00A06FDD" w:rsidRDefault="006665A0" w:rsidP="006665A0">
            <w:pPr>
              <w:contextualSpacing/>
              <w:jc w:val="both"/>
              <w:rPr>
                <w:rFonts w:ascii="Palatino Linotype" w:eastAsia="Calibri" w:hAnsi="Palatino Linotype" w:cs="Tahoma"/>
                <w:sz w:val="11"/>
                <w:szCs w:val="11"/>
                <w:lang w:eastAsia="es-ES_tradnl"/>
              </w:rPr>
            </w:pPr>
            <w:r w:rsidRPr="00A06FDD">
              <w:rPr>
                <w:rFonts w:ascii="Palatino Linotype" w:eastAsia="Calibri" w:hAnsi="Palatino Linotype" w:cs="Tahoma"/>
                <w:sz w:val="11"/>
                <w:szCs w:val="11"/>
                <w:lang w:eastAsia="es-ES_tradnl"/>
              </w:rPr>
              <w:t>Marzo</w:t>
            </w:r>
          </w:p>
        </w:tc>
        <w:tc>
          <w:tcPr>
            <w:tcW w:w="850" w:type="dxa"/>
          </w:tcPr>
          <w:p w:rsidR="006665A0" w:rsidRPr="00A06FDD" w:rsidRDefault="006665A0" w:rsidP="006665A0">
            <w:pPr>
              <w:contextualSpacing/>
              <w:jc w:val="both"/>
              <w:rPr>
                <w:rFonts w:ascii="Palatino Linotype" w:eastAsia="Calibri" w:hAnsi="Palatino Linotype" w:cs="Tahoma"/>
                <w:sz w:val="11"/>
                <w:szCs w:val="11"/>
                <w:lang w:eastAsia="es-ES_tradnl"/>
              </w:rPr>
            </w:pPr>
            <w:r w:rsidRPr="00A06FDD">
              <w:rPr>
                <w:rFonts w:ascii="Palatino Linotype" w:eastAsia="Calibri" w:hAnsi="Palatino Linotype" w:cs="Tahoma"/>
                <w:sz w:val="11"/>
                <w:szCs w:val="11"/>
                <w:lang w:eastAsia="es-ES_tradnl"/>
              </w:rPr>
              <w:t>Abril</w:t>
            </w:r>
          </w:p>
        </w:tc>
        <w:tc>
          <w:tcPr>
            <w:tcW w:w="897" w:type="dxa"/>
          </w:tcPr>
          <w:p w:rsidR="006665A0" w:rsidRPr="00A06FDD" w:rsidRDefault="006665A0" w:rsidP="006665A0">
            <w:pPr>
              <w:contextualSpacing/>
              <w:jc w:val="both"/>
              <w:rPr>
                <w:rFonts w:ascii="Palatino Linotype" w:eastAsia="Calibri" w:hAnsi="Palatino Linotype" w:cs="Tahoma"/>
                <w:sz w:val="11"/>
                <w:szCs w:val="11"/>
                <w:lang w:eastAsia="es-ES_tradnl"/>
              </w:rPr>
            </w:pPr>
            <w:r w:rsidRPr="00A06FDD">
              <w:rPr>
                <w:rFonts w:ascii="Palatino Linotype" w:eastAsia="Calibri" w:hAnsi="Palatino Linotype" w:cs="Tahoma"/>
                <w:sz w:val="11"/>
                <w:szCs w:val="11"/>
                <w:lang w:eastAsia="es-ES_tradnl"/>
              </w:rPr>
              <w:t>Mayo</w:t>
            </w:r>
          </w:p>
        </w:tc>
        <w:tc>
          <w:tcPr>
            <w:tcW w:w="850" w:type="dxa"/>
          </w:tcPr>
          <w:p w:rsidR="006665A0" w:rsidRPr="00A06FDD" w:rsidRDefault="006665A0" w:rsidP="006665A0">
            <w:pPr>
              <w:contextualSpacing/>
              <w:jc w:val="both"/>
              <w:rPr>
                <w:rFonts w:ascii="Palatino Linotype" w:eastAsia="Calibri" w:hAnsi="Palatino Linotype" w:cs="Tahoma"/>
                <w:sz w:val="11"/>
                <w:szCs w:val="11"/>
                <w:lang w:eastAsia="es-ES_tradnl"/>
              </w:rPr>
            </w:pPr>
            <w:r w:rsidRPr="00A06FDD">
              <w:rPr>
                <w:rFonts w:ascii="Palatino Linotype" w:eastAsia="Calibri" w:hAnsi="Palatino Linotype" w:cs="Tahoma"/>
                <w:sz w:val="11"/>
                <w:szCs w:val="11"/>
                <w:lang w:eastAsia="es-ES_tradnl"/>
              </w:rPr>
              <w:t>Junio</w:t>
            </w:r>
          </w:p>
        </w:tc>
        <w:tc>
          <w:tcPr>
            <w:tcW w:w="851" w:type="dxa"/>
          </w:tcPr>
          <w:p w:rsidR="006665A0" w:rsidRPr="00A06FDD" w:rsidRDefault="006665A0" w:rsidP="006665A0">
            <w:pPr>
              <w:contextualSpacing/>
              <w:jc w:val="both"/>
              <w:rPr>
                <w:rFonts w:ascii="Palatino Linotype" w:eastAsia="Calibri" w:hAnsi="Palatino Linotype" w:cs="Tahoma"/>
                <w:sz w:val="11"/>
                <w:szCs w:val="11"/>
                <w:lang w:eastAsia="es-ES_tradnl"/>
              </w:rPr>
            </w:pPr>
            <w:r w:rsidRPr="00A06FDD">
              <w:rPr>
                <w:rFonts w:ascii="Palatino Linotype" w:eastAsia="Calibri" w:hAnsi="Palatino Linotype" w:cs="Tahoma"/>
                <w:sz w:val="11"/>
                <w:szCs w:val="11"/>
                <w:lang w:eastAsia="es-ES_tradnl"/>
              </w:rPr>
              <w:t>Julio</w:t>
            </w:r>
          </w:p>
        </w:tc>
        <w:tc>
          <w:tcPr>
            <w:tcW w:w="850" w:type="dxa"/>
          </w:tcPr>
          <w:p w:rsidR="006665A0" w:rsidRPr="00A06FDD" w:rsidRDefault="006665A0" w:rsidP="006665A0">
            <w:pPr>
              <w:contextualSpacing/>
              <w:jc w:val="both"/>
              <w:rPr>
                <w:rFonts w:ascii="Palatino Linotype" w:eastAsia="Calibri" w:hAnsi="Palatino Linotype" w:cs="Tahoma"/>
                <w:sz w:val="11"/>
                <w:szCs w:val="11"/>
                <w:lang w:eastAsia="es-ES_tradnl"/>
              </w:rPr>
            </w:pPr>
            <w:r w:rsidRPr="00A06FDD">
              <w:rPr>
                <w:rFonts w:ascii="Palatino Linotype" w:eastAsia="Calibri" w:hAnsi="Palatino Linotype" w:cs="Tahoma"/>
                <w:sz w:val="11"/>
                <w:szCs w:val="11"/>
                <w:lang w:eastAsia="es-ES_tradnl"/>
              </w:rPr>
              <w:t>Agosto</w:t>
            </w:r>
          </w:p>
        </w:tc>
        <w:tc>
          <w:tcPr>
            <w:tcW w:w="850" w:type="dxa"/>
          </w:tcPr>
          <w:p w:rsidR="006665A0" w:rsidRPr="00A06FDD" w:rsidRDefault="006665A0" w:rsidP="006665A0">
            <w:pPr>
              <w:contextualSpacing/>
              <w:jc w:val="both"/>
              <w:rPr>
                <w:rFonts w:ascii="Palatino Linotype" w:eastAsia="Calibri" w:hAnsi="Palatino Linotype" w:cs="Tahoma"/>
                <w:sz w:val="11"/>
                <w:szCs w:val="11"/>
                <w:lang w:eastAsia="es-ES_tradnl"/>
              </w:rPr>
            </w:pPr>
            <w:r w:rsidRPr="00A06FDD">
              <w:rPr>
                <w:rFonts w:ascii="Palatino Linotype" w:eastAsia="Calibri" w:hAnsi="Palatino Linotype" w:cs="Tahoma"/>
                <w:sz w:val="11"/>
                <w:szCs w:val="11"/>
                <w:lang w:eastAsia="es-ES_tradnl"/>
              </w:rPr>
              <w:t>Septiembre</w:t>
            </w:r>
          </w:p>
        </w:tc>
        <w:tc>
          <w:tcPr>
            <w:tcW w:w="851" w:type="dxa"/>
          </w:tcPr>
          <w:p w:rsidR="006665A0" w:rsidRPr="00A06FDD" w:rsidRDefault="006665A0" w:rsidP="006665A0">
            <w:pPr>
              <w:contextualSpacing/>
              <w:jc w:val="both"/>
              <w:rPr>
                <w:rFonts w:ascii="Palatino Linotype" w:eastAsia="Calibri" w:hAnsi="Palatino Linotype" w:cs="Tahoma"/>
                <w:sz w:val="11"/>
                <w:szCs w:val="11"/>
                <w:lang w:eastAsia="es-ES_tradnl"/>
              </w:rPr>
            </w:pPr>
            <w:r w:rsidRPr="00A06FDD">
              <w:rPr>
                <w:rFonts w:ascii="Palatino Linotype" w:eastAsia="Calibri" w:hAnsi="Palatino Linotype" w:cs="Tahoma"/>
                <w:sz w:val="11"/>
                <w:szCs w:val="11"/>
                <w:lang w:eastAsia="es-ES_tradnl"/>
              </w:rPr>
              <w:t>Octubre</w:t>
            </w:r>
          </w:p>
        </w:tc>
        <w:tc>
          <w:tcPr>
            <w:tcW w:w="850" w:type="dxa"/>
          </w:tcPr>
          <w:p w:rsidR="006665A0" w:rsidRPr="00A06FDD" w:rsidRDefault="006665A0" w:rsidP="006665A0">
            <w:pPr>
              <w:contextualSpacing/>
              <w:jc w:val="both"/>
              <w:rPr>
                <w:rFonts w:ascii="Palatino Linotype" w:eastAsia="Calibri" w:hAnsi="Palatino Linotype" w:cs="Tahoma"/>
                <w:sz w:val="11"/>
                <w:szCs w:val="11"/>
                <w:lang w:eastAsia="es-ES_tradnl"/>
              </w:rPr>
            </w:pPr>
            <w:r w:rsidRPr="00A06FDD">
              <w:rPr>
                <w:rFonts w:ascii="Palatino Linotype" w:eastAsia="Calibri" w:hAnsi="Palatino Linotype" w:cs="Tahoma"/>
                <w:sz w:val="11"/>
                <w:szCs w:val="11"/>
                <w:lang w:eastAsia="es-ES_tradnl"/>
              </w:rPr>
              <w:t>Noviembre</w:t>
            </w:r>
          </w:p>
        </w:tc>
        <w:tc>
          <w:tcPr>
            <w:tcW w:w="992" w:type="dxa"/>
          </w:tcPr>
          <w:p w:rsidR="006665A0" w:rsidRPr="00A06FDD" w:rsidRDefault="006665A0" w:rsidP="006665A0">
            <w:pPr>
              <w:spacing w:line="360" w:lineRule="auto"/>
              <w:jc w:val="both"/>
              <w:rPr>
                <w:rFonts w:ascii="Palatino Linotype" w:eastAsia="Calibri" w:hAnsi="Palatino Linotype" w:cs="Tahoma"/>
                <w:sz w:val="11"/>
                <w:szCs w:val="11"/>
                <w:lang w:eastAsia="es-ES_tradnl"/>
              </w:rPr>
            </w:pPr>
            <w:r w:rsidRPr="00A06FDD">
              <w:rPr>
                <w:rFonts w:ascii="Palatino Linotype" w:eastAsia="Calibri" w:hAnsi="Palatino Linotype" w:cs="Tahoma"/>
                <w:sz w:val="11"/>
                <w:szCs w:val="11"/>
                <w:lang w:eastAsia="es-ES_tradnl"/>
              </w:rPr>
              <w:t>Diciembre</w:t>
            </w:r>
          </w:p>
        </w:tc>
      </w:tr>
      <w:tr w:rsidR="004E7E9F" w:rsidRPr="00193E28" w:rsidTr="006665A0">
        <w:tc>
          <w:tcPr>
            <w:tcW w:w="531" w:type="dxa"/>
          </w:tcPr>
          <w:p w:rsidR="004E7E9F" w:rsidRPr="00A06FDD" w:rsidRDefault="004E7E9F" w:rsidP="004E7E9F">
            <w:pPr>
              <w:contextualSpacing/>
              <w:jc w:val="both"/>
              <w:rPr>
                <w:rFonts w:ascii="Palatino Linotype" w:eastAsia="Calibri" w:hAnsi="Palatino Linotype" w:cs="Tahoma"/>
                <w:sz w:val="14"/>
                <w:szCs w:val="14"/>
                <w:lang w:eastAsia="es-ES_tradnl"/>
              </w:rPr>
            </w:pPr>
            <w:r w:rsidRPr="00A06FDD">
              <w:rPr>
                <w:rFonts w:ascii="Palatino Linotype" w:eastAsia="Calibri" w:hAnsi="Palatino Linotype" w:cs="Tahoma"/>
                <w:sz w:val="14"/>
                <w:szCs w:val="14"/>
                <w:lang w:eastAsia="es-ES_tradnl"/>
              </w:rPr>
              <w:t>2016</w:t>
            </w:r>
          </w:p>
        </w:tc>
        <w:tc>
          <w:tcPr>
            <w:tcW w:w="882" w:type="dxa"/>
          </w:tcPr>
          <w:p w:rsidR="004E7E9F" w:rsidRDefault="004E7E9F" w:rsidP="004E7E9F">
            <w:r w:rsidRPr="00146EAE">
              <w:rPr>
                <w:rFonts w:ascii="Palatino Linotype" w:eastAsia="Calibri" w:hAnsi="Palatino Linotype" w:cs="Tahoma"/>
                <w:sz w:val="14"/>
                <w:szCs w:val="14"/>
                <w:lang w:eastAsia="es-ES_tradnl"/>
              </w:rPr>
              <w:t>Falta el  inciso i</w:t>
            </w:r>
          </w:p>
        </w:tc>
        <w:tc>
          <w:tcPr>
            <w:tcW w:w="850" w:type="dxa"/>
          </w:tcPr>
          <w:p w:rsidR="004E7E9F" w:rsidRDefault="004E7E9F" w:rsidP="004E7E9F">
            <w:r w:rsidRPr="00146EAE">
              <w:rPr>
                <w:rFonts w:ascii="Palatino Linotype" w:eastAsia="Calibri" w:hAnsi="Palatino Linotype" w:cs="Tahoma"/>
                <w:sz w:val="14"/>
                <w:szCs w:val="14"/>
                <w:lang w:eastAsia="es-ES_tradnl"/>
              </w:rPr>
              <w:t>Falta el  inciso i</w:t>
            </w:r>
          </w:p>
        </w:tc>
        <w:tc>
          <w:tcPr>
            <w:tcW w:w="851" w:type="dxa"/>
          </w:tcPr>
          <w:p w:rsidR="004E7E9F" w:rsidRDefault="004E7E9F" w:rsidP="004E7E9F">
            <w:r w:rsidRPr="00146EAE">
              <w:rPr>
                <w:rFonts w:ascii="Palatino Linotype" w:eastAsia="Calibri" w:hAnsi="Palatino Linotype" w:cs="Tahoma"/>
                <w:sz w:val="14"/>
                <w:szCs w:val="14"/>
                <w:lang w:eastAsia="es-ES_tradnl"/>
              </w:rPr>
              <w:t>Falta el  inciso i</w:t>
            </w:r>
          </w:p>
        </w:tc>
        <w:tc>
          <w:tcPr>
            <w:tcW w:w="850" w:type="dxa"/>
          </w:tcPr>
          <w:p w:rsidR="004E7E9F" w:rsidRDefault="004E7E9F" w:rsidP="004E7E9F">
            <w:r w:rsidRPr="00146EAE">
              <w:rPr>
                <w:rFonts w:ascii="Palatino Linotype" w:eastAsia="Calibri" w:hAnsi="Palatino Linotype" w:cs="Tahoma"/>
                <w:sz w:val="14"/>
                <w:szCs w:val="14"/>
                <w:lang w:eastAsia="es-ES_tradnl"/>
              </w:rPr>
              <w:t>Falta el  inciso i</w:t>
            </w:r>
          </w:p>
        </w:tc>
        <w:tc>
          <w:tcPr>
            <w:tcW w:w="897" w:type="dxa"/>
          </w:tcPr>
          <w:p w:rsidR="004E7E9F" w:rsidRDefault="004E7E9F" w:rsidP="004E7E9F">
            <w:r w:rsidRPr="00146EAE">
              <w:rPr>
                <w:rFonts w:ascii="Palatino Linotype" w:eastAsia="Calibri" w:hAnsi="Palatino Linotype" w:cs="Tahoma"/>
                <w:sz w:val="14"/>
                <w:szCs w:val="14"/>
                <w:lang w:eastAsia="es-ES_tradnl"/>
              </w:rPr>
              <w:t>Falta el  inciso i</w:t>
            </w:r>
          </w:p>
        </w:tc>
        <w:tc>
          <w:tcPr>
            <w:tcW w:w="850" w:type="dxa"/>
          </w:tcPr>
          <w:p w:rsidR="004E7E9F" w:rsidRDefault="004E7E9F" w:rsidP="004E7E9F">
            <w:r w:rsidRPr="00146EAE">
              <w:rPr>
                <w:rFonts w:ascii="Palatino Linotype" w:eastAsia="Calibri" w:hAnsi="Palatino Linotype" w:cs="Tahoma"/>
                <w:sz w:val="14"/>
                <w:szCs w:val="14"/>
                <w:lang w:eastAsia="es-ES_tradnl"/>
              </w:rPr>
              <w:t>Falta el  inciso i</w:t>
            </w:r>
          </w:p>
        </w:tc>
        <w:tc>
          <w:tcPr>
            <w:tcW w:w="851" w:type="dxa"/>
          </w:tcPr>
          <w:p w:rsidR="004E7E9F" w:rsidRDefault="004E7E9F" w:rsidP="004E7E9F">
            <w:r w:rsidRPr="00146EAE">
              <w:rPr>
                <w:rFonts w:ascii="Palatino Linotype" w:eastAsia="Calibri" w:hAnsi="Palatino Linotype" w:cs="Tahoma"/>
                <w:sz w:val="14"/>
                <w:szCs w:val="14"/>
                <w:lang w:eastAsia="es-ES_tradnl"/>
              </w:rPr>
              <w:t>Falta el  inciso i</w:t>
            </w:r>
          </w:p>
        </w:tc>
        <w:tc>
          <w:tcPr>
            <w:tcW w:w="850" w:type="dxa"/>
          </w:tcPr>
          <w:p w:rsidR="004E7E9F" w:rsidRDefault="004E7E9F" w:rsidP="004E7E9F">
            <w:r w:rsidRPr="00146EAE">
              <w:rPr>
                <w:rFonts w:ascii="Palatino Linotype" w:eastAsia="Calibri" w:hAnsi="Palatino Linotype" w:cs="Tahoma"/>
                <w:sz w:val="14"/>
                <w:szCs w:val="14"/>
                <w:lang w:eastAsia="es-ES_tradnl"/>
              </w:rPr>
              <w:t>Falta el  inciso i</w:t>
            </w:r>
          </w:p>
        </w:tc>
        <w:tc>
          <w:tcPr>
            <w:tcW w:w="850" w:type="dxa"/>
          </w:tcPr>
          <w:p w:rsidR="004E7E9F" w:rsidRDefault="004E7E9F" w:rsidP="004E7E9F">
            <w:r w:rsidRPr="00146EAE">
              <w:rPr>
                <w:rFonts w:ascii="Palatino Linotype" w:eastAsia="Calibri" w:hAnsi="Palatino Linotype" w:cs="Tahoma"/>
                <w:sz w:val="14"/>
                <w:szCs w:val="14"/>
                <w:lang w:eastAsia="es-ES_tradnl"/>
              </w:rPr>
              <w:t>Falta el  inciso i</w:t>
            </w:r>
          </w:p>
        </w:tc>
        <w:tc>
          <w:tcPr>
            <w:tcW w:w="851" w:type="dxa"/>
          </w:tcPr>
          <w:p w:rsidR="004E7E9F" w:rsidRDefault="004E7E9F" w:rsidP="004E7E9F">
            <w:r w:rsidRPr="00146EAE">
              <w:rPr>
                <w:rFonts w:ascii="Palatino Linotype" w:eastAsia="Calibri" w:hAnsi="Palatino Linotype" w:cs="Tahoma"/>
                <w:sz w:val="14"/>
                <w:szCs w:val="14"/>
                <w:lang w:eastAsia="es-ES_tradnl"/>
              </w:rPr>
              <w:t>Falta el  inciso i</w:t>
            </w:r>
          </w:p>
        </w:tc>
        <w:tc>
          <w:tcPr>
            <w:tcW w:w="850" w:type="dxa"/>
          </w:tcPr>
          <w:p w:rsidR="004E7E9F" w:rsidRDefault="004E7E9F" w:rsidP="004E7E9F">
            <w:r w:rsidRPr="00146EAE">
              <w:rPr>
                <w:rFonts w:ascii="Palatino Linotype" w:eastAsia="Calibri" w:hAnsi="Palatino Linotype" w:cs="Tahoma"/>
                <w:sz w:val="14"/>
                <w:szCs w:val="14"/>
                <w:lang w:eastAsia="es-ES_tradnl"/>
              </w:rPr>
              <w:t>Falta el  inciso i</w:t>
            </w:r>
          </w:p>
        </w:tc>
        <w:tc>
          <w:tcPr>
            <w:tcW w:w="992" w:type="dxa"/>
          </w:tcPr>
          <w:p w:rsidR="004E7E9F" w:rsidRDefault="004E7E9F" w:rsidP="004E7E9F">
            <w:r w:rsidRPr="00146EAE">
              <w:rPr>
                <w:rFonts w:ascii="Palatino Linotype" w:eastAsia="Calibri" w:hAnsi="Palatino Linotype" w:cs="Tahoma"/>
                <w:sz w:val="14"/>
                <w:szCs w:val="14"/>
                <w:lang w:eastAsia="es-ES_tradnl"/>
              </w:rPr>
              <w:t>Falta el  inciso i</w:t>
            </w:r>
          </w:p>
        </w:tc>
      </w:tr>
      <w:tr w:rsidR="004E7E9F" w:rsidRPr="00193E28" w:rsidTr="006665A0">
        <w:tc>
          <w:tcPr>
            <w:tcW w:w="531" w:type="dxa"/>
          </w:tcPr>
          <w:p w:rsidR="004E7E9F" w:rsidRPr="00A06FDD" w:rsidRDefault="004E7E9F" w:rsidP="004E7E9F">
            <w:pPr>
              <w:contextualSpacing/>
              <w:jc w:val="both"/>
              <w:rPr>
                <w:rFonts w:ascii="Palatino Linotype" w:eastAsia="Calibri" w:hAnsi="Palatino Linotype" w:cs="Tahoma"/>
                <w:sz w:val="14"/>
                <w:szCs w:val="14"/>
                <w:lang w:eastAsia="es-ES_tradnl"/>
              </w:rPr>
            </w:pPr>
            <w:r w:rsidRPr="00A06FDD">
              <w:rPr>
                <w:rFonts w:ascii="Palatino Linotype" w:eastAsia="Calibri" w:hAnsi="Palatino Linotype" w:cs="Tahoma"/>
                <w:sz w:val="14"/>
                <w:szCs w:val="14"/>
                <w:lang w:eastAsia="es-ES_tradnl"/>
              </w:rPr>
              <w:t>2017</w:t>
            </w:r>
          </w:p>
        </w:tc>
        <w:tc>
          <w:tcPr>
            <w:tcW w:w="882" w:type="dxa"/>
          </w:tcPr>
          <w:p w:rsidR="004E7E9F" w:rsidRDefault="004E7E9F" w:rsidP="004E7E9F">
            <w:r w:rsidRPr="00663A38">
              <w:rPr>
                <w:rFonts w:ascii="Palatino Linotype" w:eastAsia="Calibri" w:hAnsi="Palatino Linotype" w:cs="Tahoma"/>
                <w:sz w:val="14"/>
                <w:szCs w:val="14"/>
                <w:lang w:eastAsia="es-ES_tradnl"/>
              </w:rPr>
              <w:t>Falta el  inciso i</w:t>
            </w:r>
          </w:p>
        </w:tc>
        <w:tc>
          <w:tcPr>
            <w:tcW w:w="850" w:type="dxa"/>
          </w:tcPr>
          <w:p w:rsidR="004E7E9F" w:rsidRDefault="004E7E9F" w:rsidP="004E7E9F">
            <w:r w:rsidRPr="00663A38">
              <w:rPr>
                <w:rFonts w:ascii="Palatino Linotype" w:eastAsia="Calibri" w:hAnsi="Palatino Linotype" w:cs="Tahoma"/>
                <w:sz w:val="14"/>
                <w:szCs w:val="14"/>
                <w:lang w:eastAsia="es-ES_tradnl"/>
              </w:rPr>
              <w:t>Falta el  inciso i</w:t>
            </w:r>
          </w:p>
        </w:tc>
        <w:tc>
          <w:tcPr>
            <w:tcW w:w="851" w:type="dxa"/>
          </w:tcPr>
          <w:p w:rsidR="004E7E9F" w:rsidRDefault="004E7E9F" w:rsidP="004E7E9F">
            <w:r w:rsidRPr="00663A38">
              <w:rPr>
                <w:rFonts w:ascii="Palatino Linotype" w:eastAsia="Calibri" w:hAnsi="Palatino Linotype" w:cs="Tahoma"/>
                <w:sz w:val="14"/>
                <w:szCs w:val="14"/>
                <w:lang w:eastAsia="es-ES_tradnl"/>
              </w:rPr>
              <w:t>Falta el  inciso i</w:t>
            </w:r>
          </w:p>
        </w:tc>
        <w:tc>
          <w:tcPr>
            <w:tcW w:w="850" w:type="dxa"/>
          </w:tcPr>
          <w:p w:rsidR="004E7E9F" w:rsidRDefault="004E7E9F" w:rsidP="004E7E9F">
            <w:r w:rsidRPr="00663A38">
              <w:rPr>
                <w:rFonts w:ascii="Palatino Linotype" w:eastAsia="Calibri" w:hAnsi="Palatino Linotype" w:cs="Tahoma"/>
                <w:sz w:val="14"/>
                <w:szCs w:val="14"/>
                <w:lang w:eastAsia="es-ES_tradnl"/>
              </w:rPr>
              <w:t>Falta el  inciso i</w:t>
            </w:r>
          </w:p>
        </w:tc>
        <w:tc>
          <w:tcPr>
            <w:tcW w:w="897" w:type="dxa"/>
          </w:tcPr>
          <w:p w:rsidR="004E7E9F" w:rsidRDefault="004E7E9F" w:rsidP="004E7E9F">
            <w:r w:rsidRPr="00663A38">
              <w:rPr>
                <w:rFonts w:ascii="Palatino Linotype" w:eastAsia="Calibri" w:hAnsi="Palatino Linotype" w:cs="Tahoma"/>
                <w:sz w:val="14"/>
                <w:szCs w:val="14"/>
                <w:lang w:eastAsia="es-ES_tradnl"/>
              </w:rPr>
              <w:t>Falta el  inciso i</w:t>
            </w:r>
          </w:p>
        </w:tc>
        <w:tc>
          <w:tcPr>
            <w:tcW w:w="850" w:type="dxa"/>
          </w:tcPr>
          <w:p w:rsidR="004E7E9F" w:rsidRDefault="004E7E9F" w:rsidP="004E7E9F">
            <w:r w:rsidRPr="00663A38">
              <w:rPr>
                <w:rFonts w:ascii="Palatino Linotype" w:eastAsia="Calibri" w:hAnsi="Palatino Linotype" w:cs="Tahoma"/>
                <w:sz w:val="14"/>
                <w:szCs w:val="14"/>
                <w:lang w:eastAsia="es-ES_tradnl"/>
              </w:rPr>
              <w:t>Falta el  inciso i</w:t>
            </w:r>
          </w:p>
        </w:tc>
        <w:tc>
          <w:tcPr>
            <w:tcW w:w="851" w:type="dxa"/>
          </w:tcPr>
          <w:p w:rsidR="004E7E9F" w:rsidRDefault="004E7E9F" w:rsidP="004E7E9F">
            <w:r w:rsidRPr="00663A38">
              <w:rPr>
                <w:rFonts w:ascii="Palatino Linotype" w:eastAsia="Calibri" w:hAnsi="Palatino Linotype" w:cs="Tahoma"/>
                <w:sz w:val="14"/>
                <w:szCs w:val="14"/>
                <w:lang w:eastAsia="es-ES_tradnl"/>
              </w:rPr>
              <w:t>Falta el  inciso i</w:t>
            </w:r>
          </w:p>
        </w:tc>
        <w:tc>
          <w:tcPr>
            <w:tcW w:w="850" w:type="dxa"/>
          </w:tcPr>
          <w:p w:rsidR="004E7E9F" w:rsidRDefault="004E7E9F" w:rsidP="004E7E9F">
            <w:r w:rsidRPr="00663A38">
              <w:rPr>
                <w:rFonts w:ascii="Palatino Linotype" w:eastAsia="Calibri" w:hAnsi="Palatino Linotype" w:cs="Tahoma"/>
                <w:sz w:val="14"/>
                <w:szCs w:val="14"/>
                <w:lang w:eastAsia="es-ES_tradnl"/>
              </w:rPr>
              <w:t>Falta el  inciso i</w:t>
            </w:r>
          </w:p>
        </w:tc>
        <w:tc>
          <w:tcPr>
            <w:tcW w:w="850" w:type="dxa"/>
          </w:tcPr>
          <w:p w:rsidR="004E7E9F" w:rsidRDefault="004E7E9F" w:rsidP="004E7E9F">
            <w:r w:rsidRPr="00663A38">
              <w:rPr>
                <w:rFonts w:ascii="Palatino Linotype" w:eastAsia="Calibri" w:hAnsi="Palatino Linotype" w:cs="Tahoma"/>
                <w:sz w:val="14"/>
                <w:szCs w:val="14"/>
                <w:lang w:eastAsia="es-ES_tradnl"/>
              </w:rPr>
              <w:t>Falta el  inciso i</w:t>
            </w:r>
          </w:p>
        </w:tc>
        <w:tc>
          <w:tcPr>
            <w:tcW w:w="851" w:type="dxa"/>
          </w:tcPr>
          <w:p w:rsidR="004E7E9F" w:rsidRDefault="004E7E9F" w:rsidP="004E7E9F">
            <w:r w:rsidRPr="00663A38">
              <w:rPr>
                <w:rFonts w:ascii="Palatino Linotype" w:eastAsia="Calibri" w:hAnsi="Palatino Linotype" w:cs="Tahoma"/>
                <w:sz w:val="14"/>
                <w:szCs w:val="14"/>
                <w:lang w:eastAsia="es-ES_tradnl"/>
              </w:rPr>
              <w:t>Falta el  inciso i</w:t>
            </w:r>
          </w:p>
        </w:tc>
        <w:tc>
          <w:tcPr>
            <w:tcW w:w="850" w:type="dxa"/>
          </w:tcPr>
          <w:p w:rsidR="004E7E9F" w:rsidRDefault="004E7E9F" w:rsidP="004E7E9F">
            <w:r w:rsidRPr="00663A38">
              <w:rPr>
                <w:rFonts w:ascii="Palatino Linotype" w:eastAsia="Calibri" w:hAnsi="Palatino Linotype" w:cs="Tahoma"/>
                <w:sz w:val="14"/>
                <w:szCs w:val="14"/>
                <w:lang w:eastAsia="es-ES_tradnl"/>
              </w:rPr>
              <w:t>Falta el  inciso i</w:t>
            </w:r>
          </w:p>
        </w:tc>
        <w:tc>
          <w:tcPr>
            <w:tcW w:w="992" w:type="dxa"/>
          </w:tcPr>
          <w:p w:rsidR="004E7E9F" w:rsidRDefault="004E7E9F" w:rsidP="004E7E9F">
            <w:r w:rsidRPr="00663A38">
              <w:rPr>
                <w:rFonts w:ascii="Palatino Linotype" w:eastAsia="Calibri" w:hAnsi="Palatino Linotype" w:cs="Tahoma"/>
                <w:sz w:val="14"/>
                <w:szCs w:val="14"/>
                <w:lang w:eastAsia="es-ES_tradnl"/>
              </w:rPr>
              <w:t>Falta el  inciso i</w:t>
            </w:r>
          </w:p>
        </w:tc>
      </w:tr>
      <w:tr w:rsidR="004E7E9F" w:rsidRPr="00193E28" w:rsidTr="006665A0">
        <w:tc>
          <w:tcPr>
            <w:tcW w:w="531" w:type="dxa"/>
          </w:tcPr>
          <w:p w:rsidR="004E7E9F" w:rsidRPr="00A06FDD" w:rsidRDefault="004E7E9F" w:rsidP="004E7E9F">
            <w:pPr>
              <w:contextualSpacing/>
              <w:jc w:val="both"/>
              <w:rPr>
                <w:rFonts w:ascii="Palatino Linotype" w:eastAsia="Calibri" w:hAnsi="Palatino Linotype" w:cs="Tahoma"/>
                <w:sz w:val="14"/>
                <w:szCs w:val="14"/>
                <w:lang w:eastAsia="es-ES_tradnl"/>
              </w:rPr>
            </w:pPr>
            <w:r w:rsidRPr="00A06FDD">
              <w:rPr>
                <w:rFonts w:ascii="Palatino Linotype" w:eastAsia="Calibri" w:hAnsi="Palatino Linotype" w:cs="Tahoma"/>
                <w:sz w:val="14"/>
                <w:szCs w:val="14"/>
                <w:lang w:eastAsia="es-ES_tradnl"/>
              </w:rPr>
              <w:t>2018</w:t>
            </w:r>
          </w:p>
        </w:tc>
        <w:tc>
          <w:tcPr>
            <w:tcW w:w="882" w:type="dxa"/>
          </w:tcPr>
          <w:p w:rsidR="004E7E9F" w:rsidRDefault="004E7E9F" w:rsidP="004E7E9F">
            <w:r w:rsidRPr="00253EEB">
              <w:rPr>
                <w:rFonts w:ascii="Palatino Linotype" w:eastAsia="Calibri" w:hAnsi="Palatino Linotype" w:cs="Tahoma"/>
                <w:sz w:val="14"/>
                <w:szCs w:val="14"/>
                <w:lang w:eastAsia="es-ES_tradnl"/>
              </w:rPr>
              <w:t>Falta el  inciso i</w:t>
            </w:r>
          </w:p>
        </w:tc>
        <w:tc>
          <w:tcPr>
            <w:tcW w:w="850" w:type="dxa"/>
          </w:tcPr>
          <w:p w:rsidR="004E7E9F" w:rsidRDefault="004E7E9F" w:rsidP="004E7E9F">
            <w:r w:rsidRPr="00253EEB">
              <w:rPr>
                <w:rFonts w:ascii="Palatino Linotype" w:eastAsia="Calibri" w:hAnsi="Palatino Linotype" w:cs="Tahoma"/>
                <w:sz w:val="14"/>
                <w:szCs w:val="14"/>
                <w:lang w:eastAsia="es-ES_tradnl"/>
              </w:rPr>
              <w:t>Falta el  inciso i</w:t>
            </w:r>
          </w:p>
        </w:tc>
        <w:tc>
          <w:tcPr>
            <w:tcW w:w="851" w:type="dxa"/>
          </w:tcPr>
          <w:p w:rsidR="004E7E9F" w:rsidRDefault="004E7E9F" w:rsidP="004E7E9F">
            <w:r w:rsidRPr="00253EEB">
              <w:rPr>
                <w:rFonts w:ascii="Palatino Linotype" w:eastAsia="Calibri" w:hAnsi="Palatino Linotype" w:cs="Tahoma"/>
                <w:sz w:val="14"/>
                <w:szCs w:val="14"/>
                <w:lang w:eastAsia="es-ES_tradnl"/>
              </w:rPr>
              <w:t>Falta el  inciso i</w:t>
            </w:r>
          </w:p>
        </w:tc>
        <w:tc>
          <w:tcPr>
            <w:tcW w:w="850" w:type="dxa"/>
          </w:tcPr>
          <w:p w:rsidR="004E7E9F" w:rsidRDefault="004E7E9F" w:rsidP="004E7E9F">
            <w:r w:rsidRPr="00253EEB">
              <w:rPr>
                <w:rFonts w:ascii="Palatino Linotype" w:eastAsia="Calibri" w:hAnsi="Palatino Linotype" w:cs="Tahoma"/>
                <w:sz w:val="14"/>
                <w:szCs w:val="14"/>
                <w:lang w:eastAsia="es-ES_tradnl"/>
              </w:rPr>
              <w:t>Falta el  inciso i</w:t>
            </w:r>
          </w:p>
        </w:tc>
        <w:tc>
          <w:tcPr>
            <w:tcW w:w="897" w:type="dxa"/>
          </w:tcPr>
          <w:p w:rsidR="004E7E9F" w:rsidRDefault="004E7E9F" w:rsidP="004E7E9F">
            <w:r w:rsidRPr="00253EEB">
              <w:rPr>
                <w:rFonts w:ascii="Palatino Linotype" w:eastAsia="Calibri" w:hAnsi="Palatino Linotype" w:cs="Tahoma"/>
                <w:sz w:val="14"/>
                <w:szCs w:val="14"/>
                <w:lang w:eastAsia="es-ES_tradnl"/>
              </w:rPr>
              <w:t>Falta el  inciso i</w:t>
            </w:r>
          </w:p>
        </w:tc>
        <w:tc>
          <w:tcPr>
            <w:tcW w:w="850" w:type="dxa"/>
          </w:tcPr>
          <w:p w:rsidR="004E7E9F" w:rsidRDefault="004E7E9F" w:rsidP="004E7E9F">
            <w:r w:rsidRPr="00253EEB">
              <w:rPr>
                <w:rFonts w:ascii="Palatino Linotype" w:eastAsia="Calibri" w:hAnsi="Palatino Linotype" w:cs="Tahoma"/>
                <w:sz w:val="14"/>
                <w:szCs w:val="14"/>
                <w:lang w:eastAsia="es-ES_tradnl"/>
              </w:rPr>
              <w:t>Falta el  inciso i</w:t>
            </w:r>
          </w:p>
        </w:tc>
        <w:tc>
          <w:tcPr>
            <w:tcW w:w="851" w:type="dxa"/>
          </w:tcPr>
          <w:p w:rsidR="004E7E9F" w:rsidRDefault="004E7E9F" w:rsidP="004E7E9F">
            <w:r w:rsidRPr="00253EEB">
              <w:rPr>
                <w:rFonts w:ascii="Palatino Linotype" w:eastAsia="Calibri" w:hAnsi="Palatino Linotype" w:cs="Tahoma"/>
                <w:sz w:val="14"/>
                <w:szCs w:val="14"/>
                <w:lang w:eastAsia="es-ES_tradnl"/>
              </w:rPr>
              <w:t>Falta el  inciso i</w:t>
            </w:r>
          </w:p>
        </w:tc>
        <w:tc>
          <w:tcPr>
            <w:tcW w:w="850" w:type="dxa"/>
          </w:tcPr>
          <w:p w:rsidR="004E7E9F" w:rsidRDefault="004E7E9F" w:rsidP="004E7E9F">
            <w:r w:rsidRPr="00253EEB">
              <w:rPr>
                <w:rFonts w:ascii="Palatino Linotype" w:eastAsia="Calibri" w:hAnsi="Palatino Linotype" w:cs="Tahoma"/>
                <w:sz w:val="14"/>
                <w:szCs w:val="14"/>
                <w:lang w:eastAsia="es-ES_tradnl"/>
              </w:rPr>
              <w:t>Falta el  inciso i</w:t>
            </w:r>
          </w:p>
        </w:tc>
        <w:tc>
          <w:tcPr>
            <w:tcW w:w="850" w:type="dxa"/>
          </w:tcPr>
          <w:p w:rsidR="004E7E9F" w:rsidRDefault="004E7E9F" w:rsidP="004E7E9F">
            <w:r w:rsidRPr="00253EEB">
              <w:rPr>
                <w:rFonts w:ascii="Palatino Linotype" w:eastAsia="Calibri" w:hAnsi="Palatino Linotype" w:cs="Tahoma"/>
                <w:sz w:val="14"/>
                <w:szCs w:val="14"/>
                <w:lang w:eastAsia="es-ES_tradnl"/>
              </w:rPr>
              <w:t>Falta el  inciso i</w:t>
            </w:r>
          </w:p>
        </w:tc>
        <w:tc>
          <w:tcPr>
            <w:tcW w:w="851" w:type="dxa"/>
          </w:tcPr>
          <w:p w:rsidR="004E7E9F" w:rsidRDefault="004E7E9F" w:rsidP="004E7E9F">
            <w:r w:rsidRPr="00253EEB">
              <w:rPr>
                <w:rFonts w:ascii="Palatino Linotype" w:eastAsia="Calibri" w:hAnsi="Palatino Linotype" w:cs="Tahoma"/>
                <w:sz w:val="14"/>
                <w:szCs w:val="14"/>
                <w:lang w:eastAsia="es-ES_tradnl"/>
              </w:rPr>
              <w:t>Falta el  inciso i</w:t>
            </w:r>
          </w:p>
        </w:tc>
        <w:tc>
          <w:tcPr>
            <w:tcW w:w="850" w:type="dxa"/>
          </w:tcPr>
          <w:p w:rsidR="004E7E9F" w:rsidRDefault="004E7E9F" w:rsidP="004E7E9F">
            <w:r w:rsidRPr="00253EEB">
              <w:rPr>
                <w:rFonts w:ascii="Palatino Linotype" w:eastAsia="Calibri" w:hAnsi="Palatino Linotype" w:cs="Tahoma"/>
                <w:sz w:val="14"/>
                <w:szCs w:val="14"/>
                <w:lang w:eastAsia="es-ES_tradnl"/>
              </w:rPr>
              <w:t>Falta el  inciso i</w:t>
            </w:r>
          </w:p>
        </w:tc>
        <w:tc>
          <w:tcPr>
            <w:tcW w:w="992" w:type="dxa"/>
          </w:tcPr>
          <w:p w:rsidR="004E7E9F" w:rsidRDefault="004E7E9F" w:rsidP="004E7E9F">
            <w:r w:rsidRPr="00253EEB">
              <w:rPr>
                <w:rFonts w:ascii="Palatino Linotype" w:eastAsia="Calibri" w:hAnsi="Palatino Linotype" w:cs="Tahoma"/>
                <w:sz w:val="14"/>
                <w:szCs w:val="14"/>
                <w:lang w:eastAsia="es-ES_tradnl"/>
              </w:rPr>
              <w:t>Falta el  inciso i</w:t>
            </w:r>
          </w:p>
        </w:tc>
      </w:tr>
      <w:tr w:rsidR="004E7E9F" w:rsidRPr="00193E28" w:rsidTr="006665A0">
        <w:tc>
          <w:tcPr>
            <w:tcW w:w="531" w:type="dxa"/>
          </w:tcPr>
          <w:p w:rsidR="004E7E9F" w:rsidRPr="00A06FDD" w:rsidRDefault="004E7E9F" w:rsidP="004E7E9F">
            <w:pPr>
              <w:contextualSpacing/>
              <w:jc w:val="both"/>
              <w:rPr>
                <w:rFonts w:ascii="Palatino Linotype" w:eastAsia="Calibri" w:hAnsi="Palatino Linotype" w:cs="Tahoma"/>
                <w:sz w:val="14"/>
                <w:szCs w:val="14"/>
                <w:lang w:eastAsia="es-ES_tradnl"/>
              </w:rPr>
            </w:pPr>
            <w:r w:rsidRPr="00A06FDD">
              <w:rPr>
                <w:rFonts w:ascii="Palatino Linotype" w:eastAsia="Calibri" w:hAnsi="Palatino Linotype" w:cs="Tahoma"/>
                <w:sz w:val="14"/>
                <w:szCs w:val="14"/>
                <w:lang w:eastAsia="es-ES_tradnl"/>
              </w:rPr>
              <w:lastRenderedPageBreak/>
              <w:t>2019</w:t>
            </w:r>
          </w:p>
        </w:tc>
        <w:tc>
          <w:tcPr>
            <w:tcW w:w="882" w:type="dxa"/>
          </w:tcPr>
          <w:p w:rsidR="004E7E9F" w:rsidRDefault="004E7E9F" w:rsidP="004E7E9F">
            <w:r w:rsidRPr="00B51CFC">
              <w:rPr>
                <w:rFonts w:ascii="Palatino Linotype" w:eastAsia="Calibri" w:hAnsi="Palatino Linotype" w:cs="Tahoma"/>
                <w:sz w:val="14"/>
                <w:szCs w:val="14"/>
                <w:lang w:eastAsia="es-ES_tradnl"/>
              </w:rPr>
              <w:t>Falta el  inciso i</w:t>
            </w:r>
          </w:p>
        </w:tc>
        <w:tc>
          <w:tcPr>
            <w:tcW w:w="850" w:type="dxa"/>
          </w:tcPr>
          <w:p w:rsidR="004E7E9F" w:rsidRDefault="004E7E9F" w:rsidP="004E7E9F">
            <w:r w:rsidRPr="00B51CFC">
              <w:rPr>
                <w:rFonts w:ascii="Palatino Linotype" w:eastAsia="Calibri" w:hAnsi="Palatino Linotype" w:cs="Tahoma"/>
                <w:sz w:val="14"/>
                <w:szCs w:val="14"/>
                <w:lang w:eastAsia="es-ES_tradnl"/>
              </w:rPr>
              <w:t>Falta el  inciso i</w:t>
            </w:r>
          </w:p>
        </w:tc>
        <w:tc>
          <w:tcPr>
            <w:tcW w:w="851" w:type="dxa"/>
          </w:tcPr>
          <w:p w:rsidR="004E7E9F" w:rsidRDefault="004E7E9F" w:rsidP="004E7E9F">
            <w:r w:rsidRPr="00B51CFC">
              <w:rPr>
                <w:rFonts w:ascii="Palatino Linotype" w:eastAsia="Calibri" w:hAnsi="Palatino Linotype" w:cs="Tahoma"/>
                <w:sz w:val="14"/>
                <w:szCs w:val="14"/>
                <w:lang w:eastAsia="es-ES_tradnl"/>
              </w:rPr>
              <w:t>Falta el  inciso i</w:t>
            </w:r>
          </w:p>
        </w:tc>
        <w:tc>
          <w:tcPr>
            <w:tcW w:w="850" w:type="dxa"/>
          </w:tcPr>
          <w:p w:rsidR="004E7E9F" w:rsidRDefault="004E7E9F" w:rsidP="004E7E9F">
            <w:r w:rsidRPr="00B51CFC">
              <w:rPr>
                <w:rFonts w:ascii="Palatino Linotype" w:eastAsia="Calibri" w:hAnsi="Palatino Linotype" w:cs="Tahoma"/>
                <w:sz w:val="14"/>
                <w:szCs w:val="14"/>
                <w:lang w:eastAsia="es-ES_tradnl"/>
              </w:rPr>
              <w:t>Falta el  inciso i</w:t>
            </w:r>
          </w:p>
        </w:tc>
        <w:tc>
          <w:tcPr>
            <w:tcW w:w="897" w:type="dxa"/>
          </w:tcPr>
          <w:p w:rsidR="004E7E9F" w:rsidRDefault="004E7E9F" w:rsidP="004E7E9F">
            <w:r w:rsidRPr="00B51CFC">
              <w:rPr>
                <w:rFonts w:ascii="Palatino Linotype" w:eastAsia="Calibri" w:hAnsi="Palatino Linotype" w:cs="Tahoma"/>
                <w:sz w:val="14"/>
                <w:szCs w:val="14"/>
                <w:lang w:eastAsia="es-ES_tradnl"/>
              </w:rPr>
              <w:t>Falta el  inciso i</w:t>
            </w:r>
          </w:p>
        </w:tc>
        <w:tc>
          <w:tcPr>
            <w:tcW w:w="850" w:type="dxa"/>
          </w:tcPr>
          <w:p w:rsidR="004E7E9F" w:rsidRDefault="004E7E9F" w:rsidP="004E7E9F">
            <w:r w:rsidRPr="00B51CFC">
              <w:rPr>
                <w:rFonts w:ascii="Palatino Linotype" w:eastAsia="Calibri" w:hAnsi="Palatino Linotype" w:cs="Tahoma"/>
                <w:sz w:val="14"/>
                <w:szCs w:val="14"/>
                <w:lang w:eastAsia="es-ES_tradnl"/>
              </w:rPr>
              <w:t>Falta el  inciso i</w:t>
            </w:r>
          </w:p>
        </w:tc>
        <w:tc>
          <w:tcPr>
            <w:tcW w:w="851" w:type="dxa"/>
          </w:tcPr>
          <w:p w:rsidR="004E7E9F" w:rsidRDefault="004E7E9F" w:rsidP="004E7E9F">
            <w:r w:rsidRPr="00B51CFC">
              <w:rPr>
                <w:rFonts w:ascii="Palatino Linotype" w:eastAsia="Calibri" w:hAnsi="Palatino Linotype" w:cs="Tahoma"/>
                <w:sz w:val="14"/>
                <w:szCs w:val="14"/>
                <w:lang w:eastAsia="es-ES_tradnl"/>
              </w:rPr>
              <w:t>Falta el  inciso i</w:t>
            </w:r>
          </w:p>
        </w:tc>
        <w:tc>
          <w:tcPr>
            <w:tcW w:w="850" w:type="dxa"/>
          </w:tcPr>
          <w:p w:rsidR="004E7E9F" w:rsidRDefault="004E7E9F" w:rsidP="004E7E9F">
            <w:r w:rsidRPr="00B51CFC">
              <w:rPr>
                <w:rFonts w:ascii="Palatino Linotype" w:eastAsia="Calibri" w:hAnsi="Palatino Linotype" w:cs="Tahoma"/>
                <w:sz w:val="14"/>
                <w:szCs w:val="14"/>
                <w:lang w:eastAsia="es-ES_tradnl"/>
              </w:rPr>
              <w:t>Falta el  inciso i</w:t>
            </w:r>
          </w:p>
        </w:tc>
        <w:tc>
          <w:tcPr>
            <w:tcW w:w="850" w:type="dxa"/>
          </w:tcPr>
          <w:p w:rsidR="004E7E9F" w:rsidRDefault="004E7E9F" w:rsidP="004E7E9F">
            <w:r w:rsidRPr="00B51CFC">
              <w:rPr>
                <w:rFonts w:ascii="Palatino Linotype" w:eastAsia="Calibri" w:hAnsi="Palatino Linotype" w:cs="Tahoma"/>
                <w:sz w:val="14"/>
                <w:szCs w:val="14"/>
                <w:lang w:eastAsia="es-ES_tradnl"/>
              </w:rPr>
              <w:t>Falta el  inciso i</w:t>
            </w:r>
          </w:p>
        </w:tc>
        <w:tc>
          <w:tcPr>
            <w:tcW w:w="851" w:type="dxa"/>
          </w:tcPr>
          <w:p w:rsidR="004E7E9F" w:rsidRDefault="004E7E9F" w:rsidP="004E7E9F">
            <w:r w:rsidRPr="00B51CFC">
              <w:rPr>
                <w:rFonts w:ascii="Palatino Linotype" w:eastAsia="Calibri" w:hAnsi="Palatino Linotype" w:cs="Tahoma"/>
                <w:sz w:val="14"/>
                <w:szCs w:val="14"/>
                <w:lang w:eastAsia="es-ES_tradnl"/>
              </w:rPr>
              <w:t>Falta el  inciso i</w:t>
            </w:r>
          </w:p>
        </w:tc>
        <w:tc>
          <w:tcPr>
            <w:tcW w:w="850" w:type="dxa"/>
          </w:tcPr>
          <w:p w:rsidR="004E7E9F" w:rsidRDefault="004E7E9F" w:rsidP="004E7E9F">
            <w:r w:rsidRPr="00B51CFC">
              <w:rPr>
                <w:rFonts w:ascii="Palatino Linotype" w:eastAsia="Calibri" w:hAnsi="Palatino Linotype" w:cs="Tahoma"/>
                <w:sz w:val="14"/>
                <w:szCs w:val="14"/>
                <w:lang w:eastAsia="es-ES_tradnl"/>
              </w:rPr>
              <w:t>Falta el  inciso i</w:t>
            </w:r>
          </w:p>
        </w:tc>
        <w:tc>
          <w:tcPr>
            <w:tcW w:w="992" w:type="dxa"/>
          </w:tcPr>
          <w:p w:rsidR="004E7E9F" w:rsidRDefault="004E7E9F" w:rsidP="004E7E9F">
            <w:r w:rsidRPr="00B51CFC">
              <w:rPr>
                <w:rFonts w:ascii="Palatino Linotype" w:eastAsia="Calibri" w:hAnsi="Palatino Linotype" w:cs="Tahoma"/>
                <w:sz w:val="14"/>
                <w:szCs w:val="14"/>
                <w:lang w:eastAsia="es-ES_tradnl"/>
              </w:rPr>
              <w:t>Falta el  inciso i</w:t>
            </w:r>
          </w:p>
        </w:tc>
      </w:tr>
      <w:tr w:rsidR="004E7E9F" w:rsidRPr="00193E28" w:rsidTr="006665A0">
        <w:tc>
          <w:tcPr>
            <w:tcW w:w="531" w:type="dxa"/>
          </w:tcPr>
          <w:p w:rsidR="004E7E9F" w:rsidRPr="00A06FDD" w:rsidRDefault="004E7E9F" w:rsidP="004E7E9F">
            <w:pPr>
              <w:contextualSpacing/>
              <w:jc w:val="both"/>
              <w:rPr>
                <w:rFonts w:ascii="Palatino Linotype" w:eastAsia="Calibri" w:hAnsi="Palatino Linotype" w:cs="Tahoma"/>
                <w:sz w:val="14"/>
                <w:szCs w:val="14"/>
                <w:lang w:eastAsia="es-ES_tradnl"/>
              </w:rPr>
            </w:pPr>
            <w:r w:rsidRPr="00A06FDD">
              <w:rPr>
                <w:rFonts w:ascii="Palatino Linotype" w:eastAsia="Calibri" w:hAnsi="Palatino Linotype" w:cs="Tahoma"/>
                <w:sz w:val="14"/>
                <w:szCs w:val="14"/>
                <w:lang w:eastAsia="es-ES_tradnl"/>
              </w:rPr>
              <w:t>2020</w:t>
            </w:r>
          </w:p>
        </w:tc>
        <w:tc>
          <w:tcPr>
            <w:tcW w:w="882" w:type="dxa"/>
          </w:tcPr>
          <w:p w:rsidR="004E7E9F" w:rsidRDefault="004E7E9F" w:rsidP="004E7E9F">
            <w:r w:rsidRPr="002F5B14">
              <w:rPr>
                <w:rFonts w:ascii="Palatino Linotype" w:eastAsia="Calibri" w:hAnsi="Palatino Linotype" w:cs="Tahoma"/>
                <w:sz w:val="14"/>
                <w:szCs w:val="14"/>
                <w:lang w:eastAsia="es-ES_tradnl"/>
              </w:rPr>
              <w:t>Falta el  inciso i</w:t>
            </w:r>
          </w:p>
        </w:tc>
        <w:tc>
          <w:tcPr>
            <w:tcW w:w="850" w:type="dxa"/>
          </w:tcPr>
          <w:p w:rsidR="004E7E9F" w:rsidRDefault="004E7E9F" w:rsidP="004E7E9F">
            <w:r w:rsidRPr="002F5B14">
              <w:rPr>
                <w:rFonts w:ascii="Palatino Linotype" w:eastAsia="Calibri" w:hAnsi="Palatino Linotype" w:cs="Tahoma"/>
                <w:sz w:val="14"/>
                <w:szCs w:val="14"/>
                <w:lang w:eastAsia="es-ES_tradnl"/>
              </w:rPr>
              <w:t>Falta el  inciso i</w:t>
            </w:r>
          </w:p>
        </w:tc>
        <w:tc>
          <w:tcPr>
            <w:tcW w:w="851" w:type="dxa"/>
          </w:tcPr>
          <w:p w:rsidR="004E7E9F" w:rsidRDefault="004E7E9F" w:rsidP="004E7E9F">
            <w:r w:rsidRPr="002F5B14">
              <w:rPr>
                <w:rFonts w:ascii="Palatino Linotype" w:eastAsia="Calibri" w:hAnsi="Palatino Linotype" w:cs="Tahoma"/>
                <w:sz w:val="14"/>
                <w:szCs w:val="14"/>
                <w:lang w:eastAsia="es-ES_tradnl"/>
              </w:rPr>
              <w:t>Falta el  inciso i</w:t>
            </w:r>
          </w:p>
        </w:tc>
        <w:tc>
          <w:tcPr>
            <w:tcW w:w="850" w:type="dxa"/>
          </w:tcPr>
          <w:p w:rsidR="004E7E9F" w:rsidRDefault="004E7E9F" w:rsidP="004E7E9F">
            <w:r w:rsidRPr="002F5B14">
              <w:rPr>
                <w:rFonts w:ascii="Palatino Linotype" w:eastAsia="Calibri" w:hAnsi="Palatino Linotype" w:cs="Tahoma"/>
                <w:sz w:val="14"/>
                <w:szCs w:val="14"/>
                <w:lang w:eastAsia="es-ES_tradnl"/>
              </w:rPr>
              <w:t>Falta el  inciso i</w:t>
            </w:r>
          </w:p>
        </w:tc>
        <w:tc>
          <w:tcPr>
            <w:tcW w:w="897" w:type="dxa"/>
          </w:tcPr>
          <w:p w:rsidR="004E7E9F" w:rsidRDefault="004E7E9F" w:rsidP="004E7E9F">
            <w:r w:rsidRPr="002F5B14">
              <w:rPr>
                <w:rFonts w:ascii="Palatino Linotype" w:eastAsia="Calibri" w:hAnsi="Palatino Linotype" w:cs="Tahoma"/>
                <w:sz w:val="14"/>
                <w:szCs w:val="14"/>
                <w:lang w:eastAsia="es-ES_tradnl"/>
              </w:rPr>
              <w:t>Falta el  inciso i</w:t>
            </w:r>
          </w:p>
        </w:tc>
        <w:tc>
          <w:tcPr>
            <w:tcW w:w="850" w:type="dxa"/>
          </w:tcPr>
          <w:p w:rsidR="004E7E9F" w:rsidRDefault="004E7E9F" w:rsidP="004E7E9F">
            <w:r w:rsidRPr="002F5B14">
              <w:rPr>
                <w:rFonts w:ascii="Palatino Linotype" w:eastAsia="Calibri" w:hAnsi="Palatino Linotype" w:cs="Tahoma"/>
                <w:sz w:val="14"/>
                <w:szCs w:val="14"/>
                <w:lang w:eastAsia="es-ES_tradnl"/>
              </w:rPr>
              <w:t>Falta el  inciso i</w:t>
            </w:r>
          </w:p>
        </w:tc>
        <w:tc>
          <w:tcPr>
            <w:tcW w:w="851" w:type="dxa"/>
          </w:tcPr>
          <w:p w:rsidR="004E7E9F" w:rsidRDefault="004E7E9F" w:rsidP="004E7E9F">
            <w:r w:rsidRPr="002F5B14">
              <w:rPr>
                <w:rFonts w:ascii="Palatino Linotype" w:eastAsia="Calibri" w:hAnsi="Palatino Linotype" w:cs="Tahoma"/>
                <w:sz w:val="14"/>
                <w:szCs w:val="14"/>
                <w:lang w:eastAsia="es-ES_tradnl"/>
              </w:rPr>
              <w:t>Falta el  inciso i</w:t>
            </w:r>
          </w:p>
        </w:tc>
        <w:tc>
          <w:tcPr>
            <w:tcW w:w="850" w:type="dxa"/>
          </w:tcPr>
          <w:p w:rsidR="004E7E9F" w:rsidRDefault="004E7E9F" w:rsidP="004E7E9F">
            <w:r w:rsidRPr="002F5B14">
              <w:rPr>
                <w:rFonts w:ascii="Palatino Linotype" w:eastAsia="Calibri" w:hAnsi="Palatino Linotype" w:cs="Tahoma"/>
                <w:sz w:val="14"/>
                <w:szCs w:val="14"/>
                <w:lang w:eastAsia="es-ES_tradnl"/>
              </w:rPr>
              <w:t>Falta el  inciso i</w:t>
            </w:r>
          </w:p>
        </w:tc>
        <w:tc>
          <w:tcPr>
            <w:tcW w:w="850" w:type="dxa"/>
          </w:tcPr>
          <w:p w:rsidR="004E7E9F" w:rsidRDefault="004E7E9F" w:rsidP="004E7E9F">
            <w:r w:rsidRPr="002F5B14">
              <w:rPr>
                <w:rFonts w:ascii="Palatino Linotype" w:eastAsia="Calibri" w:hAnsi="Palatino Linotype" w:cs="Tahoma"/>
                <w:sz w:val="14"/>
                <w:szCs w:val="14"/>
                <w:lang w:eastAsia="es-ES_tradnl"/>
              </w:rPr>
              <w:t>Falta el  inciso i</w:t>
            </w:r>
          </w:p>
        </w:tc>
        <w:tc>
          <w:tcPr>
            <w:tcW w:w="851" w:type="dxa"/>
          </w:tcPr>
          <w:p w:rsidR="004E7E9F" w:rsidRDefault="004E7E9F" w:rsidP="004E7E9F">
            <w:r w:rsidRPr="002F5B14">
              <w:rPr>
                <w:rFonts w:ascii="Palatino Linotype" w:eastAsia="Calibri" w:hAnsi="Palatino Linotype" w:cs="Tahoma"/>
                <w:sz w:val="14"/>
                <w:szCs w:val="14"/>
                <w:lang w:eastAsia="es-ES_tradnl"/>
              </w:rPr>
              <w:t>Falta el  inciso i</w:t>
            </w:r>
          </w:p>
        </w:tc>
        <w:tc>
          <w:tcPr>
            <w:tcW w:w="850" w:type="dxa"/>
          </w:tcPr>
          <w:p w:rsidR="004E7E9F" w:rsidRDefault="004E7E9F" w:rsidP="004E7E9F">
            <w:r w:rsidRPr="002F5B14">
              <w:rPr>
                <w:rFonts w:ascii="Palatino Linotype" w:eastAsia="Calibri" w:hAnsi="Palatino Linotype" w:cs="Tahoma"/>
                <w:sz w:val="14"/>
                <w:szCs w:val="14"/>
                <w:lang w:eastAsia="es-ES_tradnl"/>
              </w:rPr>
              <w:t>Falta el  inciso i</w:t>
            </w:r>
          </w:p>
        </w:tc>
        <w:tc>
          <w:tcPr>
            <w:tcW w:w="992" w:type="dxa"/>
          </w:tcPr>
          <w:p w:rsidR="004E7E9F" w:rsidRPr="00A06FDD" w:rsidRDefault="004E7E9F" w:rsidP="004E7E9F">
            <w:pPr>
              <w:spacing w:line="360" w:lineRule="auto"/>
              <w:jc w:val="both"/>
              <w:rPr>
                <w:rFonts w:ascii="Palatino Linotype" w:eastAsia="Calibri" w:hAnsi="Palatino Linotype" w:cs="Tahoma"/>
                <w:sz w:val="14"/>
                <w:szCs w:val="14"/>
                <w:lang w:eastAsia="es-ES_tradnl"/>
              </w:rPr>
            </w:pPr>
            <w:r>
              <w:rPr>
                <w:rFonts w:ascii="Palatino Linotype" w:eastAsia="Calibri" w:hAnsi="Palatino Linotype" w:cs="Tahoma"/>
                <w:sz w:val="14"/>
                <w:szCs w:val="14"/>
                <w:lang w:eastAsia="es-ES_tradnl"/>
              </w:rPr>
              <w:t>Falta el  inciso i</w:t>
            </w:r>
          </w:p>
        </w:tc>
      </w:tr>
      <w:tr w:rsidR="004E7E9F" w:rsidRPr="00193E28" w:rsidTr="006665A0">
        <w:tc>
          <w:tcPr>
            <w:tcW w:w="531" w:type="dxa"/>
          </w:tcPr>
          <w:p w:rsidR="004E7E9F" w:rsidRPr="00A06FDD" w:rsidRDefault="004E7E9F" w:rsidP="004E7E9F">
            <w:pPr>
              <w:contextualSpacing/>
              <w:jc w:val="both"/>
              <w:rPr>
                <w:rFonts w:ascii="Palatino Linotype" w:eastAsia="Calibri" w:hAnsi="Palatino Linotype" w:cs="Tahoma"/>
                <w:sz w:val="14"/>
                <w:szCs w:val="14"/>
                <w:lang w:eastAsia="es-ES_tradnl"/>
              </w:rPr>
            </w:pPr>
            <w:r w:rsidRPr="00A06FDD">
              <w:rPr>
                <w:rFonts w:ascii="Palatino Linotype" w:eastAsia="Calibri" w:hAnsi="Palatino Linotype" w:cs="Tahoma"/>
                <w:sz w:val="14"/>
                <w:szCs w:val="14"/>
                <w:lang w:eastAsia="es-ES_tradnl"/>
              </w:rPr>
              <w:t>2021</w:t>
            </w:r>
          </w:p>
        </w:tc>
        <w:tc>
          <w:tcPr>
            <w:tcW w:w="882" w:type="dxa"/>
          </w:tcPr>
          <w:p w:rsidR="004E7E9F" w:rsidRDefault="004E7E9F" w:rsidP="004E7E9F">
            <w:r w:rsidRPr="0053750C">
              <w:rPr>
                <w:rFonts w:ascii="Palatino Linotype" w:eastAsia="Calibri" w:hAnsi="Palatino Linotype" w:cs="Tahoma"/>
                <w:sz w:val="14"/>
                <w:szCs w:val="14"/>
                <w:lang w:eastAsia="es-ES_tradnl"/>
              </w:rPr>
              <w:t>Falta el  inciso i</w:t>
            </w:r>
          </w:p>
        </w:tc>
        <w:tc>
          <w:tcPr>
            <w:tcW w:w="850" w:type="dxa"/>
          </w:tcPr>
          <w:p w:rsidR="004E7E9F" w:rsidRDefault="004E7E9F" w:rsidP="004E7E9F">
            <w:r w:rsidRPr="0053750C">
              <w:rPr>
                <w:rFonts w:ascii="Palatino Linotype" w:eastAsia="Calibri" w:hAnsi="Palatino Linotype" w:cs="Tahoma"/>
                <w:sz w:val="14"/>
                <w:szCs w:val="14"/>
                <w:lang w:eastAsia="es-ES_tradnl"/>
              </w:rPr>
              <w:t>Falta el  inciso i</w:t>
            </w:r>
          </w:p>
        </w:tc>
        <w:tc>
          <w:tcPr>
            <w:tcW w:w="851" w:type="dxa"/>
          </w:tcPr>
          <w:p w:rsidR="004E7E9F" w:rsidRDefault="004E7E9F" w:rsidP="004E7E9F">
            <w:r w:rsidRPr="0053750C">
              <w:rPr>
                <w:rFonts w:ascii="Palatino Linotype" w:eastAsia="Calibri" w:hAnsi="Palatino Linotype" w:cs="Tahoma"/>
                <w:sz w:val="14"/>
                <w:szCs w:val="14"/>
                <w:lang w:eastAsia="es-ES_tradnl"/>
              </w:rPr>
              <w:t>Falta el  inciso i</w:t>
            </w:r>
          </w:p>
        </w:tc>
        <w:tc>
          <w:tcPr>
            <w:tcW w:w="850" w:type="dxa"/>
          </w:tcPr>
          <w:p w:rsidR="004E7E9F" w:rsidRDefault="004E7E9F" w:rsidP="004E7E9F">
            <w:r w:rsidRPr="0053750C">
              <w:rPr>
                <w:rFonts w:ascii="Palatino Linotype" w:eastAsia="Calibri" w:hAnsi="Palatino Linotype" w:cs="Tahoma"/>
                <w:sz w:val="14"/>
                <w:szCs w:val="14"/>
                <w:lang w:eastAsia="es-ES_tradnl"/>
              </w:rPr>
              <w:t>Falta el  inciso i</w:t>
            </w:r>
          </w:p>
        </w:tc>
        <w:tc>
          <w:tcPr>
            <w:tcW w:w="897" w:type="dxa"/>
          </w:tcPr>
          <w:p w:rsidR="004E7E9F" w:rsidRDefault="004E7E9F" w:rsidP="004E7E9F">
            <w:r w:rsidRPr="0053750C">
              <w:rPr>
                <w:rFonts w:ascii="Palatino Linotype" w:eastAsia="Calibri" w:hAnsi="Palatino Linotype" w:cs="Tahoma"/>
                <w:sz w:val="14"/>
                <w:szCs w:val="14"/>
                <w:lang w:eastAsia="es-ES_tradnl"/>
              </w:rPr>
              <w:t>Falta el  inciso i</w:t>
            </w:r>
          </w:p>
        </w:tc>
        <w:tc>
          <w:tcPr>
            <w:tcW w:w="850" w:type="dxa"/>
          </w:tcPr>
          <w:p w:rsidR="004E7E9F" w:rsidRDefault="004E7E9F" w:rsidP="004E7E9F">
            <w:r w:rsidRPr="0053750C">
              <w:rPr>
                <w:rFonts w:ascii="Palatino Linotype" w:eastAsia="Calibri" w:hAnsi="Palatino Linotype" w:cs="Tahoma"/>
                <w:sz w:val="14"/>
                <w:szCs w:val="14"/>
                <w:lang w:eastAsia="es-ES_tradnl"/>
              </w:rPr>
              <w:t>Falta el  inciso i</w:t>
            </w:r>
          </w:p>
        </w:tc>
        <w:tc>
          <w:tcPr>
            <w:tcW w:w="851" w:type="dxa"/>
          </w:tcPr>
          <w:p w:rsidR="004E7E9F" w:rsidRDefault="004E7E9F" w:rsidP="004E7E9F">
            <w:r w:rsidRPr="0053750C">
              <w:rPr>
                <w:rFonts w:ascii="Palatino Linotype" w:eastAsia="Calibri" w:hAnsi="Palatino Linotype" w:cs="Tahoma"/>
                <w:sz w:val="14"/>
                <w:szCs w:val="14"/>
                <w:lang w:eastAsia="es-ES_tradnl"/>
              </w:rPr>
              <w:t>Falta el  inciso i</w:t>
            </w:r>
          </w:p>
        </w:tc>
        <w:tc>
          <w:tcPr>
            <w:tcW w:w="850" w:type="dxa"/>
          </w:tcPr>
          <w:p w:rsidR="004E7E9F" w:rsidRDefault="004E7E9F" w:rsidP="004E7E9F">
            <w:r w:rsidRPr="0053750C">
              <w:rPr>
                <w:rFonts w:ascii="Palatino Linotype" w:eastAsia="Calibri" w:hAnsi="Palatino Linotype" w:cs="Tahoma"/>
                <w:sz w:val="14"/>
                <w:szCs w:val="14"/>
                <w:lang w:eastAsia="es-ES_tradnl"/>
              </w:rPr>
              <w:t>Falta el  inciso i</w:t>
            </w:r>
          </w:p>
        </w:tc>
        <w:tc>
          <w:tcPr>
            <w:tcW w:w="850" w:type="dxa"/>
          </w:tcPr>
          <w:p w:rsidR="004E7E9F" w:rsidRDefault="004E7E9F" w:rsidP="004E7E9F">
            <w:r w:rsidRPr="0044249B">
              <w:rPr>
                <w:rFonts w:ascii="Palatino Linotype" w:eastAsia="Calibri" w:hAnsi="Palatino Linotype" w:cs="Tahoma"/>
                <w:sz w:val="14"/>
                <w:szCs w:val="14"/>
                <w:lang w:eastAsia="es-ES_tradnl"/>
              </w:rPr>
              <w:t>Fuera de la temporalidad de la solicitud</w:t>
            </w:r>
          </w:p>
        </w:tc>
        <w:tc>
          <w:tcPr>
            <w:tcW w:w="851" w:type="dxa"/>
          </w:tcPr>
          <w:p w:rsidR="004E7E9F" w:rsidRDefault="004E7E9F" w:rsidP="004E7E9F">
            <w:r w:rsidRPr="0044249B">
              <w:rPr>
                <w:rFonts w:ascii="Palatino Linotype" w:eastAsia="Calibri" w:hAnsi="Palatino Linotype" w:cs="Tahoma"/>
                <w:sz w:val="14"/>
                <w:szCs w:val="14"/>
                <w:lang w:eastAsia="es-ES_tradnl"/>
              </w:rPr>
              <w:t>Fuera de la temporalidad de la solicitud</w:t>
            </w:r>
          </w:p>
        </w:tc>
        <w:tc>
          <w:tcPr>
            <w:tcW w:w="850" w:type="dxa"/>
          </w:tcPr>
          <w:p w:rsidR="004E7E9F" w:rsidRDefault="004E7E9F" w:rsidP="004E7E9F">
            <w:r w:rsidRPr="0044249B">
              <w:rPr>
                <w:rFonts w:ascii="Palatino Linotype" w:eastAsia="Calibri" w:hAnsi="Palatino Linotype" w:cs="Tahoma"/>
                <w:sz w:val="14"/>
                <w:szCs w:val="14"/>
                <w:lang w:eastAsia="es-ES_tradnl"/>
              </w:rPr>
              <w:t>Fuera de la temporalidad de la solicitud</w:t>
            </w:r>
          </w:p>
        </w:tc>
        <w:tc>
          <w:tcPr>
            <w:tcW w:w="992" w:type="dxa"/>
          </w:tcPr>
          <w:p w:rsidR="004E7E9F" w:rsidRPr="00A06FDD" w:rsidRDefault="004E7E9F" w:rsidP="004E7E9F">
            <w:pPr>
              <w:spacing w:line="360" w:lineRule="auto"/>
              <w:jc w:val="both"/>
              <w:rPr>
                <w:rFonts w:ascii="Palatino Linotype" w:eastAsia="Calibri" w:hAnsi="Palatino Linotype" w:cs="Tahoma"/>
                <w:sz w:val="14"/>
                <w:szCs w:val="14"/>
                <w:lang w:eastAsia="es-ES_tradnl"/>
              </w:rPr>
            </w:pPr>
            <w:r>
              <w:rPr>
                <w:rFonts w:ascii="Palatino Linotype" w:eastAsia="Calibri" w:hAnsi="Palatino Linotype" w:cs="Tahoma"/>
                <w:sz w:val="14"/>
                <w:szCs w:val="14"/>
                <w:lang w:eastAsia="es-ES_tradnl"/>
              </w:rPr>
              <w:t>Fuera de la temporalidad de la solicitud</w:t>
            </w:r>
          </w:p>
        </w:tc>
      </w:tr>
    </w:tbl>
    <w:p w:rsidR="00DF05DA" w:rsidRDefault="00DF05DA" w:rsidP="004A51BD">
      <w:pPr>
        <w:spacing w:line="360" w:lineRule="auto"/>
        <w:jc w:val="both"/>
        <w:rPr>
          <w:rFonts w:ascii="Palatino Linotype" w:eastAsia="Calibri" w:hAnsi="Palatino Linotype" w:cs="Tahoma"/>
          <w:lang w:eastAsia="es-ES_tradnl"/>
        </w:rPr>
      </w:pPr>
    </w:p>
    <w:p w:rsidR="00DD231D" w:rsidRDefault="00B26E11" w:rsidP="004E7E9F">
      <w:pPr>
        <w:spacing w:line="360" w:lineRule="auto"/>
        <w:jc w:val="both"/>
        <w:rPr>
          <w:rFonts w:ascii="Palatino Linotype" w:eastAsia="Calibri" w:hAnsi="Palatino Linotype" w:cs="Tahoma"/>
          <w:lang w:eastAsia="es-ES_tradnl"/>
        </w:rPr>
      </w:pPr>
      <w:r>
        <w:rPr>
          <w:rFonts w:ascii="Palatino Linotype" w:eastAsia="Calibri" w:hAnsi="Palatino Linotype" w:cs="Tahoma"/>
          <w:lang w:eastAsia="es-ES_tradnl"/>
        </w:rPr>
        <w:t xml:space="preserve">De ahí que, </w:t>
      </w:r>
      <w:r w:rsidR="006665A0">
        <w:rPr>
          <w:rFonts w:ascii="Palatino Linotype" w:eastAsia="Calibri" w:hAnsi="Palatino Linotype" w:cs="Tahoma"/>
          <w:lang w:eastAsia="es-ES_tradnl"/>
        </w:rPr>
        <w:t xml:space="preserve">y de acuerdo a lo que debe contener la constancia de liquidación de participaciones, alusiva, hay indicios que la información por los conceptos  </w:t>
      </w:r>
      <w:r>
        <w:rPr>
          <w:rFonts w:ascii="Palatino Linotype" w:eastAsia="Calibri" w:hAnsi="Palatino Linotype" w:cs="Tahoma"/>
          <w:lang w:eastAsia="es-ES_tradnl"/>
        </w:rPr>
        <w:t>de ISSEMYM, Impuesto Sobre la Renta y Energía Eléctrica con la Comisión Federal de Electricidad</w:t>
      </w:r>
      <w:r w:rsidR="004630DC">
        <w:rPr>
          <w:rFonts w:ascii="Palatino Linotype" w:eastAsia="Calibri" w:hAnsi="Palatino Linotype" w:cs="Tahoma"/>
          <w:lang w:eastAsia="es-ES_tradnl"/>
        </w:rPr>
        <w:t xml:space="preserve">, </w:t>
      </w:r>
      <w:r w:rsidR="00606693">
        <w:rPr>
          <w:rFonts w:ascii="Palatino Linotype" w:eastAsia="Calibri" w:hAnsi="Palatino Linotype" w:cs="Tahoma"/>
          <w:lang w:eastAsia="es-ES_tradnl"/>
        </w:rPr>
        <w:t>puedo</w:t>
      </w:r>
      <w:r w:rsidR="006665A0">
        <w:rPr>
          <w:rFonts w:ascii="Palatino Linotype" w:eastAsia="Calibri" w:hAnsi="Palatino Linotype" w:cs="Tahoma"/>
          <w:lang w:eastAsia="es-ES_tradnl"/>
        </w:rPr>
        <w:t xml:space="preserve"> haber sido generada</w:t>
      </w:r>
      <w:r w:rsidR="00577DEA">
        <w:rPr>
          <w:rFonts w:ascii="Palatino Linotype" w:eastAsia="Calibri" w:hAnsi="Palatino Linotype" w:cs="Tahoma"/>
          <w:lang w:eastAsia="es-ES_tradnl"/>
        </w:rPr>
        <w:t xml:space="preserve"> por cada mes desde el año 2013 al 2021</w:t>
      </w:r>
      <w:r w:rsidR="006665A0">
        <w:rPr>
          <w:rFonts w:ascii="Palatino Linotype" w:eastAsia="Calibri" w:hAnsi="Palatino Linotype" w:cs="Tahoma"/>
          <w:lang w:eastAsia="es-ES_tradnl"/>
        </w:rPr>
        <w:t xml:space="preserve">; </w:t>
      </w:r>
      <w:r w:rsidR="00606693">
        <w:rPr>
          <w:rFonts w:ascii="Palatino Linotype" w:eastAsia="Calibri" w:hAnsi="Palatino Linotype" w:cs="Tahoma"/>
          <w:lang w:eastAsia="es-ES_tradnl"/>
        </w:rPr>
        <w:t>sin embargo, como se indica que para el llenado de la constancia se deberá incluir, en su caso, las afectaciones que correspondan a los incisos “a” a la “j”, lo que significa que no es una obligación que se incluya en la constancia cada uno de los incisos y</w:t>
      </w:r>
      <w:r w:rsidR="00DD231D">
        <w:rPr>
          <w:rFonts w:ascii="Palatino Linotype" w:eastAsia="Calibri" w:hAnsi="Palatino Linotype" w:cs="Tahoma"/>
          <w:lang w:eastAsia="es-ES_tradnl"/>
        </w:rPr>
        <w:t xml:space="preserve"> se incluirán</w:t>
      </w:r>
      <w:r w:rsidR="00606693">
        <w:rPr>
          <w:rFonts w:ascii="Palatino Linotype" w:eastAsia="Calibri" w:hAnsi="Palatino Linotype" w:cs="Tahoma"/>
          <w:lang w:eastAsia="es-ES_tradnl"/>
        </w:rPr>
        <w:t xml:space="preserve"> sólo las</w:t>
      </w:r>
      <w:r w:rsidR="00DD231D">
        <w:rPr>
          <w:rFonts w:ascii="Palatino Linotype" w:eastAsia="Calibri" w:hAnsi="Palatino Linotype" w:cs="Tahoma"/>
          <w:lang w:eastAsia="es-ES_tradnl"/>
        </w:rPr>
        <w:t xml:space="preserve"> afectaciones que correspondan, de ahí que, se tienen por aceptada la información correspondiente a las constancias de liquidación de participaciones del mes de enero del año dos mil dieciséis al mes de julio del año dos mil veintiuno, ya que se presume que los inciso que no se observan no fueron generados, como se observa en la siguiente imagen de la liga proporcionada por el Sujeto Obligado:</w:t>
      </w:r>
    </w:p>
    <w:p w:rsidR="00DD231D" w:rsidRDefault="00DD231D" w:rsidP="004E7E9F">
      <w:pPr>
        <w:spacing w:line="360" w:lineRule="auto"/>
        <w:jc w:val="both"/>
        <w:rPr>
          <w:noProof/>
          <w:lang w:val="es-MX" w:eastAsia="es-MX"/>
        </w:rPr>
      </w:pPr>
    </w:p>
    <w:p w:rsidR="00DD231D" w:rsidRPr="00DD231D" w:rsidRDefault="00DD231D" w:rsidP="004E7E9F">
      <w:pPr>
        <w:spacing w:line="360" w:lineRule="auto"/>
        <w:jc w:val="both"/>
        <w:rPr>
          <w:rFonts w:ascii="Palatino Linotype" w:eastAsia="Calibri" w:hAnsi="Palatino Linotype" w:cs="Tahoma"/>
          <w:lang w:eastAsia="es-ES_tradnl"/>
        </w:rPr>
      </w:pPr>
      <w:r>
        <w:rPr>
          <w:noProof/>
          <w:lang w:val="es-MX" w:eastAsia="es-MX"/>
        </w:rPr>
        <w:drawing>
          <wp:inline distT="0" distB="0" distL="0" distR="0" wp14:anchorId="72EF5B88" wp14:editId="0DFFDF66">
            <wp:extent cx="5475194" cy="1651379"/>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7355" r="47778" b="68437"/>
                    <a:stretch/>
                  </pic:blipFill>
                  <pic:spPr bwMode="auto">
                    <a:xfrm>
                      <a:off x="0" y="0"/>
                      <a:ext cx="5561066" cy="1677279"/>
                    </a:xfrm>
                    <a:prstGeom prst="rect">
                      <a:avLst/>
                    </a:prstGeom>
                    <a:ln>
                      <a:noFill/>
                    </a:ln>
                    <a:extLst>
                      <a:ext uri="{53640926-AAD7-44D8-BBD7-CCE9431645EC}">
                        <a14:shadowObscured xmlns:a14="http://schemas.microsoft.com/office/drawing/2010/main"/>
                      </a:ext>
                    </a:extLst>
                  </pic:spPr>
                </pic:pic>
              </a:graphicData>
            </a:graphic>
          </wp:inline>
        </w:drawing>
      </w:r>
    </w:p>
    <w:p w:rsidR="004E7E9F" w:rsidRDefault="004E7E9F" w:rsidP="004E7E9F">
      <w:pPr>
        <w:spacing w:before="240" w:after="240"/>
        <w:contextualSpacing/>
        <w:jc w:val="both"/>
        <w:rPr>
          <w:rFonts w:ascii="Palatino Linotype" w:eastAsia="Palatino Linotype" w:hAnsi="Palatino Linotype" w:cs="Palatino Linotype"/>
          <w:color w:val="000000"/>
          <w:sz w:val="20"/>
          <w:szCs w:val="20"/>
        </w:rPr>
      </w:pPr>
    </w:p>
    <w:p w:rsidR="004E7E9F" w:rsidRDefault="004E7E9F" w:rsidP="004A51BD">
      <w:pPr>
        <w:spacing w:line="360" w:lineRule="auto"/>
        <w:jc w:val="both"/>
        <w:rPr>
          <w:rFonts w:ascii="Palatino Linotype" w:eastAsia="Calibri" w:hAnsi="Palatino Linotype" w:cs="Tahoma"/>
          <w:lang w:eastAsia="es-ES_tradnl"/>
        </w:rPr>
      </w:pPr>
    </w:p>
    <w:p w:rsidR="006665A0" w:rsidRDefault="00577DEA" w:rsidP="004A51BD">
      <w:pPr>
        <w:spacing w:line="360" w:lineRule="auto"/>
        <w:jc w:val="both"/>
        <w:rPr>
          <w:rFonts w:ascii="Palatino Linotype" w:eastAsia="Calibri" w:hAnsi="Palatino Linotype" w:cs="Tahoma"/>
          <w:lang w:eastAsia="es-ES_tradnl"/>
        </w:rPr>
      </w:pPr>
      <w:r>
        <w:rPr>
          <w:rFonts w:ascii="Palatino Linotype" w:eastAsia="Calibri" w:hAnsi="Palatino Linotype" w:cs="Tahoma"/>
          <w:lang w:eastAsia="es-ES_tradnl"/>
        </w:rPr>
        <w:lastRenderedPageBreak/>
        <w:t xml:space="preserve">Por consiguiente las multirreferidas </w:t>
      </w:r>
      <w:r w:rsidR="006665A0">
        <w:rPr>
          <w:rFonts w:ascii="Palatino Linotype" w:eastAsia="Calibri" w:hAnsi="Palatino Linotype" w:cs="Tahoma"/>
          <w:lang w:eastAsia="es-ES_tradnl"/>
        </w:rPr>
        <w:t>constancias de liquidación de participación r</w:t>
      </w:r>
      <w:r>
        <w:rPr>
          <w:rFonts w:ascii="Palatino Linotype" w:eastAsia="Calibri" w:hAnsi="Palatino Linotype" w:cs="Tahoma"/>
          <w:lang w:eastAsia="es-ES_tradnl"/>
        </w:rPr>
        <w:t>emitidas por el Sujeto Obligado, son incompletas</w:t>
      </w:r>
      <w:r w:rsidR="00DD231D">
        <w:rPr>
          <w:rFonts w:ascii="Palatino Linotype" w:eastAsia="Calibri" w:hAnsi="Palatino Linotype" w:cs="Tahoma"/>
          <w:lang w:eastAsia="es-ES_tradnl"/>
        </w:rPr>
        <w:t xml:space="preserve"> ya que faltaron los años 2013 al 2015.</w:t>
      </w:r>
    </w:p>
    <w:p w:rsidR="006665A0" w:rsidRDefault="006665A0" w:rsidP="00C52873">
      <w:pPr>
        <w:spacing w:line="360" w:lineRule="auto"/>
        <w:ind w:right="-93"/>
        <w:jc w:val="both"/>
        <w:rPr>
          <w:rFonts w:ascii="Palatino Linotype" w:eastAsia="Palatino Linotype" w:hAnsi="Palatino Linotype" w:cs="Palatino Linotype"/>
        </w:rPr>
      </w:pPr>
    </w:p>
    <w:p w:rsidR="009A7838" w:rsidRDefault="0034594D" w:rsidP="00C52873">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*De igual forma</w:t>
      </w:r>
      <w:r w:rsidR="00DD231D">
        <w:rPr>
          <w:rFonts w:ascii="Palatino Linotype" w:eastAsia="Palatino Linotype" w:hAnsi="Palatino Linotype" w:cs="Palatino Linotype"/>
        </w:rPr>
        <w:t>,</w:t>
      </w:r>
      <w:r>
        <w:rPr>
          <w:rFonts w:ascii="Palatino Linotype" w:eastAsia="Palatino Linotype" w:hAnsi="Palatino Linotype" w:cs="Palatino Linotype"/>
        </w:rPr>
        <w:t xml:space="preserve"> el Sujeto Obligado entregó el documento que da cuenta a las aportaciones y participaciones del ramo general 33 desde el año 2013 al 2021, </w:t>
      </w:r>
      <w:r>
        <w:rPr>
          <w:rFonts w:ascii="Palatino Linotype" w:hAnsi="Palatino Linotype"/>
        </w:rPr>
        <w:t xml:space="preserve">realizadas a los Ayuntamientos de Toluca y Naucalpan; </w:t>
      </w:r>
      <w:r>
        <w:rPr>
          <w:rFonts w:ascii="Palatino Linotype" w:eastAsia="Palatino Linotype" w:hAnsi="Palatino Linotype" w:cs="Palatino Linotype"/>
        </w:rPr>
        <w:t>faltando la información correspondiente al ramo 28 desde el año 2013 al dos de agosto del 2021 (fecha de la solicitud), de estos municipios.</w:t>
      </w:r>
    </w:p>
    <w:p w:rsidR="0034594D" w:rsidRDefault="0034594D" w:rsidP="00C52873">
      <w:pPr>
        <w:spacing w:line="360" w:lineRule="auto"/>
        <w:ind w:right="-93"/>
        <w:jc w:val="both"/>
        <w:rPr>
          <w:rFonts w:ascii="Palatino Linotype" w:eastAsia="Palatino Linotype" w:hAnsi="Palatino Linotype" w:cs="Palatino Linotype"/>
        </w:rPr>
      </w:pPr>
    </w:p>
    <w:p w:rsidR="0034594D" w:rsidRDefault="0034594D" w:rsidP="0034594D">
      <w:pPr>
        <w:spacing w:line="360" w:lineRule="auto"/>
        <w:jc w:val="both"/>
        <w:rPr>
          <w:rFonts w:ascii="Palatino Linotype" w:hAnsi="Palatino Linotype"/>
        </w:rPr>
      </w:pPr>
      <w:r w:rsidRPr="00A22CC2">
        <w:rPr>
          <w:rFonts w:ascii="Palatino Linotype" w:hAnsi="Palatino Linotype"/>
        </w:rPr>
        <w:t xml:space="preserve">Razones por las cuales, lo dable es ordenar el o los documentos, que den cuenta de las aportaciones y particiones de acuerdo al Ramo General 28 del año 2013 al dos de agosto del año 2021, y las constancias de aportaciones y participaciones </w:t>
      </w:r>
      <w:r w:rsidRPr="00A22CC2">
        <w:rPr>
          <w:rFonts w:ascii="Palatino Linotype" w:eastAsia="Calibri" w:hAnsi="Palatino Linotype" w:cs="Tahoma"/>
          <w:lang w:eastAsia="es-ES_tradnl"/>
        </w:rPr>
        <w:t xml:space="preserve">del primero de enero del año 2013 al </w:t>
      </w:r>
      <w:r w:rsidR="006665A0">
        <w:rPr>
          <w:rFonts w:ascii="Palatino Linotype" w:eastAsia="Calibri" w:hAnsi="Palatino Linotype" w:cs="Tahoma"/>
          <w:lang w:eastAsia="es-ES_tradnl"/>
        </w:rPr>
        <w:t>mes de julio del año 2021</w:t>
      </w:r>
      <w:r w:rsidRPr="00A22CC2">
        <w:rPr>
          <w:rFonts w:ascii="Palatino Linotype" w:eastAsia="Calibri" w:hAnsi="Palatino Linotype" w:cs="Tahoma"/>
          <w:lang w:eastAsia="es-ES_tradnl"/>
        </w:rPr>
        <w:t xml:space="preserve">; </w:t>
      </w:r>
      <w:r w:rsidRPr="00A22CC2">
        <w:rPr>
          <w:rFonts w:ascii="Palatino Linotype" w:hAnsi="Palatino Linotype"/>
        </w:rPr>
        <w:t>realizadas a los Ayuntamientos de Toluca y Naucalpan, de ser procedente en términos de lo señalado por el considerando quinto del presente fallo.</w:t>
      </w:r>
    </w:p>
    <w:p w:rsidR="002F1956" w:rsidRDefault="0034594D" w:rsidP="002F1956">
      <w:pPr>
        <w:autoSpaceDE w:val="0"/>
        <w:autoSpaceDN w:val="0"/>
        <w:adjustRightInd w:val="0"/>
        <w:spacing w:before="240" w:after="240" w:line="360" w:lineRule="auto"/>
        <w:jc w:val="both"/>
        <w:rPr>
          <w:rFonts w:ascii="Palatino Linotype" w:hAnsi="Palatino Linotype"/>
          <w:lang w:eastAsia="es-MX"/>
        </w:rPr>
      </w:pPr>
      <w:r>
        <w:rPr>
          <w:rFonts w:ascii="Palatino Linotype" w:eastAsia="Palatino Linotype" w:hAnsi="Palatino Linotype" w:cs="Palatino Linotype"/>
        </w:rPr>
        <w:t>No pasa desapercibido, que s</w:t>
      </w:r>
      <w:r>
        <w:rPr>
          <w:rFonts w:ascii="Palatino Linotype" w:hAnsi="Palatino Linotype"/>
        </w:rPr>
        <w:t xml:space="preserve">obre la información entregada en respuesta por el </w:t>
      </w:r>
      <w:r w:rsidR="002F1956">
        <w:rPr>
          <w:rFonts w:ascii="Palatino Linotype" w:hAnsi="Palatino Linotype"/>
          <w:b/>
          <w:lang w:eastAsia="es-MX"/>
        </w:rPr>
        <w:t>Sujeto Obligado</w:t>
      </w:r>
      <w:r w:rsidR="002F1956">
        <w:rPr>
          <w:rFonts w:ascii="Palatino Linotype" w:hAnsi="Palatino Linotype"/>
          <w:lang w:eastAsia="es-MX"/>
        </w:rPr>
        <w:t>, este Órgano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rsidR="002F1956" w:rsidRDefault="002F1956" w:rsidP="002F1956">
      <w:pPr>
        <w:spacing w:before="120" w:after="120"/>
        <w:ind w:left="851" w:right="851"/>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 xml:space="preserve">El Instituto Federal de Acceso a la Información y Protección de Datos no cuenta con facultades para pronunciarse respecto de la veracidad de los </w:t>
      </w:r>
      <w:r>
        <w:rPr>
          <w:rFonts w:ascii="Palatino Linotype" w:hAnsi="Palatino Linotype"/>
          <w:b/>
          <w:i/>
          <w:sz w:val="22"/>
          <w:szCs w:val="22"/>
        </w:rPr>
        <w:lastRenderedPageBreak/>
        <w:t>documentos proporcionados por los sujetos obligados.</w:t>
      </w:r>
      <w:r>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2F1956" w:rsidRDefault="002F1956" w:rsidP="002F1956">
      <w:pPr>
        <w:pStyle w:val="Prrafodelista"/>
        <w:autoSpaceDE w:val="0"/>
        <w:autoSpaceDN w:val="0"/>
        <w:adjustRightInd w:val="0"/>
        <w:spacing w:line="360" w:lineRule="auto"/>
        <w:ind w:left="0"/>
        <w:jc w:val="both"/>
        <w:rPr>
          <w:rFonts w:ascii="Palatino Linotype" w:hAnsi="Palatino Linotype" w:cs="Arial"/>
        </w:rPr>
      </w:pPr>
    </w:p>
    <w:p w:rsidR="002F1956" w:rsidRPr="00DD231D" w:rsidRDefault="002F1956" w:rsidP="002F1956">
      <w:pPr>
        <w:pStyle w:val="Prrafodelista"/>
        <w:autoSpaceDE w:val="0"/>
        <w:autoSpaceDN w:val="0"/>
        <w:adjustRightInd w:val="0"/>
        <w:spacing w:line="360" w:lineRule="auto"/>
        <w:ind w:left="0"/>
        <w:jc w:val="both"/>
        <w:rPr>
          <w:rFonts w:ascii="Palatino Linotype" w:hAnsi="Palatino Linotype" w:cs="Arial"/>
          <w:sz w:val="24"/>
          <w:szCs w:val="24"/>
        </w:rPr>
      </w:pPr>
      <w:r w:rsidRPr="00DD231D">
        <w:rPr>
          <w:rFonts w:ascii="Palatino Linotype" w:hAnsi="Palatino Linotype" w:cs="Arial"/>
          <w:sz w:val="24"/>
          <w:szCs w:val="24"/>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9A7838" w:rsidRDefault="009A7838" w:rsidP="002F1956">
      <w:pPr>
        <w:autoSpaceDE w:val="0"/>
        <w:autoSpaceDN w:val="0"/>
        <w:adjustRightInd w:val="0"/>
        <w:spacing w:line="360" w:lineRule="auto"/>
        <w:jc w:val="both"/>
        <w:rPr>
          <w:rFonts w:ascii="Palatino Linotype" w:hAnsi="Palatino Linotype"/>
          <w:b/>
        </w:rPr>
      </w:pPr>
    </w:p>
    <w:p w:rsidR="002F1956" w:rsidRDefault="002F1956" w:rsidP="002F1956">
      <w:pPr>
        <w:autoSpaceDE w:val="0"/>
        <w:autoSpaceDN w:val="0"/>
        <w:adjustRightInd w:val="0"/>
        <w:spacing w:line="360" w:lineRule="auto"/>
        <w:jc w:val="both"/>
        <w:rPr>
          <w:rFonts w:ascii="Palatino Linotype" w:hAnsi="Palatino Linotype"/>
        </w:rPr>
      </w:pPr>
      <w:r w:rsidRPr="008B56E5">
        <w:rPr>
          <w:rFonts w:ascii="Palatino Linotype" w:hAnsi="Palatino Linotype"/>
        </w:rPr>
        <w:t xml:space="preserve">En segundo lugar, respecto del numeral </w:t>
      </w:r>
      <w:r w:rsidR="008B56E5" w:rsidRPr="008B56E5">
        <w:rPr>
          <w:rFonts w:ascii="Palatino Linotype" w:hAnsi="Palatino Linotype"/>
        </w:rPr>
        <w:t xml:space="preserve">4, relativo a </w:t>
      </w:r>
      <w:r w:rsidR="008B56E5">
        <w:rPr>
          <w:rFonts w:ascii="Palatino Linotype" w:hAnsi="Palatino Linotype"/>
        </w:rPr>
        <w:t>“</w:t>
      </w:r>
      <w:r w:rsidR="008B56E5" w:rsidRPr="008B56E5">
        <w:rPr>
          <w:rFonts w:ascii="Palatino Linotype" w:hAnsi="Palatino Linotype"/>
        </w:rPr>
        <w:t xml:space="preserve">Los Registros de Deuda Pública que estos Municipios hayan registrado ante el Gobierno del Estado o la Federación, y que tenga en </w:t>
      </w:r>
      <w:r w:rsidR="008B56E5">
        <w:rPr>
          <w:rFonts w:ascii="Palatino Linotype" w:hAnsi="Palatino Linotype"/>
        </w:rPr>
        <w:t>su Poder o haya conocido el GEM” el Sujeto Obligado en su respuesta proporciono la siguiente liga electrónica:</w:t>
      </w:r>
    </w:p>
    <w:p w:rsidR="008B56E5" w:rsidRPr="008B56E5" w:rsidRDefault="008B56E5" w:rsidP="002F1956">
      <w:pPr>
        <w:autoSpaceDE w:val="0"/>
        <w:autoSpaceDN w:val="0"/>
        <w:adjustRightInd w:val="0"/>
        <w:spacing w:line="360" w:lineRule="auto"/>
        <w:jc w:val="both"/>
        <w:rPr>
          <w:rFonts w:ascii="Palatino Linotype" w:hAnsi="Palatino Linotype"/>
        </w:rPr>
      </w:pPr>
    </w:p>
    <w:p w:rsidR="008B56E5" w:rsidRPr="008B56E5" w:rsidRDefault="008B56E5" w:rsidP="008B56E5">
      <w:pPr>
        <w:spacing w:before="240" w:after="240"/>
        <w:contextualSpacing/>
        <w:jc w:val="both"/>
        <w:rPr>
          <w:rFonts w:ascii="Palatino Linotype" w:eastAsia="Palatino Linotype" w:hAnsi="Palatino Linotype" w:cs="Palatino Linotype"/>
        </w:rPr>
      </w:pPr>
      <w:r w:rsidRPr="008B56E5">
        <w:rPr>
          <w:rStyle w:val="Hipervnculo"/>
          <w:rFonts w:ascii="Palatino Linotype" w:eastAsia="Palatino Linotype" w:hAnsi="Palatino Linotype" w:cs="Palatino Linotype"/>
          <w:color w:val="auto"/>
        </w:rPr>
        <w:t>“</w:t>
      </w:r>
      <w:hyperlink r:id="rId60" w:history="1">
        <w:r w:rsidRPr="008B56E5">
          <w:rPr>
            <w:rStyle w:val="Hipervnculo"/>
            <w:rFonts w:ascii="Palatino Linotype" w:eastAsia="Palatino Linotype" w:hAnsi="Palatino Linotype" w:cs="Palatino Linotype"/>
            <w:color w:val="auto"/>
          </w:rPr>
          <w:t>https://datos.edomex.gob.mx/dataset/deuda-publica-del-gobierno-del-estado-de-mexico/resource/b168362cf9b8-454b-9531-0ec8243cc593</w:t>
        </w:r>
      </w:hyperlink>
      <w:r w:rsidRPr="008B56E5">
        <w:rPr>
          <w:rFonts w:ascii="Palatino Linotype" w:eastAsia="Palatino Linotype" w:hAnsi="Palatino Linotype" w:cs="Palatino Linotype"/>
        </w:rPr>
        <w:t xml:space="preserve">” </w:t>
      </w:r>
    </w:p>
    <w:p w:rsidR="002F1956" w:rsidRDefault="002F1956" w:rsidP="008B56E5">
      <w:pPr>
        <w:autoSpaceDE w:val="0"/>
        <w:autoSpaceDN w:val="0"/>
        <w:adjustRightInd w:val="0"/>
        <w:spacing w:line="360" w:lineRule="auto"/>
        <w:jc w:val="both"/>
        <w:rPr>
          <w:rFonts w:ascii="Palatino Linotype" w:hAnsi="Palatino Linotype"/>
        </w:rPr>
      </w:pPr>
    </w:p>
    <w:p w:rsidR="008B56E5" w:rsidRDefault="008B56E5" w:rsidP="008B56E5">
      <w:pPr>
        <w:autoSpaceDE w:val="0"/>
        <w:autoSpaceDN w:val="0"/>
        <w:adjustRightInd w:val="0"/>
        <w:spacing w:line="360" w:lineRule="auto"/>
        <w:jc w:val="both"/>
        <w:rPr>
          <w:rFonts w:ascii="Palatino Linotype" w:hAnsi="Palatino Linotype"/>
        </w:rPr>
      </w:pPr>
      <w:r>
        <w:rPr>
          <w:rFonts w:ascii="Palatino Linotype" w:hAnsi="Palatino Linotype"/>
        </w:rPr>
        <w:t>Sin embargo, al darle clic a dicho enlace electrónico no</w:t>
      </w:r>
      <w:r w:rsidR="00DD231D">
        <w:rPr>
          <w:rFonts w:ascii="Palatino Linotype" w:hAnsi="Palatino Linotype"/>
        </w:rPr>
        <w:t>s</w:t>
      </w:r>
      <w:r>
        <w:rPr>
          <w:rFonts w:ascii="Palatino Linotype" w:hAnsi="Palatino Linotype"/>
        </w:rPr>
        <w:t xml:space="preserve"> arroja la siguiente información:</w:t>
      </w:r>
    </w:p>
    <w:p w:rsidR="00DD33AE" w:rsidRDefault="008B56E5" w:rsidP="00DD33AE">
      <w:pPr>
        <w:spacing w:before="240" w:after="240" w:line="360" w:lineRule="auto"/>
        <w:ind w:right="49"/>
        <w:contextualSpacing/>
        <w:jc w:val="both"/>
        <w:rPr>
          <w:rFonts w:ascii="Palatino Linotype" w:hAnsi="Palatino Linotype" w:cs="Arial"/>
        </w:rPr>
      </w:pPr>
      <w:r>
        <w:rPr>
          <w:noProof/>
          <w:lang w:val="es-MX" w:eastAsia="es-MX"/>
        </w:rPr>
        <w:lastRenderedPageBreak/>
        <w:drawing>
          <wp:inline distT="0" distB="0" distL="0" distR="0" wp14:anchorId="01C53EC3" wp14:editId="1B391930">
            <wp:extent cx="5505450" cy="3651250"/>
            <wp:effectExtent l="0" t="0" r="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32247" t="8651" r="33696" b="5853"/>
                    <a:stretch/>
                  </pic:blipFill>
                  <pic:spPr bwMode="auto">
                    <a:xfrm>
                      <a:off x="0" y="0"/>
                      <a:ext cx="5505450" cy="3651250"/>
                    </a:xfrm>
                    <a:prstGeom prst="rect">
                      <a:avLst/>
                    </a:prstGeom>
                    <a:ln>
                      <a:noFill/>
                    </a:ln>
                    <a:extLst>
                      <a:ext uri="{53640926-AAD7-44D8-BBD7-CCE9431645EC}">
                        <a14:shadowObscured xmlns:a14="http://schemas.microsoft.com/office/drawing/2010/main"/>
                      </a:ext>
                    </a:extLst>
                  </pic:spPr>
                </pic:pic>
              </a:graphicData>
            </a:graphic>
          </wp:inline>
        </w:drawing>
      </w:r>
    </w:p>
    <w:p w:rsidR="008713EA" w:rsidRDefault="008B56E5" w:rsidP="008713EA">
      <w:pPr>
        <w:spacing w:before="240" w:after="240" w:line="360" w:lineRule="auto"/>
        <w:contextualSpacing/>
        <w:jc w:val="both"/>
        <w:rPr>
          <w:rFonts w:ascii="Palatino Linotype" w:eastAsia="Palatino Linotype" w:hAnsi="Palatino Linotype" w:cs="Palatino Linotype"/>
        </w:rPr>
      </w:pPr>
      <w:r>
        <w:rPr>
          <w:rFonts w:ascii="Palatino Linotype" w:hAnsi="Palatino Linotype" w:cs="Arial"/>
        </w:rPr>
        <w:t xml:space="preserve">Sin que se observe el registro de la deuda pública de los Municipios de Toluca y Naucalpan, lo que incumple con lo señalado </w:t>
      </w:r>
      <w:r w:rsidR="008713EA">
        <w:rPr>
          <w:rFonts w:ascii="Palatino Linotype" w:eastAsia="Palatino Linotype" w:hAnsi="Palatino Linotype" w:cs="Palatino Linotype"/>
        </w:rPr>
        <w:t>por el artículo 161 de la Ley de la Materia, que señala lo conducente:</w:t>
      </w:r>
    </w:p>
    <w:p w:rsidR="008713EA" w:rsidRDefault="008713EA" w:rsidP="008713EA">
      <w:pPr>
        <w:spacing w:before="240" w:after="240" w:line="360" w:lineRule="auto"/>
        <w:contextualSpacing/>
        <w:jc w:val="both"/>
        <w:rPr>
          <w:rFonts w:ascii="Palatino Linotype" w:eastAsia="Palatino Linotype" w:hAnsi="Palatino Linotype" w:cs="Palatino Linotype"/>
        </w:rPr>
      </w:pPr>
    </w:p>
    <w:p w:rsidR="008713EA" w:rsidRPr="00DB163A" w:rsidRDefault="008713EA" w:rsidP="008713EA">
      <w:pPr>
        <w:ind w:left="851" w:right="899"/>
        <w:jc w:val="both"/>
        <w:rPr>
          <w:rFonts w:ascii="Palatino Linotype" w:hAnsi="Palatino Linotype" w:cs="Arial"/>
          <w:i/>
          <w:sz w:val="22"/>
          <w:szCs w:val="22"/>
        </w:rPr>
      </w:pPr>
      <w:r>
        <w:rPr>
          <w:rFonts w:ascii="Palatino Linotype" w:hAnsi="Palatino Linotype" w:cs="Arial"/>
          <w:i/>
          <w:sz w:val="22"/>
          <w:szCs w:val="22"/>
        </w:rPr>
        <w:t>“</w:t>
      </w:r>
      <w:r w:rsidRPr="00DB163A">
        <w:rPr>
          <w:rFonts w:ascii="Palatino Linotype" w:hAnsi="Palatino Linotype" w:cs="Arial"/>
          <w:i/>
          <w:sz w:val="22"/>
          <w:szCs w:val="22"/>
        </w:rPr>
        <w:t>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Pr>
          <w:rFonts w:ascii="Palatino Linotype" w:hAnsi="Palatino Linotype" w:cs="Arial"/>
          <w:i/>
          <w:sz w:val="22"/>
          <w:szCs w:val="22"/>
        </w:rPr>
        <w:t>” (Sic)</w:t>
      </w:r>
    </w:p>
    <w:p w:rsidR="008713EA" w:rsidRDefault="008713EA" w:rsidP="008713EA">
      <w:pPr>
        <w:spacing w:before="240" w:after="240" w:line="360" w:lineRule="auto"/>
        <w:contextualSpacing/>
        <w:jc w:val="both"/>
        <w:rPr>
          <w:rFonts w:ascii="Palatino Linotype" w:eastAsia="Palatino Linotype" w:hAnsi="Palatino Linotype" w:cs="Palatino Linotype"/>
        </w:rPr>
      </w:pPr>
    </w:p>
    <w:p w:rsidR="008713EA" w:rsidRDefault="008713EA" w:rsidP="008713EA">
      <w:pPr>
        <w:spacing w:before="240" w:after="240" w:line="360" w:lineRule="auto"/>
        <w:contextualSpacing/>
        <w:jc w:val="both"/>
        <w:rPr>
          <w:rFonts w:ascii="Palatino Linotype" w:eastAsia="Palatino Linotype" w:hAnsi="Palatino Linotype" w:cs="Palatino Linotype"/>
        </w:rPr>
      </w:pPr>
      <w:r w:rsidRPr="00DB163A">
        <w:rPr>
          <w:rFonts w:ascii="Palatino Linotype" w:eastAsia="Palatino Linotype" w:hAnsi="Palatino Linotype" w:cs="Palatino Linotype"/>
        </w:rPr>
        <w:t>En razón de que el Sujeto Obligado</w:t>
      </w:r>
      <w:r>
        <w:rPr>
          <w:rFonts w:ascii="Palatino Linotype" w:eastAsia="Palatino Linotype" w:hAnsi="Palatino Linotype" w:cs="Palatino Linotype"/>
        </w:rPr>
        <w:t xml:space="preserve"> le hizo del conocimiento de dicha información en internet hasta el quinceavo día siguiente de la interposición de la solicitud y no dentro de los cinco días siguientes de ingresada la solicitud; máxime que la fuente </w:t>
      </w:r>
      <w:r w:rsidR="00DD231D">
        <w:rPr>
          <w:rFonts w:ascii="Palatino Linotype" w:eastAsia="Palatino Linotype" w:hAnsi="Palatino Linotype" w:cs="Palatino Linotype"/>
        </w:rPr>
        <w:lastRenderedPageBreak/>
        <w:t xml:space="preserve">no es precisa y concreta, ya que el particular no está obligado en buscar en todos los rubros de la liga electrónica para encontrar la información que requiere; </w:t>
      </w:r>
      <w:r>
        <w:rPr>
          <w:rFonts w:ascii="Palatino Linotype" w:eastAsia="Palatino Linotype" w:hAnsi="Palatino Linotype" w:cs="Palatino Linotype"/>
        </w:rPr>
        <w:t>por consiguiente, no se puede tener por colmado el derecho de acceso a la información del recurrente.</w:t>
      </w:r>
    </w:p>
    <w:p w:rsidR="008713EA" w:rsidRDefault="008713EA" w:rsidP="008713EA">
      <w:pPr>
        <w:spacing w:before="240" w:after="240" w:line="360" w:lineRule="auto"/>
        <w:contextualSpacing/>
        <w:jc w:val="both"/>
        <w:rPr>
          <w:rFonts w:ascii="Palatino Linotype" w:hAnsi="Palatino Linotype" w:cs="Arial"/>
        </w:rPr>
      </w:pPr>
    </w:p>
    <w:p w:rsidR="008713EA" w:rsidRDefault="008713EA" w:rsidP="008713EA">
      <w:pPr>
        <w:spacing w:before="240" w:after="240" w:line="360" w:lineRule="auto"/>
        <w:contextualSpacing/>
        <w:jc w:val="both"/>
        <w:rPr>
          <w:rFonts w:ascii="Palatino Linotype" w:hAnsi="Palatino Linotype"/>
        </w:rPr>
      </w:pPr>
      <w:r w:rsidRPr="00A22CC2">
        <w:rPr>
          <w:rFonts w:ascii="Palatino Linotype" w:hAnsi="Palatino Linotype" w:cs="Arial"/>
        </w:rPr>
        <w:t xml:space="preserve">Razones por las cuales, lo procedente es ordenar al Sujeto Obligado el documento en donde consten </w:t>
      </w:r>
      <w:r w:rsidRPr="00A22CC2">
        <w:rPr>
          <w:rFonts w:ascii="Palatino Linotype" w:hAnsi="Palatino Linotype"/>
        </w:rPr>
        <w:t>los Registros de Deuda Pública de los Ayuntamientos de Toluca y Naucalpan de Juárez, vigente al dos de agosto del año dos mil veintiuno.</w:t>
      </w:r>
      <w:r>
        <w:rPr>
          <w:rFonts w:ascii="Palatino Linotype" w:hAnsi="Palatino Linotype"/>
        </w:rPr>
        <w:t xml:space="preserve"> </w:t>
      </w:r>
    </w:p>
    <w:p w:rsidR="008713EA" w:rsidRDefault="008713EA" w:rsidP="008713EA">
      <w:pPr>
        <w:spacing w:before="240" w:after="240" w:line="360" w:lineRule="auto"/>
        <w:contextualSpacing/>
        <w:jc w:val="both"/>
        <w:rPr>
          <w:rFonts w:ascii="Palatino Linotype" w:hAnsi="Palatino Linotype" w:cs="Arial"/>
        </w:rPr>
      </w:pPr>
    </w:p>
    <w:p w:rsidR="00F5557A" w:rsidRPr="00F5557A" w:rsidRDefault="002F1956" w:rsidP="00F5557A">
      <w:pPr>
        <w:spacing w:before="240" w:after="240" w:line="360" w:lineRule="auto"/>
        <w:jc w:val="both"/>
        <w:rPr>
          <w:rFonts w:ascii="Palatino Linotype" w:hAnsi="Palatino Linotype" w:cs="Arial"/>
        </w:rPr>
      </w:pPr>
      <w:r>
        <w:rPr>
          <w:rFonts w:ascii="Palatino Linotype" w:hAnsi="Palatino Linotype" w:cs="Arial"/>
        </w:rPr>
        <w:t>En tercer</w:t>
      </w:r>
      <w:r w:rsidR="00E21332" w:rsidRPr="008E05FD">
        <w:rPr>
          <w:rFonts w:ascii="Palatino Linotype" w:hAnsi="Palatino Linotype" w:cs="Arial"/>
        </w:rPr>
        <w:t xml:space="preserve"> lugar, </w:t>
      </w:r>
      <w:r w:rsidR="00F5557A">
        <w:rPr>
          <w:rFonts w:ascii="Palatino Linotype" w:hAnsi="Palatino Linotype" w:cs="Arial"/>
        </w:rPr>
        <w:t xml:space="preserve">de la solicitud </w:t>
      </w:r>
      <w:r w:rsidR="00F5557A" w:rsidRPr="00F5557A">
        <w:rPr>
          <w:rFonts w:ascii="Palatino Linotype" w:hAnsi="Palatino Linotype" w:cs="Arial"/>
        </w:rPr>
        <w:t>se identifica que</w:t>
      </w:r>
      <w:r w:rsidR="00F5557A">
        <w:rPr>
          <w:rFonts w:ascii="Palatino Linotype" w:hAnsi="Palatino Linotype" w:cs="Arial"/>
        </w:rPr>
        <w:t xml:space="preserve"> hay información</w:t>
      </w:r>
      <w:r w:rsidR="00F5557A" w:rsidRPr="00F5557A">
        <w:rPr>
          <w:rFonts w:ascii="Palatino Linotype" w:hAnsi="Palatino Linotype" w:cs="Arial"/>
        </w:rPr>
        <w:t xml:space="preserve"> fue realizada a diversos Sujetos Obligados, entonces se debe delimitar a a</w:t>
      </w:r>
      <w:r w:rsidR="00F5557A">
        <w:rPr>
          <w:rFonts w:ascii="Palatino Linotype" w:hAnsi="Palatino Linotype" w:cs="Arial"/>
        </w:rPr>
        <w:t>quellas que le son aplicables a la Secretaría de Finanzas</w:t>
      </w:r>
      <w:r w:rsidR="002C2052">
        <w:rPr>
          <w:rFonts w:ascii="Palatino Linotype" w:hAnsi="Palatino Linotype" w:cs="Arial"/>
        </w:rPr>
        <w:t>, separando</w:t>
      </w:r>
      <w:r w:rsidR="00F5557A" w:rsidRPr="00F5557A">
        <w:rPr>
          <w:rFonts w:ascii="Palatino Linotype" w:hAnsi="Palatino Linotype" w:cs="Arial"/>
        </w:rPr>
        <w:t xml:space="preserve"> los puntos que no le son aplicables ya sea porque refieren a dependencias federales o bien por haber sido solicitadas de manera limitativa a los Sujetos Obligados</w:t>
      </w:r>
      <w:r w:rsidR="00F5557A">
        <w:rPr>
          <w:rFonts w:ascii="Palatino Linotype" w:hAnsi="Palatino Linotype" w:cs="Arial"/>
        </w:rPr>
        <w:t xml:space="preserve"> de Toluca y Naucalpan</w:t>
      </w:r>
      <w:r w:rsidR="009C5FE6">
        <w:rPr>
          <w:rFonts w:ascii="Palatino Linotype" w:hAnsi="Palatino Linotype" w:cs="Arial"/>
        </w:rPr>
        <w:t xml:space="preserve"> de Juárez</w:t>
      </w:r>
      <w:r w:rsidR="00F5557A" w:rsidRPr="00F5557A">
        <w:rPr>
          <w:rFonts w:ascii="Palatino Linotype" w:hAnsi="Palatino Linotype" w:cs="Arial"/>
        </w:rPr>
        <w:t>.</w:t>
      </w:r>
    </w:p>
    <w:p w:rsidR="00F5557A" w:rsidRPr="00F5557A" w:rsidRDefault="00F5557A" w:rsidP="00F5557A">
      <w:pPr>
        <w:spacing w:before="240" w:after="240" w:line="360" w:lineRule="auto"/>
        <w:jc w:val="both"/>
        <w:rPr>
          <w:rFonts w:ascii="Palatino Linotype" w:hAnsi="Palatino Linotype" w:cs="Arial"/>
        </w:rPr>
      </w:pPr>
      <w:r w:rsidRPr="00F5557A">
        <w:rPr>
          <w:rFonts w:ascii="Palatino Linotype" w:hAnsi="Palatino Linotype" w:cs="Arial"/>
        </w:rPr>
        <w:t>De la información que no se entrará al estudio por considera, no le es aplicable al Sujeto Obligado, es la siguiente:</w:t>
      </w:r>
    </w:p>
    <w:p w:rsidR="00F5557A" w:rsidRPr="00D01E4B" w:rsidRDefault="00F5557A" w:rsidP="00F5557A">
      <w:pPr>
        <w:autoSpaceDE w:val="0"/>
        <w:autoSpaceDN w:val="0"/>
        <w:adjustRightInd w:val="0"/>
        <w:spacing w:line="360" w:lineRule="auto"/>
        <w:ind w:left="567" w:right="616"/>
        <w:rPr>
          <w:rFonts w:eastAsia="Calibri" w:cs="Tahoma"/>
          <w:i/>
          <w:iCs/>
          <w:color w:val="000000"/>
          <w:sz w:val="20"/>
          <w:szCs w:val="20"/>
          <w:lang w:eastAsia="es-MX"/>
        </w:rPr>
      </w:pPr>
    </w:p>
    <w:p w:rsidR="00F5557A" w:rsidRDefault="00F5557A" w:rsidP="00F5557A">
      <w:pPr>
        <w:autoSpaceDE w:val="0"/>
        <w:autoSpaceDN w:val="0"/>
        <w:adjustRightInd w:val="0"/>
        <w:spacing w:line="360" w:lineRule="auto"/>
        <w:ind w:left="567" w:right="616"/>
        <w:rPr>
          <w:rFonts w:eastAsia="Calibri" w:cs="Tahoma"/>
          <w:i/>
          <w:iCs/>
          <w:color w:val="000000"/>
          <w:sz w:val="20"/>
          <w:szCs w:val="20"/>
          <w:lang w:eastAsia="es-MX"/>
        </w:rPr>
      </w:pPr>
      <w:r w:rsidRPr="00D01E4B">
        <w:rPr>
          <w:rFonts w:eastAsia="Calibri" w:cs="Tahoma"/>
          <w:i/>
          <w:iCs/>
          <w:color w:val="000000"/>
          <w:sz w:val="20"/>
          <w:szCs w:val="20"/>
          <w:lang w:eastAsia="es-MX"/>
        </w:rPr>
        <w:t xml:space="preserve">• </w:t>
      </w:r>
      <w:r w:rsidRPr="00F5557A">
        <w:rPr>
          <w:rFonts w:eastAsia="Calibri" w:cs="Tahoma"/>
          <w:i/>
          <w:iCs/>
          <w:color w:val="000000"/>
          <w:sz w:val="20"/>
          <w:szCs w:val="20"/>
          <w:lang w:eastAsia="es-MX"/>
        </w:rPr>
        <w:t xml:space="preserve">Las Retenciones Que Se Hayan Hecho </w:t>
      </w:r>
      <w:r w:rsidR="00E60580">
        <w:rPr>
          <w:rFonts w:eastAsia="Calibri" w:cs="Tahoma"/>
          <w:i/>
          <w:iCs/>
          <w:color w:val="000000"/>
          <w:sz w:val="20"/>
          <w:szCs w:val="20"/>
          <w:lang w:eastAsia="es-MX"/>
        </w:rPr>
        <w:t>Desde 2013 A La Fecha A Toluca y</w:t>
      </w:r>
      <w:r w:rsidRPr="00F5557A">
        <w:rPr>
          <w:rFonts w:eastAsia="Calibri" w:cs="Tahoma"/>
          <w:i/>
          <w:iCs/>
          <w:color w:val="000000"/>
          <w:sz w:val="20"/>
          <w:szCs w:val="20"/>
          <w:lang w:eastAsia="es-MX"/>
        </w:rPr>
        <w:t xml:space="preserve"> Naucalpan, Por Conceptos De Adeudos Con El SAT, ISSEMYM</w:t>
      </w:r>
      <w:r>
        <w:rPr>
          <w:rFonts w:eastAsia="Calibri" w:cs="Tahoma"/>
          <w:i/>
          <w:iCs/>
          <w:color w:val="000000"/>
          <w:sz w:val="20"/>
          <w:szCs w:val="20"/>
          <w:lang w:eastAsia="es-MX"/>
        </w:rPr>
        <w:t xml:space="preserve">, </w:t>
      </w:r>
      <w:r w:rsidRPr="005A3F93">
        <w:rPr>
          <w:rFonts w:eastAsia="Calibri" w:cs="Tahoma"/>
          <w:b/>
          <w:i/>
          <w:iCs/>
          <w:color w:val="000000"/>
          <w:sz w:val="20"/>
          <w:szCs w:val="20"/>
          <w:u w:val="single"/>
          <w:lang w:eastAsia="es-MX"/>
        </w:rPr>
        <w:t>ISSTE</w:t>
      </w:r>
      <w:r>
        <w:rPr>
          <w:rFonts w:eastAsia="Calibri" w:cs="Tahoma"/>
          <w:i/>
          <w:iCs/>
          <w:color w:val="000000"/>
          <w:sz w:val="20"/>
          <w:szCs w:val="20"/>
          <w:lang w:eastAsia="es-MX"/>
        </w:rPr>
        <w:t xml:space="preserve"> y </w:t>
      </w:r>
      <w:r w:rsidRPr="00F5557A">
        <w:rPr>
          <w:rFonts w:eastAsia="Calibri" w:cs="Tahoma"/>
          <w:i/>
          <w:iCs/>
          <w:color w:val="000000"/>
          <w:sz w:val="20"/>
          <w:szCs w:val="20"/>
          <w:lang w:eastAsia="es-MX"/>
        </w:rPr>
        <w:t xml:space="preserve">CFE, </w:t>
      </w:r>
      <w:r>
        <w:rPr>
          <w:rFonts w:eastAsia="Calibri" w:cs="Tahoma"/>
          <w:i/>
          <w:iCs/>
          <w:color w:val="000000"/>
          <w:sz w:val="20"/>
          <w:szCs w:val="20"/>
          <w:lang w:eastAsia="es-MX"/>
        </w:rPr>
        <w:t>in</w:t>
      </w:r>
      <w:r w:rsidRPr="00F5557A">
        <w:rPr>
          <w:rFonts w:eastAsia="Calibri" w:cs="Tahoma"/>
          <w:i/>
          <w:iCs/>
          <w:color w:val="000000"/>
          <w:sz w:val="20"/>
          <w:szCs w:val="20"/>
          <w:lang w:eastAsia="es-MX"/>
        </w:rPr>
        <w:t xml:space="preserve">cumplimientos De Deuda Bancaria U Cualquier Otro Concepto, Exhibiendo Para Esto Los Documentos Donde Se </w:t>
      </w:r>
      <w:r w:rsidR="00E60580" w:rsidRPr="00F5557A">
        <w:rPr>
          <w:rFonts w:eastAsia="Calibri" w:cs="Tahoma"/>
          <w:i/>
          <w:iCs/>
          <w:color w:val="000000"/>
          <w:sz w:val="20"/>
          <w:szCs w:val="20"/>
          <w:lang w:eastAsia="es-MX"/>
        </w:rPr>
        <w:t>Registró</w:t>
      </w:r>
      <w:r w:rsidRPr="00F5557A">
        <w:rPr>
          <w:rFonts w:eastAsia="Calibri" w:cs="Tahoma"/>
          <w:i/>
          <w:iCs/>
          <w:color w:val="000000"/>
          <w:sz w:val="20"/>
          <w:szCs w:val="20"/>
          <w:lang w:eastAsia="es-MX"/>
        </w:rPr>
        <w:t xml:space="preserve"> Estas Deducciones Al Respecto.</w:t>
      </w:r>
    </w:p>
    <w:p w:rsidR="00F5557A" w:rsidRPr="00D01E4B" w:rsidRDefault="00F5557A" w:rsidP="00F5557A">
      <w:pPr>
        <w:autoSpaceDE w:val="0"/>
        <w:autoSpaceDN w:val="0"/>
        <w:adjustRightInd w:val="0"/>
        <w:spacing w:line="360" w:lineRule="auto"/>
        <w:ind w:left="567" w:right="616"/>
        <w:rPr>
          <w:rFonts w:eastAsia="Calibri" w:cs="Tahoma"/>
          <w:i/>
          <w:iCs/>
          <w:color w:val="000000"/>
          <w:sz w:val="20"/>
          <w:szCs w:val="20"/>
          <w:lang w:eastAsia="es-MX"/>
        </w:rPr>
      </w:pPr>
      <w:r w:rsidRPr="00D01E4B">
        <w:rPr>
          <w:rFonts w:eastAsia="Calibri" w:cs="Tahoma"/>
          <w:i/>
          <w:iCs/>
          <w:color w:val="000000"/>
          <w:sz w:val="20"/>
          <w:szCs w:val="20"/>
          <w:lang w:eastAsia="es-MX"/>
        </w:rPr>
        <w:t xml:space="preserve">• </w:t>
      </w:r>
      <w:r w:rsidR="00E60580" w:rsidRPr="00E60580">
        <w:rPr>
          <w:rFonts w:eastAsia="Calibri" w:cs="Tahoma"/>
          <w:i/>
          <w:iCs/>
          <w:color w:val="000000"/>
          <w:sz w:val="20"/>
          <w:szCs w:val="20"/>
          <w:lang w:eastAsia="es-MX"/>
        </w:rPr>
        <w:t>Las Auditorias Que Tenga El GEM, Respecto A Cumplimiento De La Trasferencia De Participaciones Y Aportaciones Estatales Y Federales A Los Municipios, Dela Secretaria De La Contraloría, El OSFEM la ASF o La Auditoria Federal Correspondiente, Desde 2013 A</w:t>
      </w:r>
      <w:r w:rsidR="00E60580">
        <w:rPr>
          <w:rFonts w:eastAsia="Calibri" w:cs="Tahoma"/>
          <w:i/>
          <w:iCs/>
          <w:color w:val="000000"/>
          <w:sz w:val="20"/>
          <w:szCs w:val="20"/>
          <w:lang w:eastAsia="es-MX"/>
        </w:rPr>
        <w:t xml:space="preserve"> </w:t>
      </w:r>
      <w:r w:rsidR="00E60580" w:rsidRPr="00E60580">
        <w:rPr>
          <w:rFonts w:eastAsia="Calibri" w:cs="Tahoma"/>
          <w:i/>
          <w:iCs/>
          <w:color w:val="000000"/>
          <w:sz w:val="20"/>
          <w:szCs w:val="20"/>
          <w:lang w:eastAsia="es-MX"/>
        </w:rPr>
        <w:t>la Fecha.</w:t>
      </w:r>
    </w:p>
    <w:p w:rsidR="00F5557A" w:rsidRDefault="00F5557A" w:rsidP="00F5557A">
      <w:pPr>
        <w:autoSpaceDE w:val="0"/>
        <w:autoSpaceDN w:val="0"/>
        <w:adjustRightInd w:val="0"/>
        <w:spacing w:line="360" w:lineRule="auto"/>
        <w:rPr>
          <w:rFonts w:eastAsia="Calibri" w:cs="Tahoma"/>
          <w:color w:val="000000"/>
          <w:lang w:eastAsia="es-MX"/>
        </w:rPr>
      </w:pPr>
    </w:p>
    <w:p w:rsidR="00F5557A" w:rsidRPr="00E60580" w:rsidRDefault="00F5557A" w:rsidP="00E60580">
      <w:pPr>
        <w:spacing w:before="240" w:after="240" w:line="360" w:lineRule="auto"/>
        <w:jc w:val="both"/>
        <w:rPr>
          <w:rFonts w:ascii="Palatino Linotype" w:hAnsi="Palatino Linotype" w:cs="Arial"/>
        </w:rPr>
      </w:pPr>
      <w:r w:rsidRPr="00E60580">
        <w:rPr>
          <w:rFonts w:ascii="Palatino Linotype" w:hAnsi="Palatino Linotype" w:cs="Arial"/>
        </w:rPr>
        <w:lastRenderedPageBreak/>
        <w:t>Se observa que el Particular requirió informaci</w:t>
      </w:r>
      <w:r w:rsidR="00E60580">
        <w:rPr>
          <w:rFonts w:ascii="Palatino Linotype" w:hAnsi="Palatino Linotype" w:cs="Arial"/>
        </w:rPr>
        <w:t>ón específica a</w:t>
      </w:r>
      <w:r w:rsidR="005A3F93">
        <w:rPr>
          <w:rFonts w:ascii="Palatino Linotype" w:hAnsi="Palatino Linotype" w:cs="Arial"/>
        </w:rPr>
        <w:t xml:space="preserve"> la</w:t>
      </w:r>
      <w:r w:rsidR="00E60580">
        <w:rPr>
          <w:rFonts w:ascii="Palatino Linotype" w:hAnsi="Palatino Linotype" w:cs="Arial"/>
        </w:rPr>
        <w:t xml:space="preserve"> </w:t>
      </w:r>
      <w:r w:rsidRPr="00E60580">
        <w:rPr>
          <w:rFonts w:ascii="Palatino Linotype" w:hAnsi="Palatino Linotype" w:cs="Arial"/>
        </w:rPr>
        <w:t>Secretaría de</w:t>
      </w:r>
      <w:r w:rsidR="00E60580">
        <w:rPr>
          <w:rFonts w:ascii="Palatino Linotype" w:hAnsi="Palatino Linotype" w:cs="Arial"/>
        </w:rPr>
        <w:t xml:space="preserve"> la Contraloría, Organismo Superior de Fis</w:t>
      </w:r>
      <w:r w:rsidR="005A3F93">
        <w:rPr>
          <w:rFonts w:ascii="Palatino Linotype" w:hAnsi="Palatino Linotype" w:cs="Arial"/>
        </w:rPr>
        <w:t>calización del Estado de México y</w:t>
      </w:r>
      <w:r w:rsidR="00E60580">
        <w:rPr>
          <w:rFonts w:ascii="Palatino Linotype" w:hAnsi="Palatino Linotype" w:cs="Arial"/>
        </w:rPr>
        <w:t xml:space="preserve"> Auditoria Superior de la Federación, </w:t>
      </w:r>
      <w:r w:rsidRPr="00E60580">
        <w:rPr>
          <w:rFonts w:ascii="Palatino Linotype" w:hAnsi="Palatino Linotype" w:cs="Arial"/>
        </w:rPr>
        <w:t>lo cua</w:t>
      </w:r>
      <w:r w:rsidR="00E60580">
        <w:rPr>
          <w:rFonts w:ascii="Palatino Linotype" w:hAnsi="Palatino Linotype" w:cs="Arial"/>
        </w:rPr>
        <w:t>l, en nada tiene que ver con la Secretaría de Finanzas.</w:t>
      </w:r>
    </w:p>
    <w:p w:rsidR="00656F27" w:rsidRDefault="00F5557A" w:rsidP="00E60580">
      <w:pPr>
        <w:spacing w:before="240" w:after="240" w:line="360" w:lineRule="auto"/>
        <w:jc w:val="both"/>
        <w:rPr>
          <w:rFonts w:ascii="Palatino Linotype" w:hAnsi="Palatino Linotype" w:cs="Arial"/>
        </w:rPr>
      </w:pPr>
      <w:r w:rsidRPr="00E60580">
        <w:rPr>
          <w:rFonts w:ascii="Palatino Linotype" w:hAnsi="Palatino Linotype" w:cs="Arial"/>
        </w:rPr>
        <w:t>Por otra parte, pidió retenciones que se hayan realizado al Ayuntamiento de Toluca</w:t>
      </w:r>
      <w:r w:rsidR="00E60580">
        <w:rPr>
          <w:rFonts w:ascii="Palatino Linotype" w:hAnsi="Palatino Linotype" w:cs="Arial"/>
        </w:rPr>
        <w:t xml:space="preserve"> y Naucalpan</w:t>
      </w:r>
      <w:r w:rsidRPr="00E60580">
        <w:rPr>
          <w:rFonts w:ascii="Palatino Linotype" w:hAnsi="Palatino Linotype" w:cs="Arial"/>
        </w:rPr>
        <w:t xml:space="preserve">, por concepto de adeudos al ISSSTE. Sobre estos adeudos, es notoriamente incompetente por lo que refiere al Instituto de Seguridad y Servicios Sociales para los Trabajadores del Estado (ISSSTE) es una organización gubernamental de naturaleza Federal, que brinda seguridad social a servidores públicos de igual competencia, en términos de los artículo </w:t>
      </w:r>
      <w:r w:rsidR="00656F27">
        <w:rPr>
          <w:rFonts w:ascii="Palatino Linotype" w:hAnsi="Palatino Linotype" w:cs="Arial"/>
        </w:rPr>
        <w:t>1 de la Ley del Instituto de Seguridad y Servicios Sociales de los Trabajadores del E</w:t>
      </w:r>
      <w:r w:rsidR="00656F27" w:rsidRPr="00656F27">
        <w:rPr>
          <w:rFonts w:ascii="Palatino Linotype" w:hAnsi="Palatino Linotype" w:cs="Arial"/>
        </w:rPr>
        <w:t>stado</w:t>
      </w:r>
      <w:r w:rsidR="00656F27">
        <w:rPr>
          <w:rFonts w:ascii="Palatino Linotype" w:hAnsi="Palatino Linotype" w:cs="Arial"/>
        </w:rPr>
        <w:t>, que indica lo siguiente:</w:t>
      </w:r>
    </w:p>
    <w:p w:rsidR="00656F27" w:rsidRDefault="00656F27" w:rsidP="00656F27">
      <w:pPr>
        <w:ind w:left="851" w:right="899"/>
        <w:jc w:val="both"/>
        <w:rPr>
          <w:rFonts w:ascii="Palatino Linotype" w:hAnsi="Palatino Linotype" w:cs="Arial"/>
          <w:i/>
          <w:sz w:val="22"/>
          <w:szCs w:val="22"/>
          <w:lang w:eastAsia="es-MX"/>
        </w:rPr>
      </w:pPr>
      <w:r>
        <w:rPr>
          <w:rFonts w:ascii="Palatino Linotype" w:hAnsi="Palatino Linotype" w:cs="Arial"/>
          <w:i/>
          <w:sz w:val="22"/>
          <w:szCs w:val="22"/>
          <w:lang w:eastAsia="es-MX"/>
        </w:rPr>
        <w:t>“</w:t>
      </w:r>
      <w:r w:rsidRPr="00656F27">
        <w:rPr>
          <w:rFonts w:ascii="Palatino Linotype" w:hAnsi="Palatino Linotype" w:cs="Arial"/>
          <w:i/>
          <w:sz w:val="22"/>
          <w:szCs w:val="22"/>
          <w:lang w:eastAsia="es-MX"/>
        </w:rPr>
        <w:t xml:space="preserve">Artículo 1. La presente Ley es de orden público, de interés social y de observancia en toda la República, y se aplicará a las Dependencias, Entidades, Trabajadores al servicio civil, Pensionados y Familiares Derechohabientes, de: </w:t>
      </w:r>
    </w:p>
    <w:p w:rsidR="00656F27" w:rsidRDefault="00656F27" w:rsidP="00656F27">
      <w:pPr>
        <w:ind w:left="851" w:right="899"/>
        <w:jc w:val="both"/>
        <w:rPr>
          <w:rFonts w:ascii="Palatino Linotype" w:hAnsi="Palatino Linotype" w:cs="Arial"/>
          <w:i/>
          <w:sz w:val="22"/>
          <w:szCs w:val="22"/>
          <w:lang w:eastAsia="es-MX"/>
        </w:rPr>
      </w:pPr>
      <w:r w:rsidRPr="00656F27">
        <w:rPr>
          <w:rFonts w:ascii="Palatino Linotype" w:hAnsi="Palatino Linotype" w:cs="Arial"/>
          <w:i/>
          <w:sz w:val="22"/>
          <w:szCs w:val="22"/>
          <w:lang w:eastAsia="es-MX"/>
        </w:rPr>
        <w:t xml:space="preserve">I. La Presidencia de la República, las Dependencias y Entidades de la Administración Pública Federal, incluyendo al propio Instituto; </w:t>
      </w:r>
    </w:p>
    <w:p w:rsidR="00656F27" w:rsidRDefault="00656F27" w:rsidP="00656F27">
      <w:pPr>
        <w:ind w:left="851" w:right="899"/>
        <w:jc w:val="both"/>
        <w:rPr>
          <w:rFonts w:ascii="Palatino Linotype" w:hAnsi="Palatino Linotype" w:cs="Arial"/>
          <w:i/>
          <w:sz w:val="22"/>
          <w:szCs w:val="22"/>
          <w:lang w:eastAsia="es-MX"/>
        </w:rPr>
      </w:pPr>
      <w:r w:rsidRPr="00656F27">
        <w:rPr>
          <w:rFonts w:ascii="Palatino Linotype" w:hAnsi="Palatino Linotype" w:cs="Arial"/>
          <w:i/>
          <w:sz w:val="22"/>
          <w:szCs w:val="22"/>
          <w:lang w:eastAsia="es-MX"/>
        </w:rPr>
        <w:t xml:space="preserve">II. Ambas cámaras del Congreso de la Unión, incluidos los diputados y senadores, así como los Trabajadores de la Entidad de Fiscalización Superior de la Federación; </w:t>
      </w:r>
    </w:p>
    <w:p w:rsidR="00656F27" w:rsidRDefault="00656F27" w:rsidP="00656F27">
      <w:pPr>
        <w:ind w:left="851" w:right="899"/>
        <w:jc w:val="both"/>
        <w:rPr>
          <w:rFonts w:ascii="Palatino Linotype" w:hAnsi="Palatino Linotype" w:cs="Arial"/>
          <w:i/>
          <w:sz w:val="22"/>
          <w:szCs w:val="22"/>
          <w:lang w:eastAsia="es-MX"/>
        </w:rPr>
      </w:pPr>
      <w:r w:rsidRPr="00656F27">
        <w:rPr>
          <w:rFonts w:ascii="Palatino Linotype" w:hAnsi="Palatino Linotype" w:cs="Arial"/>
          <w:i/>
          <w:sz w:val="22"/>
          <w:szCs w:val="22"/>
          <w:lang w:eastAsia="es-MX"/>
        </w:rPr>
        <w:t xml:space="preserve">III. El Poder Judicial de la Federación, incluyendo a los ministros de la Suprema Corte de Justicia de la Nación, magistrados y jueces, así como consejeros del Consejo de la Judicatura Federal; </w:t>
      </w:r>
    </w:p>
    <w:p w:rsidR="00656F27" w:rsidRDefault="00656F27" w:rsidP="00656F27">
      <w:pPr>
        <w:ind w:left="851" w:right="899"/>
        <w:jc w:val="both"/>
        <w:rPr>
          <w:rFonts w:ascii="Palatino Linotype" w:hAnsi="Palatino Linotype" w:cs="Arial"/>
          <w:i/>
          <w:sz w:val="22"/>
          <w:szCs w:val="22"/>
          <w:lang w:eastAsia="es-MX"/>
        </w:rPr>
      </w:pPr>
      <w:r w:rsidRPr="00656F27">
        <w:rPr>
          <w:rFonts w:ascii="Palatino Linotype" w:hAnsi="Palatino Linotype" w:cs="Arial"/>
          <w:i/>
          <w:sz w:val="22"/>
          <w:szCs w:val="22"/>
          <w:lang w:eastAsia="es-MX"/>
        </w:rPr>
        <w:t xml:space="preserve">IV. La Procuraduría General de la República; V. Los órganos jurisdiccionales autónomos; </w:t>
      </w:r>
    </w:p>
    <w:p w:rsidR="00656F27" w:rsidRDefault="00656F27" w:rsidP="00656F27">
      <w:pPr>
        <w:ind w:left="851" w:right="899"/>
        <w:jc w:val="both"/>
        <w:rPr>
          <w:rFonts w:ascii="Palatino Linotype" w:hAnsi="Palatino Linotype" w:cs="Arial"/>
          <w:i/>
          <w:sz w:val="22"/>
          <w:szCs w:val="22"/>
          <w:lang w:eastAsia="es-MX"/>
        </w:rPr>
      </w:pPr>
      <w:r w:rsidRPr="00656F27">
        <w:rPr>
          <w:rFonts w:ascii="Palatino Linotype" w:hAnsi="Palatino Linotype" w:cs="Arial"/>
          <w:i/>
          <w:sz w:val="22"/>
          <w:szCs w:val="22"/>
          <w:lang w:eastAsia="es-MX"/>
        </w:rPr>
        <w:t>VI. Los órganos con autonomía por disposición constitucional;</w:t>
      </w:r>
    </w:p>
    <w:p w:rsidR="00656F27" w:rsidRDefault="00656F27" w:rsidP="00656F27">
      <w:pPr>
        <w:ind w:left="851" w:right="899"/>
        <w:jc w:val="both"/>
        <w:rPr>
          <w:rFonts w:ascii="Palatino Linotype" w:hAnsi="Palatino Linotype" w:cs="Arial"/>
          <w:i/>
          <w:sz w:val="22"/>
          <w:szCs w:val="22"/>
          <w:lang w:eastAsia="es-MX"/>
        </w:rPr>
      </w:pPr>
      <w:r w:rsidRPr="00656F27">
        <w:rPr>
          <w:rFonts w:ascii="Palatino Linotype" w:hAnsi="Palatino Linotype" w:cs="Arial"/>
          <w:i/>
          <w:sz w:val="22"/>
          <w:szCs w:val="22"/>
          <w:lang w:eastAsia="es-MX"/>
        </w:rPr>
        <w:t xml:space="preserve">VII. El Gobierno del Distrito Federal, sus órganos político administrativos, sus órganos autónomos, sus Dependencias y Entidades, la Asamblea Legislativa del Distrito Federal, incluyendo sus diputados, y el órgano judicial del Distrito Federal, incluyendo magistrados, jueces y miembros del Consejo de la Judicatura del Distrito Federal, conforme a su normatividad específica y con base en los convenios que celebren con el Instituto, y </w:t>
      </w:r>
    </w:p>
    <w:p w:rsidR="00656F27" w:rsidRPr="00656F27" w:rsidRDefault="00656F27" w:rsidP="00656F27">
      <w:pPr>
        <w:ind w:left="851" w:right="899"/>
        <w:jc w:val="both"/>
        <w:rPr>
          <w:rFonts w:ascii="Palatino Linotype" w:hAnsi="Palatino Linotype" w:cs="Arial"/>
          <w:i/>
          <w:sz w:val="22"/>
          <w:szCs w:val="22"/>
          <w:lang w:eastAsia="es-MX"/>
        </w:rPr>
      </w:pPr>
      <w:r w:rsidRPr="00656F27">
        <w:rPr>
          <w:rFonts w:ascii="Palatino Linotype" w:hAnsi="Palatino Linotype" w:cs="Arial"/>
          <w:i/>
          <w:sz w:val="22"/>
          <w:szCs w:val="22"/>
          <w:lang w:eastAsia="es-MX"/>
        </w:rPr>
        <w:lastRenderedPageBreak/>
        <w:t>VIII. Los gobiernos de las demás Entidades Federativas de la República, los poderes legislativos y judiciales locales, las administraciones públicas municipales, y sus Trabajadores, en aquellos casos en que celebren convenios con el Instituto en los términos de esta Ley</w:t>
      </w:r>
      <w:r>
        <w:rPr>
          <w:rFonts w:ascii="Palatino Linotype" w:hAnsi="Palatino Linotype" w:cs="Arial"/>
          <w:i/>
          <w:sz w:val="22"/>
          <w:szCs w:val="22"/>
          <w:lang w:eastAsia="es-MX"/>
        </w:rPr>
        <w:t>” (Sic)</w:t>
      </w:r>
    </w:p>
    <w:p w:rsidR="00F5557A" w:rsidRDefault="00F5557A" w:rsidP="00F5557A">
      <w:pPr>
        <w:autoSpaceDE w:val="0"/>
        <w:autoSpaceDN w:val="0"/>
        <w:adjustRightInd w:val="0"/>
        <w:spacing w:line="360" w:lineRule="auto"/>
        <w:ind w:right="616"/>
        <w:rPr>
          <w:rFonts w:eastAsia="Calibri" w:cs="Tahoma"/>
          <w:i/>
          <w:iCs/>
          <w:color w:val="000000"/>
          <w:sz w:val="20"/>
          <w:szCs w:val="20"/>
          <w:lang w:eastAsia="es-MX"/>
        </w:rPr>
      </w:pPr>
    </w:p>
    <w:p w:rsidR="002C2052" w:rsidRDefault="00F5557A" w:rsidP="00E60580">
      <w:pPr>
        <w:spacing w:before="240" w:after="240" w:line="360" w:lineRule="auto"/>
        <w:jc w:val="both"/>
        <w:rPr>
          <w:rFonts w:ascii="Palatino Linotype" w:hAnsi="Palatino Linotype" w:cs="Arial"/>
        </w:rPr>
      </w:pPr>
      <w:r w:rsidRPr="00E60580">
        <w:rPr>
          <w:rFonts w:ascii="Palatino Linotype" w:hAnsi="Palatino Linotype" w:cs="Arial"/>
        </w:rPr>
        <w:t>E</w:t>
      </w:r>
      <w:r w:rsidR="002C2052">
        <w:rPr>
          <w:rFonts w:ascii="Palatino Linotype" w:hAnsi="Palatino Linotype" w:cs="Arial"/>
        </w:rPr>
        <w:t>ntonces, no se identifica que la Secretaría de Finanzas</w:t>
      </w:r>
      <w:r w:rsidR="00656F27">
        <w:rPr>
          <w:rFonts w:ascii="Palatino Linotype" w:hAnsi="Palatino Linotype" w:cs="Arial"/>
        </w:rPr>
        <w:t xml:space="preserve"> del Estado de México</w:t>
      </w:r>
      <w:r w:rsidR="002C2052">
        <w:rPr>
          <w:rFonts w:ascii="Palatino Linotype" w:hAnsi="Palatino Linotype" w:cs="Arial"/>
        </w:rPr>
        <w:t>,</w:t>
      </w:r>
      <w:r w:rsidRPr="00E60580">
        <w:rPr>
          <w:rFonts w:ascii="Palatino Linotype" w:hAnsi="Palatino Linotype" w:cs="Arial"/>
        </w:rPr>
        <w:t xml:space="preserve"> pu</w:t>
      </w:r>
      <w:r w:rsidR="00E60580">
        <w:rPr>
          <w:rFonts w:ascii="Palatino Linotype" w:hAnsi="Palatino Linotype" w:cs="Arial"/>
        </w:rPr>
        <w:t xml:space="preserve">eda tener </w:t>
      </w:r>
      <w:r w:rsidR="002C2052">
        <w:rPr>
          <w:rFonts w:ascii="Palatino Linotype" w:hAnsi="Palatino Linotype" w:cs="Arial"/>
        </w:rPr>
        <w:t xml:space="preserve">la información de las retenciones por concepto de </w:t>
      </w:r>
      <w:r w:rsidR="00E60580">
        <w:rPr>
          <w:rFonts w:ascii="Palatino Linotype" w:hAnsi="Palatino Linotype" w:cs="Arial"/>
        </w:rPr>
        <w:t>adeudos con el ISSSTE</w:t>
      </w:r>
      <w:r w:rsidR="002C2052">
        <w:rPr>
          <w:rFonts w:ascii="Palatino Linotype" w:hAnsi="Palatino Linotype" w:cs="Arial"/>
        </w:rPr>
        <w:t>.</w:t>
      </w:r>
    </w:p>
    <w:p w:rsidR="00B11917" w:rsidRDefault="00B11917" w:rsidP="00EF1AB8">
      <w:pPr>
        <w:spacing w:line="360" w:lineRule="auto"/>
        <w:jc w:val="both"/>
        <w:rPr>
          <w:rFonts w:ascii="Palatino Linotype" w:hAnsi="Palatino Linotype" w:cs="Arial"/>
        </w:rPr>
      </w:pPr>
      <w:r>
        <w:rPr>
          <w:rFonts w:ascii="Palatino Linotype" w:hAnsi="Palatino Linotype" w:cs="Arial"/>
        </w:rPr>
        <w:t>En lo que concierne a las auditorias</w:t>
      </w:r>
      <w:r w:rsidR="00A6171C">
        <w:rPr>
          <w:rFonts w:ascii="Palatino Linotype" w:hAnsi="Palatino Linotype" w:cs="Arial"/>
        </w:rPr>
        <w:t xml:space="preserve"> </w:t>
      </w:r>
      <w:r w:rsidR="00A6171C" w:rsidRPr="00A6171C">
        <w:rPr>
          <w:rFonts w:ascii="Palatino Linotype" w:hAnsi="Palatino Linotype" w:cs="Arial"/>
        </w:rPr>
        <w:t>respecto a</w:t>
      </w:r>
      <w:r w:rsidR="00A6171C">
        <w:rPr>
          <w:rFonts w:ascii="Palatino Linotype" w:hAnsi="Palatino Linotype" w:cs="Arial"/>
        </w:rPr>
        <w:t>l</w:t>
      </w:r>
      <w:r w:rsidR="00A6171C" w:rsidRPr="00A6171C">
        <w:rPr>
          <w:rFonts w:ascii="Palatino Linotype" w:hAnsi="Palatino Linotype" w:cs="Arial"/>
        </w:rPr>
        <w:t xml:space="preserve"> cumplimiento de la trasferencia de </w:t>
      </w:r>
      <w:r w:rsidR="00A6171C">
        <w:rPr>
          <w:rFonts w:ascii="Palatino Linotype" w:hAnsi="Palatino Linotype" w:cs="Arial"/>
        </w:rPr>
        <w:t>participaciones y aportaciones Estatales y F</w:t>
      </w:r>
      <w:r w:rsidR="00A6171C" w:rsidRPr="00A6171C">
        <w:rPr>
          <w:rFonts w:ascii="Palatino Linotype" w:hAnsi="Palatino Linotype" w:cs="Arial"/>
        </w:rPr>
        <w:t>ederales a los municipios</w:t>
      </w:r>
      <w:r w:rsidR="00A6171C">
        <w:rPr>
          <w:rFonts w:ascii="Palatino Linotype" w:hAnsi="Palatino Linotype" w:cs="Arial"/>
        </w:rPr>
        <w:t xml:space="preserve"> de Toluca y Naucalpan de Juárez</w:t>
      </w:r>
      <w:r>
        <w:rPr>
          <w:rFonts w:ascii="Palatino Linotype" w:hAnsi="Palatino Linotype" w:cs="Arial"/>
        </w:rPr>
        <w:t>, es notorio que el particular solicitó las auditorías realizadas</w:t>
      </w:r>
      <w:r w:rsidR="00C8318B">
        <w:rPr>
          <w:rFonts w:eastAsia="Calibri" w:cs="Tahoma"/>
          <w:i/>
          <w:iCs/>
          <w:color w:val="000000"/>
          <w:sz w:val="20"/>
          <w:szCs w:val="20"/>
          <w:lang w:eastAsia="es-MX"/>
        </w:rPr>
        <w:t xml:space="preserve"> </w:t>
      </w:r>
      <w:r w:rsidR="00A6171C">
        <w:rPr>
          <w:rFonts w:ascii="Palatino Linotype" w:hAnsi="Palatino Linotype" w:cs="Arial"/>
        </w:rPr>
        <w:t xml:space="preserve">por el OSFEM (Organismo Superior de Fiscalización del Estado de México) </w:t>
      </w:r>
      <w:r w:rsidR="002F1956">
        <w:rPr>
          <w:rFonts w:ascii="Palatino Linotype" w:hAnsi="Palatino Linotype" w:cs="Arial"/>
        </w:rPr>
        <w:t xml:space="preserve">que depende del Poder Legislativo del Estado de México </w:t>
      </w:r>
      <w:r w:rsidR="00A6171C">
        <w:rPr>
          <w:rFonts w:ascii="Palatino Linotype" w:hAnsi="Palatino Linotype" w:cs="Arial"/>
        </w:rPr>
        <w:t xml:space="preserve">y la ASF (Auditoria Superior de la Federación), </w:t>
      </w:r>
      <w:r w:rsidR="00705F0B">
        <w:rPr>
          <w:rFonts w:ascii="Palatino Linotype" w:hAnsi="Palatino Linotype" w:cs="Arial"/>
        </w:rPr>
        <w:t xml:space="preserve">por lo que </w:t>
      </w:r>
      <w:r w:rsidR="00A6171C">
        <w:rPr>
          <w:rFonts w:ascii="Palatino Linotype" w:hAnsi="Palatino Linotype" w:cs="Arial"/>
        </w:rPr>
        <w:t>es obvio, que dicha información la deben tener los propios Ayuntamientos multirreferidos, al ser entes fiscalizables el OSFEM y la ASF, en términos de los preceptos legales 8 fracción VI de la Ley de Fiscalización Superior del Estado d</w:t>
      </w:r>
      <w:r w:rsidR="00A6171C" w:rsidRPr="00A6171C">
        <w:rPr>
          <w:rFonts w:ascii="Palatino Linotype" w:hAnsi="Palatino Linotype" w:cs="Arial"/>
        </w:rPr>
        <w:t>e México</w:t>
      </w:r>
      <w:r w:rsidR="003843EC">
        <w:rPr>
          <w:rFonts w:ascii="Palatino Linotype" w:hAnsi="Palatino Linotype" w:cs="Arial"/>
        </w:rPr>
        <w:t xml:space="preserve"> </w:t>
      </w:r>
      <w:r w:rsidR="00705F0B">
        <w:rPr>
          <w:rFonts w:ascii="Palatino Linotype" w:hAnsi="Palatino Linotype" w:cs="Arial"/>
        </w:rPr>
        <w:t>y 17 fracción I y VI de la Ley de Fiscalización y Rendición de C</w:t>
      </w:r>
      <w:r w:rsidR="00705F0B" w:rsidRPr="00705F0B">
        <w:rPr>
          <w:rFonts w:ascii="Palatino Linotype" w:hAnsi="Palatino Linotype" w:cs="Arial"/>
        </w:rPr>
        <w:t xml:space="preserve">uentas de la </w:t>
      </w:r>
      <w:r w:rsidR="00705F0B">
        <w:rPr>
          <w:rFonts w:ascii="Palatino Linotype" w:hAnsi="Palatino Linotype" w:cs="Arial"/>
        </w:rPr>
        <w:t>F</w:t>
      </w:r>
      <w:r w:rsidR="00705F0B" w:rsidRPr="00705F0B">
        <w:rPr>
          <w:rFonts w:ascii="Palatino Linotype" w:hAnsi="Palatino Linotype" w:cs="Arial"/>
        </w:rPr>
        <w:t>ederación</w:t>
      </w:r>
      <w:r w:rsidR="00705F0B">
        <w:rPr>
          <w:rFonts w:ascii="Palatino Linotype" w:hAnsi="Palatino Linotype" w:cs="Arial"/>
        </w:rPr>
        <w:t>, que señalan:</w:t>
      </w:r>
    </w:p>
    <w:p w:rsidR="00EF1AB8" w:rsidRDefault="00EF1AB8" w:rsidP="00EF1AB8">
      <w:pPr>
        <w:spacing w:line="360" w:lineRule="auto"/>
        <w:jc w:val="both"/>
        <w:rPr>
          <w:rFonts w:ascii="Palatino Linotype" w:hAnsi="Palatino Linotype" w:cs="Arial"/>
        </w:rPr>
      </w:pPr>
    </w:p>
    <w:p w:rsidR="00A6171C" w:rsidRPr="00705F0B" w:rsidRDefault="00A6171C" w:rsidP="00705F0B">
      <w:pPr>
        <w:ind w:left="851" w:right="899"/>
        <w:jc w:val="both"/>
        <w:rPr>
          <w:rFonts w:ascii="Palatino Linotype" w:hAnsi="Palatino Linotype" w:cs="Arial"/>
          <w:b/>
          <w:i/>
          <w:sz w:val="22"/>
          <w:szCs w:val="22"/>
          <w:lang w:eastAsia="es-MX"/>
        </w:rPr>
      </w:pPr>
      <w:r w:rsidRPr="00705F0B">
        <w:rPr>
          <w:rFonts w:ascii="Palatino Linotype" w:hAnsi="Palatino Linotype" w:cs="Arial"/>
          <w:b/>
          <w:i/>
          <w:sz w:val="22"/>
          <w:szCs w:val="22"/>
          <w:lang w:eastAsia="es-MX"/>
        </w:rPr>
        <w:t>Artículo 8.- El Órgano Superior tendrá las siguientes atribuciones:</w:t>
      </w:r>
    </w:p>
    <w:p w:rsidR="00A6171C" w:rsidRPr="00705F0B" w:rsidRDefault="00A6171C" w:rsidP="00705F0B">
      <w:pPr>
        <w:ind w:left="851" w:right="899"/>
        <w:jc w:val="both"/>
        <w:rPr>
          <w:rFonts w:ascii="Palatino Linotype" w:hAnsi="Palatino Linotype" w:cs="Arial"/>
          <w:i/>
          <w:sz w:val="22"/>
          <w:szCs w:val="22"/>
          <w:lang w:eastAsia="es-MX"/>
        </w:rPr>
      </w:pPr>
      <w:r w:rsidRPr="00705F0B">
        <w:rPr>
          <w:rFonts w:ascii="Palatino Linotype" w:hAnsi="Palatino Linotype" w:cs="Arial"/>
          <w:i/>
          <w:sz w:val="22"/>
          <w:szCs w:val="22"/>
          <w:lang w:eastAsia="es-MX"/>
        </w:rPr>
        <w:t>…</w:t>
      </w:r>
    </w:p>
    <w:p w:rsidR="00A6171C" w:rsidRPr="00705F0B" w:rsidRDefault="00A6171C" w:rsidP="00705F0B">
      <w:pPr>
        <w:ind w:left="851" w:right="899"/>
        <w:jc w:val="both"/>
        <w:rPr>
          <w:rFonts w:ascii="Palatino Linotype" w:hAnsi="Palatino Linotype" w:cs="Arial"/>
          <w:b/>
          <w:i/>
          <w:sz w:val="22"/>
          <w:szCs w:val="22"/>
          <w:lang w:eastAsia="es-MX"/>
        </w:rPr>
      </w:pPr>
      <w:r w:rsidRPr="00705F0B">
        <w:rPr>
          <w:rFonts w:ascii="Palatino Linotype" w:hAnsi="Palatino Linotype" w:cs="Arial"/>
          <w:b/>
          <w:i/>
          <w:sz w:val="22"/>
          <w:szCs w:val="22"/>
          <w:u w:val="single"/>
          <w:lang w:eastAsia="es-MX"/>
        </w:rPr>
        <w:t>VI. Practicar auditorías de desempeño</w:t>
      </w:r>
      <w:r w:rsidRPr="00705F0B">
        <w:rPr>
          <w:rFonts w:ascii="Palatino Linotype" w:hAnsi="Palatino Linotype" w:cs="Arial"/>
          <w:b/>
          <w:i/>
          <w:sz w:val="22"/>
          <w:szCs w:val="22"/>
          <w:lang w:eastAsia="es-MX"/>
        </w:rPr>
        <w:t xml:space="preserve"> en el cumplimiento de los objetivos contenidos en los programas, conforme a los indicadores que correspondan y </w:t>
      </w:r>
      <w:r w:rsidRPr="00705F0B">
        <w:rPr>
          <w:rFonts w:ascii="Palatino Linotype" w:hAnsi="Palatino Linotype" w:cs="Arial"/>
          <w:b/>
          <w:i/>
          <w:sz w:val="22"/>
          <w:szCs w:val="22"/>
          <w:u w:val="single"/>
          <w:lang w:eastAsia="es-MX"/>
        </w:rPr>
        <w:t>evaluar la eficacia, eficiencia y economía en el uso de los recursos públicos por las entidades fiscalizables</w:t>
      </w:r>
      <w:r w:rsidRPr="00705F0B">
        <w:rPr>
          <w:rFonts w:ascii="Palatino Linotype" w:hAnsi="Palatino Linotype" w:cs="Arial"/>
          <w:b/>
          <w:i/>
          <w:sz w:val="22"/>
          <w:szCs w:val="22"/>
          <w:lang w:eastAsia="es-MX"/>
        </w:rPr>
        <w:t>, la congruencia del ejercicio de los presupuestos con los programas y de estos con los planes y políticas públicas conforme a los estándares internacionales;</w:t>
      </w:r>
    </w:p>
    <w:p w:rsidR="00A6171C" w:rsidRDefault="00A6171C" w:rsidP="00705F0B">
      <w:pPr>
        <w:ind w:left="851" w:right="899"/>
        <w:jc w:val="both"/>
        <w:rPr>
          <w:rFonts w:ascii="Palatino Linotype" w:hAnsi="Palatino Linotype" w:cs="Arial"/>
          <w:i/>
          <w:sz w:val="22"/>
          <w:szCs w:val="22"/>
          <w:lang w:eastAsia="es-MX"/>
        </w:rPr>
      </w:pPr>
      <w:r w:rsidRPr="00705F0B">
        <w:rPr>
          <w:rFonts w:ascii="Palatino Linotype" w:hAnsi="Palatino Linotype" w:cs="Arial"/>
          <w:i/>
          <w:sz w:val="22"/>
          <w:szCs w:val="22"/>
          <w:lang w:eastAsia="es-MX"/>
        </w:rPr>
        <w:t>…</w:t>
      </w:r>
    </w:p>
    <w:p w:rsidR="002F1956" w:rsidRDefault="002F1956" w:rsidP="00705F0B">
      <w:pPr>
        <w:ind w:left="851" w:right="899"/>
        <w:jc w:val="both"/>
        <w:rPr>
          <w:rFonts w:ascii="Palatino Linotype" w:hAnsi="Palatino Linotype" w:cs="Arial"/>
          <w:b/>
          <w:i/>
          <w:sz w:val="22"/>
          <w:szCs w:val="22"/>
          <w:lang w:eastAsia="es-MX"/>
        </w:rPr>
      </w:pPr>
      <w:r w:rsidRPr="002F1956">
        <w:rPr>
          <w:rFonts w:ascii="Palatino Linotype" w:hAnsi="Palatino Linotype" w:cs="Arial"/>
          <w:b/>
          <w:i/>
          <w:sz w:val="22"/>
          <w:szCs w:val="22"/>
          <w:lang w:eastAsia="es-MX"/>
        </w:rPr>
        <w:t xml:space="preserve">Artículo 3.- La revisión y fiscalización de las cuentas públicas, es </w:t>
      </w:r>
      <w:r w:rsidRPr="002F1956">
        <w:rPr>
          <w:rFonts w:ascii="Palatino Linotype" w:hAnsi="Palatino Linotype" w:cs="Arial"/>
          <w:b/>
          <w:i/>
          <w:sz w:val="22"/>
          <w:szCs w:val="22"/>
          <w:u w:val="single"/>
          <w:lang w:eastAsia="es-MX"/>
        </w:rPr>
        <w:t>facultad de la Legislatura</w:t>
      </w:r>
      <w:r w:rsidRPr="002F1956">
        <w:rPr>
          <w:rFonts w:ascii="Palatino Linotype" w:hAnsi="Palatino Linotype" w:cs="Arial"/>
          <w:b/>
          <w:i/>
          <w:sz w:val="22"/>
          <w:szCs w:val="22"/>
          <w:lang w:eastAsia="es-MX"/>
        </w:rPr>
        <w:t xml:space="preserve">. </w:t>
      </w:r>
    </w:p>
    <w:p w:rsidR="002F1956" w:rsidRDefault="002F1956" w:rsidP="00705F0B">
      <w:pPr>
        <w:ind w:left="851" w:right="899"/>
        <w:jc w:val="both"/>
        <w:rPr>
          <w:rFonts w:ascii="Palatino Linotype" w:hAnsi="Palatino Linotype" w:cs="Arial"/>
          <w:b/>
          <w:i/>
          <w:sz w:val="22"/>
          <w:szCs w:val="22"/>
          <w:lang w:eastAsia="es-MX"/>
        </w:rPr>
      </w:pPr>
      <w:r w:rsidRPr="002F1956">
        <w:rPr>
          <w:rFonts w:ascii="Palatino Linotype" w:hAnsi="Palatino Linotype" w:cs="Arial"/>
          <w:b/>
          <w:i/>
          <w:sz w:val="22"/>
          <w:szCs w:val="22"/>
          <w:u w:val="single"/>
          <w:lang w:eastAsia="es-MX"/>
        </w:rPr>
        <w:t xml:space="preserve">Para efectos de la fiscalización, se auxiliará del Órgano Superior, dotado de autonomía técnica y de gestión en el ejercicio de sus atribuciones y </w:t>
      </w:r>
      <w:r w:rsidRPr="002F1956">
        <w:rPr>
          <w:rFonts w:ascii="Palatino Linotype" w:hAnsi="Palatino Linotype" w:cs="Arial"/>
          <w:b/>
          <w:i/>
          <w:sz w:val="22"/>
          <w:szCs w:val="22"/>
          <w:u w:val="single"/>
          <w:lang w:eastAsia="es-MX"/>
        </w:rPr>
        <w:lastRenderedPageBreak/>
        <w:t>para decidir sobre su organización interna, funcionamiento y resoluciones, en los términos que disponga la legislación aplicable</w:t>
      </w:r>
      <w:r w:rsidRPr="002F1956">
        <w:rPr>
          <w:rFonts w:ascii="Palatino Linotype" w:hAnsi="Palatino Linotype" w:cs="Arial"/>
          <w:b/>
          <w:i/>
          <w:sz w:val="22"/>
          <w:szCs w:val="22"/>
          <w:lang w:eastAsia="es-MX"/>
        </w:rPr>
        <w:t xml:space="preserve">. </w:t>
      </w:r>
    </w:p>
    <w:p w:rsidR="002F1956" w:rsidRPr="002F1956" w:rsidRDefault="002F1956" w:rsidP="00705F0B">
      <w:pPr>
        <w:ind w:left="851" w:right="899"/>
        <w:jc w:val="both"/>
        <w:rPr>
          <w:rFonts w:ascii="Palatino Linotype" w:hAnsi="Palatino Linotype" w:cs="Arial"/>
          <w:b/>
          <w:i/>
          <w:sz w:val="22"/>
          <w:szCs w:val="22"/>
          <w:lang w:eastAsia="es-MX"/>
        </w:rPr>
      </w:pPr>
      <w:r w:rsidRPr="002F1956">
        <w:rPr>
          <w:rFonts w:ascii="Palatino Linotype" w:hAnsi="Palatino Linotype" w:cs="Arial"/>
          <w:b/>
          <w:i/>
          <w:sz w:val="22"/>
          <w:szCs w:val="22"/>
          <w:lang w:eastAsia="es-MX"/>
        </w:rPr>
        <w:t>El Órgano Superior para su operación contará con un presupuesto que será no menor del 14 por ciento del presupuesto aprobado a la Legislatura. El Órgano Superior será vigilado y supervisado por una Comisión de la Legislatura, en los términos de la presente Ley.</w:t>
      </w:r>
    </w:p>
    <w:p w:rsidR="00A6171C" w:rsidRPr="003843EC" w:rsidRDefault="00705F0B" w:rsidP="003843EC">
      <w:pPr>
        <w:ind w:left="851" w:right="899"/>
        <w:jc w:val="both"/>
        <w:rPr>
          <w:rFonts w:ascii="Palatino Linotype" w:hAnsi="Palatino Linotype" w:cs="Arial"/>
          <w:i/>
          <w:sz w:val="22"/>
          <w:szCs w:val="22"/>
          <w:lang w:eastAsia="es-MX"/>
        </w:rPr>
      </w:pPr>
      <w:r w:rsidRPr="00705F0B">
        <w:rPr>
          <w:rFonts w:ascii="Palatino Linotype" w:hAnsi="Palatino Linotype" w:cs="Arial"/>
          <w:b/>
          <w:i/>
          <w:sz w:val="22"/>
          <w:szCs w:val="22"/>
          <w:lang w:eastAsia="es-MX"/>
        </w:rPr>
        <w:t>…</w:t>
      </w:r>
    </w:p>
    <w:p w:rsidR="00F5557A" w:rsidRDefault="00705F0B" w:rsidP="00705F0B">
      <w:pPr>
        <w:ind w:left="851" w:right="899"/>
        <w:jc w:val="both"/>
        <w:rPr>
          <w:rFonts w:ascii="Palatino Linotype" w:hAnsi="Palatino Linotype" w:cs="Arial"/>
          <w:b/>
          <w:i/>
          <w:sz w:val="22"/>
          <w:szCs w:val="22"/>
          <w:lang w:eastAsia="es-MX"/>
        </w:rPr>
      </w:pPr>
      <w:r w:rsidRPr="00705F0B">
        <w:rPr>
          <w:rFonts w:ascii="Palatino Linotype" w:hAnsi="Palatino Linotype" w:cs="Arial"/>
          <w:b/>
          <w:i/>
          <w:sz w:val="22"/>
          <w:szCs w:val="22"/>
          <w:lang w:eastAsia="es-MX"/>
        </w:rPr>
        <w:t xml:space="preserve">Artículo 17.- Para la fiscalización de la Cuenta Pública, </w:t>
      </w:r>
      <w:r w:rsidRPr="00705F0B">
        <w:rPr>
          <w:rFonts w:ascii="Palatino Linotype" w:hAnsi="Palatino Linotype" w:cs="Arial"/>
          <w:b/>
          <w:i/>
          <w:sz w:val="22"/>
          <w:szCs w:val="22"/>
          <w:u w:val="single"/>
          <w:lang w:eastAsia="es-MX"/>
        </w:rPr>
        <w:t>la Auditoría Superior de la Federación</w:t>
      </w:r>
      <w:r w:rsidRPr="00705F0B">
        <w:rPr>
          <w:rFonts w:ascii="Palatino Linotype" w:hAnsi="Palatino Linotype" w:cs="Arial"/>
          <w:b/>
          <w:i/>
          <w:sz w:val="22"/>
          <w:szCs w:val="22"/>
          <w:lang w:eastAsia="es-MX"/>
        </w:rPr>
        <w:t xml:space="preserve"> tendrá las atribuciones siguientes:</w:t>
      </w:r>
    </w:p>
    <w:p w:rsidR="00705F0B" w:rsidRPr="00705F0B" w:rsidRDefault="00705F0B" w:rsidP="00705F0B">
      <w:pPr>
        <w:ind w:left="851" w:right="899"/>
        <w:jc w:val="both"/>
        <w:rPr>
          <w:rFonts w:ascii="Palatino Linotype" w:hAnsi="Palatino Linotype" w:cs="Arial"/>
          <w:b/>
          <w:i/>
          <w:sz w:val="22"/>
          <w:szCs w:val="22"/>
          <w:lang w:eastAsia="es-MX"/>
        </w:rPr>
      </w:pPr>
      <w:r>
        <w:rPr>
          <w:rFonts w:ascii="Palatino Linotype" w:hAnsi="Palatino Linotype" w:cs="Arial"/>
          <w:b/>
          <w:i/>
          <w:sz w:val="22"/>
          <w:szCs w:val="22"/>
          <w:lang w:eastAsia="es-MX"/>
        </w:rPr>
        <w:t>…</w:t>
      </w:r>
    </w:p>
    <w:p w:rsidR="00705F0B" w:rsidRDefault="00705F0B" w:rsidP="00705F0B">
      <w:pPr>
        <w:ind w:left="851" w:right="899"/>
        <w:jc w:val="both"/>
        <w:rPr>
          <w:rFonts w:ascii="Palatino Linotype" w:hAnsi="Palatino Linotype" w:cs="Arial"/>
          <w:i/>
          <w:sz w:val="22"/>
          <w:szCs w:val="22"/>
          <w:lang w:eastAsia="es-MX"/>
        </w:rPr>
      </w:pPr>
      <w:r w:rsidRPr="00705F0B">
        <w:rPr>
          <w:rFonts w:ascii="Palatino Linotype" w:hAnsi="Palatino Linotype" w:cs="Arial"/>
          <w:b/>
          <w:i/>
          <w:sz w:val="22"/>
          <w:szCs w:val="22"/>
          <w:lang w:eastAsia="es-MX"/>
        </w:rPr>
        <w:t>I. Realizar,</w:t>
      </w:r>
      <w:r w:rsidRPr="00705F0B">
        <w:rPr>
          <w:rFonts w:ascii="Palatino Linotype" w:hAnsi="Palatino Linotype" w:cs="Arial"/>
          <w:i/>
          <w:sz w:val="22"/>
          <w:szCs w:val="22"/>
          <w:lang w:eastAsia="es-MX"/>
        </w:rPr>
        <w:t xml:space="preserve"> conforme al programa anual de auditorías aprobado</w:t>
      </w:r>
      <w:r w:rsidRPr="00705F0B">
        <w:rPr>
          <w:rFonts w:ascii="Palatino Linotype" w:hAnsi="Palatino Linotype" w:cs="Arial"/>
          <w:b/>
          <w:i/>
          <w:sz w:val="22"/>
          <w:szCs w:val="22"/>
          <w:lang w:eastAsia="es-MX"/>
        </w:rPr>
        <w:t>, las auditorías e investigaciones</w:t>
      </w:r>
      <w:r w:rsidRPr="00705F0B">
        <w:rPr>
          <w:rFonts w:ascii="Palatino Linotype" w:hAnsi="Palatino Linotype" w:cs="Arial"/>
          <w:i/>
          <w:sz w:val="22"/>
          <w:szCs w:val="22"/>
          <w:lang w:eastAsia="es-MX"/>
        </w:rPr>
        <w:t xml:space="preserve">. Para la práctica de Auditorías, la Auditoría Superior de la Federación podrá solicitar información y documentación durante el desarrollo de las mismas. </w:t>
      </w:r>
    </w:p>
    <w:p w:rsidR="00F5557A" w:rsidRDefault="00705F0B" w:rsidP="00705F0B">
      <w:pPr>
        <w:ind w:left="851" w:right="899"/>
        <w:jc w:val="both"/>
        <w:rPr>
          <w:rFonts w:ascii="Palatino Linotype" w:hAnsi="Palatino Linotype" w:cs="Arial"/>
          <w:i/>
          <w:sz w:val="22"/>
          <w:szCs w:val="22"/>
          <w:lang w:eastAsia="es-MX"/>
        </w:rPr>
      </w:pPr>
      <w:r w:rsidRPr="00705F0B">
        <w:rPr>
          <w:rFonts w:ascii="Palatino Linotype" w:hAnsi="Palatino Linotype" w:cs="Arial"/>
          <w:i/>
          <w:sz w:val="22"/>
          <w:szCs w:val="22"/>
          <w:lang w:eastAsia="es-MX"/>
        </w:rPr>
        <w:t>La Auditoría Superior de la Federación podrá iniciar el proceso de fiscalización a partir del primer día hábil del ejercicio fiscal siguiente, sin perjuicio de que las observaciones o recomendaciones que, en su caso realice, deberán referirse a la información definitiva presentada en la Cuenta Pública. Una vez que le sea entregada la Cuenta Pública, podrá realizar las modificaciones al programa anual de las auditorías que se requieran y lo hará del conocimiento de la Comisión;</w:t>
      </w:r>
    </w:p>
    <w:p w:rsidR="00705F0B" w:rsidRDefault="00705F0B" w:rsidP="00705F0B">
      <w:pPr>
        <w:ind w:left="851" w:right="899"/>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705F0B" w:rsidRPr="00705F0B" w:rsidRDefault="00705F0B" w:rsidP="00705F0B">
      <w:pPr>
        <w:ind w:left="851" w:right="899"/>
        <w:jc w:val="both"/>
        <w:rPr>
          <w:rFonts w:ascii="Palatino Linotype" w:hAnsi="Palatino Linotype" w:cs="Arial"/>
          <w:i/>
          <w:sz w:val="22"/>
          <w:szCs w:val="22"/>
          <w:lang w:eastAsia="es-MX"/>
        </w:rPr>
      </w:pPr>
      <w:r w:rsidRPr="00705F0B">
        <w:rPr>
          <w:rFonts w:ascii="Palatino Linotype" w:hAnsi="Palatino Linotype" w:cs="Arial"/>
          <w:b/>
          <w:i/>
          <w:sz w:val="22"/>
          <w:szCs w:val="22"/>
          <w:lang w:eastAsia="es-MX"/>
        </w:rPr>
        <w:t>VI. Verificar que las entidades fiscalizadas que hubieren captado, recaudado, custodiado, manejado, administrado, aplicado o ejercido recursos públicos</w:t>
      </w:r>
      <w:r w:rsidRPr="00705F0B">
        <w:rPr>
          <w:rFonts w:ascii="Palatino Linotype" w:hAnsi="Palatino Linotype" w:cs="Arial"/>
          <w:i/>
          <w:sz w:val="22"/>
          <w:szCs w:val="22"/>
          <w:lang w:eastAsia="es-MX"/>
        </w:rPr>
        <w:t>, lo hayan realizado conforme a los programas aprobados y montos autorizados, así como en el caso de los egresos, con cargo a las partidas correspondientes; además, con apego a las disposiciones legales, reglamentarias y administrativas aplicables;</w:t>
      </w:r>
      <w:r>
        <w:rPr>
          <w:rFonts w:ascii="Palatino Linotype" w:hAnsi="Palatino Linotype" w:cs="Arial"/>
          <w:i/>
          <w:sz w:val="22"/>
          <w:szCs w:val="22"/>
          <w:lang w:eastAsia="es-MX"/>
        </w:rPr>
        <w:t>…” (Sic)</w:t>
      </w:r>
    </w:p>
    <w:p w:rsidR="00EF1AB8" w:rsidRDefault="00EF1AB8" w:rsidP="00F3578F">
      <w:pPr>
        <w:spacing w:line="360" w:lineRule="auto"/>
        <w:jc w:val="both"/>
        <w:rPr>
          <w:rFonts w:ascii="Palatino Linotype" w:hAnsi="Palatino Linotype" w:cs="Arial"/>
        </w:rPr>
      </w:pPr>
    </w:p>
    <w:p w:rsidR="00705F0B" w:rsidRDefault="00F3578F" w:rsidP="00F3578F">
      <w:pPr>
        <w:spacing w:line="360" w:lineRule="auto"/>
        <w:jc w:val="both"/>
        <w:rPr>
          <w:rFonts w:ascii="Palatino Linotype" w:hAnsi="Palatino Linotype" w:cs="Arial"/>
        </w:rPr>
      </w:pPr>
      <w:r>
        <w:rPr>
          <w:rFonts w:ascii="Palatino Linotype" w:hAnsi="Palatino Linotype" w:cs="Arial"/>
        </w:rPr>
        <w:t xml:space="preserve">Máxime, que de acuerdo al </w:t>
      </w:r>
      <w:r w:rsidRPr="00D73EBE">
        <w:rPr>
          <w:rFonts w:ascii="Palatino Linotype" w:eastAsia="Palatino Linotype" w:hAnsi="Palatino Linotype" w:cs="Palatino Linotype"/>
        </w:rPr>
        <w:t>padrón de Sujetos Obligados en materia de Transparencia y Acceso a la Información Pública del Estado de México y Municipios</w:t>
      </w:r>
      <w:r>
        <w:rPr>
          <w:rFonts w:ascii="Palatino Linotype" w:eastAsia="Palatino Linotype" w:hAnsi="Palatino Linotype" w:cs="Palatino Linotype"/>
        </w:rPr>
        <w:t xml:space="preserve"> y p</w:t>
      </w:r>
      <w:r w:rsidRPr="00BD5F90">
        <w:rPr>
          <w:rFonts w:ascii="Palatino Linotype" w:hAnsi="Palatino Linotype" w:cs="Tahoma"/>
        </w:rPr>
        <w:t xml:space="preserve">adrón de Sujetos Obligados del Ámbito Federal, en términos de la Ley General de Transparencia y Acceso a la Información Pública, de veintiséis de mayo de dos mil veinte, en la liga </w:t>
      </w:r>
      <w:hyperlink r:id="rId62" w:history="1">
        <w:r w:rsidRPr="00BD5F90">
          <w:rPr>
            <w:rStyle w:val="Hipervnculo"/>
            <w:rFonts w:ascii="Palatino Linotype" w:hAnsi="Palatino Linotype" w:cs="Tahoma"/>
          </w:rPr>
          <w:t>https://www.fonacot.gob.mx/TransparenciaRendicionCuentas/Documents/Normatividad%20en%20Transparencia/Padron_Sujetos_Obligados%20INAI.pdf</w:t>
        </w:r>
      </w:hyperlink>
      <w:r w:rsidR="00050912">
        <w:rPr>
          <w:rFonts w:ascii="Palatino Linotype" w:hAnsi="Palatino Linotype" w:cs="Tahoma"/>
        </w:rPr>
        <w:t xml:space="preserve">) y </w:t>
      </w:r>
      <w:r w:rsidR="00050912" w:rsidRPr="00050912">
        <w:rPr>
          <w:rFonts w:ascii="Palatino Linotype" w:hAnsi="Palatino Linotype" w:cs="Tahoma"/>
        </w:rPr>
        <w:t>https://www.infoem.org.mx/doc/acuerdos/Acuerdo_Padron_SO.pdf</w:t>
      </w:r>
      <w:r w:rsidR="00050912">
        <w:rPr>
          <w:rFonts w:ascii="Palatino Linotype" w:hAnsi="Palatino Linotype" w:cs="Tahoma"/>
        </w:rPr>
        <w:t>,</w:t>
      </w:r>
      <w:r>
        <w:rPr>
          <w:rFonts w:ascii="Palatino Linotype" w:hAnsi="Palatino Linotype" w:cs="Tahoma"/>
        </w:rPr>
        <w:t xml:space="preserve"> se advierte </w:t>
      </w:r>
      <w:r>
        <w:rPr>
          <w:rFonts w:ascii="Palatino Linotype" w:hAnsi="Palatino Linotype" w:cs="Tahoma"/>
        </w:rPr>
        <w:lastRenderedPageBreak/>
        <w:t>que</w:t>
      </w:r>
      <w:r w:rsidR="005A3F93">
        <w:rPr>
          <w:rFonts w:ascii="Palatino Linotype" w:hAnsi="Palatino Linotype" w:cs="Tahoma"/>
        </w:rPr>
        <w:t xml:space="preserve"> el</w:t>
      </w:r>
      <w:r>
        <w:rPr>
          <w:rFonts w:ascii="Palatino Linotype" w:hAnsi="Palatino Linotype" w:cs="Arial"/>
        </w:rPr>
        <w:t xml:space="preserve"> Organismo Superior de Fiscalización del Estado de México y Auditoria Superior de la Federación, son Sujeto Obligado diversos, como se advierte en las siguientes imágenes que se insertan a continuación:</w:t>
      </w:r>
      <w:r w:rsidR="00050912" w:rsidRPr="00050912">
        <w:rPr>
          <w:noProof/>
          <w:lang w:val="es-MX" w:eastAsia="es-MX"/>
        </w:rPr>
        <w:t xml:space="preserve"> </w:t>
      </w:r>
    </w:p>
    <w:p w:rsidR="00050912" w:rsidRDefault="00050912" w:rsidP="00F3578F">
      <w:pPr>
        <w:spacing w:line="360" w:lineRule="auto"/>
        <w:jc w:val="both"/>
        <w:rPr>
          <w:noProof/>
          <w:lang w:val="es-MX" w:eastAsia="es-MX"/>
        </w:rPr>
      </w:pPr>
    </w:p>
    <w:p w:rsidR="00F3578F" w:rsidRDefault="003843EC" w:rsidP="003843EC">
      <w:pPr>
        <w:spacing w:line="360" w:lineRule="auto"/>
        <w:jc w:val="both"/>
        <w:rPr>
          <w:rFonts w:ascii="Palatino Linotype" w:hAnsi="Palatino Linotype" w:cs="Arial"/>
          <w:color w:val="FF0000"/>
        </w:rPr>
      </w:pPr>
      <w:r>
        <w:rPr>
          <w:noProof/>
          <w:lang w:val="es-MX" w:eastAsia="es-MX"/>
        </w:rPr>
        <mc:AlternateContent>
          <mc:Choice Requires="wps">
            <w:drawing>
              <wp:anchor distT="0" distB="0" distL="114300" distR="114300" simplePos="0" relativeHeight="251666432" behindDoc="0" locked="0" layoutInCell="1" allowOverlap="1" wp14:anchorId="0D28E486" wp14:editId="74D3AAEA">
                <wp:simplePos x="0" y="0"/>
                <wp:positionH relativeFrom="margin">
                  <wp:posOffset>3552588</wp:posOffset>
                </wp:positionH>
                <wp:positionV relativeFrom="paragraph">
                  <wp:posOffset>364813</wp:posOffset>
                </wp:positionV>
                <wp:extent cx="527050" cy="349250"/>
                <wp:effectExtent l="19050" t="19050" r="25400" b="31750"/>
                <wp:wrapNone/>
                <wp:docPr id="23" name="Flecha izquierda 23"/>
                <wp:cNvGraphicFramePr/>
                <a:graphic xmlns:a="http://schemas.openxmlformats.org/drawingml/2006/main">
                  <a:graphicData uri="http://schemas.microsoft.com/office/word/2010/wordprocessingShape">
                    <wps:wsp>
                      <wps:cNvSpPr/>
                      <wps:spPr>
                        <a:xfrm>
                          <a:off x="0" y="0"/>
                          <a:ext cx="527050" cy="3492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50450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23" o:spid="_x0000_s1026" type="#_x0000_t66" style="position:absolute;margin-left:279.75pt;margin-top:28.75pt;width:41.5pt;height:27.5pt;z-index:251666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" adj="7157" fillcolor="#5b9bd5 [3204]" strokecolor="#1f4d78 [1604]" strokeweight="1pt">
                <w10:wrap anchorx="margin"/>
              </v:shape>
            </w:pict>
          </mc:Fallback>
        </mc:AlternateContent>
      </w:r>
      <w:r w:rsidR="002F1956">
        <w:rPr>
          <w:noProof/>
          <w:lang w:val="es-MX" w:eastAsia="es-MX"/>
        </w:rPr>
        <w:drawing>
          <wp:inline distT="0" distB="0" distL="0" distR="0" wp14:anchorId="0D34DEB3" wp14:editId="7229C9D2">
            <wp:extent cx="5295900" cy="9715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38244" t="31584" r="18647" b="56748"/>
                    <a:stretch/>
                  </pic:blipFill>
                  <pic:spPr bwMode="auto">
                    <a:xfrm>
                      <a:off x="0" y="0"/>
                      <a:ext cx="5295900" cy="971550"/>
                    </a:xfrm>
                    <a:prstGeom prst="rect">
                      <a:avLst/>
                    </a:prstGeom>
                    <a:ln>
                      <a:noFill/>
                    </a:ln>
                    <a:extLst>
                      <a:ext uri="{53640926-AAD7-44D8-BBD7-CCE9431645EC}">
                        <a14:shadowObscured xmlns:a14="http://schemas.microsoft.com/office/drawing/2010/main"/>
                      </a:ext>
                    </a:extLst>
                  </pic:spPr>
                </pic:pic>
              </a:graphicData>
            </a:graphic>
          </wp:inline>
        </w:drawing>
      </w:r>
    </w:p>
    <w:p w:rsidR="00F3578F" w:rsidRDefault="003843EC" w:rsidP="00142BE8">
      <w:pPr>
        <w:spacing w:before="240" w:after="240" w:line="360" w:lineRule="auto"/>
        <w:jc w:val="both"/>
        <w:rPr>
          <w:rFonts w:ascii="Palatino Linotype" w:hAnsi="Palatino Linotype" w:cs="Arial"/>
          <w:color w:val="FF0000"/>
        </w:rPr>
      </w:pPr>
      <w:r>
        <w:rPr>
          <w:noProof/>
          <w:lang w:val="es-MX" w:eastAsia="es-MX"/>
        </w:rPr>
        <mc:AlternateContent>
          <mc:Choice Requires="wps">
            <w:drawing>
              <wp:anchor distT="0" distB="0" distL="114300" distR="114300" simplePos="0" relativeHeight="251673600" behindDoc="0" locked="0" layoutInCell="1" allowOverlap="1" wp14:anchorId="6C9C81D4" wp14:editId="4B2DA0F2">
                <wp:simplePos x="0" y="0"/>
                <wp:positionH relativeFrom="margin">
                  <wp:posOffset>2952276</wp:posOffset>
                </wp:positionH>
                <wp:positionV relativeFrom="paragraph">
                  <wp:posOffset>377721</wp:posOffset>
                </wp:positionV>
                <wp:extent cx="527050" cy="349250"/>
                <wp:effectExtent l="19050" t="19050" r="25400" b="31750"/>
                <wp:wrapNone/>
                <wp:docPr id="36" name="Flecha izquierda 36"/>
                <wp:cNvGraphicFramePr/>
                <a:graphic xmlns:a="http://schemas.openxmlformats.org/drawingml/2006/main">
                  <a:graphicData uri="http://schemas.microsoft.com/office/word/2010/wordprocessingShape">
                    <wps:wsp>
                      <wps:cNvSpPr/>
                      <wps:spPr>
                        <a:xfrm>
                          <a:off x="0" y="0"/>
                          <a:ext cx="527050" cy="3492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30407B" id="Flecha izquierda 36" o:spid="_x0000_s1026" type="#_x0000_t66" style="position:absolute;margin-left:232.45pt;margin-top:29.75pt;width:41.5pt;height:27.5pt;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" adj="7157" fillcolor="#5b9bd5 [3204]" strokecolor="#1f4d78 [1604]" strokeweight="1pt">
                <w10:wrap anchorx="margin"/>
              </v:shape>
            </w:pict>
          </mc:Fallback>
        </mc:AlternateContent>
      </w:r>
      <w:r w:rsidR="002F1956">
        <w:rPr>
          <w:noProof/>
          <w:lang w:val="es-MX" w:eastAsia="es-MX"/>
        </w:rPr>
        <w:drawing>
          <wp:inline distT="0" distB="0" distL="0" distR="0" wp14:anchorId="5A59B7F5" wp14:editId="57411734">
            <wp:extent cx="5530850" cy="1016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22629" t="51297" r="25209" b="28988"/>
                    <a:stretch/>
                  </pic:blipFill>
                  <pic:spPr bwMode="auto">
                    <a:xfrm>
                      <a:off x="0" y="0"/>
                      <a:ext cx="5530850" cy="1016000"/>
                    </a:xfrm>
                    <a:prstGeom prst="rect">
                      <a:avLst/>
                    </a:prstGeom>
                    <a:ln>
                      <a:noFill/>
                    </a:ln>
                    <a:extLst>
                      <a:ext uri="{53640926-AAD7-44D8-BBD7-CCE9431645EC}">
                        <a14:shadowObscured xmlns:a14="http://schemas.microsoft.com/office/drawing/2010/main"/>
                      </a:ext>
                    </a:extLst>
                  </pic:spPr>
                </pic:pic>
              </a:graphicData>
            </a:graphic>
          </wp:inline>
        </w:drawing>
      </w:r>
    </w:p>
    <w:p w:rsidR="002F1956" w:rsidRDefault="002F1956" w:rsidP="002F1956">
      <w:pPr>
        <w:spacing w:line="360" w:lineRule="auto"/>
        <w:jc w:val="both"/>
        <w:rPr>
          <w:rFonts w:ascii="Palatino Linotype" w:eastAsia="Calibri" w:hAnsi="Palatino Linotype"/>
        </w:rPr>
      </w:pPr>
      <w:r>
        <w:rPr>
          <w:rFonts w:ascii="Palatino Linotype" w:hAnsi="Palatino Linotype" w:cs="Arial"/>
        </w:rPr>
        <w:t xml:space="preserve">De ahí que, con la imágenes insertadas anteriormente se acreditada la incompetencia a cargo del </w:t>
      </w:r>
      <w:r>
        <w:rPr>
          <w:rFonts w:ascii="Palatino Linotype" w:hAnsi="Palatino Linotype" w:cs="Arial"/>
          <w:b/>
        </w:rPr>
        <w:t>Sujeto Obligado</w:t>
      </w:r>
      <w:r>
        <w:rPr>
          <w:rFonts w:ascii="Palatino Linotype" w:hAnsi="Palatino Linotype" w:cs="Arial"/>
        </w:rPr>
        <w:t xml:space="preserve"> de tener en sus archivos la información peticionada por el particular que se analiza, al corresponder a un Sujeto Obligado distinto la obligación de poseer la información, </w:t>
      </w:r>
      <w:r>
        <w:rPr>
          <w:rFonts w:ascii="Palatino Linotype" w:hAnsi="Palatino Linotype" w:cs="Arial"/>
          <w:color w:val="000000" w:themeColor="text1"/>
        </w:rPr>
        <w:t xml:space="preserve">lo anterior con fundamento en el artículo 12 de la Ley de </w:t>
      </w:r>
      <w:r>
        <w:rPr>
          <w:rFonts w:ascii="Palatino Linotype" w:eastAsia="Calibri" w:hAnsi="Palatino Linotype"/>
        </w:rPr>
        <w:t xml:space="preserve">Transparencia y Acceso a la Información Pública del Estado de México y Municipios, referido, el cual establece la obligación de los </w:t>
      </w:r>
      <w:r>
        <w:rPr>
          <w:rFonts w:ascii="Palatino Linotype" w:eastAsia="Calibri" w:hAnsi="Palatino Linotype"/>
          <w:b/>
        </w:rPr>
        <w:t xml:space="preserve">Sujetos Obligados </w:t>
      </w:r>
      <w:r>
        <w:rPr>
          <w:rFonts w:ascii="Palatino Linotype" w:eastAsia="Calibri" w:hAnsi="Palatino Linotype"/>
        </w:rPr>
        <w:t>de entregar la información pública que se les requiera y obre en sus archivos.</w:t>
      </w:r>
    </w:p>
    <w:p w:rsidR="00EF1AB8" w:rsidRDefault="00EF1AB8" w:rsidP="00EF1AB8">
      <w:pPr>
        <w:spacing w:line="360" w:lineRule="auto"/>
        <w:jc w:val="both"/>
        <w:rPr>
          <w:rFonts w:ascii="Palatino Linotype" w:eastAsia="Calibri" w:hAnsi="Palatino Linotype" w:cs="Tahoma"/>
          <w:bCs/>
          <w:lang w:eastAsia="en-US"/>
        </w:rPr>
      </w:pPr>
    </w:p>
    <w:p w:rsidR="00EF1AB8" w:rsidRPr="00A403BD" w:rsidRDefault="00EF1AB8" w:rsidP="00EF1AB8">
      <w:pPr>
        <w:spacing w:line="360" w:lineRule="auto"/>
        <w:jc w:val="both"/>
        <w:rPr>
          <w:rFonts w:ascii="Palatino Linotype" w:eastAsia="Calibri" w:hAnsi="Palatino Linotype" w:cs="Tahoma"/>
          <w:bCs/>
          <w:lang w:eastAsia="en-US"/>
        </w:rPr>
      </w:pPr>
      <w:r>
        <w:rPr>
          <w:rFonts w:ascii="Palatino Linotype" w:eastAsia="Calibri" w:hAnsi="Palatino Linotype" w:cs="Tahoma"/>
          <w:bCs/>
          <w:lang w:eastAsia="en-US"/>
        </w:rPr>
        <w:t>E</w:t>
      </w:r>
      <w:r w:rsidRPr="00A403BD">
        <w:rPr>
          <w:rFonts w:ascii="Palatino Linotype" w:eastAsia="Calibri" w:hAnsi="Palatino Linotype" w:cs="Tahoma"/>
          <w:bCs/>
          <w:lang w:eastAsia="en-US"/>
        </w:rPr>
        <w:t xml:space="preserve">n </w:t>
      </w:r>
      <w:r w:rsidRPr="00A403BD">
        <w:rPr>
          <w:rFonts w:ascii="Palatino Linotype" w:hAnsi="Palatino Linotype" w:cs="Tahoma"/>
          <w:lang w:eastAsia="es-MX"/>
        </w:rPr>
        <w:t>ese orden de ideas, es de recordar que el primer párrafo del artículo 167 de la Ley de Transparencia y Acceso a la Información Pública del Estado de México y Municipios, establece que cuando las unidades de transparencia determinen la notoria incompetencia deben realizar lo siguiente:</w:t>
      </w:r>
    </w:p>
    <w:p w:rsidR="00EF1AB8" w:rsidRPr="00A403BD" w:rsidRDefault="00EF1AB8" w:rsidP="00EF1AB8">
      <w:pPr>
        <w:spacing w:line="360" w:lineRule="auto"/>
        <w:jc w:val="both"/>
        <w:rPr>
          <w:rFonts w:ascii="Palatino Linotype" w:hAnsi="Palatino Linotype" w:cs="Tahoma"/>
          <w:sz w:val="22"/>
          <w:szCs w:val="22"/>
          <w:lang w:eastAsia="es-MX"/>
        </w:rPr>
      </w:pPr>
    </w:p>
    <w:p w:rsidR="00EF1AB8" w:rsidRPr="00A403BD" w:rsidRDefault="00EF1AB8" w:rsidP="00EF1AB8">
      <w:pPr>
        <w:numPr>
          <w:ilvl w:val="0"/>
          <w:numId w:val="10"/>
        </w:numPr>
        <w:spacing w:line="360" w:lineRule="auto"/>
        <w:contextualSpacing/>
        <w:jc w:val="both"/>
        <w:rPr>
          <w:rFonts w:ascii="Palatino Linotype" w:hAnsi="Palatino Linotype" w:cs="Tahoma"/>
          <w:szCs w:val="22"/>
          <w:lang w:eastAsia="es-MX"/>
        </w:rPr>
      </w:pPr>
      <w:r w:rsidRPr="00A403BD">
        <w:rPr>
          <w:rFonts w:ascii="Palatino Linotype" w:hAnsi="Palatino Linotype" w:cs="Tahoma"/>
          <w:szCs w:val="22"/>
          <w:lang w:eastAsia="es-MX"/>
        </w:rPr>
        <w:lastRenderedPageBreak/>
        <w:t>Hacerlo del conocimiento del Particular, dentro de los tres días hábiles, posteriores a la presentación de la solicitud de información, y</w:t>
      </w:r>
    </w:p>
    <w:p w:rsidR="00EF1AB8" w:rsidRPr="00A403BD" w:rsidRDefault="00EF1AB8" w:rsidP="00EF1AB8">
      <w:pPr>
        <w:spacing w:line="360" w:lineRule="auto"/>
        <w:ind w:left="720"/>
        <w:contextualSpacing/>
        <w:jc w:val="both"/>
        <w:rPr>
          <w:rFonts w:ascii="Palatino Linotype" w:hAnsi="Palatino Linotype" w:cs="Tahoma"/>
          <w:szCs w:val="22"/>
          <w:lang w:eastAsia="es-MX"/>
        </w:rPr>
      </w:pPr>
    </w:p>
    <w:p w:rsidR="00EF1AB8" w:rsidRPr="00FF49FD" w:rsidRDefault="00EF1AB8" w:rsidP="00EF1AB8">
      <w:pPr>
        <w:numPr>
          <w:ilvl w:val="0"/>
          <w:numId w:val="10"/>
        </w:numPr>
        <w:spacing w:line="360" w:lineRule="auto"/>
        <w:contextualSpacing/>
        <w:jc w:val="both"/>
        <w:rPr>
          <w:rFonts w:ascii="Palatino Linotype" w:hAnsi="Palatino Linotype" w:cs="Tahoma"/>
          <w:szCs w:val="22"/>
          <w:lang w:eastAsia="es-MX"/>
        </w:rPr>
      </w:pPr>
      <w:r w:rsidRPr="00A403BD">
        <w:rPr>
          <w:rFonts w:ascii="Palatino Linotype" w:hAnsi="Palatino Linotype" w:cs="Tahoma"/>
          <w:szCs w:val="22"/>
          <w:lang w:eastAsia="es-MX"/>
        </w:rPr>
        <w:t>En caso de conocer el Sujeto Obligado</w:t>
      </w:r>
      <w:r w:rsidRPr="00FF49FD">
        <w:rPr>
          <w:rFonts w:ascii="Palatino Linotype" w:hAnsi="Palatino Linotype" w:cs="Tahoma"/>
          <w:szCs w:val="22"/>
          <w:lang w:eastAsia="es-MX"/>
        </w:rPr>
        <w:t xml:space="preserve"> competente, orientarlo a presentar la solicitud ante el mismo.</w:t>
      </w:r>
    </w:p>
    <w:p w:rsidR="00EF1AB8" w:rsidRPr="00FF49FD" w:rsidRDefault="00EF1AB8" w:rsidP="00EF1AB8">
      <w:pPr>
        <w:spacing w:line="360" w:lineRule="auto"/>
        <w:jc w:val="both"/>
        <w:rPr>
          <w:rFonts w:ascii="Palatino Linotype" w:hAnsi="Palatino Linotype" w:cs="Tahoma"/>
          <w:sz w:val="22"/>
          <w:szCs w:val="22"/>
          <w:lang w:eastAsia="es-MX"/>
        </w:rPr>
      </w:pPr>
    </w:p>
    <w:p w:rsidR="00EF1AB8" w:rsidRDefault="00EF1AB8" w:rsidP="00EF1AB8">
      <w:pPr>
        <w:spacing w:line="360" w:lineRule="auto"/>
        <w:jc w:val="both"/>
        <w:rPr>
          <w:rFonts w:ascii="Palatino Linotype" w:hAnsi="Palatino Linotype" w:cs="Tahoma"/>
          <w:szCs w:val="22"/>
          <w:lang w:eastAsia="es-MX"/>
        </w:rPr>
      </w:pPr>
      <w:r w:rsidRPr="00FF49FD">
        <w:rPr>
          <w:rFonts w:ascii="Palatino Linotype" w:hAnsi="Palatino Linotype" w:cs="Tahoma"/>
          <w:szCs w:val="22"/>
          <w:lang w:eastAsia="es-MX"/>
        </w:rPr>
        <w:t>En el presente caso, de la r</w:t>
      </w:r>
      <w:r>
        <w:rPr>
          <w:rFonts w:ascii="Palatino Linotype" w:hAnsi="Palatino Linotype" w:cs="Tahoma"/>
          <w:szCs w:val="22"/>
          <w:lang w:eastAsia="es-MX"/>
        </w:rPr>
        <w:t>evisión de las constancias de los</w:t>
      </w:r>
      <w:r w:rsidRPr="00FF49FD">
        <w:rPr>
          <w:rFonts w:ascii="Palatino Linotype" w:hAnsi="Palatino Linotype" w:cs="Tahoma"/>
          <w:szCs w:val="22"/>
          <w:lang w:eastAsia="es-MX"/>
        </w:rPr>
        <w:t xml:space="preserve"> expediente</w:t>
      </w:r>
      <w:r>
        <w:rPr>
          <w:rFonts w:ascii="Palatino Linotype" w:hAnsi="Palatino Linotype" w:cs="Tahoma"/>
          <w:szCs w:val="22"/>
          <w:lang w:eastAsia="es-MX"/>
        </w:rPr>
        <w:t>s</w:t>
      </w:r>
      <w:r w:rsidRPr="00FF49FD">
        <w:rPr>
          <w:rFonts w:ascii="Palatino Linotype" w:hAnsi="Palatino Linotype" w:cs="Tahoma"/>
          <w:szCs w:val="22"/>
          <w:lang w:eastAsia="es-MX"/>
        </w:rPr>
        <w:t xml:space="preserve"> electrónico, localizados en el Sistema de Acceso a la Información Mexiqu</w:t>
      </w:r>
      <w:r>
        <w:rPr>
          <w:rFonts w:ascii="Palatino Linotype" w:hAnsi="Palatino Linotype" w:cs="Tahoma"/>
          <w:szCs w:val="22"/>
          <w:lang w:eastAsia="es-MX"/>
        </w:rPr>
        <w:t>ense (SAIMEX), se advierte que el Sujeto Obligado in</w:t>
      </w:r>
      <w:r w:rsidRPr="00FF49FD">
        <w:rPr>
          <w:rFonts w:ascii="Palatino Linotype" w:hAnsi="Palatino Linotype" w:cs="Tahoma"/>
          <w:szCs w:val="22"/>
          <w:lang w:eastAsia="es-MX"/>
        </w:rPr>
        <w:t xml:space="preserve">cumplió con los dos parámetros previamente establecidos, pues </w:t>
      </w:r>
      <w:r>
        <w:rPr>
          <w:rFonts w:ascii="Palatino Linotype" w:hAnsi="Palatino Linotype" w:cs="Tahoma"/>
          <w:szCs w:val="22"/>
          <w:lang w:eastAsia="es-MX"/>
        </w:rPr>
        <w:t xml:space="preserve">no </w:t>
      </w:r>
      <w:r w:rsidRPr="00FF49FD">
        <w:rPr>
          <w:rFonts w:ascii="Palatino Linotype" w:hAnsi="Palatino Linotype" w:cs="Tahoma"/>
          <w:szCs w:val="22"/>
          <w:lang w:eastAsia="es-MX"/>
        </w:rPr>
        <w:t>dio contestación dentro de los tres días hábiles posteriores a la presentación del requerimie</w:t>
      </w:r>
      <w:r>
        <w:rPr>
          <w:rFonts w:ascii="Palatino Linotype" w:hAnsi="Palatino Linotype" w:cs="Tahoma"/>
          <w:szCs w:val="22"/>
          <w:lang w:eastAsia="es-MX"/>
        </w:rPr>
        <w:t>nto; aunado al hecho de que no orientó</w:t>
      </w:r>
      <w:r w:rsidRPr="00FF49FD">
        <w:rPr>
          <w:rFonts w:ascii="Palatino Linotype" w:hAnsi="Palatino Linotype" w:cs="Tahoma"/>
          <w:szCs w:val="22"/>
          <w:lang w:eastAsia="es-MX"/>
        </w:rPr>
        <w:t xml:space="preserve"> en </w:t>
      </w:r>
      <w:r>
        <w:rPr>
          <w:rFonts w:ascii="Palatino Linotype" w:hAnsi="Palatino Linotype" w:cs="Tahoma"/>
          <w:szCs w:val="22"/>
          <w:lang w:eastAsia="es-MX"/>
        </w:rPr>
        <w:t xml:space="preserve">la solicitud ante el Sujeto Obligado competente </w:t>
      </w:r>
      <w:r w:rsidRPr="00FF49FD">
        <w:rPr>
          <w:rFonts w:ascii="Palatino Linotype" w:hAnsi="Palatino Linotype" w:cs="Tahoma"/>
          <w:szCs w:val="22"/>
          <w:lang w:eastAsia="es-MX"/>
        </w:rPr>
        <w:t xml:space="preserve">sin pasar de vista que este último punto es una facultad potestativa del Sujeto Obligado, por lo que, </w:t>
      </w:r>
      <w:r>
        <w:rPr>
          <w:rFonts w:ascii="Palatino Linotype" w:hAnsi="Palatino Linotype" w:cs="Tahoma"/>
          <w:szCs w:val="22"/>
          <w:lang w:eastAsia="es-MX"/>
        </w:rPr>
        <w:t xml:space="preserve">no </w:t>
      </w:r>
      <w:r w:rsidRPr="00FF49FD">
        <w:rPr>
          <w:rFonts w:ascii="Palatino Linotype" w:hAnsi="Palatino Linotype" w:cs="Tahoma"/>
          <w:szCs w:val="22"/>
          <w:lang w:eastAsia="es-MX"/>
        </w:rPr>
        <w:t>se tienen por atendidos lo</w:t>
      </w:r>
      <w:r>
        <w:rPr>
          <w:rFonts w:ascii="Palatino Linotype" w:hAnsi="Palatino Linotype" w:cs="Tahoma"/>
          <w:szCs w:val="22"/>
          <w:lang w:eastAsia="es-MX"/>
        </w:rPr>
        <w:t xml:space="preserve">s requerimientos de información; razones por los cuales lo dable es ordenar el acuerdo de incompetencia sobre la información que le compete </w:t>
      </w:r>
      <w:r w:rsidR="003843EC">
        <w:rPr>
          <w:rFonts w:ascii="Palatino Linotype" w:hAnsi="Palatino Linotype" w:cs="Tahoma"/>
          <w:szCs w:val="22"/>
          <w:lang w:eastAsia="es-MX"/>
        </w:rPr>
        <w:t>al</w:t>
      </w:r>
      <w:r w:rsidR="005A3F93">
        <w:rPr>
          <w:rFonts w:ascii="Palatino Linotype" w:hAnsi="Palatino Linotype" w:cs="Tahoma"/>
          <w:szCs w:val="22"/>
          <w:lang w:eastAsia="es-MX"/>
        </w:rPr>
        <w:t xml:space="preserve"> </w:t>
      </w:r>
      <w:r w:rsidR="005A3F93">
        <w:rPr>
          <w:rFonts w:ascii="Palatino Linotype" w:hAnsi="Palatino Linotype" w:cs="Arial"/>
        </w:rPr>
        <w:t xml:space="preserve">Organismo Superior de Fiscalización del Estado de México y </w:t>
      </w:r>
      <w:r>
        <w:rPr>
          <w:rFonts w:ascii="Palatino Linotype" w:hAnsi="Palatino Linotype" w:cs="Tahoma"/>
          <w:szCs w:val="22"/>
          <w:lang w:eastAsia="es-MX"/>
        </w:rPr>
        <w:t xml:space="preserve">Auditoria </w:t>
      </w:r>
      <w:r w:rsidR="005A3F93">
        <w:rPr>
          <w:rFonts w:ascii="Palatino Linotype" w:hAnsi="Palatino Linotype" w:cs="Tahoma"/>
          <w:szCs w:val="22"/>
          <w:lang w:eastAsia="es-MX"/>
        </w:rPr>
        <w:t>S</w:t>
      </w:r>
      <w:r>
        <w:rPr>
          <w:rFonts w:ascii="Palatino Linotype" w:hAnsi="Palatino Linotype" w:cs="Tahoma"/>
          <w:szCs w:val="22"/>
          <w:lang w:eastAsia="es-MX"/>
        </w:rPr>
        <w:t xml:space="preserve">uperior de la Federación. </w:t>
      </w:r>
    </w:p>
    <w:p w:rsidR="00EF1AB8" w:rsidRDefault="00EF1AB8" w:rsidP="002F1956">
      <w:pPr>
        <w:spacing w:line="360" w:lineRule="auto"/>
        <w:jc w:val="both"/>
        <w:rPr>
          <w:rFonts w:ascii="Palatino Linotype" w:eastAsia="Calibri" w:hAnsi="Palatino Linotype"/>
        </w:rPr>
      </w:pPr>
    </w:p>
    <w:p w:rsidR="002F1956" w:rsidRDefault="002F1956" w:rsidP="002F1956">
      <w:pPr>
        <w:spacing w:line="360" w:lineRule="auto"/>
        <w:jc w:val="both"/>
        <w:rPr>
          <w:rFonts w:ascii="Palatino Linotype" w:eastAsia="Calibri" w:hAnsi="Palatino Linotype" w:cs="Arial"/>
          <w:lang w:val="es-MX" w:eastAsia="en-US"/>
        </w:rPr>
      </w:pPr>
      <w:r>
        <w:rPr>
          <w:rFonts w:ascii="Palatino Linotype" w:hAnsi="Palatino Linotype" w:cs="Arial"/>
        </w:rPr>
        <w:t xml:space="preserve">En cuanto al acuerdo de incompetencia que se ordena, el Sujeto Obligado </w:t>
      </w:r>
      <w:r>
        <w:rPr>
          <w:rFonts w:ascii="Palatino Linotype" w:eastAsia="Calibri" w:hAnsi="Palatino Linotype" w:cs="Arial"/>
        </w:rPr>
        <w:t>deberá atender el contenido del artículo 49 de la citada ley, que se cita a continuación para mayor referencia:</w:t>
      </w:r>
    </w:p>
    <w:p w:rsidR="002F1956" w:rsidRDefault="002F1956" w:rsidP="002F1956">
      <w:pPr>
        <w:autoSpaceDE w:val="0"/>
        <w:autoSpaceDN w:val="0"/>
        <w:adjustRightInd w:val="0"/>
        <w:ind w:left="567" w:right="567"/>
        <w:jc w:val="both"/>
        <w:rPr>
          <w:rFonts w:ascii="Palatino Linotype" w:hAnsi="Palatino Linotype" w:cs="Arial"/>
          <w:b/>
          <w:bCs/>
          <w:i/>
          <w:sz w:val="22"/>
          <w:szCs w:val="22"/>
        </w:rPr>
      </w:pPr>
    </w:p>
    <w:p w:rsidR="002F1956" w:rsidRPr="00D70753" w:rsidRDefault="002F1956" w:rsidP="002F1956">
      <w:pPr>
        <w:autoSpaceDE w:val="0"/>
        <w:autoSpaceDN w:val="0"/>
        <w:adjustRightInd w:val="0"/>
        <w:ind w:left="567" w:right="567"/>
        <w:jc w:val="both"/>
        <w:rPr>
          <w:rFonts w:ascii="Palatino Linotype" w:eastAsiaTheme="minorHAnsi" w:hAnsi="Palatino Linotype" w:cs="Arial"/>
          <w:i/>
          <w:sz w:val="22"/>
          <w:szCs w:val="22"/>
        </w:rPr>
      </w:pPr>
      <w:r w:rsidRPr="00D70753">
        <w:rPr>
          <w:rFonts w:ascii="Palatino Linotype" w:hAnsi="Palatino Linotype" w:cs="Arial"/>
          <w:b/>
          <w:bCs/>
          <w:i/>
          <w:sz w:val="22"/>
          <w:szCs w:val="22"/>
        </w:rPr>
        <w:t xml:space="preserve">“Artículo 49. </w:t>
      </w:r>
      <w:r w:rsidRPr="00D70753">
        <w:rPr>
          <w:rFonts w:ascii="Palatino Linotype" w:hAnsi="Palatino Linotype" w:cs="Arial"/>
          <w:i/>
          <w:sz w:val="22"/>
          <w:szCs w:val="22"/>
        </w:rPr>
        <w:t>Los Comités de Transparencia tendrán las siguientes atribuciones:</w:t>
      </w:r>
    </w:p>
    <w:p w:rsidR="002F1956" w:rsidRPr="00D70753" w:rsidRDefault="002F1956" w:rsidP="002F1956">
      <w:pPr>
        <w:autoSpaceDE w:val="0"/>
        <w:autoSpaceDN w:val="0"/>
        <w:adjustRightInd w:val="0"/>
        <w:ind w:left="567" w:right="567"/>
        <w:jc w:val="both"/>
        <w:rPr>
          <w:rFonts w:ascii="Palatino Linotype" w:hAnsi="Palatino Linotype" w:cs="Arial"/>
          <w:i/>
          <w:sz w:val="22"/>
          <w:szCs w:val="22"/>
        </w:rPr>
      </w:pPr>
      <w:r w:rsidRPr="00D70753">
        <w:rPr>
          <w:rFonts w:ascii="Palatino Linotype" w:hAnsi="Palatino Linotype" w:cs="Arial"/>
          <w:b/>
          <w:bCs/>
          <w:i/>
          <w:sz w:val="22"/>
          <w:szCs w:val="22"/>
        </w:rPr>
        <w:t xml:space="preserve">I. </w:t>
      </w:r>
      <w:r w:rsidRPr="00D70753">
        <w:rPr>
          <w:rFonts w:ascii="Palatino Linotype" w:hAnsi="Palatino Linotype" w:cs="Arial"/>
          <w:i/>
          <w:sz w:val="22"/>
          <w:szCs w:val="22"/>
        </w:rPr>
        <w:t>Instituir, coordinar y supervisar en términos de las disposiciones aplicables, las acciones, medidas y procedimientos que coadyuven a asegurar una mayor eficacia en la gestión y atención de las solicitudes en materia de acceso a la información;</w:t>
      </w:r>
    </w:p>
    <w:p w:rsidR="002F1956" w:rsidRPr="00D70753" w:rsidRDefault="002F1956" w:rsidP="002F1956">
      <w:pPr>
        <w:autoSpaceDE w:val="0"/>
        <w:autoSpaceDN w:val="0"/>
        <w:adjustRightInd w:val="0"/>
        <w:ind w:left="567" w:right="567"/>
        <w:jc w:val="both"/>
        <w:rPr>
          <w:rFonts w:ascii="Palatino Linotype" w:hAnsi="Palatino Linotype" w:cs="Arial"/>
          <w:sz w:val="22"/>
          <w:szCs w:val="22"/>
        </w:rPr>
      </w:pPr>
      <w:r w:rsidRPr="00D70753">
        <w:rPr>
          <w:rFonts w:ascii="Palatino Linotype" w:hAnsi="Palatino Linotype" w:cs="Arial"/>
          <w:b/>
          <w:bCs/>
          <w:i/>
          <w:sz w:val="22"/>
          <w:szCs w:val="22"/>
        </w:rPr>
        <w:t xml:space="preserve">II. </w:t>
      </w:r>
      <w:r w:rsidRPr="00D70753">
        <w:rPr>
          <w:rFonts w:ascii="Palatino Linotype" w:hAnsi="Palatino Linotype" w:cs="Arial"/>
          <w:i/>
          <w:sz w:val="22"/>
          <w:szCs w:val="22"/>
        </w:rPr>
        <w:t xml:space="preserve">Confirmar, modificar o revocar las determinaciones que, en materia de ampliación del plazo de respuesta, clasificación de la información y declaración de inexistencia </w:t>
      </w:r>
      <w:r w:rsidRPr="00D70753">
        <w:rPr>
          <w:rFonts w:ascii="Palatino Linotype" w:hAnsi="Palatino Linotype" w:cs="Arial"/>
          <w:b/>
          <w:i/>
          <w:sz w:val="22"/>
          <w:szCs w:val="22"/>
        </w:rPr>
        <w:t xml:space="preserve">o </w:t>
      </w:r>
      <w:r w:rsidRPr="00D70753">
        <w:rPr>
          <w:rFonts w:ascii="Palatino Linotype" w:hAnsi="Palatino Linotype" w:cs="Arial"/>
          <w:b/>
          <w:i/>
          <w:sz w:val="22"/>
          <w:szCs w:val="22"/>
          <w:u w:val="single"/>
        </w:rPr>
        <w:t xml:space="preserve">de </w:t>
      </w:r>
      <w:r w:rsidRPr="00D70753">
        <w:rPr>
          <w:rFonts w:ascii="Palatino Linotype" w:hAnsi="Palatino Linotype" w:cs="Arial"/>
          <w:b/>
          <w:i/>
          <w:sz w:val="22"/>
          <w:szCs w:val="22"/>
          <w:u w:val="single"/>
        </w:rPr>
        <w:lastRenderedPageBreak/>
        <w:t xml:space="preserve">incompetencia realicen los titulares de las áreas de los sujetos obligados…” </w:t>
      </w:r>
      <w:r w:rsidRPr="00D70753">
        <w:rPr>
          <w:rFonts w:ascii="Palatino Linotype" w:hAnsi="Palatino Linotype" w:cs="Arial"/>
          <w:b/>
          <w:i/>
          <w:sz w:val="22"/>
          <w:szCs w:val="22"/>
        </w:rPr>
        <w:t>(Sic)</w:t>
      </w:r>
    </w:p>
    <w:p w:rsidR="002F1956" w:rsidRDefault="002F1956" w:rsidP="002F1956">
      <w:pPr>
        <w:autoSpaceDE w:val="0"/>
        <w:autoSpaceDN w:val="0"/>
        <w:adjustRightInd w:val="0"/>
        <w:ind w:left="567" w:right="567"/>
        <w:jc w:val="right"/>
        <w:rPr>
          <w:rFonts w:ascii="Palatino Linotype" w:hAnsi="Palatino Linotype" w:cs="Arial"/>
        </w:rPr>
      </w:pPr>
    </w:p>
    <w:p w:rsidR="003843EC" w:rsidRDefault="003843EC" w:rsidP="007B4FF6">
      <w:pPr>
        <w:autoSpaceDE w:val="0"/>
        <w:autoSpaceDN w:val="0"/>
        <w:adjustRightInd w:val="0"/>
        <w:spacing w:line="360" w:lineRule="auto"/>
        <w:jc w:val="both"/>
        <w:rPr>
          <w:rFonts w:ascii="Palatino Linotype" w:hAnsi="Palatino Linotype" w:cs="Arial"/>
        </w:rPr>
      </w:pPr>
      <w:r w:rsidRPr="003843EC">
        <w:rPr>
          <w:rFonts w:ascii="Palatino Linotype" w:hAnsi="Palatino Linotype"/>
        </w:rPr>
        <w:t xml:space="preserve">Finalmente, sobre </w:t>
      </w:r>
      <w:r w:rsidRPr="003843EC">
        <w:rPr>
          <w:rFonts w:ascii="Palatino Linotype" w:hAnsi="Palatino Linotype" w:cs="Arial"/>
        </w:rPr>
        <w:t>las auditorías realizadas</w:t>
      </w:r>
      <w:r w:rsidRPr="003843EC">
        <w:rPr>
          <w:rFonts w:eastAsia="Calibri" w:cs="Tahoma"/>
          <w:i/>
          <w:iCs/>
          <w:color w:val="000000"/>
          <w:sz w:val="20"/>
          <w:szCs w:val="20"/>
          <w:lang w:eastAsia="es-MX"/>
        </w:rPr>
        <w:t xml:space="preserve"> </w:t>
      </w:r>
      <w:r w:rsidRPr="003843EC">
        <w:rPr>
          <w:rFonts w:ascii="Palatino Linotype" w:hAnsi="Palatino Linotype" w:cs="Arial"/>
        </w:rPr>
        <w:t>por la Secretaría de la Contraloría</w:t>
      </w:r>
      <w:r>
        <w:rPr>
          <w:rFonts w:ascii="Palatino Linotype" w:hAnsi="Palatino Linotype" w:cs="Arial"/>
        </w:rPr>
        <w:t xml:space="preserve"> de acuerdo a los artículos 21 fracción XVII, 23 fracción XXX  y 41 </w:t>
      </w:r>
      <w:proofErr w:type="spellStart"/>
      <w:r>
        <w:rPr>
          <w:rFonts w:ascii="Palatino Linotype" w:hAnsi="Palatino Linotype" w:cs="Arial"/>
        </w:rPr>
        <w:t>Quater</w:t>
      </w:r>
      <w:proofErr w:type="spellEnd"/>
      <w:r>
        <w:rPr>
          <w:rFonts w:ascii="Palatino Linotype" w:hAnsi="Palatino Linotype" w:cs="Arial"/>
        </w:rPr>
        <w:t xml:space="preserve"> del Reglamento interior de la Secretaria de Finanzas</w:t>
      </w:r>
      <w:r w:rsidR="007264E1">
        <w:rPr>
          <w:rFonts w:ascii="Palatino Linotype" w:hAnsi="Palatino Linotype" w:cs="Arial"/>
        </w:rPr>
        <w:t>,</w:t>
      </w:r>
      <w:r>
        <w:rPr>
          <w:rFonts w:ascii="Palatino Linotype" w:hAnsi="Palatino Linotype" w:cs="Arial"/>
        </w:rPr>
        <w:t xml:space="preserve"> que señalan: </w:t>
      </w:r>
    </w:p>
    <w:p w:rsidR="003843EC" w:rsidRDefault="003843EC" w:rsidP="007B4FF6">
      <w:pPr>
        <w:autoSpaceDE w:val="0"/>
        <w:autoSpaceDN w:val="0"/>
        <w:adjustRightInd w:val="0"/>
        <w:spacing w:line="360" w:lineRule="auto"/>
        <w:jc w:val="both"/>
      </w:pPr>
    </w:p>
    <w:p w:rsidR="003843EC" w:rsidRPr="003843EC" w:rsidRDefault="003843EC" w:rsidP="003843EC">
      <w:pPr>
        <w:autoSpaceDE w:val="0"/>
        <w:autoSpaceDN w:val="0"/>
        <w:adjustRightInd w:val="0"/>
        <w:ind w:left="567" w:right="567"/>
        <w:jc w:val="both"/>
        <w:rPr>
          <w:rFonts w:ascii="Palatino Linotype" w:hAnsi="Palatino Linotype" w:cs="Arial"/>
          <w:i/>
          <w:sz w:val="22"/>
          <w:szCs w:val="22"/>
        </w:rPr>
      </w:pPr>
      <w:r>
        <w:rPr>
          <w:rFonts w:ascii="Palatino Linotype" w:hAnsi="Palatino Linotype" w:cs="Arial"/>
          <w:i/>
          <w:sz w:val="22"/>
          <w:szCs w:val="22"/>
        </w:rPr>
        <w:t>“</w:t>
      </w:r>
      <w:r w:rsidRPr="003843EC">
        <w:rPr>
          <w:rFonts w:ascii="Palatino Linotype" w:hAnsi="Palatino Linotype" w:cs="Arial"/>
          <w:i/>
          <w:sz w:val="22"/>
          <w:szCs w:val="22"/>
        </w:rPr>
        <w:t>Artículo 21.- Corresponde a la Contaduría General Gubernamental:</w:t>
      </w:r>
    </w:p>
    <w:p w:rsidR="003843EC" w:rsidRPr="003843EC" w:rsidRDefault="003843EC" w:rsidP="003843EC">
      <w:pPr>
        <w:autoSpaceDE w:val="0"/>
        <w:autoSpaceDN w:val="0"/>
        <w:adjustRightInd w:val="0"/>
        <w:ind w:left="567" w:right="567"/>
        <w:jc w:val="both"/>
        <w:rPr>
          <w:rFonts w:ascii="Palatino Linotype" w:hAnsi="Palatino Linotype" w:cs="Arial"/>
          <w:i/>
          <w:sz w:val="22"/>
          <w:szCs w:val="22"/>
        </w:rPr>
      </w:pPr>
      <w:r w:rsidRPr="003843EC">
        <w:rPr>
          <w:rFonts w:ascii="Palatino Linotype" w:hAnsi="Palatino Linotype" w:cs="Arial"/>
          <w:i/>
          <w:sz w:val="22"/>
          <w:szCs w:val="22"/>
        </w:rPr>
        <w:t>…</w:t>
      </w:r>
    </w:p>
    <w:p w:rsidR="003843EC" w:rsidRPr="007264E1" w:rsidRDefault="003843EC" w:rsidP="003843EC">
      <w:pPr>
        <w:autoSpaceDE w:val="0"/>
        <w:autoSpaceDN w:val="0"/>
        <w:adjustRightInd w:val="0"/>
        <w:ind w:left="567" w:right="567"/>
        <w:jc w:val="both"/>
        <w:rPr>
          <w:rFonts w:ascii="Palatino Linotype" w:hAnsi="Palatino Linotype" w:cs="Arial"/>
          <w:b/>
          <w:i/>
          <w:sz w:val="22"/>
          <w:szCs w:val="22"/>
          <w:u w:val="single"/>
        </w:rPr>
      </w:pPr>
      <w:r w:rsidRPr="003843EC">
        <w:rPr>
          <w:rFonts w:ascii="Palatino Linotype" w:hAnsi="Palatino Linotype" w:cs="Arial"/>
          <w:i/>
          <w:sz w:val="22"/>
          <w:szCs w:val="22"/>
        </w:rPr>
        <w:t xml:space="preserve">XVII. Recabar y procesar la información y documentación necesaria para tramitar la </w:t>
      </w:r>
      <w:proofErr w:type="spellStart"/>
      <w:r w:rsidRPr="003843EC">
        <w:rPr>
          <w:rFonts w:ascii="Palatino Linotype" w:hAnsi="Palatino Linotype" w:cs="Arial"/>
          <w:i/>
          <w:sz w:val="22"/>
          <w:szCs w:val="22"/>
        </w:rPr>
        <w:t>solventación</w:t>
      </w:r>
      <w:proofErr w:type="spellEnd"/>
      <w:r w:rsidRPr="003843EC">
        <w:rPr>
          <w:rFonts w:ascii="Palatino Linotype" w:hAnsi="Palatino Linotype" w:cs="Arial"/>
          <w:i/>
          <w:sz w:val="22"/>
          <w:szCs w:val="22"/>
        </w:rPr>
        <w:t xml:space="preserve"> de las observaciones que formulen las instancias facultadas para la fiscalización, verificación, evaluación y control de los recursos públicos, </w:t>
      </w:r>
      <w:r w:rsidRPr="007264E1">
        <w:rPr>
          <w:rFonts w:ascii="Palatino Linotype" w:hAnsi="Palatino Linotype" w:cs="Arial"/>
          <w:b/>
          <w:i/>
          <w:sz w:val="22"/>
          <w:szCs w:val="22"/>
          <w:u w:val="single"/>
        </w:rPr>
        <w:t xml:space="preserve">derivado de las auditorías, </w:t>
      </w:r>
      <w:r w:rsidRPr="0079387A">
        <w:rPr>
          <w:rFonts w:ascii="Palatino Linotype" w:hAnsi="Palatino Linotype" w:cs="Arial"/>
          <w:i/>
          <w:sz w:val="22"/>
          <w:szCs w:val="22"/>
        </w:rPr>
        <w:t>revisiones, verificaciones y</w:t>
      </w:r>
      <w:r w:rsidRPr="007264E1">
        <w:rPr>
          <w:rFonts w:ascii="Palatino Linotype" w:hAnsi="Palatino Linotype" w:cs="Arial"/>
          <w:b/>
          <w:i/>
          <w:sz w:val="22"/>
          <w:szCs w:val="22"/>
          <w:u w:val="single"/>
        </w:rPr>
        <w:t xml:space="preserve"> de los actos de fiscalización que dichas instancias practiquen.</w:t>
      </w:r>
    </w:p>
    <w:p w:rsidR="003843EC" w:rsidRDefault="003843EC" w:rsidP="003843EC">
      <w:pPr>
        <w:autoSpaceDE w:val="0"/>
        <w:autoSpaceDN w:val="0"/>
        <w:adjustRightInd w:val="0"/>
        <w:ind w:left="567" w:right="567"/>
        <w:jc w:val="both"/>
        <w:rPr>
          <w:rFonts w:ascii="Palatino Linotype" w:hAnsi="Palatino Linotype" w:cs="Arial"/>
          <w:i/>
          <w:sz w:val="22"/>
          <w:szCs w:val="22"/>
        </w:rPr>
      </w:pPr>
      <w:r w:rsidRPr="003843EC">
        <w:rPr>
          <w:rFonts w:ascii="Palatino Linotype" w:hAnsi="Palatino Linotype" w:cs="Arial"/>
          <w:i/>
          <w:sz w:val="22"/>
          <w:szCs w:val="22"/>
        </w:rPr>
        <w:t>…</w:t>
      </w:r>
    </w:p>
    <w:p w:rsidR="003843EC" w:rsidRPr="003843EC" w:rsidRDefault="003843EC" w:rsidP="003843EC">
      <w:pPr>
        <w:autoSpaceDE w:val="0"/>
        <w:autoSpaceDN w:val="0"/>
        <w:adjustRightInd w:val="0"/>
        <w:ind w:left="567" w:right="567"/>
        <w:jc w:val="both"/>
        <w:rPr>
          <w:rFonts w:ascii="Palatino Linotype" w:hAnsi="Palatino Linotype" w:cs="Arial"/>
          <w:i/>
          <w:sz w:val="22"/>
          <w:szCs w:val="22"/>
        </w:rPr>
      </w:pPr>
      <w:r w:rsidRPr="003843EC">
        <w:rPr>
          <w:rFonts w:ascii="Palatino Linotype" w:hAnsi="Palatino Linotype" w:cs="Arial"/>
          <w:i/>
          <w:sz w:val="22"/>
          <w:szCs w:val="22"/>
        </w:rPr>
        <w:t>Artículo 23.- Corresponde al Subsecretario de Tesorería:</w:t>
      </w:r>
    </w:p>
    <w:p w:rsidR="003843EC" w:rsidRPr="003843EC" w:rsidRDefault="003843EC" w:rsidP="003843EC">
      <w:pPr>
        <w:autoSpaceDE w:val="0"/>
        <w:autoSpaceDN w:val="0"/>
        <w:adjustRightInd w:val="0"/>
        <w:ind w:left="567" w:right="567"/>
        <w:jc w:val="both"/>
        <w:rPr>
          <w:rFonts w:ascii="Palatino Linotype" w:hAnsi="Palatino Linotype" w:cs="Arial"/>
          <w:i/>
          <w:sz w:val="22"/>
          <w:szCs w:val="22"/>
        </w:rPr>
      </w:pPr>
      <w:r w:rsidRPr="003843EC">
        <w:rPr>
          <w:rFonts w:ascii="Palatino Linotype" w:hAnsi="Palatino Linotype" w:cs="Arial"/>
          <w:i/>
          <w:sz w:val="22"/>
          <w:szCs w:val="22"/>
        </w:rPr>
        <w:t>…</w:t>
      </w:r>
    </w:p>
    <w:p w:rsidR="003843EC" w:rsidRPr="003843EC" w:rsidRDefault="003843EC" w:rsidP="003843EC">
      <w:pPr>
        <w:autoSpaceDE w:val="0"/>
        <w:autoSpaceDN w:val="0"/>
        <w:adjustRightInd w:val="0"/>
        <w:ind w:left="567" w:right="567"/>
        <w:jc w:val="both"/>
        <w:rPr>
          <w:rFonts w:ascii="Palatino Linotype" w:hAnsi="Palatino Linotype" w:cs="Arial"/>
          <w:i/>
          <w:sz w:val="22"/>
          <w:szCs w:val="22"/>
        </w:rPr>
      </w:pPr>
      <w:r w:rsidRPr="003843EC">
        <w:rPr>
          <w:rFonts w:ascii="Palatino Linotype" w:hAnsi="Palatino Linotype" w:cs="Arial"/>
          <w:i/>
          <w:sz w:val="22"/>
          <w:szCs w:val="22"/>
        </w:rPr>
        <w:t xml:space="preserve">XXX. Atender los requerimientos que se realicen a las áreas adscritas a esta Subsecretaría, por parte de las distintas unidades administrativas, órganos desconcentrados y las instancias facultadas para la fiscalización, </w:t>
      </w:r>
      <w:r w:rsidRPr="007264E1">
        <w:rPr>
          <w:rFonts w:ascii="Palatino Linotype" w:hAnsi="Palatino Linotype" w:cs="Arial"/>
          <w:b/>
          <w:i/>
          <w:sz w:val="22"/>
          <w:szCs w:val="22"/>
        </w:rPr>
        <w:t xml:space="preserve">relativas a las auditorías, </w:t>
      </w:r>
      <w:r w:rsidRPr="0079387A">
        <w:rPr>
          <w:rFonts w:ascii="Palatino Linotype" w:hAnsi="Palatino Linotype" w:cs="Arial"/>
          <w:i/>
          <w:sz w:val="22"/>
          <w:szCs w:val="22"/>
        </w:rPr>
        <w:t>verificaciones, evaluaciones y control</w:t>
      </w:r>
      <w:r w:rsidRPr="007264E1">
        <w:rPr>
          <w:rFonts w:ascii="Palatino Linotype" w:hAnsi="Palatino Linotype" w:cs="Arial"/>
          <w:b/>
          <w:i/>
          <w:sz w:val="22"/>
          <w:szCs w:val="22"/>
        </w:rPr>
        <w:t xml:space="preserve"> del eje</w:t>
      </w:r>
      <w:r w:rsidR="007264E1">
        <w:rPr>
          <w:rFonts w:ascii="Palatino Linotype" w:hAnsi="Palatino Linotype" w:cs="Arial"/>
          <w:b/>
          <w:i/>
          <w:sz w:val="22"/>
          <w:szCs w:val="22"/>
        </w:rPr>
        <w:t>rcicio de los recursos públicos</w:t>
      </w:r>
      <w:r w:rsidRPr="003843EC">
        <w:rPr>
          <w:rFonts w:ascii="Palatino Linotype" w:hAnsi="Palatino Linotype" w:cs="Arial"/>
          <w:i/>
          <w:sz w:val="22"/>
          <w:szCs w:val="22"/>
        </w:rPr>
        <w:t>…</w:t>
      </w:r>
      <w:r w:rsidR="007264E1">
        <w:rPr>
          <w:rFonts w:ascii="Palatino Linotype" w:hAnsi="Palatino Linotype" w:cs="Arial"/>
          <w:i/>
          <w:sz w:val="22"/>
          <w:szCs w:val="22"/>
        </w:rPr>
        <w:t>”(Sic)</w:t>
      </w:r>
    </w:p>
    <w:p w:rsidR="003843EC" w:rsidRDefault="003843EC" w:rsidP="007B4FF6">
      <w:pPr>
        <w:autoSpaceDE w:val="0"/>
        <w:autoSpaceDN w:val="0"/>
        <w:adjustRightInd w:val="0"/>
        <w:spacing w:line="360" w:lineRule="auto"/>
        <w:jc w:val="both"/>
        <w:rPr>
          <w:rFonts w:ascii="Palatino Linotype" w:hAnsi="Palatino Linotype" w:cs="Arial"/>
        </w:rPr>
      </w:pPr>
    </w:p>
    <w:p w:rsidR="003843EC" w:rsidRDefault="0050010B" w:rsidP="007B4FF6">
      <w:pPr>
        <w:autoSpaceDE w:val="0"/>
        <w:autoSpaceDN w:val="0"/>
        <w:adjustRightInd w:val="0"/>
        <w:spacing w:line="360" w:lineRule="auto"/>
        <w:jc w:val="both"/>
        <w:rPr>
          <w:rFonts w:ascii="Palatino Linotype" w:hAnsi="Palatino Linotype"/>
        </w:rPr>
      </w:pPr>
      <w:r>
        <w:rPr>
          <w:rFonts w:ascii="Palatino Linotype" w:hAnsi="Palatino Linotype"/>
        </w:rPr>
        <w:t xml:space="preserve">Se advierte que el Sujeto Obligado cuenta </w:t>
      </w:r>
      <w:r w:rsidR="007264E1">
        <w:rPr>
          <w:rFonts w:ascii="Palatino Linotype" w:hAnsi="Palatino Linotype"/>
        </w:rPr>
        <w:t xml:space="preserve">con una </w:t>
      </w:r>
      <w:r>
        <w:rPr>
          <w:rFonts w:ascii="Palatino Linotype" w:hAnsi="Palatino Linotype"/>
        </w:rPr>
        <w:t xml:space="preserve">Contaduría General Gubernamental y Subsecretario de Tesorería, </w:t>
      </w:r>
      <w:r w:rsidR="007264E1">
        <w:rPr>
          <w:rFonts w:ascii="Palatino Linotype" w:hAnsi="Palatino Linotype"/>
        </w:rPr>
        <w:t xml:space="preserve">que </w:t>
      </w:r>
      <w:r>
        <w:rPr>
          <w:rFonts w:ascii="Palatino Linotype" w:hAnsi="Palatino Linotype"/>
        </w:rPr>
        <w:t>pueden conocer de las auditorias que se le hagan a la Secretaría de Finanzas al ejercicio de los recursos públicos, razones por las cuales, lo dable es ordenar las auditorias respecto al cumplimiento de las transferencias de participaciones y aportaciones Estatales y Federales a los Municipios de Toluca y N</w:t>
      </w:r>
      <w:r w:rsidR="004D777E">
        <w:rPr>
          <w:rFonts w:ascii="Palatino Linotype" w:hAnsi="Palatino Linotype"/>
        </w:rPr>
        <w:t>aucalpan</w:t>
      </w:r>
      <w:r>
        <w:rPr>
          <w:rFonts w:ascii="Palatino Linotype" w:hAnsi="Palatino Linotype"/>
        </w:rPr>
        <w:t xml:space="preserve">. </w:t>
      </w:r>
    </w:p>
    <w:p w:rsidR="0050010B" w:rsidRDefault="0050010B" w:rsidP="007B4FF6">
      <w:pPr>
        <w:autoSpaceDE w:val="0"/>
        <w:autoSpaceDN w:val="0"/>
        <w:adjustRightInd w:val="0"/>
        <w:spacing w:line="360" w:lineRule="auto"/>
        <w:jc w:val="both"/>
        <w:rPr>
          <w:rFonts w:ascii="Palatino Linotype" w:hAnsi="Palatino Linotype"/>
        </w:rPr>
      </w:pPr>
    </w:p>
    <w:p w:rsidR="00AA22DC" w:rsidRDefault="0050010B" w:rsidP="0079387A">
      <w:pPr>
        <w:autoSpaceDE w:val="0"/>
        <w:autoSpaceDN w:val="0"/>
        <w:adjustRightInd w:val="0"/>
        <w:spacing w:line="360" w:lineRule="auto"/>
        <w:jc w:val="both"/>
        <w:rPr>
          <w:rFonts w:ascii="Palatino Linotype" w:eastAsiaTheme="minorEastAsia" w:hAnsi="Palatino Linotype"/>
        </w:rPr>
      </w:pPr>
      <w:r>
        <w:rPr>
          <w:rFonts w:ascii="Palatino Linotype" w:hAnsi="Palatino Linotype"/>
        </w:rPr>
        <w:lastRenderedPageBreak/>
        <w:t>Par</w:t>
      </w:r>
      <w:r w:rsidR="00935E7F">
        <w:rPr>
          <w:rFonts w:ascii="Palatino Linotype" w:hAnsi="Palatino Linotype"/>
        </w:rPr>
        <w:t xml:space="preserve">a el caso, de que existan auditorias en trámite, </w:t>
      </w:r>
      <w:r w:rsidR="0079387A">
        <w:rPr>
          <w:rFonts w:ascii="Palatino Linotype" w:hAnsi="Palatino Linotype"/>
        </w:rPr>
        <w:t>le</w:t>
      </w:r>
      <w:r w:rsidR="00AA22DC" w:rsidRPr="00422273">
        <w:rPr>
          <w:rFonts w:ascii="Palatino Linotype" w:eastAsiaTheme="minorEastAsia" w:hAnsi="Palatino Linotype"/>
        </w:rPr>
        <w:t xml:space="preserve"> reviste el carácter de información reservada y en este caso, se deberá emitir un acuerd</w:t>
      </w:r>
      <w:r w:rsidR="0079387A">
        <w:rPr>
          <w:rFonts w:ascii="Palatino Linotype" w:eastAsiaTheme="minorEastAsia" w:hAnsi="Palatino Linotype"/>
        </w:rPr>
        <w:t>o que clasifique como reservado.</w:t>
      </w:r>
    </w:p>
    <w:p w:rsidR="00AA22DC" w:rsidRPr="00422273" w:rsidRDefault="00AA22DC" w:rsidP="00AA22DC">
      <w:pPr>
        <w:spacing w:line="360" w:lineRule="auto"/>
        <w:ind w:right="49"/>
        <w:contextualSpacing/>
        <w:jc w:val="both"/>
        <w:rPr>
          <w:rFonts w:ascii="Palatino Linotype" w:eastAsiaTheme="minorEastAsia" w:hAnsi="Palatino Linotype"/>
        </w:rPr>
      </w:pPr>
    </w:p>
    <w:p w:rsidR="00AA22DC" w:rsidRPr="00422273" w:rsidRDefault="00AA22DC" w:rsidP="00AA22DC">
      <w:pPr>
        <w:spacing w:line="360" w:lineRule="auto"/>
        <w:ind w:right="49"/>
        <w:contextualSpacing/>
        <w:jc w:val="both"/>
        <w:rPr>
          <w:rFonts w:ascii="Palatino Linotype" w:eastAsiaTheme="minorEastAsia" w:hAnsi="Palatino Linotype"/>
        </w:rPr>
      </w:pPr>
      <w:r>
        <w:rPr>
          <w:rFonts w:ascii="Palatino Linotype" w:eastAsiaTheme="minorEastAsia" w:hAnsi="Palatino Linotype"/>
        </w:rPr>
        <w:t xml:space="preserve">Lo anterior es así, para dar </w:t>
      </w:r>
      <w:r w:rsidRPr="00422273">
        <w:rPr>
          <w:rFonts w:ascii="Palatino Linotype" w:eastAsiaTheme="minorEastAsia" w:hAnsi="Palatino Linotype"/>
        </w:rPr>
        <w:t>seguridad jurídica al solicitante que por a</w:t>
      </w:r>
      <w:r>
        <w:rPr>
          <w:rFonts w:ascii="Palatino Linotype" w:eastAsiaTheme="minorEastAsia" w:hAnsi="Palatino Linotype"/>
        </w:rPr>
        <w:t>lguna excepción establecida en l</w:t>
      </w:r>
      <w:r w:rsidRPr="00422273">
        <w:rPr>
          <w:rFonts w:ascii="Palatino Linotype" w:eastAsiaTheme="minorEastAsia" w:hAnsi="Palatino Linotype"/>
        </w:rPr>
        <w:t xml:space="preserve">ey no es posible acceder temporalmente a la información referida anteriormente, para así no dejar en estado de indefensión y exista certeza jurídica de lo expuesto por el Sujeto Obligado. </w:t>
      </w:r>
    </w:p>
    <w:p w:rsidR="00AA22DC" w:rsidRPr="00422273" w:rsidRDefault="00AA22DC" w:rsidP="00AA22DC">
      <w:pPr>
        <w:spacing w:line="360" w:lineRule="auto"/>
        <w:ind w:right="49"/>
        <w:contextualSpacing/>
        <w:jc w:val="both"/>
        <w:rPr>
          <w:rFonts w:ascii="Palatino Linotype" w:eastAsiaTheme="minorEastAsia" w:hAnsi="Palatino Linotype"/>
        </w:rPr>
      </w:pPr>
    </w:p>
    <w:p w:rsidR="00AA22DC" w:rsidRPr="00422273" w:rsidRDefault="00AA22DC" w:rsidP="00AA22DC">
      <w:pPr>
        <w:ind w:left="851" w:right="822"/>
        <w:contextualSpacing/>
        <w:jc w:val="both"/>
        <w:rPr>
          <w:rFonts w:ascii="Palatino Linotype" w:eastAsiaTheme="minorEastAsia" w:hAnsi="Palatino Linotype"/>
          <w:i/>
          <w:sz w:val="22"/>
        </w:rPr>
      </w:pPr>
      <w:r>
        <w:rPr>
          <w:rFonts w:ascii="Palatino Linotype" w:eastAsiaTheme="minorEastAsia" w:hAnsi="Palatino Linotype"/>
          <w:i/>
          <w:sz w:val="22"/>
        </w:rPr>
        <w:t>“</w:t>
      </w:r>
      <w:r w:rsidRPr="00422273">
        <w:rPr>
          <w:rFonts w:ascii="Palatino Linotype" w:eastAsiaTheme="minorEastAsia" w:hAnsi="Palatino Linotype"/>
          <w:i/>
          <w:sz w:val="22"/>
        </w:rPr>
        <w:t>Artículo 3. Para los efectos de la presente Ley se entenderá por:</w:t>
      </w:r>
    </w:p>
    <w:p w:rsidR="00AA22DC" w:rsidRPr="00422273" w:rsidRDefault="00AA22DC" w:rsidP="00AA22DC">
      <w:pPr>
        <w:ind w:left="851" w:right="822"/>
        <w:contextualSpacing/>
        <w:jc w:val="both"/>
        <w:rPr>
          <w:rFonts w:ascii="Palatino Linotype" w:eastAsiaTheme="minorEastAsia" w:hAnsi="Palatino Linotype"/>
          <w:i/>
          <w:sz w:val="22"/>
        </w:rPr>
      </w:pPr>
      <w:r w:rsidRPr="00422273">
        <w:rPr>
          <w:rFonts w:ascii="Palatino Linotype" w:eastAsiaTheme="minorEastAsia" w:hAnsi="Palatino Linotype"/>
          <w:i/>
          <w:sz w:val="22"/>
        </w:rPr>
        <w:t>[…]</w:t>
      </w:r>
    </w:p>
    <w:p w:rsidR="00AA22DC" w:rsidRPr="00422273" w:rsidRDefault="00AA22DC" w:rsidP="00AA22DC">
      <w:pPr>
        <w:ind w:left="851" w:right="822"/>
        <w:contextualSpacing/>
        <w:jc w:val="both"/>
        <w:rPr>
          <w:rFonts w:ascii="Palatino Linotype" w:eastAsiaTheme="minorEastAsia" w:hAnsi="Palatino Linotype"/>
          <w:i/>
          <w:sz w:val="22"/>
        </w:rPr>
      </w:pPr>
      <w:r w:rsidRPr="00422273">
        <w:rPr>
          <w:rFonts w:ascii="Palatino Linotype" w:eastAsiaTheme="minorEastAsia" w:hAnsi="Palatino Linotype"/>
          <w:b/>
          <w:i/>
          <w:sz w:val="22"/>
        </w:rPr>
        <w:t xml:space="preserve">XXIV. Información reservada: </w:t>
      </w:r>
      <w:r w:rsidRPr="00422273">
        <w:rPr>
          <w:rFonts w:ascii="Palatino Linotype" w:eastAsiaTheme="minorEastAsia" w:hAnsi="Palatino Linotype"/>
          <w:i/>
          <w:sz w:val="22"/>
        </w:rPr>
        <w:t>La clasificada con este carácter de manera temporal por las disposiciones de esta Ley, cuya divulgación puede causar daño en términos de lo establecido por esta Ley;</w:t>
      </w:r>
    </w:p>
    <w:p w:rsidR="00AA22DC" w:rsidRPr="00422273" w:rsidRDefault="00AA22DC" w:rsidP="00AA22DC">
      <w:pPr>
        <w:ind w:left="851" w:right="822"/>
        <w:contextualSpacing/>
        <w:jc w:val="both"/>
        <w:rPr>
          <w:rFonts w:ascii="Palatino Linotype" w:eastAsiaTheme="minorEastAsia" w:hAnsi="Palatino Linotype"/>
          <w:i/>
          <w:sz w:val="22"/>
        </w:rPr>
      </w:pPr>
      <w:r w:rsidRPr="00422273">
        <w:rPr>
          <w:rFonts w:ascii="Palatino Linotype" w:eastAsiaTheme="minorEastAsia" w:hAnsi="Palatino Linotype"/>
          <w:i/>
          <w:sz w:val="22"/>
        </w:rPr>
        <w:t xml:space="preserve">Artículo 122. </w:t>
      </w:r>
      <w:r w:rsidRPr="00422273">
        <w:rPr>
          <w:rFonts w:ascii="Palatino Linotype" w:eastAsiaTheme="minorEastAsia" w:hAnsi="Palatino Linotype"/>
          <w:b/>
          <w:i/>
          <w:sz w:val="22"/>
        </w:rPr>
        <w:t xml:space="preserve">La clasificación es el proceso mediante el cual el Sujeto Obligado determina que la información en su poder </w:t>
      </w:r>
      <w:proofErr w:type="spellStart"/>
      <w:r w:rsidRPr="00422273">
        <w:rPr>
          <w:rFonts w:ascii="Palatino Linotype" w:eastAsiaTheme="minorEastAsia" w:hAnsi="Palatino Linotype"/>
          <w:b/>
          <w:i/>
          <w:sz w:val="22"/>
        </w:rPr>
        <w:t>actualiza</w:t>
      </w:r>
      <w:proofErr w:type="spellEnd"/>
      <w:r w:rsidRPr="00422273">
        <w:rPr>
          <w:rFonts w:ascii="Palatino Linotype" w:eastAsiaTheme="minorEastAsia" w:hAnsi="Palatino Linotype"/>
          <w:b/>
          <w:i/>
          <w:sz w:val="22"/>
        </w:rPr>
        <w:t xml:space="preserve"> alguno de los supuestos de reserva</w:t>
      </w:r>
      <w:r w:rsidRPr="00422273">
        <w:rPr>
          <w:rFonts w:ascii="Palatino Linotype" w:eastAsiaTheme="minorEastAsia" w:hAnsi="Palatino Linotype"/>
          <w:i/>
          <w:sz w:val="22"/>
        </w:rPr>
        <w:t xml:space="preserve"> o confidencialidad, de conformidad con lo dispuesto en el presente título.</w:t>
      </w:r>
    </w:p>
    <w:p w:rsidR="00AA22DC" w:rsidRPr="00422273" w:rsidRDefault="00AA22DC" w:rsidP="00AA22DC">
      <w:pPr>
        <w:ind w:left="851" w:right="822"/>
        <w:contextualSpacing/>
        <w:jc w:val="both"/>
        <w:rPr>
          <w:rFonts w:ascii="Palatino Linotype" w:eastAsiaTheme="minorEastAsia" w:hAnsi="Palatino Linotype"/>
          <w:i/>
          <w:sz w:val="22"/>
        </w:rPr>
      </w:pPr>
      <w:r w:rsidRPr="00422273">
        <w:rPr>
          <w:rFonts w:ascii="Palatino Linotype" w:eastAsiaTheme="minorEastAsia" w:hAnsi="Palatino Linotype"/>
          <w:i/>
          <w:sz w:val="22"/>
        </w:rPr>
        <w:t>Los supuestos de reserva o confidencialidad previstos en las leyes deberán ser acordes con las bases, principios y disposiciones establecidos en la Ley General y, en ningún caso, podrán contravenirla.</w:t>
      </w:r>
    </w:p>
    <w:p w:rsidR="00AA22DC" w:rsidRPr="00422273" w:rsidRDefault="00AA22DC" w:rsidP="00AA22DC">
      <w:pPr>
        <w:ind w:left="851" w:right="822"/>
        <w:contextualSpacing/>
        <w:jc w:val="both"/>
        <w:rPr>
          <w:rFonts w:ascii="Palatino Linotype" w:eastAsiaTheme="minorEastAsia" w:hAnsi="Palatino Linotype"/>
          <w:i/>
          <w:sz w:val="22"/>
        </w:rPr>
      </w:pPr>
      <w:r w:rsidRPr="00422273">
        <w:rPr>
          <w:rFonts w:ascii="Palatino Linotype" w:eastAsiaTheme="minorEastAsia" w:hAnsi="Palatino Linotype"/>
          <w:i/>
          <w:sz w:val="22"/>
        </w:rPr>
        <w:t>Los titulares de las áreas de los sujetos obligados serán los responsables de clasificar la información, de conformidad con lo dispuesto en la presente Ley y demás disposiciones jurídicas aplicables.</w:t>
      </w:r>
    </w:p>
    <w:p w:rsidR="00AA22DC" w:rsidRPr="00422273" w:rsidRDefault="00AA22DC" w:rsidP="00AA22DC">
      <w:pPr>
        <w:ind w:left="851" w:right="822"/>
        <w:contextualSpacing/>
        <w:jc w:val="both"/>
        <w:rPr>
          <w:rFonts w:ascii="Palatino Linotype" w:eastAsiaTheme="minorEastAsia" w:hAnsi="Palatino Linotype"/>
          <w:i/>
          <w:sz w:val="22"/>
        </w:rPr>
      </w:pPr>
      <w:r w:rsidRPr="00422273">
        <w:rPr>
          <w:rFonts w:ascii="Palatino Linotype" w:eastAsiaTheme="minorEastAsia" w:hAnsi="Palatino Linotype"/>
          <w:b/>
          <w:i/>
          <w:sz w:val="22"/>
        </w:rPr>
        <w:t xml:space="preserve">Artículo 125. La información clasificada como reservada, de acuerdo a lo establecido en esta Ley podrá permanecer con tal carácter hasta por un periodo de cinco años, </w:t>
      </w:r>
      <w:r w:rsidRPr="00422273">
        <w:rPr>
          <w:rFonts w:ascii="Palatino Linotype" w:eastAsiaTheme="minorEastAsia" w:hAnsi="Palatino Linotype"/>
          <w:i/>
          <w:sz w:val="22"/>
        </w:rPr>
        <w:t>contados a partir de su clasificación, salvo que antes del cumplimiento del periodo de restricción, dejaran de existir los motivos de su reserva.</w:t>
      </w:r>
    </w:p>
    <w:p w:rsidR="00AA22DC" w:rsidRPr="00422273" w:rsidRDefault="00AA22DC" w:rsidP="00AA22DC">
      <w:pPr>
        <w:ind w:left="851" w:right="822"/>
        <w:contextualSpacing/>
        <w:jc w:val="both"/>
        <w:rPr>
          <w:rFonts w:ascii="Palatino Linotype" w:eastAsiaTheme="minorEastAsia" w:hAnsi="Palatino Linotype"/>
          <w:i/>
          <w:sz w:val="22"/>
        </w:rPr>
      </w:pPr>
      <w:r w:rsidRPr="00422273">
        <w:rPr>
          <w:rFonts w:ascii="Palatino Linotype" w:eastAsiaTheme="minorEastAsia" w:hAnsi="Palatino Linotype"/>
          <w:i/>
          <w:sz w:val="22"/>
        </w:rPr>
        <w:t>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AA22DC" w:rsidRPr="00422273" w:rsidRDefault="00AA22DC" w:rsidP="00AA22DC">
      <w:pPr>
        <w:ind w:left="851" w:right="822"/>
        <w:contextualSpacing/>
        <w:jc w:val="both"/>
        <w:rPr>
          <w:rFonts w:ascii="Palatino Linotype" w:eastAsiaTheme="minorEastAsia" w:hAnsi="Palatino Linotype"/>
          <w:i/>
          <w:sz w:val="22"/>
        </w:rPr>
      </w:pPr>
      <w:r w:rsidRPr="00422273">
        <w:rPr>
          <w:rFonts w:ascii="Palatino Linotype" w:eastAsiaTheme="minorEastAsia" w:hAnsi="Palatino Linotype"/>
          <w:i/>
          <w:sz w:val="22"/>
        </w:rPr>
        <w:t xml:space="preserve">Excepcionalmente los sujetos obligados con la aprobación de su Comité de Transparencia, podrán ampliar el periodo de reserva hasta por un plazo de cinco </w:t>
      </w:r>
      <w:r w:rsidRPr="00422273">
        <w:rPr>
          <w:rFonts w:ascii="Palatino Linotype" w:eastAsiaTheme="minorEastAsia" w:hAnsi="Palatino Linotype"/>
          <w:i/>
          <w:sz w:val="22"/>
        </w:rPr>
        <w:lastRenderedPageBreak/>
        <w:t>años adicionales y por una sola vez, siempre y cuando justifiquen que subsisten las causas que dieron origen a su clasificación, mediante la aplicación de una prueba de daño.</w:t>
      </w:r>
    </w:p>
    <w:p w:rsidR="00AA22DC" w:rsidRPr="00422273" w:rsidRDefault="00AA22DC" w:rsidP="00AA22DC">
      <w:pPr>
        <w:ind w:left="851" w:right="822"/>
        <w:contextualSpacing/>
        <w:jc w:val="both"/>
        <w:rPr>
          <w:rFonts w:ascii="Palatino Linotype" w:eastAsiaTheme="minorEastAsia" w:hAnsi="Palatino Linotype"/>
          <w:i/>
          <w:sz w:val="22"/>
        </w:rPr>
      </w:pPr>
      <w:r w:rsidRPr="00422273">
        <w:rPr>
          <w:rFonts w:ascii="Palatino Linotype" w:eastAsiaTheme="minorEastAsia" w:hAnsi="Palatino Linotype"/>
          <w:i/>
          <w:sz w:val="22"/>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w:t>
      </w:r>
    </w:p>
    <w:p w:rsidR="00AA22DC" w:rsidRPr="00422273" w:rsidRDefault="00AA22DC" w:rsidP="00AA22DC">
      <w:pPr>
        <w:ind w:left="851" w:right="822"/>
        <w:contextualSpacing/>
        <w:jc w:val="both"/>
        <w:rPr>
          <w:rFonts w:ascii="Palatino Linotype" w:eastAsiaTheme="minorEastAsia" w:hAnsi="Palatino Linotype"/>
          <w:b/>
          <w:i/>
          <w:sz w:val="22"/>
        </w:rPr>
      </w:pPr>
      <w:r w:rsidRPr="00422273">
        <w:rPr>
          <w:rFonts w:ascii="Palatino Linotype" w:eastAsiaTheme="minorEastAsia" w:hAnsi="Palatino Linotype"/>
          <w:b/>
          <w:i/>
          <w:sz w:val="22"/>
        </w:rPr>
        <w:t>…</w:t>
      </w:r>
    </w:p>
    <w:p w:rsidR="00AA22DC" w:rsidRPr="00422273" w:rsidRDefault="00AA22DC" w:rsidP="00AA22DC">
      <w:pPr>
        <w:ind w:left="851" w:right="822"/>
        <w:contextualSpacing/>
        <w:jc w:val="both"/>
        <w:rPr>
          <w:rFonts w:ascii="Palatino Linotype" w:eastAsiaTheme="minorEastAsia" w:hAnsi="Palatino Linotype"/>
          <w:b/>
          <w:i/>
          <w:sz w:val="22"/>
        </w:rPr>
      </w:pPr>
      <w:r w:rsidRPr="00422273">
        <w:rPr>
          <w:rFonts w:ascii="Palatino Linotype" w:eastAsiaTheme="minorEastAsia" w:hAnsi="Palatino Linotype"/>
          <w:b/>
          <w:i/>
          <w:sz w:val="22"/>
        </w:rPr>
        <w:t xml:space="preserve">Artículo 128. En los casos en que se niegue el acceso a la información, por actualizarse alguno de los supuestos de clasificación, el Comité de Transparencia deberá confirmar, modificar o revocar la decisión. </w:t>
      </w:r>
    </w:p>
    <w:p w:rsidR="00AA22DC" w:rsidRPr="00422273" w:rsidRDefault="00AA22DC" w:rsidP="00AA22DC">
      <w:pPr>
        <w:ind w:left="851" w:right="822"/>
        <w:contextualSpacing/>
        <w:jc w:val="both"/>
        <w:rPr>
          <w:rFonts w:ascii="Palatino Linotype" w:eastAsiaTheme="minorEastAsia" w:hAnsi="Palatino Linotype"/>
          <w:b/>
          <w:i/>
          <w:sz w:val="22"/>
        </w:rPr>
      </w:pPr>
      <w:r w:rsidRPr="00422273">
        <w:rPr>
          <w:rFonts w:ascii="Palatino Linotype" w:eastAsiaTheme="minorEastAsia" w:hAnsi="Palatino Linotype"/>
          <w:i/>
          <w:sz w:val="22"/>
        </w:rPr>
        <w:t xml:space="preserve">Para motivar la clasificación de la información y la ampliación del plazo de reserva, </w:t>
      </w:r>
      <w:r w:rsidRPr="00422273">
        <w:rPr>
          <w:rFonts w:ascii="Palatino Linotype" w:eastAsiaTheme="minorEastAsia" w:hAnsi="Palatino Linotype"/>
          <w:b/>
          <w:i/>
          <w:sz w:val="22"/>
        </w:rPr>
        <w:t>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p>
    <w:p w:rsidR="00AA22DC" w:rsidRPr="00422273" w:rsidRDefault="00AA22DC" w:rsidP="00AA22DC">
      <w:pPr>
        <w:ind w:left="851" w:right="822"/>
        <w:contextualSpacing/>
        <w:jc w:val="both"/>
        <w:rPr>
          <w:rFonts w:ascii="Palatino Linotype" w:eastAsiaTheme="minorEastAsia" w:hAnsi="Palatino Linotype"/>
          <w:i/>
          <w:sz w:val="22"/>
        </w:rPr>
      </w:pPr>
      <w:r w:rsidRPr="00422273">
        <w:rPr>
          <w:rFonts w:ascii="Palatino Linotype" w:eastAsiaTheme="minorEastAsia" w:hAnsi="Palatino Linotype"/>
          <w:i/>
          <w:sz w:val="22"/>
        </w:rPr>
        <w:t>Tratándose de aquélla información que actualice los supuestos de clasificación, deberá señalarse el plazo al que estará sujeto la reserva.</w:t>
      </w:r>
    </w:p>
    <w:p w:rsidR="00AA22DC" w:rsidRPr="00422273" w:rsidRDefault="00AA22DC" w:rsidP="00AA22DC">
      <w:pPr>
        <w:ind w:left="851" w:right="822"/>
        <w:contextualSpacing/>
        <w:jc w:val="both"/>
        <w:rPr>
          <w:rFonts w:ascii="Palatino Linotype" w:eastAsiaTheme="minorEastAsia" w:hAnsi="Palatino Linotype"/>
          <w:b/>
          <w:i/>
          <w:sz w:val="22"/>
          <w:u w:val="single"/>
        </w:rPr>
      </w:pPr>
      <w:r w:rsidRPr="00422273">
        <w:rPr>
          <w:rFonts w:ascii="Palatino Linotype" w:eastAsiaTheme="minorEastAsia" w:hAnsi="Palatino Linotype"/>
          <w:i/>
          <w:sz w:val="22"/>
        </w:rPr>
        <w:t xml:space="preserve">Artículo 129. </w:t>
      </w:r>
      <w:r w:rsidRPr="00422273">
        <w:rPr>
          <w:rFonts w:ascii="Palatino Linotype" w:eastAsiaTheme="minorEastAsia" w:hAnsi="Palatino Linotype"/>
          <w:b/>
          <w:i/>
          <w:sz w:val="22"/>
        </w:rPr>
        <w:t>En la aplicación de la prueba de daño, el Sujeto Obligado deberá precisar las razones objetivas por las que la apertura de la información generaría una afectación, justificando que:</w:t>
      </w:r>
    </w:p>
    <w:p w:rsidR="00AA22DC" w:rsidRPr="00422273" w:rsidRDefault="00AA22DC" w:rsidP="00AA22DC">
      <w:pPr>
        <w:ind w:left="851" w:right="822"/>
        <w:contextualSpacing/>
        <w:jc w:val="both"/>
        <w:rPr>
          <w:rFonts w:ascii="Palatino Linotype" w:eastAsiaTheme="minorEastAsia" w:hAnsi="Palatino Linotype"/>
          <w:b/>
          <w:i/>
          <w:sz w:val="22"/>
        </w:rPr>
      </w:pPr>
      <w:r w:rsidRPr="00422273">
        <w:rPr>
          <w:rFonts w:ascii="Palatino Linotype" w:eastAsiaTheme="minorEastAsia" w:hAnsi="Palatino Linotype"/>
          <w:b/>
          <w:i/>
          <w:sz w:val="22"/>
        </w:rPr>
        <w:t>I. La divulgación de la información representa un riesgo real, demostrable e identificable del perjuicio significativo al interés público o a la seguridad pública;</w:t>
      </w:r>
    </w:p>
    <w:p w:rsidR="00AA22DC" w:rsidRPr="00422273" w:rsidRDefault="00AA22DC" w:rsidP="00AA22DC">
      <w:pPr>
        <w:ind w:left="851" w:right="822"/>
        <w:contextualSpacing/>
        <w:jc w:val="both"/>
        <w:rPr>
          <w:rFonts w:ascii="Palatino Linotype" w:eastAsiaTheme="minorEastAsia" w:hAnsi="Palatino Linotype"/>
          <w:b/>
          <w:i/>
          <w:sz w:val="22"/>
        </w:rPr>
      </w:pPr>
      <w:r w:rsidRPr="00422273">
        <w:rPr>
          <w:rFonts w:ascii="Palatino Linotype" w:eastAsiaTheme="minorEastAsia" w:hAnsi="Palatino Linotype"/>
          <w:b/>
          <w:i/>
          <w:sz w:val="22"/>
        </w:rPr>
        <w:t>II. El riesgo de perjuicio que supondría la divulgación supera el interés público general de que se difunda; y</w:t>
      </w:r>
    </w:p>
    <w:p w:rsidR="00AA22DC" w:rsidRPr="00422273" w:rsidRDefault="00AA22DC" w:rsidP="00AA22DC">
      <w:pPr>
        <w:ind w:left="851" w:right="822"/>
        <w:contextualSpacing/>
        <w:jc w:val="both"/>
        <w:rPr>
          <w:rFonts w:ascii="Palatino Linotype" w:eastAsiaTheme="minorEastAsia" w:hAnsi="Palatino Linotype"/>
          <w:b/>
          <w:i/>
          <w:sz w:val="22"/>
        </w:rPr>
      </w:pPr>
      <w:r w:rsidRPr="00422273">
        <w:rPr>
          <w:rFonts w:ascii="Palatino Linotype" w:eastAsiaTheme="minorEastAsia" w:hAnsi="Palatino Linotype"/>
          <w:b/>
          <w:i/>
          <w:sz w:val="22"/>
        </w:rPr>
        <w:t>III. La limitación se adecua al principio de proporcionalidad y representa el medio menos restrictivo disponible representa el medio menos restrictivo disponible para evitar el perjuicio.</w:t>
      </w:r>
    </w:p>
    <w:p w:rsidR="00AA22DC" w:rsidRPr="00422273" w:rsidRDefault="00AA22DC" w:rsidP="00AA22DC">
      <w:pPr>
        <w:ind w:left="851" w:right="822"/>
        <w:contextualSpacing/>
        <w:jc w:val="both"/>
        <w:rPr>
          <w:rFonts w:ascii="Palatino Linotype" w:eastAsiaTheme="minorEastAsia" w:hAnsi="Palatino Linotype"/>
          <w:i/>
          <w:sz w:val="22"/>
        </w:rPr>
      </w:pPr>
      <w:r w:rsidRPr="00422273">
        <w:rPr>
          <w:rFonts w:ascii="Palatino Linotype" w:eastAsiaTheme="minorEastAsia" w:hAnsi="Palatino Linotype"/>
          <w:b/>
          <w:i/>
          <w:sz w:val="22"/>
          <w:u w:val="single"/>
        </w:rPr>
        <w:t>Artículo 130. Los sujetos obligados deberán aplicar, de manera restrictiva y limitada, las excepciones al derecho de acceso a la información y sólo podrán invocarlas cuando acrediten su procedencia</w:t>
      </w:r>
      <w:r w:rsidRPr="00422273">
        <w:rPr>
          <w:rFonts w:ascii="Palatino Linotype" w:eastAsiaTheme="minorEastAsia" w:hAnsi="Palatino Linotype"/>
          <w:i/>
          <w:sz w:val="22"/>
        </w:rPr>
        <w:t>, sin ampliar las excepciones o supuestos de reserva o confidencialidad previstos en la Ley General y la presente Ley, aduciendo analogía o mayoría de razón.</w:t>
      </w:r>
    </w:p>
    <w:p w:rsidR="00AA22DC" w:rsidRPr="00422273" w:rsidRDefault="00AA22DC" w:rsidP="00AA22DC">
      <w:pPr>
        <w:ind w:left="851" w:right="822"/>
        <w:contextualSpacing/>
        <w:jc w:val="both"/>
        <w:rPr>
          <w:rFonts w:ascii="Palatino Linotype" w:eastAsiaTheme="minorEastAsia" w:hAnsi="Palatino Linotype"/>
          <w:b/>
          <w:i/>
          <w:sz w:val="22"/>
        </w:rPr>
      </w:pPr>
      <w:r w:rsidRPr="00422273">
        <w:rPr>
          <w:rFonts w:ascii="Palatino Linotype" w:eastAsiaTheme="minorEastAsia" w:hAnsi="Palatino Linotype"/>
          <w:b/>
          <w:i/>
          <w:sz w:val="22"/>
        </w:rPr>
        <w:t>Artículo 140. El acceso a la información pública será restringido excepcionalmente, cuando por razones de interés público, ésta sea clasificada como reservada, conforme a los criterios siguientes:</w:t>
      </w:r>
    </w:p>
    <w:p w:rsidR="00AA22DC" w:rsidRPr="00422273" w:rsidRDefault="00AA22DC" w:rsidP="00AA22DC">
      <w:pPr>
        <w:ind w:left="851" w:right="822"/>
        <w:contextualSpacing/>
        <w:jc w:val="both"/>
        <w:rPr>
          <w:rFonts w:ascii="Palatino Linotype" w:eastAsiaTheme="minorEastAsia" w:hAnsi="Palatino Linotype"/>
          <w:i/>
          <w:sz w:val="22"/>
        </w:rPr>
      </w:pPr>
      <w:r w:rsidRPr="00422273">
        <w:rPr>
          <w:rFonts w:ascii="Palatino Linotype" w:eastAsiaTheme="minorEastAsia" w:hAnsi="Palatino Linotype"/>
          <w:i/>
          <w:sz w:val="22"/>
        </w:rPr>
        <w:lastRenderedPageBreak/>
        <w:t>[…]</w:t>
      </w:r>
    </w:p>
    <w:p w:rsidR="00AA22DC" w:rsidRPr="00422273" w:rsidRDefault="0079387A" w:rsidP="00AA22DC">
      <w:pPr>
        <w:ind w:left="851" w:right="822"/>
        <w:contextualSpacing/>
        <w:jc w:val="both"/>
        <w:rPr>
          <w:rFonts w:ascii="Palatino Linotype" w:eastAsiaTheme="minorEastAsia" w:hAnsi="Palatino Linotype"/>
          <w:i/>
          <w:sz w:val="22"/>
        </w:rPr>
      </w:pPr>
      <w:r w:rsidRPr="0079387A">
        <w:rPr>
          <w:rFonts w:ascii="Palatino Linotype" w:eastAsiaTheme="minorEastAsia" w:hAnsi="Palatino Linotype"/>
          <w:b/>
          <w:i/>
          <w:sz w:val="22"/>
        </w:rPr>
        <w:t>V. Aquella cuya divulgación obstruya o pueda causar un serio perjuicio a: 1. Las actividades de fiscalización, verificación, inspección, comprobación y auditoría sobre</w:t>
      </w:r>
      <w:r>
        <w:rPr>
          <w:rFonts w:ascii="Palatino Linotype" w:eastAsiaTheme="minorEastAsia" w:hAnsi="Palatino Linotype"/>
          <w:b/>
          <w:i/>
          <w:sz w:val="22"/>
        </w:rPr>
        <w:t xml:space="preserve"> el cumplimiento de las </w:t>
      </w:r>
      <w:proofErr w:type="gramStart"/>
      <w:r>
        <w:rPr>
          <w:rFonts w:ascii="Palatino Linotype" w:eastAsiaTheme="minorEastAsia" w:hAnsi="Palatino Linotype"/>
          <w:b/>
          <w:i/>
          <w:sz w:val="22"/>
        </w:rPr>
        <w:t>Leyes</w:t>
      </w:r>
      <w:r w:rsidRPr="0079387A">
        <w:rPr>
          <w:rFonts w:ascii="Palatino Linotype" w:eastAsiaTheme="minorEastAsia" w:hAnsi="Palatino Linotype"/>
          <w:b/>
          <w:i/>
          <w:sz w:val="22"/>
        </w:rPr>
        <w:t xml:space="preserve"> </w:t>
      </w:r>
      <w:r w:rsidR="00AA22DC" w:rsidRPr="0079387A">
        <w:rPr>
          <w:rFonts w:ascii="Palatino Linotype" w:eastAsiaTheme="minorEastAsia" w:hAnsi="Palatino Linotype"/>
          <w:b/>
          <w:i/>
          <w:sz w:val="22"/>
        </w:rPr>
        <w:t>…</w:t>
      </w:r>
      <w:proofErr w:type="gramEnd"/>
      <w:r w:rsidR="00AA22DC" w:rsidRPr="0079387A">
        <w:rPr>
          <w:rFonts w:ascii="Palatino Linotype" w:eastAsiaTheme="minorEastAsia" w:hAnsi="Palatino Linotype"/>
          <w:b/>
          <w:i/>
          <w:sz w:val="22"/>
        </w:rPr>
        <w:t>”</w:t>
      </w:r>
      <w:r w:rsidR="00AA22DC">
        <w:rPr>
          <w:rFonts w:ascii="Palatino Linotype" w:eastAsiaTheme="minorEastAsia" w:hAnsi="Palatino Linotype"/>
          <w:i/>
          <w:sz w:val="22"/>
        </w:rPr>
        <w:t xml:space="preserve"> (Sic)</w:t>
      </w:r>
    </w:p>
    <w:p w:rsidR="0079387A" w:rsidRDefault="0079387A" w:rsidP="00AA22DC">
      <w:pPr>
        <w:spacing w:line="360" w:lineRule="auto"/>
        <w:ind w:right="49"/>
        <w:contextualSpacing/>
        <w:jc w:val="both"/>
        <w:rPr>
          <w:rFonts w:ascii="Palatino Linotype" w:eastAsiaTheme="minorEastAsia" w:hAnsi="Palatino Linotype"/>
        </w:rPr>
      </w:pPr>
    </w:p>
    <w:p w:rsidR="00AA22DC" w:rsidRPr="00422273" w:rsidRDefault="00AA22DC" w:rsidP="00AA22DC">
      <w:pPr>
        <w:spacing w:line="360" w:lineRule="auto"/>
        <w:ind w:right="49"/>
        <w:contextualSpacing/>
        <w:jc w:val="both"/>
        <w:rPr>
          <w:rFonts w:ascii="Palatino Linotype" w:eastAsiaTheme="minorEastAsia" w:hAnsi="Palatino Linotype"/>
        </w:rPr>
      </w:pPr>
      <w:r w:rsidRPr="00422273">
        <w:rPr>
          <w:rFonts w:ascii="Palatino Linotype" w:eastAsiaTheme="minorEastAsia" w:hAnsi="Palatino Linotype"/>
        </w:rPr>
        <w:t>De la interpretación sistemática de los artículos citados, se advierte que el Sujeto Obligado debe realizar la debida reserva de la info</w:t>
      </w:r>
      <w:r w:rsidR="0079387A">
        <w:rPr>
          <w:rFonts w:ascii="Palatino Linotype" w:eastAsiaTheme="minorEastAsia" w:hAnsi="Palatino Linotype"/>
        </w:rPr>
        <w:t>rmación por seguir en trámite la</w:t>
      </w:r>
      <w:r w:rsidRPr="00422273">
        <w:rPr>
          <w:rFonts w:ascii="Palatino Linotype" w:eastAsiaTheme="minorEastAsia" w:hAnsi="Palatino Linotype"/>
        </w:rPr>
        <w:t xml:space="preserve"> </w:t>
      </w:r>
      <w:r w:rsidR="0079387A">
        <w:rPr>
          <w:rFonts w:ascii="Palatino Linotype" w:eastAsiaTheme="minorEastAsia" w:hAnsi="Palatino Linotype"/>
        </w:rPr>
        <w:t>auditoria correspondiente</w:t>
      </w:r>
      <w:r w:rsidRPr="00422273">
        <w:rPr>
          <w:rFonts w:ascii="Palatino Linotype" w:eastAsiaTheme="minorEastAsia" w:hAnsi="Palatino Linotype"/>
        </w:rPr>
        <w:t xml:space="preserve">, siguiendo los requisitos expuestos: </w:t>
      </w:r>
    </w:p>
    <w:p w:rsidR="00AA22DC" w:rsidRPr="00422273" w:rsidRDefault="00AA22DC" w:rsidP="00AA22DC">
      <w:pPr>
        <w:spacing w:line="360" w:lineRule="auto"/>
        <w:ind w:right="49"/>
        <w:contextualSpacing/>
        <w:jc w:val="both"/>
        <w:rPr>
          <w:rFonts w:ascii="Palatino Linotype" w:eastAsiaTheme="minorEastAsia" w:hAnsi="Palatino Linotype"/>
        </w:rPr>
      </w:pPr>
    </w:p>
    <w:p w:rsidR="00AA22DC" w:rsidRPr="001E4395" w:rsidRDefault="00AA22DC" w:rsidP="00AA22DC">
      <w:pPr>
        <w:ind w:left="851" w:right="822"/>
        <w:contextualSpacing/>
        <w:jc w:val="both"/>
        <w:rPr>
          <w:rFonts w:ascii="Palatino Linotype" w:eastAsiaTheme="minorEastAsia" w:hAnsi="Palatino Linotype"/>
          <w:i/>
          <w:sz w:val="22"/>
        </w:rPr>
      </w:pPr>
      <w:r>
        <w:rPr>
          <w:rFonts w:ascii="Palatino Linotype" w:eastAsiaTheme="minorEastAsia" w:hAnsi="Palatino Linotype"/>
          <w:i/>
          <w:sz w:val="22"/>
        </w:rPr>
        <w:t>“</w:t>
      </w:r>
      <w:r w:rsidRPr="001E4395">
        <w:rPr>
          <w:rFonts w:ascii="Palatino Linotype" w:eastAsiaTheme="minorEastAsia" w:hAnsi="Palatino Linotype"/>
          <w:i/>
          <w:sz w:val="22"/>
        </w:rPr>
        <w:t>La divulgación de la información representa un riesgo real, demostrable e identificable del perjuicio significativo al interés público o a la seguridad pública;</w:t>
      </w:r>
    </w:p>
    <w:p w:rsidR="00AA22DC" w:rsidRPr="001E4395" w:rsidRDefault="00AA22DC" w:rsidP="00AA22DC">
      <w:pPr>
        <w:ind w:left="851" w:right="822"/>
        <w:contextualSpacing/>
        <w:jc w:val="both"/>
        <w:rPr>
          <w:rFonts w:ascii="Palatino Linotype" w:eastAsiaTheme="minorEastAsia" w:hAnsi="Palatino Linotype"/>
          <w:i/>
          <w:sz w:val="22"/>
        </w:rPr>
      </w:pPr>
      <w:r w:rsidRPr="001E4395">
        <w:rPr>
          <w:rFonts w:ascii="Palatino Linotype" w:eastAsiaTheme="minorEastAsia" w:hAnsi="Palatino Linotype"/>
          <w:i/>
          <w:sz w:val="22"/>
        </w:rPr>
        <w:t>El riesgo de perjuicio que supondría la divulgación supera el interés público general de que se difunda; y</w:t>
      </w:r>
    </w:p>
    <w:p w:rsidR="00AA22DC" w:rsidRPr="001E4395" w:rsidRDefault="00AA22DC" w:rsidP="00AA22DC">
      <w:pPr>
        <w:ind w:left="851" w:right="822"/>
        <w:contextualSpacing/>
        <w:jc w:val="both"/>
        <w:rPr>
          <w:rFonts w:ascii="Palatino Linotype" w:eastAsiaTheme="minorEastAsia" w:hAnsi="Palatino Linotype"/>
          <w:i/>
          <w:sz w:val="22"/>
        </w:rPr>
      </w:pPr>
      <w:r w:rsidRPr="001E4395">
        <w:rPr>
          <w:rFonts w:ascii="Palatino Linotype" w:eastAsiaTheme="minorEastAsia" w:hAnsi="Palatino Linotype"/>
          <w:i/>
          <w:sz w:val="22"/>
        </w:rPr>
        <w:t>La limitación se adecua al principio de proporcionalidad y representa el medio menos restrictivo disponible representa el medio menos restrictivo disponible para evitar el perjuicio.</w:t>
      </w:r>
      <w:r>
        <w:rPr>
          <w:rFonts w:ascii="Palatino Linotype" w:eastAsiaTheme="minorEastAsia" w:hAnsi="Palatino Linotype"/>
          <w:i/>
          <w:sz w:val="22"/>
        </w:rPr>
        <w:t>”(Sic)</w:t>
      </w:r>
    </w:p>
    <w:p w:rsidR="00AA22DC" w:rsidRPr="00422273" w:rsidRDefault="00AA22DC" w:rsidP="00AA22DC">
      <w:pPr>
        <w:spacing w:line="360" w:lineRule="auto"/>
        <w:ind w:left="851" w:right="822"/>
        <w:contextualSpacing/>
        <w:jc w:val="both"/>
        <w:rPr>
          <w:rFonts w:ascii="Palatino Linotype" w:eastAsiaTheme="minorEastAsia" w:hAnsi="Palatino Linotype"/>
          <w:b/>
          <w:i/>
          <w:sz w:val="22"/>
        </w:rPr>
      </w:pPr>
    </w:p>
    <w:p w:rsidR="0079387A" w:rsidRDefault="00AA22DC" w:rsidP="0079387A">
      <w:pPr>
        <w:spacing w:before="240" w:after="240" w:line="360" w:lineRule="auto"/>
        <w:ind w:right="51"/>
        <w:contextualSpacing/>
        <w:jc w:val="both"/>
        <w:rPr>
          <w:rFonts w:ascii="Palatino Linotype" w:hAnsi="Palatino Linotype" w:cs="Arial"/>
          <w:lang w:eastAsia="es-CO"/>
        </w:rPr>
      </w:pPr>
      <w:r w:rsidRPr="00422273">
        <w:rPr>
          <w:rFonts w:ascii="Palatino Linotype" w:eastAsiaTheme="minorEastAsia" w:hAnsi="Palatino Linotype"/>
        </w:rPr>
        <w:t xml:space="preserve">Requisitos que deben estar acompañados de la debida fundamentación y motivación, </w:t>
      </w:r>
      <w:r w:rsidR="0079387A">
        <w:rPr>
          <w:rFonts w:ascii="Palatino Linotype" w:hAnsi="Palatino Linotype" w:cs="Arial"/>
          <w:lang w:eastAsia="es-CO"/>
        </w:rPr>
        <w:t>e</w:t>
      </w:r>
      <w:r w:rsidR="0079387A" w:rsidRPr="00300C47">
        <w:rPr>
          <w:rFonts w:ascii="Palatino Linotype" w:hAnsi="Palatino Linotype" w:cs="Arial"/>
          <w:lang w:eastAsia="es-CO"/>
        </w:rPr>
        <w:t xml:space="preserve">s decir, el Sujeto Obligado a través de su Comité de Transparencia, deberá elaborar acuerdo que contenga un razonamiento lógico con el que se demuestre que la información, encuadra en alguna de las hipótesis que contempla la Ley </w:t>
      </w:r>
      <w:r w:rsidR="0079387A">
        <w:rPr>
          <w:rFonts w:ascii="Palatino Linotype" w:hAnsi="Palatino Linotype" w:cs="Arial"/>
          <w:lang w:eastAsia="es-CO"/>
        </w:rPr>
        <w:t>de la Materia en su artículo 140</w:t>
      </w:r>
      <w:r w:rsidR="0079387A" w:rsidRPr="00300C47">
        <w:rPr>
          <w:rFonts w:ascii="Palatino Linotype" w:hAnsi="Palatino Linotype" w:cs="Arial"/>
          <w:lang w:eastAsia="es-CO"/>
        </w:rPr>
        <w:t xml:space="preserve">; ya que, de lo contrario, se crearía la incertidumbre jurídica; en otras palabras, si no se exponen de manera puntual las razones de la </w:t>
      </w:r>
      <w:r w:rsidR="0079387A">
        <w:rPr>
          <w:rFonts w:ascii="Palatino Linotype" w:hAnsi="Palatino Linotype" w:cs="Arial"/>
          <w:lang w:eastAsia="es-CO"/>
        </w:rPr>
        <w:t>clasificación</w:t>
      </w:r>
      <w:r w:rsidR="0079387A" w:rsidRPr="00300C47">
        <w:rPr>
          <w:rFonts w:ascii="Palatino Linotype" w:hAnsi="Palatino Linotype" w:cs="Arial"/>
          <w:lang w:eastAsia="es-CO"/>
        </w:rPr>
        <w:t xml:space="preserve"> se estaría violentando el derecho de acceso a la información de la parte solicitante.</w:t>
      </w:r>
    </w:p>
    <w:p w:rsidR="0079387A" w:rsidRDefault="0079387A" w:rsidP="0079387A">
      <w:pPr>
        <w:spacing w:before="240" w:after="240" w:line="360" w:lineRule="auto"/>
        <w:ind w:right="51"/>
        <w:contextualSpacing/>
        <w:jc w:val="both"/>
        <w:rPr>
          <w:rFonts w:ascii="Palatino Linotype" w:hAnsi="Palatino Linotype" w:cs="Arial"/>
          <w:lang w:eastAsia="es-CO"/>
        </w:rPr>
      </w:pPr>
    </w:p>
    <w:p w:rsidR="0079387A" w:rsidRPr="00C312BC" w:rsidRDefault="0079387A" w:rsidP="0079387A">
      <w:pPr>
        <w:spacing w:before="240" w:after="240" w:line="360" w:lineRule="auto"/>
        <w:ind w:right="51"/>
        <w:contextualSpacing/>
        <w:jc w:val="both"/>
        <w:rPr>
          <w:rFonts w:ascii="Palatino Linotype" w:hAnsi="Palatino Linotype" w:cs="Arial"/>
          <w:lang w:eastAsia="es-CO"/>
        </w:rPr>
      </w:pPr>
      <w:r w:rsidRPr="00C312BC">
        <w:rPr>
          <w:rFonts w:ascii="Palatino Linotype" w:hAnsi="Palatino Linotype" w:cs="Arial"/>
          <w:lang w:eastAsia="es-CO"/>
        </w:rPr>
        <w:t>Al respecto, el máximo tribunal del país ha establecido jurisprudencia respecto a qué debe entenderse por fundamentación y motivación, en los siguientes términos:</w:t>
      </w:r>
    </w:p>
    <w:p w:rsidR="0079387A" w:rsidRPr="00A362BA" w:rsidRDefault="0079387A" w:rsidP="0079387A">
      <w:pPr>
        <w:jc w:val="both"/>
        <w:rPr>
          <w:rFonts w:ascii="Palatino Linotype" w:hAnsi="Palatino Linotype" w:cs="Arial"/>
        </w:rPr>
      </w:pPr>
    </w:p>
    <w:p w:rsidR="0079387A" w:rsidRPr="00A362BA" w:rsidRDefault="0079387A" w:rsidP="0079387A">
      <w:pPr>
        <w:ind w:left="709" w:right="757"/>
        <w:contextualSpacing/>
        <w:jc w:val="both"/>
        <w:rPr>
          <w:rFonts w:ascii="Palatino Linotype" w:hAnsi="Palatino Linotype" w:cs="Arial"/>
          <w:i/>
        </w:rPr>
      </w:pPr>
      <w:r w:rsidRPr="00A362BA">
        <w:rPr>
          <w:rFonts w:ascii="Palatino Linotype" w:hAnsi="Palatino Linotype" w:cs="Arial"/>
          <w:i/>
        </w:rPr>
        <w:lastRenderedPageBreak/>
        <w:t>“</w:t>
      </w:r>
      <w:r w:rsidRPr="00A362BA">
        <w:rPr>
          <w:rFonts w:ascii="Palatino Linotype" w:hAnsi="Palatino Linotype" w:cs="Arial"/>
          <w:b/>
          <w:i/>
        </w:rPr>
        <w:t xml:space="preserve">FUNDAMENTACION Y MOTIVACION. </w:t>
      </w:r>
      <w:r w:rsidRPr="00A362BA">
        <w:rPr>
          <w:rFonts w:ascii="Palatino Linotype" w:hAnsi="Palatino Linotype" w:cs="Arial"/>
          <w:i/>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79387A" w:rsidRPr="00A362BA" w:rsidRDefault="0079387A" w:rsidP="0079387A">
      <w:pPr>
        <w:contextualSpacing/>
        <w:jc w:val="both"/>
        <w:rPr>
          <w:rFonts w:ascii="Palatino Linotype" w:hAnsi="Palatino Linotype" w:cs="Arial"/>
          <w:i/>
        </w:rPr>
      </w:pPr>
    </w:p>
    <w:p w:rsidR="0079387A" w:rsidRDefault="0079387A" w:rsidP="0079387A">
      <w:pPr>
        <w:spacing w:line="360" w:lineRule="auto"/>
        <w:jc w:val="both"/>
        <w:rPr>
          <w:rFonts w:ascii="Palatino Linotype" w:hAnsi="Palatino Linotype" w:cs="Arial"/>
        </w:rPr>
      </w:pPr>
      <w:r w:rsidRPr="00C312BC">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79387A" w:rsidRPr="00C312BC" w:rsidRDefault="0079387A" w:rsidP="0079387A">
      <w:pPr>
        <w:spacing w:line="360" w:lineRule="auto"/>
        <w:jc w:val="both"/>
        <w:rPr>
          <w:rFonts w:ascii="Palatino Linotype" w:hAnsi="Palatino Linotype" w:cs="Arial"/>
        </w:rPr>
      </w:pPr>
    </w:p>
    <w:p w:rsidR="0079387A" w:rsidRPr="00C312BC" w:rsidRDefault="0079387A" w:rsidP="0079387A">
      <w:pPr>
        <w:spacing w:line="360" w:lineRule="auto"/>
        <w:jc w:val="both"/>
        <w:rPr>
          <w:rFonts w:ascii="Palatino Linotype" w:hAnsi="Palatino Linotype" w:cs="Arial"/>
        </w:rPr>
      </w:pPr>
      <w:r w:rsidRPr="00C312BC">
        <w:rPr>
          <w:rFonts w:ascii="Palatino Linotype" w:hAnsi="Palatino Linotype" w:cs="Arial"/>
        </w:rPr>
        <w:t xml:space="preserve">Asimismo, a través de diversa jurisprudencia dictada por el Poder Judicial de la Federación se sostiene que la finalidad de la </w:t>
      </w:r>
      <w:r w:rsidRPr="00C312BC">
        <w:rPr>
          <w:rFonts w:ascii="Palatino Linotype" w:hAnsi="Palatino Linotype" w:cs="Arial"/>
          <w:b/>
        </w:rPr>
        <w:t>fundamentación</w:t>
      </w:r>
      <w:r w:rsidRPr="00C312BC">
        <w:rPr>
          <w:rFonts w:ascii="Palatino Linotype" w:hAnsi="Palatino Linotype" w:cs="Arial"/>
        </w:rPr>
        <w:t xml:space="preserve"> o </w:t>
      </w:r>
      <w:r w:rsidRPr="00C312BC">
        <w:rPr>
          <w:rFonts w:ascii="Palatino Linotype" w:hAnsi="Palatino Linotype" w:cs="Arial"/>
          <w:b/>
        </w:rPr>
        <w:t>motivación</w:t>
      </w:r>
      <w:r w:rsidRPr="00C312BC">
        <w:rPr>
          <w:rFonts w:ascii="Palatino Linotype" w:hAnsi="Palatino Linotype" w:cs="Arial"/>
        </w:rPr>
        <w:t xml:space="preserve"> es la de explicar, justificar, posibilitar la defensa y comunicar la decisión de la autoridad:</w:t>
      </w:r>
    </w:p>
    <w:p w:rsidR="0079387A" w:rsidRPr="00A362BA" w:rsidRDefault="0079387A" w:rsidP="0079387A">
      <w:pPr>
        <w:jc w:val="both"/>
        <w:rPr>
          <w:rFonts w:ascii="Palatino Linotype" w:hAnsi="Palatino Linotype" w:cs="Arial"/>
        </w:rPr>
      </w:pPr>
    </w:p>
    <w:p w:rsidR="0079387A" w:rsidRPr="00A362BA" w:rsidRDefault="0079387A" w:rsidP="0079387A">
      <w:pPr>
        <w:ind w:left="709" w:right="757"/>
        <w:contextualSpacing/>
        <w:jc w:val="both"/>
        <w:rPr>
          <w:rFonts w:ascii="Palatino Linotype" w:hAnsi="Palatino Linotype" w:cs="Arial"/>
          <w:i/>
        </w:rPr>
      </w:pPr>
      <w:r w:rsidRPr="00A362BA">
        <w:rPr>
          <w:rFonts w:ascii="Palatino Linotype" w:hAnsi="Palatino Linotype" w:cs="Arial"/>
          <w:b/>
          <w:i/>
        </w:rPr>
        <w:t>“FUNDAMENTACIÓN Y MOTIVACIÓN. EL ASPECTO FORMAL DE LA GARANTÍA Y SU FINALIDAD SE TRADUCEN EN EXPLICAR, JUSTIFICAR, POSIBILITAR LA DEFENSA Y COMUNICAR LA DECISIÓN</w:t>
      </w:r>
      <w:r w:rsidRPr="00A362BA">
        <w:rPr>
          <w:rFonts w:ascii="Palatino Linotype" w:hAnsi="Palatino Linotype" w:cs="Arial"/>
          <w:i/>
        </w:rPr>
        <w:t xml:space="preserve">. El contenido formal de la garantía de legalidad prevista en el artículo 16 constitucional relativa a la </w:t>
      </w:r>
      <w:r w:rsidRPr="00A362BA">
        <w:rPr>
          <w:rFonts w:ascii="Palatino Linotype" w:hAnsi="Palatino Linotype" w:cs="Arial"/>
          <w:b/>
          <w:i/>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362BA">
        <w:rPr>
          <w:rFonts w:ascii="Palatino Linotype" w:hAnsi="Palatino Linotype" w:cs="Arial"/>
          <w:i/>
        </w:rPr>
        <w:t xml:space="preserve">. Por tanto, </w:t>
      </w:r>
      <w:r w:rsidRPr="00A362BA">
        <w:rPr>
          <w:rFonts w:ascii="Palatino Linotype" w:hAnsi="Palatino Linotype" w:cs="Arial"/>
          <w:b/>
          <w:i/>
        </w:rPr>
        <w:t>no basta que el acto de autoridad apenas observe una motivación pro forma pero de una manera incongruente, insuficiente o imprecisa</w:t>
      </w:r>
      <w:r w:rsidRPr="00A362BA">
        <w:rPr>
          <w:rFonts w:ascii="Palatino Linotype" w:hAnsi="Palatino Linotype" w:cs="Arial"/>
          <w:i/>
        </w:rPr>
        <w:t>, que impida la finalidad del conocimiento, comprobación y defensa pertinente</w:t>
      </w:r>
      <w:r w:rsidRPr="00A362BA">
        <w:rPr>
          <w:rFonts w:ascii="Palatino Linotype" w:hAnsi="Palatino Linotype" w:cs="Arial"/>
          <w:b/>
          <w:i/>
        </w:rPr>
        <w:t xml:space="preserve">, ni es válido exigirle una amplitud o abundancia superflua, pues es suficiente la expresión de lo estrictamente necesario para explicar, </w:t>
      </w:r>
      <w:r w:rsidRPr="00A362BA">
        <w:rPr>
          <w:rFonts w:ascii="Palatino Linotype" w:hAnsi="Palatino Linotype" w:cs="Arial"/>
          <w:b/>
          <w:i/>
        </w:rPr>
        <w:lastRenderedPageBreak/>
        <w:t>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A362BA">
        <w:rPr>
          <w:rFonts w:ascii="Palatino Linotype" w:hAnsi="Palatino Linotype" w:cs="Arial"/>
          <w:i/>
        </w:rPr>
        <w:t>.”(Sic)</w:t>
      </w:r>
    </w:p>
    <w:p w:rsidR="0079387A" w:rsidRPr="00A362BA" w:rsidRDefault="0079387A" w:rsidP="0079387A">
      <w:pPr>
        <w:contextualSpacing/>
        <w:jc w:val="both"/>
        <w:rPr>
          <w:rFonts w:ascii="Palatino Linotype" w:hAnsi="Palatino Linotype" w:cs="Arial"/>
          <w:i/>
        </w:rPr>
      </w:pPr>
    </w:p>
    <w:p w:rsidR="0079387A" w:rsidRDefault="0079387A" w:rsidP="0079387A">
      <w:pPr>
        <w:spacing w:line="360" w:lineRule="auto"/>
        <w:jc w:val="both"/>
        <w:rPr>
          <w:rFonts w:ascii="Palatino Linotype" w:hAnsi="Palatino Linotype" w:cs="Arial"/>
        </w:rPr>
      </w:pPr>
      <w:r w:rsidRPr="00C312BC">
        <w:rPr>
          <w:rFonts w:ascii="Palatino Linotype" w:hAnsi="Palatino Linotype" w:cs="Arial"/>
        </w:rPr>
        <w:t>De ahí que,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AA22DC" w:rsidRPr="00422273" w:rsidRDefault="00AA22DC" w:rsidP="00AA22DC">
      <w:pPr>
        <w:spacing w:line="360" w:lineRule="auto"/>
        <w:ind w:right="49"/>
        <w:contextualSpacing/>
        <w:jc w:val="both"/>
        <w:rPr>
          <w:rFonts w:ascii="Palatino Linotype" w:eastAsiaTheme="minorEastAsia" w:hAnsi="Palatino Linotype"/>
        </w:rPr>
      </w:pPr>
    </w:p>
    <w:p w:rsidR="00AA22DC" w:rsidRPr="00422273" w:rsidRDefault="00AA22DC" w:rsidP="00AA22DC">
      <w:pPr>
        <w:spacing w:line="360" w:lineRule="auto"/>
        <w:ind w:right="49"/>
        <w:contextualSpacing/>
        <w:jc w:val="both"/>
        <w:rPr>
          <w:rFonts w:ascii="Palatino Linotype" w:eastAsiaTheme="minorEastAsia" w:hAnsi="Palatino Linotype"/>
          <w:bCs/>
          <w:iCs/>
        </w:rPr>
      </w:pPr>
      <w:r w:rsidRPr="00422273">
        <w:rPr>
          <w:rFonts w:ascii="Palatino Linotype" w:eastAsiaTheme="minorEastAsia" w:hAnsi="Palatino Linotype"/>
        </w:rPr>
        <w:t xml:space="preserve">Debiendo argumentar el Sujeto Obligado que la liberación de la información pueda amenazar el interés protegido por la ley, es decir esgrimir ideas jurídicas en el cual se evidencie la amenaza del daño o alteración al procedimiento </w:t>
      </w:r>
      <w:r w:rsidR="0079387A">
        <w:rPr>
          <w:rFonts w:ascii="Palatino Linotype" w:eastAsiaTheme="minorEastAsia" w:hAnsi="Palatino Linotype"/>
        </w:rPr>
        <w:t>de auditoria</w:t>
      </w:r>
      <w:r w:rsidRPr="00422273">
        <w:rPr>
          <w:rFonts w:ascii="Palatino Linotype" w:eastAsiaTheme="minorEastAsia" w:hAnsi="Palatino Linotype"/>
        </w:rPr>
        <w:t xml:space="preserve">, amparado de razones, y circunstancias especiales que lo llevaron a concluir que el caso particular se ajusta al supuesto previsto en la norma </w:t>
      </w:r>
      <w:r>
        <w:rPr>
          <w:rFonts w:ascii="Palatino Linotype" w:eastAsiaTheme="minorEastAsia" w:hAnsi="Palatino Linotype"/>
        </w:rPr>
        <w:t xml:space="preserve">legal invocada como fundamento, </w:t>
      </w:r>
      <w:r w:rsidRPr="00422273">
        <w:rPr>
          <w:rFonts w:ascii="Palatino Linotype" w:eastAsiaTheme="minorEastAsia" w:hAnsi="Palatino Linotype"/>
        </w:rPr>
        <w:t xml:space="preserve">por la hipótesis análoga siendo aplicables los numerales </w:t>
      </w:r>
      <w:r w:rsidR="0079387A">
        <w:rPr>
          <w:rFonts w:ascii="Palatino Linotype" w:eastAsiaTheme="minorEastAsia" w:hAnsi="Palatino Linotype"/>
          <w:bCs/>
          <w:iCs/>
        </w:rPr>
        <w:t>140, fracción V número 1,</w:t>
      </w:r>
      <w:r w:rsidRPr="00422273">
        <w:rPr>
          <w:rFonts w:ascii="Palatino Linotype" w:eastAsiaTheme="minorEastAsia" w:hAnsi="Palatino Linotype"/>
          <w:bCs/>
          <w:iCs/>
        </w:rPr>
        <w:t xml:space="preserve"> de la Ley de Transparencia y Acceso a la Información Pública del Estado de México y Municipios (homól</w:t>
      </w:r>
      <w:r w:rsidR="0079387A">
        <w:rPr>
          <w:rFonts w:ascii="Palatino Linotype" w:eastAsiaTheme="minorEastAsia" w:hAnsi="Palatino Linotype"/>
          <w:bCs/>
          <w:iCs/>
        </w:rPr>
        <w:t>ogo al artículo 113, fracción VI</w:t>
      </w:r>
      <w:r w:rsidRPr="00422273">
        <w:rPr>
          <w:rFonts w:ascii="Palatino Linotype" w:eastAsiaTheme="minorEastAsia" w:hAnsi="Palatino Linotype"/>
          <w:bCs/>
          <w:iCs/>
        </w:rPr>
        <w:t xml:space="preserve"> de la Ley General de Transparencia y Acceso a la Información Pública),</w:t>
      </w:r>
      <w:r w:rsidR="00725D55">
        <w:rPr>
          <w:rFonts w:ascii="Palatino Linotype" w:eastAsiaTheme="minorEastAsia" w:hAnsi="Palatino Linotype"/>
          <w:bCs/>
          <w:iCs/>
        </w:rPr>
        <w:t xml:space="preserve"> p</w:t>
      </w:r>
      <w:r w:rsidRPr="00422273">
        <w:rPr>
          <w:rFonts w:ascii="Palatino Linotype" w:eastAsiaTheme="minorEastAsia" w:hAnsi="Palatino Linotype"/>
          <w:bCs/>
          <w:iCs/>
        </w:rPr>
        <w:t>or lo cual, la causal de reserva prevé que la información podrá clasificarse como reserva</w:t>
      </w:r>
      <w:r w:rsidR="00725D55">
        <w:rPr>
          <w:rFonts w:ascii="Palatino Linotype" w:eastAsiaTheme="minorEastAsia" w:hAnsi="Palatino Linotype"/>
          <w:bCs/>
          <w:iCs/>
        </w:rPr>
        <w:t>da en el caso de que obstruya la</w:t>
      </w:r>
      <w:r w:rsidRPr="00422273">
        <w:rPr>
          <w:rFonts w:ascii="Palatino Linotype" w:eastAsiaTheme="minorEastAsia" w:hAnsi="Palatino Linotype"/>
          <w:bCs/>
          <w:iCs/>
        </w:rPr>
        <w:t xml:space="preserve">s </w:t>
      </w:r>
      <w:r w:rsidR="00725D55">
        <w:rPr>
          <w:rFonts w:ascii="Palatino Linotype" w:eastAsiaTheme="minorEastAsia" w:hAnsi="Palatino Linotype"/>
          <w:bCs/>
          <w:iCs/>
        </w:rPr>
        <w:t xml:space="preserve">auditorias </w:t>
      </w:r>
      <w:r w:rsidR="00725D55" w:rsidRPr="00725D55">
        <w:rPr>
          <w:rFonts w:ascii="Palatino Linotype" w:eastAsiaTheme="minorEastAsia" w:hAnsi="Palatino Linotype"/>
          <w:bCs/>
          <w:iCs/>
        </w:rPr>
        <w:t>relativas al cumplimiento de las leyes</w:t>
      </w:r>
      <w:r w:rsidR="00725D55">
        <w:rPr>
          <w:rFonts w:ascii="Palatino Linotype" w:eastAsiaTheme="minorEastAsia" w:hAnsi="Palatino Linotype"/>
          <w:bCs/>
          <w:iCs/>
        </w:rPr>
        <w:t>.</w:t>
      </w:r>
    </w:p>
    <w:p w:rsidR="00AA22DC" w:rsidRPr="00422273" w:rsidRDefault="00AA22DC" w:rsidP="00AA22DC">
      <w:pPr>
        <w:spacing w:line="360" w:lineRule="auto"/>
        <w:ind w:right="49"/>
        <w:contextualSpacing/>
        <w:jc w:val="both"/>
        <w:rPr>
          <w:rFonts w:ascii="Palatino Linotype" w:eastAsiaTheme="minorEastAsia" w:hAnsi="Palatino Linotype"/>
          <w:bCs/>
          <w:iCs/>
        </w:rPr>
      </w:pPr>
    </w:p>
    <w:p w:rsidR="00AA22DC" w:rsidRPr="00422273" w:rsidRDefault="00AA22DC" w:rsidP="00AA22DC">
      <w:pPr>
        <w:spacing w:line="360" w:lineRule="auto"/>
        <w:ind w:right="49"/>
        <w:contextualSpacing/>
        <w:jc w:val="both"/>
        <w:rPr>
          <w:rFonts w:ascii="Palatino Linotype" w:eastAsiaTheme="minorEastAsia" w:hAnsi="Palatino Linotype"/>
          <w:iCs/>
        </w:rPr>
      </w:pPr>
      <w:r w:rsidRPr="00422273">
        <w:rPr>
          <w:rFonts w:ascii="Palatino Linotype" w:eastAsiaTheme="minorEastAsia" w:hAnsi="Palatino Linotype"/>
          <w:iCs/>
        </w:rPr>
        <w:lastRenderedPageBreak/>
        <w:t xml:space="preserve">Por su parte, en los Lineamientos Generales en Materia de Clasificación y Desclasificación de la </w:t>
      </w:r>
      <w:r w:rsidRPr="00422273">
        <w:rPr>
          <w:rFonts w:ascii="Palatino Linotype" w:eastAsiaTheme="minorEastAsia" w:hAnsi="Palatino Linotype"/>
          <w:bCs/>
          <w:iCs/>
        </w:rPr>
        <w:t>Información</w:t>
      </w:r>
      <w:r w:rsidRPr="00422273">
        <w:rPr>
          <w:rFonts w:ascii="Palatino Linotype" w:eastAsiaTheme="minorEastAsia" w:hAnsi="Palatino Linotype"/>
          <w:iCs/>
        </w:rPr>
        <w:t>, así como para la elaboración de versiones públicas, se establece lo siguiente:</w:t>
      </w:r>
    </w:p>
    <w:p w:rsidR="00AA22DC" w:rsidRPr="00422273" w:rsidRDefault="00AA22DC" w:rsidP="00AA22DC">
      <w:pPr>
        <w:ind w:left="851" w:right="822"/>
        <w:contextualSpacing/>
        <w:jc w:val="both"/>
        <w:rPr>
          <w:rFonts w:ascii="Palatino Linotype" w:eastAsiaTheme="minorEastAsia" w:hAnsi="Palatino Linotype"/>
          <w:i/>
          <w:iCs/>
          <w:sz w:val="22"/>
        </w:rPr>
      </w:pPr>
      <w:r w:rsidRPr="00422273">
        <w:rPr>
          <w:rFonts w:ascii="Palatino Linotype" w:eastAsiaTheme="minorEastAsia" w:hAnsi="Palatino Linotype"/>
          <w:i/>
          <w:iCs/>
          <w:sz w:val="22"/>
        </w:rPr>
        <w:t>“…</w:t>
      </w:r>
    </w:p>
    <w:p w:rsidR="00725D55" w:rsidRPr="00725D55" w:rsidRDefault="00725D55" w:rsidP="00725D55">
      <w:pPr>
        <w:ind w:left="851" w:right="822"/>
        <w:contextualSpacing/>
        <w:jc w:val="both"/>
        <w:rPr>
          <w:rFonts w:ascii="Palatino Linotype" w:eastAsiaTheme="minorEastAsia" w:hAnsi="Palatino Linotype"/>
          <w:i/>
          <w:iCs/>
          <w:sz w:val="22"/>
        </w:rPr>
      </w:pPr>
      <w:r w:rsidRPr="00725D55">
        <w:rPr>
          <w:rFonts w:ascii="Palatino Linotype" w:eastAsiaTheme="minorEastAsia" w:hAnsi="Palatino Linotype"/>
          <w:i/>
          <w:iCs/>
          <w:sz w:val="22"/>
        </w:rPr>
        <w:t>Vigésimo cuarto. De conformidad con el artículo 113, fracción VI de la Ley General, podrá considerarse como reservada, aquella información que obstruya las actividades de verificación, inspección y auditoría relativas al cumplimiento de las leyes, cuando se actualicen los siguientes elementos:</w:t>
      </w:r>
    </w:p>
    <w:p w:rsidR="00725D55" w:rsidRPr="00725D55" w:rsidRDefault="00725D55" w:rsidP="00725D55">
      <w:pPr>
        <w:ind w:left="851" w:right="822"/>
        <w:contextualSpacing/>
        <w:jc w:val="both"/>
        <w:rPr>
          <w:rFonts w:ascii="Palatino Linotype" w:eastAsiaTheme="minorEastAsia" w:hAnsi="Palatino Linotype"/>
          <w:i/>
          <w:iCs/>
          <w:sz w:val="22"/>
        </w:rPr>
      </w:pPr>
      <w:r w:rsidRPr="00725D55">
        <w:rPr>
          <w:rFonts w:ascii="Palatino Linotype" w:eastAsiaTheme="minorEastAsia" w:hAnsi="Palatino Linotype"/>
          <w:i/>
          <w:iCs/>
          <w:sz w:val="22"/>
        </w:rPr>
        <w:t>I.        La existencia de un procedimiento de verificación del cumplimiento de las leyes;</w:t>
      </w:r>
    </w:p>
    <w:p w:rsidR="00725D55" w:rsidRPr="00725D55" w:rsidRDefault="00725D55" w:rsidP="00725D55">
      <w:pPr>
        <w:ind w:left="851" w:right="822"/>
        <w:contextualSpacing/>
        <w:jc w:val="both"/>
        <w:rPr>
          <w:rFonts w:ascii="Palatino Linotype" w:eastAsiaTheme="minorEastAsia" w:hAnsi="Palatino Linotype"/>
          <w:i/>
          <w:iCs/>
          <w:sz w:val="22"/>
        </w:rPr>
      </w:pPr>
      <w:r w:rsidRPr="00725D55">
        <w:rPr>
          <w:rFonts w:ascii="Palatino Linotype" w:eastAsiaTheme="minorEastAsia" w:hAnsi="Palatino Linotype"/>
          <w:i/>
          <w:iCs/>
          <w:sz w:val="22"/>
        </w:rPr>
        <w:t>II.       Que el procedimiento se encuentre en trámite;</w:t>
      </w:r>
    </w:p>
    <w:p w:rsidR="00725D55" w:rsidRPr="00725D55" w:rsidRDefault="00725D55" w:rsidP="00725D55">
      <w:pPr>
        <w:ind w:left="851" w:right="822"/>
        <w:contextualSpacing/>
        <w:jc w:val="both"/>
        <w:rPr>
          <w:rFonts w:ascii="Palatino Linotype" w:eastAsiaTheme="minorEastAsia" w:hAnsi="Palatino Linotype"/>
          <w:i/>
          <w:iCs/>
          <w:sz w:val="22"/>
        </w:rPr>
      </w:pPr>
      <w:r w:rsidRPr="00725D55">
        <w:rPr>
          <w:rFonts w:ascii="Palatino Linotype" w:eastAsiaTheme="minorEastAsia" w:hAnsi="Palatino Linotype"/>
          <w:i/>
          <w:iCs/>
          <w:sz w:val="22"/>
        </w:rPr>
        <w:t>III.      La vinculación directa con las actividades que realiza la autoridad en el procedimiento de verificación del cumplimiento de las leyes, y</w:t>
      </w:r>
    </w:p>
    <w:p w:rsidR="00AA22DC" w:rsidRPr="00422273" w:rsidRDefault="00725D55" w:rsidP="00725D55">
      <w:pPr>
        <w:ind w:left="851" w:right="822"/>
        <w:contextualSpacing/>
        <w:jc w:val="both"/>
        <w:rPr>
          <w:rFonts w:ascii="Palatino Linotype" w:eastAsiaTheme="minorEastAsia" w:hAnsi="Palatino Linotype"/>
          <w:i/>
          <w:iCs/>
          <w:sz w:val="22"/>
        </w:rPr>
      </w:pPr>
      <w:r w:rsidRPr="00725D55">
        <w:rPr>
          <w:rFonts w:ascii="Palatino Linotype" w:eastAsiaTheme="minorEastAsia" w:hAnsi="Palatino Linotype"/>
          <w:i/>
          <w:iCs/>
          <w:sz w:val="22"/>
        </w:rPr>
        <w:t>IV.      Que la difusión de la información impida u obstaculice las actividades de inspección, supervisión o vigilancia que realicen las autoridades en el procedimiento de verificació</w:t>
      </w:r>
      <w:r>
        <w:rPr>
          <w:rFonts w:ascii="Palatino Linotype" w:eastAsiaTheme="minorEastAsia" w:hAnsi="Palatino Linotype"/>
          <w:i/>
          <w:iCs/>
          <w:sz w:val="22"/>
        </w:rPr>
        <w:t>n del cumplimiento de las </w:t>
      </w:r>
      <w:proofErr w:type="gramStart"/>
      <w:r>
        <w:rPr>
          <w:rFonts w:ascii="Palatino Linotype" w:eastAsiaTheme="minorEastAsia" w:hAnsi="Palatino Linotype"/>
          <w:i/>
          <w:iCs/>
          <w:sz w:val="22"/>
        </w:rPr>
        <w:t>leyes</w:t>
      </w:r>
      <w:r w:rsidRPr="00422273">
        <w:rPr>
          <w:rFonts w:ascii="Palatino Linotype" w:eastAsiaTheme="minorEastAsia" w:hAnsi="Palatino Linotype"/>
          <w:i/>
          <w:iCs/>
          <w:sz w:val="22"/>
        </w:rPr>
        <w:t xml:space="preserve"> </w:t>
      </w:r>
      <w:r w:rsidR="00AA22DC" w:rsidRPr="00422273">
        <w:rPr>
          <w:rFonts w:ascii="Palatino Linotype" w:eastAsiaTheme="minorEastAsia" w:hAnsi="Palatino Linotype"/>
          <w:i/>
          <w:iCs/>
          <w:sz w:val="22"/>
        </w:rPr>
        <w:t>…</w:t>
      </w:r>
      <w:proofErr w:type="gramEnd"/>
      <w:r w:rsidR="00AA22DC" w:rsidRPr="00422273">
        <w:rPr>
          <w:rFonts w:ascii="Palatino Linotype" w:eastAsiaTheme="minorEastAsia" w:hAnsi="Palatino Linotype"/>
          <w:i/>
          <w:iCs/>
          <w:sz w:val="22"/>
        </w:rPr>
        <w:t>”</w:t>
      </w:r>
      <w:r w:rsidR="00AA22DC">
        <w:rPr>
          <w:rFonts w:ascii="Palatino Linotype" w:eastAsiaTheme="minorEastAsia" w:hAnsi="Palatino Linotype"/>
          <w:i/>
          <w:iCs/>
          <w:sz w:val="22"/>
        </w:rPr>
        <w:t xml:space="preserve"> (Sic)</w:t>
      </w:r>
    </w:p>
    <w:p w:rsidR="00AA22DC" w:rsidRPr="00422273" w:rsidRDefault="00AA22DC" w:rsidP="00AA22DC">
      <w:pPr>
        <w:spacing w:line="360" w:lineRule="auto"/>
        <w:ind w:right="49"/>
        <w:contextualSpacing/>
        <w:jc w:val="both"/>
        <w:rPr>
          <w:rFonts w:ascii="Palatino Linotype" w:eastAsiaTheme="minorEastAsia" w:hAnsi="Palatino Linotype"/>
          <w:i/>
          <w:iCs/>
        </w:rPr>
      </w:pPr>
    </w:p>
    <w:p w:rsidR="00AA22DC" w:rsidRDefault="00AA22DC" w:rsidP="00AA22DC">
      <w:pPr>
        <w:spacing w:line="360" w:lineRule="auto"/>
        <w:ind w:right="49"/>
        <w:contextualSpacing/>
        <w:jc w:val="both"/>
        <w:rPr>
          <w:rFonts w:ascii="Palatino Linotype" w:eastAsiaTheme="minorEastAsia" w:hAnsi="Palatino Linotype"/>
        </w:rPr>
      </w:pPr>
      <w:r>
        <w:rPr>
          <w:rFonts w:ascii="Palatino Linotype" w:eastAsiaTheme="minorEastAsia" w:hAnsi="Palatino Linotype"/>
        </w:rPr>
        <w:t>De ahí que</w:t>
      </w:r>
      <w:r w:rsidRPr="00422273">
        <w:rPr>
          <w:rFonts w:ascii="Palatino Linotype" w:eastAsiaTheme="minorEastAsia" w:hAnsi="Palatino Linotype"/>
        </w:rPr>
        <w:t>, resulta procedente la reserva, en términos del artículo 140, fracción VI, de la Ley de Transparencia y Acceso a la Información Pública del Estado de Méxic</w:t>
      </w:r>
      <w:r>
        <w:rPr>
          <w:rFonts w:ascii="Palatino Linotype" w:eastAsiaTheme="minorEastAsia" w:hAnsi="Palatino Linotype"/>
        </w:rPr>
        <w:t xml:space="preserve">o y Municipios, de </w:t>
      </w:r>
      <w:r w:rsidR="00725D55">
        <w:rPr>
          <w:rFonts w:ascii="Palatino Linotype" w:eastAsiaTheme="minorEastAsia" w:hAnsi="Palatino Linotype"/>
        </w:rPr>
        <w:t>las auditorias en</w:t>
      </w:r>
      <w:r w:rsidRPr="00422273">
        <w:rPr>
          <w:rFonts w:ascii="Palatino Linotype" w:eastAsiaTheme="minorEastAsia" w:hAnsi="Palatino Linotype"/>
        </w:rPr>
        <w:t xml:space="preserve"> trá</w:t>
      </w:r>
      <w:r w:rsidR="00725D55">
        <w:rPr>
          <w:rFonts w:ascii="Palatino Linotype" w:eastAsiaTheme="minorEastAsia" w:hAnsi="Palatino Linotype"/>
        </w:rPr>
        <w:t>mite.</w:t>
      </w:r>
    </w:p>
    <w:p w:rsidR="00AA22DC" w:rsidRPr="00422273" w:rsidRDefault="00AA22DC" w:rsidP="00AA22DC">
      <w:pPr>
        <w:spacing w:line="360" w:lineRule="auto"/>
        <w:ind w:right="49"/>
        <w:contextualSpacing/>
        <w:jc w:val="both"/>
        <w:rPr>
          <w:rFonts w:ascii="Palatino Linotype" w:eastAsiaTheme="minorEastAsia" w:hAnsi="Palatino Linotype"/>
        </w:rPr>
      </w:pPr>
    </w:p>
    <w:p w:rsidR="00AA22DC" w:rsidRPr="00422273" w:rsidRDefault="00AA22DC" w:rsidP="00AA22DC">
      <w:pPr>
        <w:spacing w:line="360" w:lineRule="auto"/>
        <w:ind w:right="49"/>
        <w:contextualSpacing/>
        <w:jc w:val="both"/>
        <w:rPr>
          <w:rFonts w:ascii="Palatino Linotype" w:eastAsiaTheme="minorEastAsia" w:hAnsi="Palatino Linotype"/>
          <w:bCs/>
        </w:rPr>
      </w:pPr>
      <w:r w:rsidRPr="00422273">
        <w:rPr>
          <w:rFonts w:ascii="Palatino Linotype" w:eastAsiaTheme="minorEastAsia" w:hAnsi="Palatino Linotype"/>
          <w:iCs/>
        </w:rPr>
        <w:t>R</w:t>
      </w:r>
      <w:r w:rsidRPr="00422273">
        <w:rPr>
          <w:rFonts w:ascii="Palatino Linotype" w:eastAsiaTheme="minorEastAsia" w:hAnsi="Palatino Linotype"/>
          <w:bCs/>
        </w:rPr>
        <w:t>especto al plazo de reserva, el artículo 125 de la Ley de la materia, establece que la información clasificada como reservada según el artículo 140 de la Ley Federal de Transparencia y Acceso a la Información Pública, podrá permanecer con tal carácter hasta por un periodo de cinco años; por lo que deberá determinar el periodo de reserva, de manera fundada y motivada.</w:t>
      </w:r>
    </w:p>
    <w:p w:rsidR="00935E7F" w:rsidRPr="00935E7F" w:rsidRDefault="00935E7F" w:rsidP="00935E7F">
      <w:pPr>
        <w:spacing w:line="360" w:lineRule="auto"/>
        <w:ind w:right="-93"/>
        <w:jc w:val="both"/>
        <w:rPr>
          <w:rFonts w:ascii="Palatino Linotype" w:hAnsi="Palatino Linotype" w:cs="Tahoma"/>
          <w:b/>
          <w:highlight w:val="yellow"/>
        </w:rPr>
      </w:pPr>
    </w:p>
    <w:p w:rsidR="00935E7F" w:rsidRDefault="00935E7F" w:rsidP="00935E7F">
      <w:pPr>
        <w:spacing w:line="360" w:lineRule="auto"/>
        <w:ind w:right="-93"/>
        <w:jc w:val="both"/>
        <w:rPr>
          <w:rFonts w:ascii="Palatino Linotype" w:hAnsi="Palatino Linotype" w:cs="Tahoma"/>
        </w:rPr>
      </w:pPr>
      <w:r w:rsidRPr="00725D55">
        <w:rPr>
          <w:rFonts w:ascii="Palatino Linotype" w:hAnsi="Palatino Linotype" w:cs="Tahoma"/>
        </w:rPr>
        <w:t>En ese sentido, cabe precisar que la causal de reserva, busca proteger, entre otras cosas, las actividades de fiscalización, que incluye las de auditoría relativas al cumplimiento de leyes; esto es</w:t>
      </w:r>
      <w:r w:rsidRPr="00935E7F">
        <w:rPr>
          <w:rFonts w:ascii="Palatino Linotype" w:hAnsi="Palatino Linotype" w:cs="Tahoma"/>
        </w:rPr>
        <w:t xml:space="preserve">, de los </w:t>
      </w:r>
      <w:r w:rsidRPr="00725D55">
        <w:rPr>
          <w:rFonts w:ascii="Palatino Linotype" w:hAnsi="Palatino Linotype" w:cs="Tahoma"/>
        </w:rPr>
        <w:t xml:space="preserve">procesos sistemáticos a través de los cuales se </w:t>
      </w:r>
      <w:r w:rsidRPr="00725D55">
        <w:rPr>
          <w:rFonts w:ascii="Palatino Linotype" w:hAnsi="Palatino Linotype" w:cs="Tahoma"/>
        </w:rPr>
        <w:lastRenderedPageBreak/>
        <w:t xml:space="preserve">obtiene y evalúa evidencia para determinar si las acciones llevadas a cabo por los entes sujetos a revisión, se realización conforme a las mejores prácticas de la gestión pública. </w:t>
      </w:r>
    </w:p>
    <w:p w:rsidR="00935E7F" w:rsidRPr="00935E7F" w:rsidRDefault="00935E7F" w:rsidP="00935E7F">
      <w:pPr>
        <w:spacing w:line="360" w:lineRule="auto"/>
        <w:ind w:right="-93"/>
        <w:jc w:val="both"/>
        <w:rPr>
          <w:rFonts w:ascii="Palatino Linotype" w:hAnsi="Palatino Linotype" w:cs="Tahoma"/>
          <w:b/>
          <w:highlight w:val="yellow"/>
        </w:rPr>
      </w:pPr>
    </w:p>
    <w:p w:rsidR="007B4FF6" w:rsidRPr="000A5028" w:rsidRDefault="007B4FF6" w:rsidP="007B4FF6">
      <w:pPr>
        <w:autoSpaceDE w:val="0"/>
        <w:autoSpaceDN w:val="0"/>
        <w:adjustRightInd w:val="0"/>
        <w:spacing w:line="360" w:lineRule="auto"/>
        <w:jc w:val="both"/>
        <w:rPr>
          <w:rFonts w:ascii="Palatino Linotype" w:hAnsi="Palatino Linotype" w:cs="Arial"/>
        </w:rPr>
      </w:pPr>
      <w:r>
        <w:rPr>
          <w:rFonts w:ascii="Palatino Linotype" w:hAnsi="Palatino Linotype"/>
          <w:b/>
        </w:rPr>
        <w:t xml:space="preserve">Quinto. Versión Pública. </w:t>
      </w:r>
      <w:r>
        <w:rPr>
          <w:rFonts w:ascii="Palatino Linotype" w:hAnsi="Palatino Linotype"/>
        </w:rPr>
        <w:t xml:space="preserve">Para la entrega de la información, en razón de que el derecho de acceso a la información pública no es absoluto, </w:t>
      </w:r>
      <w:r>
        <w:rPr>
          <w:rFonts w:ascii="Palatino Linotype" w:hAnsi="Palatino Linotype" w:cs="Arial"/>
        </w:rPr>
        <w:t xml:space="preserve">sino que encuentra como excepciones que la información sobre la cual se peticiona el acceso, sea o contenga datos que deban ser clasificados en los términos que la misma Ley de la Materia señala, el Sujeto Obligado </w:t>
      </w:r>
      <w:r>
        <w:rPr>
          <w:rFonts w:ascii="Palatino Linotype" w:hAnsi="Palatino Linotype"/>
        </w:rPr>
        <w:t>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7B4FF6" w:rsidRDefault="007B4FF6" w:rsidP="007B4FF6">
      <w:pPr>
        <w:spacing w:before="240" w:after="240" w:line="360" w:lineRule="auto"/>
        <w:contextualSpacing/>
        <w:jc w:val="both"/>
        <w:rPr>
          <w:rFonts w:ascii="Palatino Linotype" w:hAnsi="Palatino Linotype"/>
        </w:rPr>
      </w:pPr>
    </w:p>
    <w:p w:rsidR="007B4FF6" w:rsidRDefault="007B4FF6" w:rsidP="007B4FF6">
      <w:pPr>
        <w:autoSpaceDE w:val="0"/>
        <w:autoSpaceDN w:val="0"/>
        <w:adjustRightInd w:val="0"/>
        <w:spacing w:before="240" w:after="240" w:line="360" w:lineRule="auto"/>
        <w:ind w:right="50"/>
        <w:jc w:val="both"/>
        <w:rPr>
          <w:rFonts w:ascii="Palatino Linotype" w:hAnsi="Palatino Linotype" w:cs="Arial"/>
        </w:rPr>
      </w:pPr>
      <w:r>
        <w:rPr>
          <w:rFonts w:ascii="Palatino Linotype" w:hAnsi="Palatino Linotype" w:cs="Arial"/>
        </w:rPr>
        <w:t>Lo anterior, de conformidad a lo que señalan los artículos 3, fracciones IX, XX, XXXII, XLV; 6, 137 y 143 fracción I, de la Ley de Transparencia y Acceso a la Información Pública del Estado de México y Municipios vigente, que se leen como sigue:</w:t>
      </w:r>
    </w:p>
    <w:p w:rsidR="007B4FF6" w:rsidRDefault="007B4FF6" w:rsidP="007B4FF6">
      <w:pPr>
        <w:autoSpaceDE w:val="0"/>
        <w:autoSpaceDN w:val="0"/>
        <w:adjustRightInd w:val="0"/>
        <w:ind w:left="993" w:right="1041"/>
        <w:jc w:val="both"/>
        <w:rPr>
          <w:rFonts w:ascii="Palatino Linotype" w:hAnsi="Palatino Linotype" w:cs="Arial"/>
          <w:b/>
          <w:i/>
          <w:sz w:val="22"/>
          <w:szCs w:val="22"/>
        </w:rPr>
      </w:pPr>
      <w:r>
        <w:rPr>
          <w:rFonts w:ascii="Palatino Linotype" w:hAnsi="Palatino Linotype" w:cs="Arial"/>
          <w:b/>
          <w:i/>
          <w:sz w:val="22"/>
          <w:szCs w:val="22"/>
        </w:rPr>
        <w:t xml:space="preserve"> “Artículo 3. Para los efectos de la presente Ley se entenderá por:</w:t>
      </w:r>
    </w:p>
    <w:p w:rsidR="007B4FF6" w:rsidRDefault="007B4FF6" w:rsidP="007B4FF6">
      <w:pPr>
        <w:autoSpaceDE w:val="0"/>
        <w:autoSpaceDN w:val="0"/>
        <w:adjustRightInd w:val="0"/>
        <w:ind w:left="993" w:right="1041"/>
        <w:jc w:val="both"/>
        <w:rPr>
          <w:rFonts w:ascii="Palatino Linotype" w:hAnsi="Palatino Linotype" w:cs="Arial"/>
          <w:i/>
          <w:sz w:val="22"/>
          <w:szCs w:val="22"/>
        </w:rPr>
      </w:pPr>
      <w:r>
        <w:rPr>
          <w:rFonts w:ascii="Palatino Linotype" w:hAnsi="Palatino Linotype" w:cs="Arial"/>
          <w:b/>
          <w:i/>
          <w:sz w:val="22"/>
          <w:szCs w:val="22"/>
        </w:rPr>
        <w:t>IX. Datos personales:</w:t>
      </w:r>
      <w:r>
        <w:rPr>
          <w:rFonts w:ascii="Palatino Linotype" w:hAnsi="Palatino Linotype" w:cs="Arial"/>
          <w:i/>
          <w:sz w:val="22"/>
          <w:szCs w:val="22"/>
        </w:rPr>
        <w:t xml:space="preserve"> </w:t>
      </w:r>
      <w:r>
        <w:rPr>
          <w:rFonts w:ascii="Palatino Linotype" w:hAnsi="Palatino Linotype" w:cs="Arial"/>
          <w:b/>
          <w:i/>
          <w:sz w:val="22"/>
          <w:szCs w:val="22"/>
        </w:rPr>
        <w:t>La información concerniente a una persona, identificada o identificable</w:t>
      </w:r>
      <w:r>
        <w:rPr>
          <w:rFonts w:ascii="Palatino Linotype" w:hAnsi="Palatino Linotype" w:cs="Arial"/>
          <w:i/>
          <w:sz w:val="22"/>
          <w:szCs w:val="22"/>
        </w:rPr>
        <w:t xml:space="preserve"> según lo dispuesto por la Ley de Protección de Datos Personales del Estado de México;</w:t>
      </w:r>
    </w:p>
    <w:p w:rsidR="007B4FF6" w:rsidRDefault="007B4FF6" w:rsidP="007B4FF6">
      <w:pPr>
        <w:autoSpaceDE w:val="0"/>
        <w:autoSpaceDN w:val="0"/>
        <w:adjustRightInd w:val="0"/>
        <w:ind w:left="993" w:right="1041"/>
        <w:jc w:val="both"/>
        <w:rPr>
          <w:rFonts w:ascii="Palatino Linotype" w:hAnsi="Palatino Linotype" w:cs="Arial"/>
          <w:i/>
          <w:sz w:val="22"/>
          <w:szCs w:val="22"/>
        </w:rPr>
      </w:pPr>
      <w:r>
        <w:rPr>
          <w:rFonts w:ascii="Palatino Linotype" w:hAnsi="Palatino Linotype" w:cs="Arial"/>
          <w:b/>
          <w:i/>
          <w:sz w:val="22"/>
          <w:szCs w:val="22"/>
        </w:rPr>
        <w:t>XX. Información clasificada:</w:t>
      </w:r>
      <w:r>
        <w:rPr>
          <w:rFonts w:ascii="Palatino Linotype" w:hAnsi="Palatino Linotype" w:cs="Arial"/>
          <w:i/>
          <w:sz w:val="22"/>
          <w:szCs w:val="22"/>
        </w:rPr>
        <w:t xml:space="preserve"> Aquella considerada por la presente Ley como reservada o confidencial;</w:t>
      </w:r>
    </w:p>
    <w:p w:rsidR="007B4FF6" w:rsidRDefault="007B4FF6" w:rsidP="007B4FF6">
      <w:pPr>
        <w:autoSpaceDE w:val="0"/>
        <w:autoSpaceDN w:val="0"/>
        <w:adjustRightInd w:val="0"/>
        <w:ind w:left="993" w:right="1041"/>
        <w:jc w:val="both"/>
        <w:rPr>
          <w:rFonts w:ascii="Palatino Linotype" w:hAnsi="Palatino Linotype"/>
          <w:i/>
          <w:sz w:val="22"/>
          <w:szCs w:val="22"/>
        </w:rPr>
      </w:pPr>
      <w:r>
        <w:rPr>
          <w:rFonts w:ascii="Palatino Linotype" w:hAnsi="Palatino Linotype"/>
          <w:b/>
          <w:i/>
          <w:sz w:val="22"/>
          <w:szCs w:val="22"/>
        </w:rPr>
        <w:t>XXXII. Protección de Datos Personales:</w:t>
      </w:r>
      <w:r>
        <w:rPr>
          <w:rFonts w:ascii="Palatino Linotype" w:hAnsi="Palatino Linotype"/>
          <w:i/>
          <w:sz w:val="22"/>
          <w:szCs w:val="22"/>
        </w:rPr>
        <w:t xml:space="preserve"> Derecho humano que tutela la privacidad de datos personales en poder de los sujetos obligados y sujetos particulares;</w:t>
      </w:r>
    </w:p>
    <w:p w:rsidR="007B4FF6" w:rsidRDefault="007B4FF6" w:rsidP="007B4FF6">
      <w:pPr>
        <w:autoSpaceDE w:val="0"/>
        <w:autoSpaceDN w:val="0"/>
        <w:adjustRightInd w:val="0"/>
        <w:ind w:left="993" w:right="1041"/>
        <w:jc w:val="both"/>
        <w:rPr>
          <w:rFonts w:ascii="Palatino Linotype" w:hAnsi="Palatino Linotype" w:cs="Arial"/>
          <w:i/>
          <w:sz w:val="22"/>
          <w:szCs w:val="22"/>
        </w:rPr>
      </w:pPr>
      <w:r>
        <w:rPr>
          <w:rFonts w:ascii="Palatino Linotype" w:hAnsi="Palatino Linotype" w:cs="Arial"/>
          <w:b/>
          <w:i/>
          <w:sz w:val="22"/>
          <w:szCs w:val="22"/>
        </w:rPr>
        <w:t>XLV. Versión pública</w:t>
      </w:r>
      <w:r>
        <w:rPr>
          <w:rFonts w:ascii="Palatino Linotype" w:hAnsi="Palatino Linotype" w:cs="Arial"/>
          <w:i/>
          <w:sz w:val="22"/>
          <w:szCs w:val="22"/>
        </w:rPr>
        <w:t>: Documento en el que se elimine, suprime o borra la información clasificada como reservada o confidencial para permitir su acceso.”</w:t>
      </w:r>
    </w:p>
    <w:p w:rsidR="007B4FF6" w:rsidRDefault="007B4FF6" w:rsidP="007B4FF6">
      <w:pPr>
        <w:autoSpaceDE w:val="0"/>
        <w:autoSpaceDN w:val="0"/>
        <w:adjustRightInd w:val="0"/>
        <w:ind w:left="993" w:right="1041"/>
        <w:jc w:val="both"/>
        <w:rPr>
          <w:rFonts w:ascii="Palatino Linotype" w:hAnsi="Palatino Linotype" w:cs="Arial"/>
          <w:i/>
          <w:sz w:val="22"/>
          <w:szCs w:val="22"/>
        </w:rPr>
      </w:pPr>
    </w:p>
    <w:p w:rsidR="007B4FF6" w:rsidRDefault="007B4FF6" w:rsidP="007B4FF6">
      <w:pPr>
        <w:ind w:left="993" w:right="1041"/>
        <w:contextualSpacing/>
        <w:jc w:val="both"/>
        <w:rPr>
          <w:rFonts w:ascii="Palatino Linotype" w:hAnsi="Palatino Linotype"/>
          <w:i/>
          <w:sz w:val="22"/>
          <w:szCs w:val="22"/>
        </w:rPr>
      </w:pPr>
      <w:r>
        <w:rPr>
          <w:rFonts w:ascii="Palatino Linotype" w:hAnsi="Palatino Linotype"/>
          <w:b/>
          <w:i/>
          <w:sz w:val="22"/>
          <w:szCs w:val="22"/>
        </w:rPr>
        <w:t>“Artículo 6.</w:t>
      </w:r>
      <w:r>
        <w:rPr>
          <w:rFonts w:ascii="Palatino Linotype"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7B4FF6" w:rsidRDefault="007B4FF6" w:rsidP="007B4FF6">
      <w:pPr>
        <w:ind w:left="993" w:right="1041"/>
        <w:contextualSpacing/>
        <w:jc w:val="both"/>
        <w:rPr>
          <w:rFonts w:ascii="Palatino Linotype" w:hAnsi="Palatino Linotype" w:cs="Arial"/>
          <w:bCs/>
          <w:i/>
          <w:noProof/>
          <w:sz w:val="22"/>
          <w:szCs w:val="22"/>
        </w:rPr>
      </w:pPr>
    </w:p>
    <w:p w:rsidR="007B4FF6" w:rsidRDefault="007B4FF6" w:rsidP="007B4FF6">
      <w:pPr>
        <w:spacing w:before="240"/>
        <w:ind w:left="993" w:right="1041"/>
        <w:contextualSpacing/>
        <w:jc w:val="both"/>
        <w:rPr>
          <w:rFonts w:ascii="Palatino Linotype" w:hAnsi="Palatino Linotype" w:cs="Arial"/>
          <w:b/>
          <w:bCs/>
          <w:i/>
          <w:noProof/>
          <w:sz w:val="22"/>
          <w:szCs w:val="22"/>
        </w:rPr>
      </w:pPr>
      <w:r>
        <w:rPr>
          <w:rFonts w:ascii="Palatino Linotype" w:hAnsi="Palatino Linotype"/>
          <w:b/>
          <w:i/>
          <w:sz w:val="22"/>
          <w:szCs w:val="22"/>
        </w:rPr>
        <w:t>“Artículo 137.</w:t>
      </w:r>
      <w:r>
        <w:rPr>
          <w:rFonts w:ascii="Palatino Linotype" w:hAnsi="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7B4FF6" w:rsidRDefault="007B4FF6" w:rsidP="007B4FF6">
      <w:pPr>
        <w:spacing w:before="240"/>
        <w:ind w:left="993" w:right="1041"/>
        <w:contextualSpacing/>
        <w:jc w:val="both"/>
        <w:rPr>
          <w:rFonts w:ascii="Palatino Linotype" w:hAnsi="Palatino Linotype" w:cs="Arial"/>
          <w:b/>
          <w:bCs/>
          <w:i/>
          <w:noProof/>
          <w:sz w:val="22"/>
          <w:szCs w:val="22"/>
        </w:rPr>
      </w:pPr>
    </w:p>
    <w:p w:rsidR="007B4FF6" w:rsidRDefault="007B4FF6" w:rsidP="007B4FF6">
      <w:pPr>
        <w:spacing w:before="240"/>
        <w:ind w:left="993" w:right="1041"/>
        <w:contextualSpacing/>
        <w:jc w:val="both"/>
        <w:rPr>
          <w:rFonts w:ascii="Palatino Linotype" w:hAnsi="Palatino Linotype"/>
          <w:i/>
          <w:sz w:val="22"/>
          <w:szCs w:val="22"/>
        </w:rPr>
      </w:pPr>
      <w:r>
        <w:rPr>
          <w:rFonts w:ascii="Palatino Linotype" w:hAnsi="Palatino Linotype"/>
          <w:b/>
          <w:i/>
          <w:sz w:val="22"/>
          <w:szCs w:val="22"/>
        </w:rPr>
        <w:t>“Artículo 143</w:t>
      </w:r>
      <w:r>
        <w:rPr>
          <w:rFonts w:ascii="Palatino Linotype" w:hAnsi="Palatino Linotype"/>
          <w:i/>
          <w:sz w:val="22"/>
          <w:szCs w:val="22"/>
        </w:rPr>
        <w:t>. Para los efectos de esta Ley se considera información confidencial, la clasificada como tal, de manera permanente, por su naturaleza, cuando:</w:t>
      </w:r>
    </w:p>
    <w:p w:rsidR="007B4FF6" w:rsidRDefault="007B4FF6" w:rsidP="007B4FF6">
      <w:pPr>
        <w:spacing w:before="240"/>
        <w:ind w:left="993" w:right="1041"/>
        <w:contextualSpacing/>
        <w:jc w:val="both"/>
        <w:rPr>
          <w:rFonts w:ascii="Palatino Linotype" w:hAnsi="Palatino Linotype"/>
          <w:i/>
          <w:sz w:val="22"/>
          <w:szCs w:val="22"/>
        </w:rPr>
      </w:pPr>
      <w:r>
        <w:rPr>
          <w:rFonts w:ascii="Palatino Linotype" w:hAnsi="Palatino Linotype"/>
          <w:b/>
          <w:i/>
          <w:sz w:val="22"/>
          <w:szCs w:val="22"/>
        </w:rPr>
        <w:t>I.</w:t>
      </w:r>
      <w:r>
        <w:rPr>
          <w:rFonts w:ascii="Palatino Linotype" w:hAnsi="Palatino Linotype"/>
          <w:i/>
          <w:sz w:val="22"/>
          <w:szCs w:val="22"/>
        </w:rPr>
        <w:t xml:space="preserve"> Se refiera a la información privada y los datos personales concernientes a una persona física o jurídica colectiva identificada o identificable;</w:t>
      </w:r>
    </w:p>
    <w:p w:rsidR="007B4FF6" w:rsidRDefault="007B4FF6" w:rsidP="007B4FF6">
      <w:pPr>
        <w:spacing w:before="240"/>
        <w:ind w:left="993" w:right="1041"/>
        <w:contextualSpacing/>
        <w:jc w:val="both"/>
        <w:rPr>
          <w:rFonts w:ascii="Palatino Linotype" w:hAnsi="Palatino Linotype"/>
          <w:i/>
          <w:sz w:val="22"/>
          <w:szCs w:val="22"/>
        </w:rPr>
      </w:pPr>
      <w:r>
        <w:rPr>
          <w:rFonts w:ascii="Palatino Linotype" w:hAnsi="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7B4FF6" w:rsidRDefault="007B4FF6" w:rsidP="007B4FF6">
      <w:pPr>
        <w:spacing w:before="240"/>
        <w:ind w:left="993" w:right="1041"/>
        <w:contextualSpacing/>
        <w:jc w:val="both"/>
        <w:rPr>
          <w:rFonts w:ascii="Palatino Linotype" w:hAnsi="Palatino Linotype"/>
          <w:i/>
          <w:sz w:val="22"/>
          <w:szCs w:val="22"/>
        </w:rPr>
      </w:pPr>
      <w:r>
        <w:rPr>
          <w:rFonts w:ascii="Palatino Linotype" w:hAnsi="Palatino Linotype"/>
          <w:i/>
          <w:sz w:val="22"/>
          <w:szCs w:val="22"/>
        </w:rPr>
        <w:t>III. La que presenten los particulares a los sujetos obligados, de conformidad con lo dispuesto por las leyes o los tratados internacionales.” (Sic)</w:t>
      </w:r>
    </w:p>
    <w:p w:rsidR="007B4FF6" w:rsidRDefault="007B4FF6" w:rsidP="007B4FF6">
      <w:pPr>
        <w:spacing w:before="240"/>
        <w:ind w:left="993" w:right="1041"/>
        <w:contextualSpacing/>
        <w:jc w:val="both"/>
        <w:rPr>
          <w:rFonts w:ascii="Palatino Linotype" w:hAnsi="Palatino Linotype"/>
          <w:i/>
          <w:sz w:val="22"/>
          <w:szCs w:val="22"/>
        </w:rPr>
      </w:pPr>
    </w:p>
    <w:p w:rsidR="007B4FF6" w:rsidRDefault="007B4FF6" w:rsidP="007B4FF6">
      <w:pPr>
        <w:autoSpaceDE w:val="0"/>
        <w:autoSpaceDN w:val="0"/>
        <w:adjustRightInd w:val="0"/>
        <w:spacing w:before="240" w:after="240" w:line="360" w:lineRule="auto"/>
        <w:ind w:right="51"/>
        <w:contextualSpacing/>
        <w:jc w:val="both"/>
        <w:rPr>
          <w:rFonts w:ascii="Palatino Linotype" w:hAnsi="Palatino Linotype" w:cs="Arial"/>
        </w:rPr>
      </w:pPr>
      <w:r>
        <w:rPr>
          <w:rFonts w:ascii="Palatino Linotype" w:hAnsi="Palatino Linotype" w:cs="Arial"/>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w:t>
      </w:r>
      <w:r>
        <w:rPr>
          <w:rFonts w:ascii="Palatino Linotype" w:hAnsi="Palatino Linotype" w:cs="Arial"/>
        </w:rPr>
        <w:lastRenderedPageBreak/>
        <w:t>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7B4FF6" w:rsidRDefault="007B4FF6" w:rsidP="007B4FF6">
      <w:pPr>
        <w:autoSpaceDE w:val="0"/>
        <w:autoSpaceDN w:val="0"/>
        <w:adjustRightInd w:val="0"/>
        <w:spacing w:before="240" w:after="240" w:line="360" w:lineRule="auto"/>
        <w:ind w:right="51"/>
        <w:contextualSpacing/>
        <w:jc w:val="both"/>
        <w:rPr>
          <w:rFonts w:ascii="Palatino Linotype" w:hAnsi="Palatino Linotype" w:cs="Arial"/>
        </w:rPr>
      </w:pPr>
    </w:p>
    <w:p w:rsidR="007B4FF6" w:rsidRDefault="007B4FF6" w:rsidP="007B4FF6">
      <w:pPr>
        <w:autoSpaceDE w:val="0"/>
        <w:autoSpaceDN w:val="0"/>
        <w:adjustRightInd w:val="0"/>
        <w:spacing w:before="240" w:after="240" w:line="360" w:lineRule="auto"/>
        <w:ind w:right="50"/>
        <w:contextualSpacing/>
        <w:jc w:val="both"/>
        <w:rPr>
          <w:rFonts w:ascii="Palatino Linotype" w:hAnsi="Palatino Linotype" w:cs="Arial"/>
        </w:rPr>
      </w:pPr>
      <w:r>
        <w:rPr>
          <w:rFonts w:ascii="Palatino Linotype" w:hAnsi="Palatino Linotype" w:cs="Arial"/>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7B4FF6" w:rsidRDefault="007B4FF6" w:rsidP="007B4FF6">
      <w:pPr>
        <w:autoSpaceDE w:val="0"/>
        <w:autoSpaceDN w:val="0"/>
        <w:adjustRightInd w:val="0"/>
        <w:spacing w:before="240" w:after="240" w:line="360" w:lineRule="auto"/>
        <w:ind w:right="50"/>
        <w:contextualSpacing/>
        <w:jc w:val="both"/>
        <w:rPr>
          <w:rFonts w:ascii="Palatino Linotype" w:hAnsi="Palatino Linotype" w:cs="Arial"/>
        </w:rPr>
      </w:pPr>
    </w:p>
    <w:p w:rsidR="007B4FF6" w:rsidRDefault="007B4FF6" w:rsidP="007B4FF6">
      <w:pPr>
        <w:autoSpaceDE w:val="0"/>
        <w:autoSpaceDN w:val="0"/>
        <w:adjustRightInd w:val="0"/>
        <w:spacing w:before="240" w:after="240" w:line="360" w:lineRule="auto"/>
        <w:ind w:right="51"/>
        <w:contextualSpacing/>
        <w:jc w:val="both"/>
        <w:rPr>
          <w:rFonts w:ascii="Palatino Linotype" w:hAnsi="Palatino Linotype" w:cs="Arial"/>
        </w:rPr>
      </w:pPr>
      <w:r>
        <w:rPr>
          <w:rFonts w:ascii="Palatino Linotype" w:hAnsi="Palatino Linotype" w:cs="Arial"/>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7B4FF6" w:rsidRDefault="007B4FF6" w:rsidP="007B4FF6">
      <w:pPr>
        <w:autoSpaceDE w:val="0"/>
        <w:autoSpaceDN w:val="0"/>
        <w:adjustRightInd w:val="0"/>
        <w:spacing w:before="240" w:after="240" w:line="360" w:lineRule="auto"/>
        <w:ind w:right="51"/>
        <w:contextualSpacing/>
        <w:jc w:val="both"/>
        <w:rPr>
          <w:rFonts w:ascii="Palatino Linotype" w:hAnsi="Palatino Linotype" w:cs="Arial"/>
        </w:rPr>
      </w:pPr>
    </w:p>
    <w:p w:rsidR="007B4FF6" w:rsidRDefault="007B4FF6" w:rsidP="007B4FF6">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“Artículo 49.</w:t>
      </w:r>
      <w:r>
        <w:rPr>
          <w:rFonts w:ascii="Palatino Linotype" w:hAnsi="Palatino Linotype"/>
          <w:i/>
          <w:sz w:val="22"/>
          <w:szCs w:val="22"/>
        </w:rPr>
        <w:t xml:space="preserve"> </w:t>
      </w:r>
      <w:r>
        <w:rPr>
          <w:rFonts w:ascii="Palatino Linotype" w:hAnsi="Palatino Linotype"/>
          <w:b/>
          <w:i/>
          <w:sz w:val="22"/>
          <w:szCs w:val="22"/>
        </w:rPr>
        <w:t>Los Comités de Transparencia</w:t>
      </w:r>
      <w:r>
        <w:rPr>
          <w:rFonts w:ascii="Palatino Linotype" w:hAnsi="Palatino Linotype"/>
          <w:i/>
          <w:sz w:val="22"/>
          <w:szCs w:val="22"/>
        </w:rPr>
        <w:t xml:space="preserve"> tendrán las siguientes atribuciones:</w:t>
      </w:r>
    </w:p>
    <w:p w:rsidR="007B4FF6" w:rsidRDefault="007B4FF6" w:rsidP="007B4FF6">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VIII. Aprobar, modificar o revocar la clasificación de la información</w:t>
      </w:r>
      <w:r>
        <w:rPr>
          <w:rFonts w:ascii="Palatino Linotype" w:hAnsi="Palatino Linotype"/>
          <w:i/>
          <w:sz w:val="22"/>
          <w:szCs w:val="22"/>
        </w:rPr>
        <w:t>…”</w:t>
      </w:r>
    </w:p>
    <w:p w:rsidR="007B4FF6" w:rsidRDefault="007B4FF6" w:rsidP="007B4FF6">
      <w:pPr>
        <w:spacing w:before="240" w:after="240"/>
        <w:ind w:left="992" w:right="1043"/>
        <w:contextualSpacing/>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53.</w:t>
      </w:r>
      <w:r>
        <w:rPr>
          <w:rFonts w:ascii="Palatino Linotype" w:hAnsi="Palatino Linotype"/>
          <w:i/>
          <w:sz w:val="22"/>
          <w:szCs w:val="22"/>
        </w:rPr>
        <w:t xml:space="preserve"> Las </w:t>
      </w:r>
      <w:r>
        <w:rPr>
          <w:rFonts w:ascii="Palatino Linotype" w:hAnsi="Palatino Linotype"/>
          <w:b/>
          <w:i/>
          <w:sz w:val="22"/>
          <w:szCs w:val="22"/>
        </w:rPr>
        <w:t>Unidades de Transparencia</w:t>
      </w:r>
      <w:r>
        <w:rPr>
          <w:rFonts w:ascii="Palatino Linotype" w:hAnsi="Palatino Linotype"/>
          <w:i/>
          <w:sz w:val="22"/>
          <w:szCs w:val="22"/>
        </w:rPr>
        <w:t xml:space="preserve"> tendrán las siguientes </w:t>
      </w:r>
      <w:r>
        <w:rPr>
          <w:rFonts w:ascii="Palatino Linotype" w:hAnsi="Palatino Linotype"/>
          <w:b/>
          <w:i/>
          <w:sz w:val="22"/>
          <w:szCs w:val="22"/>
        </w:rPr>
        <w:t>funciones</w:t>
      </w:r>
      <w:r>
        <w:rPr>
          <w:rFonts w:ascii="Palatino Linotype" w:hAnsi="Palatino Linotype"/>
          <w:i/>
          <w:sz w:val="22"/>
          <w:szCs w:val="22"/>
        </w:rPr>
        <w:t>:</w:t>
      </w:r>
    </w:p>
    <w:p w:rsidR="007B4FF6" w:rsidRDefault="007B4FF6" w:rsidP="007B4FF6">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X. Presentar ante el Comité, el proyecto de clasificación de información</w:t>
      </w:r>
      <w:r>
        <w:rPr>
          <w:rFonts w:ascii="Palatino Linotype" w:hAnsi="Palatino Linotype"/>
          <w:i/>
          <w:sz w:val="22"/>
          <w:szCs w:val="22"/>
        </w:rPr>
        <w:t xml:space="preserve">…” </w:t>
      </w:r>
    </w:p>
    <w:p w:rsidR="007B4FF6" w:rsidRDefault="007B4FF6" w:rsidP="007B4FF6">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“Artículo 59.</w:t>
      </w:r>
      <w:r>
        <w:rPr>
          <w:rFonts w:ascii="Palatino Linotype" w:hAnsi="Palatino Linotype"/>
          <w:i/>
          <w:sz w:val="22"/>
          <w:szCs w:val="22"/>
        </w:rPr>
        <w:t xml:space="preserve"> Los </w:t>
      </w:r>
      <w:r>
        <w:rPr>
          <w:rFonts w:ascii="Palatino Linotype" w:hAnsi="Palatino Linotype"/>
          <w:b/>
          <w:i/>
          <w:sz w:val="22"/>
          <w:szCs w:val="22"/>
        </w:rPr>
        <w:t>servidores públicos habilitados</w:t>
      </w:r>
      <w:r>
        <w:rPr>
          <w:rFonts w:ascii="Palatino Linotype" w:hAnsi="Palatino Linotype"/>
          <w:i/>
          <w:sz w:val="22"/>
          <w:szCs w:val="22"/>
        </w:rPr>
        <w:t xml:space="preserve"> tendrán las </w:t>
      </w:r>
      <w:r>
        <w:rPr>
          <w:rFonts w:ascii="Palatino Linotype" w:hAnsi="Palatino Linotype"/>
          <w:b/>
          <w:i/>
          <w:sz w:val="22"/>
          <w:szCs w:val="22"/>
        </w:rPr>
        <w:t>funciones</w:t>
      </w:r>
      <w:r>
        <w:rPr>
          <w:rFonts w:ascii="Palatino Linotype" w:hAnsi="Palatino Linotype"/>
          <w:i/>
          <w:sz w:val="22"/>
          <w:szCs w:val="22"/>
        </w:rPr>
        <w:t xml:space="preserve"> siguientes:</w:t>
      </w:r>
    </w:p>
    <w:p w:rsidR="007B4FF6" w:rsidRDefault="007B4FF6" w:rsidP="007B4FF6">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lastRenderedPageBreak/>
        <w:t>V. Integrar y presentar al responsable de la Unidad de Transparencia la propuesta de clasificación de información</w:t>
      </w:r>
      <w:r>
        <w:rPr>
          <w:rFonts w:ascii="Palatino Linotype" w:hAnsi="Palatino Linotype"/>
          <w:i/>
          <w:sz w:val="22"/>
          <w:szCs w:val="22"/>
        </w:rPr>
        <w:t>, la cual tendrá los fundamentos y argumentos en que se basa dicha propuesta…”</w:t>
      </w:r>
    </w:p>
    <w:p w:rsidR="007B4FF6" w:rsidRDefault="007B4FF6" w:rsidP="007B4FF6">
      <w:pPr>
        <w:spacing w:before="240" w:after="240"/>
        <w:ind w:left="992" w:right="1043"/>
        <w:contextualSpacing/>
        <w:jc w:val="both"/>
        <w:rPr>
          <w:rFonts w:ascii="Palatino Linotype" w:hAnsi="Palatino Linotype"/>
          <w:i/>
          <w:sz w:val="22"/>
          <w:szCs w:val="22"/>
        </w:rPr>
      </w:pPr>
    </w:p>
    <w:p w:rsidR="007B4FF6" w:rsidRDefault="007B4FF6" w:rsidP="007B4FF6">
      <w:pPr>
        <w:spacing w:before="240" w:after="240" w:line="360" w:lineRule="auto"/>
        <w:contextualSpacing/>
        <w:jc w:val="both"/>
        <w:rPr>
          <w:rFonts w:ascii="Palatino Linotype" w:hAnsi="Palatino Linotype" w:cs="Arial"/>
        </w:rPr>
      </w:pPr>
      <w:r>
        <w:rPr>
          <w:rFonts w:ascii="Palatino Linotype" w:hAnsi="Palatino Linotype" w:cs="Arial"/>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7B4FF6" w:rsidRDefault="007B4FF6" w:rsidP="007B4FF6">
      <w:pPr>
        <w:spacing w:before="240" w:after="240" w:line="360" w:lineRule="auto"/>
        <w:contextualSpacing/>
        <w:jc w:val="both"/>
        <w:rPr>
          <w:rFonts w:ascii="Palatino Linotype" w:hAnsi="Palatino Linotype" w:cs="Arial"/>
        </w:rPr>
      </w:pPr>
    </w:p>
    <w:p w:rsidR="007B4FF6" w:rsidRDefault="007B4FF6" w:rsidP="007B4FF6">
      <w:pPr>
        <w:spacing w:before="240" w:after="240" w:line="360" w:lineRule="auto"/>
        <w:contextualSpacing/>
        <w:jc w:val="both"/>
        <w:rPr>
          <w:rFonts w:ascii="Palatino Linotype" w:hAnsi="Palatino Linotype" w:cs="Arial"/>
        </w:rPr>
      </w:pPr>
      <w:r>
        <w:rPr>
          <w:rFonts w:ascii="Palatino Linotype" w:hAnsi="Palatino Linotype" w:cs="Arial"/>
        </w:rPr>
        <w:t>Para lo cual, a su vez en el caso de información de carácter confidencial, se debe atender a lo que señala el artículo 149 de la Ley de Transparencia Local vigente, que se lee como sigue:</w:t>
      </w:r>
    </w:p>
    <w:p w:rsidR="007B4FF6" w:rsidRDefault="007B4FF6" w:rsidP="007B4FF6">
      <w:pPr>
        <w:spacing w:before="240" w:after="240" w:line="360" w:lineRule="auto"/>
        <w:contextualSpacing/>
        <w:jc w:val="both"/>
        <w:rPr>
          <w:rFonts w:ascii="Palatino Linotype" w:hAnsi="Palatino Linotype"/>
        </w:rPr>
      </w:pPr>
    </w:p>
    <w:p w:rsidR="007B4FF6" w:rsidRDefault="007B4FF6" w:rsidP="007B4FF6">
      <w:pPr>
        <w:spacing w:before="240" w:after="240"/>
        <w:ind w:left="993" w:right="1041"/>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149.</w:t>
      </w:r>
      <w:r>
        <w:rPr>
          <w:rFonts w:ascii="Palatino Linotype" w:hAnsi="Palatino Linotype"/>
          <w:i/>
          <w:sz w:val="22"/>
          <w:szCs w:val="22"/>
        </w:rPr>
        <w:t xml:space="preserve"> El </w:t>
      </w:r>
      <w:r>
        <w:rPr>
          <w:rFonts w:ascii="Palatino Linotype" w:hAnsi="Palatino Linotype"/>
          <w:b/>
          <w:i/>
          <w:sz w:val="22"/>
          <w:szCs w:val="22"/>
        </w:rPr>
        <w:t>acuerdo que clasifique la información como confidencial</w:t>
      </w:r>
      <w:r>
        <w:rPr>
          <w:rFonts w:ascii="Palatino Linotype" w:hAnsi="Palatino Linotype"/>
          <w:i/>
          <w:sz w:val="22"/>
          <w:szCs w:val="22"/>
        </w:rPr>
        <w:t xml:space="preserve"> deberá contener un razonamiento lógico en el que demuestre que la información se encuentra en alguna o algunas de las hipótesis previstas en la presente Ley.”(Sic)</w:t>
      </w:r>
    </w:p>
    <w:p w:rsidR="007B4FF6" w:rsidRDefault="007B4FF6" w:rsidP="007B4FF6">
      <w:pPr>
        <w:spacing w:before="240" w:after="240"/>
        <w:ind w:left="993" w:right="1041"/>
        <w:jc w:val="both"/>
        <w:rPr>
          <w:rFonts w:ascii="Palatino Linotype" w:hAnsi="Palatino Linotype" w:cs="Arial"/>
          <w:i/>
          <w:sz w:val="22"/>
          <w:szCs w:val="22"/>
        </w:rPr>
      </w:pPr>
    </w:p>
    <w:p w:rsidR="007B4FF6" w:rsidRDefault="007B4FF6" w:rsidP="007B4FF6">
      <w:pPr>
        <w:spacing w:before="240" w:after="240" w:line="360" w:lineRule="auto"/>
        <w:ind w:right="49"/>
        <w:jc w:val="both"/>
        <w:rPr>
          <w:rFonts w:ascii="Palatino Linotype" w:hAnsi="Palatino Linotype" w:cs="Arial"/>
          <w:lang w:eastAsia="es-CO"/>
        </w:rPr>
      </w:pPr>
      <w:r>
        <w:rPr>
          <w:rFonts w:ascii="Palatino Linotype" w:hAnsi="Palatino Linotype" w:cs="Arial"/>
          <w:lang w:eastAsia="es-CO"/>
        </w:rPr>
        <w:t xml:space="preserve">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w:t>
      </w:r>
      <w:r>
        <w:rPr>
          <w:rFonts w:ascii="Palatino Linotype" w:hAnsi="Palatino Linotype" w:cs="Arial"/>
          <w:lang w:eastAsia="es-CO"/>
        </w:rPr>
        <w:lastRenderedPageBreak/>
        <w:t>tachado; en otras palabras si no se exponen de manera puntual las razones de la versión pública de la documentación entregada se estaría violentando el derecho de acceso a la información de la parte solicitante.</w:t>
      </w:r>
    </w:p>
    <w:p w:rsidR="007B4FF6" w:rsidRDefault="007B4FF6" w:rsidP="007B4FF6">
      <w:pPr>
        <w:autoSpaceDE w:val="0"/>
        <w:autoSpaceDN w:val="0"/>
        <w:adjustRightInd w:val="0"/>
        <w:spacing w:before="240" w:after="240" w:line="360" w:lineRule="auto"/>
        <w:contextualSpacing/>
        <w:jc w:val="both"/>
        <w:rPr>
          <w:rFonts w:ascii="Palatino Linotype" w:hAnsi="Palatino Linotype"/>
        </w:rPr>
      </w:pPr>
      <w:r>
        <w:rPr>
          <w:rFonts w:ascii="Palatino Linotype" w:hAnsi="Palatino Linotype" w:cs="Arial"/>
        </w:rPr>
        <w:t xml:space="preserve">Al respecto, se destaca que la versión pública que elabore el Sujeto Obligado debe cumplir con las formalidades exigidas en la Ley; </w:t>
      </w:r>
      <w:r>
        <w:rPr>
          <w:rFonts w:ascii="Palatino Linotype" w:hAnsi="Palatino Linotype"/>
          <w:lang w:val="es-ES_tradnl"/>
        </w:rPr>
        <w:t xml:space="preserve">es decir, </w:t>
      </w:r>
      <w:r>
        <w:rPr>
          <w:rFonts w:ascii="Palatino Linotype" w:hAnsi="Palatino Linotype"/>
        </w:rPr>
        <w:t>resulta necesario que el Comité de Transparencia d</w:t>
      </w:r>
      <w:r>
        <w:rPr>
          <w:rFonts w:ascii="Palatino Linotype" w:hAnsi="Palatino Linotype"/>
          <w:lang w:val="es-ES_tradnl"/>
        </w:rPr>
        <w:t xml:space="preserve">el Sujeto Obligado </w:t>
      </w:r>
      <w:r>
        <w:rPr>
          <w:rFonts w:ascii="Palatino Linotype" w:hAnsi="Palatino Linotype"/>
        </w:rPr>
        <w:t>emita el Acuerdo de Clasificación correspondiente</w:t>
      </w:r>
      <w:r>
        <w:rPr>
          <w:rFonts w:ascii="Palatino Linotype" w:hAnsi="Palatino Linotype"/>
          <w:lang w:val="es-ES_tradnl"/>
        </w:rPr>
        <w:t xml:space="preserve"> debidamente fundado y motivado, </w:t>
      </w:r>
      <w:r>
        <w:rPr>
          <w:rFonts w:ascii="Palatino Linotype" w:hAnsi="Palatino Linotype"/>
        </w:rPr>
        <w:t xml:space="preserve">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hAnsi="Palatino Linotype"/>
          <w:b/>
        </w:rPr>
        <w:t>LINEAMIENTOS GENERALES EN MATERIA DE CLASIFICACIÓN Y DESCLASIFICACIÓN DE LA INFORMACIÓN, ASÍ COMO PARA LA ELABORACIÓN DE VERSIONES PÚBLICAS</w:t>
      </w:r>
      <w:r>
        <w:rPr>
          <w:rFonts w:ascii="Palatino Linotype" w:hAnsi="Palatino Linotype"/>
        </w:rPr>
        <w:t xml:space="preserve">, publicados en el Diario Oficial de la Federación en fecha quince de abril del año dos mil dieciséis, mediante Acuerdo del Consejo Nacional del Sistema Nacional de Transparencia, Acceso a la Información Pública y Protección de Datos Personales, </w:t>
      </w:r>
      <w:r>
        <w:rPr>
          <w:rFonts w:ascii="Palatino Linotype" w:hAnsi="Palatino Linotype" w:cs="Arial"/>
          <w:lang w:val="es-ES_tradnl"/>
        </w:rPr>
        <w:t>que literalmente expresan:</w:t>
      </w:r>
    </w:p>
    <w:p w:rsidR="007B4FF6" w:rsidRDefault="007B4FF6" w:rsidP="007B4FF6">
      <w:pPr>
        <w:spacing w:before="360" w:after="160"/>
        <w:ind w:left="709" w:right="709"/>
        <w:contextualSpacing/>
        <w:jc w:val="both"/>
        <w:rPr>
          <w:rFonts w:ascii="Palatino Linotype" w:hAnsi="Palatino Linotype" w:cs="Arial"/>
          <w:b/>
          <w:i/>
          <w:sz w:val="22"/>
          <w:szCs w:val="22"/>
          <w:lang w:eastAsia="es-MX"/>
        </w:rPr>
      </w:pPr>
    </w:p>
    <w:p w:rsidR="007B4FF6" w:rsidRDefault="007B4FF6" w:rsidP="007B4FF6">
      <w:pPr>
        <w:spacing w:before="360" w:after="160"/>
        <w:ind w:left="709" w:right="709"/>
        <w:contextualSpacing/>
        <w:jc w:val="both"/>
        <w:rPr>
          <w:rFonts w:ascii="Palatino Linotype" w:hAnsi="Palatino Linotype" w:cs="Arial"/>
          <w:b/>
          <w:i/>
          <w:sz w:val="22"/>
          <w:szCs w:val="22"/>
        </w:rPr>
      </w:pPr>
      <w:r>
        <w:rPr>
          <w:rFonts w:ascii="Palatino Linotype" w:hAnsi="Palatino Linotype" w:cs="Arial"/>
          <w:b/>
          <w:i/>
          <w:sz w:val="22"/>
          <w:szCs w:val="22"/>
          <w:lang w:eastAsia="es-MX"/>
        </w:rPr>
        <w:t xml:space="preserve">Lineamientos Generales en materia de Clasificación y Desclasificación de la </w:t>
      </w:r>
      <w:r>
        <w:rPr>
          <w:rFonts w:ascii="Palatino Linotype" w:hAnsi="Palatino Linotype" w:cs="Arial"/>
          <w:b/>
          <w:i/>
          <w:sz w:val="22"/>
          <w:szCs w:val="22"/>
        </w:rPr>
        <w:t>Información, así como para la elaboración de Versiones Públicas</w:t>
      </w:r>
    </w:p>
    <w:p w:rsidR="007B4FF6" w:rsidRDefault="007B4FF6" w:rsidP="007B4FF6">
      <w:pPr>
        <w:spacing w:before="3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r>
        <w:rPr>
          <w:rFonts w:ascii="Palatino Linotype" w:hAnsi="Palatino Linotype" w:cs="Arial"/>
          <w:b/>
          <w:i/>
          <w:sz w:val="22"/>
          <w:szCs w:val="22"/>
          <w:lang w:eastAsia="es-MX"/>
        </w:rPr>
        <w:t>Segundo.-</w:t>
      </w:r>
      <w:r>
        <w:rPr>
          <w:rFonts w:ascii="Palatino Linotype" w:hAnsi="Palatino Linotype" w:cs="Arial"/>
          <w:i/>
          <w:sz w:val="22"/>
          <w:szCs w:val="22"/>
          <w:lang w:eastAsia="es-MX"/>
        </w:rPr>
        <w:t xml:space="preserve"> Para efectos de los </w:t>
      </w:r>
      <w:r>
        <w:rPr>
          <w:rFonts w:ascii="Palatino Linotype" w:hAnsi="Palatino Linotype" w:cs="Arial"/>
          <w:i/>
          <w:sz w:val="22"/>
          <w:szCs w:val="22"/>
        </w:rPr>
        <w:t>presentes</w:t>
      </w:r>
      <w:r>
        <w:rPr>
          <w:rFonts w:ascii="Palatino Linotype" w:hAnsi="Palatino Linotype" w:cs="Arial"/>
          <w:i/>
          <w:sz w:val="22"/>
          <w:szCs w:val="22"/>
          <w:lang w:eastAsia="es-MX"/>
        </w:rPr>
        <w:t xml:space="preserve"> Lineamientos Generales, se entenderá por:</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XVIII.</w:t>
      </w:r>
      <w:r>
        <w:rPr>
          <w:rFonts w:ascii="Palatino Linotype" w:hAnsi="Palatino Linotype" w:cs="Arial"/>
          <w:i/>
          <w:sz w:val="22"/>
          <w:szCs w:val="22"/>
          <w:lang w:eastAsia="es-MX"/>
        </w:rPr>
        <w:t xml:space="preserve"> </w:t>
      </w:r>
      <w:r>
        <w:rPr>
          <w:rFonts w:ascii="Palatino Linotype" w:hAnsi="Palatino Linotype" w:cs="Arial"/>
          <w:b/>
          <w:i/>
          <w:sz w:val="22"/>
          <w:szCs w:val="22"/>
          <w:lang w:eastAsia="es-MX"/>
        </w:rPr>
        <w:t>Versión pública:</w:t>
      </w:r>
      <w:r>
        <w:rPr>
          <w:rFonts w:ascii="Palatino Linotype" w:hAnsi="Palatino Linotype" w:cs="Arial"/>
          <w:i/>
          <w:sz w:val="22"/>
          <w:szCs w:val="22"/>
          <w:lang w:eastAsia="es-MX"/>
        </w:rPr>
        <w:t xml:space="preserve"> El </w:t>
      </w:r>
      <w:r>
        <w:rPr>
          <w:rFonts w:ascii="Palatino Linotype" w:hAnsi="Palatino Linotype" w:cs="Arial"/>
          <w:bCs/>
          <w:i/>
          <w:noProof/>
          <w:sz w:val="22"/>
          <w:szCs w:val="22"/>
        </w:rPr>
        <w:t>documento</w:t>
      </w:r>
      <w:r>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Pr>
          <w:rFonts w:ascii="Palatino Linotype" w:hAnsi="Palatino Linotype" w:cs="Arial"/>
          <w:b/>
          <w:i/>
          <w:sz w:val="22"/>
          <w:szCs w:val="22"/>
          <w:u w:val="single"/>
          <w:lang w:eastAsia="es-MX"/>
        </w:rPr>
        <w:t>fundando y motivando la</w:t>
      </w:r>
      <w:r>
        <w:rPr>
          <w:rFonts w:ascii="Palatino Linotype" w:hAnsi="Palatino Linotype" w:cs="Arial"/>
          <w:i/>
          <w:sz w:val="22"/>
          <w:szCs w:val="22"/>
          <w:lang w:eastAsia="es-MX"/>
        </w:rPr>
        <w:t xml:space="preserve"> reserva o </w:t>
      </w:r>
      <w:r>
        <w:rPr>
          <w:rFonts w:ascii="Palatino Linotype" w:hAnsi="Palatino Linotype" w:cs="Arial"/>
          <w:b/>
          <w:i/>
          <w:sz w:val="22"/>
          <w:szCs w:val="22"/>
          <w:u w:val="single"/>
          <w:lang w:eastAsia="es-MX"/>
        </w:rPr>
        <w:t>confidencialidad</w:t>
      </w:r>
      <w:r>
        <w:rPr>
          <w:rFonts w:ascii="Palatino Linotype" w:hAnsi="Palatino Linotype" w:cs="Arial"/>
          <w:i/>
          <w:sz w:val="22"/>
          <w:szCs w:val="22"/>
          <w:lang w:eastAsia="es-MX"/>
        </w:rPr>
        <w:t xml:space="preserve">, a través de la resolución que para tal efecto emita el </w:t>
      </w:r>
      <w:r>
        <w:rPr>
          <w:rFonts w:ascii="Palatino Linotype" w:hAnsi="Palatino Linotype" w:cs="Arial"/>
          <w:bCs/>
          <w:i/>
          <w:noProof/>
          <w:sz w:val="22"/>
          <w:szCs w:val="22"/>
        </w:rPr>
        <w:t>Comité</w:t>
      </w:r>
      <w:r>
        <w:rPr>
          <w:rFonts w:ascii="Palatino Linotype" w:hAnsi="Palatino Linotype" w:cs="Arial"/>
          <w:i/>
          <w:sz w:val="22"/>
          <w:szCs w:val="22"/>
          <w:lang w:eastAsia="es-MX"/>
        </w:rPr>
        <w:t xml:space="preserve"> de Transparencia.</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Cuarto.</w:t>
      </w:r>
      <w:r>
        <w:rPr>
          <w:rFonts w:ascii="Palatino Linotype" w:hAnsi="Palatino Linotype" w:cs="Arial"/>
          <w:i/>
          <w:sz w:val="22"/>
          <w:szCs w:val="22"/>
          <w:lang w:eastAsia="es-MX"/>
        </w:rPr>
        <w:t xml:space="preserve"> Para clasificar la información como reservada o confidencial, de manera total o parcial, el titular del </w:t>
      </w:r>
      <w:r>
        <w:rPr>
          <w:rFonts w:ascii="Palatino Linotype" w:hAnsi="Palatino Linotype" w:cs="Arial"/>
          <w:bCs/>
          <w:i/>
          <w:noProof/>
          <w:sz w:val="22"/>
          <w:szCs w:val="22"/>
        </w:rPr>
        <w:t>área</w:t>
      </w:r>
      <w:r>
        <w:rPr>
          <w:rFonts w:ascii="Palatino Linotype" w:hAnsi="Palatino Linotype" w:cs="Arial"/>
          <w:i/>
          <w:sz w:val="22"/>
          <w:szCs w:val="22"/>
          <w:lang w:eastAsia="es-MX"/>
        </w:rPr>
        <w:t xml:space="preserve"> del sujeto </w:t>
      </w:r>
      <w:r>
        <w:rPr>
          <w:rFonts w:ascii="Palatino Linotype" w:hAnsi="Palatino Linotype" w:cs="Arial"/>
          <w:i/>
          <w:sz w:val="22"/>
          <w:szCs w:val="22"/>
        </w:rPr>
        <w:t>obligado</w:t>
      </w:r>
      <w:r>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w:t>
      </w:r>
      <w:r>
        <w:rPr>
          <w:rFonts w:ascii="Palatino Linotype" w:hAnsi="Palatino Linotype" w:cs="Arial"/>
          <w:i/>
          <w:sz w:val="22"/>
          <w:szCs w:val="22"/>
          <w:lang w:eastAsia="es-MX"/>
        </w:rPr>
        <w:lastRenderedPageBreak/>
        <w:t>materia en el ámbito de sus respectivas competencias, en tanto estas últimas no contravengan lo dispuesto en la Ley General.</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sujetos obligados deberán aplicar, de manera estricta, las excepciones al derecho de acceso a la </w:t>
      </w:r>
      <w:r>
        <w:rPr>
          <w:rFonts w:ascii="Palatino Linotype" w:hAnsi="Palatino Linotype" w:cs="Arial"/>
          <w:bCs/>
          <w:i/>
          <w:noProof/>
          <w:sz w:val="22"/>
          <w:szCs w:val="22"/>
        </w:rPr>
        <w:t>información</w:t>
      </w:r>
      <w:r>
        <w:rPr>
          <w:rFonts w:ascii="Palatino Linotype" w:hAnsi="Palatino Linotype" w:cs="Arial"/>
          <w:i/>
          <w:sz w:val="22"/>
          <w:szCs w:val="22"/>
          <w:lang w:eastAsia="es-MX"/>
        </w:rPr>
        <w:t xml:space="preserve"> y sólo </w:t>
      </w:r>
      <w:r>
        <w:rPr>
          <w:rFonts w:ascii="Palatino Linotype" w:hAnsi="Palatino Linotype" w:cs="Arial"/>
          <w:i/>
          <w:sz w:val="22"/>
          <w:szCs w:val="22"/>
        </w:rPr>
        <w:t>podrán</w:t>
      </w:r>
      <w:r>
        <w:rPr>
          <w:rFonts w:ascii="Palatino Linotype" w:hAnsi="Palatino Linotype" w:cs="Arial"/>
          <w:i/>
          <w:sz w:val="22"/>
          <w:szCs w:val="22"/>
          <w:lang w:eastAsia="es-MX"/>
        </w:rPr>
        <w:t xml:space="preserve"> invocarlas cuando acrediten su procedencia.</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Quinto.</w:t>
      </w:r>
      <w:r>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Pr>
          <w:rFonts w:ascii="Palatino Linotype" w:hAnsi="Palatino Linotype" w:cs="Arial"/>
          <w:i/>
          <w:sz w:val="22"/>
          <w:szCs w:val="22"/>
        </w:rPr>
        <w:t>corresponderá</w:t>
      </w:r>
      <w:r>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Sexto.</w:t>
      </w:r>
      <w:r>
        <w:rPr>
          <w:rFonts w:ascii="Palatino Linotype" w:hAnsi="Palatino Linotype" w:cs="Arial"/>
          <w:i/>
          <w:sz w:val="22"/>
          <w:szCs w:val="22"/>
          <w:lang w:eastAsia="es-MX"/>
        </w:rPr>
        <w:t xml:space="preserve"> Los sujetos obligados no podrán emitir acuerdos de carácter general ni particular que clasifiquen </w:t>
      </w:r>
      <w:r>
        <w:rPr>
          <w:rFonts w:ascii="Palatino Linotype" w:hAnsi="Palatino Linotype" w:cs="Arial"/>
          <w:bCs/>
          <w:i/>
          <w:noProof/>
          <w:sz w:val="22"/>
          <w:szCs w:val="22"/>
        </w:rPr>
        <w:t>documentos</w:t>
      </w:r>
      <w:r>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7B4FF6" w:rsidRDefault="007B4FF6" w:rsidP="007B4FF6">
      <w:pPr>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La clasificación de </w:t>
      </w:r>
      <w:r>
        <w:rPr>
          <w:rFonts w:ascii="Palatino Linotype" w:hAnsi="Palatino Linotype" w:cs="Arial"/>
          <w:i/>
          <w:sz w:val="22"/>
          <w:szCs w:val="22"/>
        </w:rPr>
        <w:t>información</w:t>
      </w:r>
      <w:r>
        <w:rPr>
          <w:rFonts w:ascii="Palatino Linotype" w:hAnsi="Palatino Linotype" w:cs="Arial"/>
          <w:i/>
          <w:sz w:val="22"/>
          <w:szCs w:val="22"/>
          <w:lang w:eastAsia="es-MX"/>
        </w:rPr>
        <w:t xml:space="preserve"> se realizará conforme a un análisis caso por caso, mediante la aplicación </w:t>
      </w:r>
      <w:r>
        <w:rPr>
          <w:rFonts w:ascii="Palatino Linotype" w:hAnsi="Palatino Linotype" w:cs="Arial"/>
          <w:bCs/>
          <w:i/>
          <w:noProof/>
          <w:sz w:val="22"/>
          <w:szCs w:val="22"/>
        </w:rPr>
        <w:t>de</w:t>
      </w:r>
      <w:r>
        <w:rPr>
          <w:rFonts w:ascii="Palatino Linotype" w:hAnsi="Palatino Linotype" w:cs="Arial"/>
          <w:i/>
          <w:sz w:val="22"/>
          <w:szCs w:val="22"/>
          <w:lang w:eastAsia="es-MX"/>
        </w:rPr>
        <w:t xml:space="preserve"> la prueba de daño y de interés público.</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Séptimo.</w:t>
      </w:r>
      <w:r>
        <w:rPr>
          <w:rFonts w:ascii="Palatino Linotype" w:hAnsi="Palatino Linotype" w:cs="Arial"/>
          <w:i/>
          <w:sz w:val="22"/>
          <w:szCs w:val="22"/>
          <w:lang w:eastAsia="es-MX"/>
        </w:rPr>
        <w:t xml:space="preserve"> La clasificación </w:t>
      </w:r>
      <w:r>
        <w:rPr>
          <w:rFonts w:ascii="Palatino Linotype" w:hAnsi="Palatino Linotype" w:cs="Arial"/>
          <w:bCs/>
          <w:i/>
          <w:noProof/>
          <w:sz w:val="22"/>
          <w:szCs w:val="22"/>
        </w:rPr>
        <w:t>de</w:t>
      </w:r>
      <w:r>
        <w:rPr>
          <w:rFonts w:ascii="Palatino Linotype" w:hAnsi="Palatino Linotype" w:cs="Arial"/>
          <w:i/>
          <w:sz w:val="22"/>
          <w:szCs w:val="22"/>
          <w:lang w:eastAsia="es-MX"/>
        </w:rPr>
        <w:t xml:space="preserve"> la </w:t>
      </w:r>
      <w:r>
        <w:rPr>
          <w:rFonts w:ascii="Palatino Linotype" w:hAnsi="Palatino Linotype" w:cs="Arial"/>
          <w:i/>
          <w:sz w:val="22"/>
          <w:szCs w:val="22"/>
        </w:rPr>
        <w:t>información</w:t>
      </w:r>
      <w:r>
        <w:rPr>
          <w:rFonts w:ascii="Palatino Linotype" w:hAnsi="Palatino Linotype" w:cs="Arial"/>
          <w:i/>
          <w:sz w:val="22"/>
          <w:szCs w:val="22"/>
          <w:lang w:eastAsia="es-MX"/>
        </w:rPr>
        <w:t xml:space="preserve"> se llevará a cabo en el momento en que:</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w:t>
      </w:r>
      <w:r>
        <w:rPr>
          <w:rFonts w:ascii="Palatino Linotype" w:hAnsi="Palatino Linotype" w:cs="Arial"/>
          <w:i/>
          <w:sz w:val="22"/>
          <w:szCs w:val="22"/>
          <w:lang w:eastAsia="es-MX"/>
        </w:rPr>
        <w:t xml:space="preserve"> Se reciba una solicitud de acceso a la información;</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Se determine </w:t>
      </w:r>
      <w:r>
        <w:rPr>
          <w:rFonts w:ascii="Palatino Linotype" w:hAnsi="Palatino Linotype" w:cs="Arial"/>
          <w:bCs/>
          <w:i/>
          <w:noProof/>
          <w:sz w:val="22"/>
          <w:szCs w:val="22"/>
        </w:rPr>
        <w:t>mediante</w:t>
      </w:r>
      <w:r>
        <w:rPr>
          <w:rFonts w:ascii="Palatino Linotype" w:hAnsi="Palatino Linotype" w:cs="Arial"/>
          <w:i/>
          <w:sz w:val="22"/>
          <w:szCs w:val="22"/>
          <w:lang w:eastAsia="es-MX"/>
        </w:rPr>
        <w:t xml:space="preserve"> resolución de autoridad competente, o</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III.</w:t>
      </w:r>
      <w:r>
        <w:rPr>
          <w:rFonts w:ascii="Palatino Linotype" w:hAnsi="Palatino Linotype" w:cs="Arial"/>
          <w:i/>
          <w:sz w:val="22"/>
          <w:szCs w:val="22"/>
          <w:lang w:eastAsia="es-MX"/>
        </w:rPr>
        <w:t xml:space="preserve"> Se generen </w:t>
      </w:r>
      <w:r>
        <w:rPr>
          <w:rFonts w:ascii="Palatino Linotype" w:hAnsi="Palatino Linotype" w:cs="Arial"/>
          <w:bCs/>
          <w:i/>
          <w:noProof/>
          <w:sz w:val="22"/>
          <w:szCs w:val="22"/>
        </w:rPr>
        <w:t>versiones</w:t>
      </w:r>
      <w:r>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titulares de las áreas deberán revisar la clasificación al momento de la recepción de una solicitud de </w:t>
      </w:r>
      <w:r>
        <w:rPr>
          <w:rFonts w:ascii="Palatino Linotype" w:hAnsi="Palatino Linotype" w:cs="Arial"/>
          <w:bCs/>
          <w:i/>
          <w:noProof/>
          <w:sz w:val="22"/>
          <w:szCs w:val="22"/>
        </w:rPr>
        <w:t>acceso</w:t>
      </w:r>
      <w:r>
        <w:rPr>
          <w:rFonts w:ascii="Palatino Linotype" w:hAnsi="Palatino Linotype" w:cs="Arial"/>
          <w:i/>
          <w:sz w:val="22"/>
          <w:szCs w:val="22"/>
          <w:lang w:eastAsia="es-MX"/>
        </w:rPr>
        <w:t xml:space="preserve"> a la información, para verificar si encuadra en una causal de reserva o de confidencialidad.</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Octavo.</w:t>
      </w:r>
      <w:r>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Pr>
          <w:rFonts w:ascii="Palatino Linotype" w:hAnsi="Palatino Linotype" w:cs="Arial"/>
          <w:bCs/>
          <w:i/>
          <w:noProof/>
          <w:sz w:val="22"/>
          <w:szCs w:val="22"/>
        </w:rPr>
        <w:t>expresamente</w:t>
      </w:r>
      <w:r>
        <w:rPr>
          <w:rFonts w:ascii="Palatino Linotype" w:hAnsi="Palatino Linotype" w:cs="Arial"/>
          <w:i/>
          <w:sz w:val="22"/>
          <w:szCs w:val="22"/>
          <w:lang w:eastAsia="es-MX"/>
        </w:rPr>
        <w:t xml:space="preserve"> le otorga el carácter de reservada o confidencial.</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bCs/>
          <w:i/>
          <w:noProof/>
          <w:sz w:val="22"/>
          <w:szCs w:val="22"/>
        </w:rPr>
      </w:pPr>
      <w:r>
        <w:rPr>
          <w:rFonts w:ascii="Palatino Linotype" w:hAnsi="Palatino Linotype" w:cs="Arial"/>
          <w:i/>
          <w:sz w:val="22"/>
          <w:szCs w:val="22"/>
          <w:lang w:eastAsia="es-MX"/>
        </w:rPr>
        <w:t xml:space="preserve">Para </w:t>
      </w:r>
      <w:r>
        <w:rPr>
          <w:rFonts w:ascii="Palatino Linotype" w:hAnsi="Palatino Linotype" w:cs="Arial"/>
          <w:bCs/>
          <w:i/>
          <w:noProof/>
          <w:sz w:val="22"/>
          <w:szCs w:val="22"/>
        </w:rPr>
        <w:t xml:space="preserve">motivar la clasificación se deberán señalar las razones o circunstancias especiales que lo </w:t>
      </w:r>
      <w:r>
        <w:rPr>
          <w:rFonts w:ascii="Palatino Linotype" w:hAnsi="Palatino Linotype" w:cs="Arial"/>
          <w:i/>
          <w:sz w:val="22"/>
          <w:szCs w:val="22"/>
          <w:lang w:eastAsia="es-MX"/>
        </w:rPr>
        <w:t>llevaron</w:t>
      </w:r>
      <w:r>
        <w:rPr>
          <w:rFonts w:ascii="Palatino Linotype" w:hAnsi="Palatino Linotype" w:cs="Arial"/>
          <w:bCs/>
          <w:i/>
          <w:noProof/>
          <w:sz w:val="22"/>
          <w:szCs w:val="22"/>
        </w:rPr>
        <w:t xml:space="preserve"> a concluir que el caso particular se ajusta al supuesto previsto por la norma legal invocada como fundamento.</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bCs/>
          <w:i/>
          <w:noProof/>
          <w:sz w:val="22"/>
          <w:szCs w:val="22"/>
        </w:rPr>
      </w:pPr>
      <w:r>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Pr>
          <w:rFonts w:ascii="Palatino Linotype" w:hAnsi="Palatino Linotype" w:cs="Arial"/>
          <w:i/>
          <w:sz w:val="22"/>
          <w:szCs w:val="22"/>
          <w:lang w:eastAsia="es-MX"/>
        </w:rPr>
        <w:t>de</w:t>
      </w:r>
      <w:r>
        <w:rPr>
          <w:rFonts w:ascii="Palatino Linotype" w:hAnsi="Palatino Linotype" w:cs="Arial"/>
          <w:bCs/>
          <w:i/>
          <w:noProof/>
          <w:sz w:val="22"/>
          <w:szCs w:val="22"/>
        </w:rPr>
        <w:t xml:space="preserve"> </w:t>
      </w:r>
      <w:r>
        <w:rPr>
          <w:rFonts w:ascii="Palatino Linotype" w:hAnsi="Palatino Linotype" w:cs="Arial"/>
          <w:i/>
          <w:sz w:val="22"/>
          <w:szCs w:val="22"/>
          <w:lang w:eastAsia="es-MX"/>
        </w:rPr>
        <w:t>reserva</w:t>
      </w:r>
      <w:r>
        <w:rPr>
          <w:rFonts w:ascii="Palatino Linotype" w:hAnsi="Palatino Linotype" w:cs="Arial"/>
          <w:bCs/>
          <w:i/>
          <w:noProof/>
          <w:sz w:val="22"/>
          <w:szCs w:val="22"/>
        </w:rPr>
        <w:t>.</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bCs/>
          <w:i/>
          <w:noProof/>
          <w:sz w:val="22"/>
          <w:szCs w:val="22"/>
        </w:rPr>
      </w:pPr>
      <w:r>
        <w:rPr>
          <w:rFonts w:ascii="Palatino Linotype" w:hAnsi="Palatino Linotype" w:cs="Arial"/>
          <w:i/>
          <w:sz w:val="22"/>
          <w:szCs w:val="22"/>
          <w:lang w:eastAsia="es-MX"/>
        </w:rPr>
        <w:t>Tratándose</w:t>
      </w:r>
      <w:r>
        <w:rPr>
          <w:rFonts w:ascii="Palatino Linotype" w:hAnsi="Palatino Linotype" w:cs="Arial"/>
          <w:bCs/>
          <w:i/>
          <w:noProof/>
          <w:sz w:val="22"/>
          <w:szCs w:val="22"/>
        </w:rPr>
        <w:t xml:space="preserve"> de información clasificada como confidencial respecto de la cual se haya </w:t>
      </w:r>
      <w:r>
        <w:rPr>
          <w:rFonts w:ascii="Palatino Linotype" w:hAnsi="Palatino Linotype" w:cs="Arial"/>
          <w:i/>
          <w:sz w:val="22"/>
          <w:szCs w:val="22"/>
          <w:lang w:eastAsia="es-MX"/>
        </w:rPr>
        <w:t>determinado</w:t>
      </w:r>
      <w:r>
        <w:rPr>
          <w:rFonts w:ascii="Palatino Linotype" w:hAnsi="Palatino Linotype" w:cs="Arial"/>
          <w:bCs/>
          <w:i/>
          <w:noProof/>
          <w:sz w:val="22"/>
          <w:szCs w:val="22"/>
        </w:rPr>
        <w:t xml:space="preserve"> </w:t>
      </w:r>
      <w:r>
        <w:rPr>
          <w:rFonts w:ascii="Palatino Linotype" w:hAnsi="Palatino Linotype" w:cs="Arial"/>
          <w:i/>
          <w:sz w:val="22"/>
          <w:szCs w:val="22"/>
          <w:lang w:eastAsia="es-MX"/>
        </w:rPr>
        <w:t>su</w:t>
      </w:r>
      <w:r>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Cs/>
          <w:i/>
          <w:noProof/>
          <w:sz w:val="22"/>
          <w:szCs w:val="22"/>
        </w:rPr>
        <w:t>Los documentos contenidos</w:t>
      </w:r>
      <w:r>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lastRenderedPageBreak/>
        <w:t>Noveno.</w:t>
      </w:r>
      <w:r>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Décimo.</w:t>
      </w:r>
      <w:r>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Pr>
          <w:rFonts w:ascii="Palatino Linotype" w:hAnsi="Palatino Linotype" w:cs="Arial"/>
          <w:i/>
          <w:sz w:val="22"/>
          <w:szCs w:val="22"/>
        </w:rPr>
        <w:t>documentos</w:t>
      </w:r>
      <w:r>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Pr>
          <w:rFonts w:ascii="Palatino Linotype" w:hAnsi="Palatino Linotype" w:cs="Arial"/>
          <w:i/>
          <w:sz w:val="22"/>
          <w:szCs w:val="22"/>
        </w:rPr>
        <w:t>que</w:t>
      </w:r>
      <w:r>
        <w:rPr>
          <w:rFonts w:ascii="Palatino Linotype" w:hAnsi="Palatino Linotype" w:cs="Arial"/>
          <w:i/>
          <w:sz w:val="22"/>
          <w:szCs w:val="22"/>
          <w:lang w:eastAsia="es-MX"/>
        </w:rPr>
        <w:t xml:space="preserve"> rija la actuación del sujeto obligado.</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Décimo primero.</w:t>
      </w:r>
      <w:r>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7B4FF6" w:rsidRDefault="007B4FF6" w:rsidP="007B4FF6">
      <w:pPr>
        <w:ind w:left="709" w:right="709"/>
        <w:contextualSpacing/>
        <w:jc w:val="center"/>
        <w:rPr>
          <w:rFonts w:ascii="Palatino Linotype" w:hAnsi="Palatino Linotype" w:cs="Arial"/>
          <w:b/>
          <w:i/>
          <w:sz w:val="22"/>
          <w:szCs w:val="22"/>
          <w:lang w:eastAsia="es-MX"/>
        </w:rPr>
      </w:pPr>
      <w:r>
        <w:rPr>
          <w:rFonts w:ascii="Palatino Linotype" w:hAnsi="Palatino Linotype" w:cs="Arial"/>
          <w:b/>
          <w:i/>
          <w:sz w:val="22"/>
          <w:szCs w:val="22"/>
          <w:lang w:eastAsia="es-MX"/>
        </w:rPr>
        <w:t>CAPÍTULO VIII</w:t>
      </w:r>
    </w:p>
    <w:p w:rsidR="007B4FF6" w:rsidRDefault="007B4FF6" w:rsidP="007B4FF6">
      <w:pPr>
        <w:ind w:left="709" w:right="709"/>
        <w:contextualSpacing/>
        <w:jc w:val="center"/>
        <w:rPr>
          <w:rFonts w:ascii="Palatino Linotype" w:hAnsi="Palatino Linotype" w:cs="Arial"/>
          <w:b/>
          <w:i/>
          <w:sz w:val="22"/>
          <w:szCs w:val="22"/>
          <w:lang w:eastAsia="es-MX"/>
        </w:rPr>
      </w:pPr>
      <w:r>
        <w:rPr>
          <w:rFonts w:ascii="Palatino Linotype" w:hAnsi="Palatino Linotype" w:cs="Arial"/>
          <w:b/>
          <w:i/>
          <w:sz w:val="22"/>
          <w:szCs w:val="22"/>
          <w:lang w:eastAsia="es-MX"/>
        </w:rPr>
        <w:t>DE LA LEYENDA DE CLASIFICACIÓN</w:t>
      </w:r>
    </w:p>
    <w:p w:rsidR="007B4FF6" w:rsidRDefault="007B4FF6" w:rsidP="007B4FF6">
      <w:pPr>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Quincuagésimo. </w:t>
      </w:r>
      <w:r>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Pr>
          <w:rFonts w:ascii="Palatino Linotype" w:hAnsi="Palatino Linotype" w:cs="Arial"/>
          <w:i/>
          <w:sz w:val="22"/>
          <w:szCs w:val="22"/>
          <w:lang w:eastAsia="es-MX"/>
        </w:rPr>
        <w:t xml:space="preserve"> para señalar la clasificación de documentos o expedientes, sin perjuicio de que establezcan los propios.</w:t>
      </w:r>
    </w:p>
    <w:p w:rsidR="007B4FF6" w:rsidRDefault="007B4FF6" w:rsidP="007B4FF6">
      <w:pPr>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7B4FF6" w:rsidRDefault="007B4FF6" w:rsidP="007B4FF6">
      <w:pPr>
        <w:spacing w:before="160" w:after="160"/>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Quincuagésimo tercero. </w:t>
      </w:r>
      <w:r>
        <w:rPr>
          <w:rFonts w:ascii="Palatino Linotype" w:hAnsi="Palatino Linotype" w:cs="Arial"/>
          <w:b/>
          <w:i/>
          <w:sz w:val="22"/>
          <w:szCs w:val="22"/>
          <w:u w:val="single"/>
          <w:lang w:eastAsia="es-MX"/>
        </w:rPr>
        <w:t>El formato para señalar la clasificación parcial de un documento</w:t>
      </w:r>
      <w:r>
        <w:rPr>
          <w:rFonts w:ascii="Palatino Linotype" w:hAnsi="Palatino Linotype" w:cs="Arial"/>
          <w:i/>
          <w:sz w:val="22"/>
          <w:szCs w:val="22"/>
          <w:lang w:eastAsia="es-MX"/>
        </w:rPr>
        <w:t>, es el siguiente:</w:t>
      </w:r>
    </w:p>
    <w:tbl>
      <w:tblPr>
        <w:tblStyle w:val="Tablaconcuadrcula"/>
        <w:tblW w:w="0" w:type="auto"/>
        <w:jc w:val="center"/>
        <w:tblInd w:w="0" w:type="dxa"/>
        <w:tblLook w:val="04A0" w:firstRow="1" w:lastRow="0" w:firstColumn="1" w:lastColumn="0" w:noHBand="0" w:noVBand="1"/>
      </w:tblPr>
      <w:tblGrid>
        <w:gridCol w:w="1159"/>
        <w:gridCol w:w="1990"/>
        <w:gridCol w:w="4531"/>
      </w:tblGrid>
      <w:tr w:rsidR="007B4FF6" w:rsidTr="007B4FF6">
        <w:trPr>
          <w:jc w:val="center"/>
        </w:trPr>
        <w:tc>
          <w:tcPr>
            <w:tcW w:w="1129" w:type="dxa"/>
            <w:tcBorders>
              <w:top w:val="nil"/>
              <w:left w:val="nil"/>
              <w:bottom w:val="single" w:sz="4" w:space="0" w:color="auto"/>
              <w:right w:val="single" w:sz="4" w:space="0" w:color="auto"/>
            </w:tcBorders>
          </w:tcPr>
          <w:p w:rsidR="007B4FF6" w:rsidRDefault="007B4FF6" w:rsidP="007B4FF6">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b/>
                <w:i/>
              </w:rPr>
            </w:pPr>
            <w:r>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b/>
                <w:i/>
              </w:rPr>
            </w:pPr>
            <w:r>
              <w:rPr>
                <w:rFonts w:ascii="Palatino Linotype" w:hAnsi="Palatino Linotype"/>
                <w:b/>
                <w:i/>
              </w:rPr>
              <w:t>Dónde:</w:t>
            </w:r>
          </w:p>
        </w:tc>
      </w:tr>
      <w:tr w:rsidR="007B4FF6" w:rsidTr="007B4FF6">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jc w:val="center"/>
              <w:rPr>
                <w:rFonts w:ascii="Palatino Linotype" w:hAnsi="Palatino Linotype" w:cs="Arial"/>
                <w:b/>
                <w:i/>
                <w:lang w:eastAsia="es-MX"/>
              </w:rPr>
            </w:pPr>
            <w:r>
              <w:rPr>
                <w:rFonts w:ascii="Palatino Linotype" w:hAnsi="Palatino Linotype" w:cs="Arial"/>
                <w:b/>
                <w:i/>
                <w:lang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Se anotará la fecha en la que el Comité de Transparencia confirmó la clasificación del documento, en su caso.</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Área</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Se señalará el nombre del área del cual es titular quien clasifica.</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 xml:space="preserve">Se indicarán, en su caso, las partes o páginas del documento que se clasifican como reservadas. Si el documento fuera reservado en su totalidad, se </w:t>
            </w:r>
            <w:proofErr w:type="gramStart"/>
            <w:r>
              <w:rPr>
                <w:rFonts w:ascii="Palatino Linotype" w:hAnsi="Palatino Linotype" w:cs="Arial"/>
                <w:i/>
                <w:lang w:eastAsia="es-MX"/>
              </w:rPr>
              <w:t>anotarán</w:t>
            </w:r>
            <w:proofErr w:type="gramEnd"/>
            <w:r>
              <w:rPr>
                <w:rFonts w:ascii="Palatino Linotype" w:hAnsi="Palatino Linotype" w:cs="Arial"/>
                <w:i/>
                <w:lang w:eastAsia="es-MX"/>
              </w:rPr>
              <w:t xml:space="preserve"> todas las páginas que lo conforman. Si el documento no </w:t>
            </w:r>
            <w:r>
              <w:rPr>
                <w:rFonts w:ascii="Palatino Linotype" w:hAnsi="Palatino Linotype" w:cs="Arial"/>
                <w:i/>
                <w:lang w:eastAsia="es-MX"/>
              </w:rPr>
              <w:lastRenderedPageBreak/>
              <w:t>contiene información reservada, se tachará este apartado.</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Periodo de reserva</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Se anotará el número de años o meses por los que se mantendrá el documento o las partes del mismo como reservado.</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Se señalará el nombre del ordenamiento, el o los artículos, fracción(es), párrafo(s) con base en los cuales se sustente la reserva.</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Confidencial</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Se señalará el nombre del ordenamiento, el o los artículos, fracción(es), párrafo(s) con base en los cuales se sustente la confidencialidad.</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Rúbrica autógrafa de quien clasifica.</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Se anotará la fecha en que se desclasifica el documento.</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i/>
                <w:lang w:eastAsia="es-MX"/>
              </w:rPr>
            </w:pPr>
            <w:r>
              <w:rPr>
                <w:rFonts w:ascii="Palatino Linotype" w:hAnsi="Palatino Linotype" w:cs="Arial"/>
                <w:i/>
                <w:lang w:eastAsia="es-MX"/>
              </w:rPr>
              <w:t>Rúbrica autógrafa de quien desclasifica.</w:t>
            </w:r>
          </w:p>
        </w:tc>
      </w:tr>
    </w:tbl>
    <w:p w:rsidR="007B4FF6" w:rsidRDefault="007B4FF6" w:rsidP="007B4FF6">
      <w:pPr>
        <w:autoSpaceDE w:val="0"/>
        <w:autoSpaceDN w:val="0"/>
        <w:adjustRightInd w:val="0"/>
        <w:spacing w:before="240" w:after="240" w:line="360" w:lineRule="auto"/>
        <w:ind w:right="51"/>
        <w:contextualSpacing/>
        <w:jc w:val="both"/>
        <w:rPr>
          <w:rFonts w:ascii="Palatino Linotype" w:hAnsi="Palatino Linotype" w:cs="Arial"/>
        </w:rPr>
      </w:pPr>
    </w:p>
    <w:p w:rsidR="007B4FF6" w:rsidRDefault="007B4FF6" w:rsidP="007B4FF6">
      <w:pPr>
        <w:autoSpaceDE w:val="0"/>
        <w:autoSpaceDN w:val="0"/>
        <w:adjustRightInd w:val="0"/>
        <w:spacing w:before="240" w:after="240" w:line="360" w:lineRule="auto"/>
        <w:contextualSpacing/>
        <w:jc w:val="both"/>
        <w:rPr>
          <w:rFonts w:ascii="Palatino Linotype" w:hAnsi="Palatino Linotype" w:cs="Arial"/>
        </w:rPr>
      </w:pPr>
      <w:r>
        <w:rPr>
          <w:rFonts w:ascii="Palatino Linotype" w:hAnsi="Palatino Linotype" w:cs="Arial"/>
        </w:rPr>
        <w:t>Efectivamente, cuando se clasifica información como confidencial es importante someterlo al Comité de Transparencia, quien debe confirmar, modificar o revocar la clasificación.</w:t>
      </w:r>
    </w:p>
    <w:p w:rsidR="00961601" w:rsidRDefault="00961601" w:rsidP="007B4FF6">
      <w:pPr>
        <w:autoSpaceDE w:val="0"/>
        <w:autoSpaceDN w:val="0"/>
        <w:adjustRightInd w:val="0"/>
        <w:spacing w:before="240" w:after="240" w:line="360" w:lineRule="auto"/>
        <w:contextualSpacing/>
        <w:jc w:val="both"/>
        <w:rPr>
          <w:rFonts w:ascii="Palatino Linotype" w:hAnsi="Palatino Linotype" w:cs="Arial"/>
        </w:rPr>
      </w:pPr>
    </w:p>
    <w:p w:rsidR="007B4FF6" w:rsidRDefault="007B4FF6" w:rsidP="007B4FF6">
      <w:pPr>
        <w:shd w:val="clear" w:color="auto" w:fill="FFFFFF"/>
        <w:spacing w:before="240" w:after="240" w:line="360" w:lineRule="auto"/>
        <w:ind w:right="51"/>
        <w:contextualSpacing/>
        <w:jc w:val="both"/>
        <w:rPr>
          <w:rFonts w:ascii="Palatino Linotype" w:hAnsi="Palatino Linotype"/>
          <w:lang w:val="es-MX" w:eastAsia="es-MX"/>
        </w:rPr>
      </w:pPr>
      <w:r>
        <w:rPr>
          <w:rFonts w:ascii="Palatino Linotype" w:hAnsi="Palatino Linotype"/>
          <w:lang w:eastAsia="es-MX"/>
        </w:rPr>
        <w:lastRenderedPageBreak/>
        <w:t xml:space="preserve">Por lo tanto, la entrega de documentos en su versión pública debe acompañarse necesariamente del Acuerdo del Comité de Transparencia que la sustente, en el que se expongan los fundamentos y razonamientos que llevaron al </w:t>
      </w:r>
      <w:r>
        <w:rPr>
          <w:rFonts w:ascii="Palatino Linotype" w:hAnsi="Palatino Linotype"/>
          <w:bCs/>
          <w:lang w:eastAsia="es-MX"/>
        </w:rPr>
        <w:t>Sujeto Obligado</w:t>
      </w:r>
      <w:r>
        <w:rPr>
          <w:rFonts w:ascii="Palatino Linotype" w:hAnsi="Palatino Linotype"/>
          <w:lang w:eastAsia="es-MX"/>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w:t>
      </w:r>
      <w:r>
        <w:rPr>
          <w:rFonts w:ascii="Palatino Linotype" w:hAnsi="Palatino Linotype"/>
          <w:lang w:val="es-MX" w:eastAsia="es-MX"/>
        </w:rPr>
        <w:t xml:space="preserve">por lo que el acuerdo respectivo, deberá hacerse del conocimiento del </w:t>
      </w:r>
      <w:r>
        <w:rPr>
          <w:rFonts w:ascii="Palatino Linotype" w:hAnsi="Palatino Linotype"/>
          <w:bCs/>
          <w:lang w:val="es-MX" w:eastAsia="es-MX"/>
        </w:rPr>
        <w:t>Recurrente</w:t>
      </w:r>
      <w:r>
        <w:rPr>
          <w:rFonts w:ascii="Palatino Linotype" w:hAnsi="Palatino Linotype"/>
          <w:lang w:val="es-MX" w:eastAsia="es-MX"/>
        </w:rPr>
        <w:t>.</w:t>
      </w:r>
    </w:p>
    <w:p w:rsidR="00AE3DFF" w:rsidRDefault="00AE3DFF" w:rsidP="00AE3DFF">
      <w:pPr>
        <w:spacing w:before="240" w:after="240" w:line="360" w:lineRule="auto"/>
        <w:contextualSpacing/>
        <w:jc w:val="both"/>
        <w:rPr>
          <w:rFonts w:ascii="Palatino Linotype" w:hAnsi="Palatino Linotype" w:cs="Arial"/>
        </w:rPr>
      </w:pPr>
    </w:p>
    <w:p w:rsidR="00DD33AE" w:rsidRDefault="00DD33AE" w:rsidP="00DD33AE">
      <w:pPr>
        <w:spacing w:before="240" w:after="240" w:line="360" w:lineRule="auto"/>
        <w:contextualSpacing/>
        <w:jc w:val="both"/>
        <w:rPr>
          <w:rFonts w:ascii="Palatino Linotype" w:hAnsi="Palatino Linotype" w:cs="Arial"/>
        </w:rPr>
      </w:pPr>
      <w:r>
        <w:rPr>
          <w:rFonts w:ascii="Palatino Linotype" w:hAnsi="Palatino Linotype" w:cs="Arial"/>
        </w:rPr>
        <w:t>Así, con fundamento en lo prescrito en l</w:t>
      </w:r>
      <w:r w:rsidR="00725D55">
        <w:rPr>
          <w:rFonts w:ascii="Palatino Linotype" w:hAnsi="Palatino Linotype" w:cs="Arial"/>
        </w:rPr>
        <w:t>os artículos 5 párrafos trigésimo primero, trigésimo segundo y</w:t>
      </w:r>
      <w:r w:rsidR="00AE3DFF">
        <w:rPr>
          <w:rFonts w:ascii="Palatino Linotype" w:hAnsi="Palatino Linotype" w:cs="Arial"/>
        </w:rPr>
        <w:t xml:space="preserve"> trigésimo primero</w:t>
      </w:r>
      <w:r>
        <w:rPr>
          <w:rFonts w:ascii="Palatino Linotype" w:hAnsi="Palatino Linotype" w:cs="Arial"/>
        </w:rPr>
        <w:t xml:space="preserve"> de la Constitución Política del Estado Libre y Soberano de México; 2, fracción II; 29, 36 fracciones I y II; 176, 178, 179, fracción VII, 181, 185 de la Ley de Transparencia y Acceso a la Información Pública del Estado de México y Municipios, este Pleno:</w:t>
      </w:r>
    </w:p>
    <w:p w:rsidR="00AE3DFF" w:rsidRDefault="00AE3DFF" w:rsidP="00DD33AE">
      <w:pPr>
        <w:spacing w:before="240" w:after="240" w:line="360" w:lineRule="auto"/>
        <w:contextualSpacing/>
        <w:jc w:val="both"/>
        <w:rPr>
          <w:rFonts w:ascii="Palatino Linotype" w:hAnsi="Palatino Linotype" w:cs="Arial"/>
        </w:rPr>
      </w:pPr>
    </w:p>
    <w:p w:rsidR="00DD33AE" w:rsidRDefault="00F2018E" w:rsidP="00F2018E">
      <w:pPr>
        <w:spacing w:before="240" w:after="240" w:line="360" w:lineRule="auto"/>
        <w:contextualSpacing/>
        <w:jc w:val="center"/>
        <w:rPr>
          <w:rFonts w:ascii="Palatino Linotype" w:hAnsi="Palatino Linotype" w:cs="Arial"/>
          <w:b/>
        </w:rPr>
      </w:pPr>
      <w:r>
        <w:rPr>
          <w:rFonts w:ascii="Palatino Linotype" w:hAnsi="Palatino Linotype" w:cs="Arial"/>
          <w:b/>
        </w:rPr>
        <w:t>III</w:t>
      </w:r>
      <w:r>
        <w:rPr>
          <w:rFonts w:ascii="Palatino Linotype" w:hAnsi="Palatino Linotype" w:cs="Arial"/>
          <w:b/>
        </w:rPr>
        <w:tab/>
      </w:r>
      <w:r w:rsidR="00DD33AE" w:rsidRPr="00F2018E">
        <w:rPr>
          <w:rFonts w:ascii="Palatino Linotype" w:hAnsi="Palatino Linotype" w:cs="Arial"/>
          <w:b/>
        </w:rPr>
        <w:t>R E S U E L V E:</w:t>
      </w:r>
    </w:p>
    <w:p w:rsidR="008233A9" w:rsidRDefault="00F2018E" w:rsidP="008233A9">
      <w:pPr>
        <w:spacing w:before="240" w:after="240" w:line="360" w:lineRule="auto"/>
        <w:jc w:val="both"/>
        <w:rPr>
          <w:rFonts w:ascii="Palatino Linotype" w:eastAsia="Palatino Linotype" w:hAnsi="Palatino Linotype" w:cs="Palatino Linotype"/>
          <w:lang w:eastAsia="es-MX"/>
        </w:rPr>
      </w:pPr>
      <w:r w:rsidRPr="000818BF">
        <w:rPr>
          <w:rFonts w:ascii="Palatino Linotype" w:hAnsi="Palatino Linotype" w:cs="Arial"/>
          <w:b/>
        </w:rPr>
        <w:t xml:space="preserve">Primero. </w:t>
      </w:r>
      <w:r>
        <w:rPr>
          <w:rFonts w:ascii="Palatino Linotype" w:hAnsi="Palatino Linotype" w:cs="Arial"/>
          <w:lang w:val="es-ES_tradnl"/>
        </w:rPr>
        <w:t>Resultan</w:t>
      </w:r>
      <w:r w:rsidR="008233A9">
        <w:rPr>
          <w:rFonts w:ascii="Palatino Linotype" w:hAnsi="Palatino Linotype" w:cs="Arial"/>
          <w:lang w:val="es-ES_tradnl"/>
        </w:rPr>
        <w:t xml:space="preserve"> </w:t>
      </w:r>
      <w:r w:rsidRPr="000818BF">
        <w:rPr>
          <w:rFonts w:ascii="Palatino Linotype" w:hAnsi="Palatino Linotype" w:cs="Arial"/>
          <w:lang w:val="es-ES_tradnl"/>
        </w:rPr>
        <w:t xml:space="preserve">fundadas </w:t>
      </w:r>
      <w:r w:rsidRPr="000818BF">
        <w:rPr>
          <w:rFonts w:ascii="Palatino Linotype" w:eastAsia="Arial Unicode MS" w:hAnsi="Palatino Linotype" w:cs="Arial"/>
        </w:rPr>
        <w:t>las razones o motivos de i</w:t>
      </w:r>
      <w:r>
        <w:rPr>
          <w:rFonts w:ascii="Palatino Linotype" w:eastAsia="Arial Unicode MS" w:hAnsi="Palatino Linotype" w:cs="Arial"/>
        </w:rPr>
        <w:t>nconformidad hechos valer por la parte</w:t>
      </w:r>
      <w:r w:rsidRPr="000818BF">
        <w:rPr>
          <w:rFonts w:ascii="Palatino Linotype" w:eastAsia="Arial Unicode MS" w:hAnsi="Palatino Linotype" w:cs="Arial"/>
        </w:rPr>
        <w:t xml:space="preserve"> Recurrente, </w:t>
      </w:r>
      <w:r w:rsidR="008233A9">
        <w:rPr>
          <w:rFonts w:ascii="Palatino Linotype" w:eastAsia="Palatino Linotype" w:hAnsi="Palatino Linotype" w:cs="Palatino Linotype"/>
        </w:rPr>
        <w:t xml:space="preserve">en el recurso de revisión </w:t>
      </w:r>
      <w:r w:rsidR="00A22CC2">
        <w:rPr>
          <w:rFonts w:ascii="Palatino Linotype" w:eastAsia="Palatino Linotype" w:hAnsi="Palatino Linotype" w:cs="Palatino Linotype"/>
          <w:b/>
        </w:rPr>
        <w:t>04644</w:t>
      </w:r>
      <w:r w:rsidR="004B7530">
        <w:rPr>
          <w:rFonts w:ascii="Palatino Linotype" w:eastAsia="Palatino Linotype" w:hAnsi="Palatino Linotype" w:cs="Palatino Linotype"/>
          <w:b/>
        </w:rPr>
        <w:t>/INFOEM/IP/RR/2021</w:t>
      </w:r>
      <w:r w:rsidR="008233A9">
        <w:rPr>
          <w:rFonts w:ascii="Palatino Linotype" w:eastAsia="Palatino Linotype" w:hAnsi="Palatino Linotype" w:cs="Palatino Linotype"/>
        </w:rPr>
        <w:t xml:space="preserve">; por lo que, en términos del considerando </w:t>
      </w:r>
      <w:r w:rsidR="008233A9">
        <w:rPr>
          <w:rFonts w:ascii="Palatino Linotype" w:eastAsia="Palatino Linotype" w:hAnsi="Palatino Linotype" w:cs="Palatino Linotype"/>
          <w:b/>
        </w:rPr>
        <w:t xml:space="preserve">Cuarto </w:t>
      </w:r>
      <w:r w:rsidR="008233A9">
        <w:rPr>
          <w:rFonts w:ascii="Palatino Linotype" w:eastAsia="Palatino Linotype" w:hAnsi="Palatino Linotype" w:cs="Palatino Linotype"/>
        </w:rPr>
        <w:t xml:space="preserve">de esta resolución, se </w:t>
      </w:r>
      <w:r w:rsidR="00834EA2">
        <w:rPr>
          <w:rFonts w:ascii="Palatino Linotype" w:eastAsia="Palatino Linotype" w:hAnsi="Palatino Linotype" w:cs="Palatino Linotype"/>
          <w:b/>
        </w:rPr>
        <w:t>MODIFICA</w:t>
      </w:r>
      <w:r w:rsidR="008233A9">
        <w:rPr>
          <w:rFonts w:ascii="Palatino Linotype" w:eastAsia="Palatino Linotype" w:hAnsi="Palatino Linotype" w:cs="Palatino Linotype"/>
          <w:b/>
        </w:rPr>
        <w:t xml:space="preserve"> </w:t>
      </w:r>
      <w:r w:rsidR="008233A9">
        <w:rPr>
          <w:rFonts w:ascii="Palatino Linotype" w:eastAsia="Palatino Linotype" w:hAnsi="Palatino Linotype" w:cs="Palatino Linotype"/>
        </w:rPr>
        <w:t>la respuesta emitida por el Sujeto Obligado.</w:t>
      </w:r>
    </w:p>
    <w:p w:rsidR="00F2018E" w:rsidRDefault="00F2018E" w:rsidP="00F2018E">
      <w:pPr>
        <w:spacing w:before="240" w:after="240" w:line="360" w:lineRule="auto"/>
        <w:ind w:right="49"/>
        <w:jc w:val="both"/>
        <w:rPr>
          <w:rFonts w:ascii="Palatino Linotype" w:hAnsi="Palatino Linotype" w:cs="Arial"/>
          <w:bCs/>
          <w:lang w:val="es-MX" w:eastAsia="en-US"/>
        </w:rPr>
      </w:pPr>
      <w:r w:rsidRPr="000818BF">
        <w:rPr>
          <w:rFonts w:ascii="Palatino Linotype" w:hAnsi="Palatino Linotype" w:cs="Arial"/>
          <w:b/>
          <w:bCs/>
          <w:lang w:val="es-MX" w:eastAsia="en-US"/>
        </w:rPr>
        <w:lastRenderedPageBreak/>
        <w:t xml:space="preserve">Segundo. </w:t>
      </w:r>
      <w:r w:rsidRPr="000818BF">
        <w:rPr>
          <w:rFonts w:ascii="Palatino Linotype" w:hAnsi="Palatino Linotype" w:cs="Arial"/>
          <w:lang w:val="es-MX" w:eastAsia="en-US"/>
        </w:rPr>
        <w:t xml:space="preserve">Se </w:t>
      </w:r>
      <w:r w:rsidRPr="000818BF">
        <w:rPr>
          <w:rFonts w:ascii="Palatino Linotype" w:hAnsi="Palatino Linotype" w:cs="Arial"/>
          <w:b/>
          <w:lang w:val="es-MX" w:eastAsia="en-US"/>
        </w:rPr>
        <w:t>Ordena</w:t>
      </w:r>
      <w:r w:rsidRPr="000818BF">
        <w:rPr>
          <w:rFonts w:ascii="Palatino Linotype" w:hAnsi="Palatino Linotype" w:cs="Arial"/>
          <w:b/>
          <w:bCs/>
          <w:lang w:val="es-MX" w:eastAsia="en-US"/>
        </w:rPr>
        <w:t xml:space="preserve"> </w:t>
      </w:r>
      <w:r w:rsidRPr="000818BF">
        <w:rPr>
          <w:rFonts w:ascii="Palatino Linotype" w:hAnsi="Palatino Linotype" w:cs="Arial"/>
          <w:bCs/>
          <w:lang w:val="es-MX" w:eastAsia="en-US"/>
        </w:rPr>
        <w:t xml:space="preserve">al Sujeto Obligado, </w:t>
      </w:r>
      <w:r>
        <w:rPr>
          <w:rFonts w:ascii="Palatino Linotype" w:hAnsi="Palatino Linotype" w:cs="Arial"/>
          <w:bCs/>
          <w:lang w:val="es-MX" w:eastAsia="en-US"/>
        </w:rPr>
        <w:t xml:space="preserve">a </w:t>
      </w:r>
      <w:r w:rsidR="008233A9">
        <w:rPr>
          <w:rFonts w:ascii="Palatino Linotype" w:hAnsi="Palatino Linotype" w:cs="Arial"/>
          <w:bCs/>
          <w:lang w:val="es-MX" w:eastAsia="en-US"/>
        </w:rPr>
        <w:t>que,</w:t>
      </w:r>
      <w:r>
        <w:rPr>
          <w:rFonts w:ascii="Palatino Linotype" w:hAnsi="Palatino Linotype" w:cs="Arial"/>
          <w:bCs/>
          <w:lang w:val="es-MX" w:eastAsia="en-US"/>
        </w:rPr>
        <w:t xml:space="preserve"> </w:t>
      </w:r>
      <w:r w:rsidRPr="000818BF">
        <w:rPr>
          <w:rFonts w:ascii="Palatino Linotype" w:hAnsi="Palatino Linotype" w:cs="Arial"/>
          <w:bCs/>
          <w:lang w:val="es-MX" w:eastAsia="en-US"/>
        </w:rPr>
        <w:t xml:space="preserve">en términos del considerando </w:t>
      </w:r>
      <w:r w:rsidRPr="000818BF">
        <w:rPr>
          <w:rFonts w:ascii="Palatino Linotype" w:hAnsi="Palatino Linotype" w:cs="Arial"/>
          <w:b/>
          <w:bCs/>
          <w:lang w:val="es-MX" w:eastAsia="en-US"/>
        </w:rPr>
        <w:t xml:space="preserve">Cuarto </w:t>
      </w:r>
      <w:r w:rsidRPr="000818BF">
        <w:rPr>
          <w:rFonts w:ascii="Palatino Linotype" w:hAnsi="Palatino Linotype" w:cs="Arial"/>
          <w:bCs/>
          <w:lang w:val="es-MX" w:eastAsia="en-US"/>
        </w:rPr>
        <w:t xml:space="preserve">y </w:t>
      </w:r>
      <w:r w:rsidRPr="000818BF">
        <w:rPr>
          <w:rFonts w:ascii="Palatino Linotype" w:hAnsi="Palatino Linotype" w:cs="Arial"/>
          <w:b/>
          <w:bCs/>
          <w:lang w:val="es-MX" w:eastAsia="en-US"/>
        </w:rPr>
        <w:t xml:space="preserve">Quinto </w:t>
      </w:r>
      <w:r w:rsidRPr="000818BF">
        <w:rPr>
          <w:rFonts w:ascii="Palatino Linotype" w:hAnsi="Palatino Linotype" w:cs="Arial"/>
          <w:bCs/>
          <w:lang w:val="es-MX" w:eastAsia="en-US"/>
        </w:rPr>
        <w:t xml:space="preserve">de esta resolución, </w:t>
      </w:r>
      <w:r w:rsidRPr="000818BF">
        <w:rPr>
          <w:rFonts w:ascii="Palatino Linotype" w:hAnsi="Palatino Linotype" w:cs="Arial"/>
        </w:rPr>
        <w:t xml:space="preserve">haga entrega al Recurrente </w:t>
      </w:r>
      <w:r w:rsidR="00961601">
        <w:rPr>
          <w:rFonts w:ascii="Palatino Linotype" w:hAnsi="Palatino Linotype" w:cs="Arial"/>
          <w:lang w:val="es-MX" w:eastAsia="en-US"/>
        </w:rPr>
        <w:t>vía Sistema de Acceso a la Información Mexiquense</w:t>
      </w:r>
      <w:r w:rsidRPr="000818BF">
        <w:rPr>
          <w:rFonts w:ascii="Palatino Linotype" w:hAnsi="Palatino Linotype" w:cs="Arial"/>
          <w:b/>
          <w:bCs/>
          <w:lang w:val="es-MX" w:eastAsia="en-US"/>
        </w:rPr>
        <w:t xml:space="preserve">, </w:t>
      </w:r>
      <w:r w:rsidRPr="000818BF">
        <w:rPr>
          <w:rFonts w:ascii="Palatino Linotype" w:hAnsi="Palatino Linotype" w:cs="Arial"/>
          <w:bCs/>
          <w:lang w:val="es-MX" w:eastAsia="en-US"/>
        </w:rPr>
        <w:t>en versión pública</w:t>
      </w:r>
      <w:r w:rsidR="00AE3DFF">
        <w:rPr>
          <w:rFonts w:ascii="Palatino Linotype" w:hAnsi="Palatino Linotype" w:cs="Arial"/>
          <w:bCs/>
          <w:lang w:val="es-MX" w:eastAsia="en-US"/>
        </w:rPr>
        <w:t xml:space="preserve"> de ser procedente</w:t>
      </w:r>
      <w:r w:rsidRPr="000818BF">
        <w:rPr>
          <w:rFonts w:ascii="Palatino Linotype" w:hAnsi="Palatino Linotype" w:cs="Arial"/>
          <w:bCs/>
          <w:lang w:val="es-MX" w:eastAsia="en-US"/>
        </w:rPr>
        <w:t xml:space="preserve">, </w:t>
      </w:r>
      <w:r w:rsidR="00AE3DFF">
        <w:rPr>
          <w:rFonts w:ascii="Palatino Linotype" w:hAnsi="Palatino Linotype" w:cs="Arial"/>
          <w:bCs/>
          <w:lang w:val="es-MX" w:eastAsia="en-US"/>
        </w:rPr>
        <w:t>de</w:t>
      </w:r>
      <w:r w:rsidR="00961601">
        <w:rPr>
          <w:rFonts w:ascii="Palatino Linotype" w:hAnsi="Palatino Linotype" w:cs="Arial"/>
          <w:bCs/>
          <w:lang w:val="es-MX" w:eastAsia="en-US"/>
        </w:rPr>
        <w:t>l documento o documentos en donde conste</w:t>
      </w:r>
      <w:r w:rsidR="001059EC">
        <w:rPr>
          <w:rFonts w:ascii="Palatino Linotype" w:hAnsi="Palatino Linotype" w:cs="Arial"/>
          <w:bCs/>
          <w:lang w:val="es-MX" w:eastAsia="en-US"/>
        </w:rPr>
        <w:t xml:space="preserve"> </w:t>
      </w:r>
      <w:r>
        <w:rPr>
          <w:rFonts w:ascii="Palatino Linotype" w:hAnsi="Palatino Linotype" w:cs="Arial"/>
          <w:bCs/>
          <w:lang w:val="es-MX" w:eastAsia="en-US"/>
        </w:rPr>
        <w:t>lo siguiente:</w:t>
      </w:r>
    </w:p>
    <w:p w:rsidR="00EF1AB8" w:rsidRPr="00EF1AB8" w:rsidRDefault="00EF1AB8" w:rsidP="00EF1AB8">
      <w:pPr>
        <w:pStyle w:val="Prrafodelista"/>
        <w:numPr>
          <w:ilvl w:val="0"/>
          <w:numId w:val="11"/>
        </w:numPr>
        <w:spacing w:before="240" w:after="240" w:line="360" w:lineRule="auto"/>
        <w:contextualSpacing/>
        <w:jc w:val="both"/>
        <w:rPr>
          <w:rFonts w:ascii="Palatino Linotype" w:hAnsi="Palatino Linotype" w:cs="Arial"/>
          <w:sz w:val="24"/>
          <w:szCs w:val="24"/>
        </w:rPr>
      </w:pPr>
      <w:r w:rsidRPr="00EF1AB8">
        <w:rPr>
          <w:rFonts w:ascii="Palatino Linotype" w:hAnsi="Palatino Linotype"/>
          <w:sz w:val="24"/>
          <w:szCs w:val="24"/>
        </w:rPr>
        <w:t>L</w:t>
      </w:r>
      <w:r w:rsidR="00A22CC2" w:rsidRPr="00EF1AB8">
        <w:rPr>
          <w:rFonts w:ascii="Palatino Linotype" w:hAnsi="Palatino Linotype"/>
          <w:sz w:val="24"/>
          <w:szCs w:val="24"/>
        </w:rPr>
        <w:t xml:space="preserve">as aportaciones y particiones de acuerdo al Ramo General 28 del año 2013 </w:t>
      </w:r>
      <w:r w:rsidRPr="00EF1AB8">
        <w:rPr>
          <w:rFonts w:ascii="Palatino Linotype" w:hAnsi="Palatino Linotype"/>
          <w:sz w:val="24"/>
          <w:szCs w:val="24"/>
        </w:rPr>
        <w:t>al dos de agosto del año 2021; realizadas a los Ayuntamientos de Toluca y Naucalpan de Juárez.</w:t>
      </w:r>
    </w:p>
    <w:p w:rsidR="00EF1AB8" w:rsidRPr="00EF1AB8" w:rsidRDefault="00EF1AB8" w:rsidP="00A22CC2">
      <w:pPr>
        <w:pStyle w:val="Prrafodelista"/>
        <w:numPr>
          <w:ilvl w:val="0"/>
          <w:numId w:val="11"/>
        </w:numPr>
        <w:spacing w:before="240" w:after="240" w:line="360" w:lineRule="auto"/>
        <w:contextualSpacing/>
        <w:jc w:val="both"/>
        <w:rPr>
          <w:rFonts w:ascii="Palatino Linotype" w:hAnsi="Palatino Linotype" w:cs="Arial"/>
          <w:sz w:val="24"/>
          <w:szCs w:val="24"/>
        </w:rPr>
      </w:pPr>
      <w:r w:rsidRPr="00EF1AB8">
        <w:rPr>
          <w:rFonts w:ascii="Palatino Linotype" w:hAnsi="Palatino Linotype"/>
          <w:sz w:val="24"/>
          <w:szCs w:val="24"/>
        </w:rPr>
        <w:t>L</w:t>
      </w:r>
      <w:r w:rsidR="00A22CC2" w:rsidRPr="00EF1AB8">
        <w:rPr>
          <w:rFonts w:ascii="Palatino Linotype" w:hAnsi="Palatino Linotype"/>
          <w:sz w:val="24"/>
          <w:szCs w:val="24"/>
        </w:rPr>
        <w:t xml:space="preserve">as constancias de aportaciones y participaciones </w:t>
      </w:r>
      <w:r w:rsidR="00A22CC2" w:rsidRPr="00EF1AB8">
        <w:rPr>
          <w:rFonts w:ascii="Palatino Linotype" w:eastAsia="Calibri" w:hAnsi="Palatino Linotype" w:cs="Tahoma"/>
          <w:sz w:val="24"/>
          <w:szCs w:val="24"/>
          <w:lang w:eastAsia="es-ES_tradnl"/>
        </w:rPr>
        <w:t xml:space="preserve">del primero de enero del año 2013 al </w:t>
      </w:r>
      <w:r w:rsidR="00725D55">
        <w:rPr>
          <w:rFonts w:ascii="Palatino Linotype" w:eastAsia="Calibri" w:hAnsi="Palatino Linotype" w:cs="Tahoma"/>
          <w:sz w:val="24"/>
          <w:szCs w:val="24"/>
          <w:lang w:eastAsia="es-ES_tradnl"/>
        </w:rPr>
        <w:t>treinta y uno de diciembre del año 2015</w:t>
      </w:r>
      <w:r w:rsidR="00A22CC2" w:rsidRPr="00EF1AB8">
        <w:rPr>
          <w:rFonts w:ascii="Palatino Linotype" w:eastAsia="Calibri" w:hAnsi="Palatino Linotype" w:cs="Tahoma"/>
          <w:sz w:val="24"/>
          <w:szCs w:val="24"/>
          <w:lang w:eastAsia="es-ES_tradnl"/>
        </w:rPr>
        <w:t xml:space="preserve">; </w:t>
      </w:r>
      <w:r w:rsidR="00A22CC2" w:rsidRPr="00EF1AB8">
        <w:rPr>
          <w:rFonts w:ascii="Palatino Linotype" w:hAnsi="Palatino Linotype"/>
          <w:sz w:val="24"/>
          <w:szCs w:val="24"/>
        </w:rPr>
        <w:t>realizadas a los Ayunt</w:t>
      </w:r>
      <w:r w:rsidRPr="00EF1AB8">
        <w:rPr>
          <w:rFonts w:ascii="Palatino Linotype" w:hAnsi="Palatino Linotype"/>
          <w:sz w:val="24"/>
          <w:szCs w:val="24"/>
        </w:rPr>
        <w:t>amientos de Toluca y Naucalpan de Juárez.</w:t>
      </w:r>
    </w:p>
    <w:p w:rsidR="00A22CC2" w:rsidRPr="00725D55" w:rsidRDefault="00EF1AB8" w:rsidP="00A22CC2">
      <w:pPr>
        <w:pStyle w:val="Prrafodelista"/>
        <w:numPr>
          <w:ilvl w:val="0"/>
          <w:numId w:val="11"/>
        </w:numPr>
        <w:spacing w:before="240" w:after="240" w:line="360" w:lineRule="auto"/>
        <w:contextualSpacing/>
        <w:jc w:val="both"/>
        <w:rPr>
          <w:rFonts w:ascii="Palatino Linotype" w:hAnsi="Palatino Linotype" w:cs="Arial"/>
          <w:sz w:val="24"/>
          <w:szCs w:val="24"/>
        </w:rPr>
      </w:pPr>
      <w:r w:rsidRPr="00EF1AB8">
        <w:rPr>
          <w:rFonts w:ascii="Palatino Linotype" w:hAnsi="Palatino Linotype"/>
          <w:sz w:val="24"/>
          <w:szCs w:val="24"/>
        </w:rPr>
        <w:t>L</w:t>
      </w:r>
      <w:r w:rsidR="00A22CC2" w:rsidRPr="00EF1AB8">
        <w:rPr>
          <w:rFonts w:ascii="Palatino Linotype" w:hAnsi="Palatino Linotype"/>
          <w:sz w:val="24"/>
          <w:szCs w:val="24"/>
        </w:rPr>
        <w:t xml:space="preserve">os Registros de Deuda Pública de los Ayuntamientos de Toluca y Naucalpan de Juárez, vigente al dos de agosto del año dos mil veintiuno. </w:t>
      </w:r>
    </w:p>
    <w:p w:rsidR="00725D55" w:rsidRPr="004D777E" w:rsidRDefault="004D777E" w:rsidP="00A22CC2">
      <w:pPr>
        <w:pStyle w:val="Prrafodelista"/>
        <w:numPr>
          <w:ilvl w:val="0"/>
          <w:numId w:val="11"/>
        </w:numPr>
        <w:spacing w:before="240" w:after="240" w:line="360" w:lineRule="auto"/>
        <w:contextualSpacing/>
        <w:jc w:val="both"/>
        <w:rPr>
          <w:rFonts w:ascii="Palatino Linotype" w:hAnsi="Palatino Linotype" w:cs="Arial"/>
          <w:sz w:val="24"/>
          <w:szCs w:val="24"/>
        </w:rPr>
      </w:pPr>
      <w:r>
        <w:rPr>
          <w:rFonts w:ascii="Palatino Linotype" w:hAnsi="Palatino Linotype"/>
          <w:sz w:val="24"/>
          <w:szCs w:val="24"/>
        </w:rPr>
        <w:t>L</w:t>
      </w:r>
      <w:r w:rsidRPr="004D777E">
        <w:rPr>
          <w:rFonts w:ascii="Palatino Linotype" w:hAnsi="Palatino Linotype"/>
          <w:sz w:val="24"/>
          <w:szCs w:val="24"/>
        </w:rPr>
        <w:t xml:space="preserve">as auditorias respecto al cumplimiento de las transferencias de participaciones y aportaciones Estatales y Federales a los Municipios de Toluca y Naucalpan, </w:t>
      </w:r>
      <w:r>
        <w:rPr>
          <w:rFonts w:ascii="Palatino Linotype" w:hAnsi="Palatino Linotype"/>
          <w:sz w:val="24"/>
          <w:szCs w:val="24"/>
        </w:rPr>
        <w:t>concluidas, desde al año 2013 al dos de agosto del 2021.</w:t>
      </w:r>
    </w:p>
    <w:p w:rsidR="00F2018E" w:rsidRDefault="00F53239" w:rsidP="00A85C83">
      <w:pPr>
        <w:spacing w:after="240" w:line="360" w:lineRule="auto"/>
        <w:contextualSpacing/>
        <w:jc w:val="both"/>
        <w:rPr>
          <w:rFonts w:ascii="Palatino Linotype" w:hAnsi="Palatino Linotype"/>
        </w:rPr>
      </w:pPr>
      <w:r>
        <w:rPr>
          <w:rFonts w:ascii="Palatino Linotype" w:hAnsi="Palatino Linotype"/>
        </w:rPr>
        <w:t>De ser procedente, d</w:t>
      </w:r>
      <w:r w:rsidR="00F2018E">
        <w:rPr>
          <w:rFonts w:ascii="Palatino Linotype" w:hAnsi="Palatino Linotype"/>
        </w:rPr>
        <w:t>ebiendo</w:t>
      </w:r>
      <w:r w:rsidR="00F2018E" w:rsidRPr="00502959">
        <w:rPr>
          <w:rFonts w:ascii="Palatino Linotype" w:hAnsi="Palatino Linotype"/>
        </w:rPr>
        <w:t xml:space="preserve">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rsidR="00EF1AB8" w:rsidRDefault="00EF1AB8" w:rsidP="00EF1AB8">
      <w:pPr>
        <w:pStyle w:val="Prrafodelista"/>
        <w:numPr>
          <w:ilvl w:val="0"/>
          <w:numId w:val="11"/>
        </w:numPr>
        <w:spacing w:before="240" w:after="240" w:line="360" w:lineRule="auto"/>
        <w:contextualSpacing/>
        <w:jc w:val="both"/>
        <w:rPr>
          <w:rFonts w:ascii="Palatino Linotype" w:hAnsi="Palatino Linotype" w:cs="Tahoma"/>
          <w:lang w:eastAsia="es-MX"/>
        </w:rPr>
      </w:pPr>
      <w:r w:rsidRPr="00257F55">
        <w:rPr>
          <w:rFonts w:ascii="Palatino Linotype" w:hAnsi="Palatino Linotype" w:cs="Tahoma"/>
          <w:sz w:val="24"/>
          <w:szCs w:val="24"/>
          <w:lang w:eastAsia="es-MX"/>
        </w:rPr>
        <w:t xml:space="preserve">Acuerdo de incompetencia sobre </w:t>
      </w:r>
      <w:r w:rsidR="00C8318B" w:rsidRPr="00257F55">
        <w:rPr>
          <w:rFonts w:ascii="Palatino Linotype" w:hAnsi="Palatino Linotype" w:cs="Tahoma"/>
          <w:sz w:val="24"/>
          <w:szCs w:val="24"/>
          <w:lang w:eastAsia="es-MX"/>
        </w:rPr>
        <w:t xml:space="preserve">la </w:t>
      </w:r>
      <w:r w:rsidR="00050912" w:rsidRPr="00257F55">
        <w:rPr>
          <w:rFonts w:ascii="Palatino Linotype" w:hAnsi="Palatino Linotype" w:cs="Tahoma"/>
          <w:sz w:val="24"/>
          <w:szCs w:val="24"/>
          <w:lang w:eastAsia="es-MX"/>
        </w:rPr>
        <w:t>información que le compete</w:t>
      </w:r>
      <w:r w:rsidR="00725D55">
        <w:rPr>
          <w:rFonts w:ascii="Palatino Linotype" w:hAnsi="Palatino Linotype" w:cs="Tahoma"/>
          <w:sz w:val="24"/>
          <w:szCs w:val="24"/>
          <w:lang w:eastAsia="es-MX"/>
        </w:rPr>
        <w:t xml:space="preserve"> al</w:t>
      </w:r>
      <w:r w:rsidR="00050912" w:rsidRPr="00257F55">
        <w:rPr>
          <w:rFonts w:ascii="Palatino Linotype" w:hAnsi="Palatino Linotype" w:cs="Tahoma"/>
          <w:sz w:val="24"/>
          <w:szCs w:val="24"/>
          <w:lang w:eastAsia="es-MX"/>
        </w:rPr>
        <w:t xml:space="preserve"> </w:t>
      </w:r>
      <w:r w:rsidR="00C8318B" w:rsidRPr="00257F55">
        <w:rPr>
          <w:rFonts w:ascii="Palatino Linotype" w:hAnsi="Palatino Linotype" w:cs="Arial"/>
          <w:sz w:val="24"/>
          <w:szCs w:val="24"/>
        </w:rPr>
        <w:t>Organismo Superior de Fiscalización del Estado de México</w:t>
      </w:r>
      <w:r w:rsidRPr="00257F55">
        <w:rPr>
          <w:rFonts w:ascii="Palatino Linotype" w:hAnsi="Palatino Linotype" w:cs="Tahoma"/>
          <w:sz w:val="24"/>
          <w:szCs w:val="24"/>
          <w:lang w:eastAsia="es-MX"/>
        </w:rPr>
        <w:t xml:space="preserve"> y Auditoria superior de la Federación</w:t>
      </w:r>
      <w:r>
        <w:rPr>
          <w:rFonts w:ascii="Palatino Linotype" w:hAnsi="Palatino Linotype" w:cs="Tahoma"/>
          <w:lang w:eastAsia="es-MX"/>
        </w:rPr>
        <w:t xml:space="preserve">. </w:t>
      </w:r>
    </w:p>
    <w:p w:rsidR="004D777E" w:rsidRDefault="004D777E" w:rsidP="00F2018E">
      <w:pPr>
        <w:spacing w:before="240" w:after="240" w:line="360" w:lineRule="auto"/>
        <w:ind w:right="49"/>
        <w:jc w:val="both"/>
        <w:rPr>
          <w:rFonts w:ascii="Palatino Linotype" w:hAnsi="Palatino Linotype" w:cs="Arial"/>
          <w:bCs/>
          <w:shd w:val="clear" w:color="auto" w:fill="FFFFFF"/>
        </w:rPr>
      </w:pPr>
      <w:r w:rsidRPr="004D777E">
        <w:rPr>
          <w:rFonts w:ascii="Palatino Linotype" w:hAnsi="Palatino Linotype" w:cs="Arial"/>
          <w:bCs/>
          <w:shd w:val="clear" w:color="auto" w:fill="FFFFFF"/>
        </w:rPr>
        <w:lastRenderedPageBreak/>
        <w:t>Para el caso que exista o existan auditorias en trámite, el Sujeto Obligado deberá emitir el acuerdo de reserva en términos de lo señalado por el considerando cuarto del presente fallo.</w:t>
      </w:r>
    </w:p>
    <w:p w:rsidR="00D47139" w:rsidRPr="004D777E" w:rsidRDefault="00D47139" w:rsidP="00F2018E">
      <w:pPr>
        <w:spacing w:before="240" w:after="240" w:line="360" w:lineRule="auto"/>
        <w:ind w:right="49"/>
        <w:jc w:val="both"/>
        <w:rPr>
          <w:rFonts w:ascii="Palatino Linotype" w:hAnsi="Palatino Linotype" w:cs="Arial"/>
          <w:bCs/>
          <w:shd w:val="clear" w:color="auto" w:fill="FFFFFF"/>
        </w:rPr>
      </w:pPr>
      <w:r>
        <w:rPr>
          <w:rFonts w:ascii="Palatino Linotype" w:hAnsi="Palatino Linotype" w:cs="Arial"/>
          <w:bCs/>
          <w:shd w:val="clear" w:color="auto" w:fill="FFFFFF"/>
        </w:rPr>
        <w:t xml:space="preserve">Para el caso de que no se haya generado la información que se ordena en el numeral “4”, bastara que así se lo haga saber al recurrente de manera fundada y motivada.  </w:t>
      </w:r>
    </w:p>
    <w:p w:rsidR="00F2018E" w:rsidRPr="000818BF" w:rsidRDefault="00F2018E" w:rsidP="00F2018E">
      <w:pPr>
        <w:spacing w:before="240" w:after="240" w:line="360" w:lineRule="auto"/>
        <w:ind w:right="49"/>
        <w:jc w:val="both"/>
        <w:rPr>
          <w:rFonts w:ascii="Palatino Linotype" w:eastAsia="MS Mincho" w:hAnsi="Palatino Linotype"/>
          <w:shd w:val="clear" w:color="auto" w:fill="FFFFFF"/>
          <w:lang w:val="es-ES_tradnl"/>
        </w:rPr>
      </w:pPr>
      <w:r w:rsidRPr="000818BF">
        <w:rPr>
          <w:rFonts w:ascii="Palatino Linotype" w:hAnsi="Palatino Linotype" w:cs="Arial"/>
          <w:b/>
          <w:bCs/>
          <w:shd w:val="clear" w:color="auto" w:fill="FFFFFF"/>
        </w:rPr>
        <w:t xml:space="preserve">Tercero. </w:t>
      </w:r>
      <w:r w:rsidR="00961601">
        <w:rPr>
          <w:rFonts w:ascii="Palatino Linotype" w:eastAsia="MS Mincho" w:hAnsi="Palatino Linotype" w:cs="Arial"/>
          <w:b/>
          <w:bCs/>
          <w:shd w:val="clear" w:color="auto" w:fill="FFFFFF"/>
          <w:lang w:val="es-ES_tradnl"/>
        </w:rPr>
        <w:t>Notifíquese</w:t>
      </w:r>
      <w:r w:rsidRPr="000818BF">
        <w:rPr>
          <w:rFonts w:ascii="Palatino Linotype" w:eastAsia="MS Mincho" w:hAnsi="Palatino Linotype" w:cs="Arial"/>
          <w:b/>
          <w:bCs/>
          <w:shd w:val="clear" w:color="auto" w:fill="FFFFFF"/>
          <w:lang w:val="es-ES_tradnl"/>
        </w:rPr>
        <w:t xml:space="preserve"> </w:t>
      </w:r>
      <w:r w:rsidR="00EF1AB8">
        <w:rPr>
          <w:rFonts w:ascii="Palatino Linotype" w:eastAsia="MS Mincho" w:hAnsi="Palatino Linotype" w:cs="Arial"/>
          <w:b/>
          <w:bCs/>
          <w:shd w:val="clear" w:color="auto" w:fill="FFFFFF"/>
          <w:lang w:val="es-ES_tradnl"/>
        </w:rPr>
        <w:t xml:space="preserve">vía SAIMEX </w:t>
      </w:r>
      <w:r w:rsidRPr="000818BF">
        <w:rPr>
          <w:rFonts w:ascii="Palatino Linotype" w:hAnsi="Palatino Linotype" w:cs="Arial"/>
        </w:rPr>
        <w:t xml:space="preserve">la presente resolución, </w:t>
      </w:r>
      <w:r w:rsidRPr="000818BF">
        <w:rPr>
          <w:rFonts w:ascii="Palatino Linotype" w:hAnsi="Palatino Linotype" w:cs="Arial"/>
          <w:lang w:val="es-MX"/>
        </w:rPr>
        <w:t>al Responsable de la Unidad de Transparencia del Sujeto Obligado</w:t>
      </w:r>
      <w:r w:rsidRPr="000818BF">
        <w:rPr>
          <w:rFonts w:ascii="Palatino Linotype" w:eastAsia="MS Mincho" w:hAnsi="Palatino Linotype"/>
          <w:shd w:val="clear" w:color="auto" w:fill="FFFFFF"/>
          <w:lang w:val="es-ES_tradn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425F15" w:rsidRDefault="00F2018E" w:rsidP="00425F15">
      <w:pPr>
        <w:spacing w:before="240" w:after="240" w:line="360" w:lineRule="auto"/>
        <w:jc w:val="both"/>
        <w:rPr>
          <w:rFonts w:ascii="Palatino Linotype" w:hAnsi="Palatino Linotype"/>
        </w:rPr>
      </w:pPr>
      <w:r w:rsidRPr="000818BF">
        <w:rPr>
          <w:rFonts w:ascii="Palatino Linotype" w:hAnsi="Palatino Linotype" w:cs="Arial"/>
          <w:b/>
        </w:rPr>
        <w:t xml:space="preserve">Cuarto. </w:t>
      </w:r>
      <w:r w:rsidR="00EF1AB8">
        <w:rPr>
          <w:rFonts w:ascii="Palatino Linotype" w:hAnsi="Palatino Linotype" w:cs="Arial"/>
          <w:b/>
        </w:rPr>
        <w:t>Notifíquese vía SAIMEX al</w:t>
      </w:r>
      <w:r w:rsidRPr="000818BF">
        <w:rPr>
          <w:rFonts w:ascii="Palatino Linotype" w:hAnsi="Palatino Linotype" w:cs="Arial"/>
        </w:rPr>
        <w:t xml:space="preserve"> Recurrente</w:t>
      </w:r>
      <w:r w:rsidRPr="000818BF">
        <w:rPr>
          <w:rFonts w:ascii="Palatino Linotype" w:hAnsi="Palatino Linotype" w:cs="Arial"/>
          <w:b/>
        </w:rPr>
        <w:t>,</w:t>
      </w:r>
      <w:r w:rsidRPr="000818BF">
        <w:rPr>
          <w:rFonts w:ascii="Palatino Linotype" w:hAnsi="Palatino Linotype"/>
          <w:b/>
          <w:bCs/>
        </w:rPr>
        <w:t xml:space="preserve"> </w:t>
      </w:r>
      <w:r w:rsidRPr="000818BF">
        <w:rPr>
          <w:rFonts w:ascii="Palatino Linotype" w:hAnsi="Palatino Linotype"/>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w:t>
      </w:r>
      <w:r w:rsidRPr="00EC1780">
        <w:rPr>
          <w:rFonts w:ascii="Palatino Linotype" w:hAnsi="Palatino Linotype"/>
        </w:rPr>
        <w:t>vía Juicio de Amparo</w:t>
      </w:r>
      <w:r w:rsidRPr="000818BF">
        <w:rPr>
          <w:rFonts w:ascii="Palatino Linotype" w:hAnsi="Palatino Linotype"/>
        </w:rPr>
        <w:t xml:space="preserve"> en los términos de las leyes aplicables.</w:t>
      </w:r>
    </w:p>
    <w:p w:rsidR="005642F3" w:rsidRPr="002504B2" w:rsidRDefault="00A85C83" w:rsidP="005642F3">
      <w:pPr>
        <w:spacing w:after="240" w:line="360" w:lineRule="auto"/>
        <w:jc w:val="both"/>
        <w:rPr>
          <w:rFonts w:ascii="Palatino Linotype" w:hAnsi="Palatino Linotype" w:cs="Arial"/>
          <w:b/>
        </w:rPr>
      </w:pPr>
      <w:r w:rsidRPr="00A85C83">
        <w:rPr>
          <w:rFonts w:ascii="Palatino Linotype" w:hAnsi="Palatino Linotype"/>
          <w:b/>
          <w:szCs w:val="25"/>
        </w:rPr>
        <w:t>Quinto</w:t>
      </w:r>
      <w:r w:rsidR="008233A9" w:rsidRPr="00A85C83">
        <w:rPr>
          <w:rFonts w:ascii="Palatino Linotype" w:hAnsi="Palatino Linotype"/>
          <w:b/>
          <w:szCs w:val="25"/>
        </w:rPr>
        <w:t>.</w:t>
      </w:r>
      <w:r w:rsidR="008233A9">
        <w:rPr>
          <w:rFonts w:ascii="Palatino Linotype" w:hAnsi="Palatino Linotype"/>
          <w:szCs w:val="25"/>
        </w:rPr>
        <w:t xml:space="preserve"> </w:t>
      </w:r>
      <w:r w:rsidR="005642F3" w:rsidRPr="002504B2">
        <w:rPr>
          <w:rFonts w:ascii="Palatino Linotype"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00A5794E">
        <w:rPr>
          <w:rFonts w:ascii="Palatino Linotype" w:hAnsi="Palatino Linotype" w:cs="Arial"/>
          <w:bCs/>
        </w:rPr>
        <w:t>.</w:t>
      </w:r>
    </w:p>
    <w:p w:rsidR="00CF1512" w:rsidRDefault="00057382" w:rsidP="002E5396">
      <w:pPr>
        <w:spacing w:before="240" w:after="240" w:line="360" w:lineRule="auto"/>
        <w:jc w:val="both"/>
        <w:rPr>
          <w:rFonts w:ascii="Palatino Linotype" w:hAnsi="Palatino Linotype" w:cs="Arial"/>
        </w:rPr>
        <w:sectPr w:rsidR="00CF1512" w:rsidSect="00546029">
          <w:headerReference w:type="default" r:id="rId65"/>
          <w:footerReference w:type="default" r:id="rId66"/>
          <w:headerReference w:type="first" r:id="rId67"/>
          <w:footerReference w:type="first" r:id="rId68"/>
          <w:pgSz w:w="12240" w:h="15840" w:code="1"/>
          <w:pgMar w:top="1417" w:right="1701" w:bottom="1417" w:left="1701" w:header="709" w:footer="709" w:gutter="0"/>
          <w:cols w:space="708"/>
          <w:titlePg/>
          <w:docGrid w:linePitch="360"/>
        </w:sectPr>
      </w:pPr>
      <w:r>
        <w:rPr>
          <w:rFonts w:ascii="Palatino Linotype" w:hAnsi="Palatino Linotype"/>
          <w:color w:val="222222"/>
          <w:shd w:val="clear" w:color="auto" w:fill="FFFFFF"/>
        </w:rPr>
        <w:t xml:space="preserve">ASÍ LO RESUELVE, POR UNANIMIDAD DE VOTOS, EL PLENO DEL INSTITUTO DE TRANSPARENCIA, ACCESO A LA INFORMACIÓN PÚBLICA Y </w:t>
      </w:r>
      <w:r>
        <w:rPr>
          <w:rFonts w:ascii="Palatino Linotype" w:hAnsi="Palatino Linotype"/>
          <w:color w:val="222222"/>
          <w:shd w:val="clear" w:color="auto" w:fill="FFFFFF"/>
        </w:rPr>
        <w:lastRenderedPageBreak/>
        <w:t>PROTECCIÓN DE DATOS PERSONALES DEL ESTADO DE MÉXICO Y MUNICIPIOS, CONFORMADO POR LOS COMISIONADOS </w:t>
      </w:r>
      <w:r w:rsidRPr="00057382">
        <w:rPr>
          <w:rFonts w:ascii="Palatino Linotype" w:hAnsi="Palatino Linotype"/>
          <w:color w:val="222222"/>
          <w:shd w:val="clear" w:color="auto" w:fill="FFFFFF"/>
        </w:rPr>
        <w:t>JOSÉ</w:t>
      </w:r>
      <w:r w:rsidR="0095315E">
        <w:rPr>
          <w:rFonts w:ascii="Palatino Linotype" w:hAnsi="Palatino Linotype"/>
          <w:color w:val="222222"/>
          <w:shd w:val="clear" w:color="auto" w:fill="FFFFFF"/>
        </w:rPr>
        <w:t xml:space="preserve"> </w:t>
      </w:r>
      <w:r w:rsidRPr="00057382">
        <w:rPr>
          <w:rFonts w:ascii="Palatino Linotype" w:hAnsi="Palatino Linotype"/>
          <w:color w:val="222222"/>
          <w:shd w:val="clear" w:color="auto" w:fill="FFFFFF"/>
        </w:rPr>
        <w:t>MARTÍNEZ VILCHIS, MARÍA DEL ROSARIO MEJÍA AYALA, SHARON CRISTINA MORALES MARTÍNEZ</w:t>
      </w:r>
      <w:r w:rsidR="0095315E">
        <w:rPr>
          <w:rFonts w:ascii="Palatino Linotype" w:hAnsi="Palatino Linotype"/>
          <w:color w:val="222222"/>
          <w:shd w:val="clear" w:color="auto" w:fill="FFFFFF"/>
        </w:rPr>
        <w:t xml:space="preserve"> (AUSENCIA JUSTIFICADA)</w:t>
      </w:r>
      <w:r w:rsidRPr="00057382">
        <w:rPr>
          <w:rFonts w:ascii="Palatino Linotype" w:hAnsi="Palatino Linotype"/>
          <w:color w:val="222222"/>
          <w:shd w:val="clear" w:color="auto" w:fill="FFFFFF"/>
        </w:rPr>
        <w:t xml:space="preserve">, LUIS GUSTAVO PARRA NORIEGA Y GUADALUPE RAMÍREZ PEÑA; EN </w:t>
      </w:r>
      <w:r>
        <w:rPr>
          <w:rFonts w:ascii="Palatino Linotype" w:hAnsi="Palatino Linotype"/>
          <w:color w:val="222222"/>
          <w:shd w:val="clear" w:color="auto" w:fill="FFFFFF"/>
        </w:rPr>
        <w:t xml:space="preserve">LA TRIGÉSIMA </w:t>
      </w:r>
      <w:r w:rsidR="00961601">
        <w:rPr>
          <w:rFonts w:ascii="Palatino Linotype" w:hAnsi="Palatino Linotype"/>
          <w:color w:val="222222"/>
          <w:shd w:val="clear" w:color="auto" w:fill="FFFFFF"/>
        </w:rPr>
        <w:t>QUINTA</w:t>
      </w:r>
      <w:r w:rsidR="00C60F46">
        <w:rPr>
          <w:rFonts w:ascii="Palatino Linotype" w:hAnsi="Palatino Linotype"/>
          <w:color w:val="222222"/>
          <w:shd w:val="clear" w:color="auto" w:fill="FFFFFF"/>
        </w:rPr>
        <w:t xml:space="preserve"> </w:t>
      </w:r>
      <w:r w:rsidRPr="00057382">
        <w:rPr>
          <w:rFonts w:ascii="Palatino Linotype" w:hAnsi="Palatino Linotype"/>
          <w:color w:val="222222"/>
          <w:shd w:val="clear" w:color="auto" w:fill="FFFFFF"/>
        </w:rPr>
        <w:t xml:space="preserve">SESIÓN ORDINARIA CELEBRADA EL </w:t>
      </w:r>
      <w:r w:rsidR="0095315E">
        <w:rPr>
          <w:rFonts w:ascii="Palatino Linotype" w:hAnsi="Palatino Linotype"/>
          <w:color w:val="222222"/>
          <w:shd w:val="clear" w:color="auto" w:fill="FFFFFF"/>
        </w:rPr>
        <w:t>DOCE</w:t>
      </w:r>
      <w:r w:rsidR="0095315E">
        <w:rPr>
          <w:rFonts w:ascii="Palatino Linotype" w:hAnsi="Palatino Linotype"/>
        </w:rPr>
        <w:t xml:space="preserve"> DE ENERO</w:t>
      </w:r>
      <w:r w:rsidRPr="00C16B45">
        <w:rPr>
          <w:rFonts w:ascii="Palatino Linotype" w:hAnsi="Palatino Linotype"/>
        </w:rPr>
        <w:t xml:space="preserve"> </w:t>
      </w:r>
      <w:r w:rsidR="00225356" w:rsidRPr="00C16B45">
        <w:rPr>
          <w:rFonts w:ascii="Palatino Linotype" w:hAnsi="Palatino Linotype"/>
        </w:rPr>
        <w:t xml:space="preserve">DE </w:t>
      </w:r>
      <w:r w:rsidR="0095315E">
        <w:rPr>
          <w:rFonts w:ascii="Palatino Linotype" w:hAnsi="Palatino Linotype"/>
        </w:rPr>
        <w:t>DOS MIL VEINTIDÓS</w:t>
      </w:r>
      <w:r w:rsidR="002E5396" w:rsidRPr="00C16B45">
        <w:rPr>
          <w:rFonts w:ascii="Palatino Linotype" w:hAnsi="Palatino Linotype"/>
        </w:rPr>
        <w:t>, ANTE</w:t>
      </w:r>
      <w:r w:rsidR="002E5396" w:rsidRPr="00080788">
        <w:rPr>
          <w:rFonts w:ascii="Palatino Linotype" w:hAnsi="Palatino Linotype"/>
        </w:rPr>
        <w:t xml:space="preserve"> EL SECRETARIO TÉCNICO DEL PLENO ALEXIS TAPIA RAMÍREZ.</w:t>
      </w:r>
    </w:p>
    <w:p w:rsidR="00CF1512" w:rsidRDefault="00CF1512" w:rsidP="002E5396">
      <w:pPr>
        <w:spacing w:before="240" w:after="240" w:line="360" w:lineRule="auto"/>
        <w:jc w:val="both"/>
        <w:rPr>
          <w:rFonts w:ascii="Palatino Linotype" w:hAnsi="Palatino Linotype" w:cs="Arial"/>
        </w:rPr>
      </w:pPr>
    </w:p>
    <w:p w:rsidR="00CF1512" w:rsidRDefault="00CF1512" w:rsidP="002E5396">
      <w:pPr>
        <w:spacing w:before="240" w:after="240" w:line="360" w:lineRule="auto"/>
        <w:jc w:val="both"/>
        <w:rPr>
          <w:rFonts w:ascii="Palatino Linotype" w:hAnsi="Palatino Linotype" w:cs="Arial"/>
        </w:rPr>
      </w:pPr>
    </w:p>
    <w:p w:rsidR="00CF1512" w:rsidRPr="00080788" w:rsidRDefault="00CF1512" w:rsidP="002E5396">
      <w:pPr>
        <w:spacing w:before="240" w:after="240" w:line="360" w:lineRule="auto"/>
        <w:jc w:val="both"/>
        <w:rPr>
          <w:rFonts w:ascii="Palatino Linotype" w:hAnsi="Palatino Linotype" w:cs="Arial"/>
        </w:rPr>
      </w:pPr>
    </w:p>
    <w:sectPr w:rsidR="00CF1512" w:rsidRPr="00080788" w:rsidSect="00546029">
      <w:headerReference w:type="first" r:id="rId69"/>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1357" w:rsidRDefault="007F1357" w:rsidP="00224D6A">
      <w:r>
        <w:separator/>
      </w:r>
    </w:p>
  </w:endnote>
  <w:endnote w:type="continuationSeparator" w:id="0">
    <w:p w:rsidR="007F1357" w:rsidRDefault="007F1357" w:rsidP="00224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693" w:rsidRPr="00F12350" w:rsidRDefault="00606693"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905F8">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905F8">
      <w:rPr>
        <w:rFonts w:ascii="Palatino Linotype" w:hAnsi="Palatino Linotype" w:cs="Arial"/>
        <w:b/>
        <w:bCs/>
        <w:noProof/>
        <w:sz w:val="20"/>
        <w:szCs w:val="20"/>
      </w:rPr>
      <w:t>62</w:t>
    </w:r>
    <w:r w:rsidRPr="00F12350">
      <w:rPr>
        <w:rFonts w:ascii="Palatino Linotype" w:hAnsi="Palatino Linotype" w:cs="Arial"/>
        <w:b/>
        <w:bCs/>
        <w:sz w:val="20"/>
        <w:szCs w:val="20"/>
      </w:rPr>
      <w:fldChar w:fldCharType="end"/>
    </w:r>
  </w:p>
  <w:p w:rsidR="00606693" w:rsidRDefault="0060669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693" w:rsidRPr="00F12350" w:rsidRDefault="00606693"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905F8">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905F8">
      <w:rPr>
        <w:rFonts w:ascii="Palatino Linotype" w:hAnsi="Palatino Linotype" w:cs="Arial"/>
        <w:b/>
        <w:bCs/>
        <w:noProof/>
        <w:sz w:val="20"/>
        <w:szCs w:val="20"/>
      </w:rPr>
      <w:t>62</w:t>
    </w:r>
    <w:r w:rsidRPr="00F12350">
      <w:rPr>
        <w:rFonts w:ascii="Palatino Linotype" w:hAnsi="Palatino Linotype" w:cs="Arial"/>
        <w:b/>
        <w:bCs/>
        <w:sz w:val="20"/>
        <w:szCs w:val="20"/>
      </w:rPr>
      <w:fldChar w:fldCharType="end"/>
    </w:r>
  </w:p>
  <w:p w:rsidR="00606693" w:rsidRDefault="0060669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1357" w:rsidRDefault="007F1357" w:rsidP="00224D6A">
      <w:r>
        <w:separator/>
      </w:r>
    </w:p>
  </w:footnote>
  <w:footnote w:type="continuationSeparator" w:id="0">
    <w:p w:rsidR="007F1357" w:rsidRDefault="007F1357" w:rsidP="00224D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693" w:rsidRDefault="00606693" w:rsidP="00E72E93">
    <w:pPr>
      <w:pStyle w:val="Encabezado"/>
      <w:jc w:val="both"/>
    </w:pPr>
    <w:r>
      <w:rPr>
        <w:noProof/>
        <w:lang w:val="es-MX" w:eastAsia="es-MX"/>
      </w:rPr>
      <w:drawing>
        <wp:anchor distT="0" distB="0" distL="114300" distR="114300" simplePos="0" relativeHeight="251661312" behindDoc="1" locked="0" layoutInCell="1" allowOverlap="1" wp14:anchorId="7945A692" wp14:editId="00143132">
          <wp:simplePos x="0" y="0"/>
          <wp:positionH relativeFrom="page">
            <wp:posOffset>414274</wp:posOffset>
          </wp:positionH>
          <wp:positionV relativeFrom="paragraph">
            <wp:posOffset>-453618</wp:posOffset>
          </wp:positionV>
          <wp:extent cx="7635600" cy="9943200"/>
          <wp:effectExtent l="0" t="0" r="3810" b="12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670" w:type="dxa"/>
      <w:tblInd w:w="3119" w:type="dxa"/>
      <w:tblLayout w:type="fixed"/>
      <w:tblLook w:val="04A0" w:firstRow="1" w:lastRow="0" w:firstColumn="1" w:lastColumn="0" w:noHBand="0" w:noVBand="1"/>
    </w:tblPr>
    <w:tblGrid>
      <w:gridCol w:w="2551"/>
      <w:gridCol w:w="3119"/>
    </w:tblGrid>
    <w:tr w:rsidR="00606693" w:rsidTr="003A781E">
      <w:tc>
        <w:tcPr>
          <w:tcW w:w="2551" w:type="dxa"/>
          <w:vAlign w:val="center"/>
          <w:hideMark/>
        </w:tcPr>
        <w:p w:rsidR="00606693" w:rsidRDefault="00606693" w:rsidP="00E72E93">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606693" w:rsidRDefault="00606693" w:rsidP="00607616">
          <w:pPr>
            <w:jc w:val="both"/>
            <w:rPr>
              <w:rFonts w:ascii="Palatino Linotype" w:hAnsi="Palatino Linotype"/>
              <w:b/>
              <w:sz w:val="22"/>
              <w:szCs w:val="22"/>
              <w:lang w:val="es-ES_tradnl"/>
            </w:rPr>
          </w:pPr>
          <w:r>
            <w:rPr>
              <w:rFonts w:ascii="Palatino Linotype" w:hAnsi="Palatino Linotype"/>
              <w:b/>
              <w:sz w:val="22"/>
              <w:szCs w:val="22"/>
              <w:lang w:val="es-ES_tradnl"/>
            </w:rPr>
            <w:t xml:space="preserve">04644/INFOEM/IP/RR/2021. </w:t>
          </w:r>
        </w:p>
      </w:tc>
    </w:tr>
    <w:tr w:rsidR="00606693" w:rsidTr="003A781E">
      <w:trPr>
        <w:trHeight w:val="228"/>
      </w:trPr>
      <w:tc>
        <w:tcPr>
          <w:tcW w:w="2551" w:type="dxa"/>
          <w:vAlign w:val="center"/>
          <w:hideMark/>
        </w:tcPr>
        <w:p w:rsidR="00606693" w:rsidRDefault="00606693" w:rsidP="00E72E93">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rsidR="00606693" w:rsidRDefault="00606693" w:rsidP="00523162">
          <w:pPr>
            <w:jc w:val="both"/>
            <w:rPr>
              <w:rFonts w:ascii="Palatino Linotype" w:hAnsi="Palatino Linotype"/>
              <w:b/>
              <w:sz w:val="22"/>
              <w:szCs w:val="22"/>
              <w:lang w:val="es-ES_tradnl"/>
            </w:rPr>
          </w:pPr>
          <w:r>
            <w:rPr>
              <w:rFonts w:ascii="Palatino Linotype" w:hAnsi="Palatino Linotype"/>
              <w:b/>
              <w:sz w:val="22"/>
              <w:szCs w:val="22"/>
              <w:lang w:val="es-ES_tradnl"/>
            </w:rPr>
            <w:t>Secretaría de Finanzas.</w:t>
          </w:r>
        </w:p>
      </w:tc>
    </w:tr>
    <w:tr w:rsidR="00606693" w:rsidTr="003A781E">
      <w:tc>
        <w:tcPr>
          <w:tcW w:w="2551" w:type="dxa"/>
          <w:vAlign w:val="center"/>
          <w:hideMark/>
        </w:tcPr>
        <w:p w:rsidR="00606693" w:rsidRDefault="00606693" w:rsidP="00E72E93">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119" w:type="dxa"/>
          <w:vAlign w:val="center"/>
          <w:hideMark/>
        </w:tcPr>
        <w:p w:rsidR="00606693" w:rsidRDefault="00606693" w:rsidP="00E72E93">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606693" w:rsidRDefault="00606693" w:rsidP="00E4481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693" w:rsidRDefault="00606693" w:rsidP="00C16B45">
    <w:pPr>
      <w:pStyle w:val="Encabezado"/>
      <w:jc w:val="both"/>
    </w:pPr>
    <w:r>
      <w:rPr>
        <w:noProof/>
        <w:lang w:val="es-MX" w:eastAsia="es-MX"/>
      </w:rPr>
      <w:drawing>
        <wp:anchor distT="0" distB="0" distL="114300" distR="114300" simplePos="0" relativeHeight="251659264" behindDoc="1" locked="0" layoutInCell="1" allowOverlap="1" wp14:anchorId="628FD9D3" wp14:editId="43A46731">
          <wp:simplePos x="0" y="0"/>
          <wp:positionH relativeFrom="page">
            <wp:posOffset>399821</wp:posOffset>
          </wp:positionH>
          <wp:positionV relativeFrom="paragraph">
            <wp:posOffset>-168885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812" w:type="dxa"/>
      <w:tblInd w:w="3119" w:type="dxa"/>
      <w:tblLayout w:type="fixed"/>
      <w:tblLook w:val="04A0" w:firstRow="1" w:lastRow="0" w:firstColumn="1" w:lastColumn="0" w:noHBand="0" w:noVBand="1"/>
    </w:tblPr>
    <w:tblGrid>
      <w:gridCol w:w="2551"/>
      <w:gridCol w:w="3261"/>
    </w:tblGrid>
    <w:tr w:rsidR="00606693" w:rsidTr="00FF6012">
      <w:tc>
        <w:tcPr>
          <w:tcW w:w="2551" w:type="dxa"/>
          <w:vAlign w:val="center"/>
          <w:hideMark/>
        </w:tcPr>
        <w:p w:rsidR="00606693" w:rsidRDefault="00606693" w:rsidP="00224D6A">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261" w:type="dxa"/>
          <w:vAlign w:val="center"/>
          <w:hideMark/>
        </w:tcPr>
        <w:p w:rsidR="00606693" w:rsidRDefault="00606693" w:rsidP="00607616">
          <w:pPr>
            <w:jc w:val="both"/>
            <w:rPr>
              <w:rFonts w:ascii="Palatino Linotype" w:hAnsi="Palatino Linotype"/>
              <w:b/>
              <w:sz w:val="22"/>
              <w:szCs w:val="22"/>
              <w:lang w:val="es-ES_tradnl"/>
            </w:rPr>
          </w:pPr>
          <w:r>
            <w:rPr>
              <w:rFonts w:ascii="Palatino Linotype" w:hAnsi="Palatino Linotype"/>
              <w:b/>
              <w:sz w:val="22"/>
              <w:szCs w:val="22"/>
              <w:lang w:val="es-ES_tradnl"/>
            </w:rPr>
            <w:t xml:space="preserve">04644/INFOEM/IP/RR/2021. </w:t>
          </w:r>
        </w:p>
      </w:tc>
    </w:tr>
    <w:tr w:rsidR="00606693" w:rsidTr="00FF6012">
      <w:tc>
        <w:tcPr>
          <w:tcW w:w="2551" w:type="dxa"/>
          <w:vAlign w:val="center"/>
          <w:hideMark/>
        </w:tcPr>
        <w:p w:rsidR="00606693" w:rsidRDefault="00606693" w:rsidP="00224D6A">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261" w:type="dxa"/>
          <w:vAlign w:val="center"/>
          <w:hideMark/>
        </w:tcPr>
        <w:p w:rsidR="00606693" w:rsidRDefault="007905F8" w:rsidP="00224D6A">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 </w:t>
          </w:r>
          <w:proofErr w:type="spellStart"/>
          <w:r>
            <w:rPr>
              <w:rFonts w:ascii="Palatino Linotype" w:hAnsi="Palatino Linotype"/>
              <w:b/>
              <w:sz w:val="22"/>
              <w:szCs w:val="22"/>
              <w:lang w:val="es-ES_tradnl"/>
            </w:rPr>
            <w:t>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sidR="00606693">
            <w:rPr>
              <w:rFonts w:ascii="Palatino Linotype" w:hAnsi="Palatino Linotype"/>
              <w:b/>
              <w:sz w:val="22"/>
              <w:szCs w:val="22"/>
              <w:lang w:val="es-ES_tradnl"/>
            </w:rPr>
            <w:t>.</w:t>
          </w:r>
        </w:p>
      </w:tc>
    </w:tr>
    <w:tr w:rsidR="00606693" w:rsidTr="00FF6012">
      <w:trPr>
        <w:trHeight w:val="228"/>
      </w:trPr>
      <w:tc>
        <w:tcPr>
          <w:tcW w:w="2551" w:type="dxa"/>
          <w:vAlign w:val="center"/>
          <w:hideMark/>
        </w:tcPr>
        <w:p w:rsidR="00606693" w:rsidRDefault="00606693" w:rsidP="00224D6A">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261" w:type="dxa"/>
          <w:vAlign w:val="center"/>
          <w:hideMark/>
        </w:tcPr>
        <w:p w:rsidR="00606693" w:rsidRDefault="00606693" w:rsidP="00FC37F3">
          <w:pPr>
            <w:ind w:right="-533"/>
            <w:jc w:val="both"/>
            <w:rPr>
              <w:rFonts w:ascii="Palatino Linotype" w:hAnsi="Palatino Linotype"/>
              <w:b/>
              <w:sz w:val="22"/>
              <w:szCs w:val="22"/>
              <w:lang w:val="es-ES_tradnl"/>
            </w:rPr>
          </w:pPr>
          <w:r>
            <w:rPr>
              <w:rFonts w:ascii="Palatino Linotype" w:hAnsi="Palatino Linotype"/>
              <w:b/>
              <w:sz w:val="22"/>
              <w:szCs w:val="22"/>
              <w:lang w:val="es-ES_tradnl"/>
            </w:rPr>
            <w:t>Secretaría de Finanzas.</w:t>
          </w:r>
        </w:p>
      </w:tc>
    </w:tr>
    <w:tr w:rsidR="00606693" w:rsidTr="00FF6012">
      <w:tc>
        <w:tcPr>
          <w:tcW w:w="2551" w:type="dxa"/>
          <w:vAlign w:val="center"/>
          <w:hideMark/>
        </w:tcPr>
        <w:p w:rsidR="00606693" w:rsidRDefault="00606693" w:rsidP="00224D6A">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261" w:type="dxa"/>
          <w:vAlign w:val="center"/>
          <w:hideMark/>
        </w:tcPr>
        <w:p w:rsidR="00606693" w:rsidRDefault="00606693" w:rsidP="00224D6A">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606693" w:rsidRDefault="00606693" w:rsidP="00224D6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693" w:rsidRDefault="00606693" w:rsidP="00C16B45">
    <w:pPr>
      <w:pStyle w:val="Encabezado"/>
      <w:jc w:val="both"/>
    </w:pPr>
  </w:p>
  <w:p w:rsidR="00606693" w:rsidRDefault="00606693" w:rsidP="00224D6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54146"/>
    <w:multiLevelType w:val="hybridMultilevel"/>
    <w:tmpl w:val="95C8871C"/>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AE42C9"/>
    <w:multiLevelType w:val="hybridMultilevel"/>
    <w:tmpl w:val="69DA3B2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58E6162"/>
    <w:multiLevelType w:val="hybridMultilevel"/>
    <w:tmpl w:val="7A14CC80"/>
    <w:lvl w:ilvl="0" w:tplc="7AA0B6C0">
      <w:start w:val="1"/>
      <w:numFmt w:val="bullet"/>
      <w:lvlText w:val=""/>
      <w:lvlJc w:val="left"/>
      <w:pPr>
        <w:ind w:left="720" w:hanging="360"/>
      </w:pPr>
      <w:rPr>
        <w:rFonts w:ascii="Symbol" w:hAnsi="Symbol" w:hint="default"/>
      </w:rPr>
    </w:lvl>
    <w:lvl w:ilvl="1" w:tplc="080A0005">
      <w:start w:val="1"/>
      <w:numFmt w:val="bullet"/>
      <w:lvlText w:val=""/>
      <w:lvlJc w:val="left"/>
      <w:pPr>
        <w:ind w:left="1920" w:hanging="360"/>
      </w:pPr>
      <w:rPr>
        <w:rFonts w:ascii="Wingdings" w:hAnsi="Wingdings"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E57369"/>
    <w:multiLevelType w:val="hybridMultilevel"/>
    <w:tmpl w:val="8C504A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52D419E"/>
    <w:multiLevelType w:val="hybridMultilevel"/>
    <w:tmpl w:val="CD70BE02"/>
    <w:lvl w:ilvl="0" w:tplc="080A0001">
      <w:start w:val="1"/>
      <w:numFmt w:val="bullet"/>
      <w:lvlText w:val=""/>
      <w:lvlJc w:val="left"/>
      <w:pPr>
        <w:ind w:left="720" w:hanging="360"/>
      </w:pPr>
      <w:rPr>
        <w:rFonts w:ascii="Symbol" w:hAnsi="Symbol" w:hint="default"/>
      </w:rPr>
    </w:lvl>
    <w:lvl w:ilvl="1" w:tplc="D2685FAA">
      <w:start w:val="3"/>
      <w:numFmt w:val="bullet"/>
      <w:lvlText w:val="•"/>
      <w:lvlJc w:val="left"/>
      <w:pPr>
        <w:ind w:left="1440" w:hanging="360"/>
      </w:pPr>
      <w:rPr>
        <w:rFonts w:ascii="Palatino Linotype" w:eastAsia="Times New Roman" w:hAnsi="Palatino Linotype"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9C75325"/>
    <w:multiLevelType w:val="hybridMultilevel"/>
    <w:tmpl w:val="16228A78"/>
    <w:lvl w:ilvl="0" w:tplc="8E865110">
      <w:start w:val="1"/>
      <w:numFmt w:val="decimal"/>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D9F47C7"/>
    <w:multiLevelType w:val="hybridMultilevel"/>
    <w:tmpl w:val="06DED0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26862D5"/>
    <w:multiLevelType w:val="hybridMultilevel"/>
    <w:tmpl w:val="16228A78"/>
    <w:lvl w:ilvl="0" w:tplc="8E865110">
      <w:start w:val="1"/>
      <w:numFmt w:val="decimal"/>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BE01717"/>
    <w:multiLevelType w:val="hybridMultilevel"/>
    <w:tmpl w:val="05B8AC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D8823DB"/>
    <w:multiLevelType w:val="hybridMultilevel"/>
    <w:tmpl w:val="5D2CBD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2E82315"/>
    <w:multiLevelType w:val="hybridMultilevel"/>
    <w:tmpl w:val="CD469C56"/>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65845388"/>
    <w:multiLevelType w:val="hybridMultilevel"/>
    <w:tmpl w:val="90D49EAC"/>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12" w15:restartNumberingAfterBreak="0">
    <w:nsid w:val="687F14CE"/>
    <w:multiLevelType w:val="hybridMultilevel"/>
    <w:tmpl w:val="09F44904"/>
    <w:lvl w:ilvl="0" w:tplc="69E27CA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6E7427F1"/>
    <w:multiLevelType w:val="hybridMultilevel"/>
    <w:tmpl w:val="5956A762"/>
    <w:lvl w:ilvl="0" w:tplc="83304248">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7"/>
  </w:num>
  <w:num w:numId="5">
    <w:abstractNumId w:val="13"/>
  </w:num>
  <w:num w:numId="6">
    <w:abstractNumId w:val="5"/>
  </w:num>
  <w:num w:numId="7">
    <w:abstractNumId w:val="2"/>
  </w:num>
  <w:num w:numId="8">
    <w:abstractNumId w:val="0"/>
  </w:num>
  <w:num w:numId="9">
    <w:abstractNumId w:val="10"/>
  </w:num>
  <w:num w:numId="10">
    <w:abstractNumId w:val="6"/>
  </w:num>
  <w:num w:numId="11">
    <w:abstractNumId w:val="8"/>
  </w:num>
  <w:num w:numId="12">
    <w:abstractNumId w:val="4"/>
  </w:num>
  <w:num w:numId="13">
    <w:abstractNumId w:val="11"/>
  </w:num>
  <w:num w:numId="14">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396"/>
    <w:rsid w:val="000033B1"/>
    <w:rsid w:val="0000626B"/>
    <w:rsid w:val="000065CB"/>
    <w:rsid w:val="00017DD9"/>
    <w:rsid w:val="00020628"/>
    <w:rsid w:val="000208A2"/>
    <w:rsid w:val="00021168"/>
    <w:rsid w:val="000216E2"/>
    <w:rsid w:val="000302F2"/>
    <w:rsid w:val="00033042"/>
    <w:rsid w:val="000337DA"/>
    <w:rsid w:val="00041350"/>
    <w:rsid w:val="00050912"/>
    <w:rsid w:val="00056F1D"/>
    <w:rsid w:val="00057382"/>
    <w:rsid w:val="00060750"/>
    <w:rsid w:val="00062052"/>
    <w:rsid w:val="00066EA9"/>
    <w:rsid w:val="00066F1A"/>
    <w:rsid w:val="00072D95"/>
    <w:rsid w:val="000750A7"/>
    <w:rsid w:val="00076C9A"/>
    <w:rsid w:val="00077C75"/>
    <w:rsid w:val="00080788"/>
    <w:rsid w:val="00095A46"/>
    <w:rsid w:val="00097DC6"/>
    <w:rsid w:val="000A3261"/>
    <w:rsid w:val="000A7478"/>
    <w:rsid w:val="000B3107"/>
    <w:rsid w:val="000B37AE"/>
    <w:rsid w:val="000B5146"/>
    <w:rsid w:val="000C73BC"/>
    <w:rsid w:val="000D4727"/>
    <w:rsid w:val="000D4A20"/>
    <w:rsid w:val="000E0F0F"/>
    <w:rsid w:val="000E4227"/>
    <w:rsid w:val="000E7709"/>
    <w:rsid w:val="000E77F3"/>
    <w:rsid w:val="000E7C24"/>
    <w:rsid w:val="000E7CB7"/>
    <w:rsid w:val="000F2D64"/>
    <w:rsid w:val="000F51C1"/>
    <w:rsid w:val="001059EC"/>
    <w:rsid w:val="0011335C"/>
    <w:rsid w:val="00114A6D"/>
    <w:rsid w:val="00114A9A"/>
    <w:rsid w:val="00116785"/>
    <w:rsid w:val="001304BD"/>
    <w:rsid w:val="00130788"/>
    <w:rsid w:val="001342BD"/>
    <w:rsid w:val="00142BE8"/>
    <w:rsid w:val="00142FA9"/>
    <w:rsid w:val="00146257"/>
    <w:rsid w:val="00153C0D"/>
    <w:rsid w:val="00154522"/>
    <w:rsid w:val="00161C08"/>
    <w:rsid w:val="001639B7"/>
    <w:rsid w:val="00164DEC"/>
    <w:rsid w:val="0016718A"/>
    <w:rsid w:val="00171420"/>
    <w:rsid w:val="001714D5"/>
    <w:rsid w:val="00172C2A"/>
    <w:rsid w:val="001739E0"/>
    <w:rsid w:val="00173DD2"/>
    <w:rsid w:val="001778FE"/>
    <w:rsid w:val="00181755"/>
    <w:rsid w:val="00184165"/>
    <w:rsid w:val="00186050"/>
    <w:rsid w:val="001919E8"/>
    <w:rsid w:val="0019336E"/>
    <w:rsid w:val="0019366F"/>
    <w:rsid w:val="00193E28"/>
    <w:rsid w:val="00194DE5"/>
    <w:rsid w:val="00195135"/>
    <w:rsid w:val="001A4769"/>
    <w:rsid w:val="001A55FA"/>
    <w:rsid w:val="001A5DB6"/>
    <w:rsid w:val="001A6196"/>
    <w:rsid w:val="001A73AF"/>
    <w:rsid w:val="001B5585"/>
    <w:rsid w:val="001C16F6"/>
    <w:rsid w:val="001C54FE"/>
    <w:rsid w:val="001C5837"/>
    <w:rsid w:val="001D67FB"/>
    <w:rsid w:val="001E04EA"/>
    <w:rsid w:val="001E0F19"/>
    <w:rsid w:val="001E35F1"/>
    <w:rsid w:val="001E4EE9"/>
    <w:rsid w:val="001E571F"/>
    <w:rsid w:val="001F5725"/>
    <w:rsid w:val="001F70C7"/>
    <w:rsid w:val="001F710B"/>
    <w:rsid w:val="001F72FB"/>
    <w:rsid w:val="001F7300"/>
    <w:rsid w:val="00206CFD"/>
    <w:rsid w:val="0021444D"/>
    <w:rsid w:val="00214E16"/>
    <w:rsid w:val="00216AAA"/>
    <w:rsid w:val="002175D9"/>
    <w:rsid w:val="00223917"/>
    <w:rsid w:val="00223B07"/>
    <w:rsid w:val="00224D6A"/>
    <w:rsid w:val="00225356"/>
    <w:rsid w:val="0022754A"/>
    <w:rsid w:val="00235A8C"/>
    <w:rsid w:val="00237A11"/>
    <w:rsid w:val="002417A9"/>
    <w:rsid w:val="0024203F"/>
    <w:rsid w:val="0024214B"/>
    <w:rsid w:val="00256048"/>
    <w:rsid w:val="00257F55"/>
    <w:rsid w:val="00264A2B"/>
    <w:rsid w:val="00266B48"/>
    <w:rsid w:val="00273EF3"/>
    <w:rsid w:val="00275567"/>
    <w:rsid w:val="00276DAD"/>
    <w:rsid w:val="0028378E"/>
    <w:rsid w:val="00284E68"/>
    <w:rsid w:val="00293CA1"/>
    <w:rsid w:val="00295636"/>
    <w:rsid w:val="002A05B6"/>
    <w:rsid w:val="002A35DF"/>
    <w:rsid w:val="002A51B2"/>
    <w:rsid w:val="002B0D00"/>
    <w:rsid w:val="002B12C6"/>
    <w:rsid w:val="002C2052"/>
    <w:rsid w:val="002C3D27"/>
    <w:rsid w:val="002C430A"/>
    <w:rsid w:val="002D5D7C"/>
    <w:rsid w:val="002D6562"/>
    <w:rsid w:val="002E0FEE"/>
    <w:rsid w:val="002E1C93"/>
    <w:rsid w:val="002E5396"/>
    <w:rsid w:val="002F0E46"/>
    <w:rsid w:val="002F1956"/>
    <w:rsid w:val="00310FEA"/>
    <w:rsid w:val="003132E1"/>
    <w:rsid w:val="00313ADE"/>
    <w:rsid w:val="003239B7"/>
    <w:rsid w:val="00325BCC"/>
    <w:rsid w:val="0033087D"/>
    <w:rsid w:val="00334A3B"/>
    <w:rsid w:val="00336113"/>
    <w:rsid w:val="00340981"/>
    <w:rsid w:val="00343DBF"/>
    <w:rsid w:val="003443C1"/>
    <w:rsid w:val="0034594D"/>
    <w:rsid w:val="00345F68"/>
    <w:rsid w:val="00363976"/>
    <w:rsid w:val="00365264"/>
    <w:rsid w:val="003675B4"/>
    <w:rsid w:val="00367B45"/>
    <w:rsid w:val="00370411"/>
    <w:rsid w:val="00371611"/>
    <w:rsid w:val="00381705"/>
    <w:rsid w:val="00382DC3"/>
    <w:rsid w:val="003843EC"/>
    <w:rsid w:val="00385BFB"/>
    <w:rsid w:val="00386076"/>
    <w:rsid w:val="00392F63"/>
    <w:rsid w:val="00394559"/>
    <w:rsid w:val="00394CE4"/>
    <w:rsid w:val="0039561D"/>
    <w:rsid w:val="003A10D3"/>
    <w:rsid w:val="003A24CA"/>
    <w:rsid w:val="003A781E"/>
    <w:rsid w:val="003B0CBF"/>
    <w:rsid w:val="003B1205"/>
    <w:rsid w:val="003B19DA"/>
    <w:rsid w:val="003B4C11"/>
    <w:rsid w:val="003B6824"/>
    <w:rsid w:val="003C1448"/>
    <w:rsid w:val="003C2A03"/>
    <w:rsid w:val="003C4A56"/>
    <w:rsid w:val="003D053B"/>
    <w:rsid w:val="003E2016"/>
    <w:rsid w:val="003E67EC"/>
    <w:rsid w:val="003E7C61"/>
    <w:rsid w:val="003E7E3F"/>
    <w:rsid w:val="003F367C"/>
    <w:rsid w:val="00410225"/>
    <w:rsid w:val="00410C9F"/>
    <w:rsid w:val="00410F2C"/>
    <w:rsid w:val="00416F97"/>
    <w:rsid w:val="00422958"/>
    <w:rsid w:val="00425F15"/>
    <w:rsid w:val="00430001"/>
    <w:rsid w:val="00431776"/>
    <w:rsid w:val="00435474"/>
    <w:rsid w:val="00441DEC"/>
    <w:rsid w:val="0044607B"/>
    <w:rsid w:val="004464C9"/>
    <w:rsid w:val="00451B62"/>
    <w:rsid w:val="00452381"/>
    <w:rsid w:val="00452AA3"/>
    <w:rsid w:val="00455513"/>
    <w:rsid w:val="00457936"/>
    <w:rsid w:val="00461C88"/>
    <w:rsid w:val="004621AF"/>
    <w:rsid w:val="00463004"/>
    <w:rsid w:val="004630DC"/>
    <w:rsid w:val="00463DA0"/>
    <w:rsid w:val="004674B2"/>
    <w:rsid w:val="0046785C"/>
    <w:rsid w:val="00485EA8"/>
    <w:rsid w:val="004879EC"/>
    <w:rsid w:val="00490FD1"/>
    <w:rsid w:val="00495B73"/>
    <w:rsid w:val="00497306"/>
    <w:rsid w:val="00497433"/>
    <w:rsid w:val="004A51BD"/>
    <w:rsid w:val="004A78DC"/>
    <w:rsid w:val="004B0649"/>
    <w:rsid w:val="004B0F26"/>
    <w:rsid w:val="004B7469"/>
    <w:rsid w:val="004B7530"/>
    <w:rsid w:val="004C3356"/>
    <w:rsid w:val="004C7BE4"/>
    <w:rsid w:val="004D295E"/>
    <w:rsid w:val="004D6F01"/>
    <w:rsid w:val="004D777E"/>
    <w:rsid w:val="004E51D4"/>
    <w:rsid w:val="004E52CD"/>
    <w:rsid w:val="004E7E9F"/>
    <w:rsid w:val="004F6F27"/>
    <w:rsid w:val="0050010B"/>
    <w:rsid w:val="005029F6"/>
    <w:rsid w:val="005052F5"/>
    <w:rsid w:val="00505840"/>
    <w:rsid w:val="0051099D"/>
    <w:rsid w:val="005124BF"/>
    <w:rsid w:val="0051478C"/>
    <w:rsid w:val="005150DE"/>
    <w:rsid w:val="005165E9"/>
    <w:rsid w:val="00517F0E"/>
    <w:rsid w:val="00523162"/>
    <w:rsid w:val="00523D85"/>
    <w:rsid w:val="00523E38"/>
    <w:rsid w:val="005243F3"/>
    <w:rsid w:val="00526638"/>
    <w:rsid w:val="00530E63"/>
    <w:rsid w:val="005316FA"/>
    <w:rsid w:val="005323AC"/>
    <w:rsid w:val="005426EA"/>
    <w:rsid w:val="00546029"/>
    <w:rsid w:val="005507DC"/>
    <w:rsid w:val="005642F3"/>
    <w:rsid w:val="00577DEA"/>
    <w:rsid w:val="005801D7"/>
    <w:rsid w:val="00580FEE"/>
    <w:rsid w:val="00581E17"/>
    <w:rsid w:val="005A3B9D"/>
    <w:rsid w:val="005A3F93"/>
    <w:rsid w:val="005A4239"/>
    <w:rsid w:val="005A59DC"/>
    <w:rsid w:val="005B4FF1"/>
    <w:rsid w:val="005B5471"/>
    <w:rsid w:val="005C2B9A"/>
    <w:rsid w:val="005D0014"/>
    <w:rsid w:val="005F0C47"/>
    <w:rsid w:val="005F4F30"/>
    <w:rsid w:val="00600B42"/>
    <w:rsid w:val="00600DF9"/>
    <w:rsid w:val="0060122B"/>
    <w:rsid w:val="00603299"/>
    <w:rsid w:val="006064F5"/>
    <w:rsid w:val="00606693"/>
    <w:rsid w:val="00607616"/>
    <w:rsid w:val="00625BB7"/>
    <w:rsid w:val="006302EB"/>
    <w:rsid w:val="0063409B"/>
    <w:rsid w:val="00640896"/>
    <w:rsid w:val="00641CF7"/>
    <w:rsid w:val="00642ED3"/>
    <w:rsid w:val="00651917"/>
    <w:rsid w:val="00651AE4"/>
    <w:rsid w:val="00651B2F"/>
    <w:rsid w:val="00656F27"/>
    <w:rsid w:val="006665A0"/>
    <w:rsid w:val="00666A8D"/>
    <w:rsid w:val="00671278"/>
    <w:rsid w:val="00672D97"/>
    <w:rsid w:val="0067330D"/>
    <w:rsid w:val="00673AC9"/>
    <w:rsid w:val="00673F19"/>
    <w:rsid w:val="00681BB2"/>
    <w:rsid w:val="00686C66"/>
    <w:rsid w:val="00691592"/>
    <w:rsid w:val="0069424C"/>
    <w:rsid w:val="0069454E"/>
    <w:rsid w:val="00695C47"/>
    <w:rsid w:val="006975B4"/>
    <w:rsid w:val="006A1B44"/>
    <w:rsid w:val="006A4E45"/>
    <w:rsid w:val="006A6677"/>
    <w:rsid w:val="006C0E62"/>
    <w:rsid w:val="006C60A8"/>
    <w:rsid w:val="006D26C6"/>
    <w:rsid w:val="006E09BC"/>
    <w:rsid w:val="006E32F0"/>
    <w:rsid w:val="006F2CD4"/>
    <w:rsid w:val="006F37E6"/>
    <w:rsid w:val="006F40FE"/>
    <w:rsid w:val="006F525D"/>
    <w:rsid w:val="00705F0B"/>
    <w:rsid w:val="00710653"/>
    <w:rsid w:val="00710B9D"/>
    <w:rsid w:val="007122F1"/>
    <w:rsid w:val="00713DD7"/>
    <w:rsid w:val="00720105"/>
    <w:rsid w:val="00722A61"/>
    <w:rsid w:val="00723982"/>
    <w:rsid w:val="00725B96"/>
    <w:rsid w:val="00725D55"/>
    <w:rsid w:val="007264E1"/>
    <w:rsid w:val="00726A4A"/>
    <w:rsid w:val="0073045B"/>
    <w:rsid w:val="007340F9"/>
    <w:rsid w:val="007372F8"/>
    <w:rsid w:val="00745A16"/>
    <w:rsid w:val="00747FEA"/>
    <w:rsid w:val="00752494"/>
    <w:rsid w:val="00762CC0"/>
    <w:rsid w:val="0077066B"/>
    <w:rsid w:val="00776053"/>
    <w:rsid w:val="00776B26"/>
    <w:rsid w:val="00776D97"/>
    <w:rsid w:val="00777D38"/>
    <w:rsid w:val="00782D84"/>
    <w:rsid w:val="007905F8"/>
    <w:rsid w:val="0079066D"/>
    <w:rsid w:val="0079387A"/>
    <w:rsid w:val="0079399A"/>
    <w:rsid w:val="00795888"/>
    <w:rsid w:val="00796C4B"/>
    <w:rsid w:val="007A0BDE"/>
    <w:rsid w:val="007A3028"/>
    <w:rsid w:val="007A6AB4"/>
    <w:rsid w:val="007B053A"/>
    <w:rsid w:val="007B1D27"/>
    <w:rsid w:val="007B2EF1"/>
    <w:rsid w:val="007B4FF6"/>
    <w:rsid w:val="007B6F90"/>
    <w:rsid w:val="007C08DD"/>
    <w:rsid w:val="007C111A"/>
    <w:rsid w:val="007C26DD"/>
    <w:rsid w:val="007D2A90"/>
    <w:rsid w:val="007D2B2F"/>
    <w:rsid w:val="007D70B1"/>
    <w:rsid w:val="007E1897"/>
    <w:rsid w:val="007E28D4"/>
    <w:rsid w:val="007E6426"/>
    <w:rsid w:val="007F09BB"/>
    <w:rsid w:val="007F1357"/>
    <w:rsid w:val="008029E6"/>
    <w:rsid w:val="008035A8"/>
    <w:rsid w:val="00812322"/>
    <w:rsid w:val="00821319"/>
    <w:rsid w:val="008233A9"/>
    <w:rsid w:val="00831EB1"/>
    <w:rsid w:val="00834EA2"/>
    <w:rsid w:val="008374F8"/>
    <w:rsid w:val="00840054"/>
    <w:rsid w:val="008422E5"/>
    <w:rsid w:val="00854B1C"/>
    <w:rsid w:val="00855666"/>
    <w:rsid w:val="008558D7"/>
    <w:rsid w:val="0085799A"/>
    <w:rsid w:val="0086027F"/>
    <w:rsid w:val="0086352A"/>
    <w:rsid w:val="008713EA"/>
    <w:rsid w:val="0087361A"/>
    <w:rsid w:val="008737AB"/>
    <w:rsid w:val="0087684B"/>
    <w:rsid w:val="00877D50"/>
    <w:rsid w:val="00880949"/>
    <w:rsid w:val="00883EF7"/>
    <w:rsid w:val="00887DED"/>
    <w:rsid w:val="00891D21"/>
    <w:rsid w:val="00892300"/>
    <w:rsid w:val="0089424B"/>
    <w:rsid w:val="008954F1"/>
    <w:rsid w:val="008A0CDC"/>
    <w:rsid w:val="008A100D"/>
    <w:rsid w:val="008A3111"/>
    <w:rsid w:val="008A5F08"/>
    <w:rsid w:val="008B0441"/>
    <w:rsid w:val="008B0C0C"/>
    <w:rsid w:val="008B189C"/>
    <w:rsid w:val="008B5639"/>
    <w:rsid w:val="008B56E5"/>
    <w:rsid w:val="008C01E0"/>
    <w:rsid w:val="008C2631"/>
    <w:rsid w:val="008C2881"/>
    <w:rsid w:val="008C440C"/>
    <w:rsid w:val="008D7548"/>
    <w:rsid w:val="008D7A6F"/>
    <w:rsid w:val="008E05FD"/>
    <w:rsid w:val="008E1379"/>
    <w:rsid w:val="008E2E36"/>
    <w:rsid w:val="008E3BFA"/>
    <w:rsid w:val="008E520C"/>
    <w:rsid w:val="008E59BE"/>
    <w:rsid w:val="008F0702"/>
    <w:rsid w:val="008F31B0"/>
    <w:rsid w:val="008F324A"/>
    <w:rsid w:val="0090554D"/>
    <w:rsid w:val="00907540"/>
    <w:rsid w:val="0091364E"/>
    <w:rsid w:val="00921A6C"/>
    <w:rsid w:val="00924D37"/>
    <w:rsid w:val="00935E7F"/>
    <w:rsid w:val="00944CD5"/>
    <w:rsid w:val="00945457"/>
    <w:rsid w:val="00950BEC"/>
    <w:rsid w:val="0095315E"/>
    <w:rsid w:val="00957724"/>
    <w:rsid w:val="00961601"/>
    <w:rsid w:val="00962879"/>
    <w:rsid w:val="00963DB1"/>
    <w:rsid w:val="00976507"/>
    <w:rsid w:val="0098057B"/>
    <w:rsid w:val="00987D58"/>
    <w:rsid w:val="009902CB"/>
    <w:rsid w:val="0099311E"/>
    <w:rsid w:val="00995FAA"/>
    <w:rsid w:val="00997B8F"/>
    <w:rsid w:val="009A15B8"/>
    <w:rsid w:val="009A47BE"/>
    <w:rsid w:val="009A7838"/>
    <w:rsid w:val="009C0C03"/>
    <w:rsid w:val="009C14BC"/>
    <w:rsid w:val="009C5FE6"/>
    <w:rsid w:val="009D11CB"/>
    <w:rsid w:val="009D67A9"/>
    <w:rsid w:val="009E1FAD"/>
    <w:rsid w:val="009E29B5"/>
    <w:rsid w:val="009E71E7"/>
    <w:rsid w:val="009F00A5"/>
    <w:rsid w:val="009F06EB"/>
    <w:rsid w:val="00A00C46"/>
    <w:rsid w:val="00A06FDD"/>
    <w:rsid w:val="00A11D70"/>
    <w:rsid w:val="00A14290"/>
    <w:rsid w:val="00A147B8"/>
    <w:rsid w:val="00A16504"/>
    <w:rsid w:val="00A22CC2"/>
    <w:rsid w:val="00A26A48"/>
    <w:rsid w:val="00A32E26"/>
    <w:rsid w:val="00A3384C"/>
    <w:rsid w:val="00A34630"/>
    <w:rsid w:val="00A5006E"/>
    <w:rsid w:val="00A5794E"/>
    <w:rsid w:val="00A6171C"/>
    <w:rsid w:val="00A6296F"/>
    <w:rsid w:val="00A64402"/>
    <w:rsid w:val="00A65589"/>
    <w:rsid w:val="00A7660E"/>
    <w:rsid w:val="00A77769"/>
    <w:rsid w:val="00A84300"/>
    <w:rsid w:val="00A85C83"/>
    <w:rsid w:val="00A9340E"/>
    <w:rsid w:val="00A97C81"/>
    <w:rsid w:val="00AA111E"/>
    <w:rsid w:val="00AA1D9C"/>
    <w:rsid w:val="00AA22DC"/>
    <w:rsid w:val="00AA23D5"/>
    <w:rsid w:val="00AA3766"/>
    <w:rsid w:val="00AA47E4"/>
    <w:rsid w:val="00AA5B9D"/>
    <w:rsid w:val="00AB36CE"/>
    <w:rsid w:val="00AB4201"/>
    <w:rsid w:val="00AB4D6F"/>
    <w:rsid w:val="00AC2217"/>
    <w:rsid w:val="00AC2D4D"/>
    <w:rsid w:val="00AC6C2A"/>
    <w:rsid w:val="00AC7486"/>
    <w:rsid w:val="00AD1F1D"/>
    <w:rsid w:val="00AE3DFF"/>
    <w:rsid w:val="00AF1553"/>
    <w:rsid w:val="00AF6A2E"/>
    <w:rsid w:val="00B00578"/>
    <w:rsid w:val="00B02E01"/>
    <w:rsid w:val="00B03EB3"/>
    <w:rsid w:val="00B04B2F"/>
    <w:rsid w:val="00B10115"/>
    <w:rsid w:val="00B11917"/>
    <w:rsid w:val="00B14305"/>
    <w:rsid w:val="00B14A3E"/>
    <w:rsid w:val="00B20D9F"/>
    <w:rsid w:val="00B26E11"/>
    <w:rsid w:val="00B276BE"/>
    <w:rsid w:val="00B307A8"/>
    <w:rsid w:val="00B32ABE"/>
    <w:rsid w:val="00B34FD8"/>
    <w:rsid w:val="00B3711F"/>
    <w:rsid w:val="00B40A84"/>
    <w:rsid w:val="00B41E4B"/>
    <w:rsid w:val="00B43A42"/>
    <w:rsid w:val="00B45525"/>
    <w:rsid w:val="00B46471"/>
    <w:rsid w:val="00B55F88"/>
    <w:rsid w:val="00B6714E"/>
    <w:rsid w:val="00B92C62"/>
    <w:rsid w:val="00B94E90"/>
    <w:rsid w:val="00B966F1"/>
    <w:rsid w:val="00B96D21"/>
    <w:rsid w:val="00BA033C"/>
    <w:rsid w:val="00BA64F0"/>
    <w:rsid w:val="00BB2A04"/>
    <w:rsid w:val="00BB2B3D"/>
    <w:rsid w:val="00BB42DA"/>
    <w:rsid w:val="00BB4ED8"/>
    <w:rsid w:val="00BB5235"/>
    <w:rsid w:val="00BB61F7"/>
    <w:rsid w:val="00BB75C3"/>
    <w:rsid w:val="00BB7CA5"/>
    <w:rsid w:val="00BC47CA"/>
    <w:rsid w:val="00BC6271"/>
    <w:rsid w:val="00BD1EA0"/>
    <w:rsid w:val="00BD1F18"/>
    <w:rsid w:val="00BD626D"/>
    <w:rsid w:val="00BD7C5E"/>
    <w:rsid w:val="00BE0C4E"/>
    <w:rsid w:val="00BE545E"/>
    <w:rsid w:val="00BE5DED"/>
    <w:rsid w:val="00BF025D"/>
    <w:rsid w:val="00BF5449"/>
    <w:rsid w:val="00BF60BB"/>
    <w:rsid w:val="00C01EF3"/>
    <w:rsid w:val="00C051EB"/>
    <w:rsid w:val="00C055C3"/>
    <w:rsid w:val="00C05B60"/>
    <w:rsid w:val="00C05F83"/>
    <w:rsid w:val="00C10079"/>
    <w:rsid w:val="00C1056D"/>
    <w:rsid w:val="00C11064"/>
    <w:rsid w:val="00C12F96"/>
    <w:rsid w:val="00C16B45"/>
    <w:rsid w:val="00C17246"/>
    <w:rsid w:val="00C205E5"/>
    <w:rsid w:val="00C31A4E"/>
    <w:rsid w:val="00C367B8"/>
    <w:rsid w:val="00C407B9"/>
    <w:rsid w:val="00C4093F"/>
    <w:rsid w:val="00C41145"/>
    <w:rsid w:val="00C47E72"/>
    <w:rsid w:val="00C52873"/>
    <w:rsid w:val="00C57D70"/>
    <w:rsid w:val="00C60F46"/>
    <w:rsid w:val="00C66BA8"/>
    <w:rsid w:val="00C8318B"/>
    <w:rsid w:val="00C910ED"/>
    <w:rsid w:val="00C94686"/>
    <w:rsid w:val="00CA75B6"/>
    <w:rsid w:val="00CA7CFD"/>
    <w:rsid w:val="00CB1002"/>
    <w:rsid w:val="00CC2B1D"/>
    <w:rsid w:val="00CC3412"/>
    <w:rsid w:val="00CC51B6"/>
    <w:rsid w:val="00CD1FAF"/>
    <w:rsid w:val="00CD2828"/>
    <w:rsid w:val="00CD4117"/>
    <w:rsid w:val="00CE3484"/>
    <w:rsid w:val="00CF1512"/>
    <w:rsid w:val="00CF3852"/>
    <w:rsid w:val="00D027C7"/>
    <w:rsid w:val="00D03D82"/>
    <w:rsid w:val="00D04AE4"/>
    <w:rsid w:val="00D04B37"/>
    <w:rsid w:val="00D129B1"/>
    <w:rsid w:val="00D135C7"/>
    <w:rsid w:val="00D213EC"/>
    <w:rsid w:val="00D215DE"/>
    <w:rsid w:val="00D24040"/>
    <w:rsid w:val="00D246A3"/>
    <w:rsid w:val="00D24B11"/>
    <w:rsid w:val="00D25536"/>
    <w:rsid w:val="00D2638F"/>
    <w:rsid w:val="00D27626"/>
    <w:rsid w:val="00D35465"/>
    <w:rsid w:val="00D46D73"/>
    <w:rsid w:val="00D47139"/>
    <w:rsid w:val="00D50BF2"/>
    <w:rsid w:val="00D52EE5"/>
    <w:rsid w:val="00D55108"/>
    <w:rsid w:val="00D60D50"/>
    <w:rsid w:val="00D642F2"/>
    <w:rsid w:val="00D66AE4"/>
    <w:rsid w:val="00D66DC4"/>
    <w:rsid w:val="00D733F2"/>
    <w:rsid w:val="00D74516"/>
    <w:rsid w:val="00D817CC"/>
    <w:rsid w:val="00D84317"/>
    <w:rsid w:val="00D9406A"/>
    <w:rsid w:val="00D942B4"/>
    <w:rsid w:val="00DA0637"/>
    <w:rsid w:val="00DB0A46"/>
    <w:rsid w:val="00DB61BC"/>
    <w:rsid w:val="00DC1614"/>
    <w:rsid w:val="00DC1622"/>
    <w:rsid w:val="00DC1FC8"/>
    <w:rsid w:val="00DC3DCD"/>
    <w:rsid w:val="00DD231D"/>
    <w:rsid w:val="00DD330C"/>
    <w:rsid w:val="00DD33AE"/>
    <w:rsid w:val="00DD57B6"/>
    <w:rsid w:val="00DE25D7"/>
    <w:rsid w:val="00DE4D7C"/>
    <w:rsid w:val="00DE4E6A"/>
    <w:rsid w:val="00DE772D"/>
    <w:rsid w:val="00DF05DA"/>
    <w:rsid w:val="00DF0BF6"/>
    <w:rsid w:val="00DF3918"/>
    <w:rsid w:val="00E00033"/>
    <w:rsid w:val="00E003BF"/>
    <w:rsid w:val="00E03E59"/>
    <w:rsid w:val="00E06B17"/>
    <w:rsid w:val="00E115C4"/>
    <w:rsid w:val="00E13192"/>
    <w:rsid w:val="00E178CB"/>
    <w:rsid w:val="00E17FB8"/>
    <w:rsid w:val="00E21332"/>
    <w:rsid w:val="00E22EA1"/>
    <w:rsid w:val="00E245A7"/>
    <w:rsid w:val="00E25C16"/>
    <w:rsid w:val="00E2702C"/>
    <w:rsid w:val="00E305A3"/>
    <w:rsid w:val="00E3118E"/>
    <w:rsid w:val="00E31590"/>
    <w:rsid w:val="00E33B23"/>
    <w:rsid w:val="00E34595"/>
    <w:rsid w:val="00E4013E"/>
    <w:rsid w:val="00E4481D"/>
    <w:rsid w:val="00E45BB9"/>
    <w:rsid w:val="00E53693"/>
    <w:rsid w:val="00E53ECD"/>
    <w:rsid w:val="00E57EEA"/>
    <w:rsid w:val="00E603CC"/>
    <w:rsid w:val="00E60580"/>
    <w:rsid w:val="00E60B73"/>
    <w:rsid w:val="00E6129B"/>
    <w:rsid w:val="00E6674E"/>
    <w:rsid w:val="00E67840"/>
    <w:rsid w:val="00E72E93"/>
    <w:rsid w:val="00E74F48"/>
    <w:rsid w:val="00E823B5"/>
    <w:rsid w:val="00E87E7E"/>
    <w:rsid w:val="00E906E9"/>
    <w:rsid w:val="00E9188C"/>
    <w:rsid w:val="00E96956"/>
    <w:rsid w:val="00E969C6"/>
    <w:rsid w:val="00EA040E"/>
    <w:rsid w:val="00EA28F2"/>
    <w:rsid w:val="00EA7A3F"/>
    <w:rsid w:val="00EB2E0F"/>
    <w:rsid w:val="00EB709C"/>
    <w:rsid w:val="00EB7E13"/>
    <w:rsid w:val="00EC1780"/>
    <w:rsid w:val="00EC32C0"/>
    <w:rsid w:val="00EC3F17"/>
    <w:rsid w:val="00EC6D97"/>
    <w:rsid w:val="00ED1CFD"/>
    <w:rsid w:val="00ED39F1"/>
    <w:rsid w:val="00EE7DFF"/>
    <w:rsid w:val="00EF1AB8"/>
    <w:rsid w:val="00EF50C0"/>
    <w:rsid w:val="00EF7185"/>
    <w:rsid w:val="00EF7597"/>
    <w:rsid w:val="00F00C11"/>
    <w:rsid w:val="00F00C56"/>
    <w:rsid w:val="00F041BB"/>
    <w:rsid w:val="00F0712F"/>
    <w:rsid w:val="00F1378F"/>
    <w:rsid w:val="00F159AC"/>
    <w:rsid w:val="00F2018E"/>
    <w:rsid w:val="00F22048"/>
    <w:rsid w:val="00F22EBE"/>
    <w:rsid w:val="00F2486F"/>
    <w:rsid w:val="00F254FA"/>
    <w:rsid w:val="00F261C4"/>
    <w:rsid w:val="00F32BA7"/>
    <w:rsid w:val="00F33C22"/>
    <w:rsid w:val="00F34104"/>
    <w:rsid w:val="00F3578F"/>
    <w:rsid w:val="00F363AD"/>
    <w:rsid w:val="00F37E99"/>
    <w:rsid w:val="00F53239"/>
    <w:rsid w:val="00F5557A"/>
    <w:rsid w:val="00F56D15"/>
    <w:rsid w:val="00F62C28"/>
    <w:rsid w:val="00F64AB3"/>
    <w:rsid w:val="00F677C7"/>
    <w:rsid w:val="00F706E0"/>
    <w:rsid w:val="00F726CE"/>
    <w:rsid w:val="00F81330"/>
    <w:rsid w:val="00F828E4"/>
    <w:rsid w:val="00F84DB8"/>
    <w:rsid w:val="00F85FD9"/>
    <w:rsid w:val="00F86B36"/>
    <w:rsid w:val="00F930F7"/>
    <w:rsid w:val="00FA0A5D"/>
    <w:rsid w:val="00FA3441"/>
    <w:rsid w:val="00FA544C"/>
    <w:rsid w:val="00FB268B"/>
    <w:rsid w:val="00FB2CEE"/>
    <w:rsid w:val="00FB32A7"/>
    <w:rsid w:val="00FB34FF"/>
    <w:rsid w:val="00FB4CBB"/>
    <w:rsid w:val="00FB75C0"/>
    <w:rsid w:val="00FC163C"/>
    <w:rsid w:val="00FC2357"/>
    <w:rsid w:val="00FC37F3"/>
    <w:rsid w:val="00FC3C69"/>
    <w:rsid w:val="00FD67D1"/>
    <w:rsid w:val="00FD7B6B"/>
    <w:rsid w:val="00FE56B6"/>
    <w:rsid w:val="00FF16A4"/>
    <w:rsid w:val="00FF38D2"/>
    <w:rsid w:val="00FF46CC"/>
    <w:rsid w:val="00FF4C60"/>
    <w:rsid w:val="00FF60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815575B0-D91A-4563-B063-6085A1DB8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pPr>
      <w:spacing w:after="0" w:line="240" w:lineRule="auto"/>
    </w:pPr>
    <w:rPr>
      <w:rFonts w:eastAsiaTheme="minorEastAsia"/>
      <w:sz w:val="24"/>
      <w:szCs w:val="24"/>
      <w:lang w:val="es-ES_tradnl"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pPr>
      <w:spacing w:after="0" w:line="240" w:lineRule="auto"/>
    </w:pPr>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14A6D"/>
    <w:rPr>
      <w:vertAlign w:val="superscript"/>
    </w:rPr>
  </w:style>
  <w:style w:type="paragraph" w:customStyle="1" w:styleId="Default">
    <w:name w:val="Default"/>
    <w:rsid w:val="00DD33AE"/>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DD33AE"/>
    <w:pPr>
      <w:spacing w:before="100" w:beforeAutospacing="1" w:after="100" w:afterAutospacing="1"/>
    </w:pPr>
    <w:rPr>
      <w:lang w:val="es-MX" w:eastAsia="es-MX"/>
    </w:rPr>
  </w:style>
  <w:style w:type="paragraph" w:customStyle="1" w:styleId="Standard">
    <w:name w:val="Standard"/>
    <w:rsid w:val="00DD33AE"/>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paragraph" w:customStyle="1" w:styleId="j">
    <w:name w:val="j"/>
    <w:basedOn w:val="Normal"/>
    <w:rsid w:val="00DD33AE"/>
    <w:pPr>
      <w:spacing w:before="100" w:beforeAutospacing="1" w:after="100" w:afterAutospacing="1"/>
    </w:pPr>
    <w:rPr>
      <w:lang w:val="es-MX" w:eastAsia="es-MX"/>
    </w:rPr>
  </w:style>
  <w:style w:type="character" w:customStyle="1" w:styleId="nacep">
    <w:name w:val="n_acep"/>
    <w:basedOn w:val="Fuentedeprrafopredeter"/>
    <w:rsid w:val="00DD33AE"/>
  </w:style>
  <w:style w:type="character" w:customStyle="1" w:styleId="m-5890655947528156101gmail-msofootnotereference">
    <w:name w:val="m_-5890655947528156101gmail-msofootnotereference"/>
    <w:basedOn w:val="Fuentedeprrafopredeter"/>
    <w:rsid w:val="00DD33AE"/>
  </w:style>
  <w:style w:type="paragraph" w:customStyle="1" w:styleId="m-5890655947528156101gmail-msofootnotetext">
    <w:name w:val="m_-5890655947528156101gmail-msofootnotetext"/>
    <w:basedOn w:val="Normal"/>
    <w:rsid w:val="00DD33AE"/>
    <w:pPr>
      <w:spacing w:before="100" w:beforeAutospacing="1" w:after="100" w:afterAutospacing="1"/>
    </w:pPr>
    <w:rPr>
      <w:lang w:val="es-MX" w:eastAsia="es-MX"/>
    </w:rPr>
  </w:style>
  <w:style w:type="character" w:customStyle="1" w:styleId="apple-style-span">
    <w:name w:val="apple-style-span"/>
    <w:rsid w:val="00DD33AE"/>
  </w:style>
  <w:style w:type="character" w:styleId="Hipervnculovisitado">
    <w:name w:val="FollowedHyperlink"/>
    <w:basedOn w:val="Fuentedeprrafopredeter"/>
    <w:uiPriority w:val="99"/>
    <w:semiHidden/>
    <w:unhideWhenUsed/>
    <w:rsid w:val="001D67F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584978">
      <w:bodyDiv w:val="1"/>
      <w:marLeft w:val="0"/>
      <w:marRight w:val="0"/>
      <w:marTop w:val="0"/>
      <w:marBottom w:val="0"/>
      <w:divBdr>
        <w:top w:val="none" w:sz="0" w:space="0" w:color="auto"/>
        <w:left w:val="none" w:sz="0" w:space="0" w:color="auto"/>
        <w:bottom w:val="none" w:sz="0" w:space="0" w:color="auto"/>
        <w:right w:val="none" w:sz="0" w:space="0" w:color="auto"/>
      </w:divBdr>
    </w:div>
    <w:div w:id="172384831">
      <w:bodyDiv w:val="1"/>
      <w:marLeft w:val="0"/>
      <w:marRight w:val="0"/>
      <w:marTop w:val="0"/>
      <w:marBottom w:val="0"/>
      <w:divBdr>
        <w:top w:val="none" w:sz="0" w:space="0" w:color="auto"/>
        <w:left w:val="none" w:sz="0" w:space="0" w:color="auto"/>
        <w:bottom w:val="none" w:sz="0" w:space="0" w:color="auto"/>
        <w:right w:val="none" w:sz="0" w:space="0" w:color="auto"/>
      </w:divBdr>
    </w:div>
    <w:div w:id="300885249">
      <w:bodyDiv w:val="1"/>
      <w:marLeft w:val="0"/>
      <w:marRight w:val="0"/>
      <w:marTop w:val="0"/>
      <w:marBottom w:val="0"/>
      <w:divBdr>
        <w:top w:val="none" w:sz="0" w:space="0" w:color="auto"/>
        <w:left w:val="none" w:sz="0" w:space="0" w:color="auto"/>
        <w:bottom w:val="none" w:sz="0" w:space="0" w:color="auto"/>
        <w:right w:val="none" w:sz="0" w:space="0" w:color="auto"/>
      </w:divBdr>
    </w:div>
    <w:div w:id="311957216">
      <w:bodyDiv w:val="1"/>
      <w:marLeft w:val="0"/>
      <w:marRight w:val="0"/>
      <w:marTop w:val="0"/>
      <w:marBottom w:val="0"/>
      <w:divBdr>
        <w:top w:val="none" w:sz="0" w:space="0" w:color="auto"/>
        <w:left w:val="none" w:sz="0" w:space="0" w:color="auto"/>
        <w:bottom w:val="none" w:sz="0" w:space="0" w:color="auto"/>
        <w:right w:val="none" w:sz="0" w:space="0" w:color="auto"/>
      </w:divBdr>
    </w:div>
    <w:div w:id="330331449">
      <w:bodyDiv w:val="1"/>
      <w:marLeft w:val="0"/>
      <w:marRight w:val="0"/>
      <w:marTop w:val="0"/>
      <w:marBottom w:val="0"/>
      <w:divBdr>
        <w:top w:val="none" w:sz="0" w:space="0" w:color="auto"/>
        <w:left w:val="none" w:sz="0" w:space="0" w:color="auto"/>
        <w:bottom w:val="none" w:sz="0" w:space="0" w:color="auto"/>
        <w:right w:val="none" w:sz="0" w:space="0" w:color="auto"/>
      </w:divBdr>
    </w:div>
    <w:div w:id="352652370">
      <w:bodyDiv w:val="1"/>
      <w:marLeft w:val="0"/>
      <w:marRight w:val="0"/>
      <w:marTop w:val="0"/>
      <w:marBottom w:val="0"/>
      <w:divBdr>
        <w:top w:val="none" w:sz="0" w:space="0" w:color="auto"/>
        <w:left w:val="none" w:sz="0" w:space="0" w:color="auto"/>
        <w:bottom w:val="none" w:sz="0" w:space="0" w:color="auto"/>
        <w:right w:val="none" w:sz="0" w:space="0" w:color="auto"/>
      </w:divBdr>
    </w:div>
    <w:div w:id="355541789">
      <w:bodyDiv w:val="1"/>
      <w:marLeft w:val="0"/>
      <w:marRight w:val="0"/>
      <w:marTop w:val="0"/>
      <w:marBottom w:val="0"/>
      <w:divBdr>
        <w:top w:val="none" w:sz="0" w:space="0" w:color="auto"/>
        <w:left w:val="none" w:sz="0" w:space="0" w:color="auto"/>
        <w:bottom w:val="none" w:sz="0" w:space="0" w:color="auto"/>
        <w:right w:val="none" w:sz="0" w:space="0" w:color="auto"/>
      </w:divBdr>
    </w:div>
    <w:div w:id="382218733">
      <w:bodyDiv w:val="1"/>
      <w:marLeft w:val="0"/>
      <w:marRight w:val="0"/>
      <w:marTop w:val="0"/>
      <w:marBottom w:val="0"/>
      <w:divBdr>
        <w:top w:val="none" w:sz="0" w:space="0" w:color="auto"/>
        <w:left w:val="none" w:sz="0" w:space="0" w:color="auto"/>
        <w:bottom w:val="none" w:sz="0" w:space="0" w:color="auto"/>
        <w:right w:val="none" w:sz="0" w:space="0" w:color="auto"/>
      </w:divBdr>
    </w:div>
    <w:div w:id="508906201">
      <w:bodyDiv w:val="1"/>
      <w:marLeft w:val="0"/>
      <w:marRight w:val="0"/>
      <w:marTop w:val="0"/>
      <w:marBottom w:val="0"/>
      <w:divBdr>
        <w:top w:val="none" w:sz="0" w:space="0" w:color="auto"/>
        <w:left w:val="none" w:sz="0" w:space="0" w:color="auto"/>
        <w:bottom w:val="none" w:sz="0" w:space="0" w:color="auto"/>
        <w:right w:val="none" w:sz="0" w:space="0" w:color="auto"/>
      </w:divBdr>
    </w:div>
    <w:div w:id="567809210">
      <w:bodyDiv w:val="1"/>
      <w:marLeft w:val="0"/>
      <w:marRight w:val="0"/>
      <w:marTop w:val="0"/>
      <w:marBottom w:val="0"/>
      <w:divBdr>
        <w:top w:val="none" w:sz="0" w:space="0" w:color="auto"/>
        <w:left w:val="none" w:sz="0" w:space="0" w:color="auto"/>
        <w:bottom w:val="none" w:sz="0" w:space="0" w:color="auto"/>
        <w:right w:val="none" w:sz="0" w:space="0" w:color="auto"/>
      </w:divBdr>
    </w:div>
    <w:div w:id="606736630">
      <w:bodyDiv w:val="1"/>
      <w:marLeft w:val="0"/>
      <w:marRight w:val="0"/>
      <w:marTop w:val="0"/>
      <w:marBottom w:val="0"/>
      <w:divBdr>
        <w:top w:val="none" w:sz="0" w:space="0" w:color="auto"/>
        <w:left w:val="none" w:sz="0" w:space="0" w:color="auto"/>
        <w:bottom w:val="none" w:sz="0" w:space="0" w:color="auto"/>
        <w:right w:val="none" w:sz="0" w:space="0" w:color="auto"/>
      </w:divBdr>
    </w:div>
    <w:div w:id="662900695">
      <w:bodyDiv w:val="1"/>
      <w:marLeft w:val="0"/>
      <w:marRight w:val="0"/>
      <w:marTop w:val="0"/>
      <w:marBottom w:val="0"/>
      <w:divBdr>
        <w:top w:val="none" w:sz="0" w:space="0" w:color="auto"/>
        <w:left w:val="none" w:sz="0" w:space="0" w:color="auto"/>
        <w:bottom w:val="none" w:sz="0" w:space="0" w:color="auto"/>
        <w:right w:val="none" w:sz="0" w:space="0" w:color="auto"/>
      </w:divBdr>
    </w:div>
    <w:div w:id="719397786">
      <w:bodyDiv w:val="1"/>
      <w:marLeft w:val="0"/>
      <w:marRight w:val="0"/>
      <w:marTop w:val="0"/>
      <w:marBottom w:val="0"/>
      <w:divBdr>
        <w:top w:val="none" w:sz="0" w:space="0" w:color="auto"/>
        <w:left w:val="none" w:sz="0" w:space="0" w:color="auto"/>
        <w:bottom w:val="none" w:sz="0" w:space="0" w:color="auto"/>
        <w:right w:val="none" w:sz="0" w:space="0" w:color="auto"/>
      </w:divBdr>
    </w:div>
    <w:div w:id="723677420">
      <w:bodyDiv w:val="1"/>
      <w:marLeft w:val="0"/>
      <w:marRight w:val="0"/>
      <w:marTop w:val="0"/>
      <w:marBottom w:val="0"/>
      <w:divBdr>
        <w:top w:val="none" w:sz="0" w:space="0" w:color="auto"/>
        <w:left w:val="none" w:sz="0" w:space="0" w:color="auto"/>
        <w:bottom w:val="none" w:sz="0" w:space="0" w:color="auto"/>
        <w:right w:val="none" w:sz="0" w:space="0" w:color="auto"/>
      </w:divBdr>
    </w:div>
    <w:div w:id="724916412">
      <w:bodyDiv w:val="1"/>
      <w:marLeft w:val="0"/>
      <w:marRight w:val="0"/>
      <w:marTop w:val="0"/>
      <w:marBottom w:val="0"/>
      <w:divBdr>
        <w:top w:val="none" w:sz="0" w:space="0" w:color="auto"/>
        <w:left w:val="none" w:sz="0" w:space="0" w:color="auto"/>
        <w:bottom w:val="none" w:sz="0" w:space="0" w:color="auto"/>
        <w:right w:val="none" w:sz="0" w:space="0" w:color="auto"/>
      </w:divBdr>
    </w:div>
    <w:div w:id="742487295">
      <w:bodyDiv w:val="1"/>
      <w:marLeft w:val="0"/>
      <w:marRight w:val="0"/>
      <w:marTop w:val="0"/>
      <w:marBottom w:val="0"/>
      <w:divBdr>
        <w:top w:val="none" w:sz="0" w:space="0" w:color="auto"/>
        <w:left w:val="none" w:sz="0" w:space="0" w:color="auto"/>
        <w:bottom w:val="none" w:sz="0" w:space="0" w:color="auto"/>
        <w:right w:val="none" w:sz="0" w:space="0" w:color="auto"/>
      </w:divBdr>
    </w:div>
    <w:div w:id="764233010">
      <w:bodyDiv w:val="1"/>
      <w:marLeft w:val="0"/>
      <w:marRight w:val="0"/>
      <w:marTop w:val="0"/>
      <w:marBottom w:val="0"/>
      <w:divBdr>
        <w:top w:val="none" w:sz="0" w:space="0" w:color="auto"/>
        <w:left w:val="none" w:sz="0" w:space="0" w:color="auto"/>
        <w:bottom w:val="none" w:sz="0" w:space="0" w:color="auto"/>
        <w:right w:val="none" w:sz="0" w:space="0" w:color="auto"/>
      </w:divBdr>
    </w:div>
    <w:div w:id="813061187">
      <w:bodyDiv w:val="1"/>
      <w:marLeft w:val="0"/>
      <w:marRight w:val="0"/>
      <w:marTop w:val="0"/>
      <w:marBottom w:val="0"/>
      <w:divBdr>
        <w:top w:val="none" w:sz="0" w:space="0" w:color="auto"/>
        <w:left w:val="none" w:sz="0" w:space="0" w:color="auto"/>
        <w:bottom w:val="none" w:sz="0" w:space="0" w:color="auto"/>
        <w:right w:val="none" w:sz="0" w:space="0" w:color="auto"/>
      </w:divBdr>
    </w:div>
    <w:div w:id="832329647">
      <w:bodyDiv w:val="1"/>
      <w:marLeft w:val="0"/>
      <w:marRight w:val="0"/>
      <w:marTop w:val="0"/>
      <w:marBottom w:val="0"/>
      <w:divBdr>
        <w:top w:val="none" w:sz="0" w:space="0" w:color="auto"/>
        <w:left w:val="none" w:sz="0" w:space="0" w:color="auto"/>
        <w:bottom w:val="none" w:sz="0" w:space="0" w:color="auto"/>
        <w:right w:val="none" w:sz="0" w:space="0" w:color="auto"/>
      </w:divBdr>
    </w:div>
    <w:div w:id="836768855">
      <w:bodyDiv w:val="1"/>
      <w:marLeft w:val="0"/>
      <w:marRight w:val="0"/>
      <w:marTop w:val="0"/>
      <w:marBottom w:val="0"/>
      <w:divBdr>
        <w:top w:val="none" w:sz="0" w:space="0" w:color="auto"/>
        <w:left w:val="none" w:sz="0" w:space="0" w:color="auto"/>
        <w:bottom w:val="none" w:sz="0" w:space="0" w:color="auto"/>
        <w:right w:val="none" w:sz="0" w:space="0" w:color="auto"/>
      </w:divBdr>
    </w:div>
    <w:div w:id="839467400">
      <w:bodyDiv w:val="1"/>
      <w:marLeft w:val="0"/>
      <w:marRight w:val="0"/>
      <w:marTop w:val="0"/>
      <w:marBottom w:val="0"/>
      <w:divBdr>
        <w:top w:val="none" w:sz="0" w:space="0" w:color="auto"/>
        <w:left w:val="none" w:sz="0" w:space="0" w:color="auto"/>
        <w:bottom w:val="none" w:sz="0" w:space="0" w:color="auto"/>
        <w:right w:val="none" w:sz="0" w:space="0" w:color="auto"/>
      </w:divBdr>
    </w:div>
    <w:div w:id="860167792">
      <w:bodyDiv w:val="1"/>
      <w:marLeft w:val="0"/>
      <w:marRight w:val="0"/>
      <w:marTop w:val="0"/>
      <w:marBottom w:val="0"/>
      <w:divBdr>
        <w:top w:val="none" w:sz="0" w:space="0" w:color="auto"/>
        <w:left w:val="none" w:sz="0" w:space="0" w:color="auto"/>
        <w:bottom w:val="none" w:sz="0" w:space="0" w:color="auto"/>
        <w:right w:val="none" w:sz="0" w:space="0" w:color="auto"/>
      </w:divBdr>
    </w:div>
    <w:div w:id="867715009">
      <w:bodyDiv w:val="1"/>
      <w:marLeft w:val="0"/>
      <w:marRight w:val="0"/>
      <w:marTop w:val="0"/>
      <w:marBottom w:val="0"/>
      <w:divBdr>
        <w:top w:val="none" w:sz="0" w:space="0" w:color="auto"/>
        <w:left w:val="none" w:sz="0" w:space="0" w:color="auto"/>
        <w:bottom w:val="none" w:sz="0" w:space="0" w:color="auto"/>
        <w:right w:val="none" w:sz="0" w:space="0" w:color="auto"/>
      </w:divBdr>
    </w:div>
    <w:div w:id="877938250">
      <w:bodyDiv w:val="1"/>
      <w:marLeft w:val="0"/>
      <w:marRight w:val="0"/>
      <w:marTop w:val="0"/>
      <w:marBottom w:val="0"/>
      <w:divBdr>
        <w:top w:val="none" w:sz="0" w:space="0" w:color="auto"/>
        <w:left w:val="none" w:sz="0" w:space="0" w:color="auto"/>
        <w:bottom w:val="none" w:sz="0" w:space="0" w:color="auto"/>
        <w:right w:val="none" w:sz="0" w:space="0" w:color="auto"/>
      </w:divBdr>
    </w:div>
    <w:div w:id="880098360">
      <w:bodyDiv w:val="1"/>
      <w:marLeft w:val="0"/>
      <w:marRight w:val="0"/>
      <w:marTop w:val="0"/>
      <w:marBottom w:val="0"/>
      <w:divBdr>
        <w:top w:val="none" w:sz="0" w:space="0" w:color="auto"/>
        <w:left w:val="none" w:sz="0" w:space="0" w:color="auto"/>
        <w:bottom w:val="none" w:sz="0" w:space="0" w:color="auto"/>
        <w:right w:val="none" w:sz="0" w:space="0" w:color="auto"/>
      </w:divBdr>
    </w:div>
    <w:div w:id="897983042">
      <w:bodyDiv w:val="1"/>
      <w:marLeft w:val="0"/>
      <w:marRight w:val="0"/>
      <w:marTop w:val="0"/>
      <w:marBottom w:val="0"/>
      <w:divBdr>
        <w:top w:val="none" w:sz="0" w:space="0" w:color="auto"/>
        <w:left w:val="none" w:sz="0" w:space="0" w:color="auto"/>
        <w:bottom w:val="none" w:sz="0" w:space="0" w:color="auto"/>
        <w:right w:val="none" w:sz="0" w:space="0" w:color="auto"/>
      </w:divBdr>
    </w:div>
    <w:div w:id="908853472">
      <w:bodyDiv w:val="1"/>
      <w:marLeft w:val="0"/>
      <w:marRight w:val="0"/>
      <w:marTop w:val="0"/>
      <w:marBottom w:val="0"/>
      <w:divBdr>
        <w:top w:val="none" w:sz="0" w:space="0" w:color="auto"/>
        <w:left w:val="none" w:sz="0" w:space="0" w:color="auto"/>
        <w:bottom w:val="none" w:sz="0" w:space="0" w:color="auto"/>
        <w:right w:val="none" w:sz="0" w:space="0" w:color="auto"/>
      </w:divBdr>
    </w:div>
    <w:div w:id="942570176">
      <w:bodyDiv w:val="1"/>
      <w:marLeft w:val="0"/>
      <w:marRight w:val="0"/>
      <w:marTop w:val="0"/>
      <w:marBottom w:val="0"/>
      <w:divBdr>
        <w:top w:val="none" w:sz="0" w:space="0" w:color="auto"/>
        <w:left w:val="none" w:sz="0" w:space="0" w:color="auto"/>
        <w:bottom w:val="none" w:sz="0" w:space="0" w:color="auto"/>
        <w:right w:val="none" w:sz="0" w:space="0" w:color="auto"/>
      </w:divBdr>
    </w:div>
    <w:div w:id="1030762129">
      <w:bodyDiv w:val="1"/>
      <w:marLeft w:val="0"/>
      <w:marRight w:val="0"/>
      <w:marTop w:val="0"/>
      <w:marBottom w:val="0"/>
      <w:divBdr>
        <w:top w:val="none" w:sz="0" w:space="0" w:color="auto"/>
        <w:left w:val="none" w:sz="0" w:space="0" w:color="auto"/>
        <w:bottom w:val="none" w:sz="0" w:space="0" w:color="auto"/>
        <w:right w:val="none" w:sz="0" w:space="0" w:color="auto"/>
      </w:divBdr>
    </w:div>
    <w:div w:id="1136532456">
      <w:bodyDiv w:val="1"/>
      <w:marLeft w:val="0"/>
      <w:marRight w:val="0"/>
      <w:marTop w:val="0"/>
      <w:marBottom w:val="0"/>
      <w:divBdr>
        <w:top w:val="none" w:sz="0" w:space="0" w:color="auto"/>
        <w:left w:val="none" w:sz="0" w:space="0" w:color="auto"/>
        <w:bottom w:val="none" w:sz="0" w:space="0" w:color="auto"/>
        <w:right w:val="none" w:sz="0" w:space="0" w:color="auto"/>
      </w:divBdr>
    </w:div>
    <w:div w:id="1156649579">
      <w:bodyDiv w:val="1"/>
      <w:marLeft w:val="0"/>
      <w:marRight w:val="0"/>
      <w:marTop w:val="0"/>
      <w:marBottom w:val="0"/>
      <w:divBdr>
        <w:top w:val="none" w:sz="0" w:space="0" w:color="auto"/>
        <w:left w:val="none" w:sz="0" w:space="0" w:color="auto"/>
        <w:bottom w:val="none" w:sz="0" w:space="0" w:color="auto"/>
        <w:right w:val="none" w:sz="0" w:space="0" w:color="auto"/>
      </w:divBdr>
    </w:div>
    <w:div w:id="1187212983">
      <w:bodyDiv w:val="1"/>
      <w:marLeft w:val="0"/>
      <w:marRight w:val="0"/>
      <w:marTop w:val="0"/>
      <w:marBottom w:val="0"/>
      <w:divBdr>
        <w:top w:val="none" w:sz="0" w:space="0" w:color="auto"/>
        <w:left w:val="none" w:sz="0" w:space="0" w:color="auto"/>
        <w:bottom w:val="none" w:sz="0" w:space="0" w:color="auto"/>
        <w:right w:val="none" w:sz="0" w:space="0" w:color="auto"/>
      </w:divBdr>
    </w:div>
    <w:div w:id="1267814666">
      <w:bodyDiv w:val="1"/>
      <w:marLeft w:val="0"/>
      <w:marRight w:val="0"/>
      <w:marTop w:val="0"/>
      <w:marBottom w:val="0"/>
      <w:divBdr>
        <w:top w:val="none" w:sz="0" w:space="0" w:color="auto"/>
        <w:left w:val="none" w:sz="0" w:space="0" w:color="auto"/>
        <w:bottom w:val="none" w:sz="0" w:space="0" w:color="auto"/>
        <w:right w:val="none" w:sz="0" w:space="0" w:color="auto"/>
      </w:divBdr>
    </w:div>
    <w:div w:id="1274944716">
      <w:bodyDiv w:val="1"/>
      <w:marLeft w:val="0"/>
      <w:marRight w:val="0"/>
      <w:marTop w:val="0"/>
      <w:marBottom w:val="0"/>
      <w:divBdr>
        <w:top w:val="none" w:sz="0" w:space="0" w:color="auto"/>
        <w:left w:val="none" w:sz="0" w:space="0" w:color="auto"/>
        <w:bottom w:val="none" w:sz="0" w:space="0" w:color="auto"/>
        <w:right w:val="none" w:sz="0" w:space="0" w:color="auto"/>
      </w:divBdr>
    </w:div>
    <w:div w:id="1401563217">
      <w:bodyDiv w:val="1"/>
      <w:marLeft w:val="0"/>
      <w:marRight w:val="0"/>
      <w:marTop w:val="0"/>
      <w:marBottom w:val="0"/>
      <w:divBdr>
        <w:top w:val="none" w:sz="0" w:space="0" w:color="auto"/>
        <w:left w:val="none" w:sz="0" w:space="0" w:color="auto"/>
        <w:bottom w:val="none" w:sz="0" w:space="0" w:color="auto"/>
        <w:right w:val="none" w:sz="0" w:space="0" w:color="auto"/>
      </w:divBdr>
    </w:div>
    <w:div w:id="1412116954">
      <w:bodyDiv w:val="1"/>
      <w:marLeft w:val="0"/>
      <w:marRight w:val="0"/>
      <w:marTop w:val="0"/>
      <w:marBottom w:val="0"/>
      <w:divBdr>
        <w:top w:val="none" w:sz="0" w:space="0" w:color="auto"/>
        <w:left w:val="none" w:sz="0" w:space="0" w:color="auto"/>
        <w:bottom w:val="none" w:sz="0" w:space="0" w:color="auto"/>
        <w:right w:val="none" w:sz="0" w:space="0" w:color="auto"/>
      </w:divBdr>
    </w:div>
    <w:div w:id="1413354029">
      <w:bodyDiv w:val="1"/>
      <w:marLeft w:val="0"/>
      <w:marRight w:val="0"/>
      <w:marTop w:val="0"/>
      <w:marBottom w:val="0"/>
      <w:divBdr>
        <w:top w:val="none" w:sz="0" w:space="0" w:color="auto"/>
        <w:left w:val="none" w:sz="0" w:space="0" w:color="auto"/>
        <w:bottom w:val="none" w:sz="0" w:space="0" w:color="auto"/>
        <w:right w:val="none" w:sz="0" w:space="0" w:color="auto"/>
      </w:divBdr>
    </w:div>
    <w:div w:id="1415391912">
      <w:bodyDiv w:val="1"/>
      <w:marLeft w:val="0"/>
      <w:marRight w:val="0"/>
      <w:marTop w:val="0"/>
      <w:marBottom w:val="0"/>
      <w:divBdr>
        <w:top w:val="none" w:sz="0" w:space="0" w:color="auto"/>
        <w:left w:val="none" w:sz="0" w:space="0" w:color="auto"/>
        <w:bottom w:val="none" w:sz="0" w:space="0" w:color="auto"/>
        <w:right w:val="none" w:sz="0" w:space="0" w:color="auto"/>
      </w:divBdr>
    </w:div>
    <w:div w:id="1440830679">
      <w:bodyDiv w:val="1"/>
      <w:marLeft w:val="0"/>
      <w:marRight w:val="0"/>
      <w:marTop w:val="0"/>
      <w:marBottom w:val="0"/>
      <w:divBdr>
        <w:top w:val="none" w:sz="0" w:space="0" w:color="auto"/>
        <w:left w:val="none" w:sz="0" w:space="0" w:color="auto"/>
        <w:bottom w:val="none" w:sz="0" w:space="0" w:color="auto"/>
        <w:right w:val="none" w:sz="0" w:space="0" w:color="auto"/>
      </w:divBdr>
    </w:div>
    <w:div w:id="1443306518">
      <w:bodyDiv w:val="1"/>
      <w:marLeft w:val="0"/>
      <w:marRight w:val="0"/>
      <w:marTop w:val="0"/>
      <w:marBottom w:val="0"/>
      <w:divBdr>
        <w:top w:val="none" w:sz="0" w:space="0" w:color="auto"/>
        <w:left w:val="none" w:sz="0" w:space="0" w:color="auto"/>
        <w:bottom w:val="none" w:sz="0" w:space="0" w:color="auto"/>
        <w:right w:val="none" w:sz="0" w:space="0" w:color="auto"/>
      </w:divBdr>
    </w:div>
    <w:div w:id="1477798122">
      <w:bodyDiv w:val="1"/>
      <w:marLeft w:val="0"/>
      <w:marRight w:val="0"/>
      <w:marTop w:val="0"/>
      <w:marBottom w:val="0"/>
      <w:divBdr>
        <w:top w:val="none" w:sz="0" w:space="0" w:color="auto"/>
        <w:left w:val="none" w:sz="0" w:space="0" w:color="auto"/>
        <w:bottom w:val="none" w:sz="0" w:space="0" w:color="auto"/>
        <w:right w:val="none" w:sz="0" w:space="0" w:color="auto"/>
      </w:divBdr>
    </w:div>
    <w:div w:id="1496070509">
      <w:bodyDiv w:val="1"/>
      <w:marLeft w:val="0"/>
      <w:marRight w:val="0"/>
      <w:marTop w:val="0"/>
      <w:marBottom w:val="0"/>
      <w:divBdr>
        <w:top w:val="none" w:sz="0" w:space="0" w:color="auto"/>
        <w:left w:val="none" w:sz="0" w:space="0" w:color="auto"/>
        <w:bottom w:val="none" w:sz="0" w:space="0" w:color="auto"/>
        <w:right w:val="none" w:sz="0" w:space="0" w:color="auto"/>
      </w:divBdr>
      <w:divsChild>
        <w:div w:id="948390514">
          <w:marLeft w:val="0"/>
          <w:marRight w:val="0"/>
          <w:marTop w:val="0"/>
          <w:marBottom w:val="101"/>
          <w:divBdr>
            <w:top w:val="none" w:sz="0" w:space="0" w:color="auto"/>
            <w:left w:val="none" w:sz="0" w:space="0" w:color="auto"/>
            <w:bottom w:val="none" w:sz="0" w:space="0" w:color="auto"/>
            <w:right w:val="none" w:sz="0" w:space="0" w:color="auto"/>
          </w:divBdr>
        </w:div>
        <w:div w:id="199438866">
          <w:marLeft w:val="864"/>
          <w:marRight w:val="0"/>
          <w:marTop w:val="0"/>
          <w:marBottom w:val="101"/>
          <w:divBdr>
            <w:top w:val="none" w:sz="0" w:space="0" w:color="auto"/>
            <w:left w:val="none" w:sz="0" w:space="0" w:color="auto"/>
            <w:bottom w:val="none" w:sz="0" w:space="0" w:color="auto"/>
            <w:right w:val="none" w:sz="0" w:space="0" w:color="auto"/>
          </w:divBdr>
        </w:div>
        <w:div w:id="57900054">
          <w:marLeft w:val="864"/>
          <w:marRight w:val="0"/>
          <w:marTop w:val="0"/>
          <w:marBottom w:val="101"/>
          <w:divBdr>
            <w:top w:val="none" w:sz="0" w:space="0" w:color="auto"/>
            <w:left w:val="none" w:sz="0" w:space="0" w:color="auto"/>
            <w:bottom w:val="none" w:sz="0" w:space="0" w:color="auto"/>
            <w:right w:val="none" w:sz="0" w:space="0" w:color="auto"/>
          </w:divBdr>
        </w:div>
        <w:div w:id="168453565">
          <w:marLeft w:val="864"/>
          <w:marRight w:val="0"/>
          <w:marTop w:val="0"/>
          <w:marBottom w:val="101"/>
          <w:divBdr>
            <w:top w:val="none" w:sz="0" w:space="0" w:color="auto"/>
            <w:left w:val="none" w:sz="0" w:space="0" w:color="auto"/>
            <w:bottom w:val="none" w:sz="0" w:space="0" w:color="auto"/>
            <w:right w:val="none" w:sz="0" w:space="0" w:color="auto"/>
          </w:divBdr>
        </w:div>
        <w:div w:id="728651224">
          <w:marLeft w:val="864"/>
          <w:marRight w:val="0"/>
          <w:marTop w:val="0"/>
          <w:marBottom w:val="101"/>
          <w:divBdr>
            <w:top w:val="none" w:sz="0" w:space="0" w:color="auto"/>
            <w:left w:val="none" w:sz="0" w:space="0" w:color="auto"/>
            <w:bottom w:val="none" w:sz="0" w:space="0" w:color="auto"/>
            <w:right w:val="none" w:sz="0" w:space="0" w:color="auto"/>
          </w:divBdr>
        </w:div>
      </w:divsChild>
    </w:div>
    <w:div w:id="1563449153">
      <w:bodyDiv w:val="1"/>
      <w:marLeft w:val="0"/>
      <w:marRight w:val="0"/>
      <w:marTop w:val="0"/>
      <w:marBottom w:val="0"/>
      <w:divBdr>
        <w:top w:val="none" w:sz="0" w:space="0" w:color="auto"/>
        <w:left w:val="none" w:sz="0" w:space="0" w:color="auto"/>
        <w:bottom w:val="none" w:sz="0" w:space="0" w:color="auto"/>
        <w:right w:val="none" w:sz="0" w:space="0" w:color="auto"/>
      </w:divBdr>
    </w:div>
    <w:div w:id="1607154074">
      <w:bodyDiv w:val="1"/>
      <w:marLeft w:val="0"/>
      <w:marRight w:val="0"/>
      <w:marTop w:val="0"/>
      <w:marBottom w:val="0"/>
      <w:divBdr>
        <w:top w:val="none" w:sz="0" w:space="0" w:color="auto"/>
        <w:left w:val="none" w:sz="0" w:space="0" w:color="auto"/>
        <w:bottom w:val="none" w:sz="0" w:space="0" w:color="auto"/>
        <w:right w:val="none" w:sz="0" w:space="0" w:color="auto"/>
      </w:divBdr>
    </w:div>
    <w:div w:id="1618175211">
      <w:bodyDiv w:val="1"/>
      <w:marLeft w:val="0"/>
      <w:marRight w:val="0"/>
      <w:marTop w:val="0"/>
      <w:marBottom w:val="0"/>
      <w:divBdr>
        <w:top w:val="none" w:sz="0" w:space="0" w:color="auto"/>
        <w:left w:val="none" w:sz="0" w:space="0" w:color="auto"/>
        <w:bottom w:val="none" w:sz="0" w:space="0" w:color="auto"/>
        <w:right w:val="none" w:sz="0" w:space="0" w:color="auto"/>
      </w:divBdr>
    </w:div>
    <w:div w:id="1723749495">
      <w:bodyDiv w:val="1"/>
      <w:marLeft w:val="0"/>
      <w:marRight w:val="0"/>
      <w:marTop w:val="0"/>
      <w:marBottom w:val="0"/>
      <w:divBdr>
        <w:top w:val="none" w:sz="0" w:space="0" w:color="auto"/>
        <w:left w:val="none" w:sz="0" w:space="0" w:color="auto"/>
        <w:bottom w:val="none" w:sz="0" w:space="0" w:color="auto"/>
        <w:right w:val="none" w:sz="0" w:space="0" w:color="auto"/>
      </w:divBdr>
    </w:div>
    <w:div w:id="1933468312">
      <w:bodyDiv w:val="1"/>
      <w:marLeft w:val="0"/>
      <w:marRight w:val="0"/>
      <w:marTop w:val="0"/>
      <w:marBottom w:val="0"/>
      <w:divBdr>
        <w:top w:val="none" w:sz="0" w:space="0" w:color="auto"/>
        <w:left w:val="none" w:sz="0" w:space="0" w:color="auto"/>
        <w:bottom w:val="none" w:sz="0" w:space="0" w:color="auto"/>
        <w:right w:val="none" w:sz="0" w:space="0" w:color="auto"/>
      </w:divBdr>
    </w:div>
    <w:div w:id="1991783355">
      <w:bodyDiv w:val="1"/>
      <w:marLeft w:val="0"/>
      <w:marRight w:val="0"/>
      <w:marTop w:val="0"/>
      <w:marBottom w:val="0"/>
      <w:divBdr>
        <w:top w:val="none" w:sz="0" w:space="0" w:color="auto"/>
        <w:left w:val="none" w:sz="0" w:space="0" w:color="auto"/>
        <w:bottom w:val="none" w:sz="0" w:space="0" w:color="auto"/>
        <w:right w:val="none" w:sz="0" w:space="0" w:color="auto"/>
      </w:divBdr>
    </w:div>
    <w:div w:id="1994215775">
      <w:bodyDiv w:val="1"/>
      <w:marLeft w:val="0"/>
      <w:marRight w:val="0"/>
      <w:marTop w:val="0"/>
      <w:marBottom w:val="0"/>
      <w:divBdr>
        <w:top w:val="none" w:sz="0" w:space="0" w:color="auto"/>
        <w:left w:val="none" w:sz="0" w:space="0" w:color="auto"/>
        <w:bottom w:val="none" w:sz="0" w:space="0" w:color="auto"/>
        <w:right w:val="none" w:sz="0" w:space="0" w:color="auto"/>
      </w:divBdr>
    </w:div>
    <w:div w:id="2043821905">
      <w:bodyDiv w:val="1"/>
      <w:marLeft w:val="0"/>
      <w:marRight w:val="0"/>
      <w:marTop w:val="0"/>
      <w:marBottom w:val="0"/>
      <w:divBdr>
        <w:top w:val="none" w:sz="0" w:space="0" w:color="auto"/>
        <w:left w:val="none" w:sz="0" w:space="0" w:color="auto"/>
        <w:bottom w:val="none" w:sz="0" w:space="0" w:color="auto"/>
        <w:right w:val="none" w:sz="0" w:space="0" w:color="auto"/>
      </w:divBdr>
    </w:div>
    <w:div w:id="2045400488">
      <w:bodyDiv w:val="1"/>
      <w:marLeft w:val="0"/>
      <w:marRight w:val="0"/>
      <w:marTop w:val="0"/>
      <w:marBottom w:val="0"/>
      <w:divBdr>
        <w:top w:val="none" w:sz="0" w:space="0" w:color="auto"/>
        <w:left w:val="none" w:sz="0" w:space="0" w:color="auto"/>
        <w:bottom w:val="none" w:sz="0" w:space="0" w:color="auto"/>
        <w:right w:val="none" w:sz="0" w:space="0" w:color="auto"/>
      </w:divBdr>
    </w:div>
    <w:div w:id="2124492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aimex.org.mx/saimex/solicitud/downloadAttach/1198119.page" TargetMode="External"/><Relationship Id="rId21" Type="http://schemas.openxmlformats.org/officeDocument/2006/relationships/image" Target="media/image1.png"/><Relationship Id="rId42" Type="http://schemas.openxmlformats.org/officeDocument/2006/relationships/hyperlink" Target="https://sfpya.edomexico.gob.mx/participaciones/" TargetMode="External"/><Relationship Id="rId47" Type="http://schemas.openxmlformats.org/officeDocument/2006/relationships/hyperlink" Target="https://sfpya.edomexico.gob.mx/participaciones/" TargetMode="External"/><Relationship Id="rId63" Type="http://schemas.openxmlformats.org/officeDocument/2006/relationships/image" Target="media/image15.png"/><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aimex.org.mx/saimex/solicitud/downloadAttach/1222841.page" TargetMode="External"/><Relationship Id="rId29" Type="http://schemas.openxmlformats.org/officeDocument/2006/relationships/hyperlink" Target="https://datos.edomex.gob.mx/dataset/deuda-publica-del-gobierno-del-estado-de-m%C3%A9xico/resource/b168362cf9b8-454b-9531-0ec8243cc593" TargetMode="External"/><Relationship Id="rId11" Type="http://schemas.openxmlformats.org/officeDocument/2006/relationships/hyperlink" Target="https://www.saimex.org.mx/saimex/solicitud/downloadAttach/1198126.page" TargetMode="External"/><Relationship Id="rId24" Type="http://schemas.openxmlformats.org/officeDocument/2006/relationships/hyperlink" Target="https://sfpya.edomexico.gob.mx/participaciones/" TargetMode="External"/><Relationship Id="rId32" Type="http://schemas.openxmlformats.org/officeDocument/2006/relationships/hyperlink" Target="https://www.saimex.org.mx/saimex/solicitud/downloadAttach/1198137.page" TargetMode="External"/><Relationship Id="rId37" Type="http://schemas.openxmlformats.org/officeDocument/2006/relationships/hyperlink" Target="https://www.saimex.org.mx/saimex/solicitud/downloadAttach/1222841.page" TargetMode="External"/><Relationship Id="rId40" Type="http://schemas.openxmlformats.org/officeDocument/2006/relationships/hyperlink" Target="https://www.saimex.org.mx/saimex/solicitud/downloadAttach/1222843.page" TargetMode="External"/><Relationship Id="rId45" Type="http://schemas.openxmlformats.org/officeDocument/2006/relationships/hyperlink" Target="https://pilotodgr.edomex.gob.mx/participaciones/" TargetMode="External"/><Relationship Id="rId53" Type="http://schemas.openxmlformats.org/officeDocument/2006/relationships/image" Target="media/image10.png"/><Relationship Id="rId58" Type="http://schemas.openxmlformats.org/officeDocument/2006/relationships/hyperlink" Target="https://sfpya.edomexico.gob.mx/participaciones/consultaConstancia.jsp"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14.png"/><Relationship Id="rId19" Type="http://schemas.openxmlformats.org/officeDocument/2006/relationships/hyperlink" Target="https://www.saimex.org.mx/saimex/solicitud/downloadAttach/1222844.page" TargetMode="External"/><Relationship Id="rId14" Type="http://schemas.openxmlformats.org/officeDocument/2006/relationships/hyperlink" Target="https://www.saimex.org.mx/saimex/solicitud/downloadAttach/1222839.page" TargetMode="External"/><Relationship Id="rId22" Type="http://schemas.openxmlformats.org/officeDocument/2006/relationships/image" Target="media/image2.png"/><Relationship Id="rId27" Type="http://schemas.openxmlformats.org/officeDocument/2006/relationships/image" Target="media/image4.png"/><Relationship Id="rId30" Type="http://schemas.openxmlformats.org/officeDocument/2006/relationships/hyperlink" Target="https://www.saimex.org.mx/saimex/solicitud/downloadAttach/1198126.page" TargetMode="External"/><Relationship Id="rId35" Type="http://schemas.openxmlformats.org/officeDocument/2006/relationships/hyperlink" Target="https://www.saimex.org.mx/saimex/solicitud/downloadAttach/1222839.page" TargetMode="External"/><Relationship Id="rId43" Type="http://schemas.openxmlformats.org/officeDocument/2006/relationships/hyperlink" Target="https://sfpya.edomexico.gob.mx/participaciones/" TargetMode="External"/><Relationship Id="rId48" Type="http://schemas.openxmlformats.org/officeDocument/2006/relationships/hyperlink" Target="https://sfpya.edomexico.gob.mx/participaciones/" TargetMode="External"/><Relationship Id="rId56" Type="http://schemas.openxmlformats.org/officeDocument/2006/relationships/hyperlink" Target="https://transparenciafiscal.edomex.gob.mx/sites/transparenciafiscal.edomex.gob.mx/files/files/pdf/marco-programatico-presupuestal/gaceta-reglas-part-2021.pdf" TargetMode="External"/><Relationship Id="rId64" Type="http://schemas.openxmlformats.org/officeDocument/2006/relationships/image" Target="media/image16.png"/><Relationship Id="rId69" Type="http://schemas.openxmlformats.org/officeDocument/2006/relationships/header" Target="header3.xml"/><Relationship Id="rId8" Type="http://schemas.openxmlformats.org/officeDocument/2006/relationships/hyperlink" Target="https://www.saimex.org.mx/saimex/solicitud/downloadAttach/1198116.page" TargetMode="External"/><Relationship Id="rId51" Type="http://schemas.openxmlformats.org/officeDocument/2006/relationships/hyperlink" Target="https://www.ppef.hacienda.gob.mx/es/PPEF2021/tomoI-III" TargetMode="External"/><Relationship Id="rId3" Type="http://schemas.openxmlformats.org/officeDocument/2006/relationships/styles" Target="styles.xml"/><Relationship Id="rId12" Type="http://schemas.openxmlformats.org/officeDocument/2006/relationships/hyperlink" Target="https://www.saimex.org.mx/saimex/solicitud/downloadAttach/1198137.page" TargetMode="External"/><Relationship Id="rId17" Type="http://schemas.openxmlformats.org/officeDocument/2006/relationships/hyperlink" Target="https://www.saimex.org.mx/saimex/solicitud/downloadAttach/1222842.page" TargetMode="External"/><Relationship Id="rId25" Type="http://schemas.openxmlformats.org/officeDocument/2006/relationships/image" Target="media/image3.png"/><Relationship Id="rId33" Type="http://schemas.openxmlformats.org/officeDocument/2006/relationships/image" Target="media/image7.png"/><Relationship Id="rId38" Type="http://schemas.openxmlformats.org/officeDocument/2006/relationships/hyperlink" Target="https://www.saimex.org.mx/saimex/solicitud/downloadAttach/1222842.page" TargetMode="External"/><Relationship Id="rId46" Type="http://schemas.openxmlformats.org/officeDocument/2006/relationships/hyperlink" Target="https://datos.edomex.gob.mx/dataset/deuda-publica-del-gobierno-del-estado-de-mexico/resource/b168362cf9b8-454b-9531-0ec8243cc593" TargetMode="External"/><Relationship Id="rId59" Type="http://schemas.openxmlformats.org/officeDocument/2006/relationships/image" Target="media/image13.png"/><Relationship Id="rId67" Type="http://schemas.openxmlformats.org/officeDocument/2006/relationships/header" Target="header2.xml"/><Relationship Id="rId20" Type="http://schemas.openxmlformats.org/officeDocument/2006/relationships/hyperlink" Target="https://www.saimex.org.mx/saimex/solicitud/downloadAttach/1198116.page" TargetMode="External"/><Relationship Id="rId41" Type="http://schemas.openxmlformats.org/officeDocument/2006/relationships/hyperlink" Target="https://www.saimex.org.mx/saimex/solicitud/downloadAttach/1222844.page" TargetMode="External"/><Relationship Id="rId54" Type="http://schemas.openxmlformats.org/officeDocument/2006/relationships/image" Target="media/image11.png"/><Relationship Id="rId62" Type="http://schemas.openxmlformats.org/officeDocument/2006/relationships/hyperlink" Target="https://www.fonacot.gob.mx/TransparenciaRendicionCuentas/Documents/Normatividad%20en%20Transparencia/Padron_Sujetos_Obligados%20INAI.pdf"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aimex.org.mx/saimex/solicitud/downloadAttach/1222840.page" TargetMode="External"/><Relationship Id="rId23" Type="http://schemas.openxmlformats.org/officeDocument/2006/relationships/hyperlink" Target="https://www.saimex.org.mx/saimex/solicitud/downloadAttach/1198118.page" TargetMode="External"/><Relationship Id="rId28" Type="http://schemas.openxmlformats.org/officeDocument/2006/relationships/image" Target="media/image5.png"/><Relationship Id="rId36" Type="http://schemas.openxmlformats.org/officeDocument/2006/relationships/hyperlink" Target="https://www.saimex.org.mx/saimex/solicitud/downloadAttach/1222840.page" TargetMode="External"/><Relationship Id="rId49" Type="http://schemas.openxmlformats.org/officeDocument/2006/relationships/hyperlink" Target="https://sfpya.edomexico.gob.mx/participaciones/" TargetMode="External"/><Relationship Id="rId57" Type="http://schemas.openxmlformats.org/officeDocument/2006/relationships/image" Target="media/image12.png"/><Relationship Id="rId10" Type="http://schemas.openxmlformats.org/officeDocument/2006/relationships/hyperlink" Target="https://www.saimex.org.mx/saimex/solicitud/downloadAttach/1198119.page" TargetMode="External"/><Relationship Id="rId31" Type="http://schemas.openxmlformats.org/officeDocument/2006/relationships/image" Target="media/image6.png"/><Relationship Id="rId44" Type="http://schemas.openxmlformats.org/officeDocument/2006/relationships/hyperlink" Target="https://sfpya.edomexico.gob.mx/participaciones/consultaConstancia.jsp" TargetMode="External"/><Relationship Id="rId52" Type="http://schemas.openxmlformats.org/officeDocument/2006/relationships/image" Target="media/image9.png"/><Relationship Id="rId60" Type="http://schemas.openxmlformats.org/officeDocument/2006/relationships/hyperlink" Target="https://datos.edomex.gob.mx/dataset/deuda-publica-del-gobierno-del-estado-de-mexico/resource/b168362cf9b8-454b-9531-0ec8243cc593"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aimex.org.mx/saimex/solicitud/downloadAttach/1198118.page" TargetMode="External"/><Relationship Id="rId13" Type="http://schemas.openxmlformats.org/officeDocument/2006/relationships/hyperlink" Target="https://www.saimex.org.mx/saimex/solicitud/downloadAttach/1198209.page" TargetMode="External"/><Relationship Id="rId18" Type="http://schemas.openxmlformats.org/officeDocument/2006/relationships/hyperlink" Target="https://www.saimex.org.mx/saimex/solicitud/downloadAttach/1222843.page" TargetMode="External"/><Relationship Id="rId39" Type="http://schemas.openxmlformats.org/officeDocument/2006/relationships/image" Target="media/image8.png"/><Relationship Id="rId34" Type="http://schemas.openxmlformats.org/officeDocument/2006/relationships/hyperlink" Target="https://www.saimex.org.mx/saimex/solicitud/downloadAttach/1198209.page" TargetMode="External"/><Relationship Id="rId50" Type="http://schemas.openxmlformats.org/officeDocument/2006/relationships/hyperlink" Target="https://www.cefp.gob.mx/publicaciones/documento/2014/noviembre/cefp0202014.pdf" TargetMode="External"/><Relationship Id="rId55" Type="http://schemas.openxmlformats.org/officeDocument/2006/relationships/hyperlink" Target="https://transparenciafiscal.edomex.gob.mx/ramo2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_rels/header2.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50449C-B5B4-4410-B184-E0DC4A538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1677</TotalTime>
  <Pages>62</Pages>
  <Words>17368</Words>
  <Characters>95526</Characters>
  <Application>Microsoft Office Word</Application>
  <DocSecurity>0</DocSecurity>
  <Lines>796</Lines>
  <Paragraphs>225</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112669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 infoem</cp:lastModifiedBy>
  <cp:revision>52</cp:revision>
  <cp:lastPrinted>2021-12-16T23:11:00Z</cp:lastPrinted>
  <dcterms:created xsi:type="dcterms:W3CDTF">2021-11-11T17:30:00Z</dcterms:created>
  <dcterms:modified xsi:type="dcterms:W3CDTF">2022-02-02T17:19:00Z</dcterms:modified>
</cp:coreProperties>
</file>