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F7EA" w14:textId="77777777" w:rsidR="0002713F" w:rsidRDefault="00952245">
      <w:pPr>
        <w:spacing w:before="240" w:after="240" w:line="360" w:lineRule="auto"/>
        <w:jc w:val="both"/>
      </w:pPr>
      <w:bookmarkStart w:id="0" w:name="_heading=h.tyjcwt" w:colFirst="0" w:colLast="0"/>
      <w:bookmarkStart w:id="1" w:name="_GoBack"/>
      <w:bookmarkEnd w:id="0"/>
      <w:bookmarkEnd w:id="1"/>
      <w:r>
        <w:t xml:space="preserve">Resolución del Pleno del Instituto de Transparencia, Acceso a la Información Pública y Protección de Datos Personales del Estado de México y Municipios, con domicilio en Metepec, Estado de México, a veinticuatro de marzo de dos mil veintidós. </w:t>
      </w:r>
    </w:p>
    <w:p w14:paraId="452BB3EF" w14:textId="77777777" w:rsidR="0002713F" w:rsidRDefault="00952245">
      <w:pPr>
        <w:spacing w:before="240" w:after="240" w:line="360" w:lineRule="auto"/>
        <w:jc w:val="both"/>
      </w:pPr>
      <w:r>
        <w:rPr>
          <w:b/>
        </w:rPr>
        <w:t>VISTO</w:t>
      </w:r>
      <w:r>
        <w:t xml:space="preserve"> el expediente formado con motivo del recurso de revisión </w:t>
      </w:r>
      <w:r>
        <w:rPr>
          <w:b/>
        </w:rPr>
        <w:t>00669/INFOEM/IP/RR/2022</w:t>
      </w:r>
      <w:r>
        <w:t>, interpuesto por una persona de manera anónima, en lo sucesivo</w:t>
      </w:r>
      <w:r>
        <w:rPr>
          <w:b/>
        </w:rPr>
        <w:t xml:space="preserve"> </w:t>
      </w:r>
      <w:r>
        <w:t xml:space="preserve">la parte </w:t>
      </w:r>
      <w:r>
        <w:rPr>
          <w:b/>
        </w:rPr>
        <w:t>Recurrente,</w:t>
      </w:r>
      <w:r>
        <w:t xml:space="preserve"> en contra de la respuesta a su solicitud por parte del </w:t>
      </w:r>
      <w:r>
        <w:rPr>
          <w:b/>
        </w:rPr>
        <w:t xml:space="preserve">Ayuntamiento de Tepetlaoxtoc, </w:t>
      </w:r>
      <w:r>
        <w:t xml:space="preserve">en lo sucesivo el </w:t>
      </w:r>
      <w:r>
        <w:rPr>
          <w:b/>
        </w:rPr>
        <w:t xml:space="preserve">Sujeto Obligado, </w:t>
      </w:r>
      <w:r>
        <w:t xml:space="preserve">se procede a dictar la presente resolución con base en los siguientes: </w:t>
      </w:r>
    </w:p>
    <w:p w14:paraId="38A2AF31" w14:textId="77777777" w:rsidR="0002713F" w:rsidRDefault="00952245">
      <w:pPr>
        <w:spacing w:before="240" w:after="240" w:line="360" w:lineRule="auto"/>
        <w:jc w:val="center"/>
        <w:rPr>
          <w:b/>
          <w:sz w:val="28"/>
          <w:szCs w:val="28"/>
        </w:rPr>
      </w:pPr>
      <w:r>
        <w:rPr>
          <w:b/>
        </w:rPr>
        <w:t>I. A N T E C E D E N T E S</w:t>
      </w:r>
    </w:p>
    <w:p w14:paraId="5427BCB2" w14:textId="77777777" w:rsidR="0002713F" w:rsidRDefault="00952245">
      <w:pPr>
        <w:spacing w:before="240" w:after="240" w:line="360" w:lineRule="auto"/>
        <w:jc w:val="both"/>
        <w:rPr>
          <w:b/>
        </w:rPr>
      </w:pPr>
      <w:r>
        <w:rPr>
          <w:b/>
        </w:rPr>
        <w:t>1. Solicitud de acceso a la información.</w:t>
      </w:r>
      <w:r>
        <w:t xml:space="preserve"> Con fecha </w:t>
      </w:r>
      <w:r>
        <w:rPr>
          <w:b/>
        </w:rPr>
        <w:t>diez de enero de dos mil veintidós,</w:t>
      </w:r>
      <w:r>
        <w:t xml:space="preserve"> la parte </w:t>
      </w:r>
      <w:r>
        <w:rPr>
          <w:b/>
        </w:rPr>
        <w:t xml:space="preserve">Recurrente </w:t>
      </w:r>
      <w:r>
        <w:t xml:space="preserve">presentó, través del Sistema de Acceso a la Información Mexiquense, en lo subsecuente el </w:t>
      </w:r>
      <w:r>
        <w:rPr>
          <w:b/>
        </w:rPr>
        <w:t>SAIMEX,</w:t>
      </w:r>
      <w:r>
        <w:t xml:space="preserve"> ante el </w:t>
      </w:r>
      <w:r>
        <w:rPr>
          <w:b/>
        </w:rPr>
        <w:t>Sujeto Obligado</w:t>
      </w:r>
      <w:r>
        <w:t>, la solicitud de acceso a la información pública, a la que se le asignó el número</w:t>
      </w:r>
      <w:r>
        <w:rPr>
          <w:b/>
        </w:rPr>
        <w:t xml:space="preserve"> 000012/TEPETLAO/IP/2022, </w:t>
      </w:r>
      <w:r>
        <w:t xml:space="preserve">mediante la cual requirió la información siguiente: </w:t>
      </w:r>
    </w:p>
    <w:p w14:paraId="137EE6F6" w14:textId="77777777" w:rsidR="0002713F" w:rsidRDefault="00952245">
      <w:pPr>
        <w:spacing w:before="240" w:after="240" w:line="360" w:lineRule="auto"/>
        <w:ind w:left="851" w:right="902"/>
        <w:jc w:val="both"/>
        <w:rPr>
          <w:i/>
          <w:sz w:val="22"/>
          <w:szCs w:val="22"/>
        </w:rPr>
      </w:pPr>
      <w:bookmarkStart w:id="2" w:name="_heading=h.gjdgxs" w:colFirst="0" w:colLast="0"/>
      <w:bookmarkEnd w:id="2"/>
      <w:r>
        <w:rPr>
          <w:i/>
          <w:sz w:val="22"/>
          <w:szCs w:val="22"/>
        </w:rPr>
        <w:t>“</w:t>
      </w:r>
      <w:r>
        <w:rPr>
          <w:i/>
          <w:color w:val="000000"/>
          <w:sz w:val="22"/>
          <w:szCs w:val="22"/>
        </w:rPr>
        <w:t>Curriculum vitae del presidente Municipal y experiencia profesional que tiene para ejercer el cargo</w:t>
      </w:r>
      <w:r>
        <w:rPr>
          <w:i/>
          <w:sz w:val="22"/>
          <w:szCs w:val="22"/>
        </w:rPr>
        <w:t>.” (sic)</w:t>
      </w:r>
    </w:p>
    <w:p w14:paraId="066F2D3C" w14:textId="77777777" w:rsidR="0002713F" w:rsidRDefault="00952245">
      <w:pPr>
        <w:spacing w:before="240" w:after="240" w:line="360" w:lineRule="auto"/>
        <w:ind w:right="900"/>
        <w:jc w:val="both"/>
      </w:pPr>
      <w:r>
        <w:t xml:space="preserve">La parte </w:t>
      </w:r>
      <w:r>
        <w:rPr>
          <w:b/>
        </w:rPr>
        <w:t>recurrente</w:t>
      </w:r>
      <w:r>
        <w:t xml:space="preserve"> no adjuntó archivos.</w:t>
      </w:r>
    </w:p>
    <w:p w14:paraId="7226FD4F" w14:textId="77777777" w:rsidR="0002713F" w:rsidRDefault="00952245">
      <w:pPr>
        <w:spacing w:before="240" w:after="240" w:line="360" w:lineRule="auto"/>
        <w:jc w:val="both"/>
      </w:pPr>
      <w:r>
        <w:rPr>
          <w:b/>
        </w:rPr>
        <w:t>Modalidad de Entrega:</w:t>
      </w:r>
      <w:r>
        <w:t xml:space="preserve"> A través de </w:t>
      </w:r>
      <w:r>
        <w:rPr>
          <w:b/>
        </w:rPr>
        <w:t>SAIMEX</w:t>
      </w:r>
      <w:r>
        <w:t>.</w:t>
      </w:r>
    </w:p>
    <w:p w14:paraId="5CD0A779" w14:textId="77777777" w:rsidR="0002713F" w:rsidRDefault="00952245">
      <w:pPr>
        <w:spacing w:before="240" w:after="240" w:line="360" w:lineRule="auto"/>
        <w:jc w:val="both"/>
      </w:pPr>
      <w:bookmarkStart w:id="3" w:name="_heading=h.lnxbz9" w:colFirst="0" w:colLast="0"/>
      <w:bookmarkEnd w:id="3"/>
      <w:r>
        <w:rPr>
          <w:b/>
        </w:rPr>
        <w:lastRenderedPageBreak/>
        <w:t xml:space="preserve">2. Respuesta. </w:t>
      </w:r>
      <w:r>
        <w:t xml:space="preserve">Con fecha </w:t>
      </w:r>
      <w:r>
        <w:rPr>
          <w:b/>
        </w:rPr>
        <w:t xml:space="preserve">ocho de febrero de dos mil veintidós, </w:t>
      </w:r>
      <w:r>
        <w:t xml:space="preserve">el </w:t>
      </w:r>
      <w:r>
        <w:rPr>
          <w:b/>
        </w:rPr>
        <w:t xml:space="preserve">Sujeto Obligado </w:t>
      </w:r>
      <w:r>
        <w:t xml:space="preserve">envió su respuesta a la solicitud de acceso a la información a través de </w:t>
      </w:r>
      <w:r>
        <w:rPr>
          <w:b/>
        </w:rPr>
        <w:t>SAIMEX</w:t>
      </w:r>
      <w:r>
        <w:t xml:space="preserve">, sustancialmente en los términos siguientes: </w:t>
      </w:r>
    </w:p>
    <w:p w14:paraId="4BB5BCD3" w14:textId="77777777" w:rsidR="0002713F" w:rsidRDefault="00952245">
      <w:pPr>
        <w:spacing w:before="240" w:after="240" w:line="276" w:lineRule="auto"/>
        <w:ind w:left="567" w:right="616"/>
        <w:jc w:val="both"/>
      </w:pPr>
      <w:r>
        <w:rPr>
          <w:i/>
          <w:sz w:val="22"/>
          <w:szCs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 (sic)</w:t>
      </w:r>
    </w:p>
    <w:p w14:paraId="1619CBC3" w14:textId="77777777" w:rsidR="0002713F" w:rsidRDefault="00952245">
      <w:pPr>
        <w:spacing w:before="240" w:after="240" w:line="360" w:lineRule="auto"/>
        <w:ind w:right="49"/>
        <w:jc w:val="both"/>
        <w:rPr>
          <w:color w:val="000000"/>
        </w:rPr>
      </w:pPr>
      <w:r>
        <w:t xml:space="preserve">El </w:t>
      </w:r>
      <w:r>
        <w:rPr>
          <w:b/>
        </w:rPr>
        <w:t>Sujeto Obligado</w:t>
      </w:r>
      <w:r>
        <w:t xml:space="preserve"> adjuntó el archivo </w:t>
      </w:r>
      <w:r>
        <w:rPr>
          <w:i/>
        </w:rPr>
        <w:t xml:space="preserve">“RESPUESTA 00012.pdf”, </w:t>
      </w:r>
      <w:r>
        <w:t xml:space="preserve">que consiste en el </w:t>
      </w:r>
      <w:r>
        <w:rPr>
          <w:color w:val="000000"/>
        </w:rPr>
        <w:t xml:space="preserve">Curriculum vitae en el que se describen, los datos </w:t>
      </w:r>
      <w:r>
        <w:t xml:space="preserve">académicos y experiencia laboral del presidente municipal del Municipio de Tepetlaoxtoc, el cual no se inserta al presente por contener datos personales como teléfono particular y correo electrónico particular y edad. </w:t>
      </w:r>
    </w:p>
    <w:p w14:paraId="76AABAE6" w14:textId="77777777" w:rsidR="0002713F" w:rsidRDefault="00952245">
      <w:pPr>
        <w:spacing w:before="240" w:after="240" w:line="360" w:lineRule="auto"/>
        <w:ind w:right="49"/>
        <w:jc w:val="both"/>
      </w:pPr>
      <w:r>
        <w:rPr>
          <w:b/>
        </w:rPr>
        <w:t xml:space="preserve">3. Interposición del recurso de revisión. </w:t>
      </w:r>
      <w:r>
        <w:t xml:space="preserve">Inconforme con los términos de la respuesta emitida por parte del </w:t>
      </w:r>
      <w:r>
        <w:rPr>
          <w:b/>
        </w:rPr>
        <w:t>Sujeto Obligado</w:t>
      </w:r>
      <w:r>
        <w:t xml:space="preserve">, el </w:t>
      </w:r>
      <w:r>
        <w:rPr>
          <w:b/>
        </w:rPr>
        <w:t>diez de febrero de dos mil veintidós,</w:t>
      </w:r>
      <w:r>
        <w:t xml:space="preserve"> la parte </w:t>
      </w:r>
      <w:r>
        <w:rPr>
          <w:b/>
        </w:rPr>
        <w:t>Recurrente</w:t>
      </w:r>
      <w:r>
        <w:t xml:space="preserve"> interpuso el recurso de revisión a través de </w:t>
      </w:r>
      <w:r>
        <w:rPr>
          <w:b/>
        </w:rPr>
        <w:t xml:space="preserve">SAIMEX, </w:t>
      </w:r>
      <w:r>
        <w:t>en donde se manifestó de la siguiente manera:</w:t>
      </w:r>
    </w:p>
    <w:p w14:paraId="0ED0F934" w14:textId="77777777" w:rsidR="0002713F" w:rsidRDefault="00952245">
      <w:pPr>
        <w:tabs>
          <w:tab w:val="left" w:pos="2745"/>
        </w:tabs>
        <w:spacing w:before="240" w:after="240" w:line="360" w:lineRule="auto"/>
        <w:jc w:val="both"/>
        <w:rPr>
          <w:b/>
        </w:rPr>
      </w:pPr>
      <w:bookmarkStart w:id="4" w:name="_heading=h.2s8eyo1" w:colFirst="0" w:colLast="0"/>
      <w:bookmarkEnd w:id="4"/>
      <w:r>
        <w:rPr>
          <w:b/>
        </w:rPr>
        <w:t xml:space="preserve">Acto impugnado: </w:t>
      </w:r>
      <w:r>
        <w:rPr>
          <w:b/>
        </w:rPr>
        <w:tab/>
      </w:r>
    </w:p>
    <w:p w14:paraId="01F4E5E2" w14:textId="77777777" w:rsidR="0002713F" w:rsidRDefault="0002713F">
      <w:pPr>
        <w:spacing w:before="240" w:after="240" w:line="360" w:lineRule="auto"/>
        <w:ind w:left="851" w:right="900"/>
        <w:jc w:val="both"/>
        <w:rPr>
          <w:i/>
          <w:sz w:val="2"/>
          <w:szCs w:val="2"/>
        </w:rPr>
      </w:pPr>
    </w:p>
    <w:p w14:paraId="2B23C61A" w14:textId="77777777" w:rsidR="0002713F" w:rsidRDefault="00952245">
      <w:pPr>
        <w:spacing w:before="240" w:after="240" w:line="360" w:lineRule="auto"/>
        <w:ind w:left="851" w:right="900"/>
        <w:jc w:val="both"/>
        <w:rPr>
          <w:i/>
          <w:sz w:val="22"/>
          <w:szCs w:val="22"/>
        </w:rPr>
      </w:pPr>
      <w:r>
        <w:rPr>
          <w:i/>
          <w:sz w:val="22"/>
          <w:szCs w:val="22"/>
        </w:rPr>
        <w:t>“</w:t>
      </w:r>
      <w:r>
        <w:rPr>
          <w:i/>
          <w:color w:val="000000"/>
          <w:sz w:val="22"/>
          <w:szCs w:val="22"/>
        </w:rPr>
        <w:t>informacion incompleta</w:t>
      </w:r>
      <w:r>
        <w:rPr>
          <w:i/>
          <w:sz w:val="22"/>
          <w:szCs w:val="22"/>
        </w:rPr>
        <w:t>.” (sic)</w:t>
      </w:r>
    </w:p>
    <w:p w14:paraId="1673935D" w14:textId="77777777" w:rsidR="0002713F" w:rsidRDefault="0002713F">
      <w:pPr>
        <w:spacing w:before="240" w:after="240" w:line="360" w:lineRule="auto"/>
        <w:jc w:val="both"/>
        <w:rPr>
          <w:sz w:val="2"/>
          <w:szCs w:val="2"/>
        </w:rPr>
      </w:pPr>
    </w:p>
    <w:p w14:paraId="6AE91EF0" w14:textId="77777777" w:rsidR="0002713F" w:rsidRDefault="00952245">
      <w:pPr>
        <w:spacing w:before="240" w:after="240" w:line="360" w:lineRule="auto"/>
        <w:jc w:val="both"/>
      </w:pPr>
      <w:r>
        <w:rPr>
          <w:b/>
        </w:rPr>
        <w:t>Y Razones o motivos de inconformidad</w:t>
      </w:r>
      <w:r>
        <w:t>:</w:t>
      </w:r>
    </w:p>
    <w:p w14:paraId="0C54DA52" w14:textId="77777777" w:rsidR="0002713F" w:rsidRDefault="0002713F">
      <w:pPr>
        <w:spacing w:before="240" w:after="240" w:line="360" w:lineRule="auto"/>
        <w:jc w:val="both"/>
        <w:rPr>
          <w:sz w:val="2"/>
          <w:szCs w:val="2"/>
        </w:rPr>
      </w:pPr>
    </w:p>
    <w:p w14:paraId="2E483C74" w14:textId="77777777" w:rsidR="0002713F" w:rsidRDefault="00952245">
      <w:pPr>
        <w:spacing w:before="240" w:after="240" w:line="360" w:lineRule="auto"/>
        <w:ind w:left="851" w:right="900"/>
        <w:jc w:val="both"/>
        <w:rPr>
          <w:i/>
          <w:sz w:val="22"/>
          <w:szCs w:val="22"/>
        </w:rPr>
      </w:pPr>
      <w:bookmarkStart w:id="5" w:name="_heading=h.30j0zll" w:colFirst="0" w:colLast="0"/>
      <w:bookmarkEnd w:id="5"/>
      <w:r>
        <w:rPr>
          <w:sz w:val="22"/>
          <w:szCs w:val="22"/>
        </w:rPr>
        <w:t xml:space="preserve"> </w:t>
      </w:r>
      <w:r>
        <w:rPr>
          <w:i/>
          <w:sz w:val="22"/>
          <w:szCs w:val="22"/>
        </w:rPr>
        <w:t>“</w:t>
      </w:r>
      <w:r>
        <w:rPr>
          <w:i/>
          <w:color w:val="000000"/>
          <w:sz w:val="22"/>
          <w:szCs w:val="22"/>
        </w:rPr>
        <w:t>informacion incompleta</w:t>
      </w:r>
      <w:r>
        <w:rPr>
          <w:i/>
          <w:sz w:val="22"/>
          <w:szCs w:val="22"/>
        </w:rPr>
        <w:t>.” (sic)</w:t>
      </w:r>
    </w:p>
    <w:p w14:paraId="2443FE9E" w14:textId="77777777" w:rsidR="0002713F" w:rsidRDefault="00952245">
      <w:pPr>
        <w:spacing w:before="240" w:after="240" w:line="360" w:lineRule="auto"/>
        <w:ind w:right="51"/>
        <w:jc w:val="both"/>
      </w:pPr>
      <w:r>
        <w:rPr>
          <w:b/>
        </w:rPr>
        <w:lastRenderedPageBreak/>
        <w:t xml:space="preserve">Anexos: </w:t>
      </w:r>
      <w:r>
        <w:t xml:space="preserve">La parte </w:t>
      </w:r>
      <w:r>
        <w:rPr>
          <w:b/>
        </w:rPr>
        <w:t>Recurrente</w:t>
      </w:r>
      <w:r>
        <w:t xml:space="preserve"> no adjuntó archivos.</w:t>
      </w:r>
    </w:p>
    <w:p w14:paraId="5F8BAA05" w14:textId="77777777" w:rsidR="0002713F" w:rsidRDefault="00952245">
      <w:pPr>
        <w:spacing w:before="240" w:after="240" w:line="360" w:lineRule="auto"/>
        <w:ind w:right="51"/>
        <w:jc w:val="both"/>
      </w:pPr>
      <w:r>
        <w:rPr>
          <w:b/>
        </w:rPr>
        <w:t>4. Turno.</w:t>
      </w:r>
      <w:r>
        <w:rPr>
          <w:b/>
          <w:sz w:val="28"/>
          <w:szCs w:val="28"/>
        </w:rPr>
        <w:t xml:space="preserve"> </w:t>
      </w:r>
      <w: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b/>
        </w:rPr>
        <w:t xml:space="preserve">Guadalupe Ramírez Peña, </w:t>
      </w:r>
      <w:r>
        <w:t>a efecto de que analizara sobre su admisión o su desechamiento.</w:t>
      </w:r>
    </w:p>
    <w:p w14:paraId="0C066B9E" w14:textId="77777777" w:rsidR="0002713F" w:rsidRDefault="00952245">
      <w:pPr>
        <w:spacing w:before="240" w:after="240" w:line="360" w:lineRule="auto"/>
        <w:jc w:val="both"/>
        <w:rPr>
          <w:b/>
        </w:rPr>
      </w:pPr>
      <w:r>
        <w:rPr>
          <w:b/>
        </w:rPr>
        <w:t>5. Admisión del Recurso de revisión.</w:t>
      </w:r>
      <w:r>
        <w:rPr>
          <w:sz w:val="28"/>
          <w:szCs w:val="28"/>
        </w:rPr>
        <w:t xml:space="preserve"> </w:t>
      </w:r>
      <w:r>
        <w:t>Con fecha</w:t>
      </w:r>
      <w:r>
        <w:rPr>
          <w:b/>
        </w:rPr>
        <w:t xml:space="preserve"> quince de febrero de dos mil veintidós, </w:t>
      </w:r>
      <w: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b/>
        </w:rPr>
        <w:t xml:space="preserve">Sujeto Obligado </w:t>
      </w:r>
      <w:r>
        <w:t>presentara su informe justificado.</w:t>
      </w:r>
    </w:p>
    <w:p w14:paraId="6D5B5227" w14:textId="77777777" w:rsidR="0002713F" w:rsidRDefault="00952245">
      <w:pPr>
        <w:spacing w:before="240" w:after="240" w:line="360" w:lineRule="auto"/>
        <w:jc w:val="both"/>
      </w:pPr>
      <w:r>
        <w:rPr>
          <w:b/>
        </w:rPr>
        <w:t>6. Manifestaciones</w:t>
      </w:r>
      <w:r>
        <w:t>.</w:t>
      </w:r>
      <w:r>
        <w:rPr>
          <w:sz w:val="28"/>
          <w:szCs w:val="28"/>
        </w:rPr>
        <w:t xml:space="preserve"> </w:t>
      </w:r>
      <w:r>
        <w:t xml:space="preserve">La parte </w:t>
      </w:r>
      <w:r>
        <w:rPr>
          <w:b/>
        </w:rPr>
        <w:t xml:space="preserve">Recurrente </w:t>
      </w:r>
      <w:r>
        <w:t xml:space="preserve">y el </w:t>
      </w:r>
      <w:r>
        <w:rPr>
          <w:b/>
        </w:rPr>
        <w:t xml:space="preserve">Sujeto Obligado </w:t>
      </w:r>
      <w:r>
        <w:t>fueron omisos en emitir sus alegatos, pruebas e informe justificado en el plazo establecido para tal efecto.</w:t>
      </w:r>
    </w:p>
    <w:p w14:paraId="636BA67D" w14:textId="77777777" w:rsidR="0002713F" w:rsidRDefault="00952245">
      <w:pPr>
        <w:spacing w:before="240" w:after="240" w:line="360" w:lineRule="auto"/>
        <w:jc w:val="both"/>
      </w:pPr>
      <w:r>
        <w:rPr>
          <w:b/>
          <w:noProof/>
          <w:lang w:val="es-MX"/>
        </w:rPr>
        <w:drawing>
          <wp:inline distT="0" distB="0" distL="0" distR="0" wp14:anchorId="244A033B" wp14:editId="466AB0E5">
            <wp:extent cx="5845953" cy="1448338"/>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7958"/>
                    <a:stretch>
                      <a:fillRect/>
                    </a:stretch>
                  </pic:blipFill>
                  <pic:spPr>
                    <a:xfrm>
                      <a:off x="0" y="0"/>
                      <a:ext cx="5845953" cy="1448338"/>
                    </a:xfrm>
                    <a:prstGeom prst="rect">
                      <a:avLst/>
                    </a:prstGeom>
                    <a:ln/>
                  </pic:spPr>
                </pic:pic>
              </a:graphicData>
            </a:graphic>
          </wp:inline>
        </w:drawing>
      </w:r>
    </w:p>
    <w:p w14:paraId="33DF0139" w14:textId="77777777" w:rsidR="0002713F" w:rsidRDefault="00952245">
      <w:pPr>
        <w:spacing w:before="240" w:after="240" w:line="360" w:lineRule="auto"/>
        <w:jc w:val="both"/>
      </w:pPr>
      <w:r>
        <w:rPr>
          <w:b/>
        </w:rPr>
        <w:t xml:space="preserve">7. Cierre de instrucción. </w:t>
      </w:r>
      <w:r>
        <w:t>Una vez transcurrido el periodo otorgado a las partes para realizar sus manifestaciones y no habiendo documentos que integrar al expediente, con fecha catorce de marzo de dos mil veintidós, la Comisionada Ponente determinó el cierre de instrucción en términos de la fracción VI del artículo 185 de la Ley de Transparencia y Acceso a la Información Pública del Estado de México y Municipios.</w:t>
      </w:r>
    </w:p>
    <w:p w14:paraId="0D3EAC32" w14:textId="77777777" w:rsidR="0002713F" w:rsidRDefault="00952245">
      <w:pPr>
        <w:widowControl w:val="0"/>
        <w:spacing w:before="240" w:after="240" w:line="360" w:lineRule="auto"/>
        <w:jc w:val="both"/>
      </w:pPr>
      <w:r>
        <w:t xml:space="preserve">En razón de que fue debidamente sustanciado el expediente electrónico y no existe diligencia pendiente de desahogo, se emite la Resolución que conforme a Derecho proceda, de acuerdo con los siguientes: </w:t>
      </w:r>
    </w:p>
    <w:p w14:paraId="3860AE64" w14:textId="77777777" w:rsidR="0002713F" w:rsidRDefault="00952245">
      <w:pPr>
        <w:widowControl w:val="0"/>
        <w:spacing w:before="240" w:after="240" w:line="360" w:lineRule="auto"/>
        <w:jc w:val="center"/>
        <w:rPr>
          <w:b/>
        </w:rPr>
      </w:pPr>
      <w:r>
        <w:rPr>
          <w:b/>
        </w:rPr>
        <w:t>II. C O N S I D E R A N D O S</w:t>
      </w:r>
    </w:p>
    <w:p w14:paraId="700EFCF4" w14:textId="77777777" w:rsidR="0002713F" w:rsidRDefault="00952245">
      <w:pPr>
        <w:spacing w:before="240" w:after="240" w:line="360" w:lineRule="auto"/>
        <w:jc w:val="both"/>
      </w:pPr>
      <w:r>
        <w:rPr>
          <w:b/>
        </w:rPr>
        <w:t>Primero. Competencia.</w:t>
      </w:r>
      <w: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A0B198D" w14:textId="77777777" w:rsidR="0002713F" w:rsidRDefault="00952245">
      <w:pPr>
        <w:spacing w:before="240" w:after="240" w:line="360" w:lineRule="auto"/>
        <w:jc w:val="both"/>
      </w:pPr>
      <w:bookmarkStart w:id="6" w:name="_heading=h.1fob9te" w:colFirst="0" w:colLast="0"/>
      <w:bookmarkEnd w:id="6"/>
      <w:r>
        <w:rPr>
          <w:b/>
        </w:rPr>
        <w:t>Segundo. Oportunidad y Procedibilidad del Recurso de Revisión</w:t>
      </w:r>
      <w: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interpuesto dentro del plazo de quince días hábiles, previsto en el primer artículo señalado anteriormente como referencia, toda vez que el </w:t>
      </w:r>
      <w:r>
        <w:rPr>
          <w:b/>
        </w:rPr>
        <w:t xml:space="preserve">Sujeto Obligado </w:t>
      </w:r>
      <w:r>
        <w:t xml:space="preserve">remitió la respuesta a la solicitud de información el día </w:t>
      </w:r>
      <w:r>
        <w:rPr>
          <w:b/>
        </w:rPr>
        <w:t xml:space="preserve">ocho de febrero de dos mil veintidós, </w:t>
      </w:r>
      <w:r>
        <w:t xml:space="preserve">mientras que el recurso de revisión interpuesto por la parte </w:t>
      </w:r>
      <w:r>
        <w:rPr>
          <w:b/>
        </w:rPr>
        <w:t>Recurrente</w:t>
      </w:r>
      <w:r>
        <w:t xml:space="preserve">, se tuvo por presentado el día </w:t>
      </w:r>
      <w:r>
        <w:rPr>
          <w:b/>
        </w:rPr>
        <w:t>diez de febrero de dos mil veintidós</w:t>
      </w:r>
      <w:r>
        <w:t>, esto es, al segundo  día en que tuvo conocimiento de la respuesta impugnada.</w:t>
      </w:r>
    </w:p>
    <w:p w14:paraId="66DFE1E7" w14:textId="77777777" w:rsidR="0002713F" w:rsidRDefault="00952245">
      <w:pPr>
        <w:spacing w:before="240" w:after="240" w:line="360" w:lineRule="auto"/>
        <w:jc w:val="both"/>
      </w:pPr>
      <w:bookmarkStart w:id="7" w:name="_heading=h.3znysh7" w:colFirst="0" w:colLast="0"/>
      <w:bookmarkEnd w:id="7"/>
      <w:r>
        <w:t xml:space="preserve">En este sentido, al considerar la fecha en que se formuló la solicitud y la fecha en que respondió a ésta el </w:t>
      </w:r>
      <w:r>
        <w:rPr>
          <w:b/>
        </w:rPr>
        <w:t>Sujeto Obligado</w:t>
      </w:r>
      <w:r>
        <w:t>; así como la fecha en que se interpuso el recurso de revisión, se concluye que el presente recurso de revisión se encuentra dentro de los márgenes temporales previstos las disposiciones legales referidas.</w:t>
      </w:r>
    </w:p>
    <w:p w14:paraId="35EA5726" w14:textId="77777777" w:rsidR="0002713F" w:rsidRDefault="00952245">
      <w:pPr>
        <w:spacing w:before="240" w:after="240" w:line="360" w:lineRule="auto"/>
        <w:jc w:val="both"/>
        <w:rPr>
          <w:rFonts w:ascii="Times New Roman" w:eastAsia="Times New Roman" w:hAnsi="Times New Roman" w:cs="Times New Roman"/>
        </w:rPr>
      </w:pPr>
      <w:bookmarkStart w:id="8" w:name="_heading=h.17dp8vu" w:colFirst="0" w:colLast="0"/>
      <w:bookmarkEnd w:id="8"/>
      <w:r>
        <w:rPr>
          <w:color w:val="000000"/>
        </w:rPr>
        <w:t xml:space="preserve">Al mismo tiempo, por cuanto hace a la procedibilidad del recurso de revisión, es de suma importancia señalar que la parte </w:t>
      </w:r>
      <w:r>
        <w:rPr>
          <w:b/>
          <w:color w:val="000000"/>
        </w:rPr>
        <w:t>Recurrente</w:t>
      </w:r>
      <w:r>
        <w:rPr>
          <w:color w:val="000000"/>
        </w:rPr>
        <w:t xml:space="preserve"> </w:t>
      </w:r>
      <w:r>
        <w:rPr>
          <w:b/>
          <w:color w:val="000000"/>
        </w:rPr>
        <w:t>no proporcionó nombre o seudónimo</w:t>
      </w:r>
      <w:r>
        <w:rPr>
          <w:color w:val="000000"/>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1E2CC9" w14:textId="77777777" w:rsidR="0002713F" w:rsidRDefault="00952245">
      <w:pPr>
        <w:spacing w:before="240" w:after="240" w:line="276" w:lineRule="auto"/>
        <w:ind w:left="851" w:right="900"/>
        <w:jc w:val="both"/>
        <w:rPr>
          <w:rFonts w:ascii="Times New Roman" w:eastAsia="Times New Roman" w:hAnsi="Times New Roman" w:cs="Times New Roman"/>
        </w:rPr>
      </w:pPr>
      <w:r>
        <w:rPr>
          <w:i/>
          <w:color w:val="000000"/>
          <w:sz w:val="22"/>
          <w:szCs w:val="22"/>
        </w:rPr>
        <w:t>"</w:t>
      </w:r>
      <w:r>
        <w:rPr>
          <w:b/>
          <w:i/>
          <w:color w:val="000000"/>
          <w:sz w:val="22"/>
          <w:szCs w:val="22"/>
        </w:rPr>
        <w:t>Las solicitudes anónimas</w:t>
      </w:r>
      <w:r>
        <w:rPr>
          <w:i/>
          <w:color w:val="000000"/>
          <w:sz w:val="22"/>
          <w:szCs w:val="22"/>
        </w:rPr>
        <w:t xml:space="preserve">, con nombre incompleto o seudónimo </w:t>
      </w:r>
      <w:r>
        <w:rPr>
          <w:b/>
          <w:i/>
          <w:color w:val="000000"/>
          <w:sz w:val="22"/>
          <w:szCs w:val="22"/>
        </w:rPr>
        <w:t>serán procedentes para su trámite por parte del sujeto obligado ante quien se presente</w:t>
      </w:r>
      <w:r>
        <w:rPr>
          <w:i/>
          <w:color w:val="000000"/>
          <w:sz w:val="22"/>
          <w:szCs w:val="22"/>
        </w:rPr>
        <w:t>. No podrá requerirse información adicional con motivo del nombre proporcionado por el solicitante."</w:t>
      </w:r>
    </w:p>
    <w:p w14:paraId="72A90F01" w14:textId="77777777" w:rsidR="0002713F" w:rsidRDefault="00952245">
      <w:pPr>
        <w:spacing w:before="240" w:after="240" w:line="360" w:lineRule="auto"/>
        <w:jc w:val="both"/>
      </w:pPr>
      <w: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5AB1A075" w14:textId="77777777" w:rsidR="0002713F" w:rsidRDefault="00952245">
      <w:pPr>
        <w:spacing w:before="240" w:after="240" w:line="360" w:lineRule="auto"/>
        <w:jc w:val="both"/>
      </w:pPr>
      <w:r>
        <w:t xml:space="preserve">Finalmente, se advierte que resulta procedente la interposición del recurso, según lo manifestado por el </w:t>
      </w:r>
      <w:r>
        <w:rPr>
          <w:b/>
        </w:rPr>
        <w:t>RECURRENTE</w:t>
      </w:r>
      <w:r>
        <w:t xml:space="preserve"> en sus motivos de inconformidad, de acuerdo al artículo 179, fracción V del ordenamiento legal citado, que a la letra dice: </w:t>
      </w:r>
    </w:p>
    <w:p w14:paraId="6B659586" w14:textId="77777777" w:rsidR="0002713F" w:rsidRDefault="00952245">
      <w:pPr>
        <w:spacing w:before="240" w:after="240" w:line="276" w:lineRule="auto"/>
        <w:ind w:left="851" w:right="902"/>
        <w:jc w:val="both"/>
        <w:rPr>
          <w:i/>
          <w:sz w:val="22"/>
          <w:szCs w:val="22"/>
        </w:rPr>
      </w:pPr>
      <w:r>
        <w:rPr>
          <w:i/>
          <w:sz w:val="22"/>
          <w:szCs w:val="22"/>
        </w:rPr>
        <w:t>“</w:t>
      </w:r>
      <w:r>
        <w:rPr>
          <w:b/>
          <w:i/>
          <w:sz w:val="22"/>
          <w:szCs w:val="22"/>
        </w:rPr>
        <w:t>Artículo 179.</w:t>
      </w:r>
      <w:r>
        <w:rPr>
          <w:i/>
          <w:sz w:val="22"/>
          <w:szCs w:val="22"/>
        </w:rPr>
        <w:t xml:space="preserve"> El recurso de revisión es un medio de protección que la Ley otorga a los particulares, para hacer valer su derecho de acceso a la información pública, y procederá en contra de las siguientes causas:</w:t>
      </w:r>
    </w:p>
    <w:p w14:paraId="33261A89" w14:textId="77777777" w:rsidR="0002713F" w:rsidRDefault="00952245">
      <w:pPr>
        <w:spacing w:before="240" w:after="240" w:line="276" w:lineRule="auto"/>
        <w:ind w:left="993" w:right="902"/>
        <w:jc w:val="both"/>
        <w:rPr>
          <w:b/>
          <w:i/>
          <w:sz w:val="22"/>
          <w:szCs w:val="22"/>
        </w:rPr>
      </w:pPr>
      <w:r>
        <w:rPr>
          <w:b/>
          <w:i/>
          <w:sz w:val="22"/>
          <w:szCs w:val="22"/>
        </w:rPr>
        <w:t>...</w:t>
      </w:r>
    </w:p>
    <w:p w14:paraId="57D4C020" w14:textId="77777777" w:rsidR="0002713F" w:rsidRDefault="00952245">
      <w:pPr>
        <w:spacing w:before="240" w:after="240" w:line="276" w:lineRule="auto"/>
        <w:ind w:left="993" w:right="902"/>
        <w:jc w:val="both"/>
        <w:rPr>
          <w:i/>
          <w:sz w:val="22"/>
          <w:szCs w:val="22"/>
        </w:rPr>
      </w:pPr>
      <w:r>
        <w:rPr>
          <w:b/>
          <w:i/>
          <w:sz w:val="22"/>
          <w:szCs w:val="22"/>
        </w:rPr>
        <w:t xml:space="preserve">V. </w:t>
      </w:r>
      <w:r>
        <w:rPr>
          <w:i/>
          <w:sz w:val="22"/>
          <w:szCs w:val="22"/>
        </w:rPr>
        <w:t>La entrega de información incompleta;”</w:t>
      </w:r>
    </w:p>
    <w:p w14:paraId="17DB7AF9" w14:textId="77777777" w:rsidR="0002713F" w:rsidRDefault="00952245">
      <w:pPr>
        <w:spacing w:before="240" w:after="240" w:line="360" w:lineRule="auto"/>
        <w:jc w:val="both"/>
      </w:pPr>
      <w:r>
        <w:rPr>
          <w:b/>
        </w:rPr>
        <w:t xml:space="preserve">Tercero. Materia de la revisión. </w:t>
      </w:r>
      <w:r>
        <w:t xml:space="preserve">De la revisión a las constancias y documentos que obran en el expediente electrónico se advierte, que el tema sobre el que este Órgano Garante de Transparencia y Acceso a la Información se pronunciará será: </w:t>
      </w:r>
      <w:r>
        <w:rPr>
          <w:b/>
        </w:rPr>
        <w:t xml:space="preserve">verificar si la respuesta otorgada por el Sujeto Obligado es adecuada y suficiente para satisfacer el derecho de acceso a la información pública </w:t>
      </w:r>
      <w:r>
        <w:t xml:space="preserve">de la parte </w:t>
      </w:r>
      <w:r>
        <w:rPr>
          <w:b/>
        </w:rPr>
        <w:t>Recurrente</w:t>
      </w:r>
      <w:r>
        <w:t>, o en su defecto, en caso de ser procedente, ordenar la entrega de información oportuna.</w:t>
      </w:r>
    </w:p>
    <w:p w14:paraId="5A0952C9" w14:textId="77777777" w:rsidR="0002713F" w:rsidRDefault="00952245">
      <w:pPr>
        <w:spacing w:before="240" w:after="240" w:line="360" w:lineRule="auto"/>
        <w:jc w:val="both"/>
      </w:pPr>
      <w:bookmarkStart w:id="9" w:name="_heading=h.2et92p0" w:colFirst="0" w:colLast="0"/>
      <w:bookmarkEnd w:id="9"/>
      <w:r>
        <w:rPr>
          <w:b/>
        </w:rPr>
        <w:t>Cuarto. Estudio del asunto. D</w:t>
      </w:r>
      <w:r>
        <w:t xml:space="preserve">el análisis a las constancias que integran el recurso de revisión que ahora se resuelve se advierte que la parte </w:t>
      </w:r>
      <w:r>
        <w:rPr>
          <w:b/>
        </w:rPr>
        <w:t>Recurrente</w:t>
      </w:r>
      <w:r>
        <w:t xml:space="preserve"> requirió al </w:t>
      </w:r>
      <w:r>
        <w:rPr>
          <w:b/>
        </w:rPr>
        <w:t xml:space="preserve">Sujeto Obligado </w:t>
      </w:r>
      <w:r>
        <w:t>le proporcione, información consistente en lo siguiente:</w:t>
      </w:r>
    </w:p>
    <w:p w14:paraId="32B9C8EE" w14:textId="77777777" w:rsidR="0002713F" w:rsidRDefault="00952245">
      <w:pPr>
        <w:numPr>
          <w:ilvl w:val="0"/>
          <w:numId w:val="2"/>
        </w:numPr>
        <w:pBdr>
          <w:top w:val="nil"/>
          <w:left w:val="nil"/>
          <w:bottom w:val="nil"/>
          <w:right w:val="nil"/>
          <w:between w:val="nil"/>
        </w:pBdr>
        <w:spacing w:before="240" w:after="240" w:line="360" w:lineRule="auto"/>
        <w:ind w:right="49" w:hanging="357"/>
        <w:jc w:val="both"/>
        <w:rPr>
          <w:color w:val="000000"/>
        </w:rPr>
      </w:pPr>
      <w:r>
        <w:rPr>
          <w:color w:val="000000"/>
        </w:rPr>
        <w:t>Curriculum vitae del presidente municipal y experiencia laboral que tiene para ejercer el cargo.</w:t>
      </w:r>
    </w:p>
    <w:p w14:paraId="1C5E191F" w14:textId="77777777" w:rsidR="0002713F" w:rsidRDefault="00952245">
      <w:pPr>
        <w:spacing w:before="240" w:after="240" w:line="360" w:lineRule="auto"/>
        <w:ind w:right="51"/>
        <w:jc w:val="both"/>
      </w:pPr>
      <w:r>
        <w:t xml:space="preserve">En respuesta el </w:t>
      </w:r>
      <w:r>
        <w:rPr>
          <w:b/>
        </w:rPr>
        <w:t>Sujeto Obligado</w:t>
      </w:r>
      <w:r>
        <w:t>, a través de la Unidad de Transparencia hizo del conocimiento del particular un documento el cual contiene los datos personales, datos académicos y experiencia laboral del presidente municipal, mismo documento que no se agrega al presente ya que se dejaron visibles datos personales tales como la edad, el teléfono particular y el correo particular del presidente municipal.</w:t>
      </w:r>
    </w:p>
    <w:p w14:paraId="60F678C0" w14:textId="77777777" w:rsidR="0002713F" w:rsidRDefault="00952245">
      <w:pPr>
        <w:spacing w:before="240" w:after="240" w:line="360" w:lineRule="auto"/>
        <w:ind w:right="51"/>
        <w:jc w:val="both"/>
      </w:pPr>
      <w:r>
        <w:t xml:space="preserve"> No obstante, al no estar conforme con los términos de la respuesta emitida, el particular presentó el recurso de revisión que nos ocupa, mediante el cual señaló, como motivo de inconformidad, que la información proporcionada por </w:t>
      </w:r>
      <w:r>
        <w:rPr>
          <w:b/>
        </w:rPr>
        <w:t>Sujeto Obligado</w:t>
      </w:r>
      <w:r>
        <w:t xml:space="preserve"> estaba incompleta. </w:t>
      </w:r>
    </w:p>
    <w:p w14:paraId="6A834A52" w14:textId="77777777" w:rsidR="0002713F" w:rsidRDefault="00952245">
      <w:pPr>
        <w:spacing w:before="240" w:after="240" w:line="360" w:lineRule="auto"/>
        <w:jc w:val="both"/>
      </w:pPr>
      <w:r>
        <w:t xml:space="preserve">Ante la interposición del Recurso de Revisión el </w:t>
      </w:r>
      <w:r>
        <w:rPr>
          <w:b/>
        </w:rPr>
        <w:t>SUJETO OBLIGADO</w:t>
      </w:r>
      <w:r>
        <w:t xml:space="preserve"> fue omiso en rendir su informe justificado.</w:t>
      </w:r>
    </w:p>
    <w:p w14:paraId="49C70D32" w14:textId="77777777" w:rsidR="0002713F" w:rsidRDefault="00952245">
      <w:pPr>
        <w:spacing w:before="240" w:after="240" w:line="360" w:lineRule="auto"/>
        <w:jc w:val="both"/>
      </w:pPr>
      <w:r>
        <w:t>Así, admitido el presente recurso de revisión, en términos del artículo 185 fracción II</w:t>
      </w:r>
      <w:r>
        <w:rPr>
          <w:vertAlign w:val="superscript"/>
        </w:rPr>
        <w:footnoteReference w:id="1"/>
      </w:r>
      <w: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omisas ambas partes. </w:t>
      </w:r>
    </w:p>
    <w:p w14:paraId="74521618" w14:textId="77777777" w:rsidR="0002713F" w:rsidRDefault="00952245">
      <w:pPr>
        <w:spacing w:before="240" w:after="240" w:line="360" w:lineRule="auto"/>
        <w:jc w:val="both"/>
      </w:pPr>
      <w:r>
        <w:rPr>
          <w:color w:val="000000"/>
        </w:rPr>
        <w:t>En primer lugar</w:t>
      </w:r>
      <w: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C269C3F" w14:textId="77777777" w:rsidR="0002713F" w:rsidRDefault="00952245">
      <w:pPr>
        <w:spacing w:before="240" w:after="240" w:line="276" w:lineRule="auto"/>
        <w:ind w:left="709" w:right="760"/>
        <w:jc w:val="both"/>
        <w:rPr>
          <w:i/>
          <w:sz w:val="22"/>
          <w:szCs w:val="22"/>
        </w:rPr>
      </w:pPr>
      <w:r>
        <w:rPr>
          <w:i/>
          <w:sz w:val="22"/>
          <w:szCs w:val="22"/>
        </w:rPr>
        <w:t>“</w:t>
      </w:r>
      <w:r>
        <w:rPr>
          <w:b/>
          <w:i/>
          <w:sz w:val="22"/>
          <w:szCs w:val="22"/>
        </w:rPr>
        <w:t>Artículo 4.</w:t>
      </w:r>
      <w:r>
        <w:rPr>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044C460" w14:textId="77777777" w:rsidR="0002713F" w:rsidRDefault="00952245">
      <w:pPr>
        <w:spacing w:before="240" w:after="240" w:line="276" w:lineRule="auto"/>
        <w:ind w:left="709" w:right="760"/>
        <w:jc w:val="both"/>
        <w:rPr>
          <w:i/>
          <w:sz w:val="22"/>
          <w:szCs w:val="22"/>
        </w:rPr>
      </w:pPr>
      <w:r>
        <w:rPr>
          <w:b/>
          <w:i/>
          <w:sz w:val="22"/>
          <w:szCs w:val="22"/>
        </w:rPr>
        <w:t>Toda la información generada, obtenida, adquirida, transformada, administrada o en posesión de los sujetos obligados es pública y accesible de manera permanente a cualquier persona</w:t>
      </w:r>
      <w:r>
        <w:rPr>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2E6627" w14:textId="77777777" w:rsidR="0002713F" w:rsidRDefault="00952245">
      <w:pPr>
        <w:spacing w:before="240" w:after="240" w:line="276" w:lineRule="auto"/>
        <w:ind w:left="709" w:right="760"/>
        <w:jc w:val="both"/>
        <w:rPr>
          <w:i/>
          <w:sz w:val="22"/>
          <w:szCs w:val="22"/>
        </w:rPr>
      </w:pPr>
      <w:r>
        <w:rPr>
          <w:b/>
          <w:i/>
          <w:sz w:val="22"/>
          <w:szCs w:val="22"/>
        </w:rPr>
        <w:t>Los sujetos obligados deben poner en práctica, políticas y programas de acceso a la información que se apeguen a criterios de publicidad, veracidad, oportunidad, precisión y suficiencia en beneficio de los solicitantes</w:t>
      </w:r>
      <w:r>
        <w:rPr>
          <w:i/>
          <w:sz w:val="22"/>
          <w:szCs w:val="22"/>
        </w:rPr>
        <w:t>.”(Sic)</w:t>
      </w:r>
    </w:p>
    <w:p w14:paraId="7411A062" w14:textId="77777777" w:rsidR="0002713F" w:rsidRDefault="00952245">
      <w:pPr>
        <w:spacing w:before="240" w:after="240" w:line="360" w:lineRule="auto"/>
        <w:jc w:val="both"/>
      </w:pPr>
      <w: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342D4F9" w14:textId="77777777" w:rsidR="0002713F" w:rsidRDefault="00952245">
      <w:pPr>
        <w:spacing w:before="240" w:after="240" w:line="276" w:lineRule="auto"/>
        <w:ind w:left="567" w:right="758"/>
        <w:jc w:val="both"/>
        <w:rPr>
          <w:i/>
          <w:sz w:val="22"/>
          <w:szCs w:val="22"/>
        </w:rPr>
      </w:pPr>
      <w:r>
        <w:rPr>
          <w:i/>
          <w:sz w:val="22"/>
          <w:szCs w:val="22"/>
        </w:rPr>
        <w:t>“</w:t>
      </w:r>
      <w:r>
        <w:rPr>
          <w:b/>
          <w:i/>
          <w:sz w:val="22"/>
          <w:szCs w:val="22"/>
        </w:rPr>
        <w:t>Artículo12.-</w:t>
      </w:r>
      <w:r>
        <w:rPr>
          <w:i/>
          <w:sz w:val="22"/>
          <w:szCs w:val="22"/>
        </w:rPr>
        <w:t xml:space="preserve"> Quienes generen, recopilen, administren, manejen, procesen, archiven o conserven información pública serán responsables de la misma en los términos de las disposiciones jurídicas aplicables. </w:t>
      </w:r>
    </w:p>
    <w:p w14:paraId="15F13A96" w14:textId="77777777" w:rsidR="0002713F" w:rsidRDefault="00952245">
      <w:pPr>
        <w:spacing w:before="240" w:after="240" w:line="276" w:lineRule="auto"/>
        <w:ind w:left="567" w:right="758"/>
        <w:jc w:val="both"/>
        <w:rPr>
          <w:i/>
          <w:sz w:val="22"/>
          <w:szCs w:val="22"/>
        </w:rPr>
      </w:pPr>
      <w:r>
        <w:rPr>
          <w:b/>
          <w:i/>
          <w:sz w:val="22"/>
          <w:szCs w:val="22"/>
        </w:rPr>
        <w:t>Los sujetos obligados sólo proporcionarán la información pública que se les requiera y que obre en sus archivos y en el estado en que ésta se encuentre</w:t>
      </w:r>
      <w:r>
        <w:rPr>
          <w:i/>
          <w:sz w:val="22"/>
          <w:szCs w:val="22"/>
        </w:rPr>
        <w:t xml:space="preserve">. </w:t>
      </w:r>
      <w:r>
        <w:rPr>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2615612" w14:textId="77777777" w:rsidR="0002713F" w:rsidRDefault="00952245">
      <w:pPr>
        <w:spacing w:before="240" w:after="240" w:line="360" w:lineRule="auto"/>
        <w:ind w:right="-93"/>
        <w:jc w:val="both"/>
        <w:rPr>
          <w:color w:val="000000"/>
        </w:rPr>
      </w:pPr>
      <w:r>
        <w:rPr>
          <w:color w:val="000000"/>
        </w:rPr>
        <w:t xml:space="preserve">Es decir, todo </w:t>
      </w:r>
      <w:r>
        <w:rPr>
          <w:b/>
          <w:color w:val="000000"/>
        </w:rPr>
        <w:t>SUJETO OBLIGADO</w:t>
      </w:r>
      <w:r>
        <w:rPr>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4B2FD89D" w14:textId="77777777" w:rsidR="0002713F" w:rsidRDefault="00952245">
      <w:pPr>
        <w:spacing w:before="240" w:after="240" w:line="360" w:lineRule="auto"/>
        <w:jc w:val="both"/>
        <w:rPr>
          <w:b/>
          <w:color w:val="000000"/>
        </w:rPr>
      </w:pPr>
      <w:r>
        <w:rPr>
          <w:color w:val="000000"/>
        </w:rPr>
        <w:t>Sirve de apoyo a lo anterior, el criterio 03-17, expuesto por el Instituto Nacional de Transparencia, Acceso a la Información y Protección de Datos Personales, que dice:</w:t>
      </w:r>
      <w:r>
        <w:rPr>
          <w:b/>
          <w:color w:val="000000"/>
        </w:rPr>
        <w:t xml:space="preserve"> </w:t>
      </w:r>
    </w:p>
    <w:p w14:paraId="0595E458" w14:textId="77777777" w:rsidR="0002713F" w:rsidRDefault="00952245">
      <w:pPr>
        <w:spacing w:before="240" w:after="240" w:line="276" w:lineRule="auto"/>
        <w:ind w:left="851" w:right="901"/>
        <w:jc w:val="both"/>
        <w:rPr>
          <w:i/>
          <w:color w:val="000000"/>
          <w:sz w:val="22"/>
          <w:szCs w:val="22"/>
        </w:rPr>
      </w:pPr>
      <w:r>
        <w:rPr>
          <w:i/>
          <w:color w:val="000000"/>
          <w:sz w:val="22"/>
          <w:szCs w:val="22"/>
        </w:rPr>
        <w:t>“</w:t>
      </w:r>
      <w:r>
        <w:rPr>
          <w:b/>
          <w:i/>
          <w:color w:val="000000"/>
          <w:sz w:val="22"/>
          <w:szCs w:val="22"/>
        </w:rPr>
        <w:t>No existe obligación de elaborar documentos ad hoc para atender las solicitudes de acceso a la información.</w:t>
      </w:r>
      <w:r>
        <w:rPr>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65A742" w14:textId="77777777" w:rsidR="0002713F" w:rsidRDefault="00952245">
      <w:pPr>
        <w:spacing w:before="240" w:after="240" w:line="276" w:lineRule="auto"/>
        <w:ind w:left="851" w:right="901"/>
        <w:jc w:val="both"/>
        <w:rPr>
          <w:i/>
          <w:color w:val="000000"/>
          <w:sz w:val="22"/>
          <w:szCs w:val="22"/>
        </w:rPr>
      </w:pPr>
      <w:r>
        <w:rPr>
          <w:i/>
          <w:color w:val="000000"/>
          <w:sz w:val="22"/>
          <w:szCs w:val="22"/>
        </w:rPr>
        <w:t xml:space="preserve">Resoluciones: </w:t>
      </w:r>
    </w:p>
    <w:p w14:paraId="70CE7E05" w14:textId="77777777" w:rsidR="0002713F" w:rsidRDefault="00952245">
      <w:pPr>
        <w:spacing w:before="240" w:after="240" w:line="276" w:lineRule="auto"/>
        <w:ind w:left="851" w:right="901"/>
        <w:jc w:val="both"/>
        <w:rPr>
          <w:i/>
          <w:color w:val="000000"/>
          <w:sz w:val="22"/>
          <w:szCs w:val="22"/>
        </w:rPr>
      </w:pPr>
      <w:r>
        <w:rPr>
          <w:rFonts w:ascii="Noto Sans Symbols" w:eastAsia="Noto Sans Symbols" w:hAnsi="Noto Sans Symbols" w:cs="Noto Sans Symbols"/>
          <w:i/>
          <w:color w:val="000000"/>
          <w:sz w:val="22"/>
          <w:szCs w:val="22"/>
        </w:rPr>
        <w:t>∙</w:t>
      </w:r>
      <w:r>
        <w:rPr>
          <w:i/>
          <w:color w:val="000000"/>
          <w:sz w:val="22"/>
          <w:szCs w:val="22"/>
        </w:rPr>
        <w:t xml:space="preserve"> RRA 0050/16. Instituto Nacional para la Evaluación de la Educación. 13 julio de 2016. Por unanimidad. Comisionado Ponente: Francisco Javier Acuña Llamas.</w:t>
      </w:r>
    </w:p>
    <w:p w14:paraId="3CC56700" w14:textId="77777777" w:rsidR="0002713F" w:rsidRDefault="00952245">
      <w:pPr>
        <w:spacing w:before="240" w:after="240" w:line="276" w:lineRule="auto"/>
        <w:ind w:left="851" w:right="901"/>
        <w:jc w:val="both"/>
        <w:rPr>
          <w:i/>
          <w:color w:val="000000"/>
          <w:sz w:val="22"/>
          <w:szCs w:val="22"/>
        </w:rPr>
      </w:pPr>
      <w:r>
        <w:rPr>
          <w:rFonts w:ascii="Noto Sans Symbols" w:eastAsia="Noto Sans Symbols" w:hAnsi="Noto Sans Symbols" w:cs="Noto Sans Symbols"/>
          <w:i/>
          <w:color w:val="000000"/>
          <w:sz w:val="22"/>
          <w:szCs w:val="22"/>
        </w:rPr>
        <w:t>∙</w:t>
      </w:r>
      <w:r>
        <w:rPr>
          <w:i/>
          <w:color w:val="000000"/>
          <w:sz w:val="22"/>
          <w:szCs w:val="22"/>
        </w:rPr>
        <w:t xml:space="preserve"> RRA 0310/16. Instituto Nacional de Transparencia, Acceso a la Información y Protección de Datos Personales. 10 de agosto de 2016. Por unanimidad. Comisionada Ponente. Areli Cano Guadiana. </w:t>
      </w:r>
    </w:p>
    <w:p w14:paraId="7C0D351A" w14:textId="77777777" w:rsidR="0002713F" w:rsidRDefault="00952245">
      <w:pPr>
        <w:spacing w:before="240" w:after="240" w:line="276" w:lineRule="auto"/>
        <w:ind w:left="851" w:right="901"/>
        <w:jc w:val="both"/>
        <w:rPr>
          <w:i/>
          <w:color w:val="000000"/>
          <w:sz w:val="22"/>
          <w:szCs w:val="22"/>
        </w:rPr>
      </w:pPr>
      <w:r>
        <w:rPr>
          <w:rFonts w:ascii="Noto Sans Symbols" w:eastAsia="Noto Sans Symbols" w:hAnsi="Noto Sans Symbols" w:cs="Noto Sans Symbols"/>
          <w:i/>
          <w:color w:val="000000"/>
          <w:sz w:val="22"/>
          <w:szCs w:val="22"/>
        </w:rPr>
        <w:t>∙</w:t>
      </w:r>
      <w:r>
        <w:rPr>
          <w:i/>
          <w:color w:val="000000"/>
          <w:sz w:val="22"/>
          <w:szCs w:val="22"/>
        </w:rPr>
        <w:t xml:space="preserve"> RRA 1889/16. Secretaría de Hacienda y Crédito Público. 05 de octubre de 2016. Por unanimidad. Comisionada Ponente. Ximena Puente de la Mora.”</w:t>
      </w:r>
    </w:p>
    <w:p w14:paraId="21BB18F0" w14:textId="77777777" w:rsidR="0002713F" w:rsidRDefault="00952245">
      <w:pPr>
        <w:spacing w:before="240" w:after="240" w:line="360" w:lineRule="auto"/>
        <w:jc w:val="both"/>
        <w:rPr>
          <w:color w:val="000000"/>
        </w:rPr>
      </w:pPr>
      <w:r>
        <w:t xml:space="preserve">En esa tesitura, el artículo 24 en su último párrafo de la Ley de la Materia, dispone que los Sujetos Obligados </w:t>
      </w:r>
      <w:r>
        <w:rPr>
          <w:color w:val="000000"/>
        </w:rPr>
        <w:t xml:space="preserve">sólo proporcionarán la información pública que </w:t>
      </w:r>
      <w:r>
        <w:t>generen</w:t>
      </w:r>
      <w:r>
        <w:rPr>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1B877A5" w14:textId="77777777" w:rsidR="0002713F" w:rsidRDefault="00952245">
      <w:pPr>
        <w:spacing w:before="240" w:after="240" w:line="360" w:lineRule="auto"/>
        <w:ind w:right="49"/>
        <w:jc w:val="both"/>
      </w:pPr>
      <w: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CD2C138" w14:textId="77777777" w:rsidR="0002713F" w:rsidRDefault="00952245">
      <w:pPr>
        <w:spacing w:before="240" w:after="240" w:line="360" w:lineRule="auto"/>
        <w:jc w:val="both"/>
      </w:pPr>
      <w: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4B57BC" w14:textId="77777777" w:rsidR="0002713F" w:rsidRDefault="00952245">
      <w:pPr>
        <w:spacing w:before="240" w:after="240" w:line="276" w:lineRule="auto"/>
        <w:ind w:left="851" w:right="899"/>
        <w:jc w:val="both"/>
        <w:rPr>
          <w:i/>
          <w:sz w:val="22"/>
          <w:szCs w:val="22"/>
        </w:rPr>
      </w:pPr>
      <w:r>
        <w:rPr>
          <w:i/>
          <w:sz w:val="22"/>
          <w:szCs w:val="22"/>
        </w:rPr>
        <w:t>“</w:t>
      </w:r>
      <w:r>
        <w:rPr>
          <w:b/>
          <w:i/>
          <w:sz w:val="22"/>
          <w:szCs w:val="22"/>
        </w:rPr>
        <w:t xml:space="preserve">Artículo 3. </w:t>
      </w:r>
      <w:r>
        <w:rPr>
          <w:i/>
          <w:sz w:val="22"/>
          <w:szCs w:val="22"/>
        </w:rPr>
        <w:t>Para los efectos de la presente Ley se entenderá por:</w:t>
      </w:r>
    </w:p>
    <w:p w14:paraId="7171B1B1" w14:textId="77777777" w:rsidR="0002713F" w:rsidRDefault="00952245">
      <w:pPr>
        <w:spacing w:before="240" w:after="240" w:line="276" w:lineRule="auto"/>
        <w:ind w:left="851" w:right="899"/>
        <w:jc w:val="both"/>
        <w:rPr>
          <w:i/>
          <w:sz w:val="22"/>
          <w:szCs w:val="22"/>
        </w:rPr>
      </w:pPr>
      <w:r>
        <w:rPr>
          <w:i/>
          <w:sz w:val="22"/>
          <w:szCs w:val="22"/>
        </w:rPr>
        <w:t>…</w:t>
      </w:r>
    </w:p>
    <w:p w14:paraId="31BAD0CF" w14:textId="77777777" w:rsidR="0002713F" w:rsidRDefault="00952245">
      <w:pPr>
        <w:spacing w:before="240" w:after="240" w:line="276" w:lineRule="auto"/>
        <w:ind w:left="851" w:right="899"/>
        <w:jc w:val="both"/>
        <w:rPr>
          <w:i/>
          <w:color w:val="000000"/>
          <w:sz w:val="22"/>
          <w:szCs w:val="22"/>
        </w:rPr>
      </w:pPr>
      <w:r>
        <w:rPr>
          <w:b/>
          <w:i/>
          <w:color w:val="000000"/>
          <w:sz w:val="22"/>
          <w:szCs w:val="22"/>
        </w:rPr>
        <w:t>XI. Documento:</w:t>
      </w:r>
      <w:r>
        <w:rPr>
          <w:i/>
          <w:color w:val="000000"/>
          <w:sz w:val="22"/>
          <w:szCs w:val="22"/>
        </w:rPr>
        <w:t xml:space="preserve"> Los expedientes, reportes, estudios, actas</w:t>
      </w:r>
      <w:r>
        <w:rPr>
          <w:b/>
          <w:i/>
          <w:color w:val="000000"/>
          <w:sz w:val="22"/>
          <w:szCs w:val="22"/>
        </w:rPr>
        <w:t>,</w:t>
      </w:r>
      <w:r>
        <w:rPr>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6E95244" w14:textId="77777777" w:rsidR="0002713F" w:rsidRDefault="00952245">
      <w:pPr>
        <w:spacing w:before="240" w:after="240" w:line="360" w:lineRule="auto"/>
        <w:jc w:val="both"/>
      </w:pPr>
      <w: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05D5F8" w14:textId="77777777" w:rsidR="0002713F" w:rsidRDefault="00952245">
      <w:pPr>
        <w:spacing w:before="240" w:after="240" w:line="276" w:lineRule="auto"/>
        <w:ind w:left="851" w:right="899"/>
        <w:jc w:val="both"/>
        <w:rPr>
          <w:b/>
          <w:i/>
          <w:sz w:val="22"/>
          <w:szCs w:val="22"/>
        </w:rPr>
      </w:pPr>
      <w:r>
        <w:rPr>
          <w:b/>
          <w:sz w:val="22"/>
          <w:szCs w:val="22"/>
        </w:rPr>
        <w:t>“</w:t>
      </w:r>
      <w:r>
        <w:rPr>
          <w:b/>
          <w:i/>
          <w:sz w:val="22"/>
          <w:szCs w:val="22"/>
        </w:rPr>
        <w:t>CRITERIO 0002-11</w:t>
      </w:r>
    </w:p>
    <w:p w14:paraId="1AEE47B7" w14:textId="77777777" w:rsidR="0002713F" w:rsidRDefault="00952245">
      <w:pPr>
        <w:spacing w:before="240" w:after="240" w:line="276" w:lineRule="auto"/>
        <w:ind w:left="851" w:right="899"/>
        <w:jc w:val="both"/>
        <w:rPr>
          <w:i/>
          <w:sz w:val="22"/>
          <w:szCs w:val="22"/>
        </w:rPr>
      </w:pPr>
      <w:r>
        <w:rPr>
          <w:b/>
          <w:i/>
          <w:sz w:val="22"/>
          <w:szCs w:val="22"/>
        </w:rPr>
        <w:t>INFORMACIÓN PÚBLICA, CONCEPTO DE, EN MATERIA DE TRANSPARENCIA. INTERPRETACIÓN SISTEMÁTICA DE LOS ARTÍCULOS 2°, FRACCIÓN V, XV, Y XVI, 3°, 4°, 11 Y 41.</w:t>
      </w:r>
      <w:r>
        <w:rPr>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41E8EF" w14:textId="77777777" w:rsidR="0002713F" w:rsidRDefault="00952245">
      <w:pPr>
        <w:spacing w:before="240" w:after="240" w:line="276" w:lineRule="auto"/>
        <w:ind w:left="851" w:right="899"/>
        <w:jc w:val="both"/>
        <w:rPr>
          <w:i/>
          <w:sz w:val="22"/>
          <w:szCs w:val="22"/>
        </w:rPr>
      </w:pPr>
      <w:r>
        <w:rPr>
          <w:i/>
          <w:sz w:val="22"/>
          <w:szCs w:val="22"/>
        </w:rPr>
        <w:t>En consecuencia el acceso a la información se refiere a que se cumplan cualquiera de los siguientes tres supuestos:</w:t>
      </w:r>
    </w:p>
    <w:p w14:paraId="7591EE2A" w14:textId="77777777" w:rsidR="0002713F" w:rsidRDefault="00952245">
      <w:pPr>
        <w:spacing w:before="240" w:after="240" w:line="276" w:lineRule="auto"/>
        <w:ind w:left="851" w:right="899"/>
        <w:jc w:val="both"/>
        <w:rPr>
          <w:i/>
          <w:sz w:val="22"/>
          <w:szCs w:val="22"/>
        </w:rPr>
      </w:pPr>
      <w:r>
        <w:rPr>
          <w:i/>
          <w:sz w:val="22"/>
          <w:szCs w:val="22"/>
        </w:rPr>
        <w:t>1) Que se trate de información registrada en cualquier soporte documental, que en ejercicio de las atribuciones conferidas, sea generada por los Sujetos Obligados;</w:t>
      </w:r>
    </w:p>
    <w:p w14:paraId="7A6ABD30" w14:textId="77777777" w:rsidR="0002713F" w:rsidRDefault="00952245">
      <w:pPr>
        <w:spacing w:before="240" w:after="240" w:line="276" w:lineRule="auto"/>
        <w:ind w:left="851" w:right="899"/>
        <w:jc w:val="both"/>
        <w:rPr>
          <w:b/>
          <w:i/>
          <w:sz w:val="22"/>
          <w:szCs w:val="22"/>
        </w:rPr>
      </w:pPr>
      <w:r>
        <w:rPr>
          <w:b/>
          <w:i/>
          <w:sz w:val="22"/>
          <w:szCs w:val="22"/>
        </w:rPr>
        <w:t>2) Que se trate de información registrada en cualquier soporte documental, que en ejercicio de las atribuciones conferidas, sea administrada por los Sujetos Obligados, y</w:t>
      </w:r>
    </w:p>
    <w:p w14:paraId="6BE8C50F" w14:textId="77777777" w:rsidR="0002713F" w:rsidRDefault="00952245">
      <w:pPr>
        <w:spacing w:before="240" w:after="240" w:line="276" w:lineRule="auto"/>
        <w:ind w:left="851" w:right="899"/>
        <w:jc w:val="both"/>
        <w:rPr>
          <w:b/>
          <w:i/>
          <w:sz w:val="22"/>
          <w:szCs w:val="22"/>
        </w:rPr>
      </w:pPr>
      <w:r>
        <w:rPr>
          <w:b/>
          <w:i/>
          <w:sz w:val="22"/>
          <w:szCs w:val="22"/>
        </w:rPr>
        <w:t xml:space="preserve">3) Que se trate de información registrada en cualquier soporte documental, que en ejercicio de las atribuciones conferidas, se encuentre en posesión de los Sujetos Obligados.” </w:t>
      </w:r>
    </w:p>
    <w:p w14:paraId="5BDCBC92" w14:textId="77777777" w:rsidR="0002713F" w:rsidRDefault="00952245">
      <w:pPr>
        <w:spacing w:before="240" w:after="240" w:line="360" w:lineRule="auto"/>
        <w:ind w:right="-93"/>
        <w:jc w:val="both"/>
      </w:pPr>
      <w:r>
        <w:rPr>
          <w:color w:val="000000"/>
        </w:rPr>
        <w:t>En virtud de lo anterior</w:t>
      </w:r>
      <w:r>
        <w:t xml:space="preserve">, se determina que la información emitida por el </w:t>
      </w:r>
      <w:r>
        <w:rPr>
          <w:b/>
        </w:rPr>
        <w:t>SUJETO OBLIGADO</w:t>
      </w:r>
      <w:r>
        <w:t xml:space="preserve"> en su respuesta, cumple  con lo establecido por los artículos 4, 12 y 24 último párrafo de la Ley de Transparencia y Acceso a la Información Pública del Estado de México y Municipios, conforme a lo siguiente:</w:t>
      </w:r>
    </w:p>
    <w:p w14:paraId="3E3B0B13" w14:textId="77777777" w:rsidR="0002713F" w:rsidRDefault="00952245">
      <w:pPr>
        <w:spacing w:before="240" w:after="240" w:line="360" w:lineRule="auto"/>
        <w:jc w:val="both"/>
      </w:pPr>
      <w:r>
        <w:t xml:space="preserve">En lo tocante al motivo de inconformidad del particular respecto a que la información es incompleta, de la revisión a la solicitud de información, en contraste con las documentales que entrega el </w:t>
      </w:r>
      <w:r>
        <w:rPr>
          <w:b/>
        </w:rPr>
        <w:t>SUJETO OBLIGADO</w:t>
      </w:r>
      <w:r>
        <w:t xml:space="preserve"> esta Autoridad observa que la respuesta proporcionada cumple con lo solicitado por el </w:t>
      </w:r>
      <w:r>
        <w:rPr>
          <w:b/>
        </w:rPr>
        <w:t>RECURRENTE,</w:t>
      </w:r>
      <w:r>
        <w:t xml:space="preserve"> ya que en efecto proporciona el Curriculum Vitae solicitado, en el que se describe la experiencia laboral y formación académica con la que cuenta el presidente municipal. Dentro de la experiencia laboral se precisan los cargos públicos que ha desempeñado dentro de la administración pública en algunos Municipios del Estado de México, incluyendo el Municipio de Tepetlaoxtoc, que ahora representa.</w:t>
      </w:r>
    </w:p>
    <w:p w14:paraId="7A24B02A"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 xml:space="preserve">Es de señalar que el curriculum es el documento que las personas elaboran con los datos principalmente de preparación académica y </w:t>
      </w:r>
      <w:r>
        <w:rPr>
          <w:b/>
          <w:color w:val="000000"/>
          <w:u w:val="single"/>
        </w:rPr>
        <w:t>experiencia profesional</w:t>
      </w:r>
      <w:r>
        <w:rPr>
          <w:color w:val="000000"/>
        </w:rPr>
        <w:t xml:space="preserve"> con la finalidad de presentarlo ante un posible empleador, por lo que, dicho documento permite identificar el nivel de conocimiento de su titular, su perfil profesional y/o laboral. </w:t>
      </w:r>
    </w:p>
    <w:p w14:paraId="6C873A69"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 xml:space="preserve">En ese orden de ideas, si bien, el documento referido es elaborado por cada persona sin ninguna validez oficial, también lo es que como se mencionó, este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w:t>
      </w:r>
      <w:r>
        <w:rPr>
          <w:b/>
          <w:color w:val="000000"/>
        </w:rPr>
        <w:t>EL SUJETO OBLIGADO</w:t>
      </w:r>
      <w:r>
        <w:rPr>
          <w:color w:val="000000"/>
        </w:rPr>
        <w:t xml:space="preserve"> cuenta con las capacidades, conocimientos y experiencia necesaria para el cabal cumplimiento de sus funciones. </w:t>
      </w:r>
    </w:p>
    <w:p w14:paraId="1AD8B16D"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 xml:space="preserve">Es por lo anterior que el artículo 92, fracción XXI de la Ley de Transparencia y Acceso a la Información Pública del Estado de México y Municipios, establece que la información curricular es considerada como obligación de transparencia también para el Instituto de Transparencia, Acceso a la Información Pública y Protección de Datos Personales del Estado de México y Municipios. </w:t>
      </w:r>
    </w:p>
    <w:p w14:paraId="061B7001"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 xml:space="preserve">A mayor abundamiento conviene mencionar, el Criterio 03/09 emitido por el Pleno del entonces Instituto Federal de Acceso a la Información y Protección de Datos establece que: </w:t>
      </w:r>
    </w:p>
    <w:p w14:paraId="65A47BD3" w14:textId="77777777" w:rsidR="0002713F" w:rsidRDefault="00952245">
      <w:pPr>
        <w:pBdr>
          <w:top w:val="nil"/>
          <w:left w:val="nil"/>
          <w:bottom w:val="nil"/>
          <w:right w:val="nil"/>
          <w:between w:val="nil"/>
        </w:pBdr>
        <w:spacing w:before="240" w:after="240" w:line="276" w:lineRule="auto"/>
        <w:ind w:left="851" w:right="900"/>
        <w:jc w:val="both"/>
        <w:rPr>
          <w:i/>
          <w:color w:val="000000"/>
        </w:rPr>
      </w:pPr>
      <w:r>
        <w:rPr>
          <w:i/>
          <w:color w:val="000000"/>
          <w:sz w:val="22"/>
          <w:szCs w:val="22"/>
        </w:rPr>
        <w:t xml:space="preserve">“Curriculum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722F46F5"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1AC22822" w14:textId="77777777" w:rsidR="0002713F" w:rsidRDefault="00952245">
      <w:pPr>
        <w:pBdr>
          <w:top w:val="nil"/>
          <w:left w:val="nil"/>
          <w:bottom w:val="nil"/>
          <w:right w:val="nil"/>
          <w:between w:val="nil"/>
        </w:pBdr>
        <w:spacing w:before="240" w:after="240" w:line="360" w:lineRule="auto"/>
        <w:ind w:right="-234"/>
        <w:jc w:val="both"/>
        <w:rPr>
          <w:color w:val="000000"/>
        </w:rPr>
      </w:pPr>
      <w:r>
        <w:rPr>
          <w:color w:val="000000"/>
        </w:rPr>
        <w:t xml:space="preserve">Conforme a ello, se considera que con la información proporcionada por el </w:t>
      </w:r>
      <w:r>
        <w:rPr>
          <w:b/>
          <w:color w:val="000000"/>
        </w:rPr>
        <w:t xml:space="preserve">SUJETO OBLIGADO </w:t>
      </w:r>
      <w:r>
        <w:rPr>
          <w:color w:val="000000"/>
        </w:rPr>
        <w:t xml:space="preserve">en este punto de la solicitud de información se satisface  la pretensión del ahora </w:t>
      </w:r>
      <w:r>
        <w:rPr>
          <w:b/>
          <w:color w:val="000000"/>
        </w:rPr>
        <w:t xml:space="preserve">RECURRENTE </w:t>
      </w:r>
      <w:r>
        <w:rPr>
          <w:color w:val="000000"/>
        </w:rPr>
        <w:t>pues como se ha podido advertir en efecto</w:t>
      </w:r>
      <w:r>
        <w:rPr>
          <w:b/>
          <w:color w:val="000000"/>
        </w:rPr>
        <w:t xml:space="preserve"> </w:t>
      </w:r>
      <w:r>
        <w:rPr>
          <w:color w:val="000000"/>
        </w:rPr>
        <w:t xml:space="preserve">proporcionó la información curricular del presidente municipal,  misma que contiene información de su preparación académica y trayectoria profesional del servidor públicos solicitado. </w:t>
      </w:r>
    </w:p>
    <w:p w14:paraId="258A4F09" w14:textId="77777777" w:rsidR="0002713F" w:rsidRDefault="00952245">
      <w:pPr>
        <w:spacing w:before="240" w:after="240" w:line="360" w:lineRule="auto"/>
        <w:ind w:right="49"/>
        <w:jc w:val="both"/>
      </w:pPr>
      <w:r>
        <w:t xml:space="preserve">No pasa desapercibido que al ahora recurrente de manera particular requiere conocer  </w:t>
      </w:r>
      <w:r>
        <w:rPr>
          <w:b/>
          <w:u w:val="single"/>
        </w:rPr>
        <w:t>la experiencia profesional para ejercer el cargo de presidente municipal</w:t>
      </w:r>
      <w:r>
        <w:t>, en este sentido resulta indispensable señalar que 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w:t>
      </w:r>
    </w:p>
    <w:p w14:paraId="4606C5F7" w14:textId="77777777" w:rsidR="0002713F" w:rsidRDefault="00952245">
      <w:pPr>
        <w:spacing w:before="240" w:after="240" w:line="360" w:lineRule="auto"/>
        <w:jc w:val="both"/>
      </w:pPr>
      <w:r>
        <w:t>La fracción I del dispositivo 115 constitucional mandata que cada municipio será gobernado por un Ayuntamiento de elección popular directa, integrado por un Presidente o Presidenta Municipal y el número de regidurías y sindicaturas que la ley determine, de conformidad con el principio de paridad.</w:t>
      </w:r>
    </w:p>
    <w:p w14:paraId="0CE56954" w14:textId="77777777" w:rsidR="0002713F" w:rsidRDefault="00952245">
      <w:pPr>
        <w:spacing w:before="240" w:after="240" w:line="360" w:lineRule="auto"/>
        <w:jc w:val="both"/>
      </w:pPr>
      <w:r>
        <w:t xml:space="preserve">Correlativo a lo anterior, la Ley Orgánica Municipal del Estado de México establece que cada municipio será gobernado por un Ayuntamiento de elección popular directa y no habrá ninguna autoridad intermedia entre éste y el Gobierno del Estado </w:t>
      </w:r>
    </w:p>
    <w:p w14:paraId="580671C3" w14:textId="77777777" w:rsidR="0002713F" w:rsidRDefault="00952245">
      <w:pPr>
        <w:spacing w:before="240" w:after="240" w:line="360" w:lineRule="auto"/>
        <w:jc w:val="both"/>
      </w:pPr>
      <w:r>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0A47332A" w14:textId="77777777" w:rsidR="0002713F" w:rsidRDefault="00952245">
      <w:pPr>
        <w:spacing w:before="240" w:after="240" w:line="360" w:lineRule="auto"/>
        <w:jc w:val="both"/>
      </w:pPr>
      <w: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68828642" w14:textId="77777777" w:rsidR="0002713F" w:rsidRDefault="00952245">
      <w:pPr>
        <w:spacing w:before="240" w:after="240" w:line="360" w:lineRule="auto"/>
        <w:jc w:val="both"/>
      </w:pPr>
      <w: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o</w:t>
      </w:r>
    </w:p>
    <w:p w14:paraId="72656E10" w14:textId="77777777" w:rsidR="0002713F" w:rsidRDefault="00952245">
      <w:pPr>
        <w:spacing w:before="240" w:after="240" w:line="360" w:lineRule="auto"/>
        <w:jc w:val="both"/>
      </w:pPr>
      <w: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383C3EB8" w14:textId="77777777" w:rsidR="0002713F" w:rsidRDefault="00952245">
      <w:pPr>
        <w:spacing w:before="240" w:after="240" w:line="360" w:lineRule="auto"/>
        <w:jc w:val="both"/>
      </w:pPr>
      <w:r>
        <w:t xml:space="preserve">Los miembros de un Ayuntamiento serán designados en una sola elección. Se distinguirán las regidoras y los regidores por el orden numérico y los síndicos cuando sean dos, en la misma forma. Por su parte, las regidoras y los regidores de mayoría relativa y de representación proporcional tendrán los mismos derechos y obligaciones, conforme a la ley de la materia. </w:t>
      </w:r>
    </w:p>
    <w:p w14:paraId="7A3EE9B0" w14:textId="77777777" w:rsidR="0002713F" w:rsidRDefault="00952245">
      <w:pPr>
        <w:spacing w:before="240" w:after="240" w:line="360" w:lineRule="auto"/>
        <w:jc w:val="both"/>
      </w:pPr>
      <w:r>
        <w:t>Por su parte, el artículo 119 de la Constitución Política del Estado Libre y Soberano del Estado de México enlista y reconoce los requisitos que deberán cubrirse para ser miembro del Ayuntamiento, a saber:</w:t>
      </w:r>
    </w:p>
    <w:p w14:paraId="5A9804C4" w14:textId="77777777" w:rsidR="0002713F" w:rsidRDefault="00952245">
      <w:pPr>
        <w:spacing w:before="240" w:after="240" w:line="276" w:lineRule="auto"/>
        <w:ind w:left="567" w:right="616"/>
        <w:jc w:val="both"/>
        <w:rPr>
          <w:i/>
          <w:sz w:val="22"/>
          <w:szCs w:val="22"/>
        </w:rPr>
      </w:pPr>
      <w:r>
        <w:rPr>
          <w:i/>
          <w:sz w:val="22"/>
          <w:szCs w:val="22"/>
        </w:rPr>
        <w:t>“Artículo 119.- Para ser miembro propietario o suplente de un ayuntamiento se requiere:</w:t>
      </w:r>
    </w:p>
    <w:p w14:paraId="14FBA88D" w14:textId="77777777" w:rsidR="0002713F" w:rsidRDefault="00952245">
      <w:pPr>
        <w:spacing w:before="240" w:after="240" w:line="276" w:lineRule="auto"/>
        <w:ind w:left="567" w:right="616"/>
        <w:jc w:val="both"/>
        <w:rPr>
          <w:i/>
          <w:sz w:val="22"/>
          <w:szCs w:val="22"/>
        </w:rPr>
      </w:pPr>
      <w:r>
        <w:rPr>
          <w:i/>
          <w:sz w:val="22"/>
          <w:szCs w:val="22"/>
        </w:rPr>
        <w:t>I. Ser mexicana o mexicano, ciudadana o ciudadano del Estado, en pleno ejercicio de sus derechos;</w:t>
      </w:r>
    </w:p>
    <w:p w14:paraId="157DD86E" w14:textId="77777777" w:rsidR="0002713F" w:rsidRDefault="00952245">
      <w:pPr>
        <w:spacing w:before="240" w:after="240" w:line="276" w:lineRule="auto"/>
        <w:ind w:left="567" w:right="616"/>
        <w:jc w:val="both"/>
        <w:rPr>
          <w:i/>
          <w:sz w:val="22"/>
          <w:szCs w:val="22"/>
        </w:rPr>
      </w:pPr>
      <w:r>
        <w:rPr>
          <w:i/>
          <w:sz w:val="22"/>
          <w:szCs w:val="22"/>
        </w:rPr>
        <w:t>II. Ser mexiquense con residencia efectiva en el municipio no menor a un año o vecino del mismo, con residencia efectiva en su territorio no menor a tres años, anteriores al día de la elección; y</w:t>
      </w:r>
    </w:p>
    <w:p w14:paraId="17E4B813" w14:textId="77777777" w:rsidR="0002713F" w:rsidRDefault="00952245">
      <w:pPr>
        <w:spacing w:before="240" w:after="240" w:line="276" w:lineRule="auto"/>
        <w:ind w:left="567" w:right="616"/>
        <w:jc w:val="both"/>
        <w:rPr>
          <w:i/>
          <w:sz w:val="22"/>
          <w:szCs w:val="22"/>
        </w:rPr>
      </w:pPr>
      <w:r>
        <w:rPr>
          <w:i/>
          <w:sz w:val="22"/>
          <w:szCs w:val="22"/>
        </w:rPr>
        <w:t>III. Ser de reconocida probidad y buena fama pública.</w:t>
      </w:r>
    </w:p>
    <w:p w14:paraId="3C7668A6" w14:textId="77777777" w:rsidR="0002713F" w:rsidRDefault="00952245">
      <w:pPr>
        <w:spacing w:before="240" w:after="240" w:line="276" w:lineRule="auto"/>
        <w:ind w:left="567" w:right="616"/>
        <w:jc w:val="both"/>
        <w:rPr>
          <w:i/>
          <w:sz w:val="22"/>
          <w:szCs w:val="22"/>
        </w:rPr>
      </w:pPr>
      <w:r>
        <w:rPr>
          <w:i/>
          <w:sz w:val="22"/>
          <w:szCs w:val="22"/>
        </w:rPr>
        <w:t>IV. No estar condenada o condenado por sentencia ejecutoriada por el delito de violencia política contra las mujeres en razón de género;</w:t>
      </w:r>
    </w:p>
    <w:p w14:paraId="2599878A" w14:textId="77777777" w:rsidR="0002713F" w:rsidRDefault="00952245">
      <w:pPr>
        <w:spacing w:before="240" w:after="240" w:line="276" w:lineRule="auto"/>
        <w:ind w:left="567" w:right="616"/>
        <w:jc w:val="both"/>
        <w:rPr>
          <w:i/>
          <w:sz w:val="22"/>
          <w:szCs w:val="22"/>
        </w:rPr>
      </w:pPr>
      <w:r>
        <w:rPr>
          <w:i/>
          <w:sz w:val="22"/>
          <w:szCs w:val="22"/>
        </w:rPr>
        <w:t>V. No estar inscrito en el Registro de Deudores Alimentarios Morosos en el Estado, ni en otra entidad federativa, y</w:t>
      </w:r>
    </w:p>
    <w:p w14:paraId="0DF18DCE" w14:textId="77777777" w:rsidR="0002713F" w:rsidRDefault="00952245">
      <w:pPr>
        <w:spacing w:before="240" w:after="240" w:line="276" w:lineRule="auto"/>
        <w:ind w:left="567" w:right="616"/>
        <w:jc w:val="both"/>
        <w:rPr>
          <w:i/>
          <w:sz w:val="22"/>
          <w:szCs w:val="22"/>
        </w:rPr>
      </w:pPr>
      <w:r>
        <w:rPr>
          <w:i/>
          <w:sz w:val="22"/>
          <w:szCs w:val="22"/>
        </w:rPr>
        <w:t>VI. No estar condenada o condenado por sentencia ejecutoriada por delitos de violencia familiar, contra la libertad sexual o de violencia de género.”</w:t>
      </w:r>
    </w:p>
    <w:p w14:paraId="06D9D50E" w14:textId="77777777" w:rsidR="0002713F" w:rsidRDefault="00952245">
      <w:pPr>
        <w:spacing w:before="240" w:after="240" w:line="360" w:lineRule="auto"/>
        <w:jc w:val="both"/>
        <w:rPr>
          <w:sz w:val="22"/>
          <w:szCs w:val="22"/>
        </w:rPr>
      </w:pPr>
      <w:r>
        <w:t>Así las cosas, no se advierte que para ser miembro de un Ayuntamiento, como lo supone el cargo de Presidente Municipal, se requiera de tener un grado de estudios o experiencia específica para ocupar el puesto en cuestión, pues éste se designa por la sociedad a través de mecanismos electorales donde los habitantes de un municipio, cada tres años, eligen a quienes fungirán como jefes de la administración pública municipal, por lo que con el documento proporcionado por el Sujeto Obligado, en respuesta, se estima que se satisface el derecho de acceso a la información ejercido por el particular.</w:t>
      </w:r>
      <w:r>
        <w:rPr>
          <w:sz w:val="22"/>
          <w:szCs w:val="22"/>
        </w:rPr>
        <w:t xml:space="preserve"> </w:t>
      </w:r>
    </w:p>
    <w:p w14:paraId="6DCF3CEB" w14:textId="77777777" w:rsidR="0002713F" w:rsidRDefault="00952245">
      <w:pPr>
        <w:spacing w:before="240" w:after="240" w:line="360" w:lineRule="auto"/>
        <w:ind w:right="49"/>
        <w:jc w:val="both"/>
      </w:pPr>
      <w:r>
        <w:t xml:space="preserve">Ahora, respecto del actuar del </w:t>
      </w:r>
      <w:r>
        <w:rPr>
          <w:b/>
        </w:rPr>
        <w:t>SUJETO OBLIGADO</w:t>
      </w:r>
      <w:r>
        <w:t xml:space="preserve">, como se dijo, de la respuesta  se aprecia que se dejaron a la vista datos personales susceptibles de ser clasificados como confidenciales, tal es el caso de la edad, teléfono particular y correo personal,  la cual actualiza la causal de clasificación prevista en el artículo 143, fracción I, de la Ley de Transparencia y Acceso a la Información Pública del Estado de México y Municipios, </w:t>
      </w:r>
      <w:r>
        <w:rPr>
          <w:color w:val="000000"/>
        </w:rPr>
        <w:t xml:space="preserve">no obstante toda vez que ya se ha hecho del conocimiento del particular, únicamente se conmina a la </w:t>
      </w:r>
      <w:r>
        <w:rPr>
          <w:b/>
          <w:color w:val="000000"/>
        </w:rPr>
        <w:t>RECURRENTE</w:t>
      </w:r>
      <w:r>
        <w:rPr>
          <w:color w:val="000000"/>
        </w:rPr>
        <w:t xml:space="preserve"> a hacer buen uso de ella y evitar su difusión, </w:t>
      </w:r>
      <w:r>
        <w:t xml:space="preserve"> asimismo se considera procedente dar vista al área competente para que en ejercicio de sus atribuciones realice las investigaciones pertinentes por las omisiones detectadas atribuibles al </w:t>
      </w:r>
      <w:r>
        <w:rPr>
          <w:b/>
        </w:rPr>
        <w:t>SUJETO OBLIGADO</w:t>
      </w:r>
      <w:r>
        <w:t>.</w:t>
      </w:r>
    </w:p>
    <w:p w14:paraId="42610479" w14:textId="77777777" w:rsidR="0002713F" w:rsidRDefault="00952245">
      <w:pPr>
        <w:spacing w:before="240" w:after="240" w:line="360" w:lineRule="auto"/>
        <w:ind w:right="49"/>
        <w:jc w:val="both"/>
      </w:pPr>
      <w:r>
        <w:t xml:space="preserve">Sobre el particular, si bien, la presente Resolución no tiene por objetivo investigar y determinar posibles violaciones al derecho a la protección de Datos Personales, toda vez que este Organismo Autónomo, advirtió en la sustanciación de éste una violación en el tratamiento efectuado por el </w:t>
      </w:r>
      <w:r>
        <w:rPr>
          <w:b/>
        </w:rPr>
        <w:t>SUJETO OBLIGADO</w:t>
      </w:r>
      <w:r>
        <w:t>, se considera procedente dar vista al Contralor Interno y Titular del Órgano de Control y Vigilancia de este Instituto.</w:t>
      </w:r>
    </w:p>
    <w:p w14:paraId="1EF56E99" w14:textId="77777777" w:rsidR="0002713F" w:rsidRDefault="00952245">
      <w:pPr>
        <w:spacing w:before="240" w:after="240" w:line="360" w:lineRule="auto"/>
        <w:jc w:val="both"/>
      </w:pPr>
      <w: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8A0B8DA" w14:textId="77777777" w:rsidR="0002713F" w:rsidRDefault="00952245">
      <w:pPr>
        <w:numPr>
          <w:ilvl w:val="0"/>
          <w:numId w:val="1"/>
        </w:numPr>
        <w:pBdr>
          <w:top w:val="nil"/>
          <w:left w:val="nil"/>
          <w:bottom w:val="nil"/>
          <w:right w:val="nil"/>
          <w:between w:val="nil"/>
        </w:pBdr>
        <w:spacing w:before="240" w:after="240" w:line="360" w:lineRule="auto"/>
        <w:jc w:val="center"/>
        <w:rPr>
          <w:b/>
        </w:rPr>
      </w:pPr>
      <w:r>
        <w:rPr>
          <w:b/>
        </w:rPr>
        <w:t>R E S U E L V E:</w:t>
      </w:r>
    </w:p>
    <w:p w14:paraId="58E051CB" w14:textId="77777777" w:rsidR="0002713F" w:rsidRDefault="00952245">
      <w:pPr>
        <w:spacing w:before="240" w:after="240" w:line="360" w:lineRule="auto"/>
        <w:jc w:val="both"/>
        <w:rPr>
          <w:b/>
        </w:rPr>
      </w:pPr>
      <w:bookmarkStart w:id="10" w:name="_heading=h.3dy6vkm" w:colFirst="0" w:colLast="0"/>
      <w:bookmarkEnd w:id="10"/>
      <w:r>
        <w:rPr>
          <w:b/>
        </w:rPr>
        <w:t xml:space="preserve">Primero. </w:t>
      </w:r>
      <w:r>
        <w:t>Resultan</w:t>
      </w:r>
      <w:r>
        <w:rPr>
          <w:b/>
        </w:rPr>
        <w:t xml:space="preserve"> </w:t>
      </w:r>
      <w:r>
        <w:t xml:space="preserve">infundados los motivos de inconformidad hechos valer por la parte </w:t>
      </w:r>
      <w:r>
        <w:rPr>
          <w:b/>
        </w:rPr>
        <w:t xml:space="preserve">Recurrente </w:t>
      </w:r>
      <w:r>
        <w:t xml:space="preserve">en el recurso de revisión </w:t>
      </w:r>
      <w:r>
        <w:rPr>
          <w:b/>
        </w:rPr>
        <w:t xml:space="preserve">00669/INFOEM/IP/RR/2022, </w:t>
      </w:r>
      <w:r>
        <w:t xml:space="preserve">por lo que, en términos del Considerando </w:t>
      </w:r>
      <w:r>
        <w:rPr>
          <w:b/>
        </w:rPr>
        <w:t>Cuarto</w:t>
      </w:r>
      <w:r>
        <w:t xml:space="preserve"> de la presente resolución. </w:t>
      </w:r>
    </w:p>
    <w:p w14:paraId="30AEC757" w14:textId="77777777" w:rsidR="0002713F" w:rsidRDefault="00952245">
      <w:pPr>
        <w:spacing w:before="240" w:after="240" w:line="360" w:lineRule="auto"/>
        <w:jc w:val="both"/>
        <w:rPr>
          <w:b/>
        </w:rPr>
      </w:pPr>
      <w:bookmarkStart w:id="11" w:name="_heading=h.1t3h5sf" w:colFirst="0" w:colLast="0"/>
      <w:bookmarkEnd w:id="11"/>
      <w:r>
        <w:rPr>
          <w:b/>
        </w:rPr>
        <w:t xml:space="preserve">Segundo. </w:t>
      </w:r>
      <w:r>
        <w:t xml:space="preserve">Se </w:t>
      </w:r>
      <w:r>
        <w:rPr>
          <w:b/>
        </w:rPr>
        <w:t>CONFIRMA</w:t>
      </w:r>
      <w:r>
        <w:t xml:space="preserve"> la respuesta del </w:t>
      </w:r>
      <w:r>
        <w:rPr>
          <w:b/>
        </w:rPr>
        <w:t>SUJETO OBLIGADO</w:t>
      </w:r>
      <w:r>
        <w:t xml:space="preserve"> emitida a la solicitud de información </w:t>
      </w:r>
      <w:r>
        <w:rPr>
          <w:b/>
        </w:rPr>
        <w:t xml:space="preserve">000012/TEPETLAO/IP/2022. </w:t>
      </w:r>
    </w:p>
    <w:p w14:paraId="3C223257" w14:textId="77777777" w:rsidR="0002713F" w:rsidRDefault="00952245">
      <w:pPr>
        <w:spacing w:before="240" w:after="240" w:line="360" w:lineRule="auto"/>
        <w:jc w:val="both"/>
        <w:rPr>
          <w:b/>
        </w:rPr>
      </w:pPr>
      <w:r>
        <w:rPr>
          <w:b/>
        </w:rPr>
        <w:t xml:space="preserve">Tercero. Notifíquese, </w:t>
      </w:r>
      <w:r>
        <w:t>vía</w:t>
      </w:r>
      <w:r>
        <w:rPr>
          <w:b/>
        </w:rPr>
        <w:t xml:space="preserve"> SAIMEX, </w:t>
      </w:r>
      <w:r>
        <w:t xml:space="preserve">al Responsable de la Unidad de Transparencia del </w:t>
      </w:r>
      <w:r>
        <w:rPr>
          <w:b/>
        </w:rPr>
        <w:t>Sujeto Obligado</w:t>
      </w:r>
      <w:r>
        <w:t xml:space="preserve"> la presente resolución, para su conocimiento. </w:t>
      </w:r>
    </w:p>
    <w:p w14:paraId="06F2165D" w14:textId="77777777" w:rsidR="0002713F" w:rsidRDefault="00952245">
      <w:pPr>
        <w:spacing w:before="240" w:after="240" w:line="360" w:lineRule="auto"/>
        <w:jc w:val="both"/>
      </w:pPr>
      <w:bookmarkStart w:id="12" w:name="_heading=h.4d34og8" w:colFirst="0" w:colLast="0"/>
      <w:bookmarkEnd w:id="12"/>
      <w:r>
        <w:rPr>
          <w:b/>
        </w:rPr>
        <w:t xml:space="preserve">Cuarto.  Notifíquese, </w:t>
      </w:r>
      <w:r>
        <w:t xml:space="preserve">vía </w:t>
      </w:r>
      <w:r>
        <w:rPr>
          <w:b/>
        </w:rPr>
        <w:t>SAIMEX</w:t>
      </w:r>
      <w:r>
        <w:t xml:space="preserve">, a la parte </w:t>
      </w:r>
      <w:r>
        <w:rPr>
          <w:b/>
        </w:rPr>
        <w:t>Recurrente</w:t>
      </w:r>
      <w: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050B0B3" w14:textId="77777777" w:rsidR="0002713F" w:rsidRDefault="00952245">
      <w:pPr>
        <w:spacing w:before="240" w:after="240" w:line="360" w:lineRule="auto"/>
        <w:jc w:val="both"/>
        <w:rPr>
          <w:b/>
        </w:rPr>
      </w:pPr>
      <w:r>
        <w:rPr>
          <w:b/>
        </w:rPr>
        <w:t xml:space="preserve">Quinto. Gírese </w:t>
      </w:r>
      <w: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b/>
        </w:rPr>
        <w:t xml:space="preserve"> Cuarto </w:t>
      </w:r>
      <w:r>
        <w:t>de la presente resolución.</w:t>
      </w:r>
    </w:p>
    <w:p w14:paraId="02977E60" w14:textId="58D92467" w:rsidR="0002713F" w:rsidRDefault="00952245">
      <w:pPr>
        <w:spacing w:before="240" w:after="240" w:line="360" w:lineRule="auto"/>
        <w:jc w:val="both"/>
      </w:pPr>
      <w: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A382A">
        <w:t xml:space="preserve">SHARON CRISTINA MORALES MARTÍNEZ; </w:t>
      </w:r>
      <w:r>
        <w:t>LUIS GUSTAVO PARRA NORIEGA</w:t>
      </w:r>
      <w:r w:rsidR="00AA382A">
        <w:t xml:space="preserve"> </w:t>
      </w:r>
      <w:r w:rsidR="00AA382A" w:rsidRPr="00AA382A">
        <w:t xml:space="preserve">(AUSENCIA JUSTIFICADA)  </w:t>
      </w:r>
      <w:r w:rsidR="00AA382A">
        <w:t>Y GUADALUPE RAMÍREZ PEÑA</w:t>
      </w:r>
      <w:r>
        <w:t>; EN LA DÉCIMA PRIMERA SESIÓN ORDINARIA CELEBRADA EL VEINTICUATRO DE MARZO DE DOS MIL VEINTIDÓS, ANTE EL SECRETARIO TÉCNICO DEL PLENO, ALEXIS TAPIA RAMÍREZ.</w:t>
      </w:r>
    </w:p>
    <w:p w14:paraId="08D7D6F6" w14:textId="77777777" w:rsidR="0002713F" w:rsidRDefault="0002713F">
      <w:pPr>
        <w:spacing w:before="240" w:after="240" w:line="360" w:lineRule="auto"/>
        <w:jc w:val="both"/>
      </w:pPr>
    </w:p>
    <w:p w14:paraId="5B5E43AE" w14:textId="77777777" w:rsidR="0002713F" w:rsidRDefault="0002713F">
      <w:pPr>
        <w:spacing w:before="240" w:after="240" w:line="360" w:lineRule="auto"/>
        <w:jc w:val="both"/>
        <w:rPr>
          <w:sz w:val="20"/>
          <w:szCs w:val="20"/>
        </w:rPr>
      </w:pPr>
    </w:p>
    <w:p w14:paraId="4A575067" w14:textId="77777777" w:rsidR="0002713F" w:rsidRDefault="0002713F">
      <w:pPr>
        <w:spacing w:before="240" w:after="240" w:line="360" w:lineRule="auto"/>
        <w:jc w:val="both"/>
        <w:rPr>
          <w:sz w:val="20"/>
          <w:szCs w:val="20"/>
        </w:rPr>
      </w:pPr>
    </w:p>
    <w:p w14:paraId="12B4670C" w14:textId="77777777" w:rsidR="0002713F" w:rsidRDefault="0002713F">
      <w:pPr>
        <w:spacing w:before="240" w:after="240" w:line="360" w:lineRule="auto"/>
        <w:jc w:val="both"/>
        <w:rPr>
          <w:sz w:val="20"/>
          <w:szCs w:val="20"/>
        </w:rPr>
      </w:pPr>
    </w:p>
    <w:p w14:paraId="2DE1F2DB" w14:textId="77777777" w:rsidR="0002713F" w:rsidRDefault="0002713F">
      <w:pPr>
        <w:spacing w:before="240" w:after="240" w:line="360" w:lineRule="auto"/>
        <w:jc w:val="both"/>
        <w:rPr>
          <w:sz w:val="20"/>
          <w:szCs w:val="20"/>
        </w:rPr>
      </w:pPr>
    </w:p>
    <w:p w14:paraId="502E7793" w14:textId="77777777" w:rsidR="0002713F" w:rsidRDefault="0002713F">
      <w:pPr>
        <w:spacing w:before="240" w:after="240" w:line="360" w:lineRule="auto"/>
        <w:jc w:val="both"/>
        <w:rPr>
          <w:sz w:val="20"/>
          <w:szCs w:val="20"/>
        </w:rPr>
      </w:pPr>
    </w:p>
    <w:p w14:paraId="21AE2F33" w14:textId="77777777" w:rsidR="0002713F" w:rsidRDefault="0002713F">
      <w:pPr>
        <w:spacing w:before="240" w:after="240" w:line="360" w:lineRule="auto"/>
        <w:jc w:val="both"/>
        <w:rPr>
          <w:sz w:val="20"/>
          <w:szCs w:val="20"/>
        </w:rPr>
      </w:pPr>
    </w:p>
    <w:p w14:paraId="3255877A" w14:textId="77777777" w:rsidR="0002713F" w:rsidRDefault="0002713F">
      <w:pPr>
        <w:spacing w:before="240" w:after="240" w:line="360" w:lineRule="auto"/>
        <w:jc w:val="both"/>
        <w:rPr>
          <w:sz w:val="20"/>
          <w:szCs w:val="20"/>
        </w:rPr>
      </w:pPr>
    </w:p>
    <w:p w14:paraId="163B25E5" w14:textId="77777777" w:rsidR="0002713F" w:rsidRDefault="0002713F">
      <w:pPr>
        <w:spacing w:before="240" w:after="240" w:line="360" w:lineRule="auto"/>
        <w:jc w:val="both"/>
        <w:rPr>
          <w:sz w:val="20"/>
          <w:szCs w:val="20"/>
        </w:rPr>
      </w:pPr>
    </w:p>
    <w:p w14:paraId="76297C1C" w14:textId="77777777" w:rsidR="0002713F" w:rsidRDefault="0002713F">
      <w:pPr>
        <w:spacing w:before="240" w:after="240" w:line="360" w:lineRule="auto"/>
        <w:jc w:val="both"/>
        <w:rPr>
          <w:sz w:val="20"/>
          <w:szCs w:val="20"/>
        </w:rPr>
      </w:pPr>
    </w:p>
    <w:p w14:paraId="308B27AC" w14:textId="77777777" w:rsidR="0002713F" w:rsidRDefault="0002713F">
      <w:pPr>
        <w:spacing w:before="240" w:after="240" w:line="360" w:lineRule="auto"/>
        <w:jc w:val="both"/>
        <w:rPr>
          <w:sz w:val="20"/>
          <w:szCs w:val="20"/>
        </w:rPr>
      </w:pPr>
    </w:p>
    <w:p w14:paraId="657DC1BB" w14:textId="77777777" w:rsidR="0002713F" w:rsidRDefault="0002713F">
      <w:pPr>
        <w:spacing w:before="240" w:after="240" w:line="360" w:lineRule="auto"/>
        <w:jc w:val="both"/>
        <w:rPr>
          <w:sz w:val="20"/>
          <w:szCs w:val="20"/>
        </w:rPr>
      </w:pPr>
    </w:p>
    <w:p w14:paraId="247E1161" w14:textId="77777777" w:rsidR="0002713F" w:rsidRDefault="0002713F">
      <w:pPr>
        <w:spacing w:before="240" w:after="240" w:line="360" w:lineRule="auto"/>
        <w:jc w:val="both"/>
        <w:rPr>
          <w:sz w:val="20"/>
          <w:szCs w:val="20"/>
        </w:rPr>
      </w:pPr>
    </w:p>
    <w:p w14:paraId="136D860A" w14:textId="77777777" w:rsidR="0002713F" w:rsidRDefault="0002713F">
      <w:pPr>
        <w:spacing w:before="240" w:after="240" w:line="360" w:lineRule="auto"/>
        <w:jc w:val="both"/>
        <w:rPr>
          <w:sz w:val="20"/>
          <w:szCs w:val="20"/>
        </w:rPr>
      </w:pPr>
    </w:p>
    <w:p w14:paraId="6BBBF244" w14:textId="77777777" w:rsidR="0002713F" w:rsidRDefault="0002713F">
      <w:pPr>
        <w:spacing w:before="240" w:after="240" w:line="360" w:lineRule="auto"/>
        <w:jc w:val="both"/>
        <w:rPr>
          <w:sz w:val="20"/>
          <w:szCs w:val="20"/>
        </w:rPr>
      </w:pPr>
    </w:p>
    <w:sectPr w:rsidR="0002713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E985D" w14:textId="77777777" w:rsidR="00513481" w:rsidRDefault="00513481">
      <w:r>
        <w:separator/>
      </w:r>
    </w:p>
  </w:endnote>
  <w:endnote w:type="continuationSeparator" w:id="0">
    <w:p w14:paraId="537F546B" w14:textId="77777777" w:rsidR="00513481" w:rsidRDefault="0051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719E0" w14:textId="77777777" w:rsidR="0002713F" w:rsidRDefault="00952245">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B40804">
      <w:rPr>
        <w:b/>
        <w:noProof/>
        <w:color w:val="000000"/>
        <w:sz w:val="20"/>
        <w:szCs w:val="20"/>
      </w:rPr>
      <w:t>21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B40804">
      <w:rPr>
        <w:b/>
        <w:noProof/>
        <w:color w:val="000000"/>
        <w:sz w:val="20"/>
        <w:szCs w:val="20"/>
      </w:rPr>
      <w:t>21</w:t>
    </w:r>
    <w:r>
      <w:rPr>
        <w:b/>
        <w:color w:val="000000"/>
        <w:sz w:val="20"/>
        <w:szCs w:val="20"/>
      </w:rPr>
      <w:fldChar w:fldCharType="end"/>
    </w:r>
  </w:p>
  <w:p w14:paraId="3B9864DE" w14:textId="77777777" w:rsidR="0002713F" w:rsidRDefault="000271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53F1" w14:textId="77777777" w:rsidR="0002713F" w:rsidRDefault="00952245">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B40804">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B40804">
      <w:rPr>
        <w:b/>
        <w:noProof/>
        <w:color w:val="000000"/>
        <w:sz w:val="20"/>
        <w:szCs w:val="20"/>
      </w:rPr>
      <w:t>21</w:t>
    </w:r>
    <w:r>
      <w:rPr>
        <w:b/>
        <w:color w:val="000000"/>
        <w:sz w:val="20"/>
        <w:szCs w:val="20"/>
      </w:rPr>
      <w:fldChar w:fldCharType="end"/>
    </w:r>
  </w:p>
  <w:p w14:paraId="759B2F52" w14:textId="77777777" w:rsidR="0002713F" w:rsidRDefault="000271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FB619" w14:textId="77777777" w:rsidR="00513481" w:rsidRDefault="00513481">
      <w:r>
        <w:separator/>
      </w:r>
    </w:p>
  </w:footnote>
  <w:footnote w:type="continuationSeparator" w:id="0">
    <w:p w14:paraId="4A0E1CB9" w14:textId="77777777" w:rsidR="00513481" w:rsidRDefault="00513481">
      <w:r>
        <w:continuationSeparator/>
      </w:r>
    </w:p>
  </w:footnote>
  <w:footnote w:id="1">
    <w:p w14:paraId="1B5C334B" w14:textId="77777777" w:rsidR="0002713F" w:rsidRDefault="00952245">
      <w:pPr>
        <w:pBdr>
          <w:top w:val="nil"/>
          <w:left w:val="nil"/>
          <w:bottom w:val="nil"/>
          <w:right w:val="nil"/>
          <w:between w:val="nil"/>
        </w:pBdr>
        <w:ind w:left="720" w:hanging="720"/>
        <w:jc w:val="both"/>
        <w:rPr>
          <w:color w:val="000000"/>
          <w:sz w:val="16"/>
          <w:szCs w:val="16"/>
        </w:rPr>
      </w:pPr>
      <w:r>
        <w:rPr>
          <w:vertAlign w:val="superscript"/>
        </w:rPr>
        <w:footnoteRef/>
      </w:r>
      <w:r>
        <w:rPr>
          <w:color w:val="000000"/>
          <w:sz w:val="16"/>
          <w:szCs w:val="16"/>
        </w:rPr>
        <w:t xml:space="preserve"> “</w:t>
      </w:r>
      <w:r>
        <w:rPr>
          <w:b/>
          <w:color w:val="000000"/>
          <w:sz w:val="16"/>
          <w:szCs w:val="16"/>
        </w:rPr>
        <w:t>Artículo 185.</w:t>
      </w:r>
      <w:r>
        <w:rPr>
          <w:color w:val="000000"/>
          <w:sz w:val="16"/>
          <w:szCs w:val="16"/>
        </w:rPr>
        <w:t xml:space="preserve"> El Instituto resolverá el recurso de revisión conforme a lo siguiente: (…)</w:t>
      </w:r>
    </w:p>
    <w:p w14:paraId="3B288CB4" w14:textId="77777777" w:rsidR="0002713F" w:rsidRDefault="00952245">
      <w:pPr>
        <w:pBdr>
          <w:top w:val="nil"/>
          <w:left w:val="nil"/>
          <w:bottom w:val="nil"/>
          <w:right w:val="nil"/>
          <w:between w:val="nil"/>
        </w:pBdr>
        <w:jc w:val="both"/>
        <w:rPr>
          <w:color w:val="000000"/>
          <w:sz w:val="16"/>
          <w:szCs w:val="16"/>
        </w:rPr>
      </w:pPr>
      <w:r>
        <w:rPr>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51E6" w14:textId="77777777" w:rsidR="0002713F" w:rsidRDefault="009522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6070B23" wp14:editId="374335D3">
          <wp:simplePos x="0" y="0"/>
          <wp:positionH relativeFrom="column">
            <wp:posOffset>-1099818</wp:posOffset>
          </wp:positionH>
          <wp:positionV relativeFrom="paragraph">
            <wp:posOffset>-370000</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02713F" w14:paraId="40F4FE26" w14:textId="77777777">
      <w:tc>
        <w:tcPr>
          <w:tcW w:w="2489" w:type="dxa"/>
          <w:shd w:val="clear" w:color="auto" w:fill="auto"/>
        </w:tcPr>
        <w:p w14:paraId="0FEBAA8A" w14:textId="77777777" w:rsidR="0002713F" w:rsidRDefault="00952245">
          <w:pPr>
            <w:rPr>
              <w:b/>
              <w:sz w:val="22"/>
              <w:szCs w:val="22"/>
            </w:rPr>
          </w:pPr>
          <w:r>
            <w:rPr>
              <w:b/>
              <w:sz w:val="22"/>
              <w:szCs w:val="22"/>
            </w:rPr>
            <w:t>Recurso de Revisión:</w:t>
          </w:r>
        </w:p>
      </w:tc>
      <w:tc>
        <w:tcPr>
          <w:tcW w:w="3464" w:type="dxa"/>
          <w:shd w:val="clear" w:color="auto" w:fill="auto"/>
          <w:vAlign w:val="center"/>
        </w:tcPr>
        <w:p w14:paraId="5EFA3CA2" w14:textId="77777777" w:rsidR="0002713F" w:rsidRDefault="00952245">
          <w:pPr>
            <w:ind w:right="175"/>
            <w:jc w:val="both"/>
            <w:rPr>
              <w:b/>
              <w:sz w:val="22"/>
              <w:szCs w:val="22"/>
            </w:rPr>
          </w:pPr>
          <w:r>
            <w:rPr>
              <w:b/>
              <w:sz w:val="22"/>
              <w:szCs w:val="22"/>
            </w:rPr>
            <w:t>00669/INFOEM/IP/RR/2022</w:t>
          </w:r>
        </w:p>
      </w:tc>
    </w:tr>
    <w:tr w:rsidR="0002713F" w14:paraId="5638224D" w14:textId="77777777">
      <w:trPr>
        <w:trHeight w:val="228"/>
      </w:trPr>
      <w:tc>
        <w:tcPr>
          <w:tcW w:w="2489" w:type="dxa"/>
          <w:shd w:val="clear" w:color="auto" w:fill="auto"/>
          <w:vAlign w:val="center"/>
        </w:tcPr>
        <w:p w14:paraId="11C6D5D8" w14:textId="77777777" w:rsidR="0002713F" w:rsidRDefault="00952245">
          <w:pPr>
            <w:rPr>
              <w:b/>
              <w:sz w:val="22"/>
              <w:szCs w:val="22"/>
            </w:rPr>
          </w:pPr>
          <w:r>
            <w:rPr>
              <w:b/>
              <w:sz w:val="22"/>
              <w:szCs w:val="22"/>
            </w:rPr>
            <w:t>Sujeto Obligado:</w:t>
          </w:r>
        </w:p>
      </w:tc>
      <w:tc>
        <w:tcPr>
          <w:tcW w:w="3464" w:type="dxa"/>
          <w:shd w:val="clear" w:color="auto" w:fill="auto"/>
          <w:vAlign w:val="center"/>
        </w:tcPr>
        <w:p w14:paraId="14067160" w14:textId="77777777" w:rsidR="0002713F" w:rsidRDefault="00952245">
          <w:pPr>
            <w:ind w:left="-45" w:right="176"/>
            <w:jc w:val="both"/>
            <w:rPr>
              <w:b/>
              <w:sz w:val="22"/>
              <w:szCs w:val="22"/>
            </w:rPr>
          </w:pPr>
          <w:r>
            <w:rPr>
              <w:b/>
              <w:sz w:val="22"/>
              <w:szCs w:val="22"/>
            </w:rPr>
            <w:t>Ayuntamiento de Tepetlaoxtoc</w:t>
          </w:r>
        </w:p>
      </w:tc>
    </w:tr>
    <w:tr w:rsidR="0002713F" w14:paraId="0DE5D986" w14:textId="77777777">
      <w:tc>
        <w:tcPr>
          <w:tcW w:w="2489" w:type="dxa"/>
          <w:shd w:val="clear" w:color="auto" w:fill="auto"/>
          <w:vAlign w:val="center"/>
        </w:tcPr>
        <w:p w14:paraId="4288C72E" w14:textId="77777777" w:rsidR="0002713F" w:rsidRDefault="00952245">
          <w:pPr>
            <w:ind w:right="-108"/>
            <w:rPr>
              <w:b/>
              <w:sz w:val="22"/>
              <w:szCs w:val="22"/>
            </w:rPr>
          </w:pPr>
          <w:r>
            <w:rPr>
              <w:b/>
              <w:sz w:val="22"/>
              <w:szCs w:val="22"/>
            </w:rPr>
            <w:t>Comisionada ponente:</w:t>
          </w:r>
        </w:p>
      </w:tc>
      <w:tc>
        <w:tcPr>
          <w:tcW w:w="3464" w:type="dxa"/>
          <w:shd w:val="clear" w:color="auto" w:fill="auto"/>
          <w:vAlign w:val="center"/>
        </w:tcPr>
        <w:p w14:paraId="144DF612" w14:textId="77777777" w:rsidR="0002713F" w:rsidRDefault="00952245">
          <w:pPr>
            <w:ind w:right="175"/>
            <w:jc w:val="both"/>
            <w:rPr>
              <w:b/>
              <w:sz w:val="22"/>
              <w:szCs w:val="22"/>
            </w:rPr>
          </w:pPr>
          <w:r>
            <w:rPr>
              <w:b/>
              <w:sz w:val="22"/>
              <w:szCs w:val="22"/>
            </w:rPr>
            <w:t>Guadalupe Ramírez Peña</w:t>
          </w:r>
        </w:p>
      </w:tc>
    </w:tr>
  </w:tbl>
  <w:p w14:paraId="45D69A02" w14:textId="77777777" w:rsidR="0002713F" w:rsidRDefault="009522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D8F7" w14:textId="77777777" w:rsidR="0002713F" w:rsidRDefault="0002713F">
    <w:pPr>
      <w:widowControl w:val="0"/>
      <w:pBdr>
        <w:top w:val="nil"/>
        <w:left w:val="nil"/>
        <w:bottom w:val="nil"/>
        <w:right w:val="nil"/>
        <w:between w:val="nil"/>
      </w:pBdr>
      <w:spacing w:line="276" w:lineRule="auto"/>
      <w:rPr>
        <w:color w:val="000000"/>
        <w:sz w:val="16"/>
        <w:szCs w:val="16"/>
      </w:rPr>
    </w:pPr>
    <w:bookmarkStart w:id="13" w:name="_heading=h.35nkun2" w:colFirst="0" w:colLast="0"/>
    <w:bookmarkEnd w:id="13"/>
  </w:p>
  <w:tbl>
    <w:tblPr>
      <w:tblStyle w:val="a6"/>
      <w:tblW w:w="5670" w:type="dxa"/>
      <w:tblInd w:w="3261" w:type="dxa"/>
      <w:tblLayout w:type="fixed"/>
      <w:tblLook w:val="0400" w:firstRow="0" w:lastRow="0" w:firstColumn="0" w:lastColumn="0" w:noHBand="0" w:noVBand="1"/>
    </w:tblPr>
    <w:tblGrid>
      <w:gridCol w:w="2551"/>
      <w:gridCol w:w="3119"/>
    </w:tblGrid>
    <w:tr w:rsidR="0002713F" w14:paraId="6A47A712" w14:textId="77777777">
      <w:tc>
        <w:tcPr>
          <w:tcW w:w="2551" w:type="dxa"/>
          <w:shd w:val="clear" w:color="auto" w:fill="auto"/>
        </w:tcPr>
        <w:p w14:paraId="31D95AAA" w14:textId="77777777" w:rsidR="0002713F" w:rsidRDefault="00952245">
          <w:pPr>
            <w:rPr>
              <w:b/>
              <w:sz w:val="22"/>
              <w:szCs w:val="22"/>
            </w:rPr>
          </w:pPr>
          <w:bookmarkStart w:id="14" w:name="_heading=h.1ksv4uv" w:colFirst="0" w:colLast="0"/>
          <w:bookmarkEnd w:id="14"/>
          <w:r>
            <w:rPr>
              <w:b/>
              <w:sz w:val="22"/>
              <w:szCs w:val="22"/>
            </w:rPr>
            <w:t>Recurso de Revisión:</w:t>
          </w:r>
        </w:p>
      </w:tc>
      <w:tc>
        <w:tcPr>
          <w:tcW w:w="3119" w:type="dxa"/>
          <w:shd w:val="clear" w:color="auto" w:fill="auto"/>
          <w:vAlign w:val="center"/>
        </w:tcPr>
        <w:p w14:paraId="7A780AEA" w14:textId="77777777" w:rsidR="0002713F" w:rsidRDefault="00952245">
          <w:pPr>
            <w:tabs>
              <w:tab w:val="left" w:pos="3153"/>
            </w:tabs>
            <w:ind w:left="-45"/>
            <w:jc w:val="both"/>
            <w:rPr>
              <w:b/>
              <w:sz w:val="22"/>
              <w:szCs w:val="22"/>
            </w:rPr>
          </w:pPr>
          <w:r>
            <w:rPr>
              <w:b/>
              <w:sz w:val="22"/>
              <w:szCs w:val="22"/>
            </w:rPr>
            <w:t>00669/INFOEM/IP/RR/2022</w:t>
          </w:r>
        </w:p>
      </w:tc>
    </w:tr>
    <w:tr w:rsidR="0002713F" w14:paraId="23F70687" w14:textId="77777777">
      <w:trPr>
        <w:trHeight w:val="80"/>
      </w:trPr>
      <w:tc>
        <w:tcPr>
          <w:tcW w:w="2551" w:type="dxa"/>
          <w:shd w:val="clear" w:color="auto" w:fill="auto"/>
          <w:vAlign w:val="center"/>
        </w:tcPr>
        <w:p w14:paraId="59E14550" w14:textId="77777777" w:rsidR="0002713F" w:rsidRDefault="00952245">
          <w:pPr>
            <w:rPr>
              <w:b/>
              <w:sz w:val="22"/>
              <w:szCs w:val="22"/>
            </w:rPr>
          </w:pPr>
          <w:r>
            <w:rPr>
              <w:b/>
              <w:sz w:val="22"/>
              <w:szCs w:val="22"/>
            </w:rPr>
            <w:t>Recurrente:</w:t>
          </w:r>
        </w:p>
        <w:p w14:paraId="322CFDDB" w14:textId="77777777" w:rsidR="0002713F" w:rsidRDefault="00952245">
          <w:pPr>
            <w:rPr>
              <w:b/>
              <w:sz w:val="22"/>
              <w:szCs w:val="22"/>
            </w:rPr>
          </w:pPr>
          <w:r>
            <w:rPr>
              <w:b/>
              <w:sz w:val="22"/>
              <w:szCs w:val="22"/>
            </w:rPr>
            <w:t>Sujeto Obligado:</w:t>
          </w:r>
        </w:p>
      </w:tc>
      <w:tc>
        <w:tcPr>
          <w:tcW w:w="3119" w:type="dxa"/>
          <w:shd w:val="clear" w:color="auto" w:fill="auto"/>
          <w:vAlign w:val="center"/>
        </w:tcPr>
        <w:p w14:paraId="031394B4" w14:textId="77777777" w:rsidR="0002713F" w:rsidRDefault="00952245">
          <w:pPr>
            <w:jc w:val="both"/>
            <w:rPr>
              <w:b/>
              <w:sz w:val="22"/>
              <w:szCs w:val="22"/>
            </w:rPr>
          </w:pPr>
          <w:r>
            <w:rPr>
              <w:noProof/>
              <w:lang w:val="es-MX"/>
            </w:rPr>
            <w:drawing>
              <wp:anchor distT="0" distB="0" distL="0" distR="0" simplePos="0" relativeHeight="251659264" behindDoc="1" locked="0" layoutInCell="1" hidden="0" allowOverlap="1" wp14:anchorId="2874C003" wp14:editId="21F6FD32">
                <wp:simplePos x="0" y="0"/>
                <wp:positionH relativeFrom="column">
                  <wp:posOffset>-4872989</wp:posOffset>
                </wp:positionH>
                <wp:positionV relativeFrom="paragraph">
                  <wp:posOffset>-549909</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13C5E36" w14:textId="77777777" w:rsidR="0002713F" w:rsidRDefault="00952245">
          <w:pPr>
            <w:jc w:val="both"/>
            <w:rPr>
              <w:b/>
              <w:sz w:val="20"/>
              <w:szCs w:val="20"/>
            </w:rPr>
          </w:pPr>
          <w:r>
            <w:rPr>
              <w:b/>
              <w:sz w:val="20"/>
              <w:szCs w:val="20"/>
            </w:rPr>
            <w:t>Ayuntamiento de Tepetlaoxtoc</w:t>
          </w:r>
        </w:p>
      </w:tc>
    </w:tr>
    <w:tr w:rsidR="0002713F" w14:paraId="3AD5477F" w14:textId="77777777">
      <w:trPr>
        <w:trHeight w:val="228"/>
      </w:trPr>
      <w:tc>
        <w:tcPr>
          <w:tcW w:w="2551" w:type="dxa"/>
          <w:shd w:val="clear" w:color="auto" w:fill="auto"/>
          <w:vAlign w:val="center"/>
        </w:tcPr>
        <w:p w14:paraId="56C22968" w14:textId="77777777" w:rsidR="0002713F" w:rsidRDefault="00952245">
          <w:pPr>
            <w:rPr>
              <w:b/>
              <w:sz w:val="22"/>
              <w:szCs w:val="22"/>
            </w:rPr>
          </w:pPr>
          <w:r>
            <w:rPr>
              <w:b/>
              <w:sz w:val="22"/>
              <w:szCs w:val="22"/>
            </w:rPr>
            <w:t>Comisionada ponente:</w:t>
          </w:r>
        </w:p>
      </w:tc>
      <w:tc>
        <w:tcPr>
          <w:tcW w:w="3119" w:type="dxa"/>
          <w:shd w:val="clear" w:color="auto" w:fill="auto"/>
          <w:vAlign w:val="center"/>
        </w:tcPr>
        <w:p w14:paraId="71BB55BE" w14:textId="77777777" w:rsidR="0002713F" w:rsidRDefault="00952245">
          <w:pPr>
            <w:ind w:left="-45" w:right="176"/>
            <w:jc w:val="both"/>
            <w:rPr>
              <w:b/>
              <w:sz w:val="22"/>
              <w:szCs w:val="22"/>
            </w:rPr>
          </w:pPr>
          <w:r>
            <w:rPr>
              <w:b/>
              <w:sz w:val="22"/>
              <w:szCs w:val="22"/>
            </w:rPr>
            <w:t>Guadalupe Ramírez Peña</w:t>
          </w:r>
        </w:p>
      </w:tc>
    </w:tr>
    <w:tr w:rsidR="0002713F" w14:paraId="766365EE" w14:textId="77777777">
      <w:tc>
        <w:tcPr>
          <w:tcW w:w="2551" w:type="dxa"/>
          <w:shd w:val="clear" w:color="auto" w:fill="auto"/>
        </w:tcPr>
        <w:p w14:paraId="23249527" w14:textId="77777777" w:rsidR="0002713F" w:rsidRDefault="0002713F">
          <w:pPr>
            <w:rPr>
              <w:b/>
              <w:sz w:val="22"/>
              <w:szCs w:val="22"/>
            </w:rPr>
          </w:pPr>
        </w:p>
      </w:tc>
      <w:tc>
        <w:tcPr>
          <w:tcW w:w="3119" w:type="dxa"/>
          <w:shd w:val="clear" w:color="auto" w:fill="auto"/>
          <w:vAlign w:val="center"/>
        </w:tcPr>
        <w:p w14:paraId="4D7AAD9E" w14:textId="77777777" w:rsidR="0002713F" w:rsidRDefault="0002713F">
          <w:pPr>
            <w:ind w:left="-45" w:right="-533"/>
            <w:jc w:val="both"/>
            <w:rPr>
              <w:b/>
              <w:sz w:val="22"/>
              <w:szCs w:val="22"/>
            </w:rPr>
          </w:pPr>
        </w:p>
      </w:tc>
    </w:tr>
  </w:tbl>
  <w:p w14:paraId="5E4A4C00" w14:textId="77777777" w:rsidR="0002713F" w:rsidRDefault="0002713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9721D"/>
    <w:multiLevelType w:val="multilevel"/>
    <w:tmpl w:val="12547AE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5A52A1"/>
    <w:multiLevelType w:val="multilevel"/>
    <w:tmpl w:val="410012D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3F"/>
    <w:rsid w:val="0002713F"/>
    <w:rsid w:val="00513481"/>
    <w:rsid w:val="00952245"/>
    <w:rsid w:val="00AA382A"/>
    <w:rsid w:val="00B40804"/>
    <w:rsid w:val="00E22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D2FE"/>
  <w15:docId w15:val="{E2046679-389A-4129-979E-A32FB7CC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 w:type="table" w:customStyle="1" w:styleId="a3">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OFbfnmnvSD59WPvJeIdRTDZ6QQ==">AMUW2mVUqGO3Xgimt+xtXlJxXEAOCct3QOlH56D++ZmQ27P+v0dmFsqPw1eVpt2TvuTeTYBV6KNOmvr36d24fmorXExSLZFYx0CM6aIECpPSNpPciahB+gpBVq4GPXHJYNQEtcG6QQjvgKKXCGzZ/BF4OYizp4W9jYltrAt+12olF9Wk7HwGdC6f6TgrGDD6VDU1KZB84mijdCa7aqyJ1Oyo1RLEdz1d8KkZ+fggPBa7aiPDXY1nVV7fvyj+iDtRWYvIbAxMLnj7MusSTkY9qr4DJ9DJ7Aa/KozCT3uRcI1w9IhuIUG8mhtaVKcIEbsb4lJv4lsYMy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4895</Words>
  <Characters>26923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2022-04-05T22:42:00Z</dcterms:created>
  <dcterms:modified xsi:type="dcterms:W3CDTF">2022-04-05T22:42:00Z</dcterms:modified>
</cp:coreProperties>
</file>