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914AC" w14:textId="77777777" w:rsidR="00EC4447" w:rsidRDefault="00EC4447">
      <w:pPr>
        <w:widowControl w:val="0"/>
        <w:pBdr>
          <w:top w:val="nil"/>
          <w:left w:val="nil"/>
          <w:bottom w:val="nil"/>
          <w:right w:val="nil"/>
          <w:between w:val="nil"/>
        </w:pBdr>
        <w:spacing w:line="276" w:lineRule="auto"/>
      </w:pPr>
    </w:p>
    <w:p w14:paraId="07BAD3B1" w14:textId="77777777" w:rsidR="00EC4447" w:rsidRDefault="00EC4447">
      <w:pPr>
        <w:widowControl w:val="0"/>
        <w:pBdr>
          <w:top w:val="nil"/>
          <w:left w:val="nil"/>
          <w:bottom w:val="nil"/>
          <w:right w:val="nil"/>
          <w:between w:val="nil"/>
        </w:pBdr>
        <w:spacing w:line="276" w:lineRule="auto"/>
      </w:pPr>
      <w:bookmarkStart w:id="0" w:name="_heading=h.30j0zll" w:colFirst="0" w:colLast="0"/>
      <w:bookmarkStart w:id="1" w:name="_GoBack"/>
      <w:bookmarkEnd w:id="0"/>
      <w:bookmarkEnd w:id="1"/>
    </w:p>
    <w:p w14:paraId="2557F289" w14:textId="77777777" w:rsidR="00EC4447" w:rsidRDefault="00EC4447">
      <w:pPr>
        <w:widowControl w:val="0"/>
        <w:pBdr>
          <w:top w:val="nil"/>
          <w:left w:val="nil"/>
          <w:bottom w:val="nil"/>
          <w:right w:val="nil"/>
          <w:between w:val="nil"/>
        </w:pBdr>
        <w:spacing w:line="276" w:lineRule="auto"/>
      </w:pPr>
    </w:p>
    <w:p w14:paraId="3A004551"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cuatro de mayo de dos mil veintidós. </w:t>
      </w:r>
    </w:p>
    <w:p w14:paraId="376FFC35" w14:textId="77777777" w:rsidR="00EC4447" w:rsidRPr="002B7F8B" w:rsidRDefault="00EC4447">
      <w:pPr>
        <w:spacing w:line="360" w:lineRule="auto"/>
        <w:jc w:val="both"/>
        <w:rPr>
          <w:rFonts w:ascii="Palatino Linotype" w:eastAsia="Palatino Linotype" w:hAnsi="Palatino Linotype" w:cs="Palatino Linotype"/>
        </w:rPr>
      </w:pPr>
    </w:p>
    <w:p w14:paraId="5E2B578A" w14:textId="24F0780C"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b/>
          <w:sz w:val="28"/>
          <w:szCs w:val="28"/>
        </w:rPr>
        <w:t>VISTO</w:t>
      </w:r>
      <w:r w:rsidRPr="002B7F8B">
        <w:rPr>
          <w:rFonts w:ascii="Palatino Linotype" w:eastAsia="Palatino Linotype" w:hAnsi="Palatino Linotype" w:cs="Palatino Linotype"/>
        </w:rPr>
        <w:t xml:space="preserve"> el expediente formado con motivo de los Recursos de Revisión número </w:t>
      </w:r>
      <w:r w:rsidRPr="002B7F8B">
        <w:rPr>
          <w:rFonts w:ascii="Palatino Linotype" w:eastAsia="Palatino Linotype" w:hAnsi="Palatino Linotype" w:cs="Palatino Linotype"/>
          <w:b/>
        </w:rPr>
        <w:t xml:space="preserve">00807/INFOEM/IP/RR/2022 y 01078/INFOEM/IP/RR/2022 </w:t>
      </w:r>
      <w:r w:rsidRPr="002B7F8B">
        <w:rPr>
          <w:rFonts w:ascii="Palatino Linotype" w:eastAsia="Palatino Linotype" w:hAnsi="Palatino Linotype" w:cs="Palatino Linotype"/>
        </w:rPr>
        <w:t xml:space="preserve">promovidos por la </w:t>
      </w:r>
      <w:r w:rsidRPr="002B7F8B">
        <w:rPr>
          <w:rFonts w:ascii="Palatino Linotype" w:eastAsia="Palatino Linotype" w:hAnsi="Palatino Linotype" w:cs="Palatino Linotype"/>
          <w:b/>
        </w:rPr>
        <w:t xml:space="preserve">C. </w:t>
      </w:r>
      <w:r w:rsidR="00D807C1">
        <w:rPr>
          <w:rFonts w:ascii="Palatino Linotype" w:eastAsia="Palatino Linotype" w:hAnsi="Palatino Linotype" w:cs="Palatino Linotype"/>
          <w:b/>
        </w:rPr>
        <w:t>X</w:t>
      </w:r>
      <w:r w:rsidR="00D807C1">
        <w:rPr>
          <w:rFonts w:ascii="Palatino Linotype" w:eastAsia="Palatino Linotype" w:hAnsi="Palatino Linotype" w:cs="Palatino Linotype"/>
          <w:b/>
        </w:rPr>
        <w:t>xxxxx</w:t>
      </w:r>
      <w:r w:rsidR="00D807C1">
        <w:rPr>
          <w:rFonts w:ascii="Palatino Linotype" w:eastAsia="Palatino Linotype" w:hAnsi="Palatino Linotype" w:cs="Palatino Linotype"/>
          <w:b/>
        </w:rPr>
        <w:t xml:space="preserve"> X</w:t>
      </w:r>
      <w:r w:rsidR="00D807C1">
        <w:rPr>
          <w:rFonts w:ascii="Palatino Linotype" w:eastAsia="Palatino Linotype" w:hAnsi="Palatino Linotype" w:cs="Palatino Linotype"/>
          <w:b/>
        </w:rPr>
        <w:t>xxxx</w:t>
      </w:r>
      <w:r w:rsidR="00E43A02">
        <w:rPr>
          <w:rFonts w:ascii="Palatino Linotype" w:eastAsia="Palatino Linotype" w:hAnsi="Palatino Linotype" w:cs="Palatino Linotype"/>
          <w:b/>
        </w:rPr>
        <w:t xml:space="preserve"> </w:t>
      </w:r>
      <w:r w:rsidR="00D807C1">
        <w:rPr>
          <w:rFonts w:ascii="Palatino Linotype" w:eastAsia="Palatino Linotype" w:hAnsi="Palatino Linotype" w:cs="Palatino Linotype"/>
          <w:b/>
        </w:rPr>
        <w:t>X</w:t>
      </w:r>
      <w:r w:rsidR="00D807C1">
        <w:rPr>
          <w:rFonts w:ascii="Palatino Linotype" w:eastAsia="Palatino Linotype" w:hAnsi="Palatino Linotype" w:cs="Palatino Linotype"/>
          <w:b/>
        </w:rPr>
        <w:t>xxxx</w:t>
      </w:r>
      <w:r w:rsidRPr="002B7F8B">
        <w:rPr>
          <w:rFonts w:ascii="Palatino Linotype" w:eastAsia="Palatino Linotype" w:hAnsi="Palatino Linotype" w:cs="Palatino Linotype"/>
        </w:rPr>
        <w:t xml:space="preserve">, a quien en lo sucesivo se le denominara como </w:t>
      </w:r>
      <w:r w:rsidRPr="002B7F8B">
        <w:rPr>
          <w:rFonts w:ascii="Palatino Linotype" w:eastAsia="Palatino Linotype" w:hAnsi="Palatino Linotype" w:cs="Palatino Linotype"/>
          <w:b/>
        </w:rPr>
        <w:t>LA RECURRENTE,</w:t>
      </w:r>
      <w:r w:rsidRPr="002B7F8B">
        <w:rPr>
          <w:rFonts w:ascii="Palatino Linotype" w:eastAsia="Palatino Linotype" w:hAnsi="Palatino Linotype" w:cs="Palatino Linotype"/>
        </w:rPr>
        <w:t xml:space="preserve"> en contra de las respuestas del </w:t>
      </w:r>
      <w:r w:rsidRPr="002B7F8B">
        <w:rPr>
          <w:rFonts w:ascii="Palatino Linotype" w:eastAsia="Palatino Linotype" w:hAnsi="Palatino Linotype" w:cs="Palatino Linotype"/>
          <w:b/>
        </w:rPr>
        <w:t xml:space="preserve">Ayuntamiento de Chimalhuacán, </w:t>
      </w:r>
      <w:r w:rsidRPr="002B7F8B">
        <w:rPr>
          <w:rFonts w:ascii="Palatino Linotype" w:eastAsia="Palatino Linotype" w:hAnsi="Palatino Linotype" w:cs="Palatino Linotype"/>
        </w:rPr>
        <w:t xml:space="preserve">al cual en lo subsecuente se le denominará </w:t>
      </w:r>
      <w:r w:rsidRPr="002B7F8B">
        <w:rPr>
          <w:rFonts w:ascii="Palatino Linotype" w:eastAsia="Palatino Linotype" w:hAnsi="Palatino Linotype" w:cs="Palatino Linotype"/>
          <w:b/>
        </w:rPr>
        <w:t xml:space="preserve">EL SUJETO OBLIGADO, </w:t>
      </w:r>
      <w:r w:rsidRPr="002B7F8B">
        <w:rPr>
          <w:rFonts w:ascii="Palatino Linotype" w:eastAsia="Palatino Linotype" w:hAnsi="Palatino Linotype" w:cs="Palatino Linotype"/>
        </w:rPr>
        <w:t>se procede a dictar la presente resolución con base en lo siguiente:</w:t>
      </w:r>
    </w:p>
    <w:p w14:paraId="3FCA449D" w14:textId="77777777" w:rsidR="00EC4447" w:rsidRPr="002B7F8B" w:rsidRDefault="00EC4447">
      <w:pPr>
        <w:spacing w:line="360" w:lineRule="auto"/>
        <w:jc w:val="both"/>
        <w:rPr>
          <w:rFonts w:ascii="Palatino Linotype" w:eastAsia="Palatino Linotype" w:hAnsi="Palatino Linotype" w:cs="Palatino Linotype"/>
        </w:rPr>
      </w:pPr>
    </w:p>
    <w:p w14:paraId="4DB72210" w14:textId="77777777" w:rsidR="00EC4447" w:rsidRPr="002B7F8B" w:rsidRDefault="00D570E2">
      <w:pPr>
        <w:spacing w:line="360" w:lineRule="auto"/>
        <w:jc w:val="center"/>
        <w:rPr>
          <w:rFonts w:ascii="Palatino Linotype" w:eastAsia="Palatino Linotype" w:hAnsi="Palatino Linotype" w:cs="Palatino Linotype"/>
          <w:b/>
        </w:rPr>
      </w:pPr>
      <w:r w:rsidRPr="002B7F8B">
        <w:rPr>
          <w:rFonts w:ascii="Palatino Linotype" w:eastAsia="Palatino Linotype" w:hAnsi="Palatino Linotype" w:cs="Palatino Linotype"/>
          <w:b/>
          <w:sz w:val="28"/>
          <w:szCs w:val="28"/>
        </w:rPr>
        <w:t>ANTECEDENTES</w:t>
      </w:r>
    </w:p>
    <w:p w14:paraId="05A2904A" w14:textId="77777777" w:rsidR="00EC4447" w:rsidRPr="002B7F8B" w:rsidRDefault="00EC4447">
      <w:pPr>
        <w:rPr>
          <w:rFonts w:ascii="Palatino Linotype" w:eastAsia="Palatino Linotype" w:hAnsi="Palatino Linotype" w:cs="Palatino Linotype"/>
          <w:b/>
        </w:rPr>
      </w:pPr>
    </w:p>
    <w:p w14:paraId="48861D81" w14:textId="77777777" w:rsidR="00EC4447" w:rsidRPr="002B7F8B" w:rsidRDefault="00D570E2">
      <w:pPr>
        <w:spacing w:line="360" w:lineRule="auto"/>
        <w:jc w:val="both"/>
        <w:rPr>
          <w:rFonts w:ascii="Palatino Linotype" w:eastAsia="Palatino Linotype" w:hAnsi="Palatino Linotype" w:cs="Palatino Linotype"/>
          <w:b/>
          <w:sz w:val="28"/>
          <w:szCs w:val="28"/>
        </w:rPr>
      </w:pPr>
      <w:bookmarkStart w:id="2" w:name="_heading=h.gjdgxs" w:colFirst="0" w:colLast="0"/>
      <w:bookmarkEnd w:id="2"/>
      <w:r w:rsidRPr="002B7F8B">
        <w:rPr>
          <w:rFonts w:ascii="Palatino Linotype" w:eastAsia="Palatino Linotype" w:hAnsi="Palatino Linotype" w:cs="Palatino Linotype"/>
          <w:b/>
          <w:sz w:val="28"/>
          <w:szCs w:val="28"/>
        </w:rPr>
        <w:t>I.</w:t>
      </w:r>
      <w:r w:rsidRPr="002B7F8B">
        <w:rPr>
          <w:rFonts w:ascii="Palatino Linotype" w:eastAsia="Palatino Linotype" w:hAnsi="Palatino Linotype" w:cs="Palatino Linotype"/>
          <w:b/>
        </w:rPr>
        <w:t xml:space="preserve"> </w:t>
      </w:r>
      <w:r w:rsidRPr="002B7F8B">
        <w:rPr>
          <w:rFonts w:ascii="Palatino Linotype" w:eastAsia="Palatino Linotype" w:hAnsi="Palatino Linotype" w:cs="Palatino Linotype"/>
          <w:b/>
          <w:sz w:val="28"/>
          <w:szCs w:val="28"/>
        </w:rPr>
        <w:t>De la Solicitud de Información</w:t>
      </w:r>
    </w:p>
    <w:p w14:paraId="5C26C7A9" w14:textId="77777777" w:rsidR="00EC4447" w:rsidRPr="002B7F8B" w:rsidRDefault="00D570E2">
      <w:pPr>
        <w:spacing w:line="360" w:lineRule="auto"/>
        <w:jc w:val="both"/>
        <w:rPr>
          <w:rFonts w:ascii="Palatino Linotype" w:eastAsia="Palatino Linotype" w:hAnsi="Palatino Linotype" w:cs="Palatino Linotype"/>
        </w:rPr>
      </w:pPr>
      <w:bookmarkStart w:id="3" w:name="_heading=h.eccwy3be8vjo" w:colFirst="0" w:colLast="0"/>
      <w:bookmarkEnd w:id="3"/>
      <w:r w:rsidRPr="002B7F8B">
        <w:rPr>
          <w:rFonts w:ascii="Palatino Linotype" w:eastAsia="Palatino Linotype" w:hAnsi="Palatino Linotype" w:cs="Palatino Linotype"/>
        </w:rPr>
        <w:t xml:space="preserve">En fecha treinta y uno enero de dos mil veintidós, </w:t>
      </w:r>
      <w:r w:rsidRPr="002B7F8B">
        <w:rPr>
          <w:rFonts w:ascii="Palatino Linotype" w:eastAsia="Palatino Linotype" w:hAnsi="Palatino Linotype" w:cs="Palatino Linotype"/>
          <w:b/>
        </w:rPr>
        <w:t>LA RECURRENTE</w:t>
      </w:r>
      <w:r w:rsidRPr="002B7F8B">
        <w:rPr>
          <w:rFonts w:ascii="Palatino Linotype" w:eastAsia="Palatino Linotype" w:hAnsi="Palatino Linotype" w:cs="Palatino Linotype"/>
        </w:rPr>
        <w:t xml:space="preserve"> presentó a través del Sistema de Acceso a la Información Mexiquense, en lo subsecuente </w:t>
      </w:r>
      <w:r w:rsidRPr="002B7F8B">
        <w:rPr>
          <w:rFonts w:ascii="Palatino Linotype" w:eastAsia="Palatino Linotype" w:hAnsi="Palatino Linotype" w:cs="Palatino Linotype"/>
          <w:b/>
        </w:rPr>
        <w:t>EL SAIMEX</w:t>
      </w:r>
      <w:r w:rsidRPr="002B7F8B">
        <w:rPr>
          <w:rFonts w:ascii="Palatino Linotype" w:eastAsia="Palatino Linotype" w:hAnsi="Palatino Linotype" w:cs="Palatino Linotype"/>
        </w:rPr>
        <w:t xml:space="preserve"> ante </w:t>
      </w:r>
      <w:r w:rsidRPr="002B7F8B">
        <w:rPr>
          <w:rFonts w:ascii="Palatino Linotype" w:eastAsia="Palatino Linotype" w:hAnsi="Palatino Linotype" w:cs="Palatino Linotype"/>
          <w:b/>
        </w:rPr>
        <w:t>EL SUJETO OBLIGADO</w:t>
      </w:r>
      <w:r w:rsidRPr="002B7F8B">
        <w:rPr>
          <w:rFonts w:ascii="Palatino Linotype" w:eastAsia="Palatino Linotype" w:hAnsi="Palatino Linotype" w:cs="Palatino Linotype"/>
        </w:rPr>
        <w:t xml:space="preserve">, las solicitudes de Acceso a la Información Pública, a las </w:t>
      </w:r>
      <w:r w:rsidRPr="002B7F8B">
        <w:rPr>
          <w:rFonts w:ascii="Palatino Linotype" w:eastAsia="Palatino Linotype" w:hAnsi="Palatino Linotype" w:cs="Palatino Linotype"/>
        </w:rPr>
        <w:lastRenderedPageBreak/>
        <w:t xml:space="preserve">cuales se le asignaron los números de expediente </w:t>
      </w:r>
      <w:r w:rsidRPr="002B7F8B">
        <w:rPr>
          <w:rFonts w:ascii="Palatino Linotype" w:eastAsia="Palatino Linotype" w:hAnsi="Palatino Linotype" w:cs="Palatino Linotype"/>
          <w:b/>
        </w:rPr>
        <w:t>00050/CHIMALHU/IP/2022 y</w:t>
      </w:r>
      <w:r w:rsidRPr="002B7F8B">
        <w:rPr>
          <w:rFonts w:ascii="Palatino Linotype" w:eastAsia="Palatino Linotype" w:hAnsi="Palatino Linotype" w:cs="Palatino Linotype"/>
        </w:rPr>
        <w:t xml:space="preserve"> </w:t>
      </w:r>
      <w:r w:rsidRPr="002B7F8B">
        <w:rPr>
          <w:rFonts w:ascii="Palatino Linotype" w:eastAsia="Palatino Linotype" w:hAnsi="Palatino Linotype" w:cs="Palatino Linotype"/>
          <w:b/>
        </w:rPr>
        <w:t xml:space="preserve">00052/CHIMALHU/IP/2022 </w:t>
      </w:r>
      <w:r w:rsidRPr="002B7F8B">
        <w:rPr>
          <w:rFonts w:ascii="Palatino Linotype" w:eastAsia="Palatino Linotype" w:hAnsi="Palatino Linotype" w:cs="Palatino Linotype"/>
        </w:rPr>
        <w:t>mediante las cuales el particular requirió, lo siguiente:</w:t>
      </w:r>
    </w:p>
    <w:p w14:paraId="56C68A84" w14:textId="77777777" w:rsidR="00EC4447" w:rsidRPr="002B7F8B" w:rsidRDefault="00EC4447">
      <w:pPr>
        <w:spacing w:line="360" w:lineRule="auto"/>
        <w:jc w:val="both"/>
        <w:rPr>
          <w:rFonts w:ascii="Palatino Linotype" w:eastAsia="Palatino Linotype" w:hAnsi="Palatino Linotype" w:cs="Palatino Linotype"/>
        </w:rPr>
      </w:pPr>
      <w:bookmarkStart w:id="4" w:name="_heading=h.ck4h1jecfd32" w:colFirst="0" w:colLast="0"/>
      <w:bookmarkEnd w:id="4"/>
    </w:p>
    <w:tbl>
      <w:tblPr>
        <w:tblStyle w:val="affff"/>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5625"/>
      </w:tblGrid>
      <w:tr w:rsidR="00EC4447" w:rsidRPr="002B7F8B" w14:paraId="242CE640" w14:textId="77777777">
        <w:tc>
          <w:tcPr>
            <w:tcW w:w="3480" w:type="dxa"/>
            <w:shd w:val="clear" w:color="auto" w:fill="auto"/>
            <w:tcMar>
              <w:top w:w="100" w:type="dxa"/>
              <w:left w:w="100" w:type="dxa"/>
              <w:bottom w:w="100" w:type="dxa"/>
              <w:right w:w="100" w:type="dxa"/>
            </w:tcMar>
          </w:tcPr>
          <w:p w14:paraId="19BCC7EA" w14:textId="77777777" w:rsidR="00EC4447" w:rsidRPr="002B7F8B" w:rsidRDefault="00D570E2">
            <w:pPr>
              <w:widowControl w:val="0"/>
              <w:pBdr>
                <w:top w:val="nil"/>
                <w:left w:val="nil"/>
                <w:bottom w:val="nil"/>
                <w:right w:val="nil"/>
                <w:between w:val="nil"/>
              </w:pBdr>
              <w:jc w:val="center"/>
              <w:rPr>
                <w:rFonts w:ascii="Palatino Linotype" w:eastAsia="Palatino Linotype" w:hAnsi="Palatino Linotype" w:cs="Palatino Linotype"/>
                <w:b/>
                <w:u w:val="single"/>
              </w:rPr>
            </w:pPr>
            <w:r w:rsidRPr="002B7F8B">
              <w:rPr>
                <w:rFonts w:ascii="Palatino Linotype" w:eastAsia="Palatino Linotype" w:hAnsi="Palatino Linotype" w:cs="Palatino Linotype"/>
                <w:b/>
                <w:u w:val="single"/>
              </w:rPr>
              <w:t>Número de Folio de la Solicitud</w:t>
            </w:r>
          </w:p>
        </w:tc>
        <w:tc>
          <w:tcPr>
            <w:tcW w:w="5625" w:type="dxa"/>
            <w:shd w:val="clear" w:color="auto" w:fill="auto"/>
            <w:tcMar>
              <w:top w:w="100" w:type="dxa"/>
              <w:left w:w="100" w:type="dxa"/>
              <w:bottom w:w="100" w:type="dxa"/>
              <w:right w:w="100" w:type="dxa"/>
            </w:tcMar>
          </w:tcPr>
          <w:p w14:paraId="7A4E2D4D" w14:textId="77777777" w:rsidR="00EC4447" w:rsidRPr="002B7F8B" w:rsidRDefault="00D570E2">
            <w:pPr>
              <w:widowControl w:val="0"/>
              <w:pBdr>
                <w:top w:val="nil"/>
                <w:left w:val="nil"/>
                <w:bottom w:val="nil"/>
                <w:right w:val="nil"/>
                <w:between w:val="nil"/>
              </w:pBdr>
              <w:jc w:val="center"/>
              <w:rPr>
                <w:rFonts w:ascii="Palatino Linotype" w:eastAsia="Palatino Linotype" w:hAnsi="Palatino Linotype" w:cs="Palatino Linotype"/>
                <w:b/>
                <w:u w:val="single"/>
              </w:rPr>
            </w:pPr>
            <w:r w:rsidRPr="002B7F8B">
              <w:rPr>
                <w:rFonts w:ascii="Palatino Linotype" w:eastAsia="Palatino Linotype" w:hAnsi="Palatino Linotype" w:cs="Palatino Linotype"/>
                <w:b/>
                <w:u w:val="single"/>
              </w:rPr>
              <w:t xml:space="preserve">Solicitud </w:t>
            </w:r>
          </w:p>
        </w:tc>
      </w:tr>
      <w:tr w:rsidR="00EC4447" w:rsidRPr="002B7F8B" w14:paraId="7DD8ABCA" w14:textId="77777777">
        <w:tc>
          <w:tcPr>
            <w:tcW w:w="3480" w:type="dxa"/>
            <w:shd w:val="clear" w:color="auto" w:fill="auto"/>
            <w:tcMar>
              <w:top w:w="100" w:type="dxa"/>
              <w:left w:w="100" w:type="dxa"/>
              <w:bottom w:w="100" w:type="dxa"/>
              <w:right w:w="100" w:type="dxa"/>
            </w:tcMar>
          </w:tcPr>
          <w:p w14:paraId="6989E1B7" w14:textId="77777777" w:rsidR="00EC4447" w:rsidRPr="002B7F8B" w:rsidRDefault="00D570E2">
            <w:pPr>
              <w:widowControl w:val="0"/>
              <w:pBdr>
                <w:top w:val="nil"/>
                <w:left w:val="nil"/>
                <w:bottom w:val="nil"/>
                <w:right w:val="nil"/>
                <w:between w:val="nil"/>
              </w:pBdr>
              <w:rPr>
                <w:rFonts w:ascii="Palatino Linotype" w:eastAsia="Palatino Linotype" w:hAnsi="Palatino Linotype" w:cs="Palatino Linotype"/>
                <w:sz w:val="20"/>
                <w:szCs w:val="20"/>
              </w:rPr>
            </w:pPr>
            <w:r w:rsidRPr="002B7F8B">
              <w:rPr>
                <w:rFonts w:ascii="Palatino Linotype" w:eastAsia="Palatino Linotype" w:hAnsi="Palatino Linotype" w:cs="Palatino Linotype"/>
                <w:b/>
              </w:rPr>
              <w:t>00050/CHIMALHU/IP/2022</w:t>
            </w:r>
          </w:p>
        </w:tc>
        <w:tc>
          <w:tcPr>
            <w:tcW w:w="5625" w:type="dxa"/>
            <w:shd w:val="clear" w:color="auto" w:fill="auto"/>
            <w:tcMar>
              <w:top w:w="100" w:type="dxa"/>
              <w:left w:w="100" w:type="dxa"/>
              <w:bottom w:w="100" w:type="dxa"/>
              <w:right w:w="100" w:type="dxa"/>
            </w:tcMar>
          </w:tcPr>
          <w:p w14:paraId="69A519B9" w14:textId="77777777" w:rsidR="00EC4447" w:rsidRPr="002B7F8B" w:rsidRDefault="00D570E2">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2B7F8B">
              <w:rPr>
                <w:rFonts w:ascii="Palatino Linotype" w:eastAsia="Palatino Linotype" w:hAnsi="Palatino Linotype" w:cs="Palatino Linotype"/>
                <w:i/>
                <w:sz w:val="20"/>
                <w:szCs w:val="20"/>
              </w:rPr>
              <w:t>“Solicito que las autoridades municipales correspondientes me respondan si está permitido por el reglamento de distribución y consumo de gas l.p.que los consumidores de este energetico lleven a llenar sus tanques introduciendose en las estaciones de gas carburante y plantas de almacenamiento.” (Sic)</w:t>
            </w:r>
          </w:p>
        </w:tc>
      </w:tr>
      <w:tr w:rsidR="00EC4447" w:rsidRPr="002B7F8B" w14:paraId="457D8E0C" w14:textId="77777777">
        <w:tc>
          <w:tcPr>
            <w:tcW w:w="3480" w:type="dxa"/>
            <w:shd w:val="clear" w:color="auto" w:fill="auto"/>
            <w:tcMar>
              <w:top w:w="100" w:type="dxa"/>
              <w:left w:w="100" w:type="dxa"/>
              <w:bottom w:w="100" w:type="dxa"/>
              <w:right w:w="100" w:type="dxa"/>
            </w:tcMar>
          </w:tcPr>
          <w:p w14:paraId="7C435F90" w14:textId="77777777" w:rsidR="00EC4447" w:rsidRPr="002B7F8B" w:rsidRDefault="00D570E2">
            <w:pPr>
              <w:widowControl w:val="0"/>
              <w:pBdr>
                <w:top w:val="nil"/>
                <w:left w:val="nil"/>
                <w:bottom w:val="nil"/>
                <w:right w:val="nil"/>
                <w:between w:val="nil"/>
              </w:pBdr>
              <w:rPr>
                <w:rFonts w:ascii="Palatino Linotype" w:eastAsia="Palatino Linotype" w:hAnsi="Palatino Linotype" w:cs="Palatino Linotype"/>
                <w:b/>
              </w:rPr>
            </w:pPr>
            <w:r w:rsidRPr="002B7F8B">
              <w:rPr>
                <w:rFonts w:ascii="Palatino Linotype" w:eastAsia="Palatino Linotype" w:hAnsi="Palatino Linotype" w:cs="Palatino Linotype"/>
                <w:b/>
              </w:rPr>
              <w:t>00052/CHIMALHU/IP/2022</w:t>
            </w:r>
          </w:p>
        </w:tc>
        <w:tc>
          <w:tcPr>
            <w:tcW w:w="5625" w:type="dxa"/>
            <w:shd w:val="clear" w:color="auto" w:fill="auto"/>
            <w:tcMar>
              <w:top w:w="100" w:type="dxa"/>
              <w:left w:w="100" w:type="dxa"/>
              <w:bottom w:w="100" w:type="dxa"/>
              <w:right w:w="100" w:type="dxa"/>
            </w:tcMar>
          </w:tcPr>
          <w:p w14:paraId="3FB608D4" w14:textId="77777777" w:rsidR="00EC4447" w:rsidRPr="002B7F8B" w:rsidRDefault="00D570E2">
            <w:pPr>
              <w:widowControl w:val="0"/>
              <w:pBdr>
                <w:top w:val="nil"/>
                <w:left w:val="nil"/>
                <w:bottom w:val="nil"/>
                <w:right w:val="nil"/>
                <w:between w:val="nil"/>
              </w:pBdr>
              <w:jc w:val="both"/>
              <w:rPr>
                <w:rFonts w:ascii="Palatino Linotype" w:eastAsia="Palatino Linotype" w:hAnsi="Palatino Linotype" w:cs="Palatino Linotype"/>
                <w:i/>
                <w:sz w:val="20"/>
                <w:szCs w:val="20"/>
              </w:rPr>
            </w:pPr>
            <w:r w:rsidRPr="002B7F8B">
              <w:rPr>
                <w:rFonts w:ascii="Palatino Linotype" w:eastAsia="Palatino Linotype" w:hAnsi="Palatino Linotype" w:cs="Palatino Linotype"/>
                <w:i/>
                <w:sz w:val="20"/>
                <w:szCs w:val="20"/>
              </w:rPr>
              <w:t>“Solicito que las autoridades municipales correspondientes me respondan por qué permiten que se venda gas l.p, a l menudeo y a particulares en las estaciones de gas de carburacón instaladas en el municipio como la que se ubica por el Guerrero Chimalli. Que respondan por qué se permite que se compre gas en estas estaciones con recipientes portatiles ingresando a los andenes de llenado sin el uniforme reglamentario, que respondan por qué se permite transportar gas en motos, bicicletas, automoviles particulares y taxis.” (Sic)</w:t>
            </w:r>
          </w:p>
        </w:tc>
      </w:tr>
    </w:tbl>
    <w:p w14:paraId="7CBF44D0" w14:textId="77777777" w:rsidR="00EC4447" w:rsidRPr="002B7F8B" w:rsidRDefault="00EC4447">
      <w:pPr>
        <w:ind w:right="899"/>
        <w:jc w:val="both"/>
        <w:rPr>
          <w:rFonts w:ascii="Palatino Linotype" w:eastAsia="Palatino Linotype" w:hAnsi="Palatino Linotype" w:cs="Palatino Linotype"/>
          <w:sz w:val="22"/>
          <w:szCs w:val="22"/>
        </w:rPr>
      </w:pPr>
    </w:p>
    <w:p w14:paraId="50BFD353" w14:textId="77777777" w:rsidR="00EC4447" w:rsidRPr="002B7F8B" w:rsidRDefault="00EC4447">
      <w:pPr>
        <w:tabs>
          <w:tab w:val="left" w:pos="851"/>
        </w:tabs>
        <w:ind w:right="901"/>
        <w:jc w:val="both"/>
        <w:rPr>
          <w:rFonts w:ascii="Palatino Linotype" w:eastAsia="Palatino Linotype" w:hAnsi="Palatino Linotype" w:cs="Palatino Linotype"/>
          <w:sz w:val="22"/>
          <w:szCs w:val="22"/>
        </w:rPr>
      </w:pPr>
    </w:p>
    <w:p w14:paraId="6A1B096A" w14:textId="77777777" w:rsidR="00EC4447" w:rsidRPr="002B7F8B" w:rsidRDefault="00D570E2">
      <w:pPr>
        <w:widowControl w:val="0"/>
        <w:spacing w:line="360" w:lineRule="auto"/>
        <w:jc w:val="both"/>
        <w:rPr>
          <w:rFonts w:ascii="Palatino Linotype" w:eastAsia="Palatino Linotype" w:hAnsi="Palatino Linotype" w:cs="Palatino Linotype"/>
          <w:b/>
        </w:rPr>
      </w:pPr>
      <w:r w:rsidRPr="002B7F8B">
        <w:rPr>
          <w:rFonts w:ascii="Palatino Linotype" w:eastAsia="Palatino Linotype" w:hAnsi="Palatino Linotype" w:cs="Palatino Linotype"/>
          <w:b/>
        </w:rPr>
        <w:t xml:space="preserve">MODALIDAD DE ENTREGA: </w:t>
      </w:r>
      <w:r w:rsidRPr="002B7F8B">
        <w:rPr>
          <w:rFonts w:ascii="Palatino Linotype" w:eastAsia="Palatino Linotype" w:hAnsi="Palatino Linotype" w:cs="Palatino Linotype"/>
        </w:rPr>
        <w:t xml:space="preserve">Vía </w:t>
      </w:r>
      <w:r w:rsidRPr="002B7F8B">
        <w:rPr>
          <w:rFonts w:ascii="Palatino Linotype" w:eastAsia="Palatino Linotype" w:hAnsi="Palatino Linotype" w:cs="Palatino Linotype"/>
          <w:b/>
        </w:rPr>
        <w:t>SAIMEX.</w:t>
      </w:r>
    </w:p>
    <w:p w14:paraId="2A4527C9" w14:textId="77777777" w:rsidR="00EC4447" w:rsidRPr="002B7F8B" w:rsidRDefault="00EC4447">
      <w:pPr>
        <w:widowControl w:val="0"/>
        <w:spacing w:line="360" w:lineRule="auto"/>
        <w:jc w:val="both"/>
        <w:rPr>
          <w:rFonts w:ascii="Palatino Linotype" w:eastAsia="Palatino Linotype" w:hAnsi="Palatino Linotype" w:cs="Palatino Linotype"/>
          <w:b/>
        </w:rPr>
      </w:pPr>
    </w:p>
    <w:p w14:paraId="3A1422A9" w14:textId="77777777" w:rsidR="00EC4447" w:rsidRPr="002B7F8B" w:rsidRDefault="00D570E2">
      <w:pPr>
        <w:spacing w:line="360" w:lineRule="auto"/>
        <w:jc w:val="both"/>
        <w:rPr>
          <w:rFonts w:ascii="Palatino Linotype" w:eastAsia="Palatino Linotype" w:hAnsi="Palatino Linotype" w:cs="Palatino Linotype"/>
          <w:b/>
          <w:sz w:val="28"/>
          <w:szCs w:val="28"/>
        </w:rPr>
      </w:pPr>
      <w:r w:rsidRPr="002B7F8B">
        <w:rPr>
          <w:rFonts w:ascii="Palatino Linotype" w:eastAsia="Palatino Linotype" w:hAnsi="Palatino Linotype" w:cs="Palatino Linotype"/>
          <w:b/>
          <w:sz w:val="28"/>
          <w:szCs w:val="28"/>
        </w:rPr>
        <w:t>II. Turno de requerimiento del Sujeto Obligado</w:t>
      </w:r>
    </w:p>
    <w:p w14:paraId="318282AA"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De las constancias que obran en los expedientes electrónicos del SAIMEX se advierte que en fecha primero de febrero de dos mil veintidós, los requerimientos realizados por la Titular de la Unidad de Transparencia a los servidores públicos habilitados que estimó competentes en términos de lo establecido por el artículo 162 de la Ley de Transparencia y Acceso a la Información Pública del Estado de México y Municipios. </w:t>
      </w:r>
    </w:p>
    <w:p w14:paraId="76DB825B" w14:textId="77777777" w:rsidR="00EC4447" w:rsidRPr="002B7F8B" w:rsidRDefault="00EC4447">
      <w:pPr>
        <w:widowControl w:val="0"/>
        <w:jc w:val="both"/>
        <w:rPr>
          <w:rFonts w:ascii="Palatino Linotype" w:eastAsia="Palatino Linotype" w:hAnsi="Palatino Linotype" w:cs="Palatino Linotype"/>
          <w:b/>
        </w:rPr>
      </w:pPr>
    </w:p>
    <w:p w14:paraId="5E24CBA7" w14:textId="77777777" w:rsidR="00EC4447" w:rsidRPr="002B7F8B" w:rsidRDefault="00D570E2">
      <w:pPr>
        <w:widowControl w:val="0"/>
        <w:spacing w:line="360" w:lineRule="auto"/>
        <w:jc w:val="both"/>
        <w:rPr>
          <w:rFonts w:ascii="Palatino Linotype" w:eastAsia="Palatino Linotype" w:hAnsi="Palatino Linotype" w:cs="Palatino Linotype"/>
          <w:b/>
          <w:sz w:val="28"/>
          <w:szCs w:val="28"/>
        </w:rPr>
      </w:pPr>
      <w:r w:rsidRPr="002B7F8B">
        <w:rPr>
          <w:rFonts w:ascii="Palatino Linotype" w:eastAsia="Palatino Linotype" w:hAnsi="Palatino Linotype" w:cs="Palatino Linotype"/>
          <w:b/>
          <w:sz w:val="28"/>
          <w:szCs w:val="28"/>
        </w:rPr>
        <w:lastRenderedPageBreak/>
        <w:t>III. Respuesta del Sujeto Obligado</w:t>
      </w:r>
    </w:p>
    <w:p w14:paraId="44A5A367" w14:textId="77777777" w:rsidR="00EC4447" w:rsidRPr="002B7F8B" w:rsidRDefault="00D570E2">
      <w:pPr>
        <w:widowControl w:val="0"/>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En fechas once y quince de febrero de dos mil veintidós, </w:t>
      </w:r>
      <w:r w:rsidRPr="002B7F8B">
        <w:rPr>
          <w:rFonts w:ascii="Palatino Linotype" w:eastAsia="Palatino Linotype" w:hAnsi="Palatino Linotype" w:cs="Palatino Linotype"/>
          <w:b/>
        </w:rPr>
        <w:t>EL SUJETO OBLIGADO</w:t>
      </w:r>
      <w:r w:rsidRPr="002B7F8B">
        <w:rPr>
          <w:rFonts w:ascii="Palatino Linotype" w:eastAsia="Palatino Linotype" w:hAnsi="Palatino Linotype" w:cs="Palatino Linotype"/>
        </w:rPr>
        <w:t xml:space="preserve"> dio respuesta a las solicitudes de información en el tenor siguiente: </w:t>
      </w:r>
    </w:p>
    <w:tbl>
      <w:tblPr>
        <w:tblStyle w:val="affff0"/>
        <w:tblW w:w="9105"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80"/>
        <w:gridCol w:w="5625"/>
      </w:tblGrid>
      <w:tr w:rsidR="00EC4447" w:rsidRPr="002B7F8B" w14:paraId="4DAD33AF" w14:textId="77777777">
        <w:tc>
          <w:tcPr>
            <w:tcW w:w="3480" w:type="dxa"/>
            <w:shd w:val="clear" w:color="auto" w:fill="auto"/>
            <w:tcMar>
              <w:top w:w="100" w:type="dxa"/>
              <w:left w:w="100" w:type="dxa"/>
              <w:bottom w:w="100" w:type="dxa"/>
              <w:right w:w="100" w:type="dxa"/>
            </w:tcMar>
          </w:tcPr>
          <w:p w14:paraId="217A892D" w14:textId="77777777" w:rsidR="00EC4447" w:rsidRPr="002B7F8B" w:rsidRDefault="00D570E2">
            <w:pPr>
              <w:widowControl w:val="0"/>
              <w:jc w:val="center"/>
              <w:rPr>
                <w:rFonts w:ascii="Palatino Linotype" w:eastAsia="Palatino Linotype" w:hAnsi="Palatino Linotype" w:cs="Palatino Linotype"/>
                <w:b/>
                <w:u w:val="single"/>
              </w:rPr>
            </w:pPr>
            <w:r w:rsidRPr="002B7F8B">
              <w:rPr>
                <w:rFonts w:ascii="Palatino Linotype" w:eastAsia="Palatino Linotype" w:hAnsi="Palatino Linotype" w:cs="Palatino Linotype"/>
                <w:b/>
                <w:u w:val="single"/>
              </w:rPr>
              <w:t>Número de Folio de la Solicitud</w:t>
            </w:r>
          </w:p>
        </w:tc>
        <w:tc>
          <w:tcPr>
            <w:tcW w:w="5625" w:type="dxa"/>
            <w:shd w:val="clear" w:color="auto" w:fill="auto"/>
            <w:tcMar>
              <w:top w:w="100" w:type="dxa"/>
              <w:left w:w="100" w:type="dxa"/>
              <w:bottom w:w="100" w:type="dxa"/>
              <w:right w:w="100" w:type="dxa"/>
            </w:tcMar>
          </w:tcPr>
          <w:p w14:paraId="74ED4641" w14:textId="77777777" w:rsidR="00EC4447" w:rsidRPr="002B7F8B" w:rsidRDefault="00D570E2">
            <w:pPr>
              <w:widowControl w:val="0"/>
              <w:jc w:val="center"/>
              <w:rPr>
                <w:rFonts w:ascii="Palatino Linotype" w:eastAsia="Palatino Linotype" w:hAnsi="Palatino Linotype" w:cs="Palatino Linotype"/>
                <w:b/>
                <w:u w:val="single"/>
              </w:rPr>
            </w:pPr>
            <w:r w:rsidRPr="002B7F8B">
              <w:rPr>
                <w:rFonts w:ascii="Palatino Linotype" w:eastAsia="Palatino Linotype" w:hAnsi="Palatino Linotype" w:cs="Palatino Linotype"/>
                <w:b/>
                <w:u w:val="single"/>
              </w:rPr>
              <w:t xml:space="preserve">Solicitud </w:t>
            </w:r>
          </w:p>
        </w:tc>
      </w:tr>
      <w:tr w:rsidR="00EC4447" w:rsidRPr="002B7F8B" w14:paraId="685A43F8" w14:textId="77777777">
        <w:tc>
          <w:tcPr>
            <w:tcW w:w="3480" w:type="dxa"/>
            <w:shd w:val="clear" w:color="auto" w:fill="auto"/>
            <w:tcMar>
              <w:top w:w="100" w:type="dxa"/>
              <w:left w:w="100" w:type="dxa"/>
              <w:bottom w:w="100" w:type="dxa"/>
              <w:right w:w="100" w:type="dxa"/>
            </w:tcMar>
          </w:tcPr>
          <w:p w14:paraId="08A49506" w14:textId="77777777" w:rsidR="00EC4447" w:rsidRPr="002B7F8B" w:rsidRDefault="00D570E2">
            <w:pPr>
              <w:widowControl w:val="0"/>
              <w:rPr>
                <w:rFonts w:ascii="Palatino Linotype" w:eastAsia="Palatino Linotype" w:hAnsi="Palatino Linotype" w:cs="Palatino Linotype"/>
                <w:sz w:val="20"/>
                <w:szCs w:val="20"/>
              </w:rPr>
            </w:pPr>
            <w:r w:rsidRPr="002B7F8B">
              <w:rPr>
                <w:rFonts w:ascii="Palatino Linotype" w:eastAsia="Palatino Linotype" w:hAnsi="Palatino Linotype" w:cs="Palatino Linotype"/>
                <w:b/>
              </w:rPr>
              <w:t>00050/CHIMALHU/IP/2022</w:t>
            </w:r>
          </w:p>
        </w:tc>
        <w:tc>
          <w:tcPr>
            <w:tcW w:w="5625" w:type="dxa"/>
            <w:shd w:val="clear" w:color="auto" w:fill="auto"/>
            <w:tcMar>
              <w:top w:w="100" w:type="dxa"/>
              <w:left w:w="100" w:type="dxa"/>
              <w:bottom w:w="100" w:type="dxa"/>
              <w:right w:w="100" w:type="dxa"/>
            </w:tcMar>
          </w:tcPr>
          <w:p w14:paraId="2CF5AF7E" w14:textId="77777777" w:rsidR="00EC4447" w:rsidRPr="002B7F8B" w:rsidRDefault="00D570E2">
            <w:pPr>
              <w:widowControl w:val="0"/>
              <w:numPr>
                <w:ilvl w:val="0"/>
                <w:numId w:val="1"/>
              </w:numPr>
              <w:jc w:val="both"/>
              <w:rPr>
                <w:rFonts w:ascii="Palatino Linotype" w:eastAsia="Palatino Linotype" w:hAnsi="Palatino Linotype" w:cs="Palatino Linotype"/>
                <w:i/>
                <w:sz w:val="20"/>
                <w:szCs w:val="20"/>
              </w:rPr>
            </w:pPr>
            <w:r w:rsidRPr="002B7F8B">
              <w:rPr>
                <w:rFonts w:ascii="Palatino Linotype" w:eastAsia="Palatino Linotype" w:hAnsi="Palatino Linotype" w:cs="Palatino Linotype"/>
              </w:rPr>
              <w:t>Documento denominado “</w:t>
            </w:r>
            <w:r w:rsidRPr="002B7F8B">
              <w:rPr>
                <w:rFonts w:ascii="Palatino Linotype" w:eastAsia="Palatino Linotype" w:hAnsi="Palatino Linotype" w:cs="Palatino Linotype"/>
                <w:i/>
                <w:sz w:val="20"/>
                <w:szCs w:val="20"/>
              </w:rPr>
              <w:t xml:space="preserve">Contestaciones Saimex 00050CHIMALHUIP2022.docx” </w:t>
            </w:r>
            <w:r w:rsidRPr="002B7F8B">
              <w:rPr>
                <w:rFonts w:ascii="Palatino Linotype" w:eastAsia="Palatino Linotype" w:hAnsi="Palatino Linotype" w:cs="Palatino Linotype"/>
              </w:rPr>
              <w:t>mismo que contiene la respuesta emitida por el Director General de Desarrollo Urbano en la cual señala que según ​​a las facultades y atribuciones que le confieren los artículos 163 al 174 del Bando Municipal de Chimalhuacán, Estado de México, publicado en la Gaceta Municipal de Chimalhuacán en fecha cinco de febrero del año dos mil veintidós, Año 1, Número 02, Volumen 1/1; no tiene dentro de sus facultades el regular los actos de comercio en circunscripción municipal de los establecimientos comerciales, de sus actividades económicas, ni de su forma de transportar sus productos; motivo por el cual, no es posible brindar la información solicitada.</w:t>
            </w:r>
          </w:p>
        </w:tc>
      </w:tr>
      <w:tr w:rsidR="00EC4447" w:rsidRPr="002B7F8B" w14:paraId="549831A0" w14:textId="77777777">
        <w:tc>
          <w:tcPr>
            <w:tcW w:w="3480" w:type="dxa"/>
            <w:shd w:val="clear" w:color="auto" w:fill="auto"/>
            <w:tcMar>
              <w:top w:w="100" w:type="dxa"/>
              <w:left w:w="100" w:type="dxa"/>
              <w:bottom w:w="100" w:type="dxa"/>
              <w:right w:w="100" w:type="dxa"/>
            </w:tcMar>
          </w:tcPr>
          <w:p w14:paraId="69EE8112" w14:textId="77777777" w:rsidR="00EC4447" w:rsidRPr="002B7F8B" w:rsidRDefault="00D570E2">
            <w:pPr>
              <w:widowControl w:val="0"/>
              <w:rPr>
                <w:rFonts w:ascii="Palatino Linotype" w:eastAsia="Palatino Linotype" w:hAnsi="Palatino Linotype" w:cs="Palatino Linotype"/>
                <w:b/>
              </w:rPr>
            </w:pPr>
            <w:r w:rsidRPr="002B7F8B">
              <w:rPr>
                <w:rFonts w:ascii="Palatino Linotype" w:eastAsia="Palatino Linotype" w:hAnsi="Palatino Linotype" w:cs="Palatino Linotype"/>
                <w:b/>
              </w:rPr>
              <w:t>00052/CHIMALHU/IP/2022</w:t>
            </w:r>
          </w:p>
        </w:tc>
        <w:tc>
          <w:tcPr>
            <w:tcW w:w="5625" w:type="dxa"/>
            <w:shd w:val="clear" w:color="auto" w:fill="auto"/>
            <w:tcMar>
              <w:top w:w="100" w:type="dxa"/>
              <w:left w:w="100" w:type="dxa"/>
              <w:bottom w:w="100" w:type="dxa"/>
              <w:right w:w="100" w:type="dxa"/>
            </w:tcMar>
          </w:tcPr>
          <w:p w14:paraId="7DDA72AA" w14:textId="77777777" w:rsidR="00EC4447" w:rsidRPr="002B7F8B" w:rsidRDefault="00D570E2">
            <w:pPr>
              <w:widowControl w:val="0"/>
              <w:numPr>
                <w:ilvl w:val="0"/>
                <w:numId w:val="3"/>
              </w:numPr>
              <w:ind w:hanging="360"/>
              <w:jc w:val="both"/>
              <w:rPr>
                <w:rFonts w:ascii="Palatino Linotype" w:eastAsia="Palatino Linotype" w:hAnsi="Palatino Linotype" w:cs="Palatino Linotype"/>
              </w:rPr>
            </w:pPr>
            <w:r w:rsidRPr="002B7F8B">
              <w:rPr>
                <w:rFonts w:ascii="Palatino Linotype" w:eastAsia="Palatino Linotype" w:hAnsi="Palatino Linotype" w:cs="Palatino Linotype"/>
              </w:rPr>
              <w:t>Documento denominado “</w:t>
            </w:r>
            <w:r w:rsidRPr="002B7F8B">
              <w:rPr>
                <w:rFonts w:ascii="Palatino Linotype" w:eastAsia="Palatino Linotype" w:hAnsi="Palatino Linotype" w:cs="Palatino Linotype"/>
                <w:i/>
              </w:rPr>
              <w:t>Contestaciones Saimex 00052CHIMALHUIP2022.pdf”</w:t>
            </w:r>
            <w:r w:rsidRPr="002B7F8B">
              <w:rPr>
                <w:rFonts w:ascii="Palatino Linotype" w:eastAsia="Palatino Linotype" w:hAnsi="Palatino Linotype" w:cs="Palatino Linotype"/>
                <w:i/>
                <w:sz w:val="20"/>
                <w:szCs w:val="20"/>
              </w:rPr>
              <w:t xml:space="preserve"> </w:t>
            </w:r>
            <w:r w:rsidRPr="002B7F8B">
              <w:rPr>
                <w:rFonts w:ascii="Palatino Linotype" w:eastAsia="Palatino Linotype" w:hAnsi="Palatino Linotype" w:cs="Palatino Linotype"/>
              </w:rPr>
              <w:t>del cual se observa la misma respuesta descrita antes emitida por el Director General de Desarrollo Urbano.</w:t>
            </w:r>
          </w:p>
          <w:p w14:paraId="406DEFE0" w14:textId="77777777" w:rsidR="00EC4447" w:rsidRPr="002B7F8B" w:rsidRDefault="00D570E2">
            <w:pPr>
              <w:widowControl w:val="0"/>
              <w:numPr>
                <w:ilvl w:val="0"/>
                <w:numId w:val="3"/>
              </w:numPr>
              <w:ind w:hanging="360"/>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Documento de nombre 0052-2022.pdf emitido por la Jefa del Departamento de Comercio Establecido en donde señala que ni su departamento ni ninguna otra dependencia de la administración pública municipal  autorizan la venta al menudeo. También señala que las estaciones de distribución de gas LP pueden realizar la distribución mediante recipientes transportables, por otra parte, indicó que no se autoriza la transportación </w:t>
            </w:r>
            <w:r w:rsidRPr="002B7F8B">
              <w:rPr>
                <w:rFonts w:ascii="Palatino Linotype" w:eastAsia="Palatino Linotype" w:hAnsi="Palatino Linotype" w:cs="Palatino Linotype"/>
              </w:rPr>
              <w:lastRenderedPageBreak/>
              <w:t xml:space="preserve">de gas en motos, bicicletas, automóviles particulares y taxis ya que se trata de una autorización de carácter federal. </w:t>
            </w:r>
          </w:p>
        </w:tc>
      </w:tr>
    </w:tbl>
    <w:p w14:paraId="6DB4AB60" w14:textId="77777777" w:rsidR="00DF48EB" w:rsidRPr="002B7F8B" w:rsidRDefault="00DF48EB">
      <w:pPr>
        <w:widowControl w:val="0"/>
        <w:spacing w:line="360" w:lineRule="auto"/>
        <w:jc w:val="both"/>
        <w:rPr>
          <w:rFonts w:ascii="Palatino Linotype" w:eastAsia="Palatino Linotype" w:hAnsi="Palatino Linotype" w:cs="Palatino Linotype"/>
          <w:b/>
          <w:sz w:val="28"/>
          <w:szCs w:val="28"/>
        </w:rPr>
      </w:pPr>
    </w:p>
    <w:p w14:paraId="471F836D" w14:textId="77777777" w:rsidR="00EC4447" w:rsidRPr="002B7F8B" w:rsidRDefault="00D570E2">
      <w:pPr>
        <w:widowControl w:val="0"/>
        <w:spacing w:line="360" w:lineRule="auto"/>
        <w:jc w:val="both"/>
        <w:rPr>
          <w:rFonts w:ascii="Palatino Linotype" w:eastAsia="Palatino Linotype" w:hAnsi="Palatino Linotype" w:cs="Palatino Linotype"/>
          <w:b/>
        </w:rPr>
      </w:pPr>
      <w:r w:rsidRPr="002B7F8B">
        <w:rPr>
          <w:rFonts w:ascii="Palatino Linotype" w:eastAsia="Palatino Linotype" w:hAnsi="Palatino Linotype" w:cs="Palatino Linotype"/>
          <w:b/>
          <w:sz w:val="28"/>
          <w:szCs w:val="28"/>
        </w:rPr>
        <w:t>IV. Del Recurso de Revisión</w:t>
      </w:r>
      <w:r w:rsidRPr="002B7F8B">
        <w:rPr>
          <w:rFonts w:ascii="Palatino Linotype" w:eastAsia="Palatino Linotype" w:hAnsi="Palatino Linotype" w:cs="Palatino Linotype"/>
          <w:b/>
        </w:rPr>
        <w:t>.</w:t>
      </w:r>
    </w:p>
    <w:p w14:paraId="1F01C8B0" w14:textId="77777777" w:rsidR="00EC4447" w:rsidRPr="002B7F8B" w:rsidRDefault="00D570E2">
      <w:pPr>
        <w:widowControl w:val="0"/>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Inconforme por las respuestas del</w:t>
      </w:r>
      <w:r w:rsidRPr="002B7F8B">
        <w:rPr>
          <w:rFonts w:ascii="Palatino Linotype" w:eastAsia="Palatino Linotype" w:hAnsi="Palatino Linotype" w:cs="Palatino Linotype"/>
          <w:b/>
        </w:rPr>
        <w:t xml:space="preserve"> SUJETO OBLIGADO</w:t>
      </w:r>
      <w:r w:rsidRPr="002B7F8B">
        <w:rPr>
          <w:rFonts w:ascii="Palatino Linotype" w:eastAsia="Palatino Linotype" w:hAnsi="Palatino Linotype" w:cs="Palatino Linotype"/>
        </w:rPr>
        <w:t xml:space="preserve">, en fechas catorce y </w:t>
      </w:r>
      <w:r w:rsidR="00D529B4" w:rsidRPr="002B7F8B">
        <w:rPr>
          <w:rFonts w:ascii="Palatino Linotype" w:eastAsia="Palatino Linotype" w:hAnsi="Palatino Linotype" w:cs="Palatino Linotype"/>
        </w:rPr>
        <w:t xml:space="preserve">veintiuno </w:t>
      </w:r>
      <w:r w:rsidRPr="002B7F8B">
        <w:rPr>
          <w:rFonts w:ascii="Palatino Linotype" w:eastAsia="Palatino Linotype" w:hAnsi="Palatino Linotype" w:cs="Palatino Linotype"/>
        </w:rPr>
        <w:t xml:space="preserve">de febrero de dos mil veintidós, </w:t>
      </w:r>
      <w:r w:rsidRPr="002B7F8B">
        <w:rPr>
          <w:rFonts w:ascii="Palatino Linotype" w:eastAsia="Palatino Linotype" w:hAnsi="Palatino Linotype" w:cs="Palatino Linotype"/>
          <w:b/>
        </w:rPr>
        <w:t>LA RECURRENTE</w:t>
      </w:r>
      <w:r w:rsidRPr="002B7F8B">
        <w:rPr>
          <w:rFonts w:ascii="Palatino Linotype" w:eastAsia="Palatino Linotype" w:hAnsi="Palatino Linotype" w:cs="Palatino Linotype"/>
        </w:rPr>
        <w:t xml:space="preserve"> interpuso los Recursos de Revisión, los cuales fueron registrados en </w:t>
      </w:r>
      <w:r w:rsidRPr="002B7F8B">
        <w:rPr>
          <w:rFonts w:ascii="Palatino Linotype" w:eastAsia="Palatino Linotype" w:hAnsi="Palatino Linotype" w:cs="Palatino Linotype"/>
          <w:b/>
        </w:rPr>
        <w:t>EL SAIMEX</w:t>
      </w:r>
      <w:r w:rsidRPr="002B7F8B">
        <w:rPr>
          <w:rFonts w:ascii="Palatino Linotype" w:eastAsia="Palatino Linotype" w:hAnsi="Palatino Linotype" w:cs="Palatino Linotype"/>
        </w:rPr>
        <w:t xml:space="preserve"> y se les asignaron los números de expediente </w:t>
      </w:r>
      <w:r w:rsidRPr="002B7F8B">
        <w:rPr>
          <w:rFonts w:ascii="Palatino Linotype" w:eastAsia="Palatino Linotype" w:hAnsi="Palatino Linotype" w:cs="Palatino Linotype"/>
          <w:b/>
        </w:rPr>
        <w:t>00807/INFOEM/IP/RR/2022 y 01078/INFOEM/IP/RR/2022,</w:t>
      </w:r>
      <w:r w:rsidRPr="002B7F8B">
        <w:rPr>
          <w:rFonts w:ascii="Palatino Linotype" w:eastAsia="Palatino Linotype" w:hAnsi="Palatino Linotype" w:cs="Palatino Linotype"/>
        </w:rPr>
        <w:t xml:space="preserve"> donde los motivos de agravio son los siguientes: </w:t>
      </w:r>
    </w:p>
    <w:p w14:paraId="227CC47B" w14:textId="77777777" w:rsidR="00EC4447" w:rsidRPr="002B7F8B" w:rsidRDefault="00EC4447">
      <w:pPr>
        <w:widowControl w:val="0"/>
        <w:spacing w:line="360" w:lineRule="auto"/>
        <w:jc w:val="both"/>
        <w:rPr>
          <w:rFonts w:ascii="Palatino Linotype" w:eastAsia="Palatino Linotype" w:hAnsi="Palatino Linotype" w:cs="Palatino Linotype"/>
        </w:rPr>
      </w:pPr>
    </w:p>
    <w:tbl>
      <w:tblPr>
        <w:tblStyle w:val="affff1"/>
        <w:tblW w:w="9090" w:type="dxa"/>
        <w:tblInd w:w="1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65"/>
        <w:gridCol w:w="3345"/>
        <w:gridCol w:w="3180"/>
      </w:tblGrid>
      <w:tr w:rsidR="00EC4447" w:rsidRPr="002B7F8B" w14:paraId="2BD6C1E3" w14:textId="77777777">
        <w:tc>
          <w:tcPr>
            <w:tcW w:w="2565" w:type="dxa"/>
            <w:tcMar>
              <w:left w:w="100" w:type="dxa"/>
              <w:right w:w="100" w:type="dxa"/>
            </w:tcMar>
          </w:tcPr>
          <w:p w14:paraId="278A7388" w14:textId="77777777" w:rsidR="00EC4447" w:rsidRPr="002B7F8B" w:rsidRDefault="00D570E2">
            <w:pPr>
              <w:widowControl w:val="0"/>
              <w:jc w:val="center"/>
              <w:rPr>
                <w:rFonts w:ascii="Palatino Linotype" w:eastAsia="Palatino Linotype" w:hAnsi="Palatino Linotype" w:cs="Palatino Linotype"/>
                <w:b/>
                <w:u w:val="single"/>
              </w:rPr>
            </w:pPr>
            <w:r w:rsidRPr="002B7F8B">
              <w:rPr>
                <w:rFonts w:ascii="Palatino Linotype" w:eastAsia="Palatino Linotype" w:hAnsi="Palatino Linotype" w:cs="Palatino Linotype"/>
                <w:b/>
                <w:u w:val="single"/>
              </w:rPr>
              <w:t xml:space="preserve">Recurso de Revisión </w:t>
            </w:r>
          </w:p>
        </w:tc>
        <w:tc>
          <w:tcPr>
            <w:tcW w:w="3345" w:type="dxa"/>
            <w:tcMar>
              <w:left w:w="100" w:type="dxa"/>
              <w:right w:w="100" w:type="dxa"/>
            </w:tcMar>
          </w:tcPr>
          <w:p w14:paraId="057F01E0" w14:textId="77777777" w:rsidR="00EC4447" w:rsidRPr="002B7F8B" w:rsidRDefault="00D570E2">
            <w:pPr>
              <w:widowControl w:val="0"/>
              <w:jc w:val="center"/>
              <w:rPr>
                <w:rFonts w:ascii="Palatino Linotype" w:eastAsia="Palatino Linotype" w:hAnsi="Palatino Linotype" w:cs="Palatino Linotype"/>
                <w:b/>
                <w:u w:val="single"/>
              </w:rPr>
            </w:pPr>
            <w:r w:rsidRPr="002B7F8B">
              <w:rPr>
                <w:rFonts w:ascii="Palatino Linotype" w:eastAsia="Palatino Linotype" w:hAnsi="Palatino Linotype" w:cs="Palatino Linotype"/>
                <w:b/>
                <w:u w:val="single"/>
              </w:rPr>
              <w:t>Acto impugnado</w:t>
            </w:r>
          </w:p>
        </w:tc>
        <w:tc>
          <w:tcPr>
            <w:tcW w:w="3180" w:type="dxa"/>
            <w:tcMar>
              <w:left w:w="100" w:type="dxa"/>
              <w:right w:w="100" w:type="dxa"/>
            </w:tcMar>
          </w:tcPr>
          <w:p w14:paraId="74779D34" w14:textId="77777777" w:rsidR="00EC4447" w:rsidRPr="002B7F8B" w:rsidRDefault="00D570E2">
            <w:pPr>
              <w:widowControl w:val="0"/>
              <w:jc w:val="center"/>
              <w:rPr>
                <w:rFonts w:ascii="Palatino Linotype" w:eastAsia="Palatino Linotype" w:hAnsi="Palatino Linotype" w:cs="Palatino Linotype"/>
                <w:b/>
                <w:u w:val="single"/>
              </w:rPr>
            </w:pPr>
            <w:r w:rsidRPr="002B7F8B">
              <w:rPr>
                <w:rFonts w:ascii="Palatino Linotype" w:eastAsia="Palatino Linotype" w:hAnsi="Palatino Linotype" w:cs="Palatino Linotype"/>
                <w:b/>
                <w:u w:val="single"/>
              </w:rPr>
              <w:t xml:space="preserve">Razones o motivos de Inconformidad </w:t>
            </w:r>
          </w:p>
        </w:tc>
      </w:tr>
      <w:tr w:rsidR="00EC4447" w:rsidRPr="002B7F8B" w14:paraId="5E60AFA0" w14:textId="77777777">
        <w:tc>
          <w:tcPr>
            <w:tcW w:w="2565" w:type="dxa"/>
            <w:tcMar>
              <w:left w:w="100" w:type="dxa"/>
              <w:right w:w="100" w:type="dxa"/>
            </w:tcMar>
          </w:tcPr>
          <w:p w14:paraId="68D8EDD1" w14:textId="77777777" w:rsidR="00EC4447" w:rsidRPr="002B7F8B" w:rsidRDefault="00D570E2">
            <w:pPr>
              <w:widowControl w:val="0"/>
              <w:rPr>
                <w:rFonts w:ascii="Palatino Linotype" w:eastAsia="Palatino Linotype" w:hAnsi="Palatino Linotype" w:cs="Palatino Linotype"/>
                <w:b/>
              </w:rPr>
            </w:pPr>
            <w:r w:rsidRPr="002B7F8B">
              <w:rPr>
                <w:rFonts w:ascii="Palatino Linotype" w:eastAsia="Palatino Linotype" w:hAnsi="Palatino Linotype" w:cs="Palatino Linotype"/>
                <w:b/>
              </w:rPr>
              <w:t>00807/INFOEM/IP/RR/2022</w:t>
            </w:r>
          </w:p>
        </w:tc>
        <w:tc>
          <w:tcPr>
            <w:tcW w:w="3345" w:type="dxa"/>
            <w:tcMar>
              <w:left w:w="100" w:type="dxa"/>
              <w:right w:w="100" w:type="dxa"/>
            </w:tcMar>
          </w:tcPr>
          <w:p w14:paraId="65284849" w14:textId="77777777" w:rsidR="00EC4447" w:rsidRPr="002B7F8B" w:rsidRDefault="00D570E2">
            <w:pPr>
              <w:widowControl w:val="0"/>
              <w:jc w:val="both"/>
              <w:rPr>
                <w:rFonts w:ascii="Palatino Linotype" w:eastAsia="Palatino Linotype" w:hAnsi="Palatino Linotype" w:cs="Palatino Linotype"/>
                <w:i/>
                <w:sz w:val="20"/>
                <w:szCs w:val="20"/>
              </w:rPr>
            </w:pPr>
            <w:r w:rsidRPr="002B7F8B">
              <w:rPr>
                <w:rFonts w:ascii="Palatino Linotype" w:eastAsia="Palatino Linotype" w:hAnsi="Palatino Linotype" w:cs="Palatino Linotype"/>
                <w:i/>
                <w:sz w:val="20"/>
                <w:szCs w:val="20"/>
              </w:rPr>
              <w:t>“No responde si los particulares pueden transportar gas.” (Sic)</w:t>
            </w:r>
          </w:p>
        </w:tc>
        <w:tc>
          <w:tcPr>
            <w:tcW w:w="3180" w:type="dxa"/>
            <w:tcMar>
              <w:left w:w="100" w:type="dxa"/>
              <w:right w:w="100" w:type="dxa"/>
            </w:tcMar>
          </w:tcPr>
          <w:p w14:paraId="5569FECC" w14:textId="77777777" w:rsidR="00EC4447" w:rsidRPr="002B7F8B" w:rsidRDefault="00D570E2">
            <w:pPr>
              <w:widowControl w:val="0"/>
              <w:jc w:val="both"/>
              <w:rPr>
                <w:rFonts w:ascii="Palatino Linotype" w:eastAsia="Palatino Linotype" w:hAnsi="Palatino Linotype" w:cs="Palatino Linotype"/>
                <w:i/>
                <w:sz w:val="20"/>
                <w:szCs w:val="20"/>
              </w:rPr>
            </w:pPr>
            <w:r w:rsidRPr="002B7F8B">
              <w:rPr>
                <w:rFonts w:ascii="Palatino Linotype" w:eastAsia="Palatino Linotype" w:hAnsi="Palatino Linotype" w:cs="Palatino Linotype"/>
                <w:i/>
                <w:sz w:val="20"/>
                <w:szCs w:val="20"/>
              </w:rPr>
              <w:t>“No responde la pregunta.” (Sic)</w:t>
            </w:r>
          </w:p>
        </w:tc>
      </w:tr>
      <w:tr w:rsidR="00EC4447" w:rsidRPr="002B7F8B" w14:paraId="474446B8" w14:textId="77777777">
        <w:tc>
          <w:tcPr>
            <w:tcW w:w="2565" w:type="dxa"/>
            <w:tcMar>
              <w:left w:w="100" w:type="dxa"/>
              <w:right w:w="100" w:type="dxa"/>
            </w:tcMar>
          </w:tcPr>
          <w:p w14:paraId="3E3E6CF5" w14:textId="77777777" w:rsidR="00EC4447" w:rsidRPr="002B7F8B" w:rsidRDefault="00D570E2">
            <w:pPr>
              <w:widowControl w:val="0"/>
              <w:rPr>
                <w:rFonts w:ascii="Palatino Linotype" w:eastAsia="Palatino Linotype" w:hAnsi="Palatino Linotype" w:cs="Palatino Linotype"/>
                <w:b/>
              </w:rPr>
            </w:pPr>
            <w:r w:rsidRPr="002B7F8B">
              <w:rPr>
                <w:rFonts w:ascii="Palatino Linotype" w:eastAsia="Palatino Linotype" w:hAnsi="Palatino Linotype" w:cs="Palatino Linotype"/>
                <w:b/>
              </w:rPr>
              <w:t>01078/INFOEM/IP/RR/2022</w:t>
            </w:r>
          </w:p>
        </w:tc>
        <w:tc>
          <w:tcPr>
            <w:tcW w:w="3345" w:type="dxa"/>
            <w:tcMar>
              <w:left w:w="100" w:type="dxa"/>
              <w:right w:w="100" w:type="dxa"/>
            </w:tcMar>
          </w:tcPr>
          <w:p w14:paraId="7BE6D90E" w14:textId="77777777" w:rsidR="00EC4447" w:rsidRPr="002B7F8B" w:rsidRDefault="00D570E2">
            <w:pPr>
              <w:widowControl w:val="0"/>
              <w:jc w:val="both"/>
              <w:rPr>
                <w:rFonts w:ascii="Palatino Linotype" w:eastAsia="Palatino Linotype" w:hAnsi="Palatino Linotype" w:cs="Palatino Linotype"/>
                <w:i/>
                <w:sz w:val="20"/>
                <w:szCs w:val="20"/>
              </w:rPr>
            </w:pPr>
            <w:r w:rsidRPr="002B7F8B">
              <w:rPr>
                <w:rFonts w:ascii="Palatino Linotype" w:eastAsia="Palatino Linotype" w:hAnsi="Palatino Linotype" w:cs="Palatino Linotype"/>
                <w:i/>
                <w:sz w:val="20"/>
                <w:szCs w:val="20"/>
              </w:rPr>
              <w:t>“No da respuesta..” (Sic)</w:t>
            </w:r>
          </w:p>
        </w:tc>
        <w:tc>
          <w:tcPr>
            <w:tcW w:w="3180" w:type="dxa"/>
            <w:tcMar>
              <w:left w:w="100" w:type="dxa"/>
              <w:right w:w="100" w:type="dxa"/>
            </w:tcMar>
          </w:tcPr>
          <w:p w14:paraId="6221D70F" w14:textId="77777777" w:rsidR="00EC4447" w:rsidRPr="002B7F8B" w:rsidRDefault="00D570E2">
            <w:pPr>
              <w:widowControl w:val="0"/>
              <w:jc w:val="both"/>
              <w:rPr>
                <w:rFonts w:ascii="Palatino Linotype" w:eastAsia="Palatino Linotype" w:hAnsi="Palatino Linotype" w:cs="Palatino Linotype"/>
                <w:i/>
                <w:sz w:val="20"/>
                <w:szCs w:val="20"/>
              </w:rPr>
            </w:pPr>
            <w:r w:rsidRPr="002B7F8B">
              <w:rPr>
                <w:rFonts w:ascii="Palatino Linotype" w:eastAsia="Palatino Linotype" w:hAnsi="Palatino Linotype" w:cs="Palatino Linotype"/>
                <w:i/>
                <w:sz w:val="20"/>
                <w:szCs w:val="20"/>
              </w:rPr>
              <w:t>“No responde según lo solicitado.”(Sic)</w:t>
            </w:r>
          </w:p>
        </w:tc>
      </w:tr>
    </w:tbl>
    <w:p w14:paraId="2159ECBE" w14:textId="77777777" w:rsidR="00EC4447" w:rsidRPr="002B7F8B" w:rsidRDefault="00EC4447">
      <w:pPr>
        <w:spacing w:line="360" w:lineRule="auto"/>
        <w:jc w:val="both"/>
        <w:rPr>
          <w:rFonts w:ascii="Palatino Linotype" w:eastAsia="Palatino Linotype" w:hAnsi="Palatino Linotype" w:cs="Palatino Linotype"/>
        </w:rPr>
      </w:pPr>
    </w:p>
    <w:p w14:paraId="11DBFE15" w14:textId="77777777" w:rsidR="00EC4447" w:rsidRPr="002B7F8B" w:rsidRDefault="00D570E2">
      <w:pPr>
        <w:spacing w:line="360" w:lineRule="auto"/>
        <w:jc w:val="both"/>
        <w:rPr>
          <w:rFonts w:ascii="Palatino Linotype" w:eastAsia="Palatino Linotype" w:hAnsi="Palatino Linotype" w:cs="Palatino Linotype"/>
          <w:b/>
          <w:sz w:val="28"/>
          <w:szCs w:val="28"/>
        </w:rPr>
      </w:pPr>
      <w:r w:rsidRPr="002B7F8B">
        <w:rPr>
          <w:rFonts w:ascii="Palatino Linotype" w:eastAsia="Palatino Linotype" w:hAnsi="Palatino Linotype" w:cs="Palatino Linotype"/>
          <w:b/>
          <w:sz w:val="28"/>
          <w:szCs w:val="28"/>
        </w:rPr>
        <w:t xml:space="preserve">V. Del turno del Recurso de Revisión. </w:t>
      </w:r>
    </w:p>
    <w:p w14:paraId="3FAF22ED"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El fechas trece y veintiuno de febrero de dos mil veintidós, los recursos se enviaron electrónicamente al Instituto de Transparencia, Acceso a la Información Pública y Protección de Datos Personales del Estado de México y Municipios y con fundamento en el artículo 185, fracción I de la Ley de Transparencia y Acceso a la Información </w:t>
      </w:r>
      <w:r w:rsidRPr="002B7F8B">
        <w:rPr>
          <w:rFonts w:ascii="Palatino Linotype" w:eastAsia="Palatino Linotype" w:hAnsi="Palatino Linotype" w:cs="Palatino Linotype"/>
        </w:rPr>
        <w:lastRenderedPageBreak/>
        <w:t>Pública del Estado de México y Municipios, se turnaron a la Comisionada María del Rosario Mejía Ayala, a efecto de decretar su admisión o desechamiento.</w:t>
      </w:r>
    </w:p>
    <w:p w14:paraId="3CDBB9E3" w14:textId="77777777" w:rsidR="00EC4447" w:rsidRPr="002B7F8B" w:rsidRDefault="00EC4447">
      <w:pPr>
        <w:spacing w:line="360" w:lineRule="auto"/>
        <w:jc w:val="both"/>
        <w:rPr>
          <w:rFonts w:ascii="Palatino Linotype" w:eastAsia="Palatino Linotype" w:hAnsi="Palatino Linotype" w:cs="Palatino Linotype"/>
        </w:rPr>
      </w:pPr>
    </w:p>
    <w:p w14:paraId="5477007F" w14:textId="77777777" w:rsidR="00EC4447" w:rsidRPr="002B7F8B" w:rsidRDefault="00D570E2">
      <w:pPr>
        <w:tabs>
          <w:tab w:val="center" w:pos="4252"/>
          <w:tab w:val="right" w:pos="8504"/>
        </w:tabs>
        <w:spacing w:line="360" w:lineRule="auto"/>
        <w:jc w:val="both"/>
        <w:rPr>
          <w:rFonts w:ascii="Palatino Linotype" w:eastAsia="Palatino Linotype" w:hAnsi="Palatino Linotype" w:cs="Palatino Linotype"/>
          <w:b/>
        </w:rPr>
      </w:pPr>
      <w:r w:rsidRPr="002B7F8B">
        <w:rPr>
          <w:rFonts w:ascii="Palatino Linotype" w:eastAsia="Palatino Linotype" w:hAnsi="Palatino Linotype" w:cs="Palatino Linotype"/>
          <w:b/>
        </w:rPr>
        <w:t>a) Admisión del Recurso de Revisión</w:t>
      </w:r>
    </w:p>
    <w:p w14:paraId="745AE977" w14:textId="77777777" w:rsidR="00EC4447" w:rsidRPr="002B7F8B" w:rsidRDefault="00D570E2">
      <w:pPr>
        <w:tabs>
          <w:tab w:val="center" w:pos="4252"/>
          <w:tab w:val="right" w:pos="8504"/>
        </w:tabs>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De las constancias que obran en el expediente electrónico del</w:t>
      </w:r>
      <w:r w:rsidRPr="002B7F8B">
        <w:rPr>
          <w:rFonts w:ascii="Palatino Linotype" w:eastAsia="Palatino Linotype" w:hAnsi="Palatino Linotype" w:cs="Palatino Linotype"/>
          <w:b/>
        </w:rPr>
        <w:t xml:space="preserve"> SAIMEX</w:t>
      </w:r>
      <w:r w:rsidRPr="002B7F8B">
        <w:rPr>
          <w:rFonts w:ascii="Palatino Linotype" w:eastAsia="Palatino Linotype" w:hAnsi="Palatino Linotype" w:cs="Palatino Linotype"/>
        </w:rPr>
        <w:t xml:space="preserve">, se advierte que en fechas quince, y veinticinco de febrero de dos mil veintidós, se acordó la admisión a trámite de los Recursos de Revisión que nos ocupan; así como la integración de los expedientes respectivos, mismos que se pusieron a disposición de las partes, para que en un plazo máximo de siete días hábiles </w:t>
      </w:r>
      <w:r w:rsidRPr="002B7F8B">
        <w:rPr>
          <w:rFonts w:ascii="Palatino Linotype" w:eastAsia="Palatino Linotype" w:hAnsi="Palatino Linotype" w:cs="Palatino Linotype"/>
          <w:b/>
        </w:rPr>
        <w:t xml:space="preserve">LA RECURRENTE </w:t>
      </w:r>
      <w:r w:rsidRPr="002B7F8B">
        <w:rPr>
          <w:rFonts w:ascii="Palatino Linotype" w:eastAsia="Palatino Linotype" w:hAnsi="Palatino Linotype" w:cs="Palatino Linotype"/>
        </w:rPr>
        <w:t xml:space="preserve">manifestara lo que a su derecho conviniera, a efecto de presentar pruebas y alegatos; así como, para que </w:t>
      </w:r>
      <w:r w:rsidRPr="002B7F8B">
        <w:rPr>
          <w:rFonts w:ascii="Palatino Linotype" w:eastAsia="Palatino Linotype" w:hAnsi="Palatino Linotype" w:cs="Palatino Linotype"/>
          <w:b/>
        </w:rPr>
        <w:t xml:space="preserve">EL SUJETO OBLIGADO </w:t>
      </w:r>
      <w:r w:rsidRPr="002B7F8B">
        <w:rPr>
          <w:rFonts w:ascii="Palatino Linotype" w:eastAsia="Palatino Linotype" w:hAnsi="Palatino Linotype" w:cs="Palatino Linotype"/>
        </w:rPr>
        <w:t>rindiera los Informes Justificados correspondientes; lo anterior, conforme a lo dispuesto por el artículo 185 de la Ley de Transparencia y Acceso a la Información Pública del Estado de México y Municipios.</w:t>
      </w:r>
    </w:p>
    <w:p w14:paraId="5EBB788F" w14:textId="77777777" w:rsidR="00EC4447" w:rsidRPr="002B7F8B" w:rsidRDefault="00EC4447">
      <w:pPr>
        <w:tabs>
          <w:tab w:val="center" w:pos="4252"/>
          <w:tab w:val="right" w:pos="8504"/>
        </w:tabs>
        <w:spacing w:line="360" w:lineRule="auto"/>
        <w:jc w:val="both"/>
        <w:rPr>
          <w:rFonts w:ascii="Palatino Linotype" w:eastAsia="Palatino Linotype" w:hAnsi="Palatino Linotype" w:cs="Palatino Linotype"/>
        </w:rPr>
      </w:pPr>
    </w:p>
    <w:p w14:paraId="590CE961" w14:textId="77777777" w:rsidR="00EC4447" w:rsidRPr="002B7F8B" w:rsidRDefault="00D570E2">
      <w:pPr>
        <w:spacing w:line="360" w:lineRule="auto"/>
        <w:jc w:val="both"/>
        <w:rPr>
          <w:rFonts w:ascii="Palatino Linotype" w:eastAsia="Palatino Linotype" w:hAnsi="Palatino Linotype" w:cs="Palatino Linotype"/>
          <w:b/>
        </w:rPr>
      </w:pPr>
      <w:r w:rsidRPr="002B7F8B">
        <w:rPr>
          <w:rFonts w:ascii="Palatino Linotype" w:eastAsia="Palatino Linotype" w:hAnsi="Palatino Linotype" w:cs="Palatino Linotype"/>
          <w:b/>
        </w:rPr>
        <w:t>b) Informe Justificado</w:t>
      </w:r>
    </w:p>
    <w:p w14:paraId="5F620980" w14:textId="77777777" w:rsidR="00EC4447" w:rsidRPr="002B7F8B" w:rsidRDefault="00D570E2">
      <w:pPr>
        <w:widowControl w:val="0"/>
        <w:tabs>
          <w:tab w:val="left" w:pos="0"/>
        </w:tabs>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Conforme a las constancias que obran en el expediente del </w:t>
      </w:r>
      <w:r w:rsidRPr="002B7F8B">
        <w:rPr>
          <w:rFonts w:ascii="Palatino Linotype" w:eastAsia="Palatino Linotype" w:hAnsi="Palatino Linotype" w:cs="Palatino Linotype"/>
          <w:b/>
        </w:rPr>
        <w:t>SAIMEX,</w:t>
      </w:r>
      <w:r w:rsidRPr="002B7F8B">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la </w:t>
      </w:r>
      <w:r w:rsidRPr="002B7F8B">
        <w:rPr>
          <w:rFonts w:ascii="Palatino Linotype" w:eastAsia="Palatino Linotype" w:hAnsi="Palatino Linotype" w:cs="Palatino Linotype"/>
          <w:b/>
        </w:rPr>
        <w:t>RECURRENTE</w:t>
      </w:r>
      <w:r w:rsidRPr="002B7F8B">
        <w:rPr>
          <w:rFonts w:ascii="Palatino Linotype" w:eastAsia="Palatino Linotype" w:hAnsi="Palatino Linotype" w:cs="Palatino Linotype"/>
        </w:rPr>
        <w:t xml:space="preserve">, no realizó las manifestaciones que conforme a derecho le corresponden. Por su parte, </w:t>
      </w:r>
      <w:r w:rsidRPr="002B7F8B">
        <w:rPr>
          <w:rFonts w:ascii="Palatino Linotype" w:eastAsia="Palatino Linotype" w:hAnsi="Palatino Linotype" w:cs="Palatino Linotype"/>
          <w:b/>
        </w:rPr>
        <w:t>EL SUJETO OBLIGADO</w:t>
      </w:r>
      <w:r w:rsidRPr="002B7F8B">
        <w:rPr>
          <w:rFonts w:ascii="Palatino Linotype" w:eastAsia="Palatino Linotype" w:hAnsi="Palatino Linotype" w:cs="Palatino Linotype"/>
        </w:rPr>
        <w:t xml:space="preserve"> tampoco presentó el Informe Justificado correspondiente. </w:t>
      </w:r>
    </w:p>
    <w:p w14:paraId="4F13567B" w14:textId="77777777" w:rsidR="00EC4447" w:rsidRPr="002B7F8B" w:rsidRDefault="00EC4447">
      <w:pPr>
        <w:widowControl w:val="0"/>
        <w:tabs>
          <w:tab w:val="left" w:pos="0"/>
        </w:tabs>
        <w:spacing w:line="360" w:lineRule="auto"/>
        <w:jc w:val="both"/>
        <w:rPr>
          <w:rFonts w:ascii="Palatino Linotype" w:eastAsia="Palatino Linotype" w:hAnsi="Palatino Linotype" w:cs="Palatino Linotype"/>
        </w:rPr>
      </w:pPr>
    </w:p>
    <w:p w14:paraId="33E98480" w14:textId="77777777" w:rsidR="00DF48EB" w:rsidRPr="002B7F8B" w:rsidRDefault="00DF48EB">
      <w:pPr>
        <w:widowControl w:val="0"/>
        <w:tabs>
          <w:tab w:val="left" w:pos="0"/>
        </w:tabs>
        <w:spacing w:line="360" w:lineRule="auto"/>
        <w:jc w:val="both"/>
        <w:rPr>
          <w:rFonts w:ascii="Palatino Linotype" w:eastAsia="Palatino Linotype" w:hAnsi="Palatino Linotype" w:cs="Palatino Linotype"/>
        </w:rPr>
      </w:pPr>
    </w:p>
    <w:p w14:paraId="208CF7D8" w14:textId="77777777" w:rsidR="00EC4447" w:rsidRPr="002B7F8B" w:rsidRDefault="00D570E2">
      <w:pPr>
        <w:spacing w:line="360" w:lineRule="auto"/>
        <w:jc w:val="both"/>
        <w:rPr>
          <w:rFonts w:ascii="Palatino Linotype" w:eastAsia="Palatino Linotype" w:hAnsi="Palatino Linotype" w:cs="Palatino Linotype"/>
          <w:b/>
        </w:rPr>
      </w:pPr>
      <w:r w:rsidRPr="002B7F8B">
        <w:rPr>
          <w:rFonts w:ascii="Palatino Linotype" w:eastAsia="Palatino Linotype" w:hAnsi="Palatino Linotype" w:cs="Palatino Linotype"/>
          <w:b/>
          <w:sz w:val="28"/>
          <w:szCs w:val="28"/>
        </w:rPr>
        <w:lastRenderedPageBreak/>
        <w:t xml:space="preserve">c) </w:t>
      </w:r>
      <w:r w:rsidRPr="002B7F8B">
        <w:rPr>
          <w:rFonts w:ascii="Palatino Linotype" w:eastAsia="Palatino Linotype" w:hAnsi="Palatino Linotype" w:cs="Palatino Linotype"/>
          <w:b/>
        </w:rPr>
        <w:t xml:space="preserve">Acumulación </w:t>
      </w:r>
    </w:p>
    <w:p w14:paraId="5B0CEF09"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Por economía procesal y con la finalidad de evitar resoluciones contradictorias, en la </w:t>
      </w:r>
      <w:r w:rsidRPr="002B7F8B">
        <w:rPr>
          <w:rFonts w:ascii="Palatino Linotype" w:eastAsia="Palatino Linotype" w:hAnsi="Palatino Linotype" w:cs="Palatino Linotype"/>
          <w:b/>
        </w:rPr>
        <w:t>Octava Sesión Ordinaria de fecha tres de marzo de dos mil veintidós</w:t>
      </w:r>
      <w:r w:rsidRPr="002B7F8B">
        <w:rPr>
          <w:rFonts w:ascii="Palatino Linotype" w:eastAsia="Palatino Linotype" w:hAnsi="Palatino Linotype" w:cs="Palatino Linotype"/>
        </w:rPr>
        <w:t xml:space="preserve">, el Pleno de este Instituto determinó acumular los Recursos de Revisión </w:t>
      </w:r>
      <w:r w:rsidRPr="002B7F8B">
        <w:rPr>
          <w:rFonts w:ascii="Palatino Linotype" w:eastAsia="Palatino Linotype" w:hAnsi="Palatino Linotype" w:cs="Palatino Linotype"/>
          <w:b/>
        </w:rPr>
        <w:t>00807/INFOEM/IP/RR/2022 y 01078/INFOEM/IP/RR/2022</w:t>
      </w:r>
      <w:r w:rsidRPr="002B7F8B">
        <w:rPr>
          <w:rFonts w:ascii="Palatino Linotype" w:eastAsia="Palatino Linotype" w:hAnsi="Palatino Linotype" w:cs="Palatino Linotype"/>
          <w:b/>
          <w:sz w:val="22"/>
          <w:szCs w:val="22"/>
        </w:rPr>
        <w:t xml:space="preserve">, </w:t>
      </w:r>
      <w:r w:rsidRPr="002B7F8B">
        <w:rPr>
          <w:rFonts w:ascii="Palatino Linotype" w:eastAsia="Palatino Linotype" w:hAnsi="Palatino Linotype" w:cs="Palatino Linotype"/>
        </w:rPr>
        <w:t xml:space="preserve"> acordando la elaboración del proyecto de resolución por parte de la Comisionada María del Rosario Mejía Ayala. </w:t>
      </w:r>
    </w:p>
    <w:p w14:paraId="1A3B16BF" w14:textId="77777777" w:rsidR="00EC4447" w:rsidRPr="002B7F8B" w:rsidRDefault="00EC4447">
      <w:pPr>
        <w:spacing w:line="360" w:lineRule="auto"/>
        <w:jc w:val="both"/>
        <w:rPr>
          <w:rFonts w:ascii="Palatino Linotype" w:eastAsia="Palatino Linotype" w:hAnsi="Palatino Linotype" w:cs="Palatino Linotype"/>
        </w:rPr>
      </w:pPr>
    </w:p>
    <w:p w14:paraId="67E45522" w14:textId="77777777" w:rsidR="00EC4447" w:rsidRPr="002B7F8B" w:rsidRDefault="00D570E2">
      <w:pPr>
        <w:spacing w:line="360" w:lineRule="auto"/>
        <w:jc w:val="both"/>
        <w:rPr>
          <w:rFonts w:ascii="Palatino Linotype" w:eastAsia="Palatino Linotype" w:hAnsi="Palatino Linotype" w:cs="Palatino Linotype"/>
          <w:b/>
        </w:rPr>
      </w:pPr>
      <w:r w:rsidRPr="002B7F8B">
        <w:rPr>
          <w:rFonts w:ascii="Palatino Linotype" w:eastAsia="Palatino Linotype" w:hAnsi="Palatino Linotype" w:cs="Palatino Linotype"/>
          <w:b/>
        </w:rPr>
        <w:t>d) Del returno del Recurso de Revisión</w:t>
      </w:r>
    </w:p>
    <w:p w14:paraId="3DA2D896"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En la Novena Sesión Ordinaria de fecha nueve de marzo de dos mil veintidós, por acuerdo del Pleno de este Órgano Garante, fue returnado el Recurso de Revisión número</w:t>
      </w:r>
      <w:r w:rsidRPr="002B7F8B">
        <w:rPr>
          <w:rFonts w:ascii="Palatino Linotype" w:eastAsia="Palatino Linotype" w:hAnsi="Palatino Linotype" w:cs="Palatino Linotype"/>
          <w:b/>
        </w:rPr>
        <w:t xml:space="preserve"> 00807/INFOEM/IP/RR/2022 y su acumulado </w:t>
      </w:r>
      <w:r w:rsidR="00D529B4" w:rsidRPr="002B7F8B">
        <w:rPr>
          <w:rFonts w:ascii="Palatino Linotype" w:eastAsia="Palatino Linotype" w:hAnsi="Palatino Linotype" w:cs="Palatino Linotype"/>
          <w:b/>
        </w:rPr>
        <w:t xml:space="preserve">01078/INFOEM/IP/RR/2022, </w:t>
      </w:r>
      <w:r w:rsidRPr="002B7F8B">
        <w:rPr>
          <w:rFonts w:ascii="Palatino Linotype" w:eastAsia="Palatino Linotype" w:hAnsi="Palatino Linotype" w:cs="Palatino Linotype"/>
        </w:rPr>
        <w:t xml:space="preserve">a la </w:t>
      </w:r>
      <w:r w:rsidRPr="002B7F8B">
        <w:rPr>
          <w:rFonts w:ascii="Palatino Linotype" w:eastAsia="Palatino Linotype" w:hAnsi="Palatino Linotype" w:cs="Palatino Linotype"/>
          <w:b/>
        </w:rPr>
        <w:t>Comisionada Sharon Cristina Morales Martínez</w:t>
      </w:r>
      <w:r w:rsidRPr="002B7F8B">
        <w:rPr>
          <w:rFonts w:ascii="Palatino Linotype" w:eastAsia="Palatino Linotype" w:hAnsi="Palatino Linotype" w:cs="Palatino Linotype"/>
        </w:rPr>
        <w:t xml:space="preserve"> para su resolución y presentación al Pleno. </w:t>
      </w:r>
    </w:p>
    <w:p w14:paraId="2B5BC72A" w14:textId="77777777" w:rsidR="00EC4447" w:rsidRPr="002B7F8B" w:rsidRDefault="00EC4447">
      <w:pPr>
        <w:spacing w:line="360" w:lineRule="auto"/>
        <w:jc w:val="both"/>
        <w:rPr>
          <w:rFonts w:ascii="Palatino Linotype" w:eastAsia="Palatino Linotype" w:hAnsi="Palatino Linotype" w:cs="Palatino Linotype"/>
        </w:rPr>
      </w:pPr>
    </w:p>
    <w:p w14:paraId="7AF45379" w14:textId="77777777" w:rsidR="00EC4447" w:rsidRPr="002B7F8B" w:rsidRDefault="00D570E2">
      <w:pPr>
        <w:spacing w:line="360" w:lineRule="auto"/>
        <w:jc w:val="both"/>
        <w:rPr>
          <w:rFonts w:ascii="Palatino Linotype" w:eastAsia="Palatino Linotype" w:hAnsi="Palatino Linotype" w:cs="Palatino Linotype"/>
          <w:b/>
        </w:rPr>
      </w:pPr>
      <w:r w:rsidRPr="002B7F8B">
        <w:rPr>
          <w:rFonts w:ascii="Palatino Linotype" w:eastAsia="Palatino Linotype" w:hAnsi="Palatino Linotype" w:cs="Palatino Linotype"/>
          <w:b/>
        </w:rPr>
        <w:t xml:space="preserve">e) Ampliación del Recurso de Revisión </w:t>
      </w:r>
    </w:p>
    <w:p w14:paraId="0A333229"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En fecha diecinueve de abril de dos mil veintidós, se notificó el acuerdo de ampliación de plazo para resolver el presente Recurso de Revisión, previsto en el artículo 181, tercer párrafo de la Ley de Transparencia y Acceso a la Información Pública del Estado de México y Municipios</w:t>
      </w:r>
      <w:r w:rsidR="00D14148" w:rsidRPr="002B7F8B">
        <w:rPr>
          <w:rFonts w:ascii="Palatino Linotype" w:eastAsia="Palatino Linotype" w:hAnsi="Palatino Linotype" w:cs="Palatino Linotype"/>
        </w:rPr>
        <w:t>.</w:t>
      </w:r>
    </w:p>
    <w:p w14:paraId="69180344" w14:textId="77777777" w:rsidR="00EC4447" w:rsidRPr="002B7F8B" w:rsidRDefault="00EC4447">
      <w:pPr>
        <w:spacing w:line="360" w:lineRule="auto"/>
        <w:jc w:val="both"/>
        <w:rPr>
          <w:rFonts w:ascii="Palatino Linotype" w:eastAsia="Palatino Linotype" w:hAnsi="Palatino Linotype" w:cs="Palatino Linotype"/>
          <w:b/>
        </w:rPr>
      </w:pPr>
    </w:p>
    <w:p w14:paraId="594246A1" w14:textId="77777777" w:rsidR="00EC4447" w:rsidRPr="002B7F8B" w:rsidRDefault="00D570E2">
      <w:pPr>
        <w:spacing w:line="360" w:lineRule="auto"/>
        <w:jc w:val="both"/>
        <w:rPr>
          <w:rFonts w:ascii="Palatino Linotype" w:eastAsia="Palatino Linotype" w:hAnsi="Palatino Linotype" w:cs="Palatino Linotype"/>
          <w:b/>
        </w:rPr>
      </w:pPr>
      <w:r w:rsidRPr="002B7F8B">
        <w:rPr>
          <w:rFonts w:ascii="Palatino Linotype" w:eastAsia="Palatino Linotype" w:hAnsi="Palatino Linotype" w:cs="Palatino Linotype"/>
          <w:b/>
        </w:rPr>
        <w:t>f) Cierre de Instrucción</w:t>
      </w:r>
    </w:p>
    <w:p w14:paraId="5E9C8326" w14:textId="77777777" w:rsidR="00EC4447" w:rsidRPr="002B7F8B" w:rsidRDefault="00D570E2">
      <w:pPr>
        <w:spacing w:line="360" w:lineRule="auto"/>
        <w:jc w:val="both"/>
        <w:rPr>
          <w:rFonts w:ascii="Palatino Linotype" w:eastAsia="Palatino Linotype" w:hAnsi="Palatino Linotype" w:cs="Palatino Linotype"/>
          <w:b/>
        </w:rPr>
      </w:pPr>
      <w:r w:rsidRPr="002B7F8B">
        <w:rPr>
          <w:rFonts w:ascii="Palatino Linotype" w:eastAsia="Palatino Linotype" w:hAnsi="Palatino Linotype" w:cs="Palatino Linotype"/>
        </w:rPr>
        <w:t xml:space="preserve">Por lo que, una vez analizado el estado procesal que guardaba el expediente, en fecha tres de mayo de dos mil veintidós, la </w:t>
      </w:r>
      <w:r w:rsidRPr="002B7F8B">
        <w:rPr>
          <w:rFonts w:ascii="Palatino Linotype" w:eastAsia="Palatino Linotype" w:hAnsi="Palatino Linotype" w:cs="Palatino Linotype"/>
          <w:b/>
        </w:rPr>
        <w:t xml:space="preserve">Comisionada Sharon Christina Morales </w:t>
      </w:r>
      <w:r w:rsidRPr="002B7F8B">
        <w:rPr>
          <w:rFonts w:ascii="Palatino Linotype" w:eastAsia="Palatino Linotype" w:hAnsi="Palatino Linotype" w:cs="Palatino Linotype"/>
          <w:b/>
        </w:rPr>
        <w:lastRenderedPageBreak/>
        <w:t xml:space="preserve">Martínez </w:t>
      </w:r>
      <w:r w:rsidRPr="002B7F8B">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356041E4" w14:textId="77777777" w:rsidR="00EC4447" w:rsidRPr="002B7F8B" w:rsidRDefault="00EC4447">
      <w:pPr>
        <w:spacing w:line="360" w:lineRule="auto"/>
        <w:jc w:val="both"/>
        <w:rPr>
          <w:rFonts w:ascii="Palatino Linotype" w:eastAsia="Palatino Linotype" w:hAnsi="Palatino Linotype" w:cs="Palatino Linotype"/>
        </w:rPr>
      </w:pPr>
    </w:p>
    <w:p w14:paraId="48CC8FAF" w14:textId="77777777" w:rsidR="00EC4447" w:rsidRPr="002B7F8B" w:rsidRDefault="00D570E2">
      <w:pPr>
        <w:jc w:val="center"/>
        <w:rPr>
          <w:rFonts w:ascii="Palatino Linotype" w:eastAsia="Palatino Linotype" w:hAnsi="Palatino Linotype" w:cs="Palatino Linotype"/>
          <w:b/>
          <w:sz w:val="28"/>
          <w:szCs w:val="28"/>
        </w:rPr>
      </w:pPr>
      <w:r w:rsidRPr="002B7F8B">
        <w:rPr>
          <w:rFonts w:ascii="Palatino Linotype" w:eastAsia="Palatino Linotype" w:hAnsi="Palatino Linotype" w:cs="Palatino Linotype"/>
          <w:b/>
          <w:sz w:val="28"/>
          <w:szCs w:val="28"/>
        </w:rPr>
        <w:t>CONSIDERANDO</w:t>
      </w:r>
    </w:p>
    <w:p w14:paraId="6AB10DD4" w14:textId="77777777" w:rsidR="00EC4447" w:rsidRPr="002B7F8B" w:rsidRDefault="00EC4447">
      <w:pPr>
        <w:jc w:val="center"/>
        <w:rPr>
          <w:rFonts w:ascii="Palatino Linotype" w:eastAsia="Palatino Linotype" w:hAnsi="Palatino Linotype" w:cs="Palatino Linotype"/>
          <w:b/>
          <w:sz w:val="28"/>
          <w:szCs w:val="28"/>
        </w:rPr>
      </w:pPr>
    </w:p>
    <w:p w14:paraId="256C7561" w14:textId="77777777" w:rsidR="00EC4447" w:rsidRPr="002B7F8B" w:rsidRDefault="00D570E2">
      <w:pPr>
        <w:widowControl w:val="0"/>
        <w:tabs>
          <w:tab w:val="left" w:pos="1701"/>
        </w:tabs>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b/>
          <w:sz w:val="28"/>
          <w:szCs w:val="28"/>
        </w:rPr>
        <w:t>PRIMERO.</w:t>
      </w:r>
      <w:r w:rsidRPr="002B7F8B">
        <w:rPr>
          <w:rFonts w:ascii="Palatino Linotype" w:eastAsia="Palatino Linotype" w:hAnsi="Palatino Linotype" w:cs="Palatino Linotype"/>
          <w:b/>
        </w:rPr>
        <w:t xml:space="preserve"> Competencia</w:t>
      </w:r>
      <w:r w:rsidRPr="002B7F8B">
        <w:rPr>
          <w:rFonts w:ascii="Palatino Linotype" w:eastAsia="Palatino Linotype" w:hAnsi="Palatino Linotype" w:cs="Palatino Linotype"/>
        </w:rPr>
        <w:t>.</w:t>
      </w:r>
      <w:r w:rsidRPr="002B7F8B">
        <w:rPr>
          <w:rFonts w:ascii="Palatino Linotype" w:eastAsia="Palatino Linotype" w:hAnsi="Palatino Linotype" w:cs="Palatino Linotype"/>
          <w:b/>
        </w:rPr>
        <w:t xml:space="preserve"> </w:t>
      </w:r>
    </w:p>
    <w:p w14:paraId="4CDFCB47" w14:textId="77777777" w:rsidR="00EC4447" w:rsidRPr="002B7F8B" w:rsidRDefault="00D570E2">
      <w:pPr>
        <w:widowControl w:val="0"/>
        <w:tabs>
          <w:tab w:val="left" w:pos="1701"/>
        </w:tabs>
        <w:spacing w:line="360" w:lineRule="auto"/>
        <w:jc w:val="both"/>
        <w:rPr>
          <w:rFonts w:ascii="Palatino Linotype" w:eastAsia="Palatino Linotype" w:hAnsi="Palatino Linotype" w:cs="Palatino Linotype"/>
        </w:rPr>
      </w:pPr>
      <w:bookmarkStart w:id="5" w:name="_heading=h.3znysh7" w:colFirst="0" w:colLast="0"/>
      <w:bookmarkEnd w:id="5"/>
      <w:r w:rsidRPr="002B7F8B">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40862FBF" w14:textId="77777777" w:rsidR="00EC4447" w:rsidRPr="002B7F8B" w:rsidRDefault="00EC4447">
      <w:pPr>
        <w:widowControl w:val="0"/>
        <w:tabs>
          <w:tab w:val="left" w:pos="1701"/>
          <w:tab w:val="left" w:pos="2977"/>
        </w:tabs>
        <w:spacing w:line="360" w:lineRule="auto"/>
        <w:jc w:val="both"/>
        <w:rPr>
          <w:rFonts w:ascii="Palatino Linotype" w:eastAsia="Palatino Linotype" w:hAnsi="Palatino Linotype" w:cs="Palatino Linotype"/>
        </w:rPr>
      </w:pPr>
    </w:p>
    <w:p w14:paraId="76E27AC4" w14:textId="77777777" w:rsidR="00EC4447" w:rsidRPr="002B7F8B" w:rsidRDefault="00D570E2">
      <w:pPr>
        <w:spacing w:line="360" w:lineRule="auto"/>
        <w:jc w:val="both"/>
        <w:rPr>
          <w:rFonts w:ascii="Palatino Linotype" w:eastAsia="Palatino Linotype" w:hAnsi="Palatino Linotype" w:cs="Palatino Linotype"/>
          <w:b/>
        </w:rPr>
      </w:pPr>
      <w:r w:rsidRPr="002B7F8B">
        <w:rPr>
          <w:rFonts w:ascii="Palatino Linotype" w:eastAsia="Palatino Linotype" w:hAnsi="Palatino Linotype" w:cs="Palatino Linotype"/>
          <w:b/>
          <w:sz w:val="28"/>
          <w:szCs w:val="28"/>
        </w:rPr>
        <w:t>SEGUNDO</w:t>
      </w:r>
      <w:r w:rsidRPr="002B7F8B">
        <w:rPr>
          <w:rFonts w:ascii="Palatino Linotype" w:eastAsia="Palatino Linotype" w:hAnsi="Palatino Linotype" w:cs="Palatino Linotype"/>
          <w:b/>
        </w:rPr>
        <w:t xml:space="preserve">. Interés. </w:t>
      </w:r>
    </w:p>
    <w:p w14:paraId="698C9CDF" w14:textId="77777777" w:rsidR="00EC4447" w:rsidRPr="002B7F8B" w:rsidRDefault="00D570E2">
      <w:pPr>
        <w:spacing w:line="360" w:lineRule="auto"/>
        <w:jc w:val="both"/>
        <w:rPr>
          <w:rFonts w:ascii="Palatino Linotype" w:eastAsia="Palatino Linotype" w:hAnsi="Palatino Linotype" w:cs="Palatino Linotype"/>
          <w:b/>
          <w:color w:val="000000"/>
        </w:rPr>
      </w:pPr>
      <w:r w:rsidRPr="002B7F8B">
        <w:rPr>
          <w:rFonts w:ascii="Palatino Linotype" w:eastAsia="Palatino Linotype" w:hAnsi="Palatino Linotype" w:cs="Palatino Linotype"/>
          <w:color w:val="000000"/>
        </w:rPr>
        <w:t>Los Recursos de Revisión materia del presente estudio fueron interpuestos por parte legítima, en atención a que se present</w:t>
      </w:r>
      <w:r w:rsidRPr="002B7F8B">
        <w:rPr>
          <w:rFonts w:ascii="Palatino Linotype" w:eastAsia="Palatino Linotype" w:hAnsi="Palatino Linotype" w:cs="Palatino Linotype"/>
        </w:rPr>
        <w:t>aron</w:t>
      </w:r>
      <w:r w:rsidRPr="002B7F8B">
        <w:rPr>
          <w:rFonts w:ascii="Palatino Linotype" w:eastAsia="Palatino Linotype" w:hAnsi="Palatino Linotype" w:cs="Palatino Linotype"/>
          <w:color w:val="000000"/>
        </w:rPr>
        <w:t xml:space="preserve"> por </w:t>
      </w:r>
      <w:r w:rsidRPr="002B7F8B">
        <w:rPr>
          <w:rFonts w:ascii="Palatino Linotype" w:eastAsia="Palatino Linotype" w:hAnsi="Palatino Linotype" w:cs="Palatino Linotype"/>
          <w:b/>
          <w:color w:val="000000"/>
        </w:rPr>
        <w:t>LA RECURRENTE,</w:t>
      </w:r>
      <w:r w:rsidRPr="002B7F8B">
        <w:rPr>
          <w:rFonts w:ascii="Palatino Linotype" w:eastAsia="Palatino Linotype" w:hAnsi="Palatino Linotype" w:cs="Palatino Linotype"/>
          <w:color w:val="000000"/>
        </w:rPr>
        <w:t xml:space="preserve"> quien es la misma persona que formuló la solicitud de Acceso a la Información Pública al </w:t>
      </w:r>
      <w:r w:rsidRPr="002B7F8B">
        <w:rPr>
          <w:rFonts w:ascii="Palatino Linotype" w:eastAsia="Palatino Linotype" w:hAnsi="Palatino Linotype" w:cs="Palatino Linotype"/>
          <w:b/>
          <w:color w:val="000000"/>
        </w:rPr>
        <w:t xml:space="preserve">SUJETO </w:t>
      </w:r>
      <w:r w:rsidRPr="002B7F8B">
        <w:rPr>
          <w:rFonts w:ascii="Palatino Linotype" w:eastAsia="Palatino Linotype" w:hAnsi="Palatino Linotype" w:cs="Palatino Linotype"/>
          <w:b/>
          <w:color w:val="000000"/>
        </w:rPr>
        <w:lastRenderedPageBreak/>
        <w:t xml:space="preserve">OBLIGADO, </w:t>
      </w:r>
      <w:r w:rsidRPr="002B7F8B">
        <w:rPr>
          <w:rFonts w:ascii="Palatino Linotype" w:eastAsia="Palatino Linotype" w:hAnsi="Palatino Linotype" w:cs="Palatino Linotype"/>
          <w:color w:val="000000"/>
        </w:rPr>
        <w:t xml:space="preserve">pues para ello, es necesario que el particular ingrese al </w:t>
      </w:r>
      <w:r w:rsidRPr="002B7F8B">
        <w:rPr>
          <w:rFonts w:ascii="Palatino Linotype" w:eastAsia="Palatino Linotype" w:hAnsi="Palatino Linotype" w:cs="Palatino Linotype"/>
          <w:b/>
          <w:color w:val="000000"/>
        </w:rPr>
        <w:t xml:space="preserve">SAIMEX </w:t>
      </w:r>
      <w:r w:rsidRPr="002B7F8B">
        <w:rPr>
          <w:rFonts w:ascii="Palatino Linotype" w:eastAsia="Palatino Linotype" w:hAnsi="Palatino Linotype" w:cs="Palatino Linotype"/>
          <w:color w:val="000000"/>
        </w:rPr>
        <w:t>mediante la utilización de su clave de usuario y contraseña.</w:t>
      </w:r>
    </w:p>
    <w:p w14:paraId="526B17F6" w14:textId="77777777" w:rsidR="00EC4447" w:rsidRPr="002B7F8B" w:rsidRDefault="00EC4447">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7183295B" w14:textId="77777777" w:rsidR="00EC4447" w:rsidRPr="002B7F8B" w:rsidRDefault="00D570E2">
      <w:pPr>
        <w:tabs>
          <w:tab w:val="center" w:pos="4252"/>
          <w:tab w:val="right" w:pos="8504"/>
        </w:tabs>
        <w:spacing w:line="360" w:lineRule="auto"/>
        <w:ind w:left="-57"/>
        <w:jc w:val="both"/>
        <w:rPr>
          <w:rFonts w:ascii="Palatino Linotype" w:eastAsia="Palatino Linotype" w:hAnsi="Palatino Linotype" w:cs="Palatino Linotype"/>
        </w:rPr>
      </w:pPr>
      <w:r w:rsidRPr="002B7F8B">
        <w:rPr>
          <w:rFonts w:ascii="Palatino Linotype" w:eastAsia="Palatino Linotype" w:hAnsi="Palatino Linotype" w:cs="Palatino Linotype"/>
          <w:b/>
          <w:sz w:val="28"/>
          <w:szCs w:val="28"/>
        </w:rPr>
        <w:t>TERCERO.</w:t>
      </w:r>
      <w:r w:rsidRPr="002B7F8B">
        <w:rPr>
          <w:rFonts w:ascii="Palatino Linotype" w:eastAsia="Palatino Linotype" w:hAnsi="Palatino Linotype" w:cs="Palatino Linotype"/>
        </w:rPr>
        <w:t xml:space="preserve"> </w:t>
      </w:r>
      <w:r w:rsidRPr="002B7F8B">
        <w:rPr>
          <w:rFonts w:ascii="Palatino Linotype" w:eastAsia="Palatino Linotype" w:hAnsi="Palatino Linotype" w:cs="Palatino Linotype"/>
          <w:b/>
          <w:sz w:val="28"/>
          <w:szCs w:val="28"/>
        </w:rPr>
        <w:t>TERCERO.</w:t>
      </w:r>
      <w:r w:rsidRPr="002B7F8B">
        <w:rPr>
          <w:rFonts w:ascii="Palatino Linotype" w:eastAsia="Palatino Linotype" w:hAnsi="Palatino Linotype" w:cs="Palatino Linotype"/>
        </w:rPr>
        <w:t xml:space="preserve"> </w:t>
      </w:r>
      <w:r w:rsidRPr="002B7F8B">
        <w:rPr>
          <w:rFonts w:ascii="Palatino Linotype" w:eastAsia="Palatino Linotype" w:hAnsi="Palatino Linotype" w:cs="Palatino Linotype"/>
          <w:b/>
        </w:rPr>
        <w:t>Justificación de la Acumulación de los Recursos.</w:t>
      </w:r>
      <w:r w:rsidRPr="002B7F8B">
        <w:rPr>
          <w:rFonts w:ascii="Palatino Linotype" w:eastAsia="Palatino Linotype" w:hAnsi="Palatino Linotype" w:cs="Palatino Linotype"/>
        </w:rPr>
        <w:t xml:space="preserve"> </w:t>
      </w:r>
    </w:p>
    <w:p w14:paraId="4FD684F7" w14:textId="77777777" w:rsidR="00EC4447" w:rsidRPr="002B7F8B" w:rsidRDefault="00D570E2">
      <w:pPr>
        <w:tabs>
          <w:tab w:val="center" w:pos="4252"/>
          <w:tab w:val="right" w:pos="8504"/>
        </w:tabs>
        <w:spacing w:line="360" w:lineRule="auto"/>
        <w:ind w:left="-57"/>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De las constancias que obran en los expedientes acumulados, se advierte que en los Recursos de Revisión número </w:t>
      </w:r>
      <w:r w:rsidRPr="002B7F8B">
        <w:rPr>
          <w:rFonts w:ascii="Palatino Linotype" w:eastAsia="Palatino Linotype" w:hAnsi="Palatino Linotype" w:cs="Palatino Linotype"/>
          <w:b/>
        </w:rPr>
        <w:t>00807/INFOEM/IP/RR/2022 y 01078/INFOEM/IP/RR/2022</w:t>
      </w:r>
      <w:r w:rsidRPr="002B7F8B">
        <w:rPr>
          <w:rFonts w:ascii="Palatino Linotype" w:eastAsia="Palatino Linotype" w:hAnsi="Palatino Linotype" w:cs="Palatino Linotype"/>
          <w:b/>
          <w:sz w:val="22"/>
          <w:szCs w:val="22"/>
        </w:rPr>
        <w:t>,</w:t>
      </w:r>
      <w:r w:rsidRPr="002B7F8B">
        <w:rPr>
          <w:rFonts w:ascii="Palatino Linotype" w:eastAsia="Palatino Linotype" w:hAnsi="Palatino Linotype" w:cs="Palatino Linotype"/>
        </w:rPr>
        <w:t xml:space="preserve"> fueron presentados por la misma </w:t>
      </w:r>
      <w:r w:rsidRPr="002B7F8B">
        <w:rPr>
          <w:rFonts w:ascii="Palatino Linotype" w:eastAsia="Palatino Linotype" w:hAnsi="Palatino Linotype" w:cs="Palatino Linotype"/>
          <w:b/>
        </w:rPr>
        <w:t>RECURRENTE</w:t>
      </w:r>
      <w:r w:rsidRPr="002B7F8B">
        <w:rPr>
          <w:rFonts w:ascii="Palatino Linotype" w:eastAsia="Palatino Linotype" w:hAnsi="Palatino Linotype" w:cs="Palatino Linotype"/>
        </w:rPr>
        <w:t xml:space="preserve"> respecto de los actos u omisiones del mismo </w:t>
      </w:r>
      <w:r w:rsidRPr="002B7F8B">
        <w:rPr>
          <w:rFonts w:ascii="Palatino Linotype" w:eastAsia="Palatino Linotype" w:hAnsi="Palatino Linotype" w:cs="Palatino Linotype"/>
          <w:b/>
        </w:rPr>
        <w:t>SUJETO OBLIGADO</w:t>
      </w:r>
      <w:r w:rsidRPr="002B7F8B">
        <w:rPr>
          <w:rFonts w:ascii="Palatino Linotype" w:eastAsia="Palatino Linotype" w:hAnsi="Palatino Linotype" w:cs="Palatino Linotype"/>
        </w:rPr>
        <w:t>,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3B7C9C6" w14:textId="77777777" w:rsidR="00EC4447" w:rsidRPr="002B7F8B" w:rsidRDefault="00EC4447">
      <w:pPr>
        <w:tabs>
          <w:tab w:val="left" w:pos="8222"/>
        </w:tabs>
        <w:ind w:left="851" w:right="1134"/>
        <w:jc w:val="center"/>
        <w:rPr>
          <w:rFonts w:ascii="Palatino Linotype" w:eastAsia="Palatino Linotype" w:hAnsi="Palatino Linotype" w:cs="Palatino Linotype"/>
          <w:b/>
          <w:i/>
          <w:sz w:val="22"/>
          <w:szCs w:val="22"/>
        </w:rPr>
      </w:pPr>
    </w:p>
    <w:p w14:paraId="6CC4AD29" w14:textId="77777777" w:rsidR="00EC4447" w:rsidRPr="002B7F8B" w:rsidRDefault="00D570E2">
      <w:pPr>
        <w:tabs>
          <w:tab w:val="left" w:pos="8222"/>
        </w:tabs>
        <w:ind w:left="851" w:right="1134"/>
        <w:jc w:val="center"/>
        <w:rPr>
          <w:rFonts w:ascii="Palatino Linotype" w:eastAsia="Palatino Linotype" w:hAnsi="Palatino Linotype" w:cs="Palatino Linotype"/>
          <w:b/>
          <w:i/>
          <w:sz w:val="22"/>
          <w:szCs w:val="22"/>
        </w:rPr>
      </w:pPr>
      <w:r w:rsidRPr="002B7F8B">
        <w:rPr>
          <w:rFonts w:ascii="Palatino Linotype" w:eastAsia="Palatino Linotype" w:hAnsi="Palatino Linotype" w:cs="Palatino Linotype"/>
          <w:b/>
          <w:i/>
          <w:sz w:val="22"/>
          <w:szCs w:val="22"/>
        </w:rPr>
        <w:t>“Código de Procedimientos Administrativos del Estado de México</w:t>
      </w:r>
    </w:p>
    <w:p w14:paraId="5033DE07" w14:textId="77777777" w:rsidR="00EC4447" w:rsidRPr="002B7F8B" w:rsidRDefault="00D570E2">
      <w:pPr>
        <w:tabs>
          <w:tab w:val="left" w:pos="8222"/>
        </w:tabs>
        <w:ind w:left="851" w:right="1134"/>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w:t>
      </w:r>
      <w:r w:rsidRPr="002B7F8B">
        <w:rPr>
          <w:rFonts w:ascii="Palatino Linotype" w:eastAsia="Palatino Linotype" w:hAnsi="Palatino Linotype" w:cs="Palatino Linotype"/>
          <w:b/>
          <w:i/>
          <w:sz w:val="22"/>
          <w:szCs w:val="22"/>
        </w:rPr>
        <w:t>Artículo 18</w:t>
      </w:r>
      <w:r w:rsidRPr="002B7F8B">
        <w:rPr>
          <w:rFonts w:ascii="Palatino Linotype" w:eastAsia="Palatino Linotype" w:hAnsi="Palatino Linotype" w:cs="Palatino Linotype"/>
          <w:i/>
          <w:sz w:val="22"/>
          <w:szCs w:val="22"/>
        </w:rPr>
        <w:t xml:space="preserve">.- </w:t>
      </w:r>
      <w:r w:rsidRPr="002B7F8B">
        <w:rPr>
          <w:rFonts w:ascii="Palatino Linotype" w:eastAsia="Palatino Linotype" w:hAnsi="Palatino Linotype" w:cs="Palatino Linotype"/>
          <w:b/>
          <w:i/>
          <w:sz w:val="22"/>
          <w:szCs w:val="22"/>
        </w:rPr>
        <w:t xml:space="preserve">La autoridad administrativa o el Tribunal </w:t>
      </w:r>
      <w:r w:rsidRPr="002B7F8B">
        <w:rPr>
          <w:rFonts w:ascii="Palatino Linotype" w:eastAsia="Palatino Linotype" w:hAnsi="Palatino Linotype" w:cs="Palatino Linotype"/>
          <w:b/>
          <w:i/>
          <w:sz w:val="22"/>
          <w:szCs w:val="22"/>
          <w:u w:val="single"/>
        </w:rPr>
        <w:t>acordarán la acumulación de los expedientes</w:t>
      </w:r>
      <w:r w:rsidRPr="002B7F8B">
        <w:rPr>
          <w:rFonts w:ascii="Palatino Linotype" w:eastAsia="Palatino Linotype" w:hAnsi="Palatino Linotype" w:cs="Palatino Linotype"/>
          <w:b/>
          <w:i/>
          <w:sz w:val="22"/>
          <w:szCs w:val="22"/>
        </w:rPr>
        <w:t xml:space="preserve"> del procedimiento y proceso administrativo que ante ellos se sigan, de oficio</w:t>
      </w:r>
      <w:r w:rsidRPr="002B7F8B">
        <w:rPr>
          <w:rFonts w:ascii="Palatino Linotype" w:eastAsia="Palatino Linotype" w:hAnsi="Palatino Linotype" w:cs="Palatino Linotype"/>
          <w:i/>
          <w:sz w:val="22"/>
          <w:szCs w:val="22"/>
        </w:rPr>
        <w:t xml:space="preserve"> o a petición de parte, </w:t>
      </w:r>
      <w:r w:rsidRPr="002B7F8B">
        <w:rPr>
          <w:rFonts w:ascii="Palatino Linotype" w:eastAsia="Palatino Linotype" w:hAnsi="Palatino Linotype" w:cs="Palatino Linotype"/>
          <w:b/>
          <w:i/>
          <w:sz w:val="22"/>
          <w:szCs w:val="22"/>
          <w:u w:val="single"/>
        </w:rPr>
        <w:t>cuando las partes</w:t>
      </w:r>
      <w:r w:rsidRPr="002B7F8B">
        <w:rPr>
          <w:rFonts w:ascii="Palatino Linotype" w:eastAsia="Palatino Linotype" w:hAnsi="Palatino Linotype" w:cs="Palatino Linotype"/>
          <w:i/>
          <w:sz w:val="22"/>
          <w:szCs w:val="22"/>
        </w:rPr>
        <w:t xml:space="preserve"> o los actos administrativos </w:t>
      </w:r>
      <w:r w:rsidRPr="002B7F8B">
        <w:rPr>
          <w:rFonts w:ascii="Palatino Linotype" w:eastAsia="Palatino Linotype" w:hAnsi="Palatino Linotype" w:cs="Palatino Linotype"/>
          <w:b/>
          <w:i/>
          <w:sz w:val="22"/>
          <w:szCs w:val="22"/>
          <w:u w:val="single"/>
        </w:rPr>
        <w:t>sean iguales</w:t>
      </w:r>
      <w:r w:rsidRPr="002B7F8B">
        <w:rPr>
          <w:rFonts w:ascii="Palatino Linotype" w:eastAsia="Palatino Linotype" w:hAnsi="Palatino Linotype" w:cs="Palatino Linotype"/>
          <w:i/>
          <w:sz w:val="22"/>
          <w:szCs w:val="22"/>
        </w:rPr>
        <w:t xml:space="preserve">, se trate de actos conexos o </w:t>
      </w:r>
      <w:r w:rsidRPr="002B7F8B">
        <w:rPr>
          <w:rFonts w:ascii="Palatino Linotype" w:eastAsia="Palatino Linotype" w:hAnsi="Palatino Linotype" w:cs="Palatino Linotype"/>
          <w:b/>
          <w:i/>
          <w:sz w:val="22"/>
          <w:szCs w:val="22"/>
          <w:u w:val="single"/>
        </w:rPr>
        <w:t>resulte conveniente el trámite unificado de los asuntos, para evitar la emisión de resoluciones contradictorias</w:t>
      </w:r>
      <w:r w:rsidRPr="002B7F8B">
        <w:rPr>
          <w:rFonts w:ascii="Palatino Linotype" w:eastAsia="Palatino Linotype" w:hAnsi="Palatino Linotype" w:cs="Palatino Linotype"/>
          <w:i/>
          <w:sz w:val="22"/>
          <w:szCs w:val="22"/>
        </w:rPr>
        <w:t>. La misma regla se aplicará, en lo conducente, para la separación de los expedientes.”</w:t>
      </w:r>
    </w:p>
    <w:p w14:paraId="70D98E2D" w14:textId="77777777" w:rsidR="00EC4447" w:rsidRPr="002B7F8B" w:rsidRDefault="00D570E2">
      <w:pPr>
        <w:tabs>
          <w:tab w:val="left" w:pos="8222"/>
        </w:tabs>
        <w:ind w:left="851" w:right="1134"/>
        <w:jc w:val="center"/>
        <w:rPr>
          <w:rFonts w:ascii="Palatino Linotype" w:eastAsia="Palatino Linotype" w:hAnsi="Palatino Linotype" w:cs="Palatino Linotype"/>
          <w:b/>
          <w:i/>
          <w:sz w:val="22"/>
          <w:szCs w:val="22"/>
        </w:rPr>
      </w:pPr>
      <w:r w:rsidRPr="002B7F8B">
        <w:rPr>
          <w:rFonts w:ascii="Palatino Linotype" w:eastAsia="Palatino Linotype" w:hAnsi="Palatino Linotype" w:cs="Palatino Linotype"/>
          <w:b/>
          <w:i/>
          <w:sz w:val="22"/>
          <w:szCs w:val="22"/>
        </w:rPr>
        <w:t xml:space="preserve">Ley de Transparencia y Acceso a la Información Pública del Estado de México y Municipios </w:t>
      </w:r>
    </w:p>
    <w:p w14:paraId="65305A2B" w14:textId="77777777" w:rsidR="00EC4447" w:rsidRPr="002B7F8B" w:rsidRDefault="00D570E2">
      <w:pPr>
        <w:tabs>
          <w:tab w:val="left" w:pos="8222"/>
        </w:tabs>
        <w:ind w:left="851" w:right="1134"/>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w:t>
      </w:r>
      <w:r w:rsidRPr="002B7F8B">
        <w:rPr>
          <w:rFonts w:ascii="Palatino Linotype" w:eastAsia="Palatino Linotype" w:hAnsi="Palatino Linotype" w:cs="Palatino Linotype"/>
          <w:b/>
          <w:i/>
          <w:sz w:val="22"/>
          <w:szCs w:val="22"/>
        </w:rPr>
        <w:t xml:space="preserve">Artículo 195. </w:t>
      </w:r>
      <w:r w:rsidRPr="002B7F8B">
        <w:rPr>
          <w:rFonts w:ascii="Palatino Linotype" w:eastAsia="Palatino Linotype" w:hAnsi="Palatino Linotype" w:cs="Palatino Linotype"/>
          <w:i/>
          <w:sz w:val="22"/>
          <w:szCs w:val="22"/>
        </w:rPr>
        <w:t>En la tramitación del Recurso de Revisión se aplicarán supletoriamente las disposiciones contenidas en el Código de Procedimientos Administrativos del Estado de México.”</w:t>
      </w:r>
    </w:p>
    <w:p w14:paraId="0B000D59" w14:textId="77777777" w:rsidR="00EC4447" w:rsidRPr="002B7F8B" w:rsidRDefault="00D570E2">
      <w:pPr>
        <w:tabs>
          <w:tab w:val="left" w:pos="8222"/>
        </w:tabs>
        <w:ind w:left="851" w:right="1134"/>
        <w:jc w:val="both"/>
        <w:rPr>
          <w:rFonts w:ascii="Palatino Linotype" w:eastAsia="Palatino Linotype" w:hAnsi="Palatino Linotype" w:cs="Palatino Linotype"/>
          <w:sz w:val="22"/>
          <w:szCs w:val="22"/>
        </w:rPr>
      </w:pPr>
      <w:r w:rsidRPr="002B7F8B">
        <w:rPr>
          <w:rFonts w:ascii="Palatino Linotype" w:eastAsia="Palatino Linotype" w:hAnsi="Palatino Linotype" w:cs="Palatino Linotype"/>
          <w:sz w:val="22"/>
          <w:szCs w:val="22"/>
        </w:rPr>
        <w:lastRenderedPageBreak/>
        <w:t>(Énfasis añadido)</w:t>
      </w:r>
    </w:p>
    <w:p w14:paraId="1C0CCE20" w14:textId="77777777" w:rsidR="00EC4447" w:rsidRPr="002B7F8B" w:rsidRDefault="00EC4447">
      <w:pPr>
        <w:jc w:val="both"/>
        <w:rPr>
          <w:rFonts w:ascii="Palatino Linotype" w:eastAsia="Palatino Linotype" w:hAnsi="Palatino Linotype" w:cs="Palatino Linotype"/>
          <w:b/>
        </w:rPr>
      </w:pPr>
    </w:p>
    <w:p w14:paraId="324C5D58" w14:textId="77777777" w:rsidR="00EC4447" w:rsidRPr="002B7F8B" w:rsidRDefault="00D570E2">
      <w:pPr>
        <w:tabs>
          <w:tab w:val="center" w:pos="4252"/>
          <w:tab w:val="right" w:pos="8504"/>
        </w:tabs>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De lo dispuesto en los numerales citados en el párrafo que antecede, dicha acumulación procede cuando:</w:t>
      </w:r>
    </w:p>
    <w:p w14:paraId="36A5C9E4" w14:textId="77777777" w:rsidR="00EC4447" w:rsidRPr="002B7F8B" w:rsidRDefault="00EC4447">
      <w:pPr>
        <w:tabs>
          <w:tab w:val="center" w:pos="4252"/>
          <w:tab w:val="right" w:pos="8504"/>
        </w:tabs>
        <w:spacing w:line="360" w:lineRule="auto"/>
        <w:jc w:val="both"/>
        <w:rPr>
          <w:rFonts w:ascii="Palatino Linotype" w:eastAsia="Palatino Linotype" w:hAnsi="Palatino Linotype" w:cs="Palatino Linotype"/>
        </w:rPr>
      </w:pPr>
    </w:p>
    <w:p w14:paraId="113F1044" w14:textId="77777777" w:rsidR="00EC4447" w:rsidRPr="002B7F8B" w:rsidRDefault="00D570E2">
      <w:pPr>
        <w:numPr>
          <w:ilvl w:val="0"/>
          <w:numId w:val="6"/>
        </w:numPr>
        <w:tabs>
          <w:tab w:val="center" w:pos="4252"/>
          <w:tab w:val="right" w:pos="8504"/>
        </w:tabs>
        <w:spacing w:line="360" w:lineRule="auto"/>
        <w:jc w:val="both"/>
      </w:pPr>
      <w:r w:rsidRPr="002B7F8B">
        <w:rPr>
          <w:rFonts w:ascii="Palatino Linotype" w:eastAsia="Palatino Linotype" w:hAnsi="Palatino Linotype" w:cs="Palatino Linotype"/>
        </w:rPr>
        <w:t>El solicitante y la información referida sean las mismas;</w:t>
      </w:r>
    </w:p>
    <w:p w14:paraId="3B5FAB6A" w14:textId="77777777" w:rsidR="00EC4447" w:rsidRPr="002B7F8B" w:rsidRDefault="00D570E2">
      <w:pPr>
        <w:numPr>
          <w:ilvl w:val="0"/>
          <w:numId w:val="6"/>
        </w:numPr>
        <w:tabs>
          <w:tab w:val="center" w:pos="4252"/>
          <w:tab w:val="right" w:pos="8504"/>
        </w:tabs>
        <w:spacing w:line="360" w:lineRule="auto"/>
        <w:jc w:val="both"/>
      </w:pPr>
      <w:r w:rsidRPr="002B7F8B">
        <w:rPr>
          <w:rFonts w:ascii="Palatino Linotype" w:eastAsia="Palatino Linotype" w:hAnsi="Palatino Linotype" w:cs="Palatino Linotype"/>
        </w:rPr>
        <w:t>Las partes o los actos impugnados sean iguales;</w:t>
      </w:r>
    </w:p>
    <w:p w14:paraId="603FC983" w14:textId="77777777" w:rsidR="00EC4447" w:rsidRPr="002B7F8B" w:rsidRDefault="00D570E2">
      <w:pPr>
        <w:numPr>
          <w:ilvl w:val="0"/>
          <w:numId w:val="6"/>
        </w:numPr>
        <w:tabs>
          <w:tab w:val="center" w:pos="4252"/>
          <w:tab w:val="right" w:pos="8504"/>
        </w:tabs>
        <w:spacing w:line="360" w:lineRule="auto"/>
        <w:jc w:val="both"/>
      </w:pPr>
      <w:r w:rsidRPr="002B7F8B">
        <w:rPr>
          <w:rFonts w:ascii="Palatino Linotype" w:eastAsia="Palatino Linotype" w:hAnsi="Palatino Linotype" w:cs="Palatino Linotype"/>
        </w:rPr>
        <w:t>Cuando se trate del mismo solicitante, el mismo Sujeto Obligado, y</w:t>
      </w:r>
    </w:p>
    <w:p w14:paraId="0A2295C9" w14:textId="77777777" w:rsidR="00EC4447" w:rsidRPr="002B7F8B" w:rsidRDefault="00D570E2">
      <w:pPr>
        <w:numPr>
          <w:ilvl w:val="0"/>
          <w:numId w:val="6"/>
        </w:numPr>
        <w:tabs>
          <w:tab w:val="center" w:pos="4252"/>
          <w:tab w:val="right" w:pos="8504"/>
        </w:tabs>
        <w:spacing w:line="360" w:lineRule="auto"/>
        <w:ind w:left="357"/>
        <w:jc w:val="both"/>
      </w:pPr>
      <w:r w:rsidRPr="002B7F8B">
        <w:rPr>
          <w:rFonts w:ascii="Palatino Linotype" w:eastAsia="Palatino Linotype" w:hAnsi="Palatino Linotype" w:cs="Palatino Linotype"/>
        </w:rPr>
        <w:t>Aun tratándose de solicitudes diversas, resulte conveniente la resolución unificada de los asuntos</w:t>
      </w:r>
      <w:r w:rsidRPr="002B7F8B">
        <w:rPr>
          <w:rFonts w:ascii="Palatino Linotype" w:eastAsia="Palatino Linotype" w:hAnsi="Palatino Linotype" w:cs="Palatino Linotype"/>
          <w:i/>
        </w:rPr>
        <w:t>.</w:t>
      </w:r>
    </w:p>
    <w:p w14:paraId="6BD908C6" w14:textId="77777777" w:rsidR="00EC4447" w:rsidRPr="002B7F8B" w:rsidRDefault="00EC4447">
      <w:pPr>
        <w:tabs>
          <w:tab w:val="center" w:pos="4252"/>
          <w:tab w:val="right" w:pos="8504"/>
        </w:tabs>
        <w:spacing w:line="360" w:lineRule="auto"/>
        <w:ind w:left="357"/>
        <w:jc w:val="both"/>
        <w:rPr>
          <w:rFonts w:ascii="Palatino Linotype" w:eastAsia="Palatino Linotype" w:hAnsi="Palatino Linotype" w:cs="Palatino Linotype"/>
        </w:rPr>
      </w:pPr>
    </w:p>
    <w:p w14:paraId="00327C16" w14:textId="77777777" w:rsidR="00EC4447" w:rsidRPr="002B7F8B" w:rsidRDefault="00D570E2">
      <w:pPr>
        <w:widowControl w:val="0"/>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De esta suerte, tal y como se mencionó anteriormente, los Recursos de Revisión que nos ocupan fueron interpuestos por la misma </w:t>
      </w:r>
      <w:r w:rsidRPr="002B7F8B">
        <w:rPr>
          <w:rFonts w:ascii="Palatino Linotype" w:eastAsia="Palatino Linotype" w:hAnsi="Palatino Linotype" w:cs="Palatino Linotype"/>
          <w:b/>
        </w:rPr>
        <w:t>RECURRENTE</w:t>
      </w:r>
      <w:r w:rsidRPr="002B7F8B">
        <w:rPr>
          <w:rFonts w:ascii="Palatino Linotype" w:eastAsia="Palatino Linotype" w:hAnsi="Palatino Linotype" w:cs="Palatino Linotype"/>
        </w:rPr>
        <w:t xml:space="preserve"> ante el mismo </w:t>
      </w:r>
      <w:r w:rsidRPr="002B7F8B">
        <w:rPr>
          <w:rFonts w:ascii="Palatino Linotype" w:eastAsia="Palatino Linotype" w:hAnsi="Palatino Linotype" w:cs="Palatino Linotype"/>
          <w:b/>
        </w:rPr>
        <w:t>SUJETO OBLIGADO</w:t>
      </w:r>
      <w:r w:rsidRPr="002B7F8B">
        <w:rPr>
          <w:rFonts w:ascii="Palatino Linotype" w:eastAsia="Palatino Linotype" w:hAnsi="Palatino Linotype" w:cs="Palatino Linotype"/>
        </w:rPr>
        <w:t>, por lo que, resulta conveniente la resolución conjunta por economía procesal y con el fin de no emitir resoluciones contradictorias entre sí, en caso de resolverlos en forma separada por Ponentes diferentes.</w:t>
      </w:r>
    </w:p>
    <w:p w14:paraId="2BCEF7B0" w14:textId="77777777" w:rsidR="00EC4447" w:rsidRPr="002B7F8B" w:rsidRDefault="00EC4447">
      <w:pPr>
        <w:tabs>
          <w:tab w:val="center" w:pos="4252"/>
          <w:tab w:val="right" w:pos="8504"/>
        </w:tabs>
        <w:spacing w:line="360" w:lineRule="auto"/>
        <w:ind w:left="-57"/>
        <w:jc w:val="both"/>
        <w:rPr>
          <w:rFonts w:ascii="Palatino Linotype" w:eastAsia="Palatino Linotype" w:hAnsi="Palatino Linotype" w:cs="Palatino Linotype"/>
          <w:b/>
        </w:rPr>
      </w:pPr>
    </w:p>
    <w:p w14:paraId="3E00EE69" w14:textId="77777777" w:rsidR="00EC4447" w:rsidRPr="002B7F8B" w:rsidRDefault="00D570E2">
      <w:pPr>
        <w:tabs>
          <w:tab w:val="center" w:pos="4252"/>
          <w:tab w:val="right" w:pos="8504"/>
        </w:tabs>
        <w:spacing w:line="360" w:lineRule="auto"/>
        <w:ind w:left="-57"/>
        <w:jc w:val="both"/>
        <w:rPr>
          <w:rFonts w:ascii="Palatino Linotype" w:eastAsia="Palatino Linotype" w:hAnsi="Palatino Linotype" w:cs="Palatino Linotype"/>
          <w:color w:val="000000"/>
        </w:rPr>
      </w:pPr>
      <w:r w:rsidRPr="002B7F8B">
        <w:rPr>
          <w:rFonts w:ascii="Palatino Linotype" w:eastAsia="Palatino Linotype" w:hAnsi="Palatino Linotype" w:cs="Palatino Linotype"/>
          <w:b/>
          <w:sz w:val="26"/>
          <w:szCs w:val="26"/>
        </w:rPr>
        <w:t>CUARTO.</w:t>
      </w:r>
      <w:r w:rsidRPr="002B7F8B">
        <w:rPr>
          <w:rFonts w:ascii="Palatino Linotype" w:eastAsia="Palatino Linotype" w:hAnsi="Palatino Linotype" w:cs="Palatino Linotype"/>
          <w:b/>
        </w:rPr>
        <w:t xml:space="preserve"> </w:t>
      </w:r>
      <w:r w:rsidRPr="002B7F8B">
        <w:rPr>
          <w:rFonts w:ascii="Palatino Linotype" w:eastAsia="Palatino Linotype" w:hAnsi="Palatino Linotype" w:cs="Palatino Linotype"/>
          <w:b/>
          <w:color w:val="000000"/>
        </w:rPr>
        <w:t>Oportunidad</w:t>
      </w:r>
      <w:r w:rsidRPr="002B7F8B">
        <w:rPr>
          <w:rFonts w:ascii="Palatino Linotype" w:eastAsia="Palatino Linotype" w:hAnsi="Palatino Linotype" w:cs="Palatino Linotype"/>
          <w:color w:val="000000"/>
        </w:rPr>
        <w:t xml:space="preserve">. </w:t>
      </w:r>
    </w:p>
    <w:p w14:paraId="44C70158" w14:textId="77777777" w:rsidR="00EC4447" w:rsidRPr="002B7F8B" w:rsidRDefault="00D570E2">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2B7F8B">
        <w:rPr>
          <w:rFonts w:ascii="Palatino Linotype" w:eastAsia="Palatino Linotype" w:hAnsi="Palatino Linotype" w:cs="Palatino Linotype"/>
        </w:rPr>
        <w:t>Los</w:t>
      </w:r>
      <w:r w:rsidRPr="002B7F8B">
        <w:rPr>
          <w:rFonts w:ascii="Palatino Linotype" w:eastAsia="Palatino Linotype" w:hAnsi="Palatino Linotype" w:cs="Palatino Linotype"/>
          <w:color w:val="000000"/>
        </w:rPr>
        <w:t xml:space="preserve"> Recursos de Revisión fueron interpuestos dentro del plazo de quince días hábiles, contados a partir del día siguiente al que </w:t>
      </w:r>
      <w:r w:rsidRPr="002B7F8B">
        <w:rPr>
          <w:rFonts w:ascii="Palatino Linotype" w:eastAsia="Palatino Linotype" w:hAnsi="Palatino Linotype" w:cs="Palatino Linotype"/>
          <w:b/>
          <w:color w:val="000000"/>
        </w:rPr>
        <w:t xml:space="preserve">LA RECURRENTE </w:t>
      </w:r>
      <w:r w:rsidRPr="002B7F8B">
        <w:rPr>
          <w:rFonts w:ascii="Palatino Linotype" w:eastAsia="Palatino Linotype" w:hAnsi="Palatino Linotype" w:cs="Palatino Linotype"/>
          <w:color w:val="000000"/>
        </w:rPr>
        <w:t>tuvo conocimiento de las respuestas impugnadas; tal y como, lo prevé el artículo 178 de la Ley de Transparencia y Acceso a la Información Pública del Estado de México y Municipios, que establece:</w:t>
      </w:r>
    </w:p>
    <w:p w14:paraId="218B6696" w14:textId="77777777" w:rsidR="00EC4447" w:rsidRPr="002B7F8B" w:rsidRDefault="00EC4447">
      <w:pPr>
        <w:ind w:left="720" w:right="709"/>
        <w:jc w:val="both"/>
        <w:rPr>
          <w:rFonts w:ascii="Palatino Linotype" w:eastAsia="Palatino Linotype" w:hAnsi="Palatino Linotype" w:cs="Palatino Linotype"/>
          <w:i/>
          <w:sz w:val="22"/>
          <w:szCs w:val="22"/>
        </w:rPr>
      </w:pPr>
    </w:p>
    <w:p w14:paraId="7BEB4541" w14:textId="77777777" w:rsidR="00EC4447" w:rsidRPr="002B7F8B" w:rsidRDefault="00D570E2">
      <w:pPr>
        <w:ind w:left="851"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lastRenderedPageBreak/>
        <w:t>“</w:t>
      </w:r>
      <w:r w:rsidRPr="002B7F8B">
        <w:rPr>
          <w:rFonts w:ascii="Palatino Linotype" w:eastAsia="Palatino Linotype" w:hAnsi="Palatino Linotype" w:cs="Palatino Linotype"/>
          <w:b/>
          <w:i/>
          <w:sz w:val="22"/>
          <w:szCs w:val="22"/>
        </w:rPr>
        <w:t>Artículo 178.</w:t>
      </w:r>
      <w:r w:rsidRPr="002B7F8B">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BCCDABC" w14:textId="77777777" w:rsidR="00EC4447" w:rsidRPr="002B7F8B" w:rsidRDefault="00EC4447">
      <w:pPr>
        <w:ind w:left="851" w:right="899"/>
        <w:jc w:val="both"/>
        <w:rPr>
          <w:rFonts w:ascii="Palatino Linotype" w:eastAsia="Palatino Linotype" w:hAnsi="Palatino Linotype" w:cs="Palatino Linotype"/>
          <w:i/>
          <w:sz w:val="22"/>
          <w:szCs w:val="22"/>
        </w:rPr>
      </w:pPr>
    </w:p>
    <w:p w14:paraId="4CF0052F" w14:textId="77777777" w:rsidR="00EC4447" w:rsidRPr="002B7F8B" w:rsidRDefault="00D570E2">
      <w:pPr>
        <w:ind w:left="851"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F03C054" w14:textId="77777777" w:rsidR="00EC4447" w:rsidRPr="002B7F8B" w:rsidRDefault="00EC4447">
      <w:pPr>
        <w:ind w:left="851" w:right="899"/>
        <w:jc w:val="both"/>
        <w:rPr>
          <w:rFonts w:ascii="Palatino Linotype" w:eastAsia="Palatino Linotype" w:hAnsi="Palatino Linotype" w:cs="Palatino Linotype"/>
          <w:i/>
          <w:sz w:val="22"/>
          <w:szCs w:val="22"/>
        </w:rPr>
      </w:pPr>
    </w:p>
    <w:p w14:paraId="3DF631B4" w14:textId="77777777" w:rsidR="00EC4447" w:rsidRPr="002B7F8B" w:rsidRDefault="00D570E2">
      <w:pPr>
        <w:ind w:left="851"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8DDA268" w14:textId="77777777" w:rsidR="00EC4447" w:rsidRPr="002B7F8B" w:rsidRDefault="00EC4447">
      <w:pPr>
        <w:ind w:left="720" w:right="709"/>
        <w:jc w:val="both"/>
        <w:rPr>
          <w:rFonts w:ascii="Palatino Linotype" w:eastAsia="Palatino Linotype" w:hAnsi="Palatino Linotype" w:cs="Palatino Linotype"/>
          <w:i/>
          <w:sz w:val="22"/>
          <w:szCs w:val="22"/>
        </w:rPr>
      </w:pPr>
    </w:p>
    <w:p w14:paraId="59AC255B" w14:textId="77777777" w:rsidR="00EC4447" w:rsidRPr="002B7F8B" w:rsidRDefault="00D570E2">
      <w:pPr>
        <w:spacing w:line="360" w:lineRule="auto"/>
        <w:jc w:val="both"/>
        <w:rPr>
          <w:rFonts w:ascii="Palatino Linotype" w:eastAsia="Palatino Linotype" w:hAnsi="Palatino Linotype" w:cs="Palatino Linotype"/>
          <w:b/>
        </w:rPr>
      </w:pPr>
      <w:bookmarkStart w:id="6" w:name="_heading=h.2et92p0" w:colFirst="0" w:colLast="0"/>
      <w:bookmarkEnd w:id="6"/>
      <w:r w:rsidRPr="002B7F8B">
        <w:rPr>
          <w:rFonts w:ascii="Palatino Linotype" w:eastAsia="Palatino Linotype" w:hAnsi="Palatino Linotype" w:cs="Palatino Linotype"/>
        </w:rPr>
        <w:t xml:space="preserve">En esa tesitura, atendiendo a que </w:t>
      </w:r>
      <w:r w:rsidRPr="002B7F8B">
        <w:rPr>
          <w:rFonts w:ascii="Palatino Linotype" w:eastAsia="Palatino Linotype" w:hAnsi="Palatino Linotype" w:cs="Palatino Linotype"/>
          <w:b/>
        </w:rPr>
        <w:t>EL SUJETO OBLIGADO</w:t>
      </w:r>
      <w:r w:rsidRPr="002B7F8B">
        <w:rPr>
          <w:rFonts w:ascii="Palatino Linotype" w:eastAsia="Palatino Linotype" w:hAnsi="Palatino Linotype" w:cs="Palatino Linotype"/>
        </w:rPr>
        <w:t xml:space="preserve"> notificó las respuesta a la solicitud de Acceso a la Información Pública los días </w:t>
      </w:r>
      <w:r w:rsidRPr="002B7F8B">
        <w:rPr>
          <w:rFonts w:ascii="Palatino Linotype" w:eastAsia="Palatino Linotype" w:hAnsi="Palatino Linotype" w:cs="Palatino Linotype"/>
          <w:b/>
        </w:rPr>
        <w:t>once y quince de febrero de dos mil veintidós</w:t>
      </w:r>
      <w:r w:rsidRPr="002B7F8B">
        <w:rPr>
          <w:rFonts w:ascii="Palatino Linotype" w:eastAsia="Palatino Linotype" w:hAnsi="Palatino Linotype" w:cs="Palatino Linotype"/>
        </w:rPr>
        <w:t xml:space="preserve">; así, el plazo de quince días hábiles que el artículo 178 de la Ley de la materia otorga a </w:t>
      </w:r>
      <w:r w:rsidRPr="002B7F8B">
        <w:rPr>
          <w:rFonts w:ascii="Palatino Linotype" w:eastAsia="Palatino Linotype" w:hAnsi="Palatino Linotype" w:cs="Palatino Linotype"/>
          <w:b/>
        </w:rPr>
        <w:t>LA RECURRENTE</w:t>
      </w:r>
      <w:r w:rsidRPr="002B7F8B">
        <w:rPr>
          <w:rFonts w:ascii="Palatino Linotype" w:eastAsia="Palatino Linotype" w:hAnsi="Palatino Linotype" w:cs="Palatino Linotype"/>
        </w:rPr>
        <w:t xml:space="preserve"> para presentar el respectivo Recurso de Revisión, transcurrió para aquellos cuya respuesta fue notificada el día once de febrero del </w:t>
      </w:r>
      <w:r w:rsidRPr="002B7F8B">
        <w:rPr>
          <w:rFonts w:ascii="Palatino Linotype" w:eastAsia="Palatino Linotype" w:hAnsi="Palatino Linotype" w:cs="Palatino Linotype"/>
          <w:b/>
        </w:rPr>
        <w:t>catorce de febrero al siete de marzo de dos mil veintidós.</w:t>
      </w:r>
    </w:p>
    <w:p w14:paraId="3C21E907" w14:textId="77777777" w:rsidR="00EC4447" w:rsidRPr="002B7F8B" w:rsidRDefault="00EC4447">
      <w:pPr>
        <w:spacing w:line="360" w:lineRule="auto"/>
        <w:jc w:val="both"/>
        <w:rPr>
          <w:rFonts w:ascii="Palatino Linotype" w:eastAsia="Palatino Linotype" w:hAnsi="Palatino Linotype" w:cs="Palatino Linotype"/>
        </w:rPr>
      </w:pPr>
      <w:bookmarkStart w:id="7" w:name="_heading=h.nwfynbk8qg8s" w:colFirst="0" w:colLast="0"/>
      <w:bookmarkEnd w:id="7"/>
    </w:p>
    <w:p w14:paraId="7BF58AA1" w14:textId="77777777" w:rsidR="00EC4447" w:rsidRPr="002B7F8B" w:rsidRDefault="00D570E2">
      <w:pPr>
        <w:spacing w:line="360" w:lineRule="auto"/>
        <w:jc w:val="both"/>
        <w:rPr>
          <w:rFonts w:ascii="Palatino Linotype" w:eastAsia="Palatino Linotype" w:hAnsi="Palatino Linotype" w:cs="Palatino Linotype"/>
          <w:b/>
        </w:rPr>
      </w:pPr>
      <w:bookmarkStart w:id="8" w:name="_heading=h.cfkkrg64aymb" w:colFirst="0" w:colLast="0"/>
      <w:bookmarkEnd w:id="8"/>
      <w:r w:rsidRPr="002B7F8B">
        <w:rPr>
          <w:rFonts w:ascii="Palatino Linotype" w:eastAsia="Palatino Linotype" w:hAnsi="Palatino Linotype" w:cs="Palatino Linotype"/>
        </w:rPr>
        <w:t xml:space="preserve">Por su parte en los Recursos de Revisión cuya respuesta fue notificada en fecha quince de febrero de dos mil veintidós, el plazo previsto por la ley en comento transcurrió del </w:t>
      </w:r>
      <w:r w:rsidRPr="002B7F8B">
        <w:rPr>
          <w:rFonts w:ascii="Palatino Linotype" w:eastAsia="Palatino Linotype" w:hAnsi="Palatino Linotype" w:cs="Palatino Linotype"/>
          <w:b/>
        </w:rPr>
        <w:t xml:space="preserve">dieciséis de febrero al nueve de marzo de dos mil veintidós. </w:t>
      </w:r>
    </w:p>
    <w:p w14:paraId="15D44192" w14:textId="77777777" w:rsidR="00EC4447" w:rsidRPr="002B7F8B" w:rsidRDefault="00EC4447">
      <w:pPr>
        <w:spacing w:line="360" w:lineRule="auto"/>
        <w:jc w:val="both"/>
        <w:rPr>
          <w:rFonts w:ascii="Palatino Linotype" w:eastAsia="Palatino Linotype" w:hAnsi="Palatino Linotype" w:cs="Palatino Linotype"/>
        </w:rPr>
      </w:pPr>
      <w:bookmarkStart w:id="9" w:name="_heading=h.enoycwegs7a0" w:colFirst="0" w:colLast="0"/>
      <w:bookmarkEnd w:id="9"/>
    </w:p>
    <w:p w14:paraId="0AE433EB" w14:textId="77777777" w:rsidR="00EC4447" w:rsidRPr="002B7F8B" w:rsidRDefault="00D570E2">
      <w:pPr>
        <w:spacing w:line="360" w:lineRule="auto"/>
        <w:jc w:val="both"/>
        <w:rPr>
          <w:rFonts w:ascii="Palatino Linotype" w:eastAsia="Palatino Linotype" w:hAnsi="Palatino Linotype" w:cs="Palatino Linotype"/>
        </w:rPr>
      </w:pPr>
      <w:bookmarkStart w:id="10" w:name="_heading=h.rl8j5vbxg5of" w:colFirst="0" w:colLast="0"/>
      <w:bookmarkEnd w:id="10"/>
      <w:r w:rsidRPr="002B7F8B">
        <w:rPr>
          <w:rFonts w:ascii="Palatino Linotype" w:eastAsia="Palatino Linotype" w:hAnsi="Palatino Linotype" w:cs="Palatino Linotype"/>
        </w:rPr>
        <w:t xml:space="preserve">En ambos casos, sin contemplar en el cómputo los días doce, trece, diecinueve, veinte, veintiséis y veintisiete de febrero, así como cinco y seis de marzo de dos mil veintidós por corresponder a sábados y domingos, considerados como días inhábiles, en </w:t>
      </w:r>
      <w:r w:rsidRPr="002B7F8B">
        <w:rPr>
          <w:rFonts w:ascii="Palatino Linotype" w:eastAsia="Palatino Linotype" w:hAnsi="Palatino Linotype" w:cs="Palatino Linotype"/>
        </w:rPr>
        <w:lastRenderedPageBreak/>
        <w:t>términos del artículo 3, fracción X de la Ley de Transparencia y Acceso a la Información Pública del Estado de México y Municipios. Así como, el día dos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w:t>
      </w:r>
      <w:r w:rsidRPr="002B7F8B">
        <w:rPr>
          <w:rFonts w:ascii="Palatino Linotype" w:eastAsia="Palatino Linotype" w:hAnsi="Palatino Linotype" w:cs="Palatino Linotype"/>
          <w:vertAlign w:val="superscript"/>
        </w:rPr>
        <w:footnoteReference w:id="1"/>
      </w:r>
      <w:r w:rsidRPr="002B7F8B">
        <w:rPr>
          <w:rFonts w:ascii="Palatino Linotype" w:eastAsia="Palatino Linotype" w:hAnsi="Palatino Linotype" w:cs="Palatino Linotype"/>
        </w:rPr>
        <w:t>.</w:t>
      </w:r>
    </w:p>
    <w:p w14:paraId="6FA8627C" w14:textId="77777777" w:rsidR="00EC4447" w:rsidRPr="002B7F8B" w:rsidRDefault="00EC4447">
      <w:pPr>
        <w:spacing w:line="360" w:lineRule="auto"/>
        <w:jc w:val="both"/>
        <w:rPr>
          <w:rFonts w:ascii="Palatino Linotype" w:eastAsia="Palatino Linotype" w:hAnsi="Palatino Linotype" w:cs="Palatino Linotype"/>
        </w:rPr>
      </w:pPr>
      <w:bookmarkStart w:id="11" w:name="_heading=h.pams53xt1pwn" w:colFirst="0" w:colLast="0"/>
      <w:bookmarkEnd w:id="11"/>
    </w:p>
    <w:p w14:paraId="29D71E04" w14:textId="77777777" w:rsidR="00EC4447" w:rsidRPr="002B7F8B" w:rsidRDefault="00D570E2">
      <w:pPr>
        <w:spacing w:line="360" w:lineRule="auto"/>
        <w:ind w:left="-5" w:hanging="10"/>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En ese tenor, si los Recursos de Revisión que nos ocupan, se interpusieron en fechas </w:t>
      </w:r>
      <w:r w:rsidRPr="002B7F8B">
        <w:rPr>
          <w:rFonts w:ascii="Palatino Linotype" w:eastAsia="Palatino Linotype" w:hAnsi="Palatino Linotype" w:cs="Palatino Linotype"/>
          <w:b/>
        </w:rPr>
        <w:t>trece y veintiuno de febrero de dos mil veintidós,</w:t>
      </w:r>
      <w:r w:rsidRPr="002B7F8B">
        <w:rPr>
          <w:rFonts w:ascii="Palatino Linotype" w:eastAsia="Palatino Linotype" w:hAnsi="Palatino Linotype" w:cs="Palatino Linotype"/>
        </w:rPr>
        <w:t xml:space="preserve">  éstos se encuentran dentro de los márgenes temporales previstos en el citado precepto legal y, por tanto, se consideran oportunos.</w:t>
      </w:r>
    </w:p>
    <w:p w14:paraId="3CA759BE" w14:textId="77777777" w:rsidR="00EC4447" w:rsidRPr="002B7F8B" w:rsidRDefault="00EC4447">
      <w:pPr>
        <w:spacing w:line="360" w:lineRule="auto"/>
        <w:ind w:right="49"/>
        <w:jc w:val="both"/>
        <w:rPr>
          <w:rFonts w:ascii="Palatino Linotype" w:eastAsia="Palatino Linotype" w:hAnsi="Palatino Linotype" w:cs="Palatino Linotype"/>
          <w:i/>
          <w:sz w:val="22"/>
          <w:szCs w:val="22"/>
        </w:rPr>
      </w:pPr>
    </w:p>
    <w:p w14:paraId="7B2AA324" w14:textId="77777777" w:rsidR="00EC4447" w:rsidRPr="002B7F8B" w:rsidRDefault="00D570E2">
      <w:pPr>
        <w:spacing w:line="360" w:lineRule="auto"/>
        <w:ind w:right="49"/>
        <w:jc w:val="both"/>
        <w:rPr>
          <w:rFonts w:ascii="Palatino Linotype" w:eastAsia="Palatino Linotype" w:hAnsi="Palatino Linotype" w:cs="Palatino Linotype"/>
          <w:b/>
        </w:rPr>
      </w:pPr>
      <w:r w:rsidRPr="002B7F8B">
        <w:rPr>
          <w:rFonts w:ascii="Palatino Linotype" w:eastAsia="Palatino Linotype" w:hAnsi="Palatino Linotype" w:cs="Palatino Linotype"/>
          <w:b/>
          <w:sz w:val="28"/>
          <w:szCs w:val="28"/>
        </w:rPr>
        <w:t>QUINTO</w:t>
      </w:r>
      <w:r w:rsidRPr="002B7F8B">
        <w:rPr>
          <w:rFonts w:ascii="Palatino Linotype" w:eastAsia="Palatino Linotype" w:hAnsi="Palatino Linotype" w:cs="Palatino Linotype"/>
          <w:b/>
        </w:rPr>
        <w:t xml:space="preserve">. Procedibilidad. </w:t>
      </w:r>
    </w:p>
    <w:p w14:paraId="2DC1831B" w14:textId="77777777" w:rsidR="00EC4447" w:rsidRPr="002B7F8B" w:rsidRDefault="00D570E2">
      <w:pPr>
        <w:spacing w:line="360" w:lineRule="auto"/>
        <w:ind w:right="49"/>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Del análisis efectuado se advierte que resulta procedente la interposición de los Recursos de Revisión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2B7F8B">
        <w:rPr>
          <w:rFonts w:ascii="Palatino Linotype" w:eastAsia="Palatino Linotype" w:hAnsi="Palatino Linotype" w:cs="Palatino Linotype"/>
          <w:b/>
        </w:rPr>
        <w:t>EL SAIMEX</w:t>
      </w:r>
    </w:p>
    <w:p w14:paraId="73CF735B" w14:textId="77777777" w:rsidR="00EC4447" w:rsidRPr="002B7F8B" w:rsidRDefault="00EC4447">
      <w:pPr>
        <w:spacing w:line="360" w:lineRule="auto"/>
        <w:ind w:right="49"/>
        <w:jc w:val="both"/>
        <w:rPr>
          <w:rFonts w:ascii="Palatino Linotype" w:eastAsia="Palatino Linotype" w:hAnsi="Palatino Linotype" w:cs="Palatino Linotype"/>
          <w:b/>
        </w:rPr>
      </w:pPr>
    </w:p>
    <w:p w14:paraId="78894E03" w14:textId="77777777" w:rsidR="00EC4447" w:rsidRPr="002B7F8B" w:rsidRDefault="00D570E2">
      <w:pPr>
        <w:spacing w:line="360" w:lineRule="auto"/>
        <w:jc w:val="both"/>
        <w:rPr>
          <w:rFonts w:ascii="Palatino Linotype" w:eastAsia="Palatino Linotype" w:hAnsi="Palatino Linotype" w:cs="Palatino Linotype"/>
          <w:b/>
        </w:rPr>
      </w:pPr>
      <w:r w:rsidRPr="002B7F8B">
        <w:rPr>
          <w:rFonts w:ascii="Palatino Linotype" w:eastAsia="Palatino Linotype" w:hAnsi="Palatino Linotype" w:cs="Palatino Linotype"/>
          <w:b/>
          <w:sz w:val="28"/>
          <w:szCs w:val="28"/>
        </w:rPr>
        <w:lastRenderedPageBreak/>
        <w:t>SEXTO</w:t>
      </w:r>
      <w:r w:rsidRPr="002B7F8B">
        <w:rPr>
          <w:rFonts w:ascii="Palatino Linotype" w:eastAsia="Palatino Linotype" w:hAnsi="Palatino Linotype" w:cs="Palatino Linotype"/>
          <w:b/>
        </w:rPr>
        <w:t xml:space="preserve">. Estudio y resolución del asunto. </w:t>
      </w:r>
    </w:p>
    <w:p w14:paraId="4682AEEB" w14:textId="77777777" w:rsidR="00EC4447" w:rsidRPr="002B7F8B" w:rsidRDefault="00D570E2">
      <w:pPr>
        <w:spacing w:line="360" w:lineRule="auto"/>
        <w:ind w:right="49"/>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En ese tenor, para un mejor análisis y  comprensión del asunto que se resuelve, es conveniente recordar que las solicitudes del particular versan sobre lo siguiente: </w:t>
      </w:r>
    </w:p>
    <w:p w14:paraId="1E7D4185" w14:textId="77777777" w:rsidR="00EC4447" w:rsidRPr="002B7F8B" w:rsidRDefault="00D570E2">
      <w:pPr>
        <w:numPr>
          <w:ilvl w:val="0"/>
          <w:numId w:val="4"/>
        </w:numPr>
        <w:spacing w:line="360" w:lineRule="auto"/>
        <w:ind w:right="49"/>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El permiso para la compra de gas en estaciones con recipientes portátiles, </w:t>
      </w:r>
    </w:p>
    <w:p w14:paraId="46473E1E" w14:textId="77777777" w:rsidR="00EC4447" w:rsidRPr="002B7F8B" w:rsidRDefault="00D570E2">
      <w:pPr>
        <w:numPr>
          <w:ilvl w:val="0"/>
          <w:numId w:val="4"/>
        </w:numPr>
        <w:spacing w:line="360" w:lineRule="auto"/>
        <w:ind w:right="49"/>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El transporte de gas en motocicletas, bicicletas, automóviles particulares y taxis </w:t>
      </w:r>
    </w:p>
    <w:p w14:paraId="3626E495" w14:textId="77777777" w:rsidR="00EC4447" w:rsidRPr="002B7F8B" w:rsidRDefault="00D570E2">
      <w:pPr>
        <w:numPr>
          <w:ilvl w:val="0"/>
          <w:numId w:val="4"/>
        </w:numPr>
        <w:spacing w:line="360" w:lineRule="auto"/>
        <w:ind w:right="49"/>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El llenado de tanques por parte de consumidores introduciéndose a las estaciones y plantas de almacenamiento. </w:t>
      </w:r>
    </w:p>
    <w:p w14:paraId="0D1C003F" w14:textId="77777777" w:rsidR="00EC4447" w:rsidRPr="002B7F8B" w:rsidRDefault="00EC4447">
      <w:pPr>
        <w:spacing w:line="360" w:lineRule="auto"/>
        <w:ind w:right="-28"/>
        <w:jc w:val="both"/>
        <w:rPr>
          <w:rFonts w:ascii="Palatino Linotype" w:eastAsia="Palatino Linotype" w:hAnsi="Palatino Linotype" w:cs="Palatino Linotype"/>
          <w:i/>
          <w:sz w:val="20"/>
          <w:szCs w:val="20"/>
        </w:rPr>
      </w:pPr>
    </w:p>
    <w:p w14:paraId="06423BBE" w14:textId="77777777" w:rsidR="00EC4447" w:rsidRPr="002B7F8B" w:rsidRDefault="00D570E2">
      <w:pPr>
        <w:spacing w:line="360" w:lineRule="auto"/>
        <w:ind w:right="-28"/>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En primer lugar, resulta procedente mencionar que de los cuestionamientos vertidos por la particular en su solicitud de información, los mismos requieren un pronunciamiento específico que implicaría que </w:t>
      </w:r>
      <w:r w:rsidRPr="002B7F8B">
        <w:rPr>
          <w:rFonts w:ascii="Palatino Linotype" w:eastAsia="Palatino Linotype" w:hAnsi="Palatino Linotype" w:cs="Palatino Linotype"/>
          <w:b/>
        </w:rPr>
        <w:t>EL SUJETO OBLIGADO</w:t>
      </w:r>
      <w:r w:rsidRPr="002B7F8B">
        <w:rPr>
          <w:rFonts w:ascii="Palatino Linotype" w:eastAsia="Palatino Linotype" w:hAnsi="Palatino Linotype" w:cs="Palatino Linotype"/>
        </w:rPr>
        <w:t xml:space="preserve"> lleve a cabo un documento a modo, por lo que es importante señalar que los Sujetos Obligados, únicamente deben entregar la información que obre en sus archivos sin procesarla, resumirla, efectuar cálculos o practicar investigaciones, así como lo establece el artículo 12 de la Ley de Transparencia y Acceso a la Información Pública del Estado de México y Municipios, el cual se transcribe a continuación: </w:t>
      </w:r>
    </w:p>
    <w:p w14:paraId="35FAAD1C" w14:textId="77777777" w:rsidR="00EC4447" w:rsidRPr="002B7F8B" w:rsidRDefault="00D570E2">
      <w:pPr>
        <w:ind w:left="851" w:right="902"/>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w:t>
      </w:r>
      <w:r w:rsidRPr="002B7F8B">
        <w:rPr>
          <w:rFonts w:ascii="Palatino Linotype" w:eastAsia="Palatino Linotype" w:hAnsi="Palatino Linotype" w:cs="Palatino Linotype"/>
          <w:b/>
          <w:i/>
          <w:sz w:val="22"/>
          <w:szCs w:val="22"/>
        </w:rPr>
        <w:t>Artículo 12.</w:t>
      </w:r>
      <w:r w:rsidRPr="002B7F8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CCFD0C7" w14:textId="77777777" w:rsidR="00EC4447" w:rsidRPr="002B7F8B" w:rsidRDefault="00D570E2">
      <w:pPr>
        <w:ind w:left="851" w:right="902"/>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7B8958AD" w14:textId="77777777" w:rsidR="00EC4447" w:rsidRPr="002B7F8B" w:rsidRDefault="00D570E2">
      <w:pPr>
        <w:shd w:val="clear" w:color="auto" w:fill="FFFFFF"/>
        <w:jc w:val="both"/>
      </w:pPr>
      <w:r w:rsidRPr="002B7F8B">
        <w:rPr>
          <w:rFonts w:ascii="Palatino Linotype" w:eastAsia="Palatino Linotype" w:hAnsi="Palatino Linotype" w:cs="Palatino Linotype"/>
          <w:sz w:val="22"/>
          <w:szCs w:val="22"/>
        </w:rPr>
        <w:t> </w:t>
      </w:r>
    </w:p>
    <w:p w14:paraId="5F1BE4C0" w14:textId="77777777" w:rsidR="00EC4447" w:rsidRPr="002B7F8B" w:rsidRDefault="00D570E2">
      <w:pPr>
        <w:shd w:val="clear" w:color="auto" w:fill="FFFFFF"/>
        <w:jc w:val="both"/>
      </w:pPr>
      <w:r w:rsidRPr="002B7F8B">
        <w:rPr>
          <w:rFonts w:ascii="Palatino Linotype" w:eastAsia="Palatino Linotype" w:hAnsi="Palatino Linotype" w:cs="Palatino Linotype"/>
          <w:sz w:val="22"/>
          <w:szCs w:val="22"/>
        </w:rPr>
        <w:t> </w:t>
      </w:r>
    </w:p>
    <w:p w14:paraId="4C2375FC" w14:textId="77777777" w:rsidR="00EC4447" w:rsidRPr="002B7F8B" w:rsidRDefault="00D570E2">
      <w:pPr>
        <w:shd w:val="clear" w:color="auto" w:fill="FFFFFF"/>
        <w:spacing w:line="360" w:lineRule="auto"/>
        <w:jc w:val="both"/>
        <w:rPr>
          <w:sz w:val="28"/>
          <w:szCs w:val="28"/>
        </w:rPr>
      </w:pPr>
      <w:r w:rsidRPr="002B7F8B">
        <w:rPr>
          <w:rFonts w:ascii="Palatino Linotype" w:eastAsia="Palatino Linotype" w:hAnsi="Palatino Linotype" w:cs="Palatino Linotype"/>
        </w:rPr>
        <w:lastRenderedPageBreak/>
        <w:t>Robustece lo anterior el Criterio 03/17 emitido por el Instituto Nacional de Transparencia, Acceso a la Información y Protección de Datos Personales, que a continuación se cita:</w:t>
      </w:r>
    </w:p>
    <w:p w14:paraId="07723565" w14:textId="77777777" w:rsidR="00EC4447" w:rsidRPr="002B7F8B" w:rsidRDefault="00D570E2">
      <w:pPr>
        <w:shd w:val="clear" w:color="auto" w:fill="FFFFFF"/>
        <w:ind w:left="567" w:right="567"/>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b/>
          <w:i/>
          <w:sz w:val="22"/>
          <w:szCs w:val="22"/>
        </w:rPr>
        <w:t>“No existe obligación de elaborar documentos ad hoc para atender las solicitudes de acceso a la información. </w:t>
      </w:r>
      <w:r w:rsidRPr="002B7F8B">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 (Sic)</w:t>
      </w:r>
    </w:p>
    <w:p w14:paraId="437705EF" w14:textId="77777777" w:rsidR="00EC4447" w:rsidRPr="002B7F8B" w:rsidRDefault="00EC4447">
      <w:pPr>
        <w:shd w:val="clear" w:color="auto" w:fill="FFFFFF"/>
        <w:ind w:left="567" w:right="567"/>
        <w:jc w:val="both"/>
        <w:rPr>
          <w:sz w:val="28"/>
          <w:szCs w:val="28"/>
        </w:rPr>
      </w:pPr>
    </w:p>
    <w:p w14:paraId="482B7C0A"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Conforme a lo anterior, se advierte que las respuestas a los cuestionamientos realizados por </w:t>
      </w:r>
      <w:r w:rsidRPr="002B7F8B">
        <w:rPr>
          <w:rFonts w:ascii="Palatino Linotype" w:eastAsia="Palatino Linotype" w:hAnsi="Palatino Linotype" w:cs="Palatino Linotype"/>
          <w:b/>
        </w:rPr>
        <w:t>LA RECURRENTE</w:t>
      </w:r>
      <w:r w:rsidRPr="002B7F8B">
        <w:rPr>
          <w:rFonts w:ascii="Palatino Linotype" w:eastAsia="Palatino Linotype" w:hAnsi="Palatino Linotype" w:cs="Palatino Linotype"/>
        </w:rPr>
        <w:t xml:space="preserve">, en primera instancia, son una consulta y no así una solicitud de acceso a información pública que pueda ser atendida mediante una expresión documental; pues corresponde a varias preguntas que implicarían elaborar un documento </w:t>
      </w:r>
      <w:r w:rsidRPr="002B7F8B">
        <w:rPr>
          <w:rFonts w:ascii="Palatino Linotype" w:eastAsia="Palatino Linotype" w:hAnsi="Palatino Linotype" w:cs="Palatino Linotype"/>
          <w:i/>
        </w:rPr>
        <w:t>ad hoc.</w:t>
      </w:r>
      <w:r w:rsidRPr="002B7F8B">
        <w:rPr>
          <w:rFonts w:ascii="Palatino Linotype" w:eastAsia="Palatino Linotype" w:hAnsi="Palatino Linotype" w:cs="Palatino Linotype"/>
          <w:b/>
        </w:rPr>
        <w:t> </w:t>
      </w:r>
    </w:p>
    <w:p w14:paraId="474259C8" w14:textId="77777777" w:rsidR="00EC4447" w:rsidRPr="002B7F8B" w:rsidRDefault="00EC4447">
      <w:pPr>
        <w:spacing w:line="360" w:lineRule="auto"/>
        <w:rPr>
          <w:rFonts w:ascii="Palatino Linotype" w:eastAsia="Palatino Linotype" w:hAnsi="Palatino Linotype" w:cs="Palatino Linotype"/>
        </w:rPr>
      </w:pPr>
    </w:p>
    <w:p w14:paraId="577B38CD"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Lo anterior, toma sustento la Jurisprudencia XXI.1o.P.A. J/27, de los Tribunales Colegiados de Circuito, localizada en la página 1406, del Semanario Judicial de la Federación y su Gaceta, Tomo XXXIII, marzo 2011, Novena Época, que establece lo siguiente:</w:t>
      </w:r>
    </w:p>
    <w:p w14:paraId="2D3F06F0" w14:textId="77777777" w:rsidR="00EC4447" w:rsidRPr="002B7F8B" w:rsidRDefault="00EC4447"/>
    <w:p w14:paraId="65F9DF54" w14:textId="77777777" w:rsidR="00EC4447" w:rsidRPr="002B7F8B" w:rsidRDefault="00D570E2">
      <w:pPr>
        <w:ind w:left="567" w:right="567"/>
        <w:jc w:val="both"/>
        <w:rPr>
          <w:sz w:val="28"/>
          <w:szCs w:val="28"/>
        </w:rPr>
      </w:pPr>
      <w:r w:rsidRPr="002B7F8B">
        <w:rPr>
          <w:rFonts w:ascii="Palatino Linotype" w:eastAsia="Palatino Linotype" w:hAnsi="Palatino Linotype" w:cs="Palatino Linotype"/>
          <w:b/>
          <w:i/>
          <w:sz w:val="22"/>
          <w:szCs w:val="22"/>
        </w:rPr>
        <w:t xml:space="preserve">“DERECHO DE PETICIÓN. SUS ELEMENTOS. </w:t>
      </w:r>
      <w:r w:rsidRPr="002B7F8B">
        <w:rPr>
          <w:rFonts w:ascii="Palatino Linotype" w:eastAsia="Palatino Linotype" w:hAnsi="Palatino Linotype" w:cs="Palatino Linotype"/>
          <w:i/>
          <w:sz w:val="22"/>
          <w:szCs w:val="22"/>
        </w:rPr>
        <w:t xml:space="preserve">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w:t>
      </w:r>
      <w:r w:rsidRPr="002B7F8B">
        <w:rPr>
          <w:rFonts w:ascii="Palatino Linotype" w:eastAsia="Palatino Linotype" w:hAnsi="Palatino Linotype" w:cs="Palatino Linotype"/>
          <w:i/>
          <w:sz w:val="22"/>
          <w:szCs w:val="22"/>
        </w:rPr>
        <w:lastRenderedPageBreak/>
        <w:t>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diversa.”(Sic)</w:t>
      </w:r>
    </w:p>
    <w:p w14:paraId="3DF997EC" w14:textId="77777777" w:rsidR="00EC4447" w:rsidRPr="002B7F8B" w:rsidRDefault="00EC4447"/>
    <w:p w14:paraId="2B45FC9F"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entre otros), ante una autoridad, por lo que, tiene derecho de recibir una respuesta.</w:t>
      </w:r>
    </w:p>
    <w:p w14:paraId="36F928F8" w14:textId="77777777" w:rsidR="00EC4447" w:rsidRPr="002B7F8B" w:rsidRDefault="00EC4447">
      <w:pPr>
        <w:spacing w:line="360" w:lineRule="auto"/>
        <w:jc w:val="both"/>
        <w:rPr>
          <w:rFonts w:ascii="Palatino Linotype" w:eastAsia="Palatino Linotype" w:hAnsi="Palatino Linotype" w:cs="Palatino Linotype"/>
        </w:rPr>
      </w:pPr>
    </w:p>
    <w:p w14:paraId="0FA57755"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Sin embargo, </w:t>
      </w:r>
      <w:r w:rsidRPr="002B7F8B">
        <w:rPr>
          <w:rFonts w:ascii="Palatino Linotype" w:eastAsia="Palatino Linotype" w:hAnsi="Palatino Linotype" w:cs="Palatino Linotype"/>
          <w:b/>
        </w:rPr>
        <w:t>EL SUJETO OBLIGADO</w:t>
      </w:r>
      <w:r w:rsidRPr="002B7F8B">
        <w:rPr>
          <w:rFonts w:ascii="Palatino Linotype" w:eastAsia="Palatino Linotype" w:hAnsi="Palatino Linotype" w:cs="Palatino Linotype"/>
        </w:rPr>
        <w:t xml:space="preserve"> en aras de privilegiar el derecho de acceso a la información, dio contestación a dichas peticiones, indicando lo siguiente: </w:t>
      </w:r>
    </w:p>
    <w:p w14:paraId="59DFA50F" w14:textId="77777777" w:rsidR="00EC4447" w:rsidRPr="002B7F8B" w:rsidRDefault="00EC4447">
      <w:pPr>
        <w:spacing w:line="360" w:lineRule="auto"/>
        <w:jc w:val="both"/>
        <w:rPr>
          <w:rFonts w:ascii="Palatino Linotype" w:eastAsia="Palatino Linotype" w:hAnsi="Palatino Linotype" w:cs="Palatino Linotype"/>
          <w:b/>
          <w:i/>
          <w:u w:val="single"/>
        </w:rPr>
      </w:pPr>
    </w:p>
    <w:p w14:paraId="73CC1E97" w14:textId="77777777" w:rsidR="00EC4447" w:rsidRPr="002B7F8B" w:rsidRDefault="00D570E2">
      <w:pPr>
        <w:spacing w:line="360" w:lineRule="auto"/>
        <w:jc w:val="both"/>
        <w:rPr>
          <w:rFonts w:ascii="Palatino Linotype" w:eastAsia="Palatino Linotype" w:hAnsi="Palatino Linotype" w:cs="Palatino Linotype"/>
          <w:b/>
          <w:i/>
          <w:u w:val="single"/>
        </w:rPr>
      </w:pPr>
      <w:r w:rsidRPr="002B7F8B">
        <w:rPr>
          <w:rFonts w:ascii="Palatino Linotype" w:eastAsia="Palatino Linotype" w:hAnsi="Palatino Linotype" w:cs="Palatino Linotype"/>
          <w:b/>
          <w:i/>
          <w:u w:val="single"/>
        </w:rPr>
        <w:t>Recurso de revisión número 01078/INFOEM/IP/RR/2022</w:t>
      </w:r>
    </w:p>
    <w:p w14:paraId="78BE8781"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b/>
        </w:rPr>
        <w:t xml:space="preserve">El SUJETO OBLIGADO </w:t>
      </w:r>
      <w:r w:rsidRPr="002B7F8B">
        <w:rPr>
          <w:rFonts w:ascii="Palatino Linotype" w:eastAsia="Palatino Linotype" w:hAnsi="Palatino Linotype" w:cs="Palatino Linotype"/>
        </w:rPr>
        <w:t xml:space="preserve">señaló mediante el documento de nombre </w:t>
      </w:r>
      <w:r w:rsidRPr="002B7F8B">
        <w:rPr>
          <w:rFonts w:ascii="Palatino Linotype" w:eastAsia="Palatino Linotype" w:hAnsi="Palatino Linotype" w:cs="Palatino Linotype"/>
          <w:i/>
        </w:rPr>
        <w:t>0052-2022.pdf</w:t>
      </w:r>
      <w:r w:rsidRPr="002B7F8B">
        <w:rPr>
          <w:rFonts w:ascii="Palatino Linotype" w:eastAsia="Palatino Linotype" w:hAnsi="Palatino Linotype" w:cs="Palatino Linotype"/>
        </w:rPr>
        <w:t xml:space="preserve">  firmado por  la Jefa del Departamento de Comercio Establecido que, según lo dispuesto por el Reglamento de Gas Licuado de Petróleo:</w:t>
      </w:r>
    </w:p>
    <w:p w14:paraId="40615B6C" w14:textId="77777777" w:rsidR="00EC4447" w:rsidRPr="002B7F8B" w:rsidRDefault="00D570E2">
      <w:pPr>
        <w:numPr>
          <w:ilvl w:val="1"/>
          <w:numId w:val="2"/>
        </w:numPr>
        <w:tabs>
          <w:tab w:val="left" w:pos="709"/>
        </w:tabs>
        <w:spacing w:line="360" w:lineRule="auto"/>
        <w:ind w:left="720"/>
        <w:jc w:val="both"/>
        <w:rPr>
          <w:rFonts w:ascii="Palatino Linotype" w:eastAsia="Palatino Linotype" w:hAnsi="Palatino Linotype" w:cs="Palatino Linotype"/>
        </w:rPr>
      </w:pPr>
      <w:r w:rsidRPr="002B7F8B">
        <w:rPr>
          <w:rFonts w:ascii="Palatino Linotype" w:eastAsia="Palatino Linotype" w:hAnsi="Palatino Linotype" w:cs="Palatino Linotype"/>
        </w:rPr>
        <w:lastRenderedPageBreak/>
        <w:t xml:space="preserve"> Ni su departamento ni ninguna otra dependencia de la administración pública municipal autoriza la venta al menudeo. </w:t>
      </w:r>
    </w:p>
    <w:p w14:paraId="71FD05F0" w14:textId="77777777" w:rsidR="00EC4447" w:rsidRPr="002B7F8B" w:rsidRDefault="00D570E2">
      <w:pPr>
        <w:numPr>
          <w:ilvl w:val="1"/>
          <w:numId w:val="2"/>
        </w:numPr>
        <w:tabs>
          <w:tab w:val="left" w:pos="709"/>
        </w:tabs>
        <w:spacing w:line="360" w:lineRule="auto"/>
        <w:ind w:left="720"/>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Que las estaciones de distribución de gas LP pueden realizar la distribución mediante recipientes transportables. </w:t>
      </w:r>
    </w:p>
    <w:p w14:paraId="12D9C1E0" w14:textId="77777777" w:rsidR="00EC4447" w:rsidRPr="002B7F8B" w:rsidRDefault="00D570E2">
      <w:pPr>
        <w:numPr>
          <w:ilvl w:val="1"/>
          <w:numId w:val="2"/>
        </w:numPr>
        <w:tabs>
          <w:tab w:val="left" w:pos="709"/>
        </w:tabs>
        <w:spacing w:line="360" w:lineRule="auto"/>
        <w:ind w:left="720"/>
        <w:jc w:val="both"/>
        <w:rPr>
          <w:rFonts w:ascii="Palatino Linotype" w:eastAsia="Palatino Linotype" w:hAnsi="Palatino Linotype" w:cs="Palatino Linotype"/>
        </w:rPr>
      </w:pPr>
      <w:r w:rsidRPr="002B7F8B">
        <w:rPr>
          <w:rFonts w:ascii="Palatino Linotype" w:eastAsia="Palatino Linotype" w:hAnsi="Palatino Linotype" w:cs="Palatino Linotype"/>
        </w:rPr>
        <w:t>Que no se autoriza la transportación de gas en motos, bicicletas, automóviles particulares y taxis ya que se trata de una autorización de carácter federal.</w:t>
      </w:r>
    </w:p>
    <w:p w14:paraId="46EF6140"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Así pues se advierte que, dicho reglamento fue publicado en el Diario Oficial de la federación en fecha cinco de diciembre de dos mil siete y el cual tiene por objeto regular las Ventas de Primera Mano así como el Transporte, Almacenamiento y Distribución de Gas Licuado de Petróleo, como lo señala su artículo primero mismo que se transcribe  a continuación:</w:t>
      </w:r>
    </w:p>
    <w:p w14:paraId="6872BAE6" w14:textId="77777777" w:rsidR="00EC4447" w:rsidRPr="002B7F8B" w:rsidRDefault="00D570E2">
      <w:pPr>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b/>
          <w:i/>
          <w:sz w:val="22"/>
          <w:szCs w:val="22"/>
        </w:rPr>
        <w:t>“Artículo 1.-</w:t>
      </w:r>
      <w:r w:rsidRPr="002B7F8B">
        <w:rPr>
          <w:rFonts w:ascii="Palatino Linotype" w:eastAsia="Palatino Linotype" w:hAnsi="Palatino Linotype" w:cs="Palatino Linotype"/>
          <w:i/>
          <w:sz w:val="22"/>
          <w:szCs w:val="22"/>
        </w:rPr>
        <w:t xml:space="preserve"> Este Reglamento tiene por objeto regular las Ventas de Primera Mano así como el Transporte, Almacenamiento y Distribución de Gas Licuado de Petróleo, actividades que podrán ser llevados a cabo, previo permiso, por los sectores social y privado, los que podrán construir, operar y ser propietarios de ductos, instalaciones y equipos, en los términos de las disposiciones contenidas en este ordenamiento, así como, en las disposiciones técnicas y de regulación que se expidan. </w:t>
      </w:r>
    </w:p>
    <w:p w14:paraId="147903EA" w14:textId="77777777" w:rsidR="00EC4447" w:rsidRPr="002B7F8B" w:rsidRDefault="00EC4447">
      <w:pPr>
        <w:ind w:left="850" w:right="899"/>
        <w:jc w:val="both"/>
        <w:rPr>
          <w:rFonts w:ascii="Palatino Linotype" w:eastAsia="Palatino Linotype" w:hAnsi="Palatino Linotype" w:cs="Palatino Linotype"/>
          <w:i/>
          <w:sz w:val="22"/>
          <w:szCs w:val="22"/>
        </w:rPr>
      </w:pPr>
    </w:p>
    <w:p w14:paraId="0197F33D" w14:textId="77777777" w:rsidR="00EC4447" w:rsidRPr="002B7F8B" w:rsidRDefault="00D570E2">
      <w:pPr>
        <w:ind w:left="850" w:right="899"/>
        <w:jc w:val="both"/>
        <w:rPr>
          <w:rFonts w:ascii="Palatino Linotype" w:eastAsia="Palatino Linotype" w:hAnsi="Palatino Linotype" w:cs="Palatino Linotype"/>
          <w:i/>
        </w:rPr>
      </w:pPr>
      <w:r w:rsidRPr="002B7F8B">
        <w:rPr>
          <w:rFonts w:ascii="Palatino Linotype" w:eastAsia="Palatino Linotype" w:hAnsi="Palatino Linotype" w:cs="Palatino Linotype"/>
          <w:i/>
          <w:sz w:val="22"/>
          <w:szCs w:val="22"/>
        </w:rPr>
        <w:t>Las Ventas de Primera Mano, el Transporte, el Almacenamiento y la Distribución de Gas Licuado de Petróleo, son actividades de exclusiva jurisdicción federal, de conformidad con el artículo 9o. de la Ley Reglamentaria del Artículo 27 Constitucional en el Ramo del Petróleo. Únicamente el Gobierno Federal dictará las disposiciones técnicas, de seguridad y de regulación que las rijan.</w:t>
      </w:r>
      <w:r w:rsidRPr="002B7F8B">
        <w:rPr>
          <w:rFonts w:ascii="Palatino Linotype" w:eastAsia="Palatino Linotype" w:hAnsi="Palatino Linotype" w:cs="Palatino Linotype"/>
          <w:i/>
        </w:rPr>
        <w:t>”</w:t>
      </w:r>
    </w:p>
    <w:p w14:paraId="3D5B2CB9" w14:textId="77777777" w:rsidR="00EC4447" w:rsidRPr="002B7F8B" w:rsidRDefault="00D570E2">
      <w:pPr>
        <w:ind w:left="850" w:right="899"/>
        <w:jc w:val="both"/>
        <w:rPr>
          <w:rFonts w:ascii="Palatino Linotype" w:eastAsia="Palatino Linotype" w:hAnsi="Palatino Linotype" w:cs="Palatino Linotype"/>
          <w:i/>
          <w:sz w:val="20"/>
          <w:szCs w:val="20"/>
        </w:rPr>
      </w:pPr>
      <w:r w:rsidRPr="002B7F8B">
        <w:rPr>
          <w:rFonts w:ascii="Palatino Linotype" w:eastAsia="Palatino Linotype" w:hAnsi="Palatino Linotype" w:cs="Palatino Linotype"/>
          <w:i/>
          <w:sz w:val="22"/>
          <w:szCs w:val="22"/>
        </w:rPr>
        <w:t>(Énfasis añadido)</w:t>
      </w:r>
    </w:p>
    <w:p w14:paraId="6DCF8C92" w14:textId="77777777" w:rsidR="00EC4447" w:rsidRPr="002B7F8B" w:rsidRDefault="00EC4447">
      <w:pPr>
        <w:spacing w:line="360" w:lineRule="auto"/>
        <w:ind w:left="850" w:right="899"/>
        <w:jc w:val="both"/>
        <w:rPr>
          <w:rFonts w:ascii="Palatino Linotype" w:eastAsia="Palatino Linotype" w:hAnsi="Palatino Linotype" w:cs="Palatino Linotype"/>
        </w:rPr>
      </w:pPr>
    </w:p>
    <w:p w14:paraId="4E50C0C3"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Además dicho instrumento señala en su artículo tercero, la competencia para el Gobierno Federal mediante la Secretaría de Energía para llevar a cabo la aplicación de </w:t>
      </w:r>
      <w:r w:rsidRPr="002B7F8B">
        <w:rPr>
          <w:rFonts w:ascii="Palatino Linotype" w:eastAsia="Palatino Linotype" w:hAnsi="Palatino Linotype" w:cs="Palatino Linotype"/>
        </w:rPr>
        <w:lastRenderedPageBreak/>
        <w:t xml:space="preserve">las disposiciones que contemple dicho reglamento pudiendo colaborar con las autoridades locales entre ellas las municipales. </w:t>
      </w:r>
    </w:p>
    <w:p w14:paraId="0AFFDF45" w14:textId="77777777" w:rsidR="00EC4447" w:rsidRPr="002B7F8B" w:rsidRDefault="00D570E2">
      <w:pPr>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w:t>
      </w:r>
      <w:r w:rsidRPr="002B7F8B">
        <w:rPr>
          <w:rFonts w:ascii="Palatino Linotype" w:eastAsia="Palatino Linotype" w:hAnsi="Palatino Linotype" w:cs="Palatino Linotype"/>
          <w:b/>
          <w:i/>
          <w:sz w:val="22"/>
          <w:szCs w:val="22"/>
        </w:rPr>
        <w:t xml:space="preserve">Artículo 3.- </w:t>
      </w:r>
      <w:r w:rsidRPr="002B7F8B">
        <w:rPr>
          <w:rFonts w:ascii="Palatino Linotype" w:eastAsia="Palatino Linotype" w:hAnsi="Palatino Linotype" w:cs="Palatino Linotype"/>
          <w:i/>
          <w:sz w:val="22"/>
          <w:szCs w:val="22"/>
        </w:rPr>
        <w:t>La Secretaría interpretará y aplicará este Reglamento para efectos administrativos, con la participación que corresponda a la Comisión, conforme a sus respectivas atribuciones. Lo anterior, sin perjuicio de lo que corresponda a la Comisión Federal de Competencia y a la Procuraduría Federal del Consumidor en los términos de las disposiciones legales aplicables.”</w:t>
      </w:r>
    </w:p>
    <w:p w14:paraId="15251929" w14:textId="77777777" w:rsidR="00EC4447" w:rsidRPr="002B7F8B" w:rsidRDefault="00D570E2">
      <w:pPr>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(Énfasis añadido)</w:t>
      </w:r>
    </w:p>
    <w:p w14:paraId="4B42EB1F" w14:textId="77777777" w:rsidR="00EC4447" w:rsidRPr="002B7F8B" w:rsidRDefault="00EC4447">
      <w:pPr>
        <w:spacing w:line="360" w:lineRule="auto"/>
        <w:jc w:val="both"/>
        <w:rPr>
          <w:rFonts w:ascii="Palatino Linotype" w:eastAsia="Palatino Linotype" w:hAnsi="Palatino Linotype" w:cs="Palatino Linotype"/>
        </w:rPr>
      </w:pPr>
    </w:p>
    <w:p w14:paraId="6142EB10"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Luego entonces, de las respuestas otorgadas por la Jefa del Departamento de Comercio Establecido se puede determinar que dio respuesta a los cuestionamientos hechos en la solicitud de información materia del Recurso de Revisión, número   </w:t>
      </w:r>
      <w:r w:rsidRPr="002B7F8B">
        <w:rPr>
          <w:rFonts w:ascii="Palatino Linotype" w:eastAsia="Palatino Linotype" w:hAnsi="Palatino Linotype" w:cs="Palatino Linotype"/>
          <w:b/>
        </w:rPr>
        <w:t>01078/INFOEM/IP/RR/2022,</w:t>
      </w:r>
      <w:r w:rsidRPr="002B7F8B">
        <w:rPr>
          <w:rFonts w:ascii="Palatino Linotype" w:eastAsia="Palatino Linotype" w:hAnsi="Palatino Linotype" w:cs="Palatino Linotype"/>
        </w:rPr>
        <w:t xml:space="preserve"> toda vez que al tratarse de cuestionamientos específicos y los cuales requieren de la elaboración documentos a modo, el servidor público habilitado competente se pronunció sobre los mismos en términos de la legislación aplicable atendiendo a los principios de congruencia y exhaustividad </w:t>
      </w:r>
    </w:p>
    <w:p w14:paraId="5F40A6BE" w14:textId="77777777" w:rsidR="00EC4447" w:rsidRPr="002B7F8B" w:rsidRDefault="00EC4447">
      <w:pPr>
        <w:spacing w:line="360" w:lineRule="auto"/>
        <w:jc w:val="both"/>
        <w:rPr>
          <w:rFonts w:ascii="Palatino Linotype" w:eastAsia="Palatino Linotype" w:hAnsi="Palatino Linotype" w:cs="Palatino Linotype"/>
        </w:rPr>
      </w:pPr>
    </w:p>
    <w:p w14:paraId="4E49B05F" w14:textId="77777777" w:rsidR="00EC4447" w:rsidRPr="002B7F8B" w:rsidRDefault="00D570E2">
      <w:pPr>
        <w:spacing w:line="360" w:lineRule="auto"/>
        <w:ind w:right="49"/>
        <w:jc w:val="both"/>
        <w:rPr>
          <w:rFonts w:ascii="Palatino Linotype" w:eastAsia="Palatino Linotype" w:hAnsi="Palatino Linotype" w:cs="Palatino Linotype"/>
        </w:rPr>
      </w:pPr>
      <w:r w:rsidRPr="002B7F8B">
        <w:rPr>
          <w:rFonts w:ascii="Palatino Linotype" w:eastAsia="Palatino Linotype" w:hAnsi="Palatino Linotype" w:cs="Palatino Linotype"/>
        </w:rPr>
        <w:t>Con relación a lo anterior, conviene citar el criterio orientador 002/2017 del INAI, y la tesis 1a. CCCXXVII/2014 (10a.) emitida por la Primera Sala de la Suprema Corte de Justicia de la Nación, cuyo tenor es el siguiente:</w:t>
      </w:r>
    </w:p>
    <w:p w14:paraId="7C00152F" w14:textId="77777777" w:rsidR="00EC4447" w:rsidRPr="002B7F8B" w:rsidRDefault="00EC4447">
      <w:pPr>
        <w:ind w:right="902"/>
        <w:jc w:val="both"/>
        <w:rPr>
          <w:rFonts w:ascii="Palatino Linotype" w:eastAsia="Palatino Linotype" w:hAnsi="Palatino Linotype" w:cs="Palatino Linotype"/>
        </w:rPr>
      </w:pPr>
    </w:p>
    <w:p w14:paraId="2A39A2C3" w14:textId="77777777" w:rsidR="00EC4447" w:rsidRPr="002B7F8B" w:rsidRDefault="00D570E2">
      <w:pPr>
        <w:ind w:left="851" w:right="902"/>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w:t>
      </w:r>
      <w:r w:rsidRPr="002B7F8B">
        <w:rPr>
          <w:rFonts w:ascii="Palatino Linotype" w:eastAsia="Palatino Linotype" w:hAnsi="Palatino Linotype" w:cs="Palatino Linotype"/>
          <w:b/>
          <w:i/>
          <w:sz w:val="22"/>
          <w:szCs w:val="22"/>
        </w:rPr>
        <w:t>Congruencia y exhaustividad</w:t>
      </w:r>
      <w:r w:rsidRPr="002B7F8B">
        <w:rPr>
          <w:rFonts w:ascii="Palatino Linotype" w:eastAsia="Palatino Linotype" w:hAnsi="Palatino Linotype" w:cs="Palatino Linotype"/>
          <w:i/>
          <w:sz w:val="22"/>
          <w:szCs w:val="22"/>
        </w:rPr>
        <w:t>.</w:t>
      </w:r>
      <w:r w:rsidRPr="002B7F8B">
        <w:rPr>
          <w:rFonts w:ascii="Palatino Linotype" w:eastAsia="Palatino Linotype" w:hAnsi="Palatino Linotype" w:cs="Palatino Linotype"/>
          <w:b/>
          <w:i/>
          <w:sz w:val="22"/>
          <w:szCs w:val="22"/>
        </w:rPr>
        <w:t xml:space="preserve"> Sus alcances para garantizar el derecho de acceso a la información.</w:t>
      </w:r>
      <w:r w:rsidRPr="002B7F8B">
        <w:rPr>
          <w:rFonts w:ascii="Palatino Linotype" w:eastAsia="Palatino Linotype" w:hAnsi="Palatino Linotype" w:cs="Palatino Linotype"/>
          <w:i/>
          <w:sz w:val="22"/>
          <w:szCs w:val="22"/>
        </w:rPr>
        <w:t xml:space="preserve">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w:t>
      </w:r>
      <w:r w:rsidRPr="002B7F8B">
        <w:rPr>
          <w:rFonts w:ascii="Palatino Linotype" w:eastAsia="Palatino Linotype" w:hAnsi="Palatino Linotype" w:cs="Palatino Linotype"/>
          <w:i/>
          <w:sz w:val="22"/>
          <w:szCs w:val="22"/>
        </w:rPr>
        <w:lastRenderedPageBreak/>
        <w:t>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información.”(Sic)</w:t>
      </w:r>
    </w:p>
    <w:p w14:paraId="0025E1E5" w14:textId="77777777" w:rsidR="00EC4447" w:rsidRPr="002B7F8B" w:rsidRDefault="00EC4447">
      <w:pPr>
        <w:widowControl w:val="0"/>
        <w:tabs>
          <w:tab w:val="left" w:pos="1701"/>
          <w:tab w:val="left" w:pos="1843"/>
        </w:tabs>
        <w:spacing w:line="360" w:lineRule="auto"/>
        <w:ind w:right="49"/>
        <w:jc w:val="both"/>
        <w:rPr>
          <w:rFonts w:ascii="Palatino Linotype" w:eastAsia="Palatino Linotype" w:hAnsi="Palatino Linotype" w:cs="Palatino Linotype"/>
        </w:rPr>
      </w:pPr>
      <w:bookmarkStart w:id="12" w:name="_heading=h.h5f6uylknmte" w:colFirst="0" w:colLast="0"/>
      <w:bookmarkEnd w:id="12"/>
    </w:p>
    <w:p w14:paraId="4857B381" w14:textId="77777777" w:rsidR="00EC4447" w:rsidRPr="002B7F8B" w:rsidRDefault="00D570E2">
      <w:pPr>
        <w:widowControl w:val="0"/>
        <w:tabs>
          <w:tab w:val="left" w:pos="1701"/>
          <w:tab w:val="left" w:pos="1843"/>
        </w:tabs>
        <w:spacing w:line="360" w:lineRule="auto"/>
        <w:ind w:right="49"/>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Del criterio citado se desprende que las respuestas de los sujetos obligados deberán contar con dos elementos; la congruencia y la exhaustividad. Entendiendo el  primero como una relación entre el requerimiento formulado y la respuesta propiciada y el segundo como atender de manera puntual a cada uno de los pronunciamientos en la solicitud. </w:t>
      </w:r>
    </w:p>
    <w:p w14:paraId="678E473C" w14:textId="77777777" w:rsidR="00EC4447" w:rsidRPr="002B7F8B" w:rsidRDefault="00EC4447">
      <w:pPr>
        <w:spacing w:line="360" w:lineRule="auto"/>
        <w:jc w:val="both"/>
        <w:rPr>
          <w:rFonts w:ascii="Palatino Linotype" w:eastAsia="Palatino Linotype" w:hAnsi="Palatino Linotype" w:cs="Palatino Linotype"/>
        </w:rPr>
      </w:pPr>
    </w:p>
    <w:p w14:paraId="584FBC2F"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Así pues en el recurso que nos ocupa se observa que la particular deseaba conocer lo siguiente: </w:t>
      </w:r>
    </w:p>
    <w:p w14:paraId="05F34CCA" w14:textId="77777777" w:rsidR="00EC4447" w:rsidRPr="002B7F8B" w:rsidRDefault="00D570E2">
      <w:pPr>
        <w:widowControl w:val="0"/>
        <w:numPr>
          <w:ilvl w:val="0"/>
          <w:numId w:val="5"/>
        </w:numPr>
        <w:spacing w:line="360" w:lineRule="auto"/>
        <w:ind w:left="850" w:right="49"/>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Por qué permiten que se venda gas l.p, a l menudeo y a particulares en las estaciones de gas de carburación instaladas en el municipio como la que se ubica por el Guerrero Chimalli. </w:t>
      </w:r>
    </w:p>
    <w:p w14:paraId="61D5A292" w14:textId="77777777" w:rsidR="00EC4447" w:rsidRPr="002B7F8B" w:rsidRDefault="00D570E2">
      <w:pPr>
        <w:widowControl w:val="0"/>
        <w:numPr>
          <w:ilvl w:val="0"/>
          <w:numId w:val="5"/>
        </w:numPr>
        <w:spacing w:line="360" w:lineRule="auto"/>
        <w:ind w:left="850" w:right="49"/>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Que respondan por qué se permite que se compre gas en estas estaciones con recipientes portátiles ingresando a los andenes de llenado sin el uniforme reglamentario, </w:t>
      </w:r>
    </w:p>
    <w:p w14:paraId="5BCA95ED" w14:textId="77777777" w:rsidR="00EC4447" w:rsidRPr="002B7F8B" w:rsidRDefault="00D570E2">
      <w:pPr>
        <w:widowControl w:val="0"/>
        <w:numPr>
          <w:ilvl w:val="0"/>
          <w:numId w:val="5"/>
        </w:numPr>
        <w:spacing w:line="360" w:lineRule="auto"/>
        <w:ind w:left="850" w:right="49"/>
        <w:jc w:val="both"/>
        <w:rPr>
          <w:rFonts w:ascii="Palatino Linotype" w:eastAsia="Palatino Linotype" w:hAnsi="Palatino Linotype" w:cs="Palatino Linotype"/>
        </w:rPr>
      </w:pPr>
      <w:r w:rsidRPr="002B7F8B">
        <w:rPr>
          <w:rFonts w:ascii="Palatino Linotype" w:eastAsia="Palatino Linotype" w:hAnsi="Palatino Linotype" w:cs="Palatino Linotype"/>
        </w:rPr>
        <w:t>Que respondan por qué se permite transportar gas en motos, bicicletas, automóviles particulares y taxis.</w:t>
      </w:r>
    </w:p>
    <w:p w14:paraId="05E68B9A" w14:textId="77777777" w:rsidR="00EC4447" w:rsidRPr="002B7F8B" w:rsidRDefault="00EC4447">
      <w:pPr>
        <w:spacing w:line="360" w:lineRule="auto"/>
        <w:jc w:val="both"/>
        <w:rPr>
          <w:rFonts w:ascii="Palatino Linotype" w:eastAsia="Palatino Linotype" w:hAnsi="Palatino Linotype" w:cs="Palatino Linotype"/>
        </w:rPr>
      </w:pPr>
    </w:p>
    <w:p w14:paraId="78865900"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Señalando el servidor público habilitado lo siguiente: </w:t>
      </w:r>
    </w:p>
    <w:p w14:paraId="55114ED5" w14:textId="77777777" w:rsidR="00EC4447" w:rsidRPr="002B7F8B" w:rsidRDefault="00D570E2">
      <w:pPr>
        <w:numPr>
          <w:ilvl w:val="1"/>
          <w:numId w:val="2"/>
        </w:numPr>
        <w:tabs>
          <w:tab w:val="left" w:pos="709"/>
        </w:tabs>
        <w:spacing w:line="360" w:lineRule="auto"/>
        <w:ind w:left="720"/>
        <w:jc w:val="both"/>
        <w:rPr>
          <w:rFonts w:ascii="Palatino Linotype" w:eastAsia="Palatino Linotype" w:hAnsi="Palatino Linotype" w:cs="Palatino Linotype"/>
        </w:rPr>
      </w:pPr>
      <w:r w:rsidRPr="002B7F8B">
        <w:rPr>
          <w:rFonts w:ascii="Palatino Linotype" w:eastAsia="Palatino Linotype" w:hAnsi="Palatino Linotype" w:cs="Palatino Linotype"/>
        </w:rPr>
        <w:lastRenderedPageBreak/>
        <w:t xml:space="preserve">Que ni su departamento ni ninguna otra dependencia de la administración pública municipal autoriza la venta al menudeo. </w:t>
      </w:r>
    </w:p>
    <w:p w14:paraId="140A28B5" w14:textId="77777777" w:rsidR="00EC4447" w:rsidRPr="002B7F8B" w:rsidRDefault="00D570E2">
      <w:pPr>
        <w:numPr>
          <w:ilvl w:val="1"/>
          <w:numId w:val="2"/>
        </w:numPr>
        <w:tabs>
          <w:tab w:val="left" w:pos="709"/>
        </w:tabs>
        <w:spacing w:line="360" w:lineRule="auto"/>
        <w:ind w:left="720"/>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Que las estaciones de distribución de gas LP pueden realizar la distribución mediante recipientes transportables. </w:t>
      </w:r>
    </w:p>
    <w:p w14:paraId="64C86DBC" w14:textId="77777777" w:rsidR="00EC4447" w:rsidRPr="002B7F8B" w:rsidRDefault="00D570E2">
      <w:pPr>
        <w:numPr>
          <w:ilvl w:val="1"/>
          <w:numId w:val="2"/>
        </w:numPr>
        <w:tabs>
          <w:tab w:val="left" w:pos="709"/>
        </w:tabs>
        <w:spacing w:line="360" w:lineRule="auto"/>
        <w:ind w:left="720"/>
        <w:jc w:val="both"/>
        <w:rPr>
          <w:rFonts w:ascii="Palatino Linotype" w:eastAsia="Palatino Linotype" w:hAnsi="Palatino Linotype" w:cs="Palatino Linotype"/>
        </w:rPr>
      </w:pPr>
      <w:r w:rsidRPr="002B7F8B">
        <w:rPr>
          <w:rFonts w:ascii="Palatino Linotype" w:eastAsia="Palatino Linotype" w:hAnsi="Palatino Linotype" w:cs="Palatino Linotype"/>
        </w:rPr>
        <w:t>Que no se autoriza la transportación de gas en motos, bicicletas, automóviles particulares y taxis ya que se trata de una autorización de carácter federal.</w:t>
      </w:r>
    </w:p>
    <w:p w14:paraId="7826B829" w14:textId="77777777" w:rsidR="00EC4447" w:rsidRPr="002B7F8B" w:rsidRDefault="00EC4447">
      <w:pPr>
        <w:spacing w:line="360" w:lineRule="auto"/>
        <w:jc w:val="both"/>
        <w:rPr>
          <w:rFonts w:ascii="Palatino Linotype" w:eastAsia="Palatino Linotype" w:hAnsi="Palatino Linotype" w:cs="Palatino Linotype"/>
        </w:rPr>
      </w:pPr>
    </w:p>
    <w:p w14:paraId="0073E832"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Atendiendo a lo  solicitado en los términos requeridos por la particular, es decir, mediante una respuesta concreta a su cuestionamiento. Luego entonces, es de señalar que este Instituto considera que, al haber existido un pronunciamiento por parte del </w:t>
      </w:r>
      <w:r w:rsidRPr="002B7F8B">
        <w:rPr>
          <w:rFonts w:ascii="Palatino Linotype" w:eastAsia="Palatino Linotype" w:hAnsi="Palatino Linotype" w:cs="Palatino Linotype"/>
          <w:b/>
        </w:rPr>
        <w:t>SUJETO OBLIGADO</w:t>
      </w:r>
      <w:r w:rsidRPr="002B7F8B">
        <w:rPr>
          <w:rFonts w:ascii="Palatino Linotype" w:eastAsia="Palatino Linotype" w:hAnsi="Palatino Linotype" w:cs="Palatino Linotype"/>
        </w:rPr>
        <w:t xml:space="preserve">, a fin de dar respuesta a la solicitud planteada, no está facultado para manifestarse sobre la veracidad de la misma, pues no existe precepto legal alguno en la Ley de la materia que lo faculte para que vía recurso de revisión pueda pronunciarse al respecto. </w:t>
      </w:r>
    </w:p>
    <w:p w14:paraId="799F7DD5" w14:textId="77777777" w:rsidR="00EC4447" w:rsidRPr="002B7F8B" w:rsidRDefault="00EC4447">
      <w:pPr>
        <w:spacing w:line="360" w:lineRule="auto"/>
        <w:jc w:val="both"/>
        <w:rPr>
          <w:rFonts w:ascii="Palatino Linotype" w:eastAsia="Palatino Linotype" w:hAnsi="Palatino Linotype" w:cs="Palatino Linotype"/>
        </w:rPr>
      </w:pPr>
    </w:p>
    <w:p w14:paraId="76AB5302"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259C580F" w14:textId="77777777" w:rsidR="00EC4447" w:rsidRPr="002B7F8B" w:rsidRDefault="00D570E2">
      <w:pPr>
        <w:tabs>
          <w:tab w:val="left" w:pos="1140"/>
        </w:tabs>
        <w:jc w:val="both"/>
        <w:rPr>
          <w:rFonts w:ascii="Palatino Linotype" w:eastAsia="Palatino Linotype" w:hAnsi="Palatino Linotype" w:cs="Palatino Linotype"/>
        </w:rPr>
      </w:pPr>
      <w:r w:rsidRPr="002B7F8B">
        <w:rPr>
          <w:rFonts w:ascii="Palatino Linotype" w:eastAsia="Palatino Linotype" w:hAnsi="Palatino Linotype" w:cs="Palatino Linotype"/>
        </w:rPr>
        <w:tab/>
      </w:r>
    </w:p>
    <w:p w14:paraId="79EAF350" w14:textId="77777777" w:rsidR="00EC4447" w:rsidRPr="002B7F8B" w:rsidRDefault="00D570E2">
      <w:pPr>
        <w:tabs>
          <w:tab w:val="left" w:pos="709"/>
        </w:tabs>
        <w:ind w:left="851" w:right="899"/>
        <w:jc w:val="both"/>
        <w:rPr>
          <w:rFonts w:ascii="Palatino Linotype" w:eastAsia="Palatino Linotype" w:hAnsi="Palatino Linotype" w:cs="Palatino Linotype"/>
          <w:b/>
          <w:i/>
          <w:sz w:val="22"/>
          <w:szCs w:val="22"/>
        </w:rPr>
      </w:pPr>
      <w:r w:rsidRPr="002B7F8B">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2B7F8B">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w:t>
      </w:r>
      <w:r w:rsidRPr="002B7F8B">
        <w:rPr>
          <w:rFonts w:ascii="Palatino Linotype" w:eastAsia="Palatino Linotype" w:hAnsi="Palatino Linotype" w:cs="Palatino Linotype"/>
          <w:i/>
          <w:sz w:val="22"/>
          <w:szCs w:val="22"/>
        </w:rPr>
        <w:lastRenderedPageBreak/>
        <w:t>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2B7F8B">
        <w:rPr>
          <w:rFonts w:ascii="Palatino Linotype" w:eastAsia="Palatino Linotype" w:hAnsi="Palatino Linotype" w:cs="Palatino Linotype"/>
          <w:b/>
          <w:i/>
          <w:sz w:val="22"/>
          <w:szCs w:val="22"/>
        </w:rPr>
        <w:t>”</w:t>
      </w:r>
    </w:p>
    <w:p w14:paraId="45854949" w14:textId="77777777" w:rsidR="00EC4447" w:rsidRPr="002B7F8B" w:rsidRDefault="00EC4447">
      <w:pPr>
        <w:spacing w:line="360" w:lineRule="auto"/>
        <w:jc w:val="both"/>
        <w:rPr>
          <w:rFonts w:ascii="Palatino Linotype" w:eastAsia="Palatino Linotype" w:hAnsi="Palatino Linotype" w:cs="Palatino Linotype"/>
        </w:rPr>
      </w:pPr>
    </w:p>
    <w:p w14:paraId="25594DDD"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2B7F8B">
        <w:rPr>
          <w:rFonts w:ascii="Palatino Linotype" w:eastAsia="Palatino Linotype" w:hAnsi="Palatino Linotype" w:cs="Palatino Linotype"/>
          <w:b/>
        </w:rPr>
        <w:t xml:space="preserve">EL SUJETO OBLIGADO </w:t>
      </w:r>
      <w:r w:rsidRPr="002B7F8B">
        <w:rPr>
          <w:rFonts w:ascii="Palatino Linotype" w:eastAsia="Palatino Linotype" w:hAnsi="Palatino Linotype" w:cs="Palatino Linotype"/>
        </w:rPr>
        <w:t xml:space="preserve">atendió el derecho accionado por el particular por lo que se </w:t>
      </w:r>
      <w:r w:rsidRPr="002B7F8B">
        <w:rPr>
          <w:rFonts w:ascii="Palatino Linotype" w:eastAsia="Palatino Linotype" w:hAnsi="Palatino Linotype" w:cs="Palatino Linotype"/>
          <w:b/>
        </w:rPr>
        <w:t>CONFIRMA</w:t>
      </w:r>
      <w:r w:rsidRPr="002B7F8B">
        <w:rPr>
          <w:rFonts w:ascii="Palatino Linotype" w:eastAsia="Palatino Linotype" w:hAnsi="Palatino Linotype" w:cs="Palatino Linotype"/>
        </w:rPr>
        <w:t xml:space="preserve"> la respuesta emitida a la solicitud de acceso a la información pública que dio origen al Recurso de Revisión número </w:t>
      </w:r>
      <w:r w:rsidRPr="002B7F8B">
        <w:rPr>
          <w:rFonts w:ascii="Palatino Linotype" w:eastAsia="Palatino Linotype" w:hAnsi="Palatino Linotype" w:cs="Palatino Linotype"/>
          <w:b/>
        </w:rPr>
        <w:t xml:space="preserve">01078/INFOEM/IP/RR/2022. </w:t>
      </w:r>
    </w:p>
    <w:p w14:paraId="6E0CD0AE"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  </w:t>
      </w:r>
    </w:p>
    <w:p w14:paraId="7CAE824B" w14:textId="77777777" w:rsidR="00EC4447" w:rsidRPr="002B7F8B" w:rsidRDefault="00D570E2">
      <w:pPr>
        <w:spacing w:line="360" w:lineRule="auto"/>
        <w:jc w:val="both"/>
        <w:rPr>
          <w:rFonts w:ascii="Palatino Linotype" w:eastAsia="Palatino Linotype" w:hAnsi="Palatino Linotype" w:cs="Palatino Linotype"/>
          <w:b/>
          <w:i/>
          <w:u w:val="single"/>
        </w:rPr>
      </w:pPr>
      <w:r w:rsidRPr="002B7F8B">
        <w:rPr>
          <w:rFonts w:ascii="Palatino Linotype" w:eastAsia="Palatino Linotype" w:hAnsi="Palatino Linotype" w:cs="Palatino Linotype"/>
          <w:b/>
          <w:i/>
          <w:u w:val="single"/>
        </w:rPr>
        <w:t>Recurso de revisión número 00807/INFOEM/IP/RR/2022.</w:t>
      </w:r>
    </w:p>
    <w:p w14:paraId="4DC9646B" w14:textId="77777777" w:rsidR="00EC4447" w:rsidRPr="002B7F8B" w:rsidRDefault="00EC4447">
      <w:pPr>
        <w:spacing w:line="360" w:lineRule="auto"/>
        <w:jc w:val="both"/>
        <w:rPr>
          <w:rFonts w:ascii="Palatino Linotype" w:eastAsia="Palatino Linotype" w:hAnsi="Palatino Linotype" w:cs="Palatino Linotype"/>
          <w:b/>
        </w:rPr>
      </w:pPr>
    </w:p>
    <w:p w14:paraId="421E2960"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b/>
        </w:rPr>
        <w:t>EL SUJETO OBLIGADO</w:t>
      </w:r>
      <w:r w:rsidRPr="002B7F8B">
        <w:rPr>
          <w:rFonts w:ascii="Palatino Linotype" w:eastAsia="Palatino Linotype" w:hAnsi="Palatino Linotype" w:cs="Palatino Linotype"/>
        </w:rPr>
        <w:t>, dio respuesta por medio del Director General de Desarrollo Urbano que, según ​​a las facultades y atribuciones que le confieren los artículos 163 al 174 del Bando Municipal de Chimalhuacán, Estado de México, publicado en la Gaceta Municipal de Chimalhuacán en fecha cinco de febrero del año dos mil veintidós, Año 1, Número 02, Volumen 1/1; no tiene dentro de sus facultades el regular los actos de comercio en circunscripción municipal de los establecimientos comerciales, de sus actividades económicas, ni de su forma de transportar sus productos; motivo por el cual, no es posible brindar la información solicitada</w:t>
      </w:r>
    </w:p>
    <w:p w14:paraId="1A260CD0" w14:textId="77777777" w:rsidR="00EC4447" w:rsidRPr="002B7F8B" w:rsidRDefault="00EC4447">
      <w:pPr>
        <w:tabs>
          <w:tab w:val="left" w:pos="709"/>
        </w:tabs>
        <w:spacing w:line="360" w:lineRule="auto"/>
        <w:jc w:val="both"/>
        <w:rPr>
          <w:rFonts w:ascii="Palatino Linotype" w:eastAsia="Palatino Linotype" w:hAnsi="Palatino Linotype" w:cs="Palatino Linotype"/>
        </w:rPr>
      </w:pPr>
    </w:p>
    <w:p w14:paraId="40C63F3C" w14:textId="77777777" w:rsidR="00EC4447" w:rsidRPr="002B7F8B" w:rsidRDefault="00D570E2">
      <w:pPr>
        <w:tabs>
          <w:tab w:val="left" w:pos="709"/>
        </w:tabs>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lastRenderedPageBreak/>
        <w:t xml:space="preserve">Sustentando dicha respuesta  en los artículos 163, 164, 165, 166, 168 , 169, 170, 171, 172, 173 y 174 del Bando Municipal de Chimalhuacán. De los cuales se advierten las facultades atribuidas a la Dirección de Desarrollo Urbano y Obras Públicas, en específico sobre el rubro de Desarrollo Urbano. Siendo importante rescatar el contenido de los siguientes artículos: </w:t>
      </w:r>
    </w:p>
    <w:p w14:paraId="1074B911"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b/>
          <w:i/>
          <w:sz w:val="22"/>
          <w:szCs w:val="22"/>
        </w:rPr>
        <w:t>“Artículo 163.-</w:t>
      </w:r>
      <w:r w:rsidRPr="002B7F8B">
        <w:rPr>
          <w:rFonts w:ascii="Palatino Linotype" w:eastAsia="Palatino Linotype" w:hAnsi="Palatino Linotype" w:cs="Palatino Linotype"/>
          <w:i/>
          <w:sz w:val="22"/>
          <w:szCs w:val="22"/>
        </w:rPr>
        <w:t xml:space="preserve"> En materia de desarrollo urbano, el Ayuntamiento tendrá las atribuciones siguientes: </w:t>
      </w:r>
    </w:p>
    <w:p w14:paraId="68EC739A"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I. Formular, aprobar, ejecutar, evaluar y modificar el Plan Municipal de Desarrollo Urbano y los parciales que de él deriven; </w:t>
      </w:r>
    </w:p>
    <w:p w14:paraId="521BBE26"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II. Participar en la elaboración o modificación del respectivo Plan Regional de Desarrollo Urbano o de los parciales que de éste deriven, cuando incluya parte o la totalidad del territorio; </w:t>
      </w:r>
    </w:p>
    <w:p w14:paraId="0D5AA487"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III. Aprobar los proyectos ejecutivos, las memorias de cálculo y las especificaciones técnicas de las obras de infraestructura hidráulica y de urbanización, que establezcan los acuerdos de autorización de conjuntos urbanos, subdivisiones y condominios, con excepción de los proyectos que sean de competencia de las autoridades Estatales o Federales; </w:t>
      </w:r>
    </w:p>
    <w:p w14:paraId="69669805"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IV. Supervisar la ejecución de las obras de urbanización e infraestructura hidráulica que establezcan los acuerdos de autorización de conjuntos urbanos, subdivisiones y condominios, que sean de su ámbito de competencia; V. Recibir, conservar, operar, recuperar y preservar las áreas de donación establecidas a favor del municipio, para que el Ayuntamiento determine sus usos y destinos, así como las obras de urbanización, infraestructura y equipamiento de los conjuntos urbanos, subdivisiones y condominios conforme al Código Administrativo del Estado de México y su reglamentación; </w:t>
      </w:r>
    </w:p>
    <w:p w14:paraId="1FE2F4E0"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VI. Expedir Cédulas informativas de zonificación, Licencias de uso de suelo y Licencias de construcción; </w:t>
      </w:r>
    </w:p>
    <w:p w14:paraId="60D8EEEB"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VII. Autorizar cambios de uso del suelo, del coeficiente de ocupación, del coeficiente de utilización, densidad y altura de edificaciones; </w:t>
      </w:r>
    </w:p>
    <w:p w14:paraId="7D529A63"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VIII. Autorizar, controlar y vigilar la utilización del suelo con fines urbanos, en su circunscripción territorial;</w:t>
      </w:r>
    </w:p>
    <w:p w14:paraId="64F9D32E"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 IX. Difundir el Plan Municipal de Desarrollo Urbano, así como los trámites para obtener las autorizaciones y licencias de su competencia; X. Participar en los órganos de coordinación estatal, regional y metropolitana, en materia de ordenamiento </w:t>
      </w:r>
      <w:r w:rsidRPr="002B7F8B">
        <w:rPr>
          <w:rFonts w:ascii="Palatino Linotype" w:eastAsia="Palatino Linotype" w:hAnsi="Palatino Linotype" w:cs="Palatino Linotype"/>
          <w:i/>
          <w:sz w:val="22"/>
          <w:szCs w:val="22"/>
        </w:rPr>
        <w:lastRenderedPageBreak/>
        <w:t xml:space="preserve">territorial de los asentamientos humanos, desarrollo urbano de los centros de población y vivienda; </w:t>
      </w:r>
    </w:p>
    <w:p w14:paraId="5F27786E"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XI. Participar en la creación y administración de sus reservas territoriales para el desarrollo urbano y la vivienda; </w:t>
      </w:r>
    </w:p>
    <w:p w14:paraId="0844034F"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XII. Ejercer indistintamente con el Estado, el derecho de preferencia para adquirir en igualdad de condiciones, predios comprendidos en las áreas urbanizables señaladas en los planes o programas de desarrollo urbano aplicables, cuando éstos vayan a ser objeto de enajenación a título oneroso; </w:t>
      </w:r>
    </w:p>
    <w:p w14:paraId="343F9E07"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XIII. Crear órganos técnicos de participación social, consulta, coordinación, evaluación y seguimiento municipal o vecinal en materia de desarrollo urbano; </w:t>
      </w:r>
    </w:p>
    <w:p w14:paraId="079E5274"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XIV. Celebrar convenios, acuerdos y contratos en la materia; </w:t>
      </w:r>
    </w:p>
    <w:p w14:paraId="5FCDF2CC"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XV. Emitir dictámenes, factibilidades y opiniones técnicas del ámbito de su competencia; </w:t>
      </w:r>
    </w:p>
    <w:p w14:paraId="7AE860F6"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XVI. Establecer medidas y ejecutar acciones para evitar asentamientos humanos irregulares; </w:t>
      </w:r>
    </w:p>
    <w:p w14:paraId="3FDCA9F0"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XVII. Intervenir en la regularización de la tenencia de la tierra; </w:t>
      </w:r>
    </w:p>
    <w:p w14:paraId="0F703DAC"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XVIII. Expedir los reglamentos y disposiciones administrativas de su competencia, de conformidad con lo dispuesto por el Código Administrativo del Estado de México y su reglamentación; </w:t>
      </w:r>
    </w:p>
    <w:p w14:paraId="5FFAAF06"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XIX. Vigilar, conforme a su competencia, el cumplimiento del Libro Quinto del Código Administrativo del Estado de México y sus disposiciones reglamentarias, del Plan de desarrollo Municipal, Plan Municipal de Desarrollo Urbano de Chimalhuacán, de las disposiciones administrativas y reglamentarias que emita en la materia y de las autorizaciones y licencias que otorgue; </w:t>
      </w:r>
    </w:p>
    <w:p w14:paraId="2F195438"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XX.- Determinar infracciones de los particulares a las disposiciones del Código Administrativo del Estado de México y de su reglamentación e imponer las medidas de seguridad y sanciones que establece el Libro Quinto del ordenamiento referido; </w:t>
      </w:r>
    </w:p>
    <w:p w14:paraId="79C0B66A"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XXI.- Expedir la constancia de alineamiento y número oficial para los bienes inmuebles dentro del municipio, así como regular los procedimientos para revisar, proponer, asignar y modificar la nomenclatura de los bienes inmuebles y los de uso común; y </w:t>
      </w:r>
    </w:p>
    <w:p w14:paraId="71230B0C"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XXII.- Las demás que le confieran el Código Administrativo del Estado de México y otras disposiciones jurídicas aplicables. “</w:t>
      </w:r>
    </w:p>
    <w:p w14:paraId="686BC604"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(Énfasis añadido)</w:t>
      </w:r>
    </w:p>
    <w:p w14:paraId="09986EA2" w14:textId="77777777" w:rsidR="00EC4447" w:rsidRPr="002B7F8B" w:rsidRDefault="00EC4447">
      <w:pPr>
        <w:tabs>
          <w:tab w:val="left" w:pos="709"/>
        </w:tabs>
        <w:spacing w:line="360" w:lineRule="auto"/>
        <w:jc w:val="both"/>
        <w:rPr>
          <w:rFonts w:ascii="Palatino Linotype" w:eastAsia="Palatino Linotype" w:hAnsi="Palatino Linotype" w:cs="Palatino Linotype"/>
        </w:rPr>
      </w:pPr>
    </w:p>
    <w:p w14:paraId="37D8F4E6" w14:textId="77777777" w:rsidR="00EC4447" w:rsidRPr="002B7F8B" w:rsidRDefault="00D570E2">
      <w:pPr>
        <w:tabs>
          <w:tab w:val="left" w:pos="709"/>
        </w:tabs>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lastRenderedPageBreak/>
        <w:t xml:space="preserve">El artículo 163 antes citado enlista las atribuciones del Ayuntamiento en materia de Desarrollo Urbano mismas que abarcan desde la elaboración del Plan municipal de Desarrollo, hasta la expedición de licencias de uso de suelo, reservas territoriales, constancias de alineamiento, entre otras. </w:t>
      </w:r>
    </w:p>
    <w:p w14:paraId="1937F04D" w14:textId="77777777" w:rsidR="00EC4447" w:rsidRPr="002B7F8B" w:rsidRDefault="00EC4447">
      <w:pPr>
        <w:tabs>
          <w:tab w:val="left" w:pos="709"/>
        </w:tabs>
        <w:spacing w:line="360" w:lineRule="auto"/>
        <w:jc w:val="both"/>
        <w:rPr>
          <w:rFonts w:ascii="Palatino Linotype" w:eastAsia="Palatino Linotype" w:hAnsi="Palatino Linotype" w:cs="Palatino Linotype"/>
        </w:rPr>
      </w:pPr>
    </w:p>
    <w:p w14:paraId="120A7E29" w14:textId="77777777" w:rsidR="00EC4447" w:rsidRPr="002B7F8B" w:rsidRDefault="00D570E2">
      <w:pPr>
        <w:tabs>
          <w:tab w:val="left" w:pos="709"/>
        </w:tabs>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Así pues el Bando municipal en comento señala que para llevar a cabo dichas funciones se integrará la Dirección de Desarrollo Urbano y Obra Pública, misma que estará encargada de aplicar los ordenamientos en materia de desarrollo urbano y llevar a cabo las medidas necesaria en contra de las infracciones a las mismas como se puede apreciar del su artículo 164 que a la letra dice: </w:t>
      </w:r>
    </w:p>
    <w:p w14:paraId="3796A99C" w14:textId="77777777" w:rsidR="00EC4447" w:rsidRPr="002B7F8B" w:rsidRDefault="00EC4447">
      <w:pPr>
        <w:tabs>
          <w:tab w:val="left" w:pos="709"/>
        </w:tabs>
        <w:ind w:left="850" w:right="899"/>
        <w:jc w:val="both"/>
        <w:rPr>
          <w:rFonts w:ascii="Palatino Linotype" w:eastAsia="Palatino Linotype" w:hAnsi="Palatino Linotype" w:cs="Palatino Linotype"/>
          <w:i/>
          <w:sz w:val="22"/>
          <w:szCs w:val="22"/>
        </w:rPr>
      </w:pPr>
    </w:p>
    <w:p w14:paraId="29F5A0C9"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w:t>
      </w:r>
      <w:r w:rsidRPr="002B7F8B">
        <w:rPr>
          <w:rFonts w:ascii="Palatino Linotype" w:eastAsia="Palatino Linotype" w:hAnsi="Palatino Linotype" w:cs="Palatino Linotype"/>
          <w:b/>
          <w:i/>
          <w:sz w:val="22"/>
          <w:szCs w:val="22"/>
        </w:rPr>
        <w:t>Artículo 164.-</w:t>
      </w:r>
      <w:r w:rsidRPr="002B7F8B">
        <w:rPr>
          <w:rFonts w:ascii="Palatino Linotype" w:eastAsia="Palatino Linotype" w:hAnsi="Palatino Linotype" w:cs="Palatino Linotype"/>
          <w:i/>
          <w:sz w:val="22"/>
          <w:szCs w:val="22"/>
        </w:rPr>
        <w:t xml:space="preserve"> La Dirección General de Desarrollo Urbano será la dependencia encargada de aplicar las disposiciones en materia de desarrollo urbano, de conformidad con lo establecido en el Código Administrativo del Estado de México y su reglamentación, el Código para la Biodiversidad del Estado de México y demás disposiciones legales aplicables, sin perjuicio de las que conforme a la ley deban ser ejercidas directamente por el Ayuntamiento o por la Presidente Municipal, facultándose al titular de la Dirección General de Desarrollo Urbano para habilitar a los servidores públicos que de ella dependan en funciones, cargos o comisiones inherentes al servicio público correspondiente en materia de desarrollo urbano.”</w:t>
      </w:r>
    </w:p>
    <w:p w14:paraId="4F261410"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(Énfasis añadido)</w:t>
      </w:r>
    </w:p>
    <w:p w14:paraId="02DC89E0" w14:textId="77777777" w:rsidR="00EC4447" w:rsidRPr="002B7F8B" w:rsidRDefault="00EC4447">
      <w:pPr>
        <w:tabs>
          <w:tab w:val="left" w:pos="709"/>
        </w:tabs>
        <w:ind w:left="850" w:right="899"/>
        <w:jc w:val="both"/>
        <w:rPr>
          <w:rFonts w:ascii="Palatino Linotype" w:eastAsia="Palatino Linotype" w:hAnsi="Palatino Linotype" w:cs="Palatino Linotype"/>
        </w:rPr>
      </w:pPr>
    </w:p>
    <w:p w14:paraId="61A2049B" w14:textId="77777777" w:rsidR="00EC4447" w:rsidRPr="002B7F8B" w:rsidRDefault="00D570E2">
      <w:pPr>
        <w:tabs>
          <w:tab w:val="left" w:pos="709"/>
        </w:tabs>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Luego entonces, toda vez que la petición realizada versa sobre una materia a las cuales comprenden las facultades de la Dirección de Desarrollo Urbano y Obra Pública se puede concluir que la misma, no es competente para conocer de la información solicitada. </w:t>
      </w:r>
    </w:p>
    <w:p w14:paraId="1F978AED" w14:textId="77777777" w:rsidR="00EC4447" w:rsidRPr="002B7F8B" w:rsidRDefault="00EC4447">
      <w:pPr>
        <w:tabs>
          <w:tab w:val="left" w:pos="709"/>
        </w:tabs>
        <w:spacing w:line="360" w:lineRule="auto"/>
        <w:jc w:val="both"/>
        <w:rPr>
          <w:rFonts w:ascii="Palatino Linotype" w:eastAsia="Palatino Linotype" w:hAnsi="Palatino Linotype" w:cs="Palatino Linotype"/>
        </w:rPr>
      </w:pPr>
    </w:p>
    <w:p w14:paraId="13B95DB3" w14:textId="77777777" w:rsidR="00EC4447" w:rsidRPr="002B7F8B" w:rsidRDefault="00D570E2">
      <w:pPr>
        <w:tabs>
          <w:tab w:val="left" w:pos="709"/>
        </w:tabs>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lastRenderedPageBreak/>
        <w:t xml:space="preserve">Por otra parte de lo señalado en líneas previas se puede observar que el servidor público habilitado que dio respuesta conforme a sus competencias fue la Jefa del Departamento de Comercio Establecido, por lo que es evidente que la solicitud de información materia del presente estudio no fue turnada al área adecuada, que por sus funciones puede conocer de la información solicitada. </w:t>
      </w:r>
    </w:p>
    <w:p w14:paraId="494C46F6" w14:textId="77777777" w:rsidR="00EC4447" w:rsidRPr="002B7F8B" w:rsidRDefault="00EC4447">
      <w:pPr>
        <w:tabs>
          <w:tab w:val="left" w:pos="709"/>
        </w:tabs>
        <w:spacing w:line="360" w:lineRule="auto"/>
        <w:jc w:val="both"/>
        <w:rPr>
          <w:rFonts w:ascii="Palatino Linotype" w:eastAsia="Palatino Linotype" w:hAnsi="Palatino Linotype" w:cs="Palatino Linotype"/>
        </w:rPr>
      </w:pPr>
    </w:p>
    <w:p w14:paraId="0E4B2848" w14:textId="77777777" w:rsidR="00EC4447" w:rsidRPr="002B7F8B" w:rsidRDefault="00D570E2">
      <w:pPr>
        <w:tabs>
          <w:tab w:val="left" w:pos="709"/>
        </w:tabs>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En tal sentido, es necesario tomar en cuenta las siguientes disposiciones de la Ley de la materia.</w:t>
      </w:r>
    </w:p>
    <w:p w14:paraId="74550E9F" w14:textId="77777777" w:rsidR="00EC4447" w:rsidRPr="002B7F8B" w:rsidRDefault="00EC4447">
      <w:pPr>
        <w:ind w:left="851" w:right="901"/>
        <w:jc w:val="both"/>
        <w:rPr>
          <w:rFonts w:ascii="Palatino Linotype" w:eastAsia="Palatino Linotype" w:hAnsi="Palatino Linotype" w:cs="Palatino Linotype"/>
          <w:i/>
          <w:sz w:val="22"/>
          <w:szCs w:val="22"/>
        </w:rPr>
      </w:pPr>
    </w:p>
    <w:p w14:paraId="7E1EDA00"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w:t>
      </w:r>
      <w:r w:rsidRPr="002B7F8B">
        <w:rPr>
          <w:rFonts w:ascii="Palatino Linotype" w:eastAsia="Palatino Linotype" w:hAnsi="Palatino Linotype" w:cs="Palatino Linotype"/>
          <w:b/>
          <w:i/>
          <w:sz w:val="22"/>
          <w:szCs w:val="22"/>
        </w:rPr>
        <w:t>Artículo 50.</w:t>
      </w:r>
      <w:r w:rsidRPr="002B7F8B">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009E361A" w14:textId="77777777" w:rsidR="00EC4447" w:rsidRPr="002B7F8B" w:rsidRDefault="00EC4447">
      <w:pPr>
        <w:ind w:left="567" w:right="618"/>
        <w:jc w:val="both"/>
        <w:rPr>
          <w:rFonts w:ascii="Palatino Linotype" w:eastAsia="Palatino Linotype" w:hAnsi="Palatino Linotype" w:cs="Palatino Linotype"/>
          <w:i/>
          <w:sz w:val="22"/>
          <w:szCs w:val="22"/>
        </w:rPr>
      </w:pPr>
    </w:p>
    <w:p w14:paraId="508E3FE9"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b/>
          <w:i/>
          <w:sz w:val="22"/>
          <w:szCs w:val="22"/>
        </w:rPr>
        <w:t>Artículo 51</w:t>
      </w:r>
      <w:r w:rsidRPr="002B7F8B">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C36BDE3" w14:textId="77777777" w:rsidR="00EC4447" w:rsidRPr="002B7F8B" w:rsidRDefault="00EC4447">
      <w:pPr>
        <w:ind w:left="567" w:right="618"/>
        <w:jc w:val="both"/>
        <w:rPr>
          <w:rFonts w:ascii="Palatino Linotype" w:eastAsia="Palatino Linotype" w:hAnsi="Palatino Linotype" w:cs="Palatino Linotype"/>
          <w:i/>
          <w:sz w:val="22"/>
          <w:szCs w:val="22"/>
        </w:rPr>
      </w:pPr>
    </w:p>
    <w:p w14:paraId="5B1F9683"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b/>
          <w:i/>
          <w:sz w:val="22"/>
          <w:szCs w:val="22"/>
        </w:rPr>
        <w:t>Artículo 53</w:t>
      </w:r>
      <w:r w:rsidRPr="002B7F8B">
        <w:rPr>
          <w:rFonts w:ascii="Palatino Linotype" w:eastAsia="Palatino Linotype" w:hAnsi="Palatino Linotype" w:cs="Palatino Linotype"/>
          <w:i/>
          <w:sz w:val="22"/>
          <w:szCs w:val="22"/>
        </w:rPr>
        <w:t>. Las Unidades de Transparencia tendrán las siguientes funciones:</w:t>
      </w:r>
    </w:p>
    <w:p w14:paraId="65DE12E7"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138816AA" w14:textId="77777777" w:rsidR="00EC4447" w:rsidRPr="002B7F8B" w:rsidRDefault="00D570E2">
      <w:pPr>
        <w:ind w:left="851" w:right="901"/>
        <w:jc w:val="both"/>
        <w:rPr>
          <w:rFonts w:ascii="Palatino Linotype" w:eastAsia="Palatino Linotype" w:hAnsi="Palatino Linotype" w:cs="Palatino Linotype"/>
          <w:b/>
          <w:i/>
          <w:sz w:val="22"/>
          <w:szCs w:val="22"/>
        </w:rPr>
      </w:pPr>
      <w:r w:rsidRPr="002B7F8B">
        <w:rPr>
          <w:rFonts w:ascii="Palatino Linotype" w:eastAsia="Palatino Linotype" w:hAnsi="Palatino Linotype" w:cs="Palatino Linotype"/>
          <w:b/>
          <w:i/>
          <w:sz w:val="22"/>
          <w:szCs w:val="22"/>
        </w:rPr>
        <w:t xml:space="preserve">II. Recibir, </w:t>
      </w:r>
      <w:r w:rsidRPr="002B7F8B">
        <w:rPr>
          <w:rFonts w:ascii="Palatino Linotype" w:eastAsia="Palatino Linotype" w:hAnsi="Palatino Linotype" w:cs="Palatino Linotype"/>
          <w:b/>
          <w:i/>
          <w:sz w:val="22"/>
          <w:szCs w:val="22"/>
          <w:u w:val="single"/>
        </w:rPr>
        <w:t>tramitar</w:t>
      </w:r>
      <w:r w:rsidRPr="002B7F8B">
        <w:rPr>
          <w:rFonts w:ascii="Palatino Linotype" w:eastAsia="Palatino Linotype" w:hAnsi="Palatino Linotype" w:cs="Palatino Linotype"/>
          <w:b/>
          <w:i/>
          <w:sz w:val="22"/>
          <w:szCs w:val="22"/>
        </w:rPr>
        <w:t xml:space="preserve"> y dar respuesta a las solicitudes de acceso a la información;</w:t>
      </w:r>
    </w:p>
    <w:p w14:paraId="66DA3D10"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14:paraId="5D658FB0"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lastRenderedPageBreak/>
        <w:t>IV. Realizar, con efectividad, los trámites internos necesarios para la atención de las solicitudes de acceso a la información;</w:t>
      </w:r>
    </w:p>
    <w:p w14:paraId="1C463CF7"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V. Entregar, en su caso, a los particulares la información solicitada;</w:t>
      </w:r>
    </w:p>
    <w:p w14:paraId="4D9D8408"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VI. Efectuar las notificaciones a los solicitantes;</w:t>
      </w:r>
    </w:p>
    <w:p w14:paraId="2EDEF881"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14:paraId="3AF03F49"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14:paraId="2DB8A5DE"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1FC00107"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X. Presentar ante el Comité, el proyecto de clasificación de información;</w:t>
      </w:r>
    </w:p>
    <w:p w14:paraId="23F4390B"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XI. Promover e implementar políticas de transparencia proactiva procurando su accesibilidad;</w:t>
      </w:r>
    </w:p>
    <w:p w14:paraId="6B3D2A1E"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XII. Fomentar la transparencia y accesibilidad al interior del sujeto obligado;</w:t>
      </w:r>
    </w:p>
    <w:p w14:paraId="2485B9E9"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14:paraId="3939E09C"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7C6A86A7"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DBCA789"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6973F7C7" w14:textId="77777777" w:rsidR="00EC4447" w:rsidRPr="002B7F8B" w:rsidRDefault="00EC4447">
      <w:pPr>
        <w:ind w:left="567" w:right="618"/>
        <w:jc w:val="both"/>
        <w:rPr>
          <w:rFonts w:ascii="Palatino Linotype" w:eastAsia="Palatino Linotype" w:hAnsi="Palatino Linotype" w:cs="Palatino Linotype"/>
          <w:i/>
          <w:sz w:val="22"/>
          <w:szCs w:val="22"/>
        </w:rPr>
      </w:pPr>
    </w:p>
    <w:p w14:paraId="20F5724C"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b/>
          <w:i/>
          <w:sz w:val="22"/>
          <w:szCs w:val="22"/>
        </w:rPr>
        <w:t>Artículo 59</w:t>
      </w:r>
      <w:r w:rsidRPr="002B7F8B">
        <w:rPr>
          <w:rFonts w:ascii="Palatino Linotype" w:eastAsia="Palatino Linotype" w:hAnsi="Palatino Linotype" w:cs="Palatino Linotype"/>
          <w:i/>
          <w:sz w:val="22"/>
          <w:szCs w:val="22"/>
        </w:rPr>
        <w:t>. Los servidores públicos habilitados tendrán las funciones siguientes:</w:t>
      </w:r>
    </w:p>
    <w:p w14:paraId="032EA1C2"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I. Localizar la información que le solicite la Unidad de Transparencia;</w:t>
      </w:r>
    </w:p>
    <w:p w14:paraId="2F004248"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lastRenderedPageBreak/>
        <w:t>II. Proporcionar la información que obre en los archivos y que le sea solicitada por la Unidad de Transparencia;</w:t>
      </w:r>
    </w:p>
    <w:p w14:paraId="37FB7D7B"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III. Apoyar a la Unidad de Transparencia en lo que esta le solicite para el cumplimiento de sus funciones;</w:t>
      </w:r>
    </w:p>
    <w:p w14:paraId="4609A070"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IV. Proporcionar a la Unidad de Transparencia, las modificaciones a la información pública de oficio que obre en su poder;</w:t>
      </w:r>
    </w:p>
    <w:p w14:paraId="7A5CD0D6"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55C48E03"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VI. Verificar, una vez analizado el contenido de la información, que no se encuentre en los supuestos de información clasificada; y</w:t>
      </w:r>
    </w:p>
    <w:p w14:paraId="7088F50F"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VII. Dar cuenta a la Unidad de Transparencia del vencimiento de los plazos de reserva.</w:t>
      </w:r>
    </w:p>
    <w:p w14:paraId="512E36D6" w14:textId="77777777" w:rsidR="00EC4447" w:rsidRPr="002B7F8B" w:rsidRDefault="00EC4447">
      <w:pPr>
        <w:ind w:left="567" w:right="618"/>
        <w:jc w:val="both"/>
        <w:rPr>
          <w:rFonts w:ascii="Palatino Linotype" w:eastAsia="Palatino Linotype" w:hAnsi="Palatino Linotype" w:cs="Palatino Linotype"/>
          <w:i/>
          <w:sz w:val="22"/>
          <w:szCs w:val="22"/>
        </w:rPr>
      </w:pPr>
    </w:p>
    <w:p w14:paraId="74FA8947"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b/>
          <w:i/>
          <w:sz w:val="22"/>
          <w:szCs w:val="22"/>
        </w:rPr>
        <w:t>Artículo 162</w:t>
      </w:r>
      <w:r w:rsidRPr="002B7F8B">
        <w:rPr>
          <w:rFonts w:ascii="Palatino Linotype" w:eastAsia="Palatino Linotype" w:hAnsi="Palatino Linotype" w:cs="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A716B51" w14:textId="77777777" w:rsidR="00EC4447" w:rsidRPr="002B7F8B" w:rsidRDefault="00D570E2">
      <w:pPr>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(Énfasis añadido)</w:t>
      </w:r>
    </w:p>
    <w:p w14:paraId="7C2EEC72" w14:textId="77777777" w:rsidR="00EC4447" w:rsidRPr="002B7F8B" w:rsidRDefault="00EC4447">
      <w:pPr>
        <w:jc w:val="both"/>
        <w:rPr>
          <w:rFonts w:ascii="Palatino Linotype" w:eastAsia="Palatino Linotype" w:hAnsi="Palatino Linotype" w:cs="Palatino Linotype"/>
        </w:rPr>
      </w:pPr>
    </w:p>
    <w:p w14:paraId="2F31D271"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2B7F8B">
        <w:rPr>
          <w:rFonts w:ascii="Palatino Linotype" w:eastAsia="Palatino Linotype" w:hAnsi="Palatino Linotype" w:cs="Palatino Linotype"/>
          <w:b/>
        </w:rPr>
        <w:t>EL SUJETO OBLIGADO</w:t>
      </w:r>
      <w:r w:rsidRPr="002B7F8B">
        <w:rPr>
          <w:rFonts w:ascii="Palatino Linotype" w:eastAsia="Palatino Linotype" w:hAnsi="Palatino Linotype" w:cs="Palatino Linotype"/>
        </w:rPr>
        <w:t xml:space="preserve"> y los solicitantes, y tiene bajo su responsabilidad el tramitar internamente la solicitud de información.</w:t>
      </w:r>
    </w:p>
    <w:p w14:paraId="25630ACD" w14:textId="77777777" w:rsidR="00EC4447" w:rsidRPr="002B7F8B" w:rsidRDefault="00EC4447">
      <w:pPr>
        <w:spacing w:line="360" w:lineRule="auto"/>
        <w:ind w:left="426"/>
        <w:jc w:val="both"/>
        <w:rPr>
          <w:rFonts w:ascii="Palatino Linotype" w:eastAsia="Palatino Linotype" w:hAnsi="Palatino Linotype" w:cs="Palatino Linotype"/>
        </w:rPr>
      </w:pPr>
    </w:p>
    <w:p w14:paraId="63A21477"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Por lo que, si bien, el Titular de la Unidad de Transparencia no tiene bajo su resguardo el archivo que contiene la documentación en donde consta la información solicitada, sino que pudiera obrar en las distintas áreas que conforman la estructura del </w:t>
      </w:r>
      <w:r w:rsidRPr="002B7F8B">
        <w:rPr>
          <w:rFonts w:ascii="Palatino Linotype" w:eastAsia="Palatino Linotype" w:hAnsi="Palatino Linotype" w:cs="Palatino Linotype"/>
          <w:b/>
        </w:rPr>
        <w:t xml:space="preserve">SUJETO OBLIGADO; </w:t>
      </w:r>
      <w:r w:rsidRPr="002B7F8B">
        <w:rPr>
          <w:rFonts w:ascii="Palatino Linotype" w:eastAsia="Palatino Linotype" w:hAnsi="Palatino Linotype" w:cs="Palatino Linotype"/>
        </w:rPr>
        <w:t xml:space="preserve">es por ello que, debe turnar la solicitud a todas las áreas que pudieran </w:t>
      </w:r>
      <w:r w:rsidRPr="002B7F8B">
        <w:rPr>
          <w:rFonts w:ascii="Palatino Linotype" w:eastAsia="Palatino Linotype" w:hAnsi="Palatino Linotype" w:cs="Palatino Linotype"/>
        </w:rPr>
        <w:lastRenderedPageBreak/>
        <w:t>generar, administrar o poseer la información requerida por la particular; pues tienen como función, buscar, localizar y poseer la información, así como entregarla.</w:t>
      </w:r>
    </w:p>
    <w:p w14:paraId="5BF809B2" w14:textId="77777777" w:rsidR="00EC4447" w:rsidRPr="002B7F8B" w:rsidRDefault="00EC4447">
      <w:pPr>
        <w:spacing w:line="360" w:lineRule="auto"/>
        <w:jc w:val="both"/>
        <w:rPr>
          <w:rFonts w:ascii="Palatino Linotype" w:eastAsia="Palatino Linotype" w:hAnsi="Palatino Linotype" w:cs="Palatino Linotype"/>
        </w:rPr>
      </w:pPr>
    </w:p>
    <w:p w14:paraId="5598E427"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65759AFC"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No obstante de la investigación realizada por esta Ponencia Resolutora se advierte que el Reglamento de Gas Licuado de Petróleo señalado tanto por la particular como por la Jefa del Departamento de Comercio Establecido contiene en su capítulo XX las sanciones a las cuales serán acreedores las personas que infrinjan los disposiciones de la materia, resaltando para el caso que nos ocupa las siguientes: </w:t>
      </w:r>
    </w:p>
    <w:p w14:paraId="6BC7A82F" w14:textId="77777777" w:rsidR="00EC4447" w:rsidRPr="002B7F8B" w:rsidRDefault="00D570E2">
      <w:pPr>
        <w:tabs>
          <w:tab w:val="left" w:pos="709"/>
        </w:tabs>
        <w:ind w:left="850" w:right="899"/>
        <w:jc w:val="both"/>
        <w:rPr>
          <w:rFonts w:ascii="Palatino Linotype" w:eastAsia="Palatino Linotype" w:hAnsi="Palatino Linotype" w:cs="Palatino Linotype"/>
          <w:b/>
          <w:i/>
          <w:sz w:val="22"/>
          <w:szCs w:val="22"/>
          <w:u w:val="single"/>
        </w:rPr>
      </w:pPr>
      <w:r w:rsidRPr="002B7F8B">
        <w:rPr>
          <w:rFonts w:ascii="Palatino Linotype" w:eastAsia="Palatino Linotype" w:hAnsi="Palatino Linotype" w:cs="Palatino Linotype"/>
          <w:b/>
          <w:i/>
          <w:sz w:val="22"/>
          <w:szCs w:val="22"/>
          <w:u w:val="single"/>
        </w:rPr>
        <w:t xml:space="preserve">“CAPÍTULO XX. </w:t>
      </w:r>
    </w:p>
    <w:p w14:paraId="658C0FD4" w14:textId="77777777" w:rsidR="00EC4447" w:rsidRPr="002B7F8B" w:rsidRDefault="00D570E2">
      <w:pPr>
        <w:tabs>
          <w:tab w:val="left" w:pos="709"/>
        </w:tabs>
        <w:ind w:left="850" w:right="899"/>
        <w:jc w:val="both"/>
        <w:rPr>
          <w:rFonts w:ascii="Palatino Linotype" w:eastAsia="Palatino Linotype" w:hAnsi="Palatino Linotype" w:cs="Palatino Linotype"/>
          <w:b/>
          <w:i/>
          <w:sz w:val="22"/>
          <w:szCs w:val="22"/>
          <w:u w:val="single"/>
        </w:rPr>
      </w:pPr>
      <w:r w:rsidRPr="002B7F8B">
        <w:rPr>
          <w:rFonts w:ascii="Palatino Linotype" w:eastAsia="Palatino Linotype" w:hAnsi="Palatino Linotype" w:cs="Palatino Linotype"/>
          <w:b/>
          <w:i/>
          <w:sz w:val="22"/>
          <w:szCs w:val="22"/>
          <w:u w:val="single"/>
        </w:rPr>
        <w:t xml:space="preserve">SANCIONES </w:t>
      </w:r>
    </w:p>
    <w:p w14:paraId="4948227D"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b/>
          <w:i/>
          <w:sz w:val="22"/>
          <w:szCs w:val="22"/>
        </w:rPr>
        <w:t>Artículo 101.</w:t>
      </w:r>
      <w:r w:rsidRPr="002B7F8B">
        <w:rPr>
          <w:rFonts w:ascii="Palatino Linotype" w:eastAsia="Palatino Linotype" w:hAnsi="Palatino Linotype" w:cs="Palatino Linotype"/>
          <w:i/>
          <w:sz w:val="22"/>
          <w:szCs w:val="22"/>
        </w:rPr>
        <w:t xml:space="preserve">- Los procedimientos administrativos que se deriven de incumplimientos a las disposiciones de la Ley, de este Reglamento, de las Normas Oficiales Mexicanas, los títulos de los permisos respectivos y demás disposiciones aplicables en la materia, serán iniciados por la Secretaría o la Comisión, según corresponda, a través de los medios y formatos que dichas instancias determinen, incluyendo medios electrónicos. Lo anterior, en términos de lo dispuesto en la Ley Federal de Procedimiento Administrativo. Los incumplimientos referidos en el párrafo anterior, serán sancionados administrativamente por la Secretaría o la Comisión, en el ámbito de sus atribuciones, de conformidad a lo dispuesto por el primer párrafo del artículo 15 de la Ley, de la manera siguiente: </w:t>
      </w:r>
    </w:p>
    <w:p w14:paraId="6F5FF384"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w:t>
      </w:r>
    </w:p>
    <w:p w14:paraId="4F0E148D"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b/>
          <w:i/>
          <w:sz w:val="22"/>
          <w:szCs w:val="22"/>
        </w:rPr>
        <w:t>III. Por prestar el servicio de Transporte, Almacenamiento o Distribución a toda persona que,</w:t>
      </w:r>
      <w:r w:rsidRPr="002B7F8B">
        <w:rPr>
          <w:rFonts w:ascii="Palatino Linotype" w:eastAsia="Palatino Linotype" w:hAnsi="Palatino Linotype" w:cs="Palatino Linotype"/>
          <w:i/>
          <w:sz w:val="22"/>
          <w:szCs w:val="22"/>
        </w:rPr>
        <w:t xml:space="preserve"> en los términos del presente Reglamento, </w:t>
      </w:r>
      <w:r w:rsidRPr="002B7F8B">
        <w:rPr>
          <w:rFonts w:ascii="Palatino Linotype" w:eastAsia="Palatino Linotype" w:hAnsi="Palatino Linotype" w:cs="Palatino Linotype"/>
          <w:b/>
          <w:i/>
          <w:sz w:val="22"/>
          <w:szCs w:val="22"/>
        </w:rPr>
        <w:t>requiera de algún permiso</w:t>
      </w:r>
      <w:r w:rsidRPr="002B7F8B">
        <w:rPr>
          <w:rFonts w:ascii="Palatino Linotype" w:eastAsia="Palatino Linotype" w:hAnsi="Palatino Linotype" w:cs="Palatino Linotype"/>
          <w:i/>
          <w:sz w:val="22"/>
          <w:szCs w:val="22"/>
        </w:rPr>
        <w:t xml:space="preserve"> así como del aviso de inicio de operaciones correspondiente, y no cuente con ellos, con multa de 10,000 a 30,000 veces el salario mínimo; </w:t>
      </w:r>
    </w:p>
    <w:p w14:paraId="6A3739F7"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b/>
          <w:i/>
          <w:sz w:val="22"/>
          <w:szCs w:val="22"/>
        </w:rPr>
        <w:t>V. Por no mantener las Plantas de Depósito, Plantas de Suministro, Plantas de Distribución,</w:t>
      </w:r>
      <w:r w:rsidRPr="002B7F8B">
        <w:rPr>
          <w:rFonts w:ascii="Palatino Linotype" w:eastAsia="Palatino Linotype" w:hAnsi="Palatino Linotype" w:cs="Palatino Linotype"/>
          <w:i/>
          <w:sz w:val="22"/>
          <w:szCs w:val="22"/>
        </w:rPr>
        <w:t xml:space="preserve"> Sistemas de Transporte por Ductos, Redes de Distribución por </w:t>
      </w:r>
      <w:r w:rsidRPr="002B7F8B">
        <w:rPr>
          <w:rFonts w:ascii="Palatino Linotype" w:eastAsia="Palatino Linotype" w:hAnsi="Palatino Linotype" w:cs="Palatino Linotype"/>
          <w:i/>
          <w:sz w:val="22"/>
          <w:szCs w:val="22"/>
        </w:rPr>
        <w:lastRenderedPageBreak/>
        <w:t xml:space="preserve">Ductos, Estaciones de Gas L.P., para Carburación, Instalaciones de Aprovechamiento para Autoconsumo, Bodegas de Distribución, Buque-tanques, Carro-tanques, Semirremolques, Auto-tanques, Vehículos de Reparto y Recipientes Transportables, </w:t>
      </w:r>
      <w:r w:rsidRPr="002B7F8B">
        <w:rPr>
          <w:rFonts w:ascii="Palatino Linotype" w:eastAsia="Palatino Linotype" w:hAnsi="Palatino Linotype" w:cs="Palatino Linotype"/>
          <w:b/>
          <w:i/>
          <w:sz w:val="22"/>
          <w:szCs w:val="22"/>
        </w:rPr>
        <w:t>conforme a lo dispuesto en las Normas Oficiales Mexicanas</w:t>
      </w:r>
      <w:r w:rsidRPr="002B7F8B">
        <w:rPr>
          <w:rFonts w:ascii="Palatino Linotype" w:eastAsia="Palatino Linotype" w:hAnsi="Palatino Linotype" w:cs="Palatino Linotype"/>
          <w:i/>
          <w:sz w:val="22"/>
          <w:szCs w:val="22"/>
        </w:rPr>
        <w:t xml:space="preserve"> distintas de aquellas que contemplen la categorización de las disposiciones señaladas en la fracción siguiente, con multa de 5,000 a 50,000 veces el salario mínimo; </w:t>
      </w:r>
    </w:p>
    <w:p w14:paraId="63B7A347"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b/>
          <w:i/>
          <w:sz w:val="22"/>
          <w:szCs w:val="22"/>
        </w:rPr>
        <w:t>VI. Por no cumplir con las disposiciones previstas en las Normas Oficiales Mexicanas</w:t>
      </w:r>
      <w:r w:rsidRPr="002B7F8B">
        <w:rPr>
          <w:rFonts w:ascii="Palatino Linotype" w:eastAsia="Palatino Linotype" w:hAnsi="Palatino Linotype" w:cs="Palatino Linotype"/>
          <w:i/>
          <w:sz w:val="22"/>
          <w:szCs w:val="22"/>
        </w:rPr>
        <w:t xml:space="preserve"> aplicables a las instalaciones, condiciones de operación, vehículos y equipos utilizados para el Transporte, Almacenamiento y Distribución, conforme a lo siguiente: </w:t>
      </w:r>
    </w:p>
    <w:p w14:paraId="16FFBFE0" w14:textId="77777777" w:rsidR="00EC4447" w:rsidRPr="002B7F8B" w:rsidRDefault="00D570E2">
      <w:pPr>
        <w:tabs>
          <w:tab w:val="left" w:pos="709"/>
        </w:tabs>
        <w:ind w:left="157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a) No atender las disposiciones administrativas previstas como tal en las Normas Oficiales Mexicanas aplicables, con multa de 1,000 a 5,000 veces el salario mínimo; </w:t>
      </w:r>
    </w:p>
    <w:p w14:paraId="6C70A91F" w14:textId="77777777" w:rsidR="00EC4447" w:rsidRPr="002B7F8B" w:rsidRDefault="00D570E2">
      <w:pPr>
        <w:tabs>
          <w:tab w:val="left" w:pos="709"/>
        </w:tabs>
        <w:ind w:left="157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b) No atender las disposiciones de operación y mantenimiento previstas como tal en las Normas Oficiales Mexicanas aplicables, con multa de 5,000 a 25,000 veces el salario mínimo, y </w:t>
      </w:r>
    </w:p>
    <w:p w14:paraId="391505AB" w14:textId="77777777" w:rsidR="00EC4447" w:rsidRPr="002B7F8B" w:rsidRDefault="00D570E2">
      <w:pPr>
        <w:tabs>
          <w:tab w:val="left" w:pos="709"/>
        </w:tabs>
        <w:ind w:left="157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c) No atender las disposiciones de seguridad previstas como tal en las Normas Oficiales Mexicanas aplicables, con multa de 10,000 a 50,000 veces el salario mínimo; VII. Por no contar con dictamen técnico vigente emitido por una Unidad de Verificación aprobada por la Secretaría o la Comisión, según corresponda, por cada instalación y vehículo que forme parte del permiso correspondiente y que esté sujeto a Norma Oficial Mexicana, con multa de 2,500 a 10,000 veces el salario mínimo;</w:t>
      </w:r>
    </w:p>
    <w:p w14:paraId="76875140"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b/>
          <w:i/>
          <w:sz w:val="22"/>
          <w:szCs w:val="22"/>
        </w:rPr>
        <w:t xml:space="preserve">X. Por llevar a cabo las actividades de Transporte, Almacenamiento o Distribución, sin seguro vigente </w:t>
      </w:r>
      <w:r w:rsidRPr="002B7F8B">
        <w:rPr>
          <w:rFonts w:ascii="Palatino Linotype" w:eastAsia="Palatino Linotype" w:hAnsi="Palatino Linotype" w:cs="Palatino Linotype"/>
          <w:i/>
          <w:sz w:val="22"/>
          <w:szCs w:val="22"/>
        </w:rPr>
        <w:t xml:space="preserve">que cubra la responsabilidad por daños a terceros, con multa de 10,000 a 30,000 veces el salario mínimo; </w:t>
      </w:r>
    </w:p>
    <w:p w14:paraId="4045062D"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b/>
          <w:i/>
          <w:sz w:val="22"/>
          <w:szCs w:val="22"/>
        </w:rPr>
        <w:t>XII. Por iniciar operaciones de Transporte, Almacenamiento o Distribución sin haber presentado el aviso</w:t>
      </w:r>
      <w:r w:rsidRPr="002B7F8B">
        <w:rPr>
          <w:rFonts w:ascii="Palatino Linotype" w:eastAsia="Palatino Linotype" w:hAnsi="Palatino Linotype" w:cs="Palatino Linotype"/>
          <w:i/>
          <w:sz w:val="22"/>
          <w:szCs w:val="22"/>
        </w:rPr>
        <w:t xml:space="preserve"> correspondiente conforme a lo dispuesto en el artículo 85, fracción I de este Reglamento, con multa de 10,000 a 30,000 veces el salario mínimo; </w:t>
      </w:r>
    </w:p>
    <w:p w14:paraId="330AC4FD" w14:textId="77777777" w:rsidR="00EC4447" w:rsidRPr="002B7F8B" w:rsidRDefault="00D570E2">
      <w:pPr>
        <w:tabs>
          <w:tab w:val="left" w:pos="709"/>
        </w:tabs>
        <w:ind w:left="850" w:right="899"/>
        <w:jc w:val="both"/>
        <w:rPr>
          <w:rFonts w:ascii="Palatino Linotype" w:eastAsia="Palatino Linotype" w:hAnsi="Palatino Linotype" w:cs="Palatino Linotype"/>
          <w:b/>
          <w:i/>
          <w:sz w:val="22"/>
          <w:szCs w:val="22"/>
        </w:rPr>
      </w:pPr>
      <w:r w:rsidRPr="002B7F8B">
        <w:rPr>
          <w:rFonts w:ascii="Palatino Linotype" w:eastAsia="Palatino Linotype" w:hAnsi="Palatino Linotype" w:cs="Palatino Linotype"/>
          <w:b/>
          <w:i/>
          <w:sz w:val="22"/>
          <w:szCs w:val="22"/>
        </w:rPr>
        <w:t xml:space="preserve">XIX. Tratándose de Distribución mediante Planta de Distribución: </w:t>
      </w:r>
    </w:p>
    <w:p w14:paraId="3F33F32E"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a) Por realizar el llenado de Recipientes Transportables fuera de la Planta de Distribución o por llenar, trasladar o vender Gas L.P., a través de Recipientes Transportables que no cumplan con la Norma Oficial Mexicana aplicable, con multa de 10,000 a 30,000 veces el salario mínimo; </w:t>
      </w:r>
    </w:p>
    <w:p w14:paraId="4704FA50"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 xml:space="preserve">b) Por remarcar, pintar, dañar, efectuar reparaciones, modificar de cualquier otra forma, destruir, o utilizar para la actividad de Distribución, Recipientes </w:t>
      </w:r>
      <w:r w:rsidRPr="002B7F8B">
        <w:rPr>
          <w:rFonts w:ascii="Palatino Linotype" w:eastAsia="Palatino Linotype" w:hAnsi="Palatino Linotype" w:cs="Palatino Linotype"/>
          <w:i/>
          <w:sz w:val="22"/>
          <w:szCs w:val="22"/>
        </w:rPr>
        <w:lastRenderedPageBreak/>
        <w:t xml:space="preserve">Transportables que se encuentren identificados como propiedad de otro Distribuidor, en términos de las Normas Oficiales Mexicanas correspondientes y demás disposiciones aplicables, con multa de 25,000 a 100,000 veces el salario mínimo; </w:t>
      </w:r>
    </w:p>
    <w:p w14:paraId="2503974C"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c) Por destruir Recipientes Transportables fuera de un Centro de Destrucción registrado por la Secretaría, con multa de 10,000 a 20,000 veces el salario mínimo;”</w:t>
      </w:r>
    </w:p>
    <w:p w14:paraId="15CFF5FC" w14:textId="77777777" w:rsidR="00EC4447" w:rsidRPr="002B7F8B" w:rsidRDefault="00D570E2">
      <w:pPr>
        <w:tabs>
          <w:tab w:val="left" w:pos="709"/>
        </w:tabs>
        <w:ind w:left="850" w:right="89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(Énfasis añadido)</w:t>
      </w:r>
    </w:p>
    <w:p w14:paraId="661C80F0" w14:textId="77777777" w:rsidR="00EC4447" w:rsidRPr="002B7F8B" w:rsidRDefault="00EC4447">
      <w:pPr>
        <w:tabs>
          <w:tab w:val="left" w:pos="709"/>
        </w:tabs>
        <w:ind w:left="850" w:right="899"/>
        <w:jc w:val="both"/>
        <w:rPr>
          <w:rFonts w:ascii="Palatino Linotype" w:eastAsia="Palatino Linotype" w:hAnsi="Palatino Linotype" w:cs="Palatino Linotype"/>
          <w:i/>
          <w:sz w:val="22"/>
          <w:szCs w:val="22"/>
        </w:rPr>
      </w:pPr>
    </w:p>
    <w:p w14:paraId="6E8B6076" w14:textId="77777777" w:rsidR="00EC4447" w:rsidRPr="002B7F8B" w:rsidRDefault="00D570E2">
      <w:pPr>
        <w:tabs>
          <w:tab w:val="left" w:pos="709"/>
        </w:tabs>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De los preceptos anteriores se puede verificar que el Reglamento contiene diversas disposiciones normativas que pudieran aplicar para dar respuesta al cuestionamiento esgrimido por la particular. </w:t>
      </w:r>
    </w:p>
    <w:p w14:paraId="74007092" w14:textId="77777777" w:rsidR="00EC4447" w:rsidRPr="002B7F8B" w:rsidRDefault="00EC4447">
      <w:pPr>
        <w:tabs>
          <w:tab w:val="left" w:pos="709"/>
        </w:tabs>
        <w:spacing w:line="360" w:lineRule="auto"/>
        <w:jc w:val="both"/>
        <w:rPr>
          <w:rFonts w:ascii="Palatino Linotype" w:eastAsia="Palatino Linotype" w:hAnsi="Palatino Linotype" w:cs="Palatino Linotype"/>
        </w:rPr>
      </w:pPr>
    </w:p>
    <w:p w14:paraId="4FEB8BD9" w14:textId="77777777" w:rsidR="00EC4447" w:rsidRPr="002B7F8B" w:rsidRDefault="00D570E2">
      <w:pPr>
        <w:tabs>
          <w:tab w:val="left" w:pos="709"/>
        </w:tabs>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Así bien es conducente recordar que el Derecho de Acceso a la Información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A60D296" w14:textId="77777777" w:rsidR="00EC4447" w:rsidRPr="002B7F8B" w:rsidRDefault="00EC4447">
      <w:pPr>
        <w:tabs>
          <w:tab w:val="left" w:pos="851"/>
        </w:tabs>
        <w:ind w:left="851" w:right="901"/>
        <w:jc w:val="both"/>
        <w:rPr>
          <w:rFonts w:ascii="Palatino Linotype" w:eastAsia="Palatino Linotype" w:hAnsi="Palatino Linotype" w:cs="Palatino Linotype"/>
          <w:i/>
          <w:sz w:val="22"/>
          <w:szCs w:val="22"/>
        </w:rPr>
      </w:pPr>
    </w:p>
    <w:p w14:paraId="0F7B744D" w14:textId="77777777" w:rsidR="00EC4447" w:rsidRPr="002B7F8B" w:rsidRDefault="00D570E2">
      <w:pPr>
        <w:tabs>
          <w:tab w:val="left" w:pos="851"/>
        </w:tabs>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w:t>
      </w:r>
      <w:r w:rsidRPr="002B7F8B">
        <w:rPr>
          <w:rFonts w:ascii="Palatino Linotype" w:eastAsia="Palatino Linotype" w:hAnsi="Palatino Linotype" w:cs="Palatino Linotype"/>
          <w:b/>
          <w:i/>
          <w:sz w:val="22"/>
          <w:szCs w:val="22"/>
        </w:rPr>
        <w:t>Artículo 3.</w:t>
      </w:r>
      <w:r w:rsidRPr="002B7F8B">
        <w:rPr>
          <w:rFonts w:ascii="Palatino Linotype" w:eastAsia="Palatino Linotype" w:hAnsi="Palatino Linotype" w:cs="Palatino Linotype"/>
          <w:i/>
          <w:sz w:val="22"/>
          <w:szCs w:val="22"/>
        </w:rPr>
        <w:t xml:space="preserve"> Para los efectos de la presente Ley se entenderá por:</w:t>
      </w:r>
    </w:p>
    <w:p w14:paraId="0E295D1B" w14:textId="77777777" w:rsidR="00EC4447" w:rsidRPr="002B7F8B" w:rsidRDefault="00D570E2">
      <w:pPr>
        <w:tabs>
          <w:tab w:val="left" w:pos="851"/>
        </w:tabs>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w:t>
      </w:r>
    </w:p>
    <w:p w14:paraId="63E591F3" w14:textId="77777777" w:rsidR="00EC4447" w:rsidRPr="002B7F8B" w:rsidRDefault="00D570E2">
      <w:pPr>
        <w:tabs>
          <w:tab w:val="left" w:pos="851"/>
        </w:tabs>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b/>
          <w:i/>
          <w:sz w:val="22"/>
          <w:szCs w:val="22"/>
        </w:rPr>
        <w:t>XI. Documento</w:t>
      </w:r>
      <w:r w:rsidRPr="002B7F8B">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2B7F8B">
        <w:rPr>
          <w:rFonts w:ascii="Palatino Linotype" w:eastAsia="Palatino Linotype" w:hAnsi="Palatino Linotype" w:cs="Palatino Linotype"/>
          <w:i/>
          <w:sz w:val="22"/>
          <w:szCs w:val="22"/>
        </w:rPr>
        <w:lastRenderedPageBreak/>
        <w:t>elaboración. Los documentos podrán estar en cualquier medio, sea escrito, impreso, sonoro, visual, electrónico, informático u holográfico;</w:t>
      </w:r>
    </w:p>
    <w:p w14:paraId="791CF981" w14:textId="77777777" w:rsidR="00EC4447" w:rsidRPr="002B7F8B" w:rsidRDefault="00D570E2">
      <w:pPr>
        <w:tabs>
          <w:tab w:val="left" w:pos="851"/>
        </w:tabs>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w:t>
      </w:r>
    </w:p>
    <w:p w14:paraId="679CCF15" w14:textId="77777777" w:rsidR="00EC4447" w:rsidRPr="002B7F8B" w:rsidRDefault="00EC4447">
      <w:pPr>
        <w:tabs>
          <w:tab w:val="left" w:pos="851"/>
        </w:tabs>
        <w:spacing w:line="360" w:lineRule="auto"/>
        <w:ind w:left="851" w:right="901"/>
        <w:jc w:val="both"/>
        <w:rPr>
          <w:rFonts w:ascii="Palatino Linotype" w:eastAsia="Palatino Linotype" w:hAnsi="Palatino Linotype" w:cs="Palatino Linotype"/>
          <w:i/>
          <w:sz w:val="22"/>
          <w:szCs w:val="22"/>
        </w:rPr>
      </w:pPr>
    </w:p>
    <w:p w14:paraId="05C15756" w14:textId="77777777" w:rsidR="00EC4447" w:rsidRPr="002B7F8B" w:rsidRDefault="00D570E2">
      <w:pPr>
        <w:spacing w:line="360" w:lineRule="auto"/>
        <w:ind w:right="49"/>
        <w:jc w:val="both"/>
        <w:rPr>
          <w:rFonts w:ascii="Palatino Linotype" w:eastAsia="Palatino Linotype" w:hAnsi="Palatino Linotype" w:cs="Palatino Linotype"/>
        </w:rPr>
      </w:pPr>
      <w:r w:rsidRPr="002B7F8B">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54037A3" w14:textId="77777777" w:rsidR="00EC4447" w:rsidRPr="002B7F8B" w:rsidRDefault="00D570E2">
      <w:pPr>
        <w:tabs>
          <w:tab w:val="left" w:pos="851"/>
        </w:tabs>
        <w:ind w:left="851" w:right="901"/>
        <w:jc w:val="both"/>
        <w:rPr>
          <w:rFonts w:ascii="Palatino Linotype" w:eastAsia="Palatino Linotype" w:hAnsi="Palatino Linotype" w:cs="Palatino Linotype"/>
          <w:b/>
          <w:i/>
          <w:sz w:val="22"/>
          <w:szCs w:val="22"/>
        </w:rPr>
      </w:pPr>
      <w:r w:rsidRPr="002B7F8B">
        <w:rPr>
          <w:rFonts w:ascii="Palatino Linotype" w:eastAsia="Palatino Linotype" w:hAnsi="Palatino Linotype" w:cs="Palatino Linotype"/>
          <w:b/>
        </w:rPr>
        <w:t>“</w:t>
      </w:r>
      <w:r w:rsidRPr="002B7F8B">
        <w:rPr>
          <w:rFonts w:ascii="Palatino Linotype" w:eastAsia="Palatino Linotype" w:hAnsi="Palatino Linotype" w:cs="Palatino Linotype"/>
          <w:b/>
          <w:i/>
          <w:sz w:val="22"/>
          <w:szCs w:val="22"/>
        </w:rPr>
        <w:t>CRITERIO 0002-11</w:t>
      </w:r>
    </w:p>
    <w:p w14:paraId="6BA3474C" w14:textId="77777777" w:rsidR="00EC4447" w:rsidRPr="002B7F8B" w:rsidRDefault="00D570E2">
      <w:pPr>
        <w:tabs>
          <w:tab w:val="left" w:pos="851"/>
        </w:tabs>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2B7F8B">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1F31BB4" w14:textId="77777777" w:rsidR="00EC4447" w:rsidRPr="002B7F8B" w:rsidRDefault="00D570E2">
      <w:pPr>
        <w:tabs>
          <w:tab w:val="left" w:pos="851"/>
        </w:tabs>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67AB437" w14:textId="77777777" w:rsidR="00EC4447" w:rsidRPr="002B7F8B" w:rsidRDefault="00D570E2">
      <w:pPr>
        <w:tabs>
          <w:tab w:val="left" w:pos="851"/>
        </w:tabs>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C606424" w14:textId="77777777" w:rsidR="00EC4447" w:rsidRPr="002B7F8B" w:rsidRDefault="00D570E2">
      <w:pPr>
        <w:tabs>
          <w:tab w:val="left" w:pos="851"/>
        </w:tabs>
        <w:ind w:left="851" w:right="901"/>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18EEA1D5" w14:textId="77777777" w:rsidR="00EC4447" w:rsidRPr="002B7F8B" w:rsidRDefault="00D570E2">
      <w:pPr>
        <w:tabs>
          <w:tab w:val="left" w:pos="851"/>
        </w:tabs>
        <w:ind w:left="851" w:right="901"/>
        <w:jc w:val="both"/>
        <w:rPr>
          <w:rFonts w:ascii="Palatino Linotype" w:eastAsia="Palatino Linotype" w:hAnsi="Palatino Linotype" w:cs="Palatino Linotype"/>
        </w:rPr>
      </w:pPr>
      <w:r w:rsidRPr="002B7F8B">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15C31976" w14:textId="77777777" w:rsidR="00EC4447" w:rsidRPr="002B7F8B" w:rsidRDefault="00EC4447">
      <w:pPr>
        <w:tabs>
          <w:tab w:val="left" w:pos="709"/>
        </w:tabs>
        <w:spacing w:line="360" w:lineRule="auto"/>
        <w:jc w:val="both"/>
        <w:rPr>
          <w:rFonts w:ascii="Palatino Linotype" w:eastAsia="Palatino Linotype" w:hAnsi="Palatino Linotype" w:cs="Palatino Linotype"/>
        </w:rPr>
      </w:pPr>
    </w:p>
    <w:p w14:paraId="78B4765E"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lastRenderedPageBreak/>
        <w:t xml:space="preserve">Es así que, aun cuando la particular planteó su solicitud como una petición, el ente recurrido no está obligado a responder de la misma manera sino únicamente con la información que obre dentro de sus archivos y en el estado en el que se encuentre. </w:t>
      </w:r>
    </w:p>
    <w:p w14:paraId="3E2DDE53" w14:textId="77777777" w:rsidR="00EC4447" w:rsidRPr="002B7F8B" w:rsidRDefault="00EC4447">
      <w:pPr>
        <w:spacing w:line="360" w:lineRule="auto"/>
        <w:jc w:val="both"/>
        <w:rPr>
          <w:rFonts w:ascii="Palatino Linotype" w:eastAsia="Palatino Linotype" w:hAnsi="Palatino Linotype" w:cs="Palatino Linotype"/>
        </w:rPr>
      </w:pPr>
    </w:p>
    <w:p w14:paraId="00B6D878"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De tal manera que si la intención de la ahora </w:t>
      </w:r>
      <w:r w:rsidRPr="002B7F8B">
        <w:rPr>
          <w:rFonts w:ascii="Palatino Linotype" w:eastAsia="Palatino Linotype" w:hAnsi="Palatino Linotype" w:cs="Palatino Linotype"/>
          <w:b/>
        </w:rPr>
        <w:t xml:space="preserve">RECURRENTE, </w:t>
      </w:r>
      <w:r w:rsidRPr="002B7F8B">
        <w:rPr>
          <w:rFonts w:ascii="Palatino Linotype" w:eastAsia="Palatino Linotype" w:hAnsi="Palatino Linotype" w:cs="Palatino Linotype"/>
        </w:rPr>
        <w:t xml:space="preserve">es conocer respecto de permisos, o sanciones en relación al consumo, distribución y almacenaje del gas licuado de petróleo, dicha  intención se satisface con la normatividad previamente citada. </w:t>
      </w:r>
    </w:p>
    <w:p w14:paraId="019B1D8F" w14:textId="77777777" w:rsidR="00EC4447" w:rsidRPr="002B7F8B" w:rsidRDefault="00EC4447">
      <w:pPr>
        <w:spacing w:line="360" w:lineRule="auto"/>
        <w:jc w:val="both"/>
        <w:rPr>
          <w:rFonts w:ascii="Palatino Linotype" w:eastAsia="Palatino Linotype" w:hAnsi="Palatino Linotype" w:cs="Palatino Linotype"/>
        </w:rPr>
      </w:pPr>
    </w:p>
    <w:p w14:paraId="36C99FA3"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Luego entonces es que, el presente medio de impugnación ha quedado sin materia pues la afectación al derecho de la hoy </w:t>
      </w:r>
      <w:r w:rsidRPr="002B7F8B">
        <w:rPr>
          <w:rFonts w:ascii="Palatino Linotype" w:eastAsia="Palatino Linotype" w:hAnsi="Palatino Linotype" w:cs="Palatino Linotype"/>
          <w:b/>
        </w:rPr>
        <w:t>RECURRENTE</w:t>
      </w:r>
      <w:r w:rsidRPr="002B7F8B">
        <w:rPr>
          <w:rFonts w:ascii="Palatino Linotype" w:eastAsia="Palatino Linotype" w:hAnsi="Palatino Linotype" w:cs="Palatino Linotype"/>
        </w:rPr>
        <w:t xml:space="preserve"> fue colmada con el presente estudio en atención al principio de expedites y en consecuencia se actualiza la hipótesis prevista en la fracción V del artículo 192 de la Ley de Transparencia y Acceso a la Información Pública del Estado de México y Municipios, que disponen lo siguiente: </w:t>
      </w:r>
    </w:p>
    <w:p w14:paraId="6FFE0764" w14:textId="77777777" w:rsidR="00EC4447" w:rsidRPr="002B7F8B" w:rsidRDefault="00D570E2">
      <w:pPr>
        <w:ind w:left="851" w:right="902"/>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w:t>
      </w:r>
      <w:r w:rsidRPr="002B7F8B">
        <w:rPr>
          <w:rFonts w:ascii="Palatino Linotype" w:eastAsia="Palatino Linotype" w:hAnsi="Palatino Linotype" w:cs="Palatino Linotype"/>
          <w:b/>
          <w:i/>
          <w:sz w:val="22"/>
          <w:szCs w:val="22"/>
        </w:rPr>
        <w:t>Artículo 192.</w:t>
      </w:r>
      <w:r w:rsidRPr="002B7F8B">
        <w:rPr>
          <w:rFonts w:ascii="Palatino Linotype" w:eastAsia="Palatino Linotype" w:hAnsi="Palatino Linotype" w:cs="Palatino Linotype"/>
          <w:i/>
          <w:sz w:val="22"/>
          <w:szCs w:val="22"/>
        </w:rPr>
        <w:t xml:space="preserve"> </w:t>
      </w:r>
      <w:r w:rsidRPr="002B7F8B">
        <w:rPr>
          <w:rFonts w:ascii="Palatino Linotype" w:eastAsia="Palatino Linotype" w:hAnsi="Palatino Linotype" w:cs="Palatino Linotype"/>
          <w:b/>
          <w:i/>
          <w:sz w:val="22"/>
          <w:szCs w:val="22"/>
        </w:rPr>
        <w:t>El recurso será sobreseído</w:t>
      </w:r>
      <w:r w:rsidRPr="002B7F8B">
        <w:rPr>
          <w:rFonts w:ascii="Palatino Linotype" w:eastAsia="Palatino Linotype" w:hAnsi="Palatino Linotype" w:cs="Palatino Linotype"/>
          <w:i/>
          <w:sz w:val="22"/>
          <w:szCs w:val="22"/>
        </w:rPr>
        <w:t xml:space="preserve">, en todo o en parte, </w:t>
      </w:r>
      <w:r w:rsidRPr="002B7F8B">
        <w:rPr>
          <w:rFonts w:ascii="Palatino Linotype" w:eastAsia="Palatino Linotype" w:hAnsi="Palatino Linotype" w:cs="Palatino Linotype"/>
          <w:b/>
          <w:i/>
          <w:sz w:val="22"/>
          <w:szCs w:val="22"/>
        </w:rPr>
        <w:t>cuando una vez admitido</w:t>
      </w:r>
      <w:r w:rsidRPr="002B7F8B">
        <w:rPr>
          <w:rFonts w:ascii="Palatino Linotype" w:eastAsia="Palatino Linotype" w:hAnsi="Palatino Linotype" w:cs="Palatino Linotype"/>
          <w:i/>
          <w:sz w:val="22"/>
          <w:szCs w:val="22"/>
        </w:rPr>
        <w:t>, se actualicen alguno de los siguientes supuestos:</w:t>
      </w:r>
    </w:p>
    <w:p w14:paraId="7F6E6A61" w14:textId="77777777" w:rsidR="00EC4447" w:rsidRPr="002B7F8B" w:rsidRDefault="00D570E2">
      <w:pPr>
        <w:ind w:left="851" w:right="902"/>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i/>
          <w:sz w:val="22"/>
          <w:szCs w:val="22"/>
        </w:rPr>
        <w:t>…</w:t>
      </w:r>
    </w:p>
    <w:p w14:paraId="49F41089" w14:textId="77777777" w:rsidR="00EC4447" w:rsidRPr="002B7F8B" w:rsidRDefault="00D570E2">
      <w:pPr>
        <w:ind w:left="851" w:right="902"/>
        <w:jc w:val="both"/>
        <w:rPr>
          <w:rFonts w:ascii="Palatino Linotype" w:eastAsia="Palatino Linotype" w:hAnsi="Palatino Linotype" w:cs="Palatino Linotype"/>
          <w:b/>
          <w:i/>
          <w:sz w:val="22"/>
          <w:szCs w:val="22"/>
        </w:rPr>
      </w:pPr>
      <w:r w:rsidRPr="002B7F8B">
        <w:rPr>
          <w:rFonts w:ascii="Palatino Linotype" w:eastAsia="Palatino Linotype" w:hAnsi="Palatino Linotype" w:cs="Palatino Linotype"/>
          <w:b/>
          <w:i/>
          <w:sz w:val="22"/>
          <w:szCs w:val="22"/>
        </w:rPr>
        <w:t>V.</w:t>
      </w:r>
      <w:r w:rsidRPr="002B7F8B">
        <w:rPr>
          <w:rFonts w:ascii="Palatino Linotype" w:eastAsia="Palatino Linotype" w:hAnsi="Palatino Linotype" w:cs="Palatino Linotype"/>
          <w:b/>
          <w:i/>
          <w:sz w:val="22"/>
          <w:szCs w:val="22"/>
        </w:rPr>
        <w:tab/>
        <w:t>Cuando por cualquier motivo quede sin materia el recurso</w:t>
      </w:r>
      <w:r w:rsidRPr="002B7F8B">
        <w:rPr>
          <w:rFonts w:ascii="Palatino Linotype" w:eastAsia="Palatino Linotype" w:hAnsi="Palatino Linotype" w:cs="Palatino Linotype"/>
          <w:i/>
          <w:sz w:val="22"/>
          <w:szCs w:val="22"/>
        </w:rPr>
        <w:t>.”</w:t>
      </w:r>
    </w:p>
    <w:p w14:paraId="332B3701" w14:textId="77777777" w:rsidR="00EC4447" w:rsidRPr="002B7F8B" w:rsidRDefault="00D570E2">
      <w:pPr>
        <w:ind w:left="851" w:right="902"/>
        <w:jc w:val="both"/>
        <w:rPr>
          <w:rFonts w:ascii="Palatino Linotype" w:eastAsia="Palatino Linotype" w:hAnsi="Palatino Linotype" w:cs="Palatino Linotype"/>
          <w:sz w:val="22"/>
          <w:szCs w:val="22"/>
        </w:rPr>
      </w:pPr>
      <w:r w:rsidRPr="002B7F8B">
        <w:rPr>
          <w:rFonts w:ascii="Palatino Linotype" w:eastAsia="Palatino Linotype" w:hAnsi="Palatino Linotype" w:cs="Palatino Linotype"/>
          <w:sz w:val="22"/>
          <w:szCs w:val="22"/>
        </w:rPr>
        <w:t>(Énfasis añadido)</w:t>
      </w:r>
    </w:p>
    <w:p w14:paraId="1BE9F609" w14:textId="77777777" w:rsidR="00EC4447" w:rsidRPr="002B7F8B" w:rsidRDefault="00EC4447">
      <w:pPr>
        <w:ind w:left="851" w:right="902"/>
        <w:jc w:val="both"/>
        <w:rPr>
          <w:rFonts w:ascii="Palatino Linotype" w:eastAsia="Palatino Linotype" w:hAnsi="Palatino Linotype" w:cs="Palatino Linotype"/>
          <w:sz w:val="22"/>
          <w:szCs w:val="22"/>
        </w:rPr>
      </w:pPr>
    </w:p>
    <w:p w14:paraId="7990747C"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De lo anterior, se determina procedente </w:t>
      </w:r>
      <w:r w:rsidRPr="002B7F8B">
        <w:rPr>
          <w:rFonts w:ascii="Palatino Linotype" w:eastAsia="Palatino Linotype" w:hAnsi="Palatino Linotype" w:cs="Palatino Linotype"/>
          <w:b/>
        </w:rPr>
        <w:t>SOBRESEER</w:t>
      </w:r>
      <w:r w:rsidRPr="002B7F8B">
        <w:rPr>
          <w:rFonts w:ascii="Palatino Linotype" w:eastAsia="Palatino Linotype" w:hAnsi="Palatino Linotype" w:cs="Palatino Linotype"/>
        </w:rPr>
        <w:t xml:space="preserve"> el Recursos de Revisión número </w:t>
      </w:r>
      <w:r w:rsidRPr="002B7F8B">
        <w:rPr>
          <w:rFonts w:ascii="Palatino Linotype" w:eastAsia="Palatino Linotype" w:hAnsi="Palatino Linotype" w:cs="Palatino Linotype"/>
          <w:b/>
        </w:rPr>
        <w:t>00807/INFOEM/IP/RR/2021</w:t>
      </w:r>
      <w:r w:rsidRPr="002B7F8B">
        <w:rPr>
          <w:rFonts w:ascii="Palatino Linotype" w:eastAsia="Palatino Linotype" w:hAnsi="Palatino Linotype" w:cs="Palatino Linotype"/>
        </w:rPr>
        <w:t>, en términos del artículo 186 fracción I de la Ley de Transparencia y Acceso a la Información Pública del Estado de México y Municipios.</w:t>
      </w:r>
    </w:p>
    <w:p w14:paraId="35D1A23F" w14:textId="77777777" w:rsidR="00EC4447" w:rsidRPr="002B7F8B" w:rsidRDefault="00EC4447">
      <w:pPr>
        <w:widowControl w:val="0"/>
        <w:spacing w:line="360" w:lineRule="auto"/>
        <w:jc w:val="both"/>
        <w:rPr>
          <w:rFonts w:ascii="Palatino Linotype" w:eastAsia="Palatino Linotype" w:hAnsi="Palatino Linotype" w:cs="Palatino Linotype"/>
        </w:rPr>
      </w:pPr>
    </w:p>
    <w:p w14:paraId="464A25A0" w14:textId="77777777" w:rsidR="00EC4447" w:rsidRPr="002B7F8B" w:rsidRDefault="00D570E2">
      <w:pPr>
        <w:widowControl w:val="0"/>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Así, con fundamento en lo previsto en los artículos 5, párrafos trigésimo, trigésimo primero y trigésimo segundo, fracciones IV y V de la Constitución Política del Estado </w:t>
      </w:r>
      <w:r w:rsidRPr="002B7F8B">
        <w:rPr>
          <w:rFonts w:ascii="Palatino Linotype" w:eastAsia="Palatino Linotype" w:hAnsi="Palatino Linotype" w:cs="Palatino Linotype"/>
        </w:rPr>
        <w:lastRenderedPageBreak/>
        <w:t xml:space="preserve">Libre y Soberano de México; 2, fracción II, 29, 36, fracciones I y II, 176, 178, 179, 181, 185 fracción I, 186 y 188 de la Ley de Transparencia y Acceso a la Información Pública del Estado de México y Municipios, este Pleno: </w:t>
      </w:r>
    </w:p>
    <w:p w14:paraId="259243B1" w14:textId="77777777" w:rsidR="00EC4447" w:rsidRPr="002B7F8B" w:rsidRDefault="00EC4447">
      <w:pPr>
        <w:spacing w:line="360" w:lineRule="auto"/>
        <w:jc w:val="both"/>
        <w:rPr>
          <w:rFonts w:ascii="Palatino Linotype" w:eastAsia="Palatino Linotype" w:hAnsi="Palatino Linotype" w:cs="Palatino Linotype"/>
        </w:rPr>
      </w:pPr>
    </w:p>
    <w:p w14:paraId="773BAB99" w14:textId="77777777" w:rsidR="00EC4447" w:rsidRPr="002B7F8B" w:rsidRDefault="00D570E2">
      <w:pPr>
        <w:spacing w:line="360" w:lineRule="auto"/>
        <w:jc w:val="center"/>
        <w:rPr>
          <w:rFonts w:ascii="Palatino Linotype" w:eastAsia="Palatino Linotype" w:hAnsi="Palatino Linotype" w:cs="Palatino Linotype"/>
          <w:b/>
          <w:sz w:val="26"/>
          <w:szCs w:val="26"/>
        </w:rPr>
      </w:pPr>
      <w:r w:rsidRPr="002B7F8B">
        <w:rPr>
          <w:rFonts w:ascii="Palatino Linotype" w:eastAsia="Palatino Linotype" w:hAnsi="Palatino Linotype" w:cs="Palatino Linotype"/>
          <w:b/>
          <w:sz w:val="26"/>
          <w:szCs w:val="26"/>
        </w:rPr>
        <w:t>RESUELVE</w:t>
      </w:r>
    </w:p>
    <w:p w14:paraId="473305AB" w14:textId="77777777" w:rsidR="00EC4447" w:rsidRPr="002B7F8B" w:rsidRDefault="00EC4447">
      <w:pPr>
        <w:spacing w:line="360" w:lineRule="auto"/>
        <w:jc w:val="center"/>
        <w:rPr>
          <w:rFonts w:ascii="Palatino Linotype" w:eastAsia="Palatino Linotype" w:hAnsi="Palatino Linotype" w:cs="Palatino Linotype"/>
          <w:b/>
          <w:sz w:val="26"/>
          <w:szCs w:val="26"/>
        </w:rPr>
      </w:pPr>
    </w:p>
    <w:p w14:paraId="0B6D38FB" w14:textId="77777777" w:rsidR="00EC4447" w:rsidRPr="002B7F8B" w:rsidRDefault="00D570E2">
      <w:pPr>
        <w:spacing w:line="360" w:lineRule="auto"/>
        <w:ind w:right="49"/>
        <w:jc w:val="both"/>
        <w:rPr>
          <w:rFonts w:ascii="Palatino Linotype" w:eastAsia="Palatino Linotype" w:hAnsi="Palatino Linotype" w:cs="Palatino Linotype"/>
          <w:i/>
          <w:sz w:val="22"/>
          <w:szCs w:val="22"/>
        </w:rPr>
      </w:pPr>
      <w:r w:rsidRPr="002B7F8B">
        <w:rPr>
          <w:rFonts w:ascii="Palatino Linotype" w:eastAsia="Palatino Linotype" w:hAnsi="Palatino Linotype" w:cs="Palatino Linotype"/>
          <w:b/>
        </w:rPr>
        <w:t xml:space="preserve">PRIMERO. </w:t>
      </w:r>
      <w:r w:rsidRPr="002B7F8B">
        <w:rPr>
          <w:rFonts w:ascii="Palatino Linotype" w:eastAsia="Palatino Linotype" w:hAnsi="Palatino Linotype" w:cs="Palatino Linotype"/>
        </w:rPr>
        <w:t xml:space="preserve">Se </w:t>
      </w:r>
      <w:r w:rsidRPr="002B7F8B">
        <w:rPr>
          <w:rFonts w:ascii="Palatino Linotype" w:eastAsia="Palatino Linotype" w:hAnsi="Palatino Linotype" w:cs="Palatino Linotype"/>
          <w:b/>
        </w:rPr>
        <w:t xml:space="preserve">SOBRESEE </w:t>
      </w:r>
      <w:r w:rsidRPr="002B7F8B">
        <w:rPr>
          <w:rFonts w:ascii="Palatino Linotype" w:eastAsia="Palatino Linotype" w:hAnsi="Palatino Linotype" w:cs="Palatino Linotype"/>
        </w:rPr>
        <w:t xml:space="preserve">el Recurso de Revisión número </w:t>
      </w:r>
      <w:r w:rsidRPr="002B7F8B">
        <w:rPr>
          <w:rFonts w:ascii="Palatino Linotype" w:eastAsia="Palatino Linotype" w:hAnsi="Palatino Linotype" w:cs="Palatino Linotype"/>
          <w:b/>
        </w:rPr>
        <w:t>00807/INFOEM/IP/RR/2022</w:t>
      </w:r>
      <w:r w:rsidRPr="002B7F8B">
        <w:rPr>
          <w:rFonts w:ascii="Palatino Linotype" w:eastAsia="Palatino Linotype" w:hAnsi="Palatino Linotype" w:cs="Palatino Linotype"/>
        </w:rPr>
        <w:t xml:space="preserve"> por quedar sin materia en términos del Considerando </w:t>
      </w:r>
      <w:r w:rsidRPr="002B7F8B">
        <w:rPr>
          <w:rFonts w:ascii="Palatino Linotype" w:eastAsia="Palatino Linotype" w:hAnsi="Palatino Linotype" w:cs="Palatino Linotype"/>
          <w:b/>
        </w:rPr>
        <w:t xml:space="preserve">SEXTO </w:t>
      </w:r>
      <w:r w:rsidRPr="002B7F8B">
        <w:rPr>
          <w:rFonts w:ascii="Palatino Linotype" w:eastAsia="Palatino Linotype" w:hAnsi="Palatino Linotype" w:cs="Palatino Linotype"/>
        </w:rPr>
        <w:t>de la presente resolución.</w:t>
      </w:r>
    </w:p>
    <w:p w14:paraId="782FB013" w14:textId="77777777" w:rsidR="00EC4447" w:rsidRPr="002B7F8B" w:rsidRDefault="00EC4447">
      <w:pPr>
        <w:spacing w:line="360" w:lineRule="auto"/>
        <w:ind w:right="49"/>
        <w:jc w:val="both"/>
        <w:rPr>
          <w:rFonts w:ascii="Palatino Linotype" w:eastAsia="Palatino Linotype" w:hAnsi="Palatino Linotype" w:cs="Palatino Linotype"/>
        </w:rPr>
      </w:pPr>
    </w:p>
    <w:p w14:paraId="5882C043" w14:textId="77777777" w:rsidR="00EC4447" w:rsidRPr="002B7F8B" w:rsidRDefault="00D570E2">
      <w:pPr>
        <w:spacing w:line="360" w:lineRule="auto"/>
        <w:ind w:right="49"/>
        <w:jc w:val="both"/>
        <w:rPr>
          <w:rFonts w:ascii="Palatino Linotype" w:eastAsia="Palatino Linotype" w:hAnsi="Palatino Linotype" w:cs="Palatino Linotype"/>
        </w:rPr>
      </w:pPr>
      <w:r w:rsidRPr="002B7F8B">
        <w:rPr>
          <w:rFonts w:ascii="Palatino Linotype" w:eastAsia="Palatino Linotype" w:hAnsi="Palatino Linotype" w:cs="Palatino Linotype"/>
          <w:b/>
        </w:rPr>
        <w:t xml:space="preserve">SEGUNDO. </w:t>
      </w:r>
      <w:r w:rsidRPr="002B7F8B">
        <w:rPr>
          <w:rFonts w:ascii="Palatino Linotype" w:eastAsia="Palatino Linotype" w:hAnsi="Palatino Linotype" w:cs="Palatino Linotype"/>
        </w:rPr>
        <w:t xml:space="preserve">Resultan </w:t>
      </w:r>
      <w:r w:rsidRPr="002B7F8B">
        <w:rPr>
          <w:rFonts w:ascii="Palatino Linotype" w:eastAsia="Palatino Linotype" w:hAnsi="Palatino Linotype" w:cs="Palatino Linotype"/>
          <w:b/>
        </w:rPr>
        <w:t>infundadas</w:t>
      </w:r>
      <w:r w:rsidRPr="002B7F8B">
        <w:rPr>
          <w:rFonts w:ascii="Palatino Linotype" w:eastAsia="Palatino Linotype" w:hAnsi="Palatino Linotype" w:cs="Palatino Linotype"/>
        </w:rPr>
        <w:t xml:space="preserve"> las razones o motivos de inconformidad planteadas por </w:t>
      </w:r>
      <w:r w:rsidRPr="002B7F8B">
        <w:rPr>
          <w:rFonts w:ascii="Palatino Linotype" w:eastAsia="Palatino Linotype" w:hAnsi="Palatino Linotype" w:cs="Palatino Linotype"/>
          <w:b/>
        </w:rPr>
        <w:t>LA RECURRENTE</w:t>
      </w:r>
      <w:r w:rsidRPr="002B7F8B">
        <w:rPr>
          <w:rFonts w:ascii="Palatino Linotype" w:eastAsia="Palatino Linotype" w:hAnsi="Palatino Linotype" w:cs="Palatino Linotype"/>
        </w:rPr>
        <w:t xml:space="preserve">, en el Recurso de Revisión </w:t>
      </w:r>
      <w:r w:rsidRPr="002B7F8B">
        <w:rPr>
          <w:rFonts w:ascii="Palatino Linotype" w:eastAsia="Palatino Linotype" w:hAnsi="Palatino Linotype" w:cs="Palatino Linotype"/>
          <w:b/>
        </w:rPr>
        <w:t xml:space="preserve">01078/INFOEM/IP/RR/2022 </w:t>
      </w:r>
      <w:r w:rsidRPr="002B7F8B">
        <w:rPr>
          <w:rFonts w:ascii="Palatino Linotype" w:eastAsia="Palatino Linotype" w:hAnsi="Palatino Linotype" w:cs="Palatino Linotype"/>
        </w:rPr>
        <w:t xml:space="preserve">en términos del Considerando </w:t>
      </w:r>
      <w:r w:rsidRPr="002B7F8B">
        <w:rPr>
          <w:rFonts w:ascii="Palatino Linotype" w:eastAsia="Palatino Linotype" w:hAnsi="Palatino Linotype" w:cs="Palatino Linotype"/>
          <w:b/>
        </w:rPr>
        <w:t xml:space="preserve">SEXTO </w:t>
      </w:r>
      <w:r w:rsidRPr="002B7F8B">
        <w:rPr>
          <w:rFonts w:ascii="Palatino Linotype" w:eastAsia="Palatino Linotype" w:hAnsi="Palatino Linotype" w:cs="Palatino Linotype"/>
        </w:rPr>
        <w:t>de la presente resolución.</w:t>
      </w:r>
    </w:p>
    <w:p w14:paraId="2B16B1D1" w14:textId="77777777" w:rsidR="00EC4447" w:rsidRPr="002B7F8B" w:rsidRDefault="00EC4447">
      <w:pPr>
        <w:spacing w:line="360" w:lineRule="auto"/>
        <w:jc w:val="both"/>
        <w:rPr>
          <w:rFonts w:ascii="Palatino Linotype" w:eastAsia="Palatino Linotype" w:hAnsi="Palatino Linotype" w:cs="Palatino Linotype"/>
        </w:rPr>
      </w:pPr>
    </w:p>
    <w:p w14:paraId="20B072D9" w14:textId="77777777" w:rsidR="00EC4447" w:rsidRPr="002B7F8B" w:rsidRDefault="00D570E2">
      <w:pPr>
        <w:spacing w:line="360" w:lineRule="auto"/>
        <w:jc w:val="both"/>
        <w:rPr>
          <w:rFonts w:ascii="Palatino Linotype" w:eastAsia="Palatino Linotype" w:hAnsi="Palatino Linotype" w:cs="Palatino Linotype"/>
          <w:b/>
          <w:sz w:val="26"/>
          <w:szCs w:val="26"/>
        </w:rPr>
      </w:pPr>
      <w:r w:rsidRPr="002B7F8B">
        <w:rPr>
          <w:rFonts w:ascii="Palatino Linotype" w:eastAsia="Palatino Linotype" w:hAnsi="Palatino Linotype" w:cs="Palatino Linotype"/>
          <w:b/>
        </w:rPr>
        <w:t xml:space="preserve">TERCERO. </w:t>
      </w:r>
      <w:r w:rsidRPr="002B7F8B">
        <w:rPr>
          <w:rFonts w:ascii="Palatino Linotype" w:eastAsia="Palatino Linotype" w:hAnsi="Palatino Linotype" w:cs="Palatino Linotype"/>
        </w:rPr>
        <w:t xml:space="preserve">Se </w:t>
      </w:r>
      <w:r w:rsidRPr="002B7F8B">
        <w:rPr>
          <w:rFonts w:ascii="Palatino Linotype" w:eastAsia="Palatino Linotype" w:hAnsi="Palatino Linotype" w:cs="Palatino Linotype"/>
          <w:b/>
        </w:rPr>
        <w:t xml:space="preserve">CONFIRMA  </w:t>
      </w:r>
      <w:r w:rsidRPr="002B7F8B">
        <w:rPr>
          <w:rFonts w:ascii="Palatino Linotype" w:eastAsia="Palatino Linotype" w:hAnsi="Palatino Linotype" w:cs="Palatino Linotype"/>
        </w:rPr>
        <w:t xml:space="preserve">la respuesta proporcionada por </w:t>
      </w:r>
      <w:r w:rsidRPr="002B7F8B">
        <w:rPr>
          <w:rFonts w:ascii="Palatino Linotype" w:eastAsia="Palatino Linotype" w:hAnsi="Palatino Linotype" w:cs="Palatino Linotype"/>
          <w:b/>
        </w:rPr>
        <w:t xml:space="preserve">EL SUJETO OBLIGADO </w:t>
      </w:r>
      <w:r w:rsidRPr="002B7F8B">
        <w:rPr>
          <w:rFonts w:ascii="Palatino Linotype" w:eastAsia="Palatino Linotype" w:hAnsi="Palatino Linotype" w:cs="Palatino Linotype"/>
        </w:rPr>
        <w:t xml:space="preserve">a la solicitud de información que derivó en el recurso de revisión </w:t>
      </w:r>
      <w:r w:rsidRPr="002B7F8B">
        <w:rPr>
          <w:rFonts w:ascii="Palatino Linotype" w:eastAsia="Palatino Linotype" w:hAnsi="Palatino Linotype" w:cs="Palatino Linotype"/>
          <w:b/>
        </w:rPr>
        <w:t xml:space="preserve">01078/INFOEM/IP/RR/2022. </w:t>
      </w:r>
    </w:p>
    <w:p w14:paraId="2C32B318" w14:textId="77777777" w:rsidR="00EC4447" w:rsidRPr="002B7F8B" w:rsidRDefault="00EC4447">
      <w:pPr>
        <w:spacing w:line="360" w:lineRule="auto"/>
        <w:ind w:right="49"/>
        <w:jc w:val="both"/>
        <w:rPr>
          <w:rFonts w:ascii="Palatino Linotype" w:eastAsia="Palatino Linotype" w:hAnsi="Palatino Linotype" w:cs="Palatino Linotype"/>
        </w:rPr>
      </w:pPr>
    </w:p>
    <w:p w14:paraId="300D6567" w14:textId="77777777" w:rsidR="00EC4447" w:rsidRPr="002B7F8B" w:rsidRDefault="00D570E2">
      <w:pPr>
        <w:spacing w:line="360" w:lineRule="auto"/>
        <w:ind w:right="49"/>
        <w:jc w:val="both"/>
        <w:rPr>
          <w:rFonts w:ascii="Palatino Linotype" w:eastAsia="Palatino Linotype" w:hAnsi="Palatino Linotype" w:cs="Palatino Linotype"/>
          <w:b/>
        </w:rPr>
      </w:pPr>
      <w:r w:rsidRPr="002B7F8B">
        <w:rPr>
          <w:rFonts w:ascii="Palatino Linotype" w:eastAsia="Palatino Linotype" w:hAnsi="Palatino Linotype" w:cs="Palatino Linotype"/>
          <w:b/>
        </w:rPr>
        <w:t>CUARTO. Notifíquese</w:t>
      </w:r>
      <w:r w:rsidRPr="002B7F8B">
        <w:rPr>
          <w:rFonts w:ascii="Palatino Linotype" w:eastAsia="Palatino Linotype" w:hAnsi="Palatino Linotype" w:cs="Palatino Linotype"/>
          <w:b/>
          <w:i/>
        </w:rPr>
        <w:t xml:space="preserve"> </w:t>
      </w:r>
      <w:r w:rsidRPr="002B7F8B">
        <w:rPr>
          <w:rFonts w:ascii="Palatino Linotype" w:eastAsia="Palatino Linotype" w:hAnsi="Palatino Linotype" w:cs="Palatino Linotype"/>
        </w:rPr>
        <w:t>al Titular de la Unidad de Transparencia del</w:t>
      </w:r>
      <w:r w:rsidRPr="002B7F8B">
        <w:rPr>
          <w:rFonts w:ascii="Palatino Linotype" w:eastAsia="Palatino Linotype" w:hAnsi="Palatino Linotype" w:cs="Palatino Linotype"/>
          <w:b/>
        </w:rPr>
        <w:t xml:space="preserve"> </w:t>
      </w:r>
      <w:r w:rsidRPr="002B7F8B">
        <w:rPr>
          <w:rFonts w:ascii="Palatino Linotype" w:eastAsia="Palatino Linotype" w:hAnsi="Palatino Linotype" w:cs="Palatino Linotype"/>
        </w:rPr>
        <w:t>Sujeto Obligado por medio del Sistema de Acceso a la Información Mexiquense (</w:t>
      </w:r>
      <w:r w:rsidRPr="002B7F8B">
        <w:rPr>
          <w:rFonts w:ascii="Palatino Linotype" w:eastAsia="Palatino Linotype" w:hAnsi="Palatino Linotype" w:cs="Palatino Linotype"/>
          <w:b/>
        </w:rPr>
        <w:t>SAIMEX)</w:t>
      </w:r>
    </w:p>
    <w:p w14:paraId="0CF7F76A" w14:textId="77777777" w:rsidR="00EC4447" w:rsidRPr="002B7F8B" w:rsidRDefault="00EC4447">
      <w:pPr>
        <w:spacing w:line="360" w:lineRule="auto"/>
        <w:ind w:right="49"/>
        <w:jc w:val="both"/>
        <w:rPr>
          <w:rFonts w:ascii="Palatino Linotype" w:eastAsia="Palatino Linotype" w:hAnsi="Palatino Linotype" w:cs="Palatino Linotype"/>
          <w:b/>
        </w:rPr>
      </w:pPr>
    </w:p>
    <w:p w14:paraId="1FDB4C91"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b/>
        </w:rPr>
        <w:t xml:space="preserve">QUINTO. Notifíquese </w:t>
      </w:r>
      <w:r w:rsidRPr="002B7F8B">
        <w:rPr>
          <w:rFonts w:ascii="Palatino Linotype" w:eastAsia="Palatino Linotype" w:hAnsi="Palatino Linotype" w:cs="Palatino Linotype"/>
        </w:rPr>
        <w:t xml:space="preserve">la presente resolución al Recurrente mediante el Sistema de Acceso a la Información Mexiquense (SAIMEX) y hágase de su conocimiento que, de </w:t>
      </w:r>
      <w:r w:rsidRPr="002B7F8B">
        <w:rPr>
          <w:rFonts w:ascii="Palatino Linotype" w:eastAsia="Palatino Linotype" w:hAnsi="Palatino Linotype" w:cs="Palatino Linotype"/>
        </w:rPr>
        <w:lastRenderedPageBreak/>
        <w:t>conformidad con lo establecido en el artículo 196 de la Ley de Transparencia y Acceso a la Información Pública del Estado de México y Municipios, podrá promover el Juicio de Amparo en los términos de las leyes aplicables.</w:t>
      </w:r>
    </w:p>
    <w:p w14:paraId="3B150CD9" w14:textId="77777777" w:rsidR="00EC4447" w:rsidRPr="002B7F8B" w:rsidRDefault="00EC4447">
      <w:pPr>
        <w:spacing w:line="360" w:lineRule="auto"/>
        <w:jc w:val="both"/>
        <w:rPr>
          <w:rFonts w:ascii="Palatino Linotype" w:eastAsia="Palatino Linotype" w:hAnsi="Palatino Linotype" w:cs="Palatino Linotype"/>
        </w:rPr>
      </w:pPr>
    </w:p>
    <w:p w14:paraId="319AC72F" w14:textId="77777777" w:rsidR="00EC4447" w:rsidRPr="002B7F8B" w:rsidRDefault="00D570E2">
      <w:pPr>
        <w:spacing w:line="360" w:lineRule="auto"/>
        <w:jc w:val="both"/>
        <w:rPr>
          <w:rFonts w:ascii="Palatino Linotype" w:eastAsia="Palatino Linotype" w:hAnsi="Palatino Linotype" w:cs="Palatino Linotype"/>
        </w:rPr>
      </w:pPr>
      <w:r w:rsidRPr="002B7F8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4C5F17" w:rsidRPr="002B7F8B">
        <w:rPr>
          <w:rFonts w:ascii="Palatino Linotype" w:eastAsia="Palatino Linotype" w:hAnsi="Palatino Linotype" w:cs="Palatino Linotype"/>
        </w:rPr>
        <w:t xml:space="preserve">SEXTA </w:t>
      </w:r>
      <w:r w:rsidRPr="002B7F8B">
        <w:rPr>
          <w:rFonts w:ascii="Palatino Linotype" w:eastAsia="Palatino Linotype" w:hAnsi="Palatino Linotype" w:cs="Palatino Linotype"/>
        </w:rPr>
        <w:t>SESIÓN ORDINARIA CELEBRADA EL CUATRO DE MAYO DE DOS MIL VEINTIDÓS, ANTE EL SECRETARIO TÉCNICO DEL PLENO, ALEXIS TAPIA RAMÍREZ.</w:t>
      </w:r>
    </w:p>
    <w:p w14:paraId="19D83490" w14:textId="77777777" w:rsidR="00EC4447" w:rsidRDefault="00D570E2">
      <w:pPr>
        <w:spacing w:line="360" w:lineRule="auto"/>
        <w:jc w:val="both"/>
        <w:rPr>
          <w:rFonts w:ascii="Palatino Linotype" w:eastAsia="Palatino Linotype" w:hAnsi="Palatino Linotype" w:cs="Palatino Linotype"/>
          <w:sz w:val="14"/>
          <w:szCs w:val="14"/>
        </w:rPr>
      </w:pPr>
      <w:r w:rsidRPr="002B7F8B">
        <w:rPr>
          <w:rFonts w:ascii="Palatino Linotype" w:eastAsia="Palatino Linotype" w:hAnsi="Palatino Linotype" w:cs="Palatino Linotype"/>
          <w:sz w:val="14"/>
          <w:szCs w:val="14"/>
        </w:rPr>
        <w:t>SCMM/BLA/DEMF/PMRE</w:t>
      </w:r>
    </w:p>
    <w:p w14:paraId="16652DAA" w14:textId="77777777" w:rsidR="00EC4447" w:rsidRDefault="00D570E2">
      <w:pPr>
        <w:rPr>
          <w:rFonts w:ascii="Palatino Linotype" w:eastAsia="Palatino Linotype" w:hAnsi="Palatino Linotype" w:cs="Palatino Linotype"/>
        </w:rPr>
      </w:pPr>
      <w:r>
        <w:br w:type="page"/>
      </w:r>
    </w:p>
    <w:p w14:paraId="429592D2" w14:textId="77777777" w:rsidR="00EC4447" w:rsidRDefault="00EC4447">
      <w:pPr>
        <w:spacing w:line="360" w:lineRule="auto"/>
        <w:jc w:val="both"/>
        <w:rPr>
          <w:rFonts w:ascii="Palatino Linotype" w:eastAsia="Palatino Linotype" w:hAnsi="Palatino Linotype" w:cs="Palatino Linotype"/>
        </w:rPr>
      </w:pPr>
    </w:p>
    <w:p w14:paraId="7F2E67BD" w14:textId="77777777" w:rsidR="00EC4447" w:rsidRDefault="00EC4447">
      <w:pPr>
        <w:spacing w:line="360" w:lineRule="auto"/>
        <w:jc w:val="both"/>
        <w:rPr>
          <w:rFonts w:ascii="Palatino Linotype" w:eastAsia="Palatino Linotype" w:hAnsi="Palatino Linotype" w:cs="Palatino Linotype"/>
        </w:rPr>
      </w:pPr>
    </w:p>
    <w:p w14:paraId="324EBB9E" w14:textId="77777777" w:rsidR="00EC4447" w:rsidRDefault="00EC4447">
      <w:pPr>
        <w:spacing w:line="360" w:lineRule="auto"/>
        <w:jc w:val="both"/>
        <w:rPr>
          <w:rFonts w:ascii="Palatino Linotype" w:eastAsia="Palatino Linotype" w:hAnsi="Palatino Linotype" w:cs="Palatino Linotype"/>
        </w:rPr>
      </w:pPr>
    </w:p>
    <w:p w14:paraId="11805CEA" w14:textId="77777777" w:rsidR="00EC4447" w:rsidRDefault="00EC4447">
      <w:pPr>
        <w:spacing w:line="360" w:lineRule="auto"/>
        <w:jc w:val="both"/>
        <w:rPr>
          <w:rFonts w:ascii="Palatino Linotype" w:eastAsia="Palatino Linotype" w:hAnsi="Palatino Linotype" w:cs="Palatino Linotype"/>
        </w:rPr>
      </w:pPr>
    </w:p>
    <w:p w14:paraId="04793F8C" w14:textId="77777777" w:rsidR="00EC4447" w:rsidRDefault="00EC4447">
      <w:pPr>
        <w:spacing w:line="360" w:lineRule="auto"/>
        <w:jc w:val="both"/>
        <w:rPr>
          <w:rFonts w:ascii="Palatino Linotype" w:eastAsia="Palatino Linotype" w:hAnsi="Palatino Linotype" w:cs="Palatino Linotype"/>
        </w:rPr>
      </w:pPr>
    </w:p>
    <w:p w14:paraId="3A879CBA" w14:textId="77777777" w:rsidR="00EC4447" w:rsidRDefault="00EC4447">
      <w:pPr>
        <w:spacing w:line="360" w:lineRule="auto"/>
        <w:jc w:val="both"/>
        <w:rPr>
          <w:rFonts w:ascii="Palatino Linotype" w:eastAsia="Palatino Linotype" w:hAnsi="Palatino Linotype" w:cs="Palatino Linotype"/>
        </w:rPr>
      </w:pPr>
    </w:p>
    <w:p w14:paraId="7F944E41" w14:textId="77777777" w:rsidR="00EC4447" w:rsidRDefault="00EC4447">
      <w:pPr>
        <w:spacing w:line="360" w:lineRule="auto"/>
        <w:jc w:val="both"/>
        <w:rPr>
          <w:rFonts w:ascii="Palatino Linotype" w:eastAsia="Palatino Linotype" w:hAnsi="Palatino Linotype" w:cs="Palatino Linotype"/>
        </w:rPr>
      </w:pPr>
    </w:p>
    <w:p w14:paraId="778B06C6" w14:textId="77777777" w:rsidR="00EC4447" w:rsidRDefault="00EC4447">
      <w:pPr>
        <w:spacing w:line="360" w:lineRule="auto"/>
        <w:jc w:val="both"/>
        <w:rPr>
          <w:rFonts w:ascii="Palatino Linotype" w:eastAsia="Palatino Linotype" w:hAnsi="Palatino Linotype" w:cs="Palatino Linotype"/>
        </w:rPr>
      </w:pPr>
    </w:p>
    <w:p w14:paraId="2B8FE12D" w14:textId="77777777" w:rsidR="00EC4447" w:rsidRDefault="00EC4447">
      <w:pPr>
        <w:spacing w:line="360" w:lineRule="auto"/>
        <w:jc w:val="both"/>
        <w:rPr>
          <w:rFonts w:ascii="Palatino Linotype" w:eastAsia="Palatino Linotype" w:hAnsi="Palatino Linotype" w:cs="Palatino Linotype"/>
        </w:rPr>
      </w:pPr>
    </w:p>
    <w:p w14:paraId="49BE4FF1" w14:textId="77777777" w:rsidR="00EC4447" w:rsidRDefault="00EC4447">
      <w:pPr>
        <w:spacing w:line="360" w:lineRule="auto"/>
        <w:jc w:val="both"/>
        <w:rPr>
          <w:rFonts w:ascii="Palatino Linotype" w:eastAsia="Palatino Linotype" w:hAnsi="Palatino Linotype" w:cs="Palatino Linotype"/>
        </w:rPr>
      </w:pPr>
    </w:p>
    <w:p w14:paraId="250DAD2A" w14:textId="77777777" w:rsidR="00EC4447" w:rsidRDefault="00EC4447">
      <w:pPr>
        <w:spacing w:line="360" w:lineRule="auto"/>
        <w:jc w:val="both"/>
        <w:rPr>
          <w:rFonts w:ascii="Palatino Linotype" w:eastAsia="Palatino Linotype" w:hAnsi="Palatino Linotype" w:cs="Palatino Linotype"/>
        </w:rPr>
      </w:pPr>
    </w:p>
    <w:p w14:paraId="18B8EB38" w14:textId="77777777" w:rsidR="00EC4447" w:rsidRDefault="00EC4447">
      <w:pPr>
        <w:spacing w:line="360" w:lineRule="auto"/>
        <w:jc w:val="both"/>
        <w:rPr>
          <w:rFonts w:ascii="Palatino Linotype" w:eastAsia="Palatino Linotype" w:hAnsi="Palatino Linotype" w:cs="Palatino Linotype"/>
        </w:rPr>
      </w:pPr>
    </w:p>
    <w:p w14:paraId="09247759" w14:textId="77777777" w:rsidR="00EC4447" w:rsidRDefault="00EC4447">
      <w:pPr>
        <w:spacing w:line="360" w:lineRule="auto"/>
        <w:jc w:val="both"/>
        <w:rPr>
          <w:rFonts w:ascii="Palatino Linotype" w:eastAsia="Palatino Linotype" w:hAnsi="Palatino Linotype" w:cs="Palatino Linotype"/>
        </w:rPr>
      </w:pPr>
    </w:p>
    <w:p w14:paraId="5703470E" w14:textId="77777777" w:rsidR="00EC4447" w:rsidRDefault="00EC4447">
      <w:pPr>
        <w:spacing w:line="360" w:lineRule="auto"/>
        <w:jc w:val="both"/>
        <w:rPr>
          <w:rFonts w:ascii="Palatino Linotype" w:eastAsia="Palatino Linotype" w:hAnsi="Palatino Linotype" w:cs="Palatino Linotype"/>
        </w:rPr>
      </w:pPr>
    </w:p>
    <w:p w14:paraId="33C9C6FE" w14:textId="77777777" w:rsidR="00EC4447" w:rsidRDefault="00EC4447">
      <w:pPr>
        <w:spacing w:line="360" w:lineRule="auto"/>
        <w:jc w:val="both"/>
        <w:rPr>
          <w:rFonts w:ascii="Palatino Linotype" w:eastAsia="Palatino Linotype" w:hAnsi="Palatino Linotype" w:cs="Palatino Linotype"/>
        </w:rPr>
      </w:pPr>
    </w:p>
    <w:p w14:paraId="5EE3CF1F" w14:textId="77777777" w:rsidR="00EC4447" w:rsidRDefault="00EC4447">
      <w:pPr>
        <w:spacing w:line="360" w:lineRule="auto"/>
        <w:jc w:val="both"/>
        <w:rPr>
          <w:rFonts w:ascii="Palatino Linotype" w:eastAsia="Palatino Linotype" w:hAnsi="Palatino Linotype" w:cs="Palatino Linotype"/>
        </w:rPr>
      </w:pPr>
    </w:p>
    <w:p w14:paraId="648DB1B9" w14:textId="77777777" w:rsidR="00EC4447" w:rsidRDefault="00EC4447">
      <w:pPr>
        <w:spacing w:line="360" w:lineRule="auto"/>
        <w:jc w:val="both"/>
        <w:rPr>
          <w:rFonts w:ascii="Palatino Linotype" w:eastAsia="Palatino Linotype" w:hAnsi="Palatino Linotype" w:cs="Palatino Linotype"/>
        </w:rPr>
      </w:pPr>
    </w:p>
    <w:p w14:paraId="2AE801C4" w14:textId="77777777" w:rsidR="00EC4447" w:rsidRDefault="00EC4447">
      <w:pPr>
        <w:spacing w:line="360" w:lineRule="auto"/>
        <w:jc w:val="both"/>
        <w:rPr>
          <w:rFonts w:ascii="Palatino Linotype" w:eastAsia="Palatino Linotype" w:hAnsi="Palatino Linotype" w:cs="Palatino Linotype"/>
        </w:rPr>
      </w:pPr>
    </w:p>
    <w:sectPr w:rsidR="00EC4447">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0C4DD9" w14:textId="77777777" w:rsidR="00A8441F" w:rsidRDefault="00A8441F">
      <w:r>
        <w:separator/>
      </w:r>
    </w:p>
  </w:endnote>
  <w:endnote w:type="continuationSeparator" w:id="0">
    <w:p w14:paraId="3D4D22A9" w14:textId="77777777" w:rsidR="00A8441F" w:rsidRDefault="00A84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FA6C5" w14:textId="77777777" w:rsidR="00EC4447" w:rsidRDefault="00D570E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D685C">
      <w:rPr>
        <w:rFonts w:ascii="Palatino Linotype" w:eastAsia="Palatino Linotype" w:hAnsi="Palatino Linotype" w:cs="Palatino Linotype"/>
        <w:noProof/>
        <w:color w:val="000000"/>
        <w:sz w:val="22"/>
        <w:szCs w:val="22"/>
      </w:rPr>
      <w:t>4</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D685C">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5106F" w14:textId="77777777" w:rsidR="00EC4447" w:rsidRDefault="00D570E2">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D685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D685C">
      <w:rPr>
        <w:rFonts w:ascii="Palatino Linotype" w:eastAsia="Palatino Linotype" w:hAnsi="Palatino Linotype" w:cs="Palatino Linotype"/>
        <w:noProof/>
        <w:color w:val="000000"/>
        <w:sz w:val="22"/>
        <w:szCs w:val="22"/>
      </w:rPr>
      <w:t>33</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807D14" w14:textId="77777777" w:rsidR="00A8441F" w:rsidRDefault="00A8441F">
      <w:r>
        <w:separator/>
      </w:r>
    </w:p>
  </w:footnote>
  <w:footnote w:type="continuationSeparator" w:id="0">
    <w:p w14:paraId="21A4A07B" w14:textId="77777777" w:rsidR="00A8441F" w:rsidRDefault="00A8441F">
      <w:r>
        <w:continuationSeparator/>
      </w:r>
    </w:p>
  </w:footnote>
  <w:footnote w:id="1">
    <w:p w14:paraId="442C60AB" w14:textId="77777777" w:rsidR="00EC4447" w:rsidRDefault="00D570E2">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5180C" w14:textId="77777777" w:rsidR="00EC4447" w:rsidRDefault="00A8441F">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6DDD6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style="position:absolute;margin-left:0;margin-top:0;width:540pt;height:10in;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C4B46" w14:textId="77777777" w:rsidR="00EC4447" w:rsidRDefault="00A8441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sz w:val="28"/>
        <w:szCs w:val="28"/>
      </w:rPr>
      <w:pict w14:anchorId="60DA8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RESOLUCIÓN" style="position:absolute;margin-left:138.05pt;margin-top:-111.95pt;width:540pt;height:10in;z-index:-251659776;mso-position-horizontal:absolute;mso-position-horizontal-relative:margin;mso-position-vertical:absolute;mso-position-vertical-relative:margin">
          <v:imagedata r:id="rId1" o:title="image2" croptop="-8531f" cropbottom="8531f" cropleft="19205f" cropright="-19205f"/>
          <w10:wrap anchorx="margin" anchory="margin"/>
        </v:shape>
      </w:pict>
    </w:r>
  </w:p>
  <w:tbl>
    <w:tblPr>
      <w:tblStyle w:val="affff2"/>
      <w:tblW w:w="9534" w:type="dxa"/>
      <w:tblInd w:w="-142" w:type="dxa"/>
      <w:tblLayout w:type="fixed"/>
      <w:tblLook w:val="0400" w:firstRow="0" w:lastRow="0" w:firstColumn="0" w:lastColumn="0" w:noHBand="0" w:noVBand="1"/>
    </w:tblPr>
    <w:tblGrid>
      <w:gridCol w:w="3261"/>
      <w:gridCol w:w="2551"/>
      <w:gridCol w:w="3722"/>
    </w:tblGrid>
    <w:tr w:rsidR="00EC4447" w14:paraId="01A41CAF" w14:textId="77777777">
      <w:tc>
        <w:tcPr>
          <w:tcW w:w="3261" w:type="dxa"/>
          <w:vMerge w:val="restart"/>
        </w:tcPr>
        <w:p w14:paraId="336099DE" w14:textId="77777777" w:rsidR="00EC4447" w:rsidRDefault="00D570E2">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3B90FB0E" wp14:editId="43FC29F1">
                <wp:extent cx="1692162" cy="852673"/>
                <wp:effectExtent l="0" t="0" r="0" b="0"/>
                <wp:docPr id="9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1BFBA088" w14:textId="77777777" w:rsidR="00EC4447" w:rsidRDefault="00DF48EB">
          <w:pPr>
            <w:rPr>
              <w:rFonts w:ascii="Palatino Linotype" w:eastAsia="Palatino Linotype" w:hAnsi="Palatino Linotype" w:cs="Palatino Linotype"/>
              <w:b/>
            </w:rPr>
          </w:pPr>
          <w:r>
            <w:rPr>
              <w:rFonts w:ascii="Palatino Linotype" w:eastAsia="Palatino Linotype" w:hAnsi="Palatino Linotype" w:cs="Palatino Linotype"/>
              <w:b/>
            </w:rPr>
            <w:t>Recurso de R</w:t>
          </w:r>
          <w:r w:rsidR="00D570E2">
            <w:rPr>
              <w:rFonts w:ascii="Palatino Linotype" w:eastAsia="Palatino Linotype" w:hAnsi="Palatino Linotype" w:cs="Palatino Linotype"/>
              <w:b/>
            </w:rPr>
            <w:t>evisión:</w:t>
          </w:r>
        </w:p>
      </w:tc>
      <w:tc>
        <w:tcPr>
          <w:tcW w:w="3722" w:type="dxa"/>
          <w:shd w:val="clear" w:color="auto" w:fill="auto"/>
          <w:vAlign w:val="center"/>
        </w:tcPr>
        <w:p w14:paraId="1F4A54CE" w14:textId="77777777" w:rsidR="00EC4447" w:rsidRDefault="00D570E2">
          <w:pPr>
            <w:jc w:val="both"/>
            <w:rPr>
              <w:rFonts w:ascii="Palatino Linotype" w:eastAsia="Palatino Linotype" w:hAnsi="Palatino Linotype" w:cs="Palatino Linotype"/>
              <w:b/>
            </w:rPr>
          </w:pPr>
          <w:r>
            <w:rPr>
              <w:rFonts w:ascii="Palatino Linotype" w:eastAsia="Palatino Linotype" w:hAnsi="Palatino Linotype" w:cs="Palatino Linotype"/>
              <w:b/>
            </w:rPr>
            <w:t>00807/INFOEM/IP/RR/2022 y acumulado</w:t>
          </w:r>
        </w:p>
      </w:tc>
    </w:tr>
    <w:tr w:rsidR="00EC4447" w14:paraId="23657487" w14:textId="77777777">
      <w:tc>
        <w:tcPr>
          <w:tcW w:w="3261" w:type="dxa"/>
          <w:vMerge/>
        </w:tcPr>
        <w:p w14:paraId="0FED21BF" w14:textId="77777777" w:rsidR="00EC4447" w:rsidRDefault="00EC444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7344A66" w14:textId="77777777" w:rsidR="00EC4447" w:rsidRDefault="00D570E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4C16D7E6" w14:textId="77777777" w:rsidR="00EC4447" w:rsidRDefault="00D570E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Chimalhuacán </w:t>
          </w:r>
        </w:p>
      </w:tc>
    </w:tr>
    <w:tr w:rsidR="00EC4447" w14:paraId="19638F98" w14:textId="77777777">
      <w:trPr>
        <w:trHeight w:val="228"/>
      </w:trPr>
      <w:tc>
        <w:tcPr>
          <w:tcW w:w="3261" w:type="dxa"/>
          <w:vMerge/>
        </w:tcPr>
        <w:p w14:paraId="0634124C" w14:textId="77777777" w:rsidR="00EC4447" w:rsidRDefault="00EC444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16AEAA61" w14:textId="77777777" w:rsidR="00EC4447" w:rsidRDefault="00D570E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45CB0AA1" w14:textId="77777777" w:rsidR="00EC4447" w:rsidRDefault="00D570E2">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1B886A2D" w14:textId="77777777" w:rsidR="00EC4447" w:rsidRDefault="00EC4447">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0F0AE" w14:textId="77777777" w:rsidR="00EC4447" w:rsidRDefault="00A8441F">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3BE1E4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8752;mso-position-horizontal:center;mso-position-horizontal-relative:margin;mso-position-vertical:center;mso-position-vertical-relative:margin">
          <v:imagedata r:id="rId1" o:title="image2"/>
          <w10:wrap anchorx="margin" anchory="margin"/>
        </v:shape>
      </w:pict>
    </w:r>
  </w:p>
  <w:tbl>
    <w:tblPr>
      <w:tblStyle w:val="affff3"/>
      <w:tblW w:w="9900" w:type="dxa"/>
      <w:tblInd w:w="-833" w:type="dxa"/>
      <w:tblLayout w:type="fixed"/>
      <w:tblLook w:val="0400" w:firstRow="0" w:lastRow="0" w:firstColumn="0" w:lastColumn="0" w:noHBand="0" w:noVBand="1"/>
    </w:tblPr>
    <w:tblGrid>
      <w:gridCol w:w="3805"/>
      <w:gridCol w:w="3000"/>
      <w:gridCol w:w="3095"/>
    </w:tblGrid>
    <w:tr w:rsidR="00EC4447" w14:paraId="1339CC7D" w14:textId="77777777">
      <w:tc>
        <w:tcPr>
          <w:tcW w:w="3805" w:type="dxa"/>
          <w:vMerge w:val="restart"/>
          <w:shd w:val="clear" w:color="auto" w:fill="auto"/>
        </w:tcPr>
        <w:p w14:paraId="016DF232" w14:textId="77777777" w:rsidR="00EC4447" w:rsidRDefault="00D570E2">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64186B41" wp14:editId="17D792EE">
                <wp:extent cx="1692162" cy="852673"/>
                <wp:effectExtent l="0" t="0" r="0" b="0"/>
                <wp:docPr id="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71F1175E" w14:textId="77777777" w:rsidR="00EC4447" w:rsidRDefault="00D570E2">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491A5B9F" w14:textId="77777777" w:rsidR="00EC4447" w:rsidRDefault="00D570E2">
          <w:pPr>
            <w:jc w:val="both"/>
            <w:rPr>
              <w:rFonts w:ascii="Palatino Linotype" w:eastAsia="Palatino Linotype" w:hAnsi="Palatino Linotype" w:cs="Palatino Linotype"/>
              <w:b/>
            </w:rPr>
          </w:pPr>
          <w:r>
            <w:rPr>
              <w:rFonts w:ascii="Palatino Linotype" w:eastAsia="Palatino Linotype" w:hAnsi="Palatino Linotype" w:cs="Palatino Linotype"/>
              <w:b/>
            </w:rPr>
            <w:t>00807/INFOEM/IP/RR/2022 y acumulado</w:t>
          </w:r>
        </w:p>
      </w:tc>
    </w:tr>
    <w:tr w:rsidR="00EC4447" w14:paraId="5ACB98A6" w14:textId="77777777">
      <w:tc>
        <w:tcPr>
          <w:tcW w:w="3805" w:type="dxa"/>
          <w:vMerge/>
          <w:shd w:val="clear" w:color="auto" w:fill="auto"/>
        </w:tcPr>
        <w:p w14:paraId="2B669634" w14:textId="77777777" w:rsidR="00EC4447" w:rsidRDefault="00EC444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99D049C" w14:textId="77777777" w:rsidR="00EC4447" w:rsidRDefault="00D570E2">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37C6A598" w14:textId="6D67A949" w:rsidR="00EC4447" w:rsidRDefault="00D807C1" w:rsidP="00D807C1">
          <w:pPr>
            <w:jc w:val="both"/>
            <w:rPr>
              <w:rFonts w:ascii="Palatino Linotype" w:eastAsia="Palatino Linotype" w:hAnsi="Palatino Linotype" w:cs="Palatino Linotype"/>
              <w:b/>
            </w:rPr>
          </w:pPr>
          <w:r>
            <w:rPr>
              <w:rFonts w:ascii="Palatino Linotype" w:eastAsia="Palatino Linotype" w:hAnsi="Palatino Linotype" w:cs="Palatino Linotype"/>
              <w:b/>
            </w:rPr>
            <w:t>X</w:t>
          </w:r>
          <w:r w:rsidR="00E43A02">
            <w:rPr>
              <w:rFonts w:ascii="Palatino Linotype" w:eastAsia="Palatino Linotype" w:hAnsi="Palatino Linotype" w:cs="Palatino Linotype"/>
              <w:b/>
            </w:rPr>
            <w:t>xxxxx</w:t>
          </w:r>
          <w:r w:rsidR="00D570E2">
            <w:rPr>
              <w:rFonts w:ascii="Palatino Linotype" w:eastAsia="Palatino Linotype" w:hAnsi="Palatino Linotype" w:cs="Palatino Linotype"/>
              <w:b/>
            </w:rPr>
            <w:t xml:space="preserve"> </w:t>
          </w:r>
          <w:r>
            <w:rPr>
              <w:rFonts w:ascii="Palatino Linotype" w:eastAsia="Palatino Linotype" w:hAnsi="Palatino Linotype" w:cs="Palatino Linotype"/>
              <w:b/>
            </w:rPr>
            <w:t>X</w:t>
          </w:r>
          <w:r w:rsidR="00E43A02">
            <w:rPr>
              <w:rFonts w:ascii="Palatino Linotype" w:eastAsia="Palatino Linotype" w:hAnsi="Palatino Linotype" w:cs="Palatino Linotype"/>
              <w:b/>
            </w:rPr>
            <w:t xml:space="preserve">xxxx </w:t>
          </w:r>
          <w:r>
            <w:rPr>
              <w:rFonts w:ascii="Palatino Linotype" w:eastAsia="Palatino Linotype" w:hAnsi="Palatino Linotype" w:cs="Palatino Linotype"/>
              <w:b/>
            </w:rPr>
            <w:t>X</w:t>
          </w:r>
          <w:r w:rsidR="00E43A02">
            <w:rPr>
              <w:rFonts w:ascii="Palatino Linotype" w:eastAsia="Palatino Linotype" w:hAnsi="Palatino Linotype" w:cs="Palatino Linotype"/>
              <w:b/>
            </w:rPr>
            <w:t>xxxx</w:t>
          </w:r>
        </w:p>
      </w:tc>
    </w:tr>
    <w:tr w:rsidR="00EC4447" w14:paraId="20F49E6B" w14:textId="77777777">
      <w:trPr>
        <w:trHeight w:val="228"/>
      </w:trPr>
      <w:tc>
        <w:tcPr>
          <w:tcW w:w="3805" w:type="dxa"/>
          <w:vMerge/>
          <w:shd w:val="clear" w:color="auto" w:fill="auto"/>
        </w:tcPr>
        <w:p w14:paraId="4FAC0FBD" w14:textId="77777777" w:rsidR="00EC4447" w:rsidRDefault="00EC444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6E4B408" w14:textId="77777777" w:rsidR="00EC4447" w:rsidRDefault="00D570E2">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5EDB5FBC" w14:textId="77777777" w:rsidR="00EC4447" w:rsidRDefault="00D570E2">
          <w:pPr>
            <w:jc w:val="both"/>
            <w:rPr>
              <w:rFonts w:ascii="Palatino Linotype" w:eastAsia="Palatino Linotype" w:hAnsi="Palatino Linotype" w:cs="Palatino Linotype"/>
              <w:b/>
            </w:rPr>
          </w:pPr>
          <w:r>
            <w:rPr>
              <w:rFonts w:ascii="Palatino Linotype" w:eastAsia="Palatino Linotype" w:hAnsi="Palatino Linotype" w:cs="Palatino Linotype"/>
              <w:b/>
            </w:rPr>
            <w:t>Ayuntamiento de Chimalhuacán</w:t>
          </w:r>
        </w:p>
      </w:tc>
    </w:tr>
    <w:tr w:rsidR="00EC4447" w14:paraId="43744611" w14:textId="77777777">
      <w:tc>
        <w:tcPr>
          <w:tcW w:w="3805" w:type="dxa"/>
          <w:vMerge/>
          <w:shd w:val="clear" w:color="auto" w:fill="auto"/>
        </w:tcPr>
        <w:p w14:paraId="636E30A8" w14:textId="77777777" w:rsidR="00EC4447" w:rsidRDefault="00EC4447">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54D894E" w14:textId="77777777" w:rsidR="00EC4447" w:rsidRDefault="00D570E2">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5A993ADE" w14:textId="77777777" w:rsidR="00EC4447" w:rsidRDefault="00D570E2">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5EB0D7D6" w14:textId="77777777" w:rsidR="00EC4447" w:rsidRDefault="00EC4447">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10776"/>
    <w:multiLevelType w:val="multilevel"/>
    <w:tmpl w:val="B59C9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3ED249A4"/>
    <w:multiLevelType w:val="multilevel"/>
    <w:tmpl w:val="A8D47C60"/>
    <w:lvl w:ilvl="0">
      <w:start w:val="1"/>
      <w:numFmt w:val="lowerLetter"/>
      <w:lvlText w:val="%1)"/>
      <w:lvlJc w:val="left"/>
      <w:pPr>
        <w:ind w:left="360" w:hanging="360"/>
      </w:pPr>
      <w:rPr>
        <w:rFonts w:ascii="Palatino Linotype" w:eastAsia="Palatino Linotype" w:hAnsi="Palatino Linotype" w:cs="Palatino Linotype"/>
      </w:rPr>
    </w:lvl>
    <w:lvl w:ilvl="1">
      <w:start w:val="1"/>
      <w:numFmt w:val="decimal"/>
      <w:lvlText w:val="o"/>
      <w:lvlJc w:val="left"/>
      <w:pPr>
        <w:ind w:left="1080" w:hanging="360"/>
      </w:pPr>
      <w:rPr>
        <w:rFonts w:ascii="Courier New" w:eastAsia="Courier New" w:hAnsi="Courier New" w:cs="Courier New"/>
      </w:rPr>
    </w:lvl>
    <w:lvl w:ilvl="2">
      <w:start w:val="1"/>
      <w:numFmt w:val="decimal"/>
      <w:lvlText w:val=""/>
      <w:lvlJc w:val="left"/>
      <w:pPr>
        <w:ind w:left="1800" w:hanging="360"/>
      </w:pPr>
      <w:rPr>
        <w:rFonts w:ascii="Noto Sans Symbols" w:eastAsia="Noto Sans Symbols" w:hAnsi="Noto Sans Symbols" w:cs="Noto Sans Symbols"/>
      </w:rPr>
    </w:lvl>
    <w:lvl w:ilvl="3">
      <w:start w:val="1"/>
      <w:numFmt w:val="decimal"/>
      <w:lvlText w:val=""/>
      <w:lvlJc w:val="left"/>
      <w:pPr>
        <w:ind w:left="2520" w:hanging="360"/>
      </w:pPr>
      <w:rPr>
        <w:rFonts w:ascii="Noto Sans Symbols" w:eastAsia="Noto Sans Symbols" w:hAnsi="Noto Sans Symbols" w:cs="Noto Sans Symbols"/>
      </w:rPr>
    </w:lvl>
    <w:lvl w:ilvl="4">
      <w:start w:val="1"/>
      <w:numFmt w:val="decimal"/>
      <w:lvlText w:val="o"/>
      <w:lvlJc w:val="left"/>
      <w:pPr>
        <w:ind w:left="3240" w:hanging="360"/>
      </w:pPr>
      <w:rPr>
        <w:rFonts w:ascii="Courier New" w:eastAsia="Courier New" w:hAnsi="Courier New" w:cs="Courier New"/>
      </w:rPr>
    </w:lvl>
    <w:lvl w:ilvl="5">
      <w:start w:val="1"/>
      <w:numFmt w:val="decimal"/>
      <w:lvlText w:val=""/>
      <w:lvlJc w:val="left"/>
      <w:pPr>
        <w:ind w:left="3960" w:hanging="360"/>
      </w:pPr>
      <w:rPr>
        <w:rFonts w:ascii="Noto Sans Symbols" w:eastAsia="Noto Sans Symbols" w:hAnsi="Noto Sans Symbols" w:cs="Noto Sans Symbols"/>
      </w:rPr>
    </w:lvl>
    <w:lvl w:ilvl="6">
      <w:start w:val="1"/>
      <w:numFmt w:val="decimal"/>
      <w:lvlText w:val=""/>
      <w:lvlJc w:val="left"/>
      <w:pPr>
        <w:ind w:left="4680" w:hanging="360"/>
      </w:pPr>
      <w:rPr>
        <w:rFonts w:ascii="Noto Sans Symbols" w:eastAsia="Noto Sans Symbols" w:hAnsi="Noto Sans Symbols" w:cs="Noto Sans Symbols"/>
      </w:rPr>
    </w:lvl>
    <w:lvl w:ilvl="7">
      <w:start w:val="1"/>
      <w:numFmt w:val="decimal"/>
      <w:lvlText w:val="o"/>
      <w:lvlJc w:val="left"/>
      <w:pPr>
        <w:ind w:left="5400" w:hanging="360"/>
      </w:pPr>
      <w:rPr>
        <w:rFonts w:ascii="Courier New" w:eastAsia="Courier New" w:hAnsi="Courier New" w:cs="Courier New"/>
      </w:rPr>
    </w:lvl>
    <w:lvl w:ilvl="8">
      <w:start w:val="1"/>
      <w:numFmt w:val="decimal"/>
      <w:lvlText w:val=""/>
      <w:lvlJc w:val="left"/>
      <w:pPr>
        <w:ind w:left="6120" w:hanging="360"/>
      </w:pPr>
      <w:rPr>
        <w:rFonts w:ascii="Noto Sans Symbols" w:eastAsia="Noto Sans Symbols" w:hAnsi="Noto Sans Symbols" w:cs="Noto Sans Symbols"/>
      </w:rPr>
    </w:lvl>
  </w:abstractNum>
  <w:abstractNum w:abstractNumId="2">
    <w:nsid w:val="582A78D8"/>
    <w:multiLevelType w:val="multilevel"/>
    <w:tmpl w:val="A540F7B0"/>
    <w:lvl w:ilvl="0">
      <w:start w:val="1"/>
      <w:numFmt w:val="bullet"/>
      <w:lvlText w:val="●"/>
      <w:lvlJc w:val="left"/>
      <w:pPr>
        <w:ind w:left="566"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35C10A2"/>
    <w:multiLevelType w:val="multilevel"/>
    <w:tmpl w:val="97E83E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0704F6A"/>
    <w:multiLevelType w:val="multilevel"/>
    <w:tmpl w:val="9ADA0F7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nsid w:val="721F6B2B"/>
    <w:multiLevelType w:val="multilevel"/>
    <w:tmpl w:val="4A4CBB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447"/>
    <w:rsid w:val="0018772C"/>
    <w:rsid w:val="002B7F8B"/>
    <w:rsid w:val="002D685C"/>
    <w:rsid w:val="004C5F17"/>
    <w:rsid w:val="005A7584"/>
    <w:rsid w:val="00964B9F"/>
    <w:rsid w:val="00A8441F"/>
    <w:rsid w:val="00D14148"/>
    <w:rsid w:val="00D529B4"/>
    <w:rsid w:val="00D570E2"/>
    <w:rsid w:val="00D807C1"/>
    <w:rsid w:val="00DF48EB"/>
    <w:rsid w:val="00E04EAC"/>
    <w:rsid w:val="00E43A02"/>
    <w:rsid w:val="00EC44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7245FA0"/>
  <w15:docId w15:val="{AACAFF20-CB0E-4B1B-B4B8-2DFE7A04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d"/>
    <w:tblPr>
      <w:tblStyleRowBandSize w:val="1"/>
      <w:tblStyleColBandSize w:val="1"/>
      <w:tblCellMar>
        <w:top w:w="100" w:type="dxa"/>
        <w:left w:w="100" w:type="dxa"/>
        <w:bottom w:w="100" w:type="dxa"/>
        <w:right w:w="100" w:type="dxa"/>
      </w:tblCellMar>
    </w:tblPr>
  </w:style>
  <w:style w:type="table" w:customStyle="1" w:styleId="a0">
    <w:basedOn w:val="TableNormald"/>
    <w:tblPr>
      <w:tblStyleRowBandSize w:val="1"/>
      <w:tblStyleColBandSize w:val="1"/>
      <w:tblCellMar>
        <w:top w:w="0" w:type="dxa"/>
        <w:left w:w="115" w:type="dxa"/>
        <w:bottom w:w="0" w:type="dxa"/>
        <w:right w:w="115" w:type="dxa"/>
      </w:tblCellMar>
    </w:tblPr>
  </w:style>
  <w:style w:type="table" w:customStyle="1" w:styleId="a1">
    <w:basedOn w:val="TableNormald"/>
    <w:tblPr>
      <w:tblStyleRowBandSize w:val="1"/>
      <w:tblStyleColBandSize w:val="1"/>
      <w:tblCellMar>
        <w:top w:w="0" w:type="dxa"/>
        <w:left w:w="115" w:type="dxa"/>
        <w:bottom w:w="0" w:type="dxa"/>
        <w:right w:w="115" w:type="dxa"/>
      </w:tblCellMar>
    </w:tblPr>
  </w:style>
  <w:style w:type="table" w:customStyle="1" w:styleId="a2">
    <w:basedOn w:val="TableNormald"/>
    <w:tblPr>
      <w:tblStyleRowBandSize w:val="1"/>
      <w:tblStyleColBandSize w:val="1"/>
      <w:tblCellMar>
        <w:top w:w="0" w:type="dxa"/>
        <w:left w:w="115" w:type="dxa"/>
        <w:bottom w:w="0" w:type="dxa"/>
        <w:right w:w="115" w:type="dxa"/>
      </w:tblCellMar>
    </w:tblPr>
  </w:style>
  <w:style w:type="table" w:customStyle="1" w:styleId="a3">
    <w:basedOn w:val="TableNormald"/>
    <w:tblPr>
      <w:tblStyleRowBandSize w:val="1"/>
      <w:tblStyleColBandSize w:val="1"/>
      <w:tblCellMar>
        <w:top w:w="0" w:type="dxa"/>
        <w:left w:w="115" w:type="dxa"/>
        <w:bottom w:w="0" w:type="dxa"/>
        <w:right w:w="115" w:type="dxa"/>
      </w:tblCellMar>
    </w:tblPr>
  </w:style>
  <w:style w:type="table" w:customStyle="1" w:styleId="a4">
    <w:basedOn w:val="TableNormald"/>
    <w:tblPr>
      <w:tblStyleRowBandSize w:val="1"/>
      <w:tblStyleColBandSize w:val="1"/>
      <w:tblCellMar>
        <w:top w:w="0" w:type="dxa"/>
        <w:left w:w="115" w:type="dxa"/>
        <w:bottom w:w="0" w:type="dxa"/>
        <w:right w:w="115" w:type="dxa"/>
      </w:tblCellMar>
    </w:tblPr>
  </w:style>
  <w:style w:type="table" w:customStyle="1" w:styleId="a5">
    <w:basedOn w:val="TableNormald"/>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6">
    <w:basedOn w:val="TableNormald"/>
    <w:tblPr>
      <w:tblStyleRowBandSize w:val="1"/>
      <w:tblStyleColBandSize w:val="1"/>
      <w:tblCellMar>
        <w:top w:w="0" w:type="dxa"/>
        <w:left w:w="115" w:type="dxa"/>
        <w:bottom w:w="0" w:type="dxa"/>
        <w:right w:w="115" w:type="dxa"/>
      </w:tblCellMar>
    </w:tblPr>
  </w:style>
  <w:style w:type="table" w:customStyle="1" w:styleId="a7">
    <w:basedOn w:val="TableNormald"/>
    <w:tblPr>
      <w:tblStyleRowBandSize w:val="1"/>
      <w:tblStyleColBandSize w:val="1"/>
      <w:tblCellMar>
        <w:top w:w="0" w:type="dxa"/>
        <w:left w:w="115" w:type="dxa"/>
        <w:bottom w:w="0" w:type="dxa"/>
        <w:right w:w="115" w:type="dxa"/>
      </w:tblCellMar>
    </w:tblPr>
  </w:style>
  <w:style w:type="table" w:customStyle="1" w:styleId="a8">
    <w:basedOn w:val="TableNormald"/>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9">
    <w:basedOn w:val="TableNormald"/>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a">
    <w:basedOn w:val="TableNormala"/>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b">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a"/>
    <w:tblPr>
      <w:tblStyleRowBandSize w:val="1"/>
      <w:tblStyleColBandSize w:val="1"/>
      <w:tblCellMar>
        <w:top w:w="100" w:type="dxa"/>
        <w:left w:w="100" w:type="dxa"/>
        <w:bottom w:w="100" w:type="dxa"/>
        <w:right w:w="100" w:type="dxa"/>
      </w:tblCellMar>
    </w:tblPr>
  </w:style>
  <w:style w:type="table" w:customStyle="1" w:styleId="af4">
    <w:basedOn w:val="TableNormala"/>
    <w:tblPr>
      <w:tblStyleRowBandSize w:val="1"/>
      <w:tblStyleColBandSize w:val="1"/>
      <w:tblCellMar>
        <w:top w:w="100" w:type="dxa"/>
        <w:left w:w="100" w:type="dxa"/>
        <w:bottom w:w="100" w:type="dxa"/>
        <w:right w:w="100" w:type="dxa"/>
      </w:tblCellMar>
    </w:tblPr>
  </w:style>
  <w:style w:type="table" w:customStyle="1" w:styleId="af5">
    <w:basedOn w:val="TableNormala"/>
    <w:tblPr>
      <w:tblStyleRowBandSize w:val="1"/>
      <w:tblStyleColBandSize w:val="1"/>
      <w:tblCellMar>
        <w:top w:w="100" w:type="dxa"/>
        <w:left w:w="100" w:type="dxa"/>
        <w:bottom w:w="100" w:type="dxa"/>
        <w:right w:w="100" w:type="dxa"/>
      </w:tblCellMar>
    </w:tblPr>
  </w:style>
  <w:style w:type="table" w:customStyle="1" w:styleId="af6">
    <w:basedOn w:val="TableNormala"/>
    <w:tblPr>
      <w:tblStyleRowBandSize w:val="1"/>
      <w:tblStyleColBandSize w:val="1"/>
      <w:tblCellMar>
        <w:top w:w="100" w:type="dxa"/>
        <w:left w:w="100" w:type="dxa"/>
        <w:bottom w:w="100" w:type="dxa"/>
        <w:right w:w="100" w:type="dxa"/>
      </w:tblCellMar>
    </w:tblPr>
  </w:style>
  <w:style w:type="table" w:customStyle="1" w:styleId="af7">
    <w:basedOn w:val="TableNormala"/>
    <w:tblPr>
      <w:tblStyleRowBandSize w:val="1"/>
      <w:tblStyleColBandSize w:val="1"/>
      <w:tblCellMar>
        <w:top w:w="100" w:type="dxa"/>
        <w:left w:w="100" w:type="dxa"/>
        <w:bottom w:w="100" w:type="dxa"/>
        <w:right w:w="100" w:type="dxa"/>
      </w:tblCellMar>
    </w:tblPr>
  </w:style>
  <w:style w:type="table" w:customStyle="1" w:styleId="af8">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a"/>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6"/>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5"/>
    <w:rPr>
      <w:rFonts w:ascii="Arial" w:eastAsia="Arial" w:hAnsi="Arial" w:cs="Arial"/>
      <w:sz w:val="22"/>
      <w:szCs w:val="22"/>
    </w:rPr>
    <w:tblPr>
      <w:tblStyleRowBandSize w:val="1"/>
      <w:tblStyleColBandSize w:val="1"/>
      <w:tblCellMar>
        <w:top w:w="0" w:type="dxa"/>
        <w:left w:w="115" w:type="dxa"/>
        <w:bottom w:w="0" w:type="dxa"/>
        <w:right w:w="115" w:type="dxa"/>
      </w:tblCellMar>
    </w:tblPr>
  </w:style>
  <w:style w:type="table" w:customStyle="1" w:styleId="aff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3">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4">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7">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c">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0"/>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3LKZ+VzsgxNqvnEDd2Sjtjngsw==">AMUW2mXlRZLcGV2Bha7PSuakbqPrBVEml470XRG5fYwOq0PGko8RZ+YUztF1sWNs6eFrU3qDZY2jWzjMTIdEGHORjWzTJJP3ZKkoVfsVafNIhYT0ylAmw6z81hiLWZoSFFWG7Mopu3SWdEYyUQTj+JnPawlBZ3I8no/vCYLLwD2ER820WJ7mjzaz654IIkWRA6tW4QID7gXcrYe7XMUhqLY/b+KqS80XsOXSIIO+JQexrm9QHqHjwf5aAgY4YjE5gWqgFYmnSsEPbR2lgZgUerkDF43TxCQS6zn0wHop69gY2pAWCuSWlbZieJOfGOaZqkN/va3Ch4OKI4iIQGJ6mYSX2xtLa9/IT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212183C-9C71-4498-BC5F-DDD086416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8271</Words>
  <Characters>45495</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2022-05-09T05:18:00Z</cp:lastPrinted>
  <dcterms:created xsi:type="dcterms:W3CDTF">2022-06-09T17:26:00Z</dcterms:created>
  <dcterms:modified xsi:type="dcterms:W3CDTF">2022-06-09T17:26:00Z</dcterms:modified>
</cp:coreProperties>
</file>