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A6291"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14:paraId="6C243DCC" w14:textId="33DD41C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05519/INFOEM/IP/RR/2022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B05C3E" w:rsidRPr="00B05C3E">
        <w:rPr>
          <w:rFonts w:ascii="Palatino Linotype" w:eastAsia="Palatino Linotype" w:hAnsi="Palatino Linotype" w:cs="Palatino Linotype"/>
          <w:b/>
        </w:rPr>
        <w:t>XXXXXXXXXXXX XXX XX XXX</w:t>
      </w:r>
      <w:bookmarkStart w:id="0" w:name="_GoBack"/>
      <w:bookmarkEnd w:id="0"/>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00065/MARTIPIR/IP/2022,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San Martín de las Pirámides,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4563B53E" w14:textId="77777777" w:rsidR="003C28EC" w:rsidRDefault="00C84742">
      <w:pPr>
        <w:numPr>
          <w:ilvl w:val="0"/>
          <w:numId w:val="1"/>
        </w:numPr>
        <w:pBdr>
          <w:top w:val="nil"/>
          <w:left w:val="nil"/>
          <w:bottom w:val="nil"/>
          <w:right w:val="nil"/>
          <w:between w:val="nil"/>
        </w:pBdr>
        <w:spacing w:before="240" w:after="240" w:line="360" w:lineRule="auto"/>
        <w:ind w:left="567" w:hanging="83"/>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1D2CE85D" w14:textId="77777777" w:rsidR="003C28EC" w:rsidRDefault="00C8474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tres de marzo del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formuló su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5EDAED48" w14:textId="77777777" w:rsidR="003C28EC" w:rsidRDefault="00C84742">
      <w:pPr>
        <w:spacing w:before="240"/>
        <w:ind w:left="851" w:right="11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w:t>
      </w:r>
      <w:r>
        <w:rPr>
          <w:rFonts w:ascii="Palatino Linotype" w:eastAsia="Palatino Linotype" w:hAnsi="Palatino Linotype" w:cs="Palatino Linotype"/>
          <w:b/>
          <w:i/>
          <w:color w:val="002060"/>
          <w:sz w:val="22"/>
          <w:szCs w:val="22"/>
        </w:rPr>
        <w:t>COPIA SIMPLE DE LOS RECIBOS DE NOMINA CORRESPONDIENTES A LA PRIMERA Y SEGUNDA QUINCENA DE LOS MESES DE ENERO Y FEBRERO DE 2022, DEL PRESIDENTE MUNICIPAL, SINDICO, REGIDORES, SECRETARIO DEL AYUNTAMIENTO, COORDINADORES, DIRECTORES, SUBDIRECTORES Y JEFES DE ÁREA</w:t>
      </w:r>
      <w:r>
        <w:rPr>
          <w:rFonts w:ascii="Palatino Linotype" w:eastAsia="Palatino Linotype" w:hAnsi="Palatino Linotype" w:cs="Palatino Linotype"/>
          <w:i/>
          <w:color w:val="000000"/>
          <w:sz w:val="22"/>
          <w:szCs w:val="22"/>
        </w:rPr>
        <w:t>. GRACIAS” (Sic) (Énfasis añadido)</w:t>
      </w:r>
    </w:p>
    <w:p w14:paraId="0FCDD786" w14:textId="77777777" w:rsidR="003C28EC" w:rsidRDefault="003C28EC">
      <w:pPr>
        <w:ind w:left="851" w:right="1183"/>
        <w:jc w:val="both"/>
        <w:rPr>
          <w:rFonts w:ascii="Palatino Linotype" w:eastAsia="Palatino Linotype" w:hAnsi="Palatino Linotype" w:cs="Palatino Linotype"/>
          <w:i/>
          <w:color w:val="000000"/>
          <w:sz w:val="22"/>
          <w:szCs w:val="22"/>
        </w:rPr>
      </w:pPr>
    </w:p>
    <w:p w14:paraId="66D1E686" w14:textId="77777777" w:rsidR="003C28EC" w:rsidRDefault="00C8474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D85A163"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veintidós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acceso a la información a través del </w:t>
      </w:r>
      <w:r>
        <w:rPr>
          <w:rFonts w:ascii="Palatino Linotype" w:eastAsia="Palatino Linotype" w:hAnsi="Palatino Linotype" w:cs="Palatino Linotype"/>
          <w:b/>
        </w:rPr>
        <w:t>SAIMEX</w:t>
      </w:r>
      <w:r>
        <w:rPr>
          <w:rFonts w:ascii="Palatino Linotype" w:eastAsia="Palatino Linotype" w:hAnsi="Palatino Linotype" w:cs="Palatino Linotype"/>
        </w:rPr>
        <w:t>, la cual se otorgó en los términos siguientes:</w:t>
      </w:r>
    </w:p>
    <w:p w14:paraId="2A8D0C5D" w14:textId="77777777" w:rsidR="003C28EC" w:rsidRDefault="00C84742">
      <w:pPr>
        <w:spacing w:before="240" w:after="240" w:line="276" w:lineRule="auto"/>
        <w:ind w:left="567" w:righ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200483" w14:textId="77777777" w:rsidR="003C28EC" w:rsidRDefault="00C84742">
      <w:pPr>
        <w:spacing w:before="240" w:after="240" w:line="276" w:lineRule="auto"/>
        <w:ind w:firstLine="708"/>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Buenas tardes envió información</w:t>
      </w:r>
    </w:p>
    <w:p w14:paraId="6759B5F5" w14:textId="77777777" w:rsidR="003C28EC" w:rsidRDefault="00C84742">
      <w:pPr>
        <w:spacing w:before="240" w:after="240" w:line="276" w:lineRule="auto"/>
        <w:ind w:firstLine="708"/>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77A663D3" w14:textId="77777777" w:rsidR="003C28EC" w:rsidRDefault="00C84742">
      <w:pPr>
        <w:spacing w:before="240" w:after="240" w:line="276" w:lineRule="auto"/>
        <w:ind w:firstLine="708"/>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GRECIA MARTINEZ ESPINOZA” (Sic)</w:t>
      </w:r>
    </w:p>
    <w:p w14:paraId="45508C7D" w14:textId="77777777" w:rsidR="003C28EC" w:rsidRDefault="00C84742">
      <w:pPr>
        <w:spacing w:before="240" w:after="240" w:line="360" w:lineRule="auto"/>
        <w:ind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Sujeto Obligado adjuntó a su respuesta los siguientes archivos electrónicos: </w:t>
      </w:r>
    </w:p>
    <w:p w14:paraId="3E2A748C" w14:textId="77777777" w:rsidR="003C28EC" w:rsidRDefault="00C84742">
      <w:pPr>
        <w:spacing w:before="240" w:after="240" w:line="360" w:lineRule="auto"/>
        <w:ind w:righ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“Tercera sesión.pdf”: </w:t>
      </w:r>
      <w:r>
        <w:rPr>
          <w:rFonts w:ascii="Palatino Linotype" w:eastAsia="Palatino Linotype" w:hAnsi="Palatino Linotype" w:cs="Palatino Linotype"/>
          <w:color w:val="000000"/>
          <w:sz w:val="22"/>
          <w:szCs w:val="22"/>
        </w:rPr>
        <w:t>Acta de la Tercera Sesión Ordinaria del Comité de Transparencia, celebrada el siete de marzo de dos mil veintidós.</w:t>
      </w:r>
    </w:p>
    <w:p w14:paraId="7DC5F03A" w14:textId="77777777" w:rsidR="003C28EC" w:rsidRDefault="00C84742">
      <w:pPr>
        <w:spacing w:before="240" w:after="240" w:line="360" w:lineRule="auto"/>
        <w:ind w:left="567" w:right="1134"/>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lastRenderedPageBreak/>
        <w:drawing>
          <wp:inline distT="0" distB="0" distL="0" distR="0" wp14:anchorId="7F07353E" wp14:editId="52928CEC">
            <wp:extent cx="5316279" cy="7091392"/>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316279" cy="7091392"/>
                    </a:xfrm>
                    <a:prstGeom prst="rect">
                      <a:avLst/>
                    </a:prstGeom>
                    <a:ln/>
                  </pic:spPr>
                </pic:pic>
              </a:graphicData>
            </a:graphic>
          </wp:inline>
        </w:drawing>
      </w:r>
    </w:p>
    <w:p w14:paraId="2D9DEB51" w14:textId="77777777" w:rsidR="003C28EC" w:rsidRDefault="00C84742">
      <w:pPr>
        <w:spacing w:before="240" w:after="240" w:line="360" w:lineRule="auto"/>
        <w:ind w:left="567" w:righ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“00065 Tesoreria.pdf”: </w:t>
      </w:r>
      <w:r>
        <w:rPr>
          <w:rFonts w:ascii="Palatino Linotype" w:eastAsia="Palatino Linotype" w:hAnsi="Palatino Linotype" w:cs="Palatino Linotype"/>
          <w:color w:val="000000"/>
          <w:sz w:val="22"/>
          <w:szCs w:val="22"/>
        </w:rPr>
        <w:t xml:space="preserve">Documento de dos fojas en el que la Titular de la Unidad de Transparencia, remite la respuesta al particular. </w:t>
      </w:r>
    </w:p>
    <w:p w14:paraId="1E593AD9" w14:textId="77777777" w:rsidR="003C28EC" w:rsidRDefault="00C84742">
      <w:pPr>
        <w:spacing w:before="240" w:after="240" w:line="360" w:lineRule="auto"/>
        <w:ind w:left="567" w:righ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drawing>
          <wp:inline distT="0" distB="0" distL="0" distR="0" wp14:anchorId="5B352E3F" wp14:editId="223C1209">
            <wp:extent cx="4942210" cy="6538663"/>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42210" cy="6538663"/>
                    </a:xfrm>
                    <a:prstGeom prst="rect">
                      <a:avLst/>
                    </a:prstGeom>
                    <a:ln/>
                  </pic:spPr>
                </pic:pic>
              </a:graphicData>
            </a:graphic>
          </wp:inline>
        </w:drawing>
      </w:r>
    </w:p>
    <w:p w14:paraId="6033680D" w14:textId="77777777" w:rsidR="003C28EC" w:rsidRDefault="00C84742">
      <w:pPr>
        <w:spacing w:before="240" w:after="240" w:line="360" w:lineRule="auto"/>
        <w:ind w:left="567" w:right="1134"/>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lastRenderedPageBreak/>
        <w:drawing>
          <wp:inline distT="0" distB="0" distL="0" distR="0" wp14:anchorId="758CB35D" wp14:editId="31C9FDA8">
            <wp:extent cx="5572125" cy="405765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72125" cy="4057650"/>
                    </a:xfrm>
                    <a:prstGeom prst="rect">
                      <a:avLst/>
                    </a:prstGeom>
                    <a:ln/>
                  </pic:spPr>
                </pic:pic>
              </a:graphicData>
            </a:graphic>
          </wp:inline>
        </w:drawing>
      </w:r>
    </w:p>
    <w:p w14:paraId="2F2BB708"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cinco de abril de dos mil veintidós</w:t>
      </w:r>
      <w:r>
        <w:rPr>
          <w:rFonts w:ascii="Palatino Linotype" w:eastAsia="Palatino Linotype" w:hAnsi="Palatino Linotype" w:cs="Palatino Linotype"/>
        </w:rPr>
        <w:t>, a través del cual expresó lo siguiente:</w:t>
      </w:r>
    </w:p>
    <w:p w14:paraId="3B196E7F" w14:textId="77777777" w:rsidR="003C28EC" w:rsidRDefault="00C84742">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9B0C7A4" w14:textId="77777777" w:rsidR="003C28EC" w:rsidRDefault="00C84742">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la información como confidencial” (Sic)</w:t>
      </w:r>
    </w:p>
    <w:p w14:paraId="6DE7BFAF" w14:textId="77777777" w:rsidR="003C28EC" w:rsidRDefault="00C8474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EB185FF" w14:textId="77777777" w:rsidR="003C28EC" w:rsidRDefault="00C84742">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la información como confidencial, que están realizando, para no entregar un documento en versión pública.” (Sic)</w:t>
      </w:r>
    </w:p>
    <w:p w14:paraId="2B6E775B" w14:textId="77777777" w:rsidR="003C28EC" w:rsidRDefault="00C8474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05519/INFOEM/IP/RR/2022,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47E5B14E" w14:textId="77777777" w:rsidR="003C28EC" w:rsidRDefault="003C28EC">
      <w:pPr>
        <w:spacing w:line="360" w:lineRule="auto"/>
        <w:jc w:val="both"/>
        <w:rPr>
          <w:rFonts w:ascii="Palatino Linotype" w:eastAsia="Palatino Linotype" w:hAnsi="Palatino Linotype" w:cs="Palatino Linotype"/>
        </w:rPr>
      </w:pPr>
    </w:p>
    <w:p w14:paraId="51CFCF9B" w14:textId="77777777" w:rsidR="003C28EC" w:rsidRDefault="00C8474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ocho de abril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C5C5815" w14:textId="77777777" w:rsidR="003C28EC" w:rsidRDefault="00C8474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rendir su informe justificado, asimismo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realizar manifestaciones, por lo cual se tiene por precluido su derecho para tal efecto. </w:t>
      </w:r>
    </w:p>
    <w:p w14:paraId="6DABF13F" w14:textId="77777777" w:rsidR="003C28EC" w:rsidRDefault="00C8474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eastAsia="es-MX"/>
        </w:rPr>
        <w:drawing>
          <wp:inline distT="0" distB="0" distL="0" distR="0" wp14:anchorId="2D14EE13" wp14:editId="16FE12CA">
            <wp:extent cx="5753100" cy="1381125"/>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53100" cy="1381125"/>
                    </a:xfrm>
                    <a:prstGeom prst="rect">
                      <a:avLst/>
                    </a:prstGeom>
                    <a:ln/>
                  </pic:spPr>
                </pic:pic>
              </a:graphicData>
            </a:graphic>
          </wp:inline>
        </w:drawing>
      </w:r>
    </w:p>
    <w:p w14:paraId="7852F2FF" w14:textId="77777777" w:rsidR="003C28EC" w:rsidRDefault="00C8474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t xml:space="preserve">7. </w:t>
      </w:r>
      <w:r>
        <w:rPr>
          <w:rFonts w:ascii="Palatino Linotype" w:eastAsia="Palatino Linotype" w:hAnsi="Palatino Linotype" w:cs="Palatino Linotype"/>
          <w:b/>
          <w:color w:val="000000"/>
        </w:rPr>
        <w:t xml:space="preserve">Ampliación del plazo.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veintinueve de junio de dos mil veintidós</w:t>
      </w:r>
      <w:r>
        <w:rPr>
          <w:rFonts w:ascii="Palatino Linotype" w:eastAsia="Palatino Linotype" w:hAnsi="Palatino Linotype" w:cs="Palatino Linotype"/>
          <w:color w:val="000000"/>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1411D3F"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0BB00F" w14:textId="77777777" w:rsidR="00220C0C" w:rsidRPr="00220C0C" w:rsidRDefault="00220C0C" w:rsidP="00220C0C">
      <w:pPr>
        <w:spacing w:line="360" w:lineRule="auto"/>
        <w:jc w:val="both"/>
        <w:rPr>
          <w:rFonts w:ascii="Palatino Linotype" w:eastAsia="Palatino Linotype" w:hAnsi="Palatino Linotype" w:cs="Palatino Linotype"/>
        </w:rPr>
      </w:pPr>
    </w:p>
    <w:p w14:paraId="0D6E15CE"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34737F5" w14:textId="77777777" w:rsidR="00220C0C" w:rsidRPr="00220C0C" w:rsidRDefault="00220C0C" w:rsidP="00220C0C">
      <w:pPr>
        <w:spacing w:line="360" w:lineRule="auto"/>
        <w:jc w:val="both"/>
        <w:rPr>
          <w:rFonts w:ascii="Palatino Linotype" w:eastAsia="Palatino Linotype" w:hAnsi="Palatino Linotype" w:cs="Palatino Linotype"/>
        </w:rPr>
      </w:pPr>
    </w:p>
    <w:p w14:paraId="6E3A8DB7"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5B8BE8" w14:textId="77777777" w:rsidR="00220C0C" w:rsidRPr="00220C0C" w:rsidRDefault="00220C0C" w:rsidP="00220C0C">
      <w:pPr>
        <w:spacing w:line="360" w:lineRule="auto"/>
        <w:jc w:val="both"/>
        <w:rPr>
          <w:rFonts w:ascii="Palatino Linotype" w:eastAsia="Palatino Linotype" w:hAnsi="Palatino Linotype" w:cs="Palatino Linotype"/>
        </w:rPr>
      </w:pPr>
    </w:p>
    <w:p w14:paraId="6E1328CE"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116BC2" w14:textId="77777777" w:rsidR="00220C0C" w:rsidRPr="00220C0C" w:rsidRDefault="00220C0C" w:rsidP="00220C0C">
      <w:pPr>
        <w:spacing w:line="360" w:lineRule="auto"/>
        <w:jc w:val="both"/>
        <w:rPr>
          <w:rFonts w:ascii="Palatino Linotype" w:eastAsia="Palatino Linotype" w:hAnsi="Palatino Linotype" w:cs="Palatino Linotype"/>
        </w:rPr>
      </w:pPr>
    </w:p>
    <w:p w14:paraId="675FD44E" w14:textId="77777777" w:rsidR="00220C0C" w:rsidRPr="00220C0C" w:rsidRDefault="00220C0C" w:rsidP="00220C0C">
      <w:pPr>
        <w:spacing w:line="360" w:lineRule="auto"/>
        <w:jc w:val="both"/>
        <w:rPr>
          <w:rFonts w:ascii="Palatino Linotype" w:eastAsia="Palatino Linotype" w:hAnsi="Palatino Linotype" w:cs="Palatino Linotype"/>
          <w:strike/>
          <w:color w:val="FF0000"/>
        </w:rPr>
      </w:pPr>
      <w:r w:rsidRPr="00220C0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60A4A7" w14:textId="77777777" w:rsidR="00220C0C" w:rsidRPr="00220C0C" w:rsidRDefault="00220C0C" w:rsidP="00220C0C">
      <w:pPr>
        <w:spacing w:line="360" w:lineRule="auto"/>
        <w:jc w:val="both"/>
        <w:rPr>
          <w:rFonts w:ascii="Palatino Linotype" w:eastAsia="Palatino Linotype" w:hAnsi="Palatino Linotype" w:cs="Palatino Linotype"/>
        </w:rPr>
      </w:pPr>
    </w:p>
    <w:p w14:paraId="30997F39" w14:textId="77777777" w:rsidR="00220C0C" w:rsidRPr="00220C0C" w:rsidRDefault="00220C0C" w:rsidP="00220C0C">
      <w:pPr>
        <w:numPr>
          <w:ilvl w:val="0"/>
          <w:numId w:val="8"/>
        </w:num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B27E69" w14:textId="77777777" w:rsidR="00220C0C" w:rsidRPr="00220C0C" w:rsidRDefault="00220C0C" w:rsidP="00220C0C">
      <w:pPr>
        <w:spacing w:line="360" w:lineRule="auto"/>
        <w:ind w:left="927"/>
        <w:jc w:val="both"/>
        <w:rPr>
          <w:rFonts w:ascii="Palatino Linotype" w:eastAsia="Palatino Linotype" w:hAnsi="Palatino Linotype" w:cs="Palatino Linotype"/>
        </w:rPr>
      </w:pPr>
    </w:p>
    <w:p w14:paraId="59A8274F" w14:textId="77777777" w:rsidR="00220C0C" w:rsidRPr="00220C0C" w:rsidRDefault="00220C0C" w:rsidP="00220C0C">
      <w:pPr>
        <w:numPr>
          <w:ilvl w:val="0"/>
          <w:numId w:val="8"/>
        </w:num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Actividad Procesal del interesado. Acciones u omisiones del interesado.</w:t>
      </w:r>
    </w:p>
    <w:p w14:paraId="22F8DF23" w14:textId="77777777" w:rsidR="00220C0C" w:rsidRPr="00220C0C" w:rsidRDefault="00220C0C" w:rsidP="00220C0C">
      <w:pPr>
        <w:spacing w:line="360" w:lineRule="auto"/>
        <w:jc w:val="both"/>
        <w:rPr>
          <w:rFonts w:ascii="Palatino Linotype" w:eastAsia="Palatino Linotype" w:hAnsi="Palatino Linotype" w:cs="Palatino Linotype"/>
        </w:rPr>
      </w:pPr>
    </w:p>
    <w:p w14:paraId="40950899" w14:textId="77777777" w:rsidR="00220C0C" w:rsidRPr="00220C0C" w:rsidRDefault="00220C0C" w:rsidP="00220C0C">
      <w:pPr>
        <w:numPr>
          <w:ilvl w:val="0"/>
          <w:numId w:val="8"/>
        </w:num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Conducta de la Autoridad: Las Acciones u omisiones realizadas en el procedimiento. Así como si la autoridad actuó con la debida diligencia.</w:t>
      </w:r>
    </w:p>
    <w:p w14:paraId="3077A8FA" w14:textId="77777777" w:rsidR="00220C0C" w:rsidRPr="00220C0C" w:rsidRDefault="00220C0C" w:rsidP="00220C0C">
      <w:pPr>
        <w:spacing w:line="360" w:lineRule="auto"/>
        <w:ind w:left="708"/>
        <w:rPr>
          <w:rFonts w:ascii="Palatino Linotype" w:eastAsia="Palatino Linotype" w:hAnsi="Palatino Linotype" w:cs="Palatino Linotype"/>
        </w:rPr>
      </w:pPr>
    </w:p>
    <w:p w14:paraId="799A5F06" w14:textId="77777777" w:rsidR="00220C0C" w:rsidRPr="00220C0C" w:rsidRDefault="00220C0C" w:rsidP="00220C0C">
      <w:pPr>
        <w:spacing w:line="360" w:lineRule="auto"/>
        <w:ind w:left="567"/>
        <w:jc w:val="both"/>
        <w:rPr>
          <w:rFonts w:ascii="Palatino Linotype" w:eastAsia="Palatino Linotype" w:hAnsi="Palatino Linotype" w:cs="Palatino Linotype"/>
        </w:rPr>
      </w:pPr>
      <w:r w:rsidRPr="00220C0C">
        <w:rPr>
          <w:rFonts w:ascii="Palatino Linotype" w:eastAsia="Palatino Linotype" w:hAnsi="Palatino Linotype" w:cs="Palatino Linotype"/>
        </w:rPr>
        <w:t>d) La afectación generada en la situación jurídica de la persona involucrada en el proceso: Violación a sus derechos humanos.</w:t>
      </w:r>
    </w:p>
    <w:p w14:paraId="323C7213" w14:textId="77777777" w:rsidR="00220C0C" w:rsidRPr="00220C0C" w:rsidRDefault="00220C0C" w:rsidP="00220C0C">
      <w:pPr>
        <w:spacing w:line="360" w:lineRule="auto"/>
        <w:jc w:val="both"/>
        <w:rPr>
          <w:rFonts w:ascii="Palatino Linotype" w:eastAsia="Palatino Linotype" w:hAnsi="Palatino Linotype" w:cs="Palatino Linotype"/>
        </w:rPr>
      </w:pPr>
    </w:p>
    <w:p w14:paraId="53F11758"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198001" w14:textId="77777777" w:rsidR="00220C0C" w:rsidRPr="00220C0C" w:rsidRDefault="00220C0C" w:rsidP="00220C0C">
      <w:pPr>
        <w:spacing w:line="360" w:lineRule="auto"/>
        <w:jc w:val="both"/>
        <w:rPr>
          <w:rFonts w:ascii="Palatino Linotype" w:eastAsia="Palatino Linotype" w:hAnsi="Palatino Linotype" w:cs="Palatino Linotype"/>
        </w:rPr>
      </w:pPr>
    </w:p>
    <w:p w14:paraId="64509BED" w14:textId="77777777" w:rsidR="00220C0C" w:rsidRPr="00220C0C" w:rsidRDefault="00220C0C" w:rsidP="00220C0C">
      <w:pPr>
        <w:spacing w:line="360" w:lineRule="auto"/>
        <w:jc w:val="both"/>
        <w:rPr>
          <w:rFonts w:ascii="Palatino Linotype" w:eastAsia="Palatino Linotype" w:hAnsi="Palatino Linotype" w:cs="Palatino Linotype"/>
          <w:b/>
        </w:rPr>
      </w:pPr>
      <w:r w:rsidRPr="00220C0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20C0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20C0C">
        <w:rPr>
          <w:rFonts w:ascii="Palatino Linotype" w:eastAsia="Palatino Linotype" w:hAnsi="Palatino Linotype" w:cs="Palatino Linotype"/>
        </w:rPr>
        <w:t>, visible en la Gaceta del Seminario Judicial de la Federación con el registro digital 205635.</w:t>
      </w:r>
    </w:p>
    <w:p w14:paraId="037AACB7" w14:textId="77777777" w:rsidR="00220C0C" w:rsidRPr="00220C0C" w:rsidRDefault="00220C0C" w:rsidP="00220C0C">
      <w:pPr>
        <w:spacing w:line="360" w:lineRule="auto"/>
        <w:jc w:val="both"/>
        <w:rPr>
          <w:rFonts w:ascii="Palatino Linotype" w:eastAsia="Palatino Linotype" w:hAnsi="Palatino Linotype" w:cs="Palatino Linotype"/>
        </w:rPr>
      </w:pPr>
    </w:p>
    <w:p w14:paraId="1440A540"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1047A5" w14:textId="77777777" w:rsidR="00220C0C" w:rsidRPr="00220C0C" w:rsidRDefault="00220C0C" w:rsidP="00220C0C">
      <w:pPr>
        <w:spacing w:line="360" w:lineRule="auto"/>
        <w:jc w:val="both"/>
        <w:rPr>
          <w:rFonts w:ascii="Palatino Linotype" w:eastAsia="Palatino Linotype" w:hAnsi="Palatino Linotype" w:cs="Palatino Linotype"/>
        </w:rPr>
      </w:pPr>
    </w:p>
    <w:p w14:paraId="7E992BAD"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52D8887" w14:textId="77777777" w:rsidR="00220C0C" w:rsidRPr="00220C0C" w:rsidRDefault="00220C0C" w:rsidP="00220C0C">
      <w:pPr>
        <w:spacing w:line="360" w:lineRule="auto"/>
        <w:jc w:val="both"/>
        <w:rPr>
          <w:rFonts w:ascii="Palatino Linotype" w:eastAsia="Palatino Linotype" w:hAnsi="Palatino Linotype" w:cs="Palatino Linotype"/>
        </w:rPr>
      </w:pPr>
    </w:p>
    <w:p w14:paraId="4EDB8679"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 xml:space="preserve"> </w:t>
      </w:r>
      <w:r w:rsidRPr="00220C0C">
        <w:rPr>
          <w:rFonts w:ascii="Palatino Linotype" w:eastAsia="Palatino Linotype" w:hAnsi="Palatino Linotype" w:cs="Palatino Linotype"/>
          <w:i/>
        </w:rPr>
        <w:t>“PLAZO RAZONABLE PARA RESOLVER. DIMENSIÓN Y EFECTOS DE ESTE CONCEPTO CUANDO SE ADUCE EXCESIVA CARGA DE TRABAJO.”</w:t>
      </w:r>
      <w:r w:rsidRPr="00220C0C">
        <w:rPr>
          <w:rFonts w:ascii="Palatino Linotype" w:eastAsia="Palatino Linotype" w:hAnsi="Palatino Linotype" w:cs="Palatino Linotype"/>
        </w:rPr>
        <w:t xml:space="preserve"> consultable en el Seminario Judicial de la Federación y su gaceta, con el registro digital 2002351.</w:t>
      </w:r>
    </w:p>
    <w:p w14:paraId="56C2AB38" w14:textId="77777777" w:rsidR="00220C0C" w:rsidRPr="00220C0C" w:rsidRDefault="00220C0C" w:rsidP="00220C0C">
      <w:pPr>
        <w:spacing w:line="360" w:lineRule="auto"/>
        <w:jc w:val="both"/>
        <w:rPr>
          <w:rFonts w:ascii="Palatino Linotype" w:eastAsia="Palatino Linotype" w:hAnsi="Palatino Linotype" w:cs="Palatino Linotype"/>
          <w:b/>
        </w:rPr>
      </w:pPr>
    </w:p>
    <w:p w14:paraId="052F6654"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i/>
        </w:rPr>
        <w:t>“PLAZO RAZONABLE PARA RESOLVER. CONCEPTO Y ELEMENTOS QUE LO INTEGRAN A LA LUZ DEL DERECHO INTERNACIONAL DE LOS DERECHOS HUMANOS.”</w:t>
      </w:r>
      <w:r w:rsidRPr="00220C0C">
        <w:rPr>
          <w:rFonts w:ascii="Palatino Linotype" w:eastAsia="Palatino Linotype" w:hAnsi="Palatino Linotype" w:cs="Palatino Linotype"/>
        </w:rPr>
        <w:t>, visible en el Seminario Judicial de la Federación y su gaceta, con el registro digital 2002350.</w:t>
      </w:r>
    </w:p>
    <w:p w14:paraId="067555F9" w14:textId="77777777" w:rsidR="00220C0C" w:rsidRPr="00220C0C" w:rsidRDefault="00220C0C" w:rsidP="00220C0C">
      <w:pPr>
        <w:spacing w:line="360" w:lineRule="auto"/>
        <w:jc w:val="both"/>
        <w:rPr>
          <w:rFonts w:ascii="Palatino Linotype" w:eastAsia="Palatino Linotype" w:hAnsi="Palatino Linotype" w:cs="Palatino Linotype"/>
        </w:rPr>
      </w:pPr>
    </w:p>
    <w:p w14:paraId="5E6FE06F" w14:textId="77777777" w:rsidR="00220C0C" w:rsidRPr="00220C0C" w:rsidRDefault="00220C0C" w:rsidP="00220C0C">
      <w:pPr>
        <w:spacing w:line="360" w:lineRule="auto"/>
        <w:jc w:val="both"/>
        <w:rPr>
          <w:rFonts w:ascii="Palatino Linotype" w:eastAsia="Palatino Linotype" w:hAnsi="Palatino Linotype" w:cs="Palatino Linotype"/>
        </w:rPr>
      </w:pPr>
      <w:r w:rsidRPr="00220C0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501FE42" w14:textId="77777777" w:rsidR="00AF5238" w:rsidRPr="00AF5238" w:rsidRDefault="00AF5238" w:rsidP="00AF5238"/>
    <w:p w14:paraId="3883EE16" w14:textId="77777777" w:rsidR="003C28EC" w:rsidRDefault="00C8474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Cierre de instrucción.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veintinueve de junio de dos mil veintidós</w:t>
      </w:r>
      <w:r>
        <w:rPr>
          <w:rFonts w:ascii="Palatino Linotype" w:eastAsia="Palatino Linotype" w:hAnsi="Palatino Linotype" w:cs="Palatino Linotype"/>
          <w:color w:val="000000"/>
        </w:rPr>
        <w:t xml:space="preserve"> la Comisionada ponente determinó el cierre de instrucción en términos de la fracción VI del artículo 185 de la Ley de Transparencia y Acceso a la Información Pública del Estado de México y Municipios.</w:t>
      </w:r>
    </w:p>
    <w:p w14:paraId="3851A01A" w14:textId="77777777" w:rsidR="003C28EC" w:rsidRDefault="00C8474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w:t>
      </w:r>
    </w:p>
    <w:p w14:paraId="2E77E4AE" w14:textId="77777777" w:rsidR="003C28EC" w:rsidRDefault="00C84742">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14:paraId="488CBBE1" w14:textId="77777777" w:rsidR="003C28EC" w:rsidRDefault="00C8474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5A108A51"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veintidós de marzo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recurso de revisión el </w:t>
      </w:r>
      <w:r>
        <w:rPr>
          <w:rFonts w:ascii="Palatino Linotype" w:eastAsia="Palatino Linotype" w:hAnsi="Palatino Linotype" w:cs="Palatino Linotype"/>
          <w:b/>
        </w:rPr>
        <w:t>cinco de abril del mismo año</w:t>
      </w:r>
      <w:r>
        <w:rPr>
          <w:rFonts w:ascii="Palatino Linotype" w:eastAsia="Palatino Linotype" w:hAnsi="Palatino Linotype" w:cs="Palatino Linotype"/>
        </w:rPr>
        <w:t>, esto es al décimo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47972EA0"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por cuanto hace a la procedibilidad del  recurso de revisión, es de suma importancia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E48ADE" w14:textId="77777777" w:rsidR="003C28EC" w:rsidRDefault="00C84742">
      <w:pPr>
        <w:spacing w:before="240" w:after="240" w:line="276" w:lineRule="auto"/>
        <w:ind w:left="567" w:right="992"/>
        <w:jc w:val="both"/>
        <w:rPr>
          <w:rFonts w:ascii="Palatino Linotype" w:eastAsia="Palatino Linotype" w:hAnsi="Palatino Linotype" w:cs="Palatino Linotype"/>
        </w:rPr>
      </w:pPr>
      <w:r>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018DA"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B6317E" w14:textId="77777777" w:rsidR="003C28EC" w:rsidRDefault="00C84742">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14:paraId="1995A7DC" w14:textId="77777777" w:rsidR="003C28EC" w:rsidRDefault="00C8474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1D556AC8" w14:textId="77777777" w:rsidR="003C28EC" w:rsidRDefault="00C8474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EE358C" w14:textId="77777777" w:rsidR="003C28EC" w:rsidRDefault="00C8474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La clasificación de la información</w:t>
      </w:r>
      <w:r>
        <w:rPr>
          <w:rFonts w:ascii="Palatino Linotype" w:eastAsia="Palatino Linotype" w:hAnsi="Palatino Linotype" w:cs="Palatino Linotype"/>
          <w:i/>
          <w:sz w:val="22"/>
          <w:szCs w:val="22"/>
        </w:rPr>
        <w:t>;</w:t>
      </w:r>
    </w:p>
    <w:p w14:paraId="7D893337" w14:textId="77777777" w:rsidR="003C28EC" w:rsidRDefault="00C8474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 (Sic)</w:t>
      </w:r>
    </w:p>
    <w:p w14:paraId="137ED2D3"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color w:val="000000"/>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color w:val="000000"/>
        </w:rPr>
        <w:t>de la parte Recurrente, o en su defecto, en caso de ser procedente, ordenar la entrega de información oportuna.</w:t>
      </w:r>
    </w:p>
    <w:p w14:paraId="036A964A"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B1439C0" w14:textId="77777777" w:rsidR="003C28EC" w:rsidRDefault="00C84742">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41F83C50" w14:textId="77777777" w:rsidR="003C28EC" w:rsidRDefault="00C84742">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6B2EA06D" w14:textId="77777777" w:rsidR="003C28EC" w:rsidRDefault="00C84742">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76CD6DDB" w14:textId="77777777" w:rsidR="003C28EC" w:rsidRDefault="00C84742">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14:paraId="41FC58EE" w14:textId="77777777" w:rsidR="003C28EC" w:rsidRDefault="00C84742">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14:paraId="08EC6B5F" w14:textId="77777777" w:rsidR="003C28EC" w:rsidRDefault="00C84742">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14:paraId="70DFC4DF"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390830A"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A00035A"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1D8D830B"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58E8ED53"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7AE5690F"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DFC5178"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63CE4D85" w14:textId="77777777" w:rsidR="003C28EC" w:rsidRDefault="00C84742">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7C80DADA"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658E0D7" w14:textId="77777777" w:rsidR="003C28EC" w:rsidRDefault="00C84742">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AB69DDA" w14:textId="77777777" w:rsidR="003C28EC" w:rsidRDefault="00C84742">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D296E0" w14:textId="77777777" w:rsidR="003C28EC" w:rsidRDefault="00C84742">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5BF2F1AE"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22E860B" w14:textId="77777777" w:rsidR="003C28EC" w:rsidRDefault="00C84742">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1DD901B4" w14:textId="77777777" w:rsidR="003C28EC" w:rsidRDefault="00C84742">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9232897"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4D8E64C"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14:paraId="5007C95A"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55C45012"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7409C3A"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4B6472B" w14:textId="77777777" w:rsidR="003C28EC" w:rsidRDefault="00C84742">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D51E41"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F67117"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325D5227"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14:paraId="412570FE"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546C9D69"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DF9684"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14:paraId="4D9E29D5"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B7AF17" w14:textId="77777777" w:rsidR="003C28EC" w:rsidRDefault="00C84742">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6CC4CF9B" w14:textId="77777777" w:rsidR="003C28EC" w:rsidRDefault="00C8474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55D6DBC" w14:textId="77777777" w:rsidR="003C28EC" w:rsidRDefault="00C8474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7C47AC05" w14:textId="77777777" w:rsidR="003C28EC" w:rsidRDefault="00C84742">
      <w:pPr>
        <w:pBdr>
          <w:top w:val="nil"/>
          <w:left w:val="nil"/>
          <w:bottom w:val="nil"/>
          <w:right w:val="nil"/>
          <w:between w:val="nil"/>
        </w:pBdr>
        <w:spacing w:before="240" w:after="240"/>
        <w:ind w:left="283"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649F3D24"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BF97BB3" w14:textId="77777777" w:rsidR="003C28EC" w:rsidRDefault="00C8474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14:paraId="3D0B51E7" w14:textId="77777777" w:rsidR="003C28EC" w:rsidRDefault="00C84742">
      <w:pPr>
        <w:numPr>
          <w:ilvl w:val="0"/>
          <w:numId w:val="4"/>
        </w:numPr>
        <w:spacing w:before="240" w:line="360" w:lineRule="auto"/>
        <w:ind w:right="1134"/>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Copia de los recibos de nómina correspondientes a la primera y segunda quincena de los meses de enero y febrero de 2022, del presidente municipal, síndico, regidores, secretario del ayuntamiento, coordinadores, directores, subdirectores y jefes de área</w:t>
      </w:r>
      <w:r>
        <w:rPr>
          <w:rFonts w:ascii="Palatino Linotype" w:eastAsia="Palatino Linotype" w:hAnsi="Palatino Linotype" w:cs="Palatino Linotype"/>
          <w:b/>
          <w:sz w:val="22"/>
          <w:szCs w:val="22"/>
        </w:rPr>
        <w:t>.</w:t>
      </w:r>
    </w:p>
    <w:p w14:paraId="7651D685"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lo siguiente: </w:t>
      </w:r>
    </w:p>
    <w:p w14:paraId="3C9F90B9" w14:textId="77777777" w:rsidR="003C28EC" w:rsidRDefault="00C84742">
      <w:pPr>
        <w:numPr>
          <w:ilvl w:val="0"/>
          <w:numId w:val="4"/>
        </w:numPr>
        <w:pBdr>
          <w:top w:val="nil"/>
          <w:left w:val="nil"/>
          <w:bottom w:val="nil"/>
          <w:right w:val="nil"/>
          <w:between w:val="nil"/>
        </w:pBdr>
        <w:spacing w:before="240" w:after="240" w:line="360" w:lineRule="auto"/>
        <w:ind w:right="992"/>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color w:val="000000"/>
          <w:sz w:val="22"/>
          <w:szCs w:val="22"/>
        </w:rPr>
        <w:t xml:space="preserve">Mediante el Acta de la Tercera Sesión Ordinaria del Comité de Transparencia, celebrada el siete de marzo de dos mil veintidós, en el punto número 6, se dio a conocer que han llegado solicitudes en donde piden los recibos de nómina de los servidores públicos, la cual informó los resultados de su búsqueda, </w:t>
      </w:r>
      <w:r>
        <w:rPr>
          <w:rFonts w:ascii="Palatino Linotype" w:eastAsia="Palatino Linotype" w:hAnsi="Palatino Linotype" w:cs="Palatino Linotype"/>
          <w:b/>
          <w:color w:val="000000"/>
          <w:sz w:val="22"/>
          <w:szCs w:val="22"/>
          <w:u w:val="single"/>
        </w:rPr>
        <w:t xml:space="preserve">invocando la clasificación de la información de conformidad con el artículo 143, fracción I de la Ley de Transparencia y Acceso a la Información Pública del Estado de México y Municipios y por el motivo que han estado llegando llamadas de extorsión a los servidores públicos y directamente para el sujeto obligado, por lo que se invoca dicha clasificación con la finalidad de proteger a los servidores públicos de dichas llamadas  de extorsión que son muy recurrentes. </w:t>
      </w:r>
    </w:p>
    <w:p w14:paraId="507FCBF8" w14:textId="77777777" w:rsidR="003C28EC" w:rsidRDefault="00C84742">
      <w:pPr>
        <w:numPr>
          <w:ilvl w:val="0"/>
          <w:numId w:val="4"/>
        </w:numPr>
        <w:pBdr>
          <w:top w:val="nil"/>
          <w:left w:val="nil"/>
          <w:bottom w:val="nil"/>
          <w:right w:val="nil"/>
          <w:between w:val="nil"/>
        </w:pBdr>
        <w:spacing w:before="240" w:after="240" w:line="360" w:lineRule="auto"/>
        <w:ind w:right="992"/>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Por lo que en el punto de acuerdo número cuatro correspondiente al punto seis del orden del día, </w:t>
      </w:r>
      <w:r>
        <w:rPr>
          <w:rFonts w:ascii="Palatino Linotype" w:eastAsia="Palatino Linotype" w:hAnsi="Palatino Linotype" w:cs="Palatino Linotype"/>
          <w:b/>
          <w:color w:val="000000"/>
          <w:sz w:val="22"/>
          <w:szCs w:val="22"/>
        </w:rPr>
        <w:t xml:space="preserve">se aprobó como viable la propuesta de clasificación de información de datos como: firma, número de seguridad social, registro federal de contribuyentes, número de afiliación al ISSEMYM y CURP, esto en razón de proteger a los servidores públicos de las llamadas de extorsión que les han llegado. </w:t>
      </w:r>
    </w:p>
    <w:p w14:paraId="51C0BCDD" w14:textId="77777777" w:rsidR="003C28EC" w:rsidRDefault="00C84742">
      <w:pPr>
        <w:numPr>
          <w:ilvl w:val="0"/>
          <w:numId w:val="4"/>
        </w:numPr>
        <w:pBdr>
          <w:top w:val="nil"/>
          <w:left w:val="nil"/>
          <w:bottom w:val="nil"/>
          <w:right w:val="nil"/>
          <w:between w:val="nil"/>
        </w:pBdr>
        <w:spacing w:before="240" w:after="240" w:line="360" w:lineRule="auto"/>
        <w:ind w:right="992"/>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color w:val="000000"/>
          <w:sz w:val="22"/>
          <w:szCs w:val="22"/>
        </w:rPr>
        <w:t xml:space="preserve">Posteriormente la Titular de la Unidad de Transparencia manifestó </w:t>
      </w:r>
      <w:r>
        <w:rPr>
          <w:rFonts w:ascii="Palatino Linotype" w:eastAsia="Palatino Linotype" w:hAnsi="Palatino Linotype" w:cs="Palatino Linotype"/>
          <w:b/>
          <w:color w:val="000000"/>
          <w:sz w:val="22"/>
          <w:szCs w:val="22"/>
          <w:u w:val="single"/>
        </w:rPr>
        <w:t xml:space="preserve">por conducto del área de Tesorería que por un tema que se está suscitando al interior del sujeto obligado y sus servidores públicos, el área de tesorería propuso que los talones de pago sean confidenciales, sin embargo, si lo que desea es conocer el salario y demás percepciones de los servidores públicos, se proporciona la siguiente liga electrónica: </w:t>
      </w:r>
    </w:p>
    <w:p w14:paraId="6A1A46F8" w14:textId="77777777" w:rsidR="003C28EC" w:rsidRDefault="00B05C3E">
      <w:pPr>
        <w:pBdr>
          <w:top w:val="nil"/>
          <w:left w:val="nil"/>
          <w:bottom w:val="nil"/>
          <w:right w:val="nil"/>
          <w:between w:val="nil"/>
        </w:pBdr>
        <w:spacing w:before="240" w:after="240" w:line="360" w:lineRule="auto"/>
        <w:ind w:left="720" w:right="992"/>
        <w:jc w:val="both"/>
        <w:rPr>
          <w:rFonts w:ascii="Palatino Linotype" w:eastAsia="Palatino Linotype" w:hAnsi="Palatino Linotype" w:cs="Palatino Linotype"/>
          <w:color w:val="000000"/>
          <w:sz w:val="22"/>
          <w:szCs w:val="22"/>
        </w:rPr>
      </w:pPr>
      <w:hyperlink r:id="rId12">
        <w:r w:rsidR="00C84742">
          <w:rPr>
            <w:rFonts w:ascii="Palatino Linotype" w:eastAsia="Palatino Linotype" w:hAnsi="Palatino Linotype" w:cs="Palatino Linotype"/>
            <w:color w:val="0563C1"/>
            <w:sz w:val="22"/>
            <w:szCs w:val="22"/>
            <w:u w:val="single"/>
          </w:rPr>
          <w:t>https://www.ipomex.org.mx/ipo3/lgt/indice/SANMARTINDELASPIRAMIDES/art_92_viii/4.web</w:t>
        </w:r>
      </w:hyperlink>
      <w:r w:rsidR="00C84742">
        <w:rPr>
          <w:rFonts w:ascii="Palatino Linotype" w:eastAsia="Palatino Linotype" w:hAnsi="Palatino Linotype" w:cs="Palatino Linotype"/>
          <w:color w:val="000000"/>
          <w:sz w:val="22"/>
          <w:szCs w:val="22"/>
        </w:rPr>
        <w:t xml:space="preserve"> </w:t>
      </w:r>
    </w:p>
    <w:p w14:paraId="0D218C63" w14:textId="77777777" w:rsidR="003C28EC" w:rsidRDefault="00C8474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el particular con la respuesta, interpone el recurso de revisión que se resuelve, señalando como motivos de inconformidad que la clasificación de la información como confidencial, que están realizando, para no entregar un documento en versión pública.</w:t>
      </w:r>
    </w:p>
    <w:p w14:paraId="5B1361D8"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el particular fue omiso en expresar alegatos o cualquier manifestación que a su derecho convenga, por lo tanto, se tuvo por precluido su derecho para tal efecto. </w:t>
      </w:r>
    </w:p>
    <w:p w14:paraId="119D77EF"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se procede al análisis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 determinar si es suficiente para tener por colmado el derecho de acceso a la información de la parte recurrente, o en su defecto ordenar la entrega del o los documentos que lo satisfagan.</w:t>
      </w:r>
    </w:p>
    <w:p w14:paraId="610EC4D8" w14:textId="77777777" w:rsidR="003C28EC" w:rsidRDefault="00C84742">
      <w:pPr>
        <w:spacing w:before="240" w:after="240" w:line="360" w:lineRule="auto"/>
        <w:ind w:right="-93"/>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Puntualizado lo anterior, es importante señalar que de las constancias que integran el expediente electrónico  relacionado con el recurso de revisión materia de estudio, se colige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competencia para conocer de la información solicitada, sino por el contrario, con la respuesta pronunciada por el servidor público habilitado asevera que es competente para conocer de la solicitud de información</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0EA27514" w14:textId="77777777" w:rsidR="003C28EC" w:rsidRDefault="00C84742">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Pr>
          <w:rFonts w:ascii="Palatino Linotype" w:eastAsia="Palatino Linotype" w:hAnsi="Palatino Linotype" w:cs="Palatino Linotype"/>
          <w:i/>
          <w:sz w:val="22"/>
          <w:szCs w:val="22"/>
        </w:rPr>
        <w:t xml:space="preserve"> en los términos de las disposiciones jurídicas aplicables. </w:t>
      </w:r>
    </w:p>
    <w:p w14:paraId="0972353E" w14:textId="77777777" w:rsidR="003C28EC" w:rsidRDefault="00C84742">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D714F1B" w14:textId="77777777" w:rsidR="003C28EC" w:rsidRDefault="00C8474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primera instancia, no pasa desapercibido para este Organismo Garante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respuesta aprobó como viable la propuesta de clasificación de información de datos como: firma, número de seguridad social, registro federal de contribuyentes, número de afiliación al ISSEMYM y CURP, esto en razón de proteger a los servidores públicos de las llamadas de extorsión que les han llegado, es decir, de determinados que obran dentro de los recibos de nómina, esto es se aprobó una ve</w:t>
      </w:r>
      <w:r>
        <w:rPr>
          <w:rFonts w:ascii="Palatino Linotype" w:eastAsia="Palatino Linotype" w:hAnsi="Palatino Linotype" w:cs="Palatino Linotype"/>
        </w:rPr>
        <w:t xml:space="preserve">rsión pública de los documentos solicitados, </w:t>
      </w:r>
      <w:r>
        <w:rPr>
          <w:rFonts w:ascii="Palatino Linotype" w:eastAsia="Palatino Linotype" w:hAnsi="Palatino Linotype" w:cs="Palatino Linotype"/>
          <w:color w:val="000000"/>
        </w:rPr>
        <w:t>sin embargo, en un acto posterior, manifiesta que los talones de pago son confidenciales y remite una liga al portal de Información Pública de Oficio Mexiquense (IPOMEX) para efecto de que el particular pudiera consultar las percepciones de los servidores públicos</w:t>
      </w:r>
      <w:r>
        <w:rPr>
          <w:rFonts w:ascii="Palatino Linotype" w:eastAsia="Palatino Linotype" w:hAnsi="Palatino Linotype" w:cs="Palatino Linotype"/>
        </w:rPr>
        <w:t xml:space="preserve">, lo cual no fue aprobado por el Comité de Información. </w:t>
      </w:r>
    </w:p>
    <w:p w14:paraId="7EF4B8DD" w14:textId="77777777" w:rsidR="003C28EC" w:rsidRDefault="00C84742">
      <w:pPr>
        <w:shd w:val="clear" w:color="auto" w:fill="FFFFFF"/>
        <w:spacing w:before="240" w:after="240"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Se debe resaltar que con las manifestaciones hechas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restringió el derecho de acceso a la información al pretender clasificarla, bajo el argumento de que dicha clasificación es con la finalidad de proteger a los servidores públicos de dichas llamadas  de extorsión que son muy recurrentes, con lo que asumió contar con la información. Por lo que </w:t>
      </w:r>
      <w:r>
        <w:rPr>
          <w:rFonts w:ascii="Palatino Linotype" w:eastAsia="Palatino Linotype" w:hAnsi="Palatino Linotype" w:cs="Palatino Linotype"/>
          <w:color w:val="222222"/>
        </w:rPr>
        <w:t xml:space="preserve">debe precisarse que la inexistencia de la información y su clasificación no podrán coexistir. </w:t>
      </w:r>
    </w:p>
    <w:p w14:paraId="0D64F272" w14:textId="77777777" w:rsidR="003C28EC" w:rsidRDefault="00C84742">
      <w:pPr>
        <w:shd w:val="clear" w:color="auto" w:fill="FFFFFF"/>
        <w:spacing w:before="240" w:after="240"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 efecto de robustecer lo anterior, sirve de sustento el criterio orientador 29/10 emitido por el Instituto </w:t>
      </w:r>
      <w:r>
        <w:rPr>
          <w:rFonts w:ascii="Palatino Linotype" w:eastAsia="Palatino Linotype" w:hAnsi="Palatino Linotype" w:cs="Palatino Linotype"/>
          <w:color w:val="000000"/>
        </w:rPr>
        <w:t>Nacional de Transparencia, Acceso a la Información y Protección de Datos Personales, INAI</w:t>
      </w:r>
      <w:r>
        <w:rPr>
          <w:rFonts w:ascii="Palatino Linotype" w:eastAsia="Palatino Linotype" w:hAnsi="Palatino Linotype" w:cs="Palatino Linotype"/>
          <w:b/>
          <w:color w:val="222222"/>
        </w:rPr>
        <w:t>, </w:t>
      </w:r>
      <w:r>
        <w:rPr>
          <w:rFonts w:ascii="Palatino Linotype" w:eastAsia="Palatino Linotype" w:hAnsi="Palatino Linotype" w:cs="Palatino Linotype"/>
          <w:color w:val="222222"/>
        </w:rPr>
        <w:t>el cual refiere lo siguiente:</w:t>
      </w:r>
    </w:p>
    <w:p w14:paraId="74B5B223" w14:textId="77777777" w:rsidR="003C28EC" w:rsidRDefault="00C84742">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 xml:space="preserve">“La clasificación y la inexistencia de información son conceptos que no pueden coexistir. </w:t>
      </w:r>
      <w:r>
        <w:rPr>
          <w:rFonts w:ascii="Palatino Linotype" w:eastAsia="Palatino Linotype" w:hAnsi="Palatino Linotype" w:cs="Palatino Linotype"/>
          <w:i/>
          <w:color w:val="222222"/>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Pr>
          <w:rFonts w:ascii="Palatino Linotype" w:eastAsia="Palatino Linotype" w:hAnsi="Palatino Linotype" w:cs="Palatino Linotype"/>
          <w:b/>
          <w:i/>
          <w:color w:val="222222"/>
          <w:sz w:val="22"/>
          <w:szCs w:val="22"/>
          <w:u w:val="single"/>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Pr>
          <w:rFonts w:ascii="Palatino Linotype" w:eastAsia="Palatino Linotype" w:hAnsi="Palatino Linotype" w:cs="Palatino Linotype"/>
          <w:i/>
          <w:color w:val="222222"/>
          <w:sz w:val="22"/>
          <w:szCs w:val="22"/>
        </w:rPr>
        <w:t>"</w:t>
      </w:r>
    </w:p>
    <w:p w14:paraId="797FE7CA" w14:textId="77777777" w:rsidR="003C28EC" w:rsidRDefault="00C84742">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(Énfasis añadido)</w:t>
      </w:r>
    </w:p>
    <w:p w14:paraId="3AEC32FC"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Ahora bien, sobre la clasificación pretendida por el Sujeto Obligado,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Constitución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26CB81B" w14:textId="77777777" w:rsidR="003C28EC" w:rsidRDefault="003C28EC">
      <w:pPr>
        <w:spacing w:line="360" w:lineRule="auto"/>
        <w:ind w:right="-93"/>
        <w:jc w:val="both"/>
        <w:rPr>
          <w:rFonts w:ascii="Palatino Linotype" w:eastAsia="Palatino Linotype" w:hAnsi="Palatino Linotype" w:cs="Palatino Linotype"/>
        </w:rPr>
      </w:pPr>
    </w:p>
    <w:p w14:paraId="6FDF8D04"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E31CEE8" w14:textId="77777777" w:rsidR="003C28EC" w:rsidRDefault="003C28EC">
      <w:pPr>
        <w:spacing w:line="360" w:lineRule="auto"/>
        <w:ind w:right="-93"/>
        <w:jc w:val="both"/>
        <w:rPr>
          <w:rFonts w:ascii="Palatino Linotype" w:eastAsia="Palatino Linotype" w:hAnsi="Palatino Linotype" w:cs="Palatino Linotype"/>
        </w:rPr>
      </w:pPr>
    </w:p>
    <w:p w14:paraId="07DB8F40"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el artículo 5°, fracciones I y II de la Constitución Política del Estado Libre y Soberano de México, </w:t>
      </w:r>
      <w:r>
        <w:rPr>
          <w:rFonts w:ascii="Palatino Linotype" w:eastAsia="Palatino Linotype" w:hAnsi="Palatino Linotype" w:cs="Palatino Linotype"/>
          <w:b/>
          <w:u w:val="single"/>
        </w:rPr>
        <w:t>prevé que toda la información en posesión de los Sujetos Obligados será pública; no obstante, aquella referente a la intimidad de la vida privada</w:t>
      </w:r>
      <w:r>
        <w:rPr>
          <w:rFonts w:ascii="Palatino Linotype" w:eastAsia="Palatino Linotype" w:hAnsi="Palatino Linotype" w:cs="Palatino Linotype"/>
        </w:rPr>
        <w:t xml:space="preserve"> y la imagen de las personas, será protegida a través de un marco jurídico rígido, de tratamiento y manejo de datos personales.</w:t>
      </w:r>
    </w:p>
    <w:p w14:paraId="0D132C32" w14:textId="77777777" w:rsidR="003C28EC" w:rsidRDefault="003C28EC">
      <w:pPr>
        <w:spacing w:line="360" w:lineRule="auto"/>
        <w:jc w:val="both"/>
        <w:rPr>
          <w:rFonts w:ascii="Palatino Linotype" w:eastAsia="Palatino Linotype" w:hAnsi="Palatino Linotype" w:cs="Palatino Linotype"/>
        </w:rPr>
      </w:pPr>
    </w:p>
    <w:p w14:paraId="33933881"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1EB8B80" w14:textId="77777777" w:rsidR="003C28EC" w:rsidRDefault="003C28EC">
      <w:pPr>
        <w:spacing w:line="360" w:lineRule="auto"/>
        <w:ind w:right="-93"/>
        <w:jc w:val="both"/>
        <w:rPr>
          <w:rFonts w:ascii="Palatino Linotype" w:eastAsia="Palatino Linotype" w:hAnsi="Palatino Linotype" w:cs="Palatino Linotype"/>
          <w:sz w:val="28"/>
          <w:szCs w:val="28"/>
        </w:rPr>
      </w:pPr>
    </w:p>
    <w:p w14:paraId="345370C9"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concordancia con lo previo, el artículo 143, fracción I, de la Ley citada, establece que la información privada y los datos personales, concernientes a una persona física o jurídica colectiva identificada o identificable son confidenciales.</w:t>
      </w:r>
    </w:p>
    <w:p w14:paraId="001AAD35" w14:textId="77777777" w:rsidR="003C28EC" w:rsidRDefault="003C28EC">
      <w:pPr>
        <w:spacing w:line="360" w:lineRule="auto"/>
        <w:ind w:right="-93"/>
        <w:jc w:val="both"/>
        <w:rPr>
          <w:rFonts w:ascii="Palatino Linotype" w:eastAsia="Palatino Linotype" w:hAnsi="Palatino Linotype" w:cs="Palatino Linotype"/>
        </w:rPr>
      </w:pPr>
    </w:p>
    <w:p w14:paraId="1A738A18" w14:textId="77777777" w:rsidR="003C28EC" w:rsidRDefault="00C84742">
      <w:pPr>
        <w:spacing w:line="360" w:lineRule="auto"/>
        <w:ind w:right="-93"/>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w:t>
      </w:r>
      <w:r>
        <w:rPr>
          <w:rFonts w:ascii="Palatino Linotype" w:eastAsia="Palatino Linotype" w:hAnsi="Palatino Linotype" w:cs="Palatino Linotype"/>
          <w:b/>
          <w:u w:val="single"/>
        </w:rPr>
        <w:t>excepto cuando:</w:t>
      </w:r>
    </w:p>
    <w:p w14:paraId="5D858B44" w14:textId="77777777" w:rsidR="003C28EC" w:rsidRDefault="003C28EC">
      <w:pPr>
        <w:spacing w:line="360" w:lineRule="auto"/>
        <w:ind w:right="-93"/>
        <w:jc w:val="both"/>
        <w:rPr>
          <w:rFonts w:ascii="Palatino Linotype" w:eastAsia="Palatino Linotype" w:hAnsi="Palatino Linotype" w:cs="Palatino Linotype"/>
        </w:rPr>
      </w:pPr>
    </w:p>
    <w:p w14:paraId="673CA206" w14:textId="77777777" w:rsidR="003C28EC" w:rsidRDefault="00C84742">
      <w:pPr>
        <w:numPr>
          <w:ilvl w:val="0"/>
          <w:numId w:val="5"/>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se encuentre en registros públicos o fuentes de acceso público; </w:t>
      </w:r>
    </w:p>
    <w:p w14:paraId="1C20A8EF" w14:textId="77777777" w:rsidR="003C28EC" w:rsidRDefault="00C84742">
      <w:pPr>
        <w:numPr>
          <w:ilvl w:val="0"/>
          <w:numId w:val="5"/>
        </w:numPr>
        <w:spacing w:line="360" w:lineRule="auto"/>
        <w:ind w:right="900"/>
        <w:jc w:val="both"/>
        <w:rPr>
          <w:rFonts w:ascii="Palatino Linotype" w:eastAsia="Palatino Linotype" w:hAnsi="Palatino Linotype" w:cs="Palatino Linotype"/>
          <w:b/>
        </w:rPr>
      </w:pPr>
      <w:r>
        <w:rPr>
          <w:rFonts w:ascii="Palatino Linotype" w:eastAsia="Palatino Linotype" w:hAnsi="Palatino Linotype" w:cs="Palatino Linotype"/>
          <w:b/>
          <w:u w:val="single"/>
        </w:rPr>
        <w:t>Por ley tenga el carácter de pública;</w:t>
      </w:r>
    </w:p>
    <w:p w14:paraId="2BFD89C1" w14:textId="77777777" w:rsidR="003C28EC" w:rsidRDefault="00C84742">
      <w:pPr>
        <w:numPr>
          <w:ilvl w:val="0"/>
          <w:numId w:val="5"/>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Exista una orden judicial; </w:t>
      </w:r>
    </w:p>
    <w:p w14:paraId="389A7C0B" w14:textId="77777777" w:rsidR="003C28EC" w:rsidRDefault="00C84742">
      <w:pPr>
        <w:numPr>
          <w:ilvl w:val="0"/>
          <w:numId w:val="5"/>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Por razones de seguridad nacional y salubridad general,  o </w:t>
      </w:r>
    </w:p>
    <w:p w14:paraId="19957E0D" w14:textId="77777777" w:rsidR="003C28EC" w:rsidRDefault="00C84742">
      <w:pPr>
        <w:numPr>
          <w:ilvl w:val="0"/>
          <w:numId w:val="5"/>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Para proteger los derechos de terceros o cuando se transmita entre sujetos obligados en términos de los tratados y los acuerdos interinstitucionales.</w:t>
      </w:r>
    </w:p>
    <w:p w14:paraId="17117A36" w14:textId="77777777" w:rsidR="003C28EC" w:rsidRDefault="003C28EC">
      <w:pPr>
        <w:spacing w:line="360" w:lineRule="auto"/>
        <w:ind w:left="1489" w:right="-93"/>
        <w:jc w:val="both"/>
        <w:rPr>
          <w:rFonts w:ascii="Palatino Linotype" w:eastAsia="Palatino Linotype" w:hAnsi="Palatino Linotype" w:cs="Palatino Linotype"/>
        </w:rPr>
      </w:pPr>
    </w:p>
    <w:p w14:paraId="148A3A05" w14:textId="77777777" w:rsidR="003C28EC" w:rsidRDefault="00C84742">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t>En términos de lo expuesto, la documentación y aquellos datos que se consideren confidenciales, serán una limitante del derecho de acceso a la información, siempre y cuando:</w:t>
      </w:r>
    </w:p>
    <w:p w14:paraId="15E08179" w14:textId="77777777" w:rsidR="003C28EC" w:rsidRDefault="003C28EC">
      <w:pPr>
        <w:spacing w:line="360" w:lineRule="auto"/>
        <w:ind w:right="-93"/>
        <w:jc w:val="both"/>
        <w:rPr>
          <w:rFonts w:ascii="Palatino Linotype" w:eastAsia="Palatino Linotype" w:hAnsi="Palatino Linotype" w:cs="Palatino Linotype"/>
          <w:b/>
        </w:rPr>
      </w:pPr>
    </w:p>
    <w:p w14:paraId="60D3C683" w14:textId="77777777" w:rsidR="003C28EC" w:rsidRDefault="00C84742">
      <w:pPr>
        <w:numPr>
          <w:ilvl w:val="0"/>
          <w:numId w:val="3"/>
        </w:numPr>
        <w:spacing w:line="360" w:lineRule="auto"/>
        <w:ind w:left="567" w:right="1134" w:hanging="207"/>
        <w:jc w:val="both"/>
        <w:rPr>
          <w:rFonts w:ascii="Palatino Linotype" w:eastAsia="Palatino Linotype" w:hAnsi="Palatino Linotype" w:cs="Palatino Linotype"/>
        </w:rPr>
      </w:pPr>
      <w:r>
        <w:rPr>
          <w:rFonts w:ascii="Palatino Linotype" w:eastAsia="Palatino Linotype" w:hAnsi="Palatino Linotype" w:cs="Palatino Linotype"/>
        </w:rPr>
        <w:t xml:space="preserve"> Se trate de datos personales o información privada; esto es, información concerniente a una persona física o jurídico colectiva y que esta sea identificada o identificable. </w:t>
      </w:r>
    </w:p>
    <w:p w14:paraId="37737B56" w14:textId="77777777" w:rsidR="003C28EC" w:rsidRDefault="00C84742">
      <w:pPr>
        <w:numPr>
          <w:ilvl w:val="0"/>
          <w:numId w:val="3"/>
        </w:numPr>
        <w:spacing w:line="360" w:lineRule="auto"/>
        <w:ind w:left="567" w:right="1134" w:hanging="207"/>
        <w:jc w:val="both"/>
        <w:rPr>
          <w:rFonts w:ascii="Palatino Linotype" w:eastAsia="Palatino Linotype" w:hAnsi="Palatino Linotype" w:cs="Palatino Linotype"/>
        </w:rPr>
      </w:pPr>
      <w:r>
        <w:rPr>
          <w:rFonts w:ascii="Palatino Linotype" w:eastAsia="Palatino Linotype" w:hAnsi="Palatino Linotype" w:cs="Palatino Linotype"/>
        </w:rPr>
        <w:t>Para la difusión de los datos, se requiera el consentimiento del titular.</w:t>
      </w:r>
    </w:p>
    <w:p w14:paraId="644F73B9" w14:textId="77777777" w:rsidR="003C28EC" w:rsidRDefault="003C28EC">
      <w:pPr>
        <w:spacing w:line="360" w:lineRule="auto"/>
        <w:jc w:val="both"/>
        <w:rPr>
          <w:rFonts w:ascii="Palatino Linotype" w:eastAsia="Palatino Linotype" w:hAnsi="Palatino Linotype" w:cs="Palatino Linotype"/>
        </w:rPr>
      </w:pPr>
    </w:p>
    <w:p w14:paraId="5717661C"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ese orden de ideas,  es importante precisar que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7B51B36" w14:textId="77777777" w:rsidR="003C28EC" w:rsidRDefault="003C28EC">
      <w:pPr>
        <w:spacing w:line="360" w:lineRule="auto"/>
        <w:ind w:right="-93"/>
        <w:jc w:val="both"/>
        <w:rPr>
          <w:rFonts w:ascii="Palatino Linotype" w:eastAsia="Palatino Linotype" w:hAnsi="Palatino Linotype" w:cs="Palatino Linotype"/>
        </w:rPr>
      </w:pPr>
    </w:p>
    <w:p w14:paraId="39E1B4B1"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2DDCE7B" w14:textId="77777777" w:rsidR="003C28EC" w:rsidRDefault="003C28EC">
      <w:pPr>
        <w:spacing w:line="360" w:lineRule="auto"/>
        <w:jc w:val="both"/>
        <w:rPr>
          <w:rFonts w:ascii="Palatino Linotype" w:eastAsia="Palatino Linotype" w:hAnsi="Palatino Linotype" w:cs="Palatino Linotype"/>
          <w:sz w:val="28"/>
          <w:szCs w:val="28"/>
        </w:rPr>
      </w:pPr>
    </w:p>
    <w:p w14:paraId="324718E7"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C93360C" w14:textId="77777777" w:rsidR="003C28EC" w:rsidRDefault="003C28EC">
      <w:pPr>
        <w:spacing w:line="360" w:lineRule="auto"/>
        <w:jc w:val="both"/>
        <w:rPr>
          <w:rFonts w:ascii="Palatino Linotype" w:eastAsia="Palatino Linotype" w:hAnsi="Palatino Linotype" w:cs="Palatino Linotype"/>
        </w:rPr>
      </w:pPr>
    </w:p>
    <w:p w14:paraId="668D6C48"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w:t>
      </w:r>
      <w:r>
        <w:rPr>
          <w:rFonts w:ascii="Palatino Linotype" w:eastAsia="Palatino Linotype" w:hAnsi="Palatino Linotype" w:cs="Palatino Linotype"/>
          <w:b/>
          <w:u w:val="single"/>
        </w:rPr>
        <w:t>se ponderaban dos derechos: el derecho a la intimidad y la protección de los datos personales versus el interés público de conocer el ejercicio de atribuciones y de recursos públicos de las instituciones</w:t>
      </w:r>
      <w:r>
        <w:rPr>
          <w:rFonts w:ascii="Palatino Linotype" w:eastAsia="Palatino Linotype" w:hAnsi="Palatino Linotype" w:cs="Palatino Linotype"/>
        </w:rPr>
        <w:t xml:space="preserve"> y es a partir de ahí, en donde las instituciones públicas deben determinar la publicidad de su información.</w:t>
      </w:r>
    </w:p>
    <w:p w14:paraId="5A800529" w14:textId="77777777" w:rsidR="003C28EC" w:rsidRDefault="003C28EC">
      <w:pPr>
        <w:spacing w:line="360" w:lineRule="auto"/>
        <w:ind w:right="-93"/>
        <w:jc w:val="both"/>
        <w:rPr>
          <w:rFonts w:ascii="Palatino Linotype" w:eastAsia="Palatino Linotype" w:hAnsi="Palatino Linotype" w:cs="Palatino Linotype"/>
        </w:rPr>
      </w:pPr>
    </w:p>
    <w:p w14:paraId="7C52CB29"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0F48D8DC" w14:textId="77777777" w:rsidR="003C28EC" w:rsidRDefault="003C28EC">
      <w:pPr>
        <w:spacing w:line="360" w:lineRule="auto"/>
        <w:ind w:right="-93"/>
        <w:jc w:val="both"/>
        <w:rPr>
          <w:rFonts w:ascii="Palatino Linotype" w:eastAsia="Palatino Linotype" w:hAnsi="Palatino Linotype" w:cs="Palatino Linotype"/>
        </w:rPr>
      </w:pPr>
    </w:p>
    <w:p w14:paraId="78B43839"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w:t>
      </w:r>
      <w:r>
        <w:rPr>
          <w:rFonts w:ascii="Palatino Linotype" w:eastAsia="Palatino Linotype" w:hAnsi="Palatino Linotype" w:cs="Palatino Linotype"/>
          <w:b/>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Pr>
          <w:rFonts w:ascii="Palatino Linotype" w:eastAsia="Palatino Linotype" w:hAnsi="Palatino Linotype" w:cs="Palatino Linotype"/>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4DDEDC6" w14:textId="77777777" w:rsidR="003C28EC" w:rsidRDefault="003C28EC">
      <w:pPr>
        <w:spacing w:line="360" w:lineRule="auto"/>
        <w:ind w:right="-93"/>
        <w:jc w:val="both"/>
        <w:rPr>
          <w:rFonts w:ascii="Palatino Linotype" w:eastAsia="Palatino Linotype" w:hAnsi="Palatino Linotype" w:cs="Palatino Linotype"/>
        </w:rPr>
      </w:pPr>
    </w:p>
    <w:p w14:paraId="40F7A390"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efecto, los documentos solicitados son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74AB4F5" w14:textId="77777777" w:rsidR="003C28EC" w:rsidRDefault="003C28EC">
      <w:pPr>
        <w:spacing w:after="160" w:line="360" w:lineRule="auto"/>
        <w:jc w:val="both"/>
        <w:rPr>
          <w:rFonts w:ascii="Palatino Linotype" w:eastAsia="Palatino Linotype" w:hAnsi="Palatino Linotype" w:cs="Palatino Linotype"/>
          <w:sz w:val="22"/>
          <w:szCs w:val="22"/>
        </w:rPr>
      </w:pPr>
    </w:p>
    <w:p w14:paraId="080D1F8E" w14:textId="77777777" w:rsidR="003C28EC" w:rsidRDefault="00C84742">
      <w:pPr>
        <w:spacing w:after="160" w:line="259" w:lineRule="auto"/>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7A804A7F" w14:textId="77777777" w:rsidR="003C28EC" w:rsidRDefault="00C84742">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26B6E805" w14:textId="77777777" w:rsidR="003C28EC" w:rsidRDefault="00C84742">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EFC149" w14:textId="77777777" w:rsidR="003C28EC" w:rsidRDefault="00C84742">
      <w:pPr>
        <w:spacing w:after="160" w:line="259"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75D6F392" w14:textId="77777777" w:rsidR="003C28EC" w:rsidRDefault="00C84742">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4B1103" w14:textId="77777777" w:rsidR="003C28EC" w:rsidRDefault="00C84742">
      <w:pPr>
        <w:spacing w:after="160" w:line="259"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D88C5D" w14:textId="77777777" w:rsidR="003C28EC" w:rsidRDefault="003C28EC">
      <w:pPr>
        <w:spacing w:line="360" w:lineRule="auto"/>
        <w:ind w:right="-93"/>
        <w:jc w:val="both"/>
        <w:rPr>
          <w:rFonts w:ascii="Palatino Linotype" w:eastAsia="Palatino Linotype" w:hAnsi="Palatino Linotype" w:cs="Palatino Linotype"/>
        </w:rPr>
      </w:pPr>
    </w:p>
    <w:p w14:paraId="228D9152" w14:textId="77777777" w:rsidR="003C28EC" w:rsidRDefault="00C8474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C0CBFD8" w14:textId="77777777" w:rsidR="003C28EC" w:rsidRDefault="003C28EC">
      <w:pPr>
        <w:spacing w:line="360" w:lineRule="auto"/>
        <w:jc w:val="both"/>
        <w:rPr>
          <w:rFonts w:ascii="Palatino Linotype" w:eastAsia="Palatino Linotype" w:hAnsi="Palatino Linotype" w:cs="Palatino Linotype"/>
        </w:rPr>
      </w:pPr>
    </w:p>
    <w:p w14:paraId="00289F22" w14:textId="77777777" w:rsidR="003C28EC" w:rsidRDefault="00C84742">
      <w:pPr>
        <w:ind w:left="567" w:right="51"/>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01/2003.</w:t>
      </w:r>
    </w:p>
    <w:p w14:paraId="316D90C7" w14:textId="77777777" w:rsidR="003C28EC" w:rsidRDefault="00C84742">
      <w:pPr>
        <w:ind w:left="567" w:right="1134"/>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Pr>
          <w:rFonts w:ascii="Palatino Linotype" w:eastAsia="Palatino Linotype" w:hAnsi="Palatino Linotype" w:cs="Palatino Linotype"/>
          <w:b/>
          <w:i/>
          <w:u w:val="single"/>
        </w:rPr>
        <w:t>.</w:t>
      </w:r>
      <w:r>
        <w:rPr>
          <w:rFonts w:ascii="Palatino Linotype" w:eastAsia="Palatino Linotype" w:hAnsi="Palatino Linotype" w:cs="Palatino Linotype"/>
          <w:i/>
          <w:u w:val="single"/>
        </w:rPr>
        <w:t xml:space="preserve"> Si </w:t>
      </w:r>
      <w:r>
        <w:rPr>
          <w:rFonts w:ascii="Palatino Linotype" w:eastAsia="Palatino Linotype" w:hAnsi="Palatino Linotype" w:cs="Palatino Linotype"/>
          <w:b/>
          <w:i/>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eastAsia="Palatino Linotype" w:hAnsi="Palatino Linotype" w:cs="Palatino Linotype"/>
          <w:b/>
          <w:i/>
        </w:rPr>
        <w:t xml:space="preserve">, </w:t>
      </w:r>
      <w:r>
        <w:rPr>
          <w:rFonts w:ascii="Palatino Linotype" w:eastAsia="Palatino Linotype" w:hAnsi="Palatino Linotype" w:cs="Palatino Linotype"/>
          <w:b/>
          <w:i/>
          <w:u w:val="single"/>
        </w:rPr>
        <w:t>debe reconocerse que aun y  cuando en ese supuesto podría encuadrar la relativa a las percepciones ordinarias y extraordinaria de los servidores públicos</w:t>
      </w:r>
      <w:r>
        <w:rPr>
          <w:rFonts w:ascii="Palatino Linotype" w:eastAsia="Palatino Linotype" w:hAnsi="Palatino Linotype" w:cs="Palatino Linotype"/>
          <w:b/>
          <w:i/>
        </w:rPr>
        <w:t>,</w:t>
      </w:r>
      <w:r>
        <w:rPr>
          <w:rFonts w:ascii="Palatino Linotype" w:eastAsia="Palatino Linotype" w:hAnsi="Palatino Linotype" w:cs="Palatino Linotype"/>
          <w:i/>
        </w:rPr>
        <w:t xml:space="preserve">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rPr>
        <w:t>…”</w:t>
      </w:r>
    </w:p>
    <w:p w14:paraId="5357E953" w14:textId="77777777" w:rsidR="003C28EC" w:rsidRDefault="003C28EC">
      <w:pPr>
        <w:ind w:left="567" w:right="1134"/>
        <w:jc w:val="both"/>
        <w:rPr>
          <w:rFonts w:ascii="Palatino Linotype" w:eastAsia="Palatino Linotype" w:hAnsi="Palatino Linotype" w:cs="Palatino Linotype"/>
          <w:i/>
          <w:sz w:val="2"/>
          <w:szCs w:val="2"/>
        </w:rPr>
      </w:pPr>
    </w:p>
    <w:p w14:paraId="6E9F04DE" w14:textId="77777777" w:rsidR="003C28EC" w:rsidRDefault="003C28EC">
      <w:pPr>
        <w:ind w:left="567" w:right="1134"/>
        <w:jc w:val="both"/>
        <w:rPr>
          <w:rFonts w:ascii="Palatino Linotype" w:eastAsia="Palatino Linotype" w:hAnsi="Palatino Linotype" w:cs="Palatino Linotype"/>
          <w:b/>
          <w:i/>
        </w:rPr>
      </w:pPr>
    </w:p>
    <w:p w14:paraId="658AB22E" w14:textId="77777777" w:rsidR="003C28EC" w:rsidRDefault="003C28EC">
      <w:pPr>
        <w:ind w:left="567" w:right="1134"/>
        <w:jc w:val="both"/>
        <w:rPr>
          <w:rFonts w:ascii="Palatino Linotype" w:eastAsia="Palatino Linotype" w:hAnsi="Palatino Linotype" w:cs="Palatino Linotype"/>
          <w:b/>
          <w:i/>
        </w:rPr>
      </w:pPr>
    </w:p>
    <w:p w14:paraId="14E28088" w14:textId="77777777" w:rsidR="003C28EC" w:rsidRDefault="00C84742">
      <w:pPr>
        <w:ind w:left="567" w:right="1134"/>
        <w:jc w:val="both"/>
        <w:rPr>
          <w:rFonts w:ascii="Palatino Linotype" w:eastAsia="Palatino Linotype" w:hAnsi="Palatino Linotype" w:cs="Palatino Linotype"/>
          <w:b/>
          <w:i/>
        </w:rPr>
      </w:pPr>
      <w:r>
        <w:rPr>
          <w:rFonts w:ascii="Palatino Linotype" w:eastAsia="Palatino Linotype" w:hAnsi="Palatino Linotype" w:cs="Palatino Linotype"/>
          <w:b/>
          <w:i/>
        </w:rPr>
        <w:t>“Criterio 02/2003.</w:t>
      </w:r>
    </w:p>
    <w:p w14:paraId="50699182" w14:textId="77777777" w:rsidR="003C28EC" w:rsidRDefault="00C84742">
      <w:pPr>
        <w:ind w:left="567" w:right="1134"/>
        <w:jc w:val="both"/>
        <w:rPr>
          <w:rFonts w:ascii="Palatino Linotype" w:eastAsia="Palatino Linotype" w:hAnsi="Palatino Linotype" w:cs="Palatino Linotype"/>
          <w:i/>
        </w:rPr>
      </w:pPr>
      <w:r>
        <w:rPr>
          <w:rFonts w:ascii="Palatino Linotype" w:eastAsia="Palatino Linotype" w:hAnsi="Palatino Linotype" w:cs="Palatino Linotype"/>
          <w:b/>
          <w:i/>
          <w:u w:val="single"/>
        </w:rPr>
        <w:t>INGRESOS DE LOS SERVIDORES PÚBLICOS, SON INFORMACIÓN PÚBLICA AÚN Y CUANDO CONSTITUYEN DATOS PERSONALES</w:t>
      </w:r>
      <w:r>
        <w:rPr>
          <w:rFonts w:ascii="Palatino Linotype" w:eastAsia="Palatino Linotype" w:hAnsi="Palatino Linotype" w:cs="Palatino Linotype"/>
          <w:b/>
          <w:i/>
        </w:rPr>
        <w:t xml:space="preserve"> QUE SE REFIEREN AL PATRIMONIO DE AQUÉLLOS.</w:t>
      </w:r>
      <w:r>
        <w:rPr>
          <w:rFonts w:ascii="Palatino Linotype" w:eastAsia="Palatino Linotype" w:hAnsi="Palatino Linotype" w:cs="Palatino Linotype"/>
          <w:i/>
        </w:rPr>
        <w:t xml:space="preserve"> De la interpretación sistemática de lo previsto en los artículos 3º, fracción II; 7º, 9º y 18, fracción II, de la Ley Federal de Transparencia y Acceso a la Información Pública Gubernamental </w:t>
      </w:r>
      <w:r>
        <w:rPr>
          <w:rFonts w:ascii="Palatino Linotype" w:eastAsia="Palatino Linotype" w:hAnsi="Palatino Linotype" w:cs="Palatino Linotype"/>
          <w:i/>
          <w:u w:val="single"/>
        </w:rPr>
        <w:t>se advierte que no constituye información confidencial la relativa a los ingresos que reciben los servidores públicos, ya que aun y cuando se trata de datos personales relativos a su patrimonio</w:t>
      </w:r>
      <w:r>
        <w:rPr>
          <w:rFonts w:ascii="Palatino Linotype" w:eastAsia="Palatino Linotype" w:hAnsi="Palatino Linotype" w:cs="Palatino Linotype"/>
          <w:i/>
        </w:rPr>
        <w:t xml:space="preserve">, para su difusión no se requiere consentimiento de aquellos, </w:t>
      </w:r>
      <w:r>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rPr>
        <w:t xml:space="preserve"> el sistema de compensación…” (sic)</w:t>
      </w:r>
    </w:p>
    <w:p w14:paraId="7D001997" w14:textId="77777777" w:rsidR="003C28EC" w:rsidRDefault="003C28EC">
      <w:pPr>
        <w:spacing w:line="360" w:lineRule="auto"/>
        <w:jc w:val="both"/>
        <w:rPr>
          <w:rFonts w:ascii="Palatino Linotype" w:eastAsia="Palatino Linotype" w:hAnsi="Palatino Linotype" w:cs="Palatino Linotype"/>
        </w:rPr>
      </w:pPr>
    </w:p>
    <w:p w14:paraId="07E2AF3E" w14:textId="77777777" w:rsidR="003C28EC" w:rsidRDefault="00C8474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artículo 70 de la Ley General de Transparencia y Acceso a la Información Pública dispone lo siguiente: </w:t>
      </w:r>
    </w:p>
    <w:p w14:paraId="1E699AE4" w14:textId="77777777" w:rsidR="003C28EC" w:rsidRDefault="003C28EC">
      <w:pPr>
        <w:spacing w:line="360" w:lineRule="auto"/>
        <w:jc w:val="both"/>
        <w:rPr>
          <w:rFonts w:ascii="Palatino Linotype" w:eastAsia="Palatino Linotype" w:hAnsi="Palatino Linotype" w:cs="Palatino Linotype"/>
          <w:sz w:val="22"/>
          <w:szCs w:val="22"/>
        </w:rPr>
      </w:pPr>
    </w:p>
    <w:p w14:paraId="5467ED9A" w14:textId="77777777" w:rsidR="003C28EC" w:rsidRDefault="00AF5238">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C84742">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212FF71" w14:textId="77777777" w:rsidR="003C28EC" w:rsidRDefault="00C84742">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00AF5238">
        <w:rPr>
          <w:rFonts w:ascii="Palatino Linotype" w:eastAsia="Palatino Linotype" w:hAnsi="Palatino Linotype" w:cs="Palatino Linotype"/>
          <w:i/>
          <w:sz w:val="22"/>
          <w:szCs w:val="22"/>
        </w:rPr>
        <w:t>“</w:t>
      </w:r>
    </w:p>
    <w:p w14:paraId="1DDE6B5E" w14:textId="77777777" w:rsidR="003C28EC" w:rsidRDefault="003C28EC">
      <w:pPr>
        <w:spacing w:line="360" w:lineRule="auto"/>
        <w:jc w:val="both"/>
        <w:rPr>
          <w:rFonts w:ascii="Calibri" w:eastAsia="Calibri" w:hAnsi="Calibri" w:cs="Calibri"/>
          <w:sz w:val="22"/>
          <w:szCs w:val="22"/>
        </w:rPr>
      </w:pPr>
    </w:p>
    <w:p w14:paraId="78C9BC67" w14:textId="77777777" w:rsidR="003C28EC" w:rsidRDefault="00C8474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6E4DB1A7" w14:textId="77777777" w:rsidR="003C28EC" w:rsidRDefault="003C28EC">
      <w:pPr>
        <w:spacing w:line="360" w:lineRule="auto"/>
        <w:ind w:right="49"/>
        <w:jc w:val="both"/>
        <w:rPr>
          <w:rFonts w:ascii="Palatino Linotype" w:eastAsia="Palatino Linotype" w:hAnsi="Palatino Linotype" w:cs="Palatino Linotype"/>
          <w:sz w:val="22"/>
          <w:szCs w:val="22"/>
        </w:rPr>
      </w:pPr>
    </w:p>
    <w:p w14:paraId="35A545C9" w14:textId="77777777" w:rsidR="003C28EC" w:rsidRDefault="00C84742">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72FC13" w14:textId="77777777" w:rsidR="003C28EC" w:rsidRDefault="00C84742">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3D2663" w14:textId="77777777" w:rsidR="003C28EC" w:rsidRDefault="00C84742">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2F69ABA" w14:textId="77777777" w:rsidR="003C28EC" w:rsidRDefault="003C28EC">
      <w:pPr>
        <w:spacing w:line="360" w:lineRule="auto"/>
        <w:ind w:right="-93"/>
        <w:jc w:val="both"/>
        <w:rPr>
          <w:rFonts w:ascii="Palatino Linotype" w:eastAsia="Palatino Linotype" w:hAnsi="Palatino Linotype" w:cs="Palatino Linotype"/>
        </w:rPr>
      </w:pPr>
    </w:p>
    <w:p w14:paraId="699AA7A9"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insiste que en el caso concreto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se limitó a restringir el derecho de acceso del particular refiriendo que con la finalidad de proteger a los servidores públicos de dichas llamadas  de extorsión, los talones de pago son susceptibles de clasificación como confidencial, al respecto, conviene mencionar que si bien, los recibos de nómina contienen datos personales ello no es  razón suficiente para restringir en su totalidad el acceso del particular, en virtud de que la legislación en materia de acceso a la información pública ha tenido a bien otorgar la posibilidad de generar versiones públicas a fin de salvaguardar el derecho ejercido por el particular sin menoscabo de la intimidad de los servidores públicos, por tal motivo lo procedente es ordenar la apertura de la información atendiendo a las salvaguardas que en el considerando quinto se analizarán. </w:t>
      </w:r>
    </w:p>
    <w:p w14:paraId="6D1EF348"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principio,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5767F8C8" w14:textId="77777777" w:rsidR="003C28EC" w:rsidRDefault="003C28EC">
      <w:pPr>
        <w:spacing w:line="360" w:lineRule="auto"/>
        <w:ind w:right="-93"/>
        <w:jc w:val="both"/>
        <w:rPr>
          <w:rFonts w:ascii="Palatino Linotype" w:eastAsia="Palatino Linotype" w:hAnsi="Palatino Linotype" w:cs="Palatino Linotype"/>
        </w:rPr>
      </w:pPr>
    </w:p>
    <w:p w14:paraId="4ABFF296" w14:textId="77777777" w:rsidR="003C28EC" w:rsidRDefault="00C8474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conviene expresar que en el caso concreto, el </w:t>
      </w:r>
      <w:r>
        <w:rPr>
          <w:rFonts w:ascii="Palatino Linotype" w:eastAsia="Palatino Linotype" w:hAnsi="Palatino Linotype" w:cs="Palatino Linotype"/>
          <w:b/>
        </w:rPr>
        <w:t>Sujeto Obligado no observó las formalidades que establece la legislación en la materia respecto a la clasificación de la información</w:t>
      </w:r>
      <w:r>
        <w:rPr>
          <w:rFonts w:ascii="Palatino Linotype" w:eastAsia="Palatino Linotype" w:hAnsi="Palatino Linotype" w:cs="Palatino Linotype"/>
        </w:rPr>
        <w:t>, toda vez que de las constancias que obran en el expediente electrónico en el que se actúa, si bien es cierto que se remitió un Acuerdo de Clasificación, de su análisis se advierte que consiste en una clasificación de carácter general, es decir, aplicable a todas las solicitudes de información, correspondientes a recibos de nómina, no obra la respectiva fundamentación y motivación, ni se acredita que la información requerida actualiza el supuesto de clasificación invocado por el servidor público habilitado como razón para limitar el derecho humano de acceso a la información pública.</w:t>
      </w:r>
      <w:r w:rsidR="00AF5238">
        <w:rPr>
          <w:rFonts w:ascii="Palatino Linotype" w:eastAsia="Palatino Linotype" w:hAnsi="Palatino Linotype" w:cs="Palatino Linotype"/>
        </w:rPr>
        <w:t xml:space="preserve"> Además resulta importante mencionar que el referido acuerdo de clasificación únicamente refirió que se consideraban confidenciales los siguientes: </w:t>
      </w:r>
      <w:r w:rsidR="00AF5238" w:rsidRPr="00AF5238">
        <w:rPr>
          <w:rFonts w:ascii="Palatino Linotype" w:eastAsia="Palatino Linotype" w:hAnsi="Palatino Linotype" w:cs="Palatino Linotype"/>
          <w:b/>
        </w:rPr>
        <w:t>firma, número de seguridad social, registro federal de contribuyentes, número de afiliación al ISSEMYM y CURP,</w:t>
      </w:r>
      <w:r w:rsidR="00AF5238">
        <w:rPr>
          <w:rFonts w:ascii="Palatino Linotype" w:eastAsia="Palatino Linotype" w:hAnsi="Palatino Linotype" w:cs="Palatino Linotype"/>
          <w:b/>
        </w:rPr>
        <w:t xml:space="preserve"> </w:t>
      </w:r>
      <w:r w:rsidR="00AF5238" w:rsidRPr="00AF5238">
        <w:rPr>
          <w:rFonts w:ascii="Palatino Linotype" w:eastAsia="Palatino Linotype" w:hAnsi="Palatino Linotype" w:cs="Palatino Linotype"/>
        </w:rPr>
        <w:t>lo cual conlleva a la elaboración de versiones públicas,</w:t>
      </w:r>
      <w:r w:rsidR="00AF5238">
        <w:rPr>
          <w:rFonts w:ascii="Palatino Linotype" w:eastAsia="Palatino Linotype" w:hAnsi="Palatino Linotype" w:cs="Palatino Linotype"/>
          <w:b/>
        </w:rPr>
        <w:t xml:space="preserve"> </w:t>
      </w:r>
      <w:r w:rsidR="00AF5238" w:rsidRPr="00AF5238">
        <w:rPr>
          <w:rFonts w:ascii="Palatino Linotype" w:eastAsia="Palatino Linotype" w:hAnsi="Palatino Linotype" w:cs="Palatino Linotype"/>
        </w:rPr>
        <w:t>no</w:t>
      </w:r>
      <w:r w:rsidR="00AF5238">
        <w:rPr>
          <w:rFonts w:ascii="Palatino Linotype" w:eastAsia="Palatino Linotype" w:hAnsi="Palatino Linotype" w:cs="Palatino Linotype"/>
        </w:rPr>
        <w:t xml:space="preserve"> así, a la clasificación de la totalidad del documento, es decir, el recibo de nómina como lo refirió el tesorero municipal en un acto posterior para otorgar respuesta a la solicitud de información.</w:t>
      </w:r>
    </w:p>
    <w:p w14:paraId="40CA4DD7" w14:textId="77777777" w:rsidR="00645615" w:rsidRPr="00645615" w:rsidRDefault="00645615" w:rsidP="0064561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para este organismo garante </w:t>
      </w:r>
      <w:r w:rsidRPr="00645615">
        <w:rPr>
          <w:rFonts w:ascii="Palatino Linotype" w:eastAsia="Palatino Linotype" w:hAnsi="Palatino Linotype" w:cs="Palatino Linotype"/>
        </w:rPr>
        <w:t xml:space="preserve">que el </w:t>
      </w:r>
      <w:r w:rsidRPr="00645615">
        <w:rPr>
          <w:rFonts w:ascii="Palatino Linotype" w:eastAsia="Palatino Linotype" w:hAnsi="Palatino Linotype" w:cs="Palatino Linotype"/>
          <w:b/>
        </w:rPr>
        <w:t>Sujeto Obligado</w:t>
      </w:r>
      <w:r w:rsidRPr="00645615">
        <w:rPr>
          <w:rFonts w:ascii="Palatino Linotype" w:eastAsia="Palatino Linotype" w:hAnsi="Palatino Linotype" w:cs="Palatino Linotype"/>
        </w:rPr>
        <w:t xml:space="preserve"> pretende clasificar la firma de los servidores públicos, en el caso particular la firma es de acceso público, en virtud de que con esta se acredita que los documentos en cuestión son auténticos, por lo que como se detallará en el considerando quinto, la firma del servidor público guarda el carácter de público y, por lo tanto, no actualiza la causal de clasificación prevista en el artículo 143, fracción I, de la Ley de Transparencia y Acceso a la Información Pública del Estado de México y Municipios. </w:t>
      </w:r>
    </w:p>
    <w:p w14:paraId="2C1919C8" w14:textId="77777777" w:rsidR="003C28EC" w:rsidRDefault="00C84742">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se advierte que la pretendida clasificación de la información solicitada no reúne los requisitos contenidos en la Ley de Transparencia y Acceso a la Información del Estado de México y Municipios y en los Lineamientos Generales en Materia de Clasificación y Desclasificación de la Información, por lo tanto, el derecho de acceso a la información pública del particular no puede tenerse por atendido.</w:t>
      </w:r>
    </w:p>
    <w:p w14:paraId="59FEDDFA"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referir que la fundamentación y motivación consiste en la obligación que tiene todo ente público de expresar los preceptos jurídicos aplicables al asunto motivo del acto y las razones o argumentos de su actuar.</w:t>
      </w:r>
    </w:p>
    <w:p w14:paraId="2196B53C"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2DB38A7A" w14:textId="77777777" w:rsidR="003C28EC" w:rsidRDefault="00C8474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FUNDAMENTACIÓN Y MOTIVACIÓN. </w:t>
      </w:r>
      <w:r>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BD42F54"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6288E84"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CF05877" w14:textId="77777777" w:rsidR="003C28EC" w:rsidRDefault="00C8474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14:paraId="7B7E801A"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F057276"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las formalidades previstas en los artículos 49, fracción VIII, 122, 130, 132, fracciones I, II y III, 143 en su fracción primera y 149 de la Ley de Transparencia y Acceso a la Información Pública del Estado de México y Municipios en vigor, así como el numeral Cuarto al Décimo Primero de los Lineamientos Generales en materia de Clasificación y Desclasificación de la Información, así como para la elaboración de Versiones Públicas, que literalmente expresan:</w:t>
      </w:r>
    </w:p>
    <w:p w14:paraId="4F04ED03" w14:textId="77777777" w:rsidR="003C28EC" w:rsidRDefault="00C84742">
      <w:pPr>
        <w:spacing w:before="240" w:after="240" w:line="360"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Ley de Transparencia y Acceso a la Información Pública del Estado de México y Municipios</w:t>
      </w:r>
    </w:p>
    <w:p w14:paraId="0B056542"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690A4E4B"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4B6A91BA"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5265576C"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La clasificación es el proceso mediante el cual el sujeto obligado determina que la información en su poder actualiza alguno de 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de conformidad con lo dispuesto en el presente título.</w:t>
      </w:r>
    </w:p>
    <w:p w14:paraId="14D7B5AF"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supuestos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 o confidencialidad previstos en las leyes deberán ser acordes con las bases, principios y disposiciones establecidos en la Ley General y, en ningún caso, podrán contravenirla.</w:t>
      </w:r>
    </w:p>
    <w:p w14:paraId="3261C02F"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14:paraId="6B169B18"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48E79F"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130. </w:t>
      </w:r>
      <w:r>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 Ley General y la presente Ley, aduciendo analogía o mayoría de razón.</w:t>
      </w:r>
    </w:p>
    <w:p w14:paraId="50EA9AFF"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5349197A"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reciba una solicitud de acceso a la información;</w:t>
      </w:r>
    </w:p>
    <w:p w14:paraId="36634C4A"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Se determine mediante resolución de autoridad competente; o</w:t>
      </w:r>
    </w:p>
    <w:p w14:paraId="1A728D19"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379BC63C"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E10B094"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1153143B"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 refiera a la información privada y los datos personales concernientes a una persona física o jurídico colectiva identificada o identificable;</w:t>
      </w:r>
    </w:p>
    <w:p w14:paraId="3B3BD5A7"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18046AE" w14:textId="77777777" w:rsidR="003C28EC" w:rsidRDefault="00C84742">
      <w:pPr>
        <w:spacing w:before="240" w:after="240"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149.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b/>
          <w:i/>
          <w:sz w:val="22"/>
          <w:szCs w:val="22"/>
        </w:rPr>
        <w:t>”</w:t>
      </w:r>
    </w:p>
    <w:p w14:paraId="312440FA" w14:textId="77777777" w:rsidR="003C28EC" w:rsidRDefault="00C84742">
      <w:pPr>
        <w:spacing w:before="240" w:after="240" w:line="276" w:lineRule="auto"/>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14:paraId="56DD8066"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93BCA3"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0B8607A"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5A090E" w14:textId="77777777" w:rsidR="003C28EC" w:rsidRDefault="00C84742">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Sexto.</w:t>
      </w:r>
      <w:r>
        <w:rPr>
          <w:rFonts w:ascii="Palatino Linotype" w:eastAsia="Palatino Linotype" w:hAnsi="Palatino Linotype" w:cs="Palatino Linotype"/>
          <w:i/>
          <w:color w:val="000000"/>
          <w:sz w:val="22"/>
          <w:szCs w:val="22"/>
        </w:rPr>
        <w:t xml:space="preserve"> </w:t>
      </w:r>
    </w:p>
    <w:p w14:paraId="451A24AB" w14:textId="77777777" w:rsidR="003C28EC" w:rsidRDefault="00C84742">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6FD9202" w14:textId="77777777" w:rsidR="003C28EC" w:rsidRDefault="00C84742">
      <w:pPr>
        <w:spacing w:before="240" w:after="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14:paraId="18D7210F"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101BF71F"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BE41C5B"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19209C76"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31F26B3"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D1C4D9C"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1DA366F"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B671538"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A5D777"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147CD11"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92E10A"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D00AA3"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B34C610" w14:textId="77777777" w:rsidR="003C28EC" w:rsidRDefault="00C84742">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729F2C26"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5F6DB3ED" w14:textId="77777777" w:rsidR="003C28EC" w:rsidRDefault="00C84742">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E9C6A56" w14:textId="77777777" w:rsidR="00645615" w:rsidRPr="00645615" w:rsidRDefault="00C84742" w:rsidP="0064561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A8138D" w14:textId="77777777" w:rsidR="003C28EC" w:rsidRPr="00645615"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no resulta procedente la negativa del Sujeto Obligado a impedir al particular acceder a los recibos de nómina, por tal motivo lo procedente es ordenar la apertura de la información atendiendo a las salvaguardas que en el considerando quinto se analizan. </w:t>
      </w:r>
    </w:p>
    <w:p w14:paraId="4802C570"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b/>
          <w:lang w:val="es-MX" w:eastAsia="es-MX"/>
        </w:rPr>
        <w:t>Quinto. Versión Pública. C</w:t>
      </w:r>
      <w:r w:rsidRPr="00AF5238">
        <w:rPr>
          <w:rFonts w:ascii="Palatino Linotype" w:eastAsia="Palatino Linotype" w:hAnsi="Palatino Linotype" w:cs="Palatino Linotype"/>
          <w:lang w:val="es-MX" w:eastAsia="es-MX"/>
        </w:rPr>
        <w:t>omo fue debidamente apuntado, el</w:t>
      </w:r>
      <w:r w:rsidRPr="00AF5238">
        <w:rPr>
          <w:rFonts w:ascii="Palatino Linotype" w:eastAsia="Palatino Linotype" w:hAnsi="Palatino Linotype" w:cs="Palatino Linotype"/>
          <w:b/>
          <w:lang w:val="es-MX" w:eastAsia="es-MX"/>
        </w:rPr>
        <w:t> </w:t>
      </w:r>
      <w:r w:rsidR="00645615" w:rsidRPr="00AF5238">
        <w:rPr>
          <w:rFonts w:ascii="Palatino Linotype" w:eastAsia="Palatino Linotype" w:hAnsi="Palatino Linotype" w:cs="Palatino Linotype"/>
          <w:b/>
          <w:lang w:val="es-MX" w:eastAsia="es-MX"/>
        </w:rPr>
        <w:t>Sujeto Obligado</w:t>
      </w:r>
      <w:r w:rsidR="00645615" w:rsidRPr="00AF5238">
        <w:rPr>
          <w:rFonts w:ascii="Palatino Linotype" w:eastAsia="Palatino Linotype" w:hAnsi="Palatino Linotype" w:cs="Palatino Linotype"/>
          <w:lang w:val="es-MX" w:eastAsia="es-MX"/>
        </w:rPr>
        <w:t> </w:t>
      </w:r>
      <w:r w:rsidR="00645615">
        <w:rPr>
          <w:rFonts w:ascii="Palatino Linotype" w:eastAsia="Palatino Linotype" w:hAnsi="Palatino Linotype" w:cs="Palatino Linotype"/>
          <w:lang w:val="es-MX" w:eastAsia="es-MX"/>
        </w:rPr>
        <w:t>debe satisfacer la solicitud</w:t>
      </w:r>
      <w:r w:rsidRPr="00AF5238">
        <w:rPr>
          <w:rFonts w:ascii="Palatino Linotype" w:eastAsia="Palatino Linotype" w:hAnsi="Palatino Linotype" w:cs="Palatino Linotype"/>
          <w:lang w:val="es-MX" w:eastAsia="es-MX"/>
        </w:rPr>
        <w:t xml:space="preserve">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2D5D42E3"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6DDBD933" w14:textId="77777777" w:rsidR="00AF5238" w:rsidRPr="00AF5238" w:rsidRDefault="00AF5238" w:rsidP="00AF5238">
      <w:pPr>
        <w:shd w:val="clear" w:color="auto" w:fill="FFFFFF"/>
        <w:spacing w:line="360" w:lineRule="auto"/>
        <w:ind w:right="49"/>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26287875"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p>
    <w:p w14:paraId="79A1EEF3"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458E74C"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p>
    <w:p w14:paraId="71AE34BC"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432A003D"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p>
    <w:p w14:paraId="3D580C63" w14:textId="77777777" w:rsidR="00AF5238" w:rsidRPr="00AF5238" w:rsidRDefault="00AF5238" w:rsidP="00AF5238">
      <w:pPr>
        <w:spacing w:line="360" w:lineRule="auto"/>
        <w:ind w:left="993" w:right="1041"/>
        <w:jc w:val="both"/>
        <w:rPr>
          <w:rFonts w:ascii="Palatino Linotype" w:eastAsia="Palatino Linotype" w:hAnsi="Palatino Linotype" w:cs="Palatino Linotype"/>
          <w:b/>
          <w:i/>
          <w:sz w:val="22"/>
          <w:szCs w:val="22"/>
          <w:lang w:val="es-MX" w:eastAsia="es-MX"/>
        </w:rPr>
      </w:pPr>
      <w:r w:rsidRPr="00AF5238">
        <w:rPr>
          <w:rFonts w:ascii="Palatino Linotype" w:eastAsia="Palatino Linotype" w:hAnsi="Palatino Linotype" w:cs="Palatino Linotype"/>
          <w:b/>
          <w:i/>
          <w:sz w:val="22"/>
          <w:szCs w:val="22"/>
          <w:lang w:val="es-MX" w:eastAsia="es-MX"/>
        </w:rPr>
        <w:t xml:space="preserve"> “Artículo 3. Para los efectos de la presente Ley se entenderá por:</w:t>
      </w:r>
    </w:p>
    <w:p w14:paraId="75DFFED7"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IX. Datos personales:</w:t>
      </w:r>
      <w:r w:rsidRPr="00AF5238">
        <w:rPr>
          <w:rFonts w:ascii="Palatino Linotype" w:eastAsia="Palatino Linotype" w:hAnsi="Palatino Linotype" w:cs="Palatino Linotype"/>
          <w:i/>
          <w:sz w:val="22"/>
          <w:szCs w:val="22"/>
          <w:lang w:val="es-MX" w:eastAsia="es-MX"/>
        </w:rPr>
        <w:t xml:space="preserve"> </w:t>
      </w:r>
      <w:r w:rsidRPr="00AF5238">
        <w:rPr>
          <w:rFonts w:ascii="Palatino Linotype" w:eastAsia="Palatino Linotype" w:hAnsi="Palatino Linotype" w:cs="Palatino Linotype"/>
          <w:b/>
          <w:i/>
          <w:sz w:val="22"/>
          <w:szCs w:val="22"/>
          <w:lang w:val="es-MX" w:eastAsia="es-MX"/>
        </w:rPr>
        <w:t>La información concerniente a una persona, identificada o identificable</w:t>
      </w:r>
      <w:r w:rsidRPr="00AF5238">
        <w:rPr>
          <w:rFonts w:ascii="Palatino Linotype" w:eastAsia="Palatino Linotype" w:hAnsi="Palatino Linotype" w:cs="Palatino Linotype"/>
          <w:i/>
          <w:sz w:val="22"/>
          <w:szCs w:val="22"/>
          <w:lang w:val="es-MX" w:eastAsia="es-MX"/>
        </w:rPr>
        <w:t xml:space="preserve"> según lo dispuesto por la Ley de Protección de Datos Personales del Estado de México;</w:t>
      </w:r>
    </w:p>
    <w:p w14:paraId="2D4065E2"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XX. Información clasificada:</w:t>
      </w:r>
      <w:r w:rsidRPr="00AF5238">
        <w:rPr>
          <w:rFonts w:ascii="Palatino Linotype" w:eastAsia="Palatino Linotype" w:hAnsi="Palatino Linotype" w:cs="Palatino Linotype"/>
          <w:i/>
          <w:sz w:val="22"/>
          <w:szCs w:val="22"/>
          <w:lang w:val="es-MX" w:eastAsia="es-MX"/>
        </w:rPr>
        <w:t xml:space="preserve"> Aquella considerada por la presente Ley como reservada o confidencial;</w:t>
      </w:r>
    </w:p>
    <w:p w14:paraId="1A91589C"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XXXII. Protección de Datos Personales:</w:t>
      </w:r>
      <w:r w:rsidRPr="00AF5238">
        <w:rPr>
          <w:rFonts w:ascii="Palatino Linotype" w:eastAsia="Palatino Linotype" w:hAnsi="Palatino Linotype" w:cs="Palatino Linotype"/>
          <w:i/>
          <w:sz w:val="22"/>
          <w:szCs w:val="22"/>
          <w:lang w:val="es-MX" w:eastAsia="es-MX"/>
        </w:rPr>
        <w:t xml:space="preserve"> Derecho humano que tutela la privacidad de datos personales en poder de los sujetos obligados y sujetos particulares;</w:t>
      </w:r>
    </w:p>
    <w:p w14:paraId="5501136A"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XLV. Versión pública</w:t>
      </w:r>
      <w:r w:rsidRPr="00AF5238">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2552B2EF"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p>
    <w:p w14:paraId="70A7441A"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“Artículo 6.</w:t>
      </w:r>
      <w:r w:rsidRPr="00AF5238">
        <w:rPr>
          <w:rFonts w:ascii="Palatino Linotype" w:eastAsia="Palatino Linotype" w:hAnsi="Palatino Linotype" w:cs="Palatino Linotype"/>
          <w:i/>
          <w:sz w:val="22"/>
          <w:szCs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BEC8C02"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p>
    <w:p w14:paraId="1CC41E97"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 </w:t>
      </w:r>
      <w:r w:rsidRPr="00AF5238">
        <w:rPr>
          <w:rFonts w:ascii="Palatino Linotype" w:eastAsia="Palatino Linotype" w:hAnsi="Palatino Linotype" w:cs="Palatino Linotype"/>
          <w:b/>
          <w:i/>
          <w:sz w:val="22"/>
          <w:szCs w:val="22"/>
          <w:lang w:val="es-MX" w:eastAsia="es-MX"/>
        </w:rPr>
        <w:t>Artículo 49.</w:t>
      </w:r>
      <w:r w:rsidRPr="00AF5238">
        <w:rPr>
          <w:rFonts w:ascii="Palatino Linotype" w:eastAsia="Palatino Linotype" w:hAnsi="Palatino Linotype" w:cs="Palatino Linotype"/>
          <w:i/>
          <w:sz w:val="22"/>
          <w:szCs w:val="22"/>
          <w:lang w:val="es-MX" w:eastAsia="es-MX"/>
        </w:rPr>
        <w:t> Los Comités de Transparencia tendrán las siguientes atribuciones:</w:t>
      </w:r>
    </w:p>
    <w:p w14:paraId="2AD655FB"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w:t>
      </w:r>
    </w:p>
    <w:p w14:paraId="7BAD50D4"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VIII</w:t>
      </w:r>
      <w:r w:rsidRPr="00AF5238">
        <w:rPr>
          <w:rFonts w:ascii="Palatino Linotype" w:eastAsia="Palatino Linotype" w:hAnsi="Palatino Linotype" w:cs="Palatino Linotype"/>
          <w:i/>
          <w:sz w:val="22"/>
          <w:szCs w:val="22"/>
          <w:lang w:val="es-MX" w:eastAsia="es-MX"/>
        </w:rPr>
        <w:t>. Aprobar, modificar o revocar la clasificación de la información;</w:t>
      </w:r>
    </w:p>
    <w:p w14:paraId="4302BC44"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w:t>
      </w:r>
    </w:p>
    <w:p w14:paraId="5AFD623B"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 xml:space="preserve">Artículo 91. </w:t>
      </w:r>
      <w:r w:rsidRPr="00AF5238">
        <w:rPr>
          <w:rFonts w:ascii="Palatino Linotype" w:eastAsia="Palatino Linotype" w:hAnsi="Palatino Linotype" w:cs="Palatino Linotype"/>
          <w:i/>
          <w:sz w:val="22"/>
          <w:szCs w:val="22"/>
          <w:lang w:val="es-MX" w:eastAsia="es-MX"/>
        </w:rPr>
        <w:t>El acceso a la información pública será restringido excepcionalmente, cuando ésta sea clasificada como reservada o confidencial.</w:t>
      </w:r>
    </w:p>
    <w:p w14:paraId="45AE4FFE"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p>
    <w:p w14:paraId="4B3FA5F4" w14:textId="77777777" w:rsidR="00AF5238" w:rsidRPr="00AF5238" w:rsidRDefault="00AF5238" w:rsidP="00AF5238">
      <w:pPr>
        <w:spacing w:line="360" w:lineRule="auto"/>
        <w:ind w:left="993" w:right="1041"/>
        <w:jc w:val="both"/>
        <w:rPr>
          <w:rFonts w:ascii="Palatino Linotype" w:eastAsia="Palatino Linotype" w:hAnsi="Palatino Linotype" w:cs="Palatino Linotype"/>
          <w:b/>
          <w:i/>
          <w:sz w:val="22"/>
          <w:szCs w:val="22"/>
          <w:lang w:val="es-MX" w:eastAsia="es-MX"/>
        </w:rPr>
      </w:pPr>
      <w:r w:rsidRPr="00AF5238">
        <w:rPr>
          <w:rFonts w:ascii="Palatino Linotype" w:eastAsia="Palatino Linotype" w:hAnsi="Palatino Linotype" w:cs="Palatino Linotype"/>
          <w:b/>
          <w:i/>
          <w:sz w:val="22"/>
          <w:szCs w:val="22"/>
          <w:lang w:val="es-MX" w:eastAsia="es-MX"/>
        </w:rPr>
        <w:t>“Artículo 137.</w:t>
      </w:r>
      <w:r w:rsidRPr="00AF5238">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3CE63F2" w14:textId="77777777" w:rsidR="00AF5238" w:rsidRPr="00AF5238" w:rsidRDefault="00AF5238" w:rsidP="00AF5238">
      <w:pPr>
        <w:spacing w:line="360" w:lineRule="auto"/>
        <w:ind w:left="993" w:right="1041"/>
        <w:jc w:val="both"/>
        <w:rPr>
          <w:rFonts w:ascii="Palatino Linotype" w:eastAsia="Palatino Linotype" w:hAnsi="Palatino Linotype" w:cs="Palatino Linotype"/>
          <w:b/>
          <w:i/>
          <w:sz w:val="22"/>
          <w:szCs w:val="22"/>
          <w:lang w:val="es-MX" w:eastAsia="es-MX"/>
        </w:rPr>
      </w:pPr>
    </w:p>
    <w:p w14:paraId="7FDD20BD"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“Artículo 143</w:t>
      </w:r>
      <w:r w:rsidRPr="00AF5238">
        <w:rPr>
          <w:rFonts w:ascii="Palatino Linotype" w:eastAsia="Palatino Linotype" w:hAnsi="Palatino Linotype" w:cs="Palatino Linotype"/>
          <w:i/>
          <w:sz w:val="22"/>
          <w:szCs w:val="22"/>
          <w:lang w:val="es-MX" w:eastAsia="es-MX"/>
        </w:rPr>
        <w:t>. Para los efectos de esta Ley se considera información confidencial, la clasificada como tal, de manera permanente, por su naturaleza, cuando:</w:t>
      </w:r>
    </w:p>
    <w:p w14:paraId="613DED17"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I.</w:t>
      </w:r>
      <w:r w:rsidRPr="00AF5238">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jurídica colectiva identificada o identificable;</w:t>
      </w:r>
    </w:p>
    <w:p w14:paraId="1FBD8411"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44804B8E"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III. La que presenten los particulares a los sujetos obligados, de conformidad con lo dispuesto por las leyes o los tratados internacionales.” (Sic)</w:t>
      </w:r>
    </w:p>
    <w:p w14:paraId="08DF5617"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p>
    <w:p w14:paraId="7AF6591D" w14:textId="77777777" w:rsidR="00AF5238" w:rsidRPr="00AF5238" w:rsidRDefault="00AF5238" w:rsidP="00AF5238">
      <w:pPr>
        <w:spacing w:line="360" w:lineRule="auto"/>
        <w:ind w:right="5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7C5A68B" w14:textId="77777777" w:rsidR="00AF5238" w:rsidRPr="00AF5238" w:rsidRDefault="00AF5238" w:rsidP="00AF5238">
      <w:pPr>
        <w:spacing w:line="360" w:lineRule="auto"/>
        <w:ind w:right="51"/>
        <w:jc w:val="both"/>
        <w:rPr>
          <w:rFonts w:ascii="Palatino Linotype" w:eastAsia="Palatino Linotype" w:hAnsi="Palatino Linotype" w:cs="Palatino Linotype"/>
          <w:lang w:val="es-MX" w:eastAsia="es-MX"/>
        </w:rPr>
      </w:pPr>
    </w:p>
    <w:p w14:paraId="549309D2" w14:textId="77777777" w:rsidR="00AF5238" w:rsidRPr="00AF5238" w:rsidRDefault="00AF5238" w:rsidP="00AF5238">
      <w:pPr>
        <w:spacing w:line="360" w:lineRule="auto"/>
        <w:ind w:right="50"/>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ECA9A3" w14:textId="77777777" w:rsidR="00AF5238" w:rsidRPr="00AF5238" w:rsidRDefault="00AF5238" w:rsidP="00AF5238">
      <w:pPr>
        <w:spacing w:line="360" w:lineRule="auto"/>
        <w:ind w:right="50"/>
        <w:jc w:val="both"/>
        <w:rPr>
          <w:rFonts w:ascii="Palatino Linotype" w:eastAsia="Palatino Linotype" w:hAnsi="Palatino Linotype" w:cs="Palatino Linotype"/>
          <w:lang w:val="es-MX" w:eastAsia="es-MX"/>
        </w:rPr>
      </w:pPr>
    </w:p>
    <w:p w14:paraId="3D349EB8" w14:textId="77777777" w:rsidR="00AF5238" w:rsidRPr="00AF5238" w:rsidRDefault="00AF5238" w:rsidP="00AF5238">
      <w:pPr>
        <w:spacing w:line="360" w:lineRule="auto"/>
        <w:ind w:right="5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6B9BDC8" w14:textId="77777777" w:rsidR="00AF5238" w:rsidRPr="00AF5238" w:rsidRDefault="00AF5238" w:rsidP="00AF5238">
      <w:pPr>
        <w:spacing w:line="360" w:lineRule="auto"/>
        <w:ind w:right="51"/>
        <w:jc w:val="both"/>
        <w:rPr>
          <w:rFonts w:ascii="Palatino Linotype" w:eastAsia="Palatino Linotype" w:hAnsi="Palatino Linotype" w:cs="Palatino Linotype"/>
          <w:lang w:val="es-MX" w:eastAsia="es-MX"/>
        </w:rPr>
      </w:pPr>
    </w:p>
    <w:p w14:paraId="3EB25954"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“Artículo 49.</w:t>
      </w:r>
      <w:r w:rsidRPr="00AF5238">
        <w:rPr>
          <w:rFonts w:ascii="Palatino Linotype" w:eastAsia="Palatino Linotype" w:hAnsi="Palatino Linotype" w:cs="Palatino Linotype"/>
          <w:i/>
          <w:sz w:val="22"/>
          <w:szCs w:val="22"/>
          <w:lang w:val="es-MX" w:eastAsia="es-MX"/>
        </w:rPr>
        <w:t xml:space="preserve"> </w:t>
      </w:r>
      <w:r w:rsidRPr="00AF5238">
        <w:rPr>
          <w:rFonts w:ascii="Palatino Linotype" w:eastAsia="Palatino Linotype" w:hAnsi="Palatino Linotype" w:cs="Palatino Linotype"/>
          <w:b/>
          <w:i/>
          <w:sz w:val="22"/>
          <w:szCs w:val="22"/>
          <w:lang w:val="es-MX" w:eastAsia="es-MX"/>
        </w:rPr>
        <w:t>Los Comités de Transparencia</w:t>
      </w:r>
      <w:r w:rsidRPr="00AF5238">
        <w:rPr>
          <w:rFonts w:ascii="Palatino Linotype" w:eastAsia="Palatino Linotype" w:hAnsi="Palatino Linotype" w:cs="Palatino Linotype"/>
          <w:i/>
          <w:sz w:val="22"/>
          <w:szCs w:val="22"/>
          <w:lang w:val="es-MX" w:eastAsia="es-MX"/>
        </w:rPr>
        <w:t xml:space="preserve"> tendrán las siguientes atribuciones:</w:t>
      </w:r>
    </w:p>
    <w:p w14:paraId="5B19C3C8"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VIII. Aprobar, modificar o revocar la clasificación de la información</w:t>
      </w:r>
      <w:r w:rsidRPr="00AF5238">
        <w:rPr>
          <w:rFonts w:ascii="Palatino Linotype" w:eastAsia="Palatino Linotype" w:hAnsi="Palatino Linotype" w:cs="Palatino Linotype"/>
          <w:i/>
          <w:sz w:val="22"/>
          <w:szCs w:val="22"/>
          <w:lang w:val="es-MX" w:eastAsia="es-MX"/>
        </w:rPr>
        <w:t>…”</w:t>
      </w:r>
    </w:p>
    <w:p w14:paraId="0678A873"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w:t>
      </w:r>
      <w:r w:rsidRPr="00AF5238">
        <w:rPr>
          <w:rFonts w:ascii="Palatino Linotype" w:eastAsia="Palatino Linotype" w:hAnsi="Palatino Linotype" w:cs="Palatino Linotype"/>
          <w:b/>
          <w:i/>
          <w:sz w:val="22"/>
          <w:szCs w:val="22"/>
          <w:lang w:val="es-MX" w:eastAsia="es-MX"/>
        </w:rPr>
        <w:t>Artículo 53.</w:t>
      </w:r>
      <w:r w:rsidRPr="00AF5238">
        <w:rPr>
          <w:rFonts w:ascii="Palatino Linotype" w:eastAsia="Palatino Linotype" w:hAnsi="Palatino Linotype" w:cs="Palatino Linotype"/>
          <w:i/>
          <w:sz w:val="22"/>
          <w:szCs w:val="22"/>
          <w:lang w:val="es-MX" w:eastAsia="es-MX"/>
        </w:rPr>
        <w:t xml:space="preserve"> Las </w:t>
      </w:r>
      <w:r w:rsidRPr="00AF5238">
        <w:rPr>
          <w:rFonts w:ascii="Palatino Linotype" w:eastAsia="Palatino Linotype" w:hAnsi="Palatino Linotype" w:cs="Palatino Linotype"/>
          <w:b/>
          <w:i/>
          <w:sz w:val="22"/>
          <w:szCs w:val="22"/>
          <w:lang w:val="es-MX" w:eastAsia="es-MX"/>
        </w:rPr>
        <w:t>Unidades de Transparencia</w:t>
      </w:r>
      <w:r w:rsidRPr="00AF5238">
        <w:rPr>
          <w:rFonts w:ascii="Palatino Linotype" w:eastAsia="Palatino Linotype" w:hAnsi="Palatino Linotype" w:cs="Palatino Linotype"/>
          <w:i/>
          <w:sz w:val="22"/>
          <w:szCs w:val="22"/>
          <w:lang w:val="es-MX" w:eastAsia="es-MX"/>
        </w:rPr>
        <w:t xml:space="preserve"> tendrán las siguientes </w:t>
      </w:r>
      <w:r w:rsidRPr="00AF5238">
        <w:rPr>
          <w:rFonts w:ascii="Palatino Linotype" w:eastAsia="Palatino Linotype" w:hAnsi="Palatino Linotype" w:cs="Palatino Linotype"/>
          <w:b/>
          <w:i/>
          <w:sz w:val="22"/>
          <w:szCs w:val="22"/>
          <w:lang w:val="es-MX" w:eastAsia="es-MX"/>
        </w:rPr>
        <w:t>funciones</w:t>
      </w:r>
      <w:r w:rsidRPr="00AF5238">
        <w:rPr>
          <w:rFonts w:ascii="Palatino Linotype" w:eastAsia="Palatino Linotype" w:hAnsi="Palatino Linotype" w:cs="Palatino Linotype"/>
          <w:i/>
          <w:sz w:val="22"/>
          <w:szCs w:val="22"/>
          <w:lang w:val="es-MX" w:eastAsia="es-MX"/>
        </w:rPr>
        <w:t>:</w:t>
      </w:r>
    </w:p>
    <w:p w14:paraId="5DE3009E"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X. Presentar ante el Comité, el proyecto de clasificación de información</w:t>
      </w:r>
      <w:r w:rsidRPr="00AF5238">
        <w:rPr>
          <w:rFonts w:ascii="Palatino Linotype" w:eastAsia="Palatino Linotype" w:hAnsi="Palatino Linotype" w:cs="Palatino Linotype"/>
          <w:i/>
          <w:sz w:val="22"/>
          <w:szCs w:val="22"/>
          <w:lang w:val="es-MX" w:eastAsia="es-MX"/>
        </w:rPr>
        <w:t xml:space="preserve">…” </w:t>
      </w:r>
    </w:p>
    <w:p w14:paraId="689B9A1E"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“Artículo 59.</w:t>
      </w:r>
      <w:r w:rsidRPr="00AF5238">
        <w:rPr>
          <w:rFonts w:ascii="Palatino Linotype" w:eastAsia="Palatino Linotype" w:hAnsi="Palatino Linotype" w:cs="Palatino Linotype"/>
          <w:i/>
          <w:sz w:val="22"/>
          <w:szCs w:val="22"/>
          <w:lang w:val="es-MX" w:eastAsia="es-MX"/>
        </w:rPr>
        <w:t xml:space="preserve"> Los </w:t>
      </w:r>
      <w:r w:rsidRPr="00AF5238">
        <w:rPr>
          <w:rFonts w:ascii="Palatino Linotype" w:eastAsia="Palatino Linotype" w:hAnsi="Palatino Linotype" w:cs="Palatino Linotype"/>
          <w:b/>
          <w:i/>
          <w:sz w:val="22"/>
          <w:szCs w:val="22"/>
          <w:lang w:val="es-MX" w:eastAsia="es-MX"/>
        </w:rPr>
        <w:t>servidores públicos habilitados</w:t>
      </w:r>
      <w:r w:rsidRPr="00AF5238">
        <w:rPr>
          <w:rFonts w:ascii="Palatino Linotype" w:eastAsia="Palatino Linotype" w:hAnsi="Palatino Linotype" w:cs="Palatino Linotype"/>
          <w:i/>
          <w:sz w:val="22"/>
          <w:szCs w:val="22"/>
          <w:lang w:val="es-MX" w:eastAsia="es-MX"/>
        </w:rPr>
        <w:t xml:space="preserve"> tendrán las </w:t>
      </w:r>
      <w:r w:rsidRPr="00AF5238">
        <w:rPr>
          <w:rFonts w:ascii="Palatino Linotype" w:eastAsia="Palatino Linotype" w:hAnsi="Palatino Linotype" w:cs="Palatino Linotype"/>
          <w:b/>
          <w:i/>
          <w:sz w:val="22"/>
          <w:szCs w:val="22"/>
          <w:lang w:val="es-MX" w:eastAsia="es-MX"/>
        </w:rPr>
        <w:t>funciones</w:t>
      </w:r>
      <w:r w:rsidRPr="00AF5238">
        <w:rPr>
          <w:rFonts w:ascii="Palatino Linotype" w:eastAsia="Palatino Linotype" w:hAnsi="Palatino Linotype" w:cs="Palatino Linotype"/>
          <w:i/>
          <w:sz w:val="22"/>
          <w:szCs w:val="22"/>
          <w:lang w:val="es-MX" w:eastAsia="es-MX"/>
        </w:rPr>
        <w:t xml:space="preserve"> siguientes:</w:t>
      </w:r>
    </w:p>
    <w:p w14:paraId="3474603E"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AF5238">
        <w:rPr>
          <w:rFonts w:ascii="Palatino Linotype" w:eastAsia="Palatino Linotype" w:hAnsi="Palatino Linotype" w:cs="Palatino Linotype"/>
          <w:i/>
          <w:sz w:val="22"/>
          <w:szCs w:val="22"/>
          <w:lang w:val="es-MX" w:eastAsia="es-MX"/>
        </w:rPr>
        <w:t>, la cual tendrá los fundamentos y argumentos en que se basa dicha propuesta…”</w:t>
      </w:r>
    </w:p>
    <w:p w14:paraId="6F9D0137" w14:textId="77777777" w:rsidR="00AF5238" w:rsidRPr="00AF5238" w:rsidRDefault="00AF5238" w:rsidP="00AF5238">
      <w:pPr>
        <w:spacing w:line="360" w:lineRule="auto"/>
        <w:ind w:left="992" w:right="1043"/>
        <w:jc w:val="both"/>
        <w:rPr>
          <w:rFonts w:ascii="Palatino Linotype" w:eastAsia="Palatino Linotype" w:hAnsi="Palatino Linotype" w:cs="Palatino Linotype"/>
          <w:i/>
          <w:sz w:val="22"/>
          <w:szCs w:val="22"/>
          <w:lang w:val="es-MX" w:eastAsia="es-MX"/>
        </w:rPr>
      </w:pPr>
    </w:p>
    <w:p w14:paraId="75447AE3"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F2B437C"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19C8D0FA"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4805D3FF" w14:textId="77777777" w:rsidR="00AF5238" w:rsidRPr="00AF5238" w:rsidRDefault="00AF5238" w:rsidP="00AF5238">
      <w:pPr>
        <w:spacing w:line="360" w:lineRule="auto"/>
        <w:jc w:val="both"/>
        <w:rPr>
          <w:rFonts w:ascii="Palatino Linotype" w:eastAsia="Palatino Linotype" w:hAnsi="Palatino Linotype" w:cs="Palatino Linotype"/>
          <w:sz w:val="22"/>
          <w:szCs w:val="22"/>
          <w:lang w:val="es-MX" w:eastAsia="es-MX"/>
        </w:rPr>
      </w:pPr>
    </w:p>
    <w:p w14:paraId="22A2BAED"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w:t>
      </w:r>
      <w:r w:rsidRPr="00AF5238">
        <w:rPr>
          <w:rFonts w:ascii="Palatino Linotype" w:eastAsia="Palatino Linotype" w:hAnsi="Palatino Linotype" w:cs="Palatino Linotype"/>
          <w:b/>
          <w:i/>
          <w:sz w:val="22"/>
          <w:szCs w:val="22"/>
          <w:lang w:val="es-MX" w:eastAsia="es-MX"/>
        </w:rPr>
        <w:t>Artículo 149.</w:t>
      </w:r>
      <w:r w:rsidRPr="00AF5238">
        <w:rPr>
          <w:rFonts w:ascii="Palatino Linotype" w:eastAsia="Palatino Linotype" w:hAnsi="Palatino Linotype" w:cs="Palatino Linotype"/>
          <w:i/>
          <w:sz w:val="22"/>
          <w:szCs w:val="22"/>
          <w:lang w:val="es-MX" w:eastAsia="es-MX"/>
        </w:rPr>
        <w:t xml:space="preserve"> El </w:t>
      </w:r>
      <w:r w:rsidRPr="00AF5238">
        <w:rPr>
          <w:rFonts w:ascii="Palatino Linotype" w:eastAsia="Palatino Linotype" w:hAnsi="Palatino Linotype" w:cs="Palatino Linotype"/>
          <w:b/>
          <w:i/>
          <w:sz w:val="22"/>
          <w:szCs w:val="22"/>
          <w:lang w:val="es-MX" w:eastAsia="es-MX"/>
        </w:rPr>
        <w:t>acuerdo que clasifique la información como confidencial</w:t>
      </w:r>
      <w:r w:rsidRPr="00AF5238">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Ley.”(Sic)</w:t>
      </w:r>
    </w:p>
    <w:p w14:paraId="57E9CF0B" w14:textId="77777777" w:rsidR="00AF5238" w:rsidRPr="00AF5238" w:rsidRDefault="00AF5238" w:rsidP="00AF5238">
      <w:pPr>
        <w:spacing w:line="360" w:lineRule="auto"/>
        <w:ind w:left="993" w:right="1041"/>
        <w:jc w:val="both"/>
        <w:rPr>
          <w:rFonts w:ascii="Palatino Linotype" w:eastAsia="Palatino Linotype" w:hAnsi="Palatino Linotype" w:cs="Palatino Linotype"/>
          <w:i/>
          <w:sz w:val="22"/>
          <w:szCs w:val="22"/>
          <w:lang w:val="es-MX" w:eastAsia="es-MX"/>
        </w:rPr>
      </w:pPr>
    </w:p>
    <w:p w14:paraId="3FB8B4A2"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BF68A50"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p>
    <w:p w14:paraId="2C24E246"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F5238">
        <w:rPr>
          <w:rFonts w:ascii="Palatino Linotype" w:eastAsia="Palatino Linotype" w:hAnsi="Palatino Linotype" w:cs="Palatino Linotype"/>
          <w:b/>
          <w:lang w:val="es-MX" w:eastAsia="es-MX"/>
        </w:rPr>
        <w:t>Registro Federal de Contribuyentes</w:t>
      </w:r>
      <w:r w:rsidRPr="00AF5238">
        <w:rPr>
          <w:rFonts w:ascii="Palatino Linotype" w:eastAsia="Palatino Linotype" w:hAnsi="Palatino Linotype" w:cs="Palatino Linotype"/>
          <w:lang w:val="es-MX" w:eastAsia="es-MX"/>
        </w:rPr>
        <w:t xml:space="preserve"> (RFC), la </w:t>
      </w:r>
      <w:r w:rsidRPr="00AF5238">
        <w:rPr>
          <w:rFonts w:ascii="Palatino Linotype" w:eastAsia="Palatino Linotype" w:hAnsi="Palatino Linotype" w:cs="Palatino Linotype"/>
          <w:b/>
          <w:lang w:val="es-MX" w:eastAsia="es-MX"/>
        </w:rPr>
        <w:t>Clave Única de Registro de Población</w:t>
      </w:r>
      <w:r w:rsidRPr="00AF5238">
        <w:rPr>
          <w:rFonts w:ascii="Palatino Linotype" w:eastAsia="Palatino Linotype" w:hAnsi="Palatino Linotype" w:cs="Palatino Linotype"/>
          <w:lang w:val="es-MX" w:eastAsia="es-MX"/>
        </w:rPr>
        <w:t xml:space="preserve"> (CURP), la </w:t>
      </w:r>
      <w:r w:rsidRPr="00AF5238">
        <w:rPr>
          <w:rFonts w:ascii="Palatino Linotype" w:eastAsia="Palatino Linotype" w:hAnsi="Palatino Linotype" w:cs="Palatino Linotype"/>
          <w:b/>
          <w:lang w:val="es-MX" w:eastAsia="es-MX"/>
        </w:rPr>
        <w:t>Clave de cualquier tipo de seguridad social</w:t>
      </w:r>
      <w:r w:rsidRPr="00AF5238">
        <w:rPr>
          <w:rFonts w:ascii="Palatino Linotype" w:eastAsia="Palatino Linotype" w:hAnsi="Palatino Linotype" w:cs="Palatino Linotype"/>
          <w:lang w:val="es-MX" w:eastAsia="es-MX"/>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1E096EA6"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p>
    <w:p w14:paraId="6AE69A43"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Por cuanto hace al </w:t>
      </w:r>
      <w:r w:rsidRPr="00AF5238">
        <w:rPr>
          <w:rFonts w:ascii="Palatino Linotype" w:eastAsia="Palatino Linotype" w:hAnsi="Palatino Linotype" w:cs="Palatino Linotype"/>
          <w:b/>
          <w:lang w:val="es-MX" w:eastAsia="es-MX"/>
        </w:rPr>
        <w:t>Registro Federal de Contribuyentes (RFC),</w:t>
      </w:r>
      <w:r w:rsidRPr="00AF5238">
        <w:rPr>
          <w:rFonts w:ascii="Palatino Linotype" w:eastAsia="Palatino Linotype" w:hAnsi="Palatino Linotype" w:cs="Palatino Linotype"/>
          <w:lang w:val="es-MX" w:eastAsia="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BB8F2E1"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714A6300"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DC4D8DB"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Lo anterior es compartido por el entonces Instituto Federal de Acceso a la Información Pública y Protección de Datos Personales (IFAI) a través del Criterio </w:t>
      </w:r>
      <w:r w:rsidRPr="00AF5238">
        <w:rPr>
          <w:rFonts w:ascii="Palatino Linotype" w:eastAsia="Palatino Linotype" w:hAnsi="Palatino Linotype" w:cs="Palatino Linotype"/>
          <w:highlight w:val="white"/>
          <w:lang w:val="es-MX" w:eastAsia="es-MX"/>
        </w:rPr>
        <w:t xml:space="preserve">19/17, </w:t>
      </w:r>
      <w:r w:rsidRPr="00AF5238">
        <w:rPr>
          <w:rFonts w:ascii="Palatino Linotype" w:eastAsia="Palatino Linotype" w:hAnsi="Palatino Linotype" w:cs="Palatino Linotype"/>
          <w:lang w:val="es-MX" w:eastAsia="es-MX"/>
        </w:rPr>
        <w:t>el cual es del tenor literal siguiente:</w:t>
      </w:r>
    </w:p>
    <w:p w14:paraId="13C02C18" w14:textId="77777777" w:rsidR="00AF5238" w:rsidRPr="00AF5238" w:rsidRDefault="00AF5238" w:rsidP="00AF5238">
      <w:pPr>
        <w:spacing w:line="360" w:lineRule="auto"/>
        <w:ind w:left="851" w:right="900"/>
        <w:jc w:val="both"/>
        <w:rPr>
          <w:rFonts w:ascii="Palatino Linotype" w:eastAsia="Palatino Linotype" w:hAnsi="Palatino Linotype" w:cs="Palatino Linotype"/>
          <w:b/>
          <w:i/>
          <w:sz w:val="22"/>
          <w:szCs w:val="22"/>
          <w:lang w:val="es-MX" w:eastAsia="es-MX"/>
        </w:rPr>
      </w:pPr>
    </w:p>
    <w:p w14:paraId="4E6842B9" w14:textId="77777777" w:rsidR="00AF5238" w:rsidRPr="00AF5238" w:rsidRDefault="00AF5238" w:rsidP="00AF5238">
      <w:pPr>
        <w:spacing w:line="360" w:lineRule="auto"/>
        <w:ind w:left="851" w:right="900"/>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“Registro Federal de Contribuyentes (RFC) de personas físicas</w:t>
      </w:r>
      <w:r w:rsidRPr="00AF5238">
        <w:rPr>
          <w:rFonts w:ascii="Palatino Linotype" w:eastAsia="Palatino Linotype" w:hAnsi="Palatino Linotype" w:cs="Palatino Linotype"/>
          <w:i/>
          <w:sz w:val="22"/>
          <w:szCs w:val="22"/>
          <w:lang w:val="es-MX" w:eastAsia="es-MX"/>
        </w:rPr>
        <w:t>. El RFC es una clave de carácter fiscal, única e irrepetible, que permite identificar al titular, su edad y fecha de nacimiento, por lo que es un dato personal de carácter confidencial.”</w:t>
      </w:r>
    </w:p>
    <w:p w14:paraId="10D4A148" w14:textId="77777777" w:rsidR="00AF5238" w:rsidRPr="00AF5238" w:rsidRDefault="00AF5238" w:rsidP="00AF5238">
      <w:pPr>
        <w:spacing w:line="360" w:lineRule="auto"/>
        <w:jc w:val="both"/>
        <w:rPr>
          <w:rFonts w:ascii="Palatino Linotype" w:eastAsia="Palatino Linotype" w:hAnsi="Palatino Linotype" w:cs="Palatino Linotype"/>
          <w:sz w:val="22"/>
          <w:szCs w:val="22"/>
          <w:lang w:val="es-MX" w:eastAsia="es-MX"/>
        </w:rPr>
      </w:pPr>
    </w:p>
    <w:p w14:paraId="483BF41D"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F10D5C6"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03E5F396"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De igual manera la </w:t>
      </w:r>
      <w:r w:rsidRPr="00AF5238">
        <w:rPr>
          <w:rFonts w:ascii="Palatino Linotype" w:eastAsia="Palatino Linotype" w:hAnsi="Palatino Linotype" w:cs="Palatino Linotype"/>
          <w:b/>
          <w:lang w:val="es-MX" w:eastAsia="es-MX"/>
        </w:rPr>
        <w:t>Clave Única de Registro de Población (CURP)</w:t>
      </w:r>
      <w:r w:rsidRPr="00AF5238">
        <w:rPr>
          <w:rFonts w:ascii="Palatino Linotype" w:eastAsia="Palatino Linotype" w:hAnsi="Palatino Linotype" w:cs="Palatino Linotype"/>
          <w:lang w:val="es-MX" w:eastAsia="es-MX"/>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7BE6F20"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4FB9E9DA"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Argumento que es compartido por el Instituto </w:t>
      </w:r>
      <w:r w:rsidRPr="00AF5238">
        <w:rPr>
          <w:rFonts w:ascii="Palatino Linotype" w:eastAsia="Palatino Linotype" w:hAnsi="Palatino Linotype" w:cs="Palatino Linotype"/>
          <w:highlight w:val="white"/>
          <w:lang w:val="es-MX" w:eastAsia="es-MX"/>
        </w:rPr>
        <w:t>Nacional de Transparencia, Acceso a la Información y Protección de Datos Personales, INAI</w:t>
      </w:r>
      <w:r w:rsidRPr="00AF5238">
        <w:rPr>
          <w:rFonts w:ascii="Palatino Linotype" w:eastAsia="Palatino Linotype" w:hAnsi="Palatino Linotype" w:cs="Palatino Linotype"/>
          <w:b/>
          <w:lang w:val="es-MX" w:eastAsia="es-MX"/>
        </w:rPr>
        <w:t xml:space="preserve">, conforme al </w:t>
      </w:r>
      <w:r w:rsidRPr="00AF5238">
        <w:rPr>
          <w:rFonts w:ascii="Palatino Linotype" w:eastAsia="Palatino Linotype" w:hAnsi="Palatino Linotype" w:cs="Palatino Linotype"/>
          <w:lang w:val="es-MX" w:eastAsia="es-MX"/>
        </w:rPr>
        <w:t xml:space="preserve">criterio 18/17, el cual refiere: </w:t>
      </w:r>
    </w:p>
    <w:p w14:paraId="2A4D381F" w14:textId="77777777" w:rsidR="00AF5238" w:rsidRPr="00AF5238" w:rsidRDefault="00AF5238" w:rsidP="00AF5238">
      <w:pPr>
        <w:spacing w:line="360" w:lineRule="auto"/>
        <w:ind w:left="851" w:right="851"/>
        <w:jc w:val="both"/>
        <w:rPr>
          <w:rFonts w:ascii="Palatino Linotype" w:eastAsia="Palatino Linotype" w:hAnsi="Palatino Linotype" w:cs="Palatino Linotype"/>
          <w:b/>
          <w:i/>
          <w:sz w:val="22"/>
          <w:szCs w:val="22"/>
          <w:lang w:val="es-MX" w:eastAsia="es-MX"/>
        </w:rPr>
      </w:pPr>
    </w:p>
    <w:p w14:paraId="6F6ED4A0" w14:textId="77777777" w:rsidR="00AF5238" w:rsidRPr="00AF5238" w:rsidRDefault="00AF5238" w:rsidP="00AF5238">
      <w:pPr>
        <w:spacing w:line="360" w:lineRule="auto"/>
        <w:ind w:left="851" w:right="85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 xml:space="preserve">“Clave Única de Registro de Población (CURP). </w:t>
      </w:r>
      <w:r w:rsidRPr="00AF5238">
        <w:rPr>
          <w:rFonts w:ascii="Palatino Linotype" w:eastAsia="Palatino Linotype" w:hAnsi="Palatino Linotype" w:cs="Palatino Linotype"/>
          <w:i/>
          <w:sz w:val="22"/>
          <w:szCs w:val="22"/>
          <w:lang w:val="es-MX"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9DFF663" w14:textId="77777777" w:rsidR="00AF5238" w:rsidRPr="00AF5238" w:rsidRDefault="00AF5238" w:rsidP="00AF5238">
      <w:pPr>
        <w:spacing w:line="360" w:lineRule="auto"/>
        <w:jc w:val="both"/>
        <w:rPr>
          <w:rFonts w:ascii="Palatino Linotype" w:eastAsia="Palatino Linotype" w:hAnsi="Palatino Linotype" w:cs="Palatino Linotype"/>
          <w:sz w:val="22"/>
          <w:szCs w:val="22"/>
          <w:lang w:val="es-MX" w:eastAsia="es-MX"/>
        </w:rPr>
      </w:pPr>
    </w:p>
    <w:p w14:paraId="6FFBFBF8"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Por cuanto hace a la </w:t>
      </w:r>
      <w:r w:rsidRPr="00AF5238">
        <w:rPr>
          <w:rFonts w:ascii="Palatino Linotype" w:eastAsia="Palatino Linotype" w:hAnsi="Palatino Linotype" w:cs="Palatino Linotype"/>
          <w:b/>
          <w:lang w:val="es-MX" w:eastAsia="es-MX"/>
        </w:rPr>
        <w:t xml:space="preserve">Clave de cualquier tipo de seguridad social (ISSEMyM, u otros), </w:t>
      </w:r>
      <w:r w:rsidRPr="00AF5238">
        <w:rPr>
          <w:rFonts w:ascii="Palatino Linotype" w:eastAsia="Palatino Linotype" w:hAnsi="Palatino Linotype" w:cs="Palatino Linotype"/>
          <w:lang w:val="es-MX" w:eastAsia="es-MX"/>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FE484A"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262807A4" w14:textId="77777777" w:rsidR="00AF5238" w:rsidRPr="00AF5238" w:rsidRDefault="00AF5238" w:rsidP="00AF5238">
      <w:pPr>
        <w:spacing w:line="360" w:lineRule="auto"/>
        <w:jc w:val="both"/>
        <w:rPr>
          <w:rFonts w:ascii="Palatino Linotype" w:eastAsia="Palatino Linotype" w:hAnsi="Palatino Linotype" w:cs="Palatino Linotype"/>
          <w:u w:val="single"/>
          <w:lang w:val="es-MX" w:eastAsia="es-MX"/>
        </w:rPr>
      </w:pPr>
      <w:r w:rsidRPr="00AF5238">
        <w:rPr>
          <w:rFonts w:ascii="Palatino Linotype" w:eastAsia="Palatino Linotype" w:hAnsi="Palatino Linotype" w:cs="Palatino Linotype"/>
          <w:lang w:val="es-MX"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F5238">
        <w:rPr>
          <w:rFonts w:ascii="Palatino Linotype" w:eastAsia="Palatino Linotype" w:hAnsi="Palatino Linotype" w:cs="Palatino Linotype"/>
          <w:u w:val="single"/>
          <w:lang w:val="es-MX" w:eastAsia="es-MX"/>
        </w:rPr>
        <w:t>se le asigna una clave para hacer identificable al trabajador con el objetivo de poder proporcionar los servicios que brinda el ISSEMYM.</w:t>
      </w:r>
    </w:p>
    <w:p w14:paraId="68B9E05D"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3DE13C0F"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4C9D0FD" w14:textId="77777777" w:rsidR="00AF5238" w:rsidRPr="00AF5238" w:rsidRDefault="00AF5238" w:rsidP="00AF5238">
      <w:pPr>
        <w:spacing w:line="360" w:lineRule="auto"/>
        <w:jc w:val="both"/>
        <w:rPr>
          <w:rFonts w:ascii="Palatino Linotype" w:eastAsia="Palatino Linotype" w:hAnsi="Palatino Linotype" w:cs="Palatino Linotype"/>
          <w:sz w:val="22"/>
          <w:szCs w:val="22"/>
          <w:lang w:val="es-MX" w:eastAsia="es-MX"/>
        </w:rPr>
      </w:pPr>
    </w:p>
    <w:p w14:paraId="4D631C9A"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E4D1D9A" w14:textId="77777777" w:rsidR="00AF5238" w:rsidRPr="00AF5238" w:rsidRDefault="00AF5238" w:rsidP="00AF5238">
      <w:pPr>
        <w:spacing w:line="360" w:lineRule="auto"/>
        <w:jc w:val="both"/>
        <w:rPr>
          <w:rFonts w:ascii="Calibri" w:eastAsia="Calibri" w:hAnsi="Calibri" w:cs="Calibri"/>
          <w:lang w:val="es-MX" w:eastAsia="es-MX"/>
        </w:rPr>
      </w:pPr>
      <w:r w:rsidRPr="00AF5238">
        <w:rPr>
          <w:rFonts w:ascii="Palatino Linotype" w:eastAsia="Palatino Linotype" w:hAnsi="Palatino Linotype" w:cs="Palatino Linotype"/>
          <w:lang w:val="es-MX" w:eastAsia="es-MX"/>
        </w:rPr>
        <w:t xml:space="preserve">Respecto de los </w:t>
      </w:r>
      <w:r w:rsidRPr="00AF5238">
        <w:rPr>
          <w:rFonts w:ascii="Palatino Linotype" w:eastAsia="Palatino Linotype" w:hAnsi="Palatino Linotype" w:cs="Palatino Linotype"/>
          <w:b/>
          <w:lang w:val="es-MX" w:eastAsia="es-MX"/>
        </w:rPr>
        <w:t>préstamos o descuentos</w:t>
      </w:r>
      <w:r w:rsidRPr="00AF5238">
        <w:rPr>
          <w:rFonts w:ascii="Palatino Linotype" w:eastAsia="Palatino Linotype" w:hAnsi="Palatino Linotype" w:cs="Palatino Linotype"/>
          <w:lang w:val="es-MX" w:eastAsia="es-MX"/>
        </w:rPr>
        <w:t xml:space="preserve"> </w:t>
      </w:r>
      <w:r w:rsidRPr="00AF5238">
        <w:rPr>
          <w:rFonts w:ascii="Palatino Linotype" w:eastAsia="Palatino Linotype" w:hAnsi="Palatino Linotype" w:cs="Palatino Linotype"/>
          <w:b/>
          <w:lang w:val="es-MX" w:eastAsia="es-MX"/>
        </w:rPr>
        <w:t>de carácter personal</w:t>
      </w:r>
      <w:r w:rsidRPr="00AF5238">
        <w:rPr>
          <w:rFonts w:ascii="Palatino Linotype" w:eastAsia="Palatino Linotype" w:hAnsi="Palatino Linotype" w:cs="Palatino Linotype"/>
          <w:lang w:val="es-MX" w:eastAsia="es-MX"/>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F759F19"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Por su parte, el artículo 84 de la Ley del Trabajo de los Servidores Públicos del Estado y Municipios, señala:</w:t>
      </w:r>
    </w:p>
    <w:p w14:paraId="7E65492F" w14:textId="77777777" w:rsidR="00AF5238" w:rsidRPr="00AF5238" w:rsidRDefault="00AF5238" w:rsidP="00AF5238">
      <w:pPr>
        <w:spacing w:line="360" w:lineRule="auto"/>
        <w:jc w:val="both"/>
        <w:rPr>
          <w:rFonts w:ascii="Calibri" w:eastAsia="Calibri" w:hAnsi="Calibri" w:cs="Calibri"/>
          <w:lang w:val="es-MX" w:eastAsia="es-MX"/>
        </w:rPr>
      </w:pPr>
    </w:p>
    <w:p w14:paraId="0EB59EBE"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w:t>
      </w:r>
      <w:r w:rsidRPr="00AF5238">
        <w:rPr>
          <w:rFonts w:ascii="Palatino Linotype" w:eastAsia="Palatino Linotype" w:hAnsi="Palatino Linotype" w:cs="Palatino Linotype"/>
          <w:b/>
          <w:i/>
          <w:sz w:val="22"/>
          <w:szCs w:val="22"/>
          <w:lang w:val="es-MX" w:eastAsia="es-MX"/>
        </w:rPr>
        <w:t>ARTICULO 84. Sólo podrán hacerse retenciones, descuentos o deducciones al sueldo de los servidores públicos por concepto de:</w:t>
      </w:r>
    </w:p>
    <w:p w14:paraId="68978C81"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I. Gravámenes fiscales relacionados con el sueldo;</w:t>
      </w:r>
    </w:p>
    <w:p w14:paraId="18F61485"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b/>
          <w:i/>
          <w:sz w:val="22"/>
          <w:szCs w:val="22"/>
          <w:lang w:val="es-MX" w:eastAsia="es-MX"/>
        </w:rPr>
        <w:t>II. Deudas contraídas con las instituciones públicas o dependencias</w:t>
      </w:r>
      <w:r w:rsidRPr="00AF5238">
        <w:rPr>
          <w:rFonts w:ascii="Palatino Linotype" w:eastAsia="Palatino Linotype" w:hAnsi="Palatino Linotype" w:cs="Palatino Linotype"/>
          <w:i/>
          <w:sz w:val="22"/>
          <w:szCs w:val="22"/>
          <w:lang w:val="es-MX" w:eastAsia="es-MX"/>
        </w:rPr>
        <w:t xml:space="preserve"> por concepto de anticipos de sueldo, pagos hechos con exceso, errores o pérdidas debidamente comprobados;</w:t>
      </w:r>
    </w:p>
    <w:p w14:paraId="337DFC1F"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b/>
          <w:i/>
          <w:sz w:val="22"/>
          <w:szCs w:val="22"/>
          <w:lang w:val="es-MX" w:eastAsia="es-MX"/>
        </w:rPr>
        <w:t>III. Cuotas sindicales</w:t>
      </w:r>
      <w:r w:rsidRPr="00AF5238">
        <w:rPr>
          <w:rFonts w:ascii="Palatino Linotype" w:eastAsia="Palatino Linotype" w:hAnsi="Palatino Linotype" w:cs="Palatino Linotype"/>
          <w:i/>
          <w:sz w:val="22"/>
          <w:szCs w:val="22"/>
          <w:lang w:val="es-MX" w:eastAsia="es-MX"/>
        </w:rPr>
        <w:t>;</w:t>
      </w:r>
    </w:p>
    <w:p w14:paraId="033E07E2"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IV. Cuotas de aportación a fondos para la constitución de cooperativas y de cajas de ahorro, siempre que el servidor público hubiese manifestado previamente, de manera expresa, su conformidad;</w:t>
      </w:r>
    </w:p>
    <w:p w14:paraId="7DC11BAD"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V. Descuentos ordenados por el Instituto de Seguridad Social del Estado de México y Municipios, con motivo de cuotas y obligaciones contraídas con éste por los servidores públicos;</w:t>
      </w:r>
    </w:p>
    <w:p w14:paraId="744FACFD"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b/>
          <w:i/>
          <w:sz w:val="22"/>
          <w:szCs w:val="22"/>
          <w:lang w:val="es-MX" w:eastAsia="es-MX"/>
        </w:rPr>
        <w:t>VI. Obligaciones a cargo del servidor público con las que haya consentido</w:t>
      </w:r>
      <w:r w:rsidRPr="00AF5238">
        <w:rPr>
          <w:rFonts w:ascii="Palatino Linotype" w:eastAsia="Palatino Linotype" w:hAnsi="Palatino Linotype" w:cs="Palatino Linotype"/>
          <w:i/>
          <w:sz w:val="22"/>
          <w:szCs w:val="22"/>
          <w:lang w:val="es-MX" w:eastAsia="es-MX"/>
        </w:rPr>
        <w:t>, derivadas de la adquisición o del uso de habitaciones consideradas como de interés social;</w:t>
      </w:r>
    </w:p>
    <w:p w14:paraId="2FAC6178"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VII. Faltas de puntualidad o de asistencia injustificadas;</w:t>
      </w:r>
    </w:p>
    <w:p w14:paraId="0324004E"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b/>
          <w:i/>
          <w:sz w:val="22"/>
          <w:szCs w:val="22"/>
          <w:lang w:val="es-MX" w:eastAsia="es-MX"/>
        </w:rPr>
        <w:t>VIII. Pensiones alimenticias ordenadas por la autoridad judicial;</w:t>
      </w:r>
      <w:r w:rsidRPr="00AF5238">
        <w:rPr>
          <w:rFonts w:ascii="Palatino Linotype" w:eastAsia="Palatino Linotype" w:hAnsi="Palatino Linotype" w:cs="Palatino Linotype"/>
          <w:i/>
          <w:sz w:val="22"/>
          <w:szCs w:val="22"/>
          <w:lang w:val="es-MX" w:eastAsia="es-MX"/>
        </w:rPr>
        <w:t xml:space="preserve"> o</w:t>
      </w:r>
    </w:p>
    <w:p w14:paraId="172C5D4C"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b/>
          <w:i/>
          <w:sz w:val="22"/>
          <w:szCs w:val="22"/>
          <w:lang w:val="es-MX" w:eastAsia="es-MX"/>
        </w:rPr>
        <w:t>IX. Cualquier otro convenido con instituciones de servicios y aceptado por el servidor público.</w:t>
      </w:r>
    </w:p>
    <w:p w14:paraId="1C03DF7E"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i/>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BA195B3" w14:textId="77777777" w:rsidR="00AF5238" w:rsidRPr="00AF5238" w:rsidRDefault="00AF5238" w:rsidP="00AF5238">
      <w:pPr>
        <w:spacing w:line="360" w:lineRule="auto"/>
        <w:ind w:left="851" w:right="902"/>
        <w:jc w:val="both"/>
        <w:rPr>
          <w:rFonts w:ascii="Calibri" w:eastAsia="Calibri" w:hAnsi="Calibri" w:cs="Calibri"/>
          <w:sz w:val="22"/>
          <w:szCs w:val="22"/>
          <w:lang w:val="es-MX" w:eastAsia="es-MX"/>
        </w:rPr>
      </w:pPr>
      <w:r w:rsidRPr="00AF5238">
        <w:rPr>
          <w:rFonts w:ascii="Palatino Linotype" w:eastAsia="Palatino Linotype" w:hAnsi="Palatino Linotype" w:cs="Palatino Linotype"/>
          <w:sz w:val="22"/>
          <w:szCs w:val="22"/>
          <w:lang w:val="es-MX" w:eastAsia="es-MX"/>
        </w:rPr>
        <w:t>(Énfasis añadido)</w:t>
      </w:r>
    </w:p>
    <w:p w14:paraId="60F8E551" w14:textId="77777777" w:rsidR="00AF5238" w:rsidRPr="00AF5238" w:rsidRDefault="00AF5238" w:rsidP="00AF5238">
      <w:pPr>
        <w:spacing w:line="360" w:lineRule="auto"/>
        <w:jc w:val="both"/>
        <w:rPr>
          <w:rFonts w:ascii="Calibri" w:eastAsia="Calibri" w:hAnsi="Calibri" w:cs="Calibri"/>
          <w:lang w:val="es-MX" w:eastAsia="es-MX"/>
        </w:rPr>
      </w:pPr>
      <w:r w:rsidRPr="00AF5238">
        <w:rPr>
          <w:rFonts w:ascii="Palatino Linotype" w:eastAsia="Palatino Linotype" w:hAnsi="Palatino Linotype" w:cs="Palatino Linotype"/>
          <w:lang w:val="es-MX" w:eastAsia="es-MX"/>
        </w:rPr>
        <w:t xml:space="preserve">Derivado de lo anterior, la ley establece claramente cuáles son esos descuentos o gravámenes que directamente se relacionan con las obligaciones adquiridas como servidores públicos y aquéllos que </w:t>
      </w:r>
      <w:r w:rsidRPr="00AF5238">
        <w:rPr>
          <w:rFonts w:ascii="Palatino Linotype" w:eastAsia="Palatino Linotype" w:hAnsi="Palatino Linotype" w:cs="Palatino Linotype"/>
          <w:b/>
          <w:lang w:val="es-MX" w:eastAsia="es-MX"/>
        </w:rPr>
        <w:t>únicamente inciden en su vida privada</w:t>
      </w:r>
      <w:r w:rsidRPr="00AF5238">
        <w:rPr>
          <w:rFonts w:ascii="Palatino Linotype" w:eastAsia="Palatino Linotype" w:hAnsi="Palatino Linotype" w:cs="Palatino Linotype"/>
          <w:lang w:val="es-MX" w:eastAsia="es-MX"/>
        </w:rPr>
        <w:t>. De este modo, descuentos por pensiones alimenticias o créditos adquiridos con instituciones privadas o públicas pero que fueron contraídas en forma individual, son información que debe clasificarse como confidencial.</w:t>
      </w:r>
    </w:p>
    <w:p w14:paraId="478246D7"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6BE48DF4"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Sirven de sustento a lo anterior, las tesis jurisprudenciales </w:t>
      </w:r>
      <w:r w:rsidRPr="00AF5238">
        <w:rPr>
          <w:rFonts w:ascii="Palatino Linotype" w:eastAsia="Palatino Linotype" w:hAnsi="Palatino Linotype" w:cs="Palatino Linotype"/>
          <w:i/>
          <w:lang w:val="es-MX" w:eastAsia="es-MX"/>
        </w:rPr>
        <w:t xml:space="preserve">P. LX/2000 </w:t>
      </w:r>
      <w:r w:rsidRPr="00AF5238">
        <w:rPr>
          <w:rFonts w:ascii="Palatino Linotype" w:eastAsia="Palatino Linotype" w:hAnsi="Palatino Linotype" w:cs="Palatino Linotype"/>
          <w:lang w:val="es-MX" w:eastAsia="es-MX"/>
        </w:rPr>
        <w:t xml:space="preserve">y </w:t>
      </w:r>
      <w:r w:rsidRPr="00AF5238">
        <w:rPr>
          <w:rFonts w:ascii="Palatino Linotype" w:eastAsia="Palatino Linotype" w:hAnsi="Palatino Linotype" w:cs="Palatino Linotype"/>
          <w:i/>
          <w:lang w:val="es-MX" w:eastAsia="es-MX"/>
        </w:rPr>
        <w:t>2a. XLIII/2008</w:t>
      </w:r>
      <w:r w:rsidRPr="00AF5238">
        <w:rPr>
          <w:rFonts w:ascii="Tahoma" w:eastAsia="Tahoma" w:hAnsi="Tahoma" w:cs="Tahoma"/>
          <w:b/>
          <w:sz w:val="20"/>
          <w:szCs w:val="20"/>
          <w:lang w:val="es-MX" w:eastAsia="es-MX"/>
        </w:rPr>
        <w:t xml:space="preserve"> </w:t>
      </w:r>
      <w:r w:rsidRPr="00AF5238">
        <w:rPr>
          <w:rFonts w:ascii="Palatino Linotype" w:eastAsia="Palatino Linotype" w:hAnsi="Palatino Linotype" w:cs="Palatino Linotype"/>
          <w:lang w:val="es-MX" w:eastAsia="es-MX"/>
        </w:rPr>
        <w:t>emitidas por el Peno y la Segunda Sala de la Suprema Corte de Justicia de la Nación, respectivamente, que son del tenor literal siguiente:</w:t>
      </w:r>
    </w:p>
    <w:p w14:paraId="3A26C067"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7BB00582" w14:textId="77777777" w:rsidR="00AF5238" w:rsidRPr="00AF5238" w:rsidRDefault="00AF5238" w:rsidP="00AF5238">
      <w:pPr>
        <w:spacing w:line="360" w:lineRule="auto"/>
        <w:ind w:left="851" w:right="85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 xml:space="preserve">“DERECHO A LA INFORMACIÓN. SU EJERCICIO SE ENCUENTRA LIMITADO TANTO POR LOS INTERESES NACIONALES Y DE LA SOCIEDAD, COMO POR LOS DERECHOS DE TERCEROS. </w:t>
      </w:r>
      <w:r w:rsidRPr="00AF5238">
        <w:rPr>
          <w:rFonts w:ascii="Palatino Linotype" w:eastAsia="Palatino Linotype" w:hAnsi="Palatino Linotype" w:cs="Palatino Linotype"/>
          <w:i/>
          <w:sz w:val="22"/>
          <w:szCs w:val="22"/>
          <w:lang w:val="es-MX"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F5238">
        <w:rPr>
          <w:rFonts w:ascii="Palatino Linotype" w:eastAsia="Palatino Linotype" w:hAnsi="Palatino Linotype" w:cs="Palatino Linotype"/>
          <w:b/>
          <w:i/>
          <w:sz w:val="22"/>
          <w:szCs w:val="22"/>
          <w:lang w:val="es-MX" w:eastAsia="es-MX"/>
        </w:rPr>
        <w:t>restringen el acceso a la información en esta materia, en razón de que su conocimiento público puede generar daños a los intereses nacionales y, por el otro, sancionan la inobservancia de esa reserva</w:t>
      </w:r>
      <w:r w:rsidRPr="00AF5238">
        <w:rPr>
          <w:rFonts w:ascii="Palatino Linotype" w:eastAsia="Palatino Linotype" w:hAnsi="Palatino Linotype" w:cs="Palatino Linotype"/>
          <w:i/>
          <w:sz w:val="22"/>
          <w:szCs w:val="22"/>
          <w:lang w:val="es-MX" w:eastAsia="es-MX"/>
        </w:rPr>
        <w:t xml:space="preserve">; por lo que hace al interés social, se cuenta con normas que tienden a proteger la averiguación de los delitos, la salud y la moral públicas, </w:t>
      </w:r>
      <w:r w:rsidRPr="00AF5238">
        <w:rPr>
          <w:rFonts w:ascii="Palatino Linotype" w:eastAsia="Palatino Linotype" w:hAnsi="Palatino Linotype" w:cs="Palatino Linotype"/>
          <w:b/>
          <w:i/>
          <w:sz w:val="22"/>
          <w:szCs w:val="22"/>
          <w:lang w:val="es-MX" w:eastAsia="es-MX"/>
        </w:rPr>
        <w:t>mientras que por lo que respecta a la protección de la persona existen normas que protegen el derecho a la vida o a la privacidad de los gobernados</w:t>
      </w:r>
      <w:r w:rsidRPr="00AF5238">
        <w:rPr>
          <w:rFonts w:ascii="Palatino Linotype" w:eastAsia="Palatino Linotype" w:hAnsi="Palatino Linotype" w:cs="Palatino Linotype"/>
          <w:i/>
          <w:sz w:val="22"/>
          <w:szCs w:val="22"/>
          <w:lang w:val="es-MX" w:eastAsia="es-MX"/>
        </w:rPr>
        <w:t>.”</w:t>
      </w:r>
    </w:p>
    <w:p w14:paraId="2AD0411E" w14:textId="77777777" w:rsidR="00AF5238" w:rsidRPr="00AF5238" w:rsidRDefault="00AF5238" w:rsidP="00AF5238">
      <w:pPr>
        <w:spacing w:line="360" w:lineRule="auto"/>
        <w:ind w:left="851" w:right="851"/>
        <w:jc w:val="both"/>
        <w:rPr>
          <w:rFonts w:ascii="Palatino Linotype" w:eastAsia="Palatino Linotype" w:hAnsi="Palatino Linotype" w:cs="Palatino Linotype"/>
          <w:i/>
          <w:sz w:val="22"/>
          <w:szCs w:val="22"/>
          <w:lang w:val="es-MX" w:eastAsia="es-MX"/>
        </w:rPr>
      </w:pPr>
    </w:p>
    <w:p w14:paraId="125EDD2A" w14:textId="77777777" w:rsidR="00AF5238" w:rsidRPr="00AF5238" w:rsidRDefault="00AF5238" w:rsidP="00AF5238">
      <w:pPr>
        <w:spacing w:line="360" w:lineRule="auto"/>
        <w:ind w:left="851" w:right="85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b/>
          <w:i/>
          <w:sz w:val="22"/>
          <w:szCs w:val="22"/>
          <w:lang w:val="es-MX" w:eastAsia="es-MX"/>
        </w:rPr>
        <w:t xml:space="preserve">“TRANSPARENCIA Y ACCESO A LA INFORMACIÓN PÚBLICA GUBERNAMENTAL. EL ARTÍCULO 14, FRACCIÓN I, DE LA LEY FEDERAL RELATIVA, NO VIOLA LA GARANTÍA DE ACCESO A LA INFORMACIÓN. </w:t>
      </w:r>
      <w:r w:rsidRPr="00AF5238">
        <w:rPr>
          <w:rFonts w:ascii="Palatino Linotype" w:eastAsia="Palatino Linotype" w:hAnsi="Palatino Linotype" w:cs="Palatino Linotype"/>
          <w:i/>
          <w:sz w:val="22"/>
          <w:szCs w:val="22"/>
          <w:lang w:val="es-MX" w:eastAsia="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F5238">
        <w:rPr>
          <w:rFonts w:ascii="Palatino Linotype" w:eastAsia="Palatino Linotype" w:hAnsi="Palatino Linotype" w:cs="Palatino Linotype"/>
          <w:b/>
          <w:i/>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F5238">
        <w:rPr>
          <w:rFonts w:ascii="Palatino Linotype" w:eastAsia="Palatino Linotype" w:hAnsi="Palatino Linotype" w:cs="Palatino Linotype"/>
          <w:i/>
          <w:sz w:val="22"/>
          <w:szCs w:val="22"/>
          <w:lang w:val="es-MX" w:eastAsia="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C574FC0" w14:textId="77777777" w:rsidR="00AF5238" w:rsidRPr="00AF5238" w:rsidRDefault="00AF5238" w:rsidP="00AF5238">
      <w:pPr>
        <w:spacing w:line="360" w:lineRule="auto"/>
        <w:ind w:left="851" w:right="851"/>
        <w:jc w:val="both"/>
        <w:rPr>
          <w:rFonts w:ascii="Palatino Linotype" w:eastAsia="Palatino Linotype" w:hAnsi="Palatino Linotype" w:cs="Palatino Linotype"/>
          <w:i/>
          <w:sz w:val="22"/>
          <w:szCs w:val="22"/>
          <w:lang w:val="es-MX" w:eastAsia="es-MX"/>
        </w:rPr>
      </w:pPr>
    </w:p>
    <w:p w14:paraId="1C9B5B22" w14:textId="77777777" w:rsidR="00AF5238" w:rsidRPr="00AF5238" w:rsidRDefault="00AF5238" w:rsidP="00AF5238">
      <w:pPr>
        <w:spacing w:line="360" w:lineRule="auto"/>
        <w:ind w:right="-93"/>
        <w:jc w:val="both"/>
        <w:rPr>
          <w:rFonts w:ascii="Palatino Linotype" w:eastAsia="Palatino Linotype" w:hAnsi="Palatino Linotype" w:cs="Palatino Linotype"/>
          <w:b/>
          <w:lang w:val="es-MX" w:eastAsia="es-MX"/>
        </w:rPr>
      </w:pPr>
      <w:r w:rsidRPr="00AF5238">
        <w:rPr>
          <w:rFonts w:ascii="Palatino Linotype" w:eastAsia="Palatino Linotype" w:hAnsi="Palatino Linotype" w:cs="Palatino Linotype"/>
          <w:lang w:val="es-MX" w:eastAsia="es-MX"/>
        </w:rPr>
        <w:t>También,</w:t>
      </w:r>
      <w:r w:rsidRPr="00AF5238">
        <w:rPr>
          <w:rFonts w:ascii="Palatino Linotype" w:eastAsia="Palatino Linotype" w:hAnsi="Palatino Linotype" w:cs="Palatino Linotype"/>
          <w:b/>
          <w:lang w:val="es-MX" w:eastAsia="es-MX"/>
        </w:rPr>
        <w:t xml:space="preserve"> el número de cuenta bancario</w:t>
      </w:r>
      <w:r w:rsidRPr="00AF5238">
        <w:rPr>
          <w:rFonts w:ascii="Palatino Linotype" w:eastAsia="Palatino Linotype" w:hAnsi="Palatino Linotype" w:cs="Palatino Linotype"/>
          <w:lang w:val="es-MX" w:eastAsia="es-MX"/>
        </w:rPr>
        <w:t>, en el Criterio 10/17 emitido por el Pleno del Instituto Nacional de Transparencia, Acceso a la Información y Protección de Datos Personales  se establece lo siguiente:</w:t>
      </w:r>
    </w:p>
    <w:p w14:paraId="0F03EDCA" w14:textId="77777777" w:rsidR="00AF5238" w:rsidRPr="00AF5238" w:rsidRDefault="00AF5238" w:rsidP="00AF5238">
      <w:pPr>
        <w:shd w:val="clear" w:color="auto" w:fill="FFFFFF"/>
        <w:spacing w:line="360" w:lineRule="auto"/>
        <w:ind w:left="567" w:right="567"/>
        <w:jc w:val="both"/>
        <w:rPr>
          <w:rFonts w:ascii="Palatino Linotype" w:eastAsia="Palatino Linotype" w:hAnsi="Palatino Linotype" w:cs="Palatino Linotype"/>
          <w:sz w:val="22"/>
          <w:szCs w:val="22"/>
          <w:lang w:val="es-MX" w:eastAsia="es-MX"/>
        </w:rPr>
      </w:pPr>
    </w:p>
    <w:p w14:paraId="24C607F8" w14:textId="77777777" w:rsidR="00AF5238" w:rsidRPr="00AF5238" w:rsidRDefault="00AF5238" w:rsidP="00AF5238">
      <w:pPr>
        <w:shd w:val="clear" w:color="auto" w:fill="FFFFFF"/>
        <w:spacing w:line="360" w:lineRule="auto"/>
        <w:ind w:left="567" w:right="567"/>
        <w:jc w:val="both"/>
        <w:rPr>
          <w:rFonts w:ascii="Palatino Linotype" w:eastAsia="Palatino Linotype" w:hAnsi="Palatino Linotype" w:cs="Palatino Linotype"/>
          <w:sz w:val="22"/>
          <w:szCs w:val="22"/>
          <w:lang w:val="es-MX" w:eastAsia="es-MX"/>
        </w:rPr>
      </w:pPr>
      <w:r w:rsidRPr="00AF5238">
        <w:rPr>
          <w:rFonts w:ascii="Palatino Linotype" w:eastAsia="Palatino Linotype" w:hAnsi="Palatino Linotype" w:cs="Palatino Linotype"/>
          <w:sz w:val="22"/>
          <w:szCs w:val="22"/>
          <w:lang w:val="es-MX" w:eastAsia="es-MX"/>
        </w:rPr>
        <w:t>“</w:t>
      </w:r>
      <w:r w:rsidRPr="00AF5238">
        <w:rPr>
          <w:rFonts w:ascii="Palatino Linotype" w:eastAsia="Palatino Linotype" w:hAnsi="Palatino Linotype" w:cs="Palatino Linotype"/>
          <w:b/>
          <w:i/>
          <w:sz w:val="22"/>
          <w:szCs w:val="22"/>
          <w:lang w:val="es-MX" w:eastAsia="es-MX"/>
        </w:rPr>
        <w:t>Cuentas bancarias y/o CLABE interbancaria de personas físicas y morales privadas.</w:t>
      </w:r>
      <w:r w:rsidRPr="00AF5238">
        <w:rPr>
          <w:rFonts w:ascii="Palatino Linotype" w:eastAsia="Palatino Linotype" w:hAnsi="Palatino Linotype" w:cs="Palatino Linotype"/>
          <w:i/>
          <w:sz w:val="22"/>
          <w:szCs w:val="22"/>
          <w:lang w:val="es-MX"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AF5238">
        <w:rPr>
          <w:rFonts w:ascii="Palatino Linotype" w:eastAsia="Palatino Linotype" w:hAnsi="Palatino Linotype" w:cs="Palatino Linotype"/>
          <w:sz w:val="22"/>
          <w:szCs w:val="22"/>
          <w:lang w:val="es-MX" w:eastAsia="es-MX"/>
        </w:rPr>
        <w:t>.”</w:t>
      </w:r>
    </w:p>
    <w:p w14:paraId="5C2C87AA" w14:textId="77777777" w:rsidR="00AF5238" w:rsidRPr="00AF5238" w:rsidRDefault="00AF5238" w:rsidP="00AF5238">
      <w:pPr>
        <w:spacing w:after="160" w:line="360" w:lineRule="auto"/>
        <w:jc w:val="both"/>
        <w:rPr>
          <w:rFonts w:ascii="Palatino Linotype" w:eastAsia="Palatino Linotype" w:hAnsi="Palatino Linotype" w:cs="Palatino Linotype"/>
          <w:sz w:val="22"/>
          <w:szCs w:val="22"/>
          <w:lang w:val="es-MX" w:eastAsia="es-MX"/>
        </w:rPr>
      </w:pPr>
    </w:p>
    <w:p w14:paraId="335D650B" w14:textId="77777777" w:rsidR="00AF5238" w:rsidRPr="00AF5238" w:rsidRDefault="00AF5238" w:rsidP="00AF5238">
      <w:pPr>
        <w:spacing w:line="360" w:lineRule="auto"/>
        <w:ind w:right="-9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0FA1A22" w14:textId="77777777" w:rsidR="00AF5238" w:rsidRPr="00AF5238" w:rsidRDefault="00AF5238" w:rsidP="00AF5238">
      <w:pPr>
        <w:spacing w:line="360" w:lineRule="auto"/>
        <w:ind w:right="-91"/>
        <w:jc w:val="both"/>
        <w:rPr>
          <w:rFonts w:ascii="Palatino Linotype" w:eastAsia="Palatino Linotype" w:hAnsi="Palatino Linotype" w:cs="Palatino Linotype"/>
          <w:lang w:val="es-MX" w:eastAsia="es-MX"/>
        </w:rPr>
      </w:pPr>
    </w:p>
    <w:p w14:paraId="35C95A9A" w14:textId="77777777" w:rsidR="00AF5238" w:rsidRPr="00AF5238" w:rsidRDefault="00AF5238" w:rsidP="00AF5238">
      <w:pPr>
        <w:spacing w:line="360" w:lineRule="auto"/>
        <w:ind w:right="-91"/>
        <w:jc w:val="both"/>
        <w:rPr>
          <w:rFonts w:ascii="Palatino Linotype" w:eastAsia="Palatino Linotype" w:hAnsi="Palatino Linotype" w:cs="Palatino Linotype"/>
          <w:b/>
          <w:lang w:val="es-MX" w:eastAsia="es-MX"/>
        </w:rPr>
      </w:pPr>
      <w:r w:rsidRPr="00AF5238">
        <w:rPr>
          <w:rFonts w:ascii="Palatino Linotype" w:eastAsia="Palatino Linotype" w:hAnsi="Palatino Linotype" w:cs="Palatino Linotype"/>
          <w:lang w:val="es-MX" w:eastAsia="es-MX"/>
        </w:rPr>
        <w:t xml:space="preserve">El </w:t>
      </w:r>
      <w:r w:rsidRPr="00AF5238">
        <w:rPr>
          <w:rFonts w:ascii="Palatino Linotype" w:eastAsia="Palatino Linotype" w:hAnsi="Palatino Linotype" w:cs="Palatino Linotype"/>
          <w:b/>
          <w:lang w:val="es-MX" w:eastAsia="es-MX"/>
        </w:rPr>
        <w:t>Código de barras bidimensional (QR)</w:t>
      </w:r>
      <w:r w:rsidRPr="00AF5238">
        <w:rPr>
          <w:rFonts w:ascii="Palatino Linotype" w:eastAsia="Palatino Linotype" w:hAnsi="Palatino Linotype" w:cs="Palatino Linotype"/>
          <w:lang w:val="es-MX" w:eastAsia="es-MX"/>
        </w:rPr>
        <w:t xml:space="preserve">, resulta necesario señalar que los comprobantes fiscales digitales por Internet, deben de incluir un código bidimensional conforme al formato </w:t>
      </w:r>
      <w:r w:rsidRPr="00AF5238">
        <w:rPr>
          <w:rFonts w:ascii="Palatino Linotype" w:eastAsia="Palatino Linotype" w:hAnsi="Palatino Linotype" w:cs="Palatino Linotype"/>
          <w:i/>
          <w:lang w:val="es-MX" w:eastAsia="es-MX"/>
        </w:rPr>
        <w:t>QR Code (Quick Response Code)</w:t>
      </w:r>
      <w:r w:rsidRPr="00AF5238">
        <w:rPr>
          <w:rFonts w:ascii="Palatino Linotype" w:eastAsia="Palatino Linotype" w:hAnsi="Palatino Linotype" w:cs="Palatino Linotype"/>
          <w:lang w:val="es-MX" w:eastAsia="es-MX"/>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r w:rsidRPr="00AF5238">
          <w:rPr>
            <w:rFonts w:ascii="Palatino Linotype" w:eastAsia="Palatino Linotype" w:hAnsi="Palatino Linotype" w:cs="Palatino Linotype"/>
            <w:color w:val="0000FF"/>
            <w:u w:val="single"/>
            <w:lang w:val="es-MX" w:eastAsia="es-MX"/>
          </w:rPr>
          <w:t>http://dof.gob.mx/nota_detalle.php?codigo=5492254&amp;fecha=28/07/2017</w:t>
        </w:r>
      </w:hyperlink>
      <w:r w:rsidRPr="00AF5238">
        <w:rPr>
          <w:rFonts w:ascii="Palatino Linotype" w:eastAsia="Palatino Linotype" w:hAnsi="Palatino Linotype" w:cs="Palatino Linotype"/>
          <w:lang w:val="es-MX" w:eastAsia="es-MX"/>
        </w:rPr>
        <w:t xml:space="preserve">. Incluso con la captura de dicho código, a través de la aplicación móvil del Servicio de Administración Tributaria, permite el acceso al Registro Federal de Contribuyentes, como del </w:t>
      </w:r>
      <w:r w:rsidRPr="00AF5238">
        <w:rPr>
          <w:rFonts w:ascii="Palatino Linotype" w:eastAsia="Palatino Linotype" w:hAnsi="Palatino Linotype" w:cs="Palatino Linotype"/>
          <w:b/>
          <w:lang w:val="es-MX" w:eastAsia="es-MX"/>
        </w:rPr>
        <w:t>SUJETO OBLIGADO</w:t>
      </w:r>
      <w:r w:rsidRPr="00AF5238">
        <w:rPr>
          <w:rFonts w:ascii="Palatino Linotype" w:eastAsia="Palatino Linotype" w:hAnsi="Palatino Linotype" w:cs="Palatino Linotype"/>
          <w:lang w:val="es-MX" w:eastAsia="es-MX"/>
        </w:rPr>
        <w:t>, como de la persona física o moral correspondiente.</w:t>
      </w:r>
    </w:p>
    <w:p w14:paraId="08A58E08" w14:textId="77777777" w:rsidR="00AF5238" w:rsidRPr="00AF5238" w:rsidRDefault="00AF5238" w:rsidP="00AF5238">
      <w:pPr>
        <w:spacing w:line="360" w:lineRule="auto"/>
        <w:ind w:right="-91"/>
        <w:jc w:val="both"/>
        <w:rPr>
          <w:rFonts w:ascii="Palatino Linotype" w:eastAsia="Palatino Linotype" w:hAnsi="Palatino Linotype" w:cs="Palatino Linotype"/>
          <w:lang w:val="es-MX" w:eastAsia="es-MX"/>
        </w:rPr>
      </w:pPr>
    </w:p>
    <w:p w14:paraId="52467257" w14:textId="77777777" w:rsidR="00AF5238" w:rsidRPr="00AF5238" w:rsidRDefault="00AF5238" w:rsidP="00AF5238">
      <w:pPr>
        <w:spacing w:after="80" w:line="360" w:lineRule="auto"/>
        <w:ind w:right="-9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739D5E9A" w14:textId="77777777" w:rsidR="00AF5238" w:rsidRPr="00AF5238" w:rsidRDefault="00AF5238" w:rsidP="00AF5238">
      <w:pPr>
        <w:shd w:val="clear" w:color="auto" w:fill="FFFFFF"/>
        <w:spacing w:before="80" w:after="240" w:line="360" w:lineRule="auto"/>
        <w:jc w:val="both"/>
        <w:rPr>
          <w:rFonts w:ascii="Calibri" w:eastAsia="Calibri" w:hAnsi="Calibri" w:cs="Calibri"/>
          <w:color w:val="222222"/>
          <w:lang w:val="es-MX" w:eastAsia="es-MX"/>
        </w:rPr>
      </w:pPr>
      <w:r w:rsidRPr="00AF5238">
        <w:rPr>
          <w:rFonts w:ascii="Palatino Linotype" w:eastAsia="Palatino Linotype" w:hAnsi="Palatino Linotype" w:cs="Palatino Linotype"/>
          <w:color w:val="222222"/>
          <w:lang w:val="es-MX" w:eastAsia="es-MX"/>
        </w:rPr>
        <w:t>Por otra parte y respecto a</w:t>
      </w:r>
      <w:r w:rsidRPr="00AF5238">
        <w:rPr>
          <w:rFonts w:ascii="Palatino Linotype" w:eastAsia="Palatino Linotype" w:hAnsi="Palatino Linotype" w:cs="Palatino Linotype"/>
          <w:b/>
          <w:color w:val="222222"/>
          <w:lang w:val="es-MX" w:eastAsia="es-MX"/>
        </w:rPr>
        <w:t xml:space="preserve"> la clave de seguridad social y en su caso clave o número del servidor público –trabajador-,</w:t>
      </w:r>
      <w:r w:rsidRPr="00AF5238">
        <w:rPr>
          <w:rFonts w:ascii="Palatino Linotype" w:eastAsia="Palatino Linotype" w:hAnsi="Palatino Linotype" w:cs="Palatino Linotype"/>
          <w:color w:val="222222"/>
          <w:lang w:val="es-MX" w:eastAsia="es-MX"/>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7432278" w14:textId="77777777" w:rsidR="00AF5238" w:rsidRPr="00AF5238" w:rsidRDefault="00AF5238" w:rsidP="00AF5238">
      <w:pPr>
        <w:shd w:val="clear" w:color="auto" w:fill="FFFFFF"/>
        <w:spacing w:before="240" w:line="360" w:lineRule="auto"/>
        <w:ind w:left="567" w:right="900"/>
        <w:jc w:val="both"/>
        <w:rPr>
          <w:rFonts w:ascii="Calibri" w:eastAsia="Calibri" w:hAnsi="Calibri" w:cs="Calibri"/>
          <w:color w:val="222222"/>
          <w:lang w:val="es-MX" w:eastAsia="es-MX"/>
        </w:rPr>
      </w:pPr>
      <w:r w:rsidRPr="00AF5238">
        <w:rPr>
          <w:rFonts w:ascii="Palatino Linotype" w:eastAsia="Palatino Linotype" w:hAnsi="Palatino Linotype" w:cs="Palatino Linotype"/>
          <w:b/>
          <w:i/>
          <w:color w:val="222222"/>
          <w:sz w:val="22"/>
          <w:szCs w:val="22"/>
          <w:lang w:val="es-MX" w:eastAsia="es-MX"/>
        </w:rPr>
        <w:t>“El número de ficha de identificación única de los trabajadores es información de carácter confidencial.</w:t>
      </w:r>
      <w:r w:rsidRPr="00AF5238">
        <w:rPr>
          <w:rFonts w:ascii="Palatino Linotype" w:eastAsia="Palatino Linotype" w:hAnsi="Palatino Linotype" w:cs="Palatino Linotype"/>
          <w:i/>
          <w:color w:val="222222"/>
          <w:sz w:val="22"/>
          <w:szCs w:val="22"/>
          <w:lang w:val="es-MX" w:eastAsia="es-MX"/>
        </w:rPr>
        <w:t> </w:t>
      </w:r>
      <w:r w:rsidRPr="00AF5238">
        <w:rPr>
          <w:rFonts w:ascii="Palatino Linotype" w:eastAsia="Palatino Linotype" w:hAnsi="Palatino Linotype" w:cs="Palatino Linotype"/>
          <w:i/>
          <w:color w:val="222222"/>
          <w:sz w:val="22"/>
          <w:szCs w:val="22"/>
          <w:u w:val="single"/>
          <w:lang w:val="es-MX" w:eastAsia="es-MX"/>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F5238">
        <w:rPr>
          <w:rFonts w:ascii="Palatino Linotype" w:eastAsia="Palatino Linotype" w:hAnsi="Palatino Linotype" w:cs="Palatino Linotype"/>
          <w:i/>
          <w:color w:val="222222"/>
          <w:sz w:val="22"/>
          <w:szCs w:val="22"/>
          <w:lang w:val="es-MX" w:eastAsia="es-MX"/>
        </w:rPr>
        <w:t>, </w:t>
      </w:r>
      <w:r w:rsidRPr="00AF5238">
        <w:rPr>
          <w:rFonts w:ascii="Palatino Linotype" w:eastAsia="Palatino Linotype" w:hAnsi="Palatino Linotype" w:cs="Palatino Linotype"/>
          <w:i/>
          <w:color w:val="222222"/>
          <w:sz w:val="22"/>
          <w:szCs w:val="22"/>
          <w:u w:val="single"/>
          <w:lang w:val="es-MX" w:eastAsia="es-MX"/>
        </w:rPr>
        <w:t>dicha información es susceptible de clasificarse con el carácter de confidencial</w:t>
      </w:r>
      <w:r w:rsidRPr="00AF5238">
        <w:rPr>
          <w:rFonts w:ascii="Palatino Linotype" w:eastAsia="Palatino Linotype" w:hAnsi="Palatino Linotype" w:cs="Palatino Linotype"/>
          <w:i/>
          <w:color w:val="222222"/>
          <w:sz w:val="22"/>
          <w:szCs w:val="22"/>
          <w:lang w:val="es-MX" w:eastAsia="es-MX"/>
        </w:rPr>
        <w:t xml:space="preserve">, en términos de lo establecido en el artículo 18, fracción II de la Ley Federal de Transparencia y Acceso a la Información Pública Gubernamental, en virtud de que a través de la misma es </w:t>
      </w:r>
      <w:r w:rsidRPr="00AF5238">
        <w:rPr>
          <w:rFonts w:ascii="Palatino Linotype" w:eastAsia="Palatino Linotype" w:hAnsi="Palatino Linotype" w:cs="Palatino Linotype"/>
          <w:i/>
          <w:color w:val="222222"/>
          <w:lang w:val="es-MX" w:eastAsia="es-MX"/>
        </w:rPr>
        <w:t>posible conocer información personal de su titular.” (Sic)</w:t>
      </w:r>
    </w:p>
    <w:p w14:paraId="658E3E6B"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p>
    <w:p w14:paraId="1CFD6D35"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Al respecto, es de señalar que </w:t>
      </w:r>
      <w:r w:rsidRPr="00AF5238">
        <w:rPr>
          <w:rFonts w:ascii="Palatino Linotype" w:eastAsia="Palatino Linotype" w:hAnsi="Palatino Linotype" w:cs="Palatino Linotype"/>
          <w:b/>
          <w:lang w:val="es-MX" w:eastAsia="es-MX"/>
        </w:rPr>
        <w:t xml:space="preserve">la firma </w:t>
      </w:r>
      <w:r w:rsidRPr="00AF5238">
        <w:rPr>
          <w:rFonts w:ascii="Palatino Linotype" w:eastAsia="Palatino Linotype" w:hAnsi="Palatino Linotype" w:cs="Palatino Linotype"/>
          <w:lang w:val="es-MX" w:eastAsia="es-MX"/>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41535808"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p>
    <w:p w14:paraId="3564F337"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Al respecto, este Instituto, </w:t>
      </w:r>
      <w:r w:rsidR="00645615">
        <w:rPr>
          <w:rFonts w:ascii="Palatino Linotype" w:eastAsia="Palatino Linotype" w:hAnsi="Palatino Linotype" w:cs="Palatino Linotype"/>
          <w:lang w:val="es-MX" w:eastAsia="es-MX"/>
        </w:rPr>
        <w:t>considera que entregar la firma</w:t>
      </w:r>
      <w:r w:rsidRPr="00AF5238">
        <w:rPr>
          <w:rFonts w:ascii="Palatino Linotype" w:eastAsia="Palatino Linotype" w:hAnsi="Palatino Linotype" w:cs="Palatino Linotype"/>
          <w:lang w:val="es-MX" w:eastAsia="es-MX"/>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7CD34351"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p>
    <w:p w14:paraId="4FCA7F6C"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6873BF6" w14:textId="77777777" w:rsidR="00AF5238" w:rsidRPr="00AF5238" w:rsidRDefault="00AF5238" w:rsidP="00AF5238">
      <w:pPr>
        <w:spacing w:line="360" w:lineRule="auto"/>
        <w:ind w:right="-93"/>
        <w:jc w:val="both"/>
        <w:rPr>
          <w:rFonts w:ascii="Palatino Linotype" w:eastAsia="Palatino Linotype" w:hAnsi="Palatino Linotype" w:cs="Palatino Linotype"/>
          <w:lang w:val="es-MX" w:eastAsia="es-MX"/>
        </w:rPr>
      </w:pPr>
    </w:p>
    <w:p w14:paraId="2D140B29" w14:textId="77777777" w:rsidR="00AF5238" w:rsidRPr="00AF5238" w:rsidRDefault="00AF5238" w:rsidP="00AF5238">
      <w:pPr>
        <w:spacing w:line="360" w:lineRule="auto"/>
        <w:ind w:right="49"/>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Sirve de sustento a lo anterior el Criterio de Interpretación 02/19 emitido por el Instituto Nacional de Transparencia, Acceso a la Información y Protección de Datos Personales, cuyo rubro y texto establecen lo siguiente:</w:t>
      </w:r>
    </w:p>
    <w:p w14:paraId="74FCDF9C" w14:textId="77777777" w:rsidR="00AF5238" w:rsidRPr="00AF5238" w:rsidRDefault="00AF5238" w:rsidP="00AF5238">
      <w:pPr>
        <w:spacing w:after="160" w:line="276" w:lineRule="auto"/>
        <w:ind w:right="-93"/>
        <w:jc w:val="both"/>
        <w:rPr>
          <w:rFonts w:ascii="Palatino Linotype" w:eastAsia="Palatino Linotype" w:hAnsi="Palatino Linotype" w:cs="Palatino Linotype"/>
          <w:sz w:val="22"/>
          <w:szCs w:val="22"/>
          <w:lang w:val="es-MX" w:eastAsia="es-MX"/>
        </w:rPr>
      </w:pPr>
    </w:p>
    <w:p w14:paraId="241B5AF6" w14:textId="77777777" w:rsidR="00AF5238" w:rsidRPr="00AF5238" w:rsidRDefault="00AF5238" w:rsidP="00AF5238">
      <w:pPr>
        <w:spacing w:line="360" w:lineRule="auto"/>
        <w:ind w:left="1134" w:right="1041"/>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w:t>
      </w:r>
      <w:r w:rsidRPr="00AF5238">
        <w:rPr>
          <w:rFonts w:ascii="Palatino Linotype" w:eastAsia="Palatino Linotype" w:hAnsi="Palatino Linotype" w:cs="Palatino Linotype"/>
          <w:b/>
          <w:i/>
          <w:sz w:val="22"/>
          <w:szCs w:val="22"/>
          <w:lang w:val="es-MX" w:eastAsia="es-MX"/>
        </w:rPr>
        <w:t>FIRMA Y RÚBRICA DE SERVIDORES PÚBLICOS.</w:t>
      </w:r>
      <w:r w:rsidRPr="00AF5238">
        <w:rPr>
          <w:rFonts w:ascii="Palatino Linotype" w:eastAsia="Palatino Linotype" w:hAnsi="Palatino Linotype" w:cs="Palatino Linotype"/>
          <w:i/>
          <w:sz w:val="22"/>
          <w:szCs w:val="22"/>
          <w:lang w:val="es-MX"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87D4970"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09771EC3" w14:textId="77777777" w:rsidR="00AF5238" w:rsidRPr="00AF5238" w:rsidRDefault="00AF5238" w:rsidP="00AF5238">
      <w:pPr>
        <w:spacing w:line="360" w:lineRule="auto"/>
        <w:jc w:val="both"/>
        <w:rPr>
          <w:rFonts w:ascii="Palatino Linotype" w:eastAsia="Palatino Linotype" w:hAnsi="Palatino Linotype" w:cs="Palatino Linotype"/>
          <w:highlight w:val="white"/>
          <w:lang w:val="es-MX" w:eastAsia="es-MX"/>
        </w:rPr>
      </w:pPr>
      <w:r w:rsidRPr="00AF5238">
        <w:rPr>
          <w:rFonts w:ascii="Palatino Linotype" w:eastAsia="Palatino Linotype" w:hAnsi="Palatino Linotype" w:cs="Palatino Linotype"/>
          <w:lang w:val="es-MX" w:eastAsia="es-MX"/>
        </w:rPr>
        <w:t xml:space="preserve">Al respecto, se destaca que la versión pública que elabore el </w:t>
      </w:r>
      <w:r w:rsidR="00645615" w:rsidRPr="00AF5238">
        <w:rPr>
          <w:rFonts w:ascii="Palatino Linotype" w:eastAsia="Palatino Linotype" w:hAnsi="Palatino Linotype" w:cs="Palatino Linotype"/>
          <w:b/>
          <w:lang w:val="es-MX" w:eastAsia="es-MX"/>
        </w:rPr>
        <w:t>Sujeto Obligado</w:t>
      </w:r>
      <w:r w:rsidR="00645615" w:rsidRPr="00AF5238">
        <w:rPr>
          <w:rFonts w:ascii="Palatino Linotype" w:eastAsia="Palatino Linotype" w:hAnsi="Palatino Linotype" w:cs="Palatino Linotype"/>
          <w:lang w:val="es-MX" w:eastAsia="es-MX"/>
        </w:rPr>
        <w:t xml:space="preserve"> </w:t>
      </w:r>
      <w:r w:rsidRPr="00AF5238">
        <w:rPr>
          <w:rFonts w:ascii="Palatino Linotype" w:eastAsia="Palatino Linotype" w:hAnsi="Palatino Linotype" w:cs="Palatino Linotype"/>
          <w:lang w:val="es-MX" w:eastAsia="es-MX"/>
        </w:rPr>
        <w:t>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AF5238">
        <w:rPr>
          <w:rFonts w:ascii="Palatino Linotype" w:eastAsia="Palatino Linotype" w:hAnsi="Palatino Linotype" w:cs="Palatino Linotype"/>
          <w:highlight w:val="white"/>
          <w:lang w:val="es-MX" w:eastAsia="es-MX"/>
        </w:rPr>
        <w:t>.</w:t>
      </w:r>
    </w:p>
    <w:p w14:paraId="39E3E6D9"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771BDBA9"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Efectivamente, cuando se clasifica información como confidencial o reservada es importante someterlo al Comité de Transparencia, quien debe confirmar, modificar o revocar la clasificación.</w:t>
      </w:r>
    </w:p>
    <w:p w14:paraId="02C6D184"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p>
    <w:p w14:paraId="206076D1" w14:textId="77777777" w:rsidR="00AF5238" w:rsidRPr="00AF5238" w:rsidRDefault="00AF5238" w:rsidP="00AF5238">
      <w:pPr>
        <w:shd w:val="clear" w:color="auto" w:fill="FFFFFF"/>
        <w:spacing w:line="360" w:lineRule="auto"/>
        <w:ind w:right="51"/>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Por lo tanto, la entrega de documentos en su versión pública debe acompañarse necesariamente del Acuerdo del Comité de Transparencia que la sustente, en el que se expongan los fundamentos y razonamientos que llevaron al </w:t>
      </w:r>
      <w:r w:rsidR="00645615" w:rsidRPr="00AF5238">
        <w:rPr>
          <w:rFonts w:ascii="Palatino Linotype" w:eastAsia="Palatino Linotype" w:hAnsi="Palatino Linotype" w:cs="Palatino Linotype"/>
          <w:b/>
          <w:lang w:val="es-MX" w:eastAsia="es-MX"/>
        </w:rPr>
        <w:t>Sujeto Obligado</w:t>
      </w:r>
      <w:r w:rsidRPr="00AF5238">
        <w:rPr>
          <w:rFonts w:ascii="Palatino Linotype" w:eastAsia="Palatino Linotype" w:hAnsi="Palatino Linotype" w:cs="Palatino Linotype"/>
          <w:lang w:val="es-MX"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w:t>
      </w:r>
      <w:r w:rsidR="00645615">
        <w:rPr>
          <w:rFonts w:ascii="Palatino Linotype" w:eastAsia="Palatino Linotype" w:hAnsi="Palatino Linotype" w:cs="Palatino Linotype"/>
          <w:lang w:val="es-MX" w:eastAsia="es-MX"/>
        </w:rPr>
        <w:t>d</w:t>
      </w:r>
      <w:r w:rsidR="00645615" w:rsidRPr="00AF5238">
        <w:rPr>
          <w:rFonts w:ascii="Palatino Linotype" w:eastAsia="Palatino Linotype" w:hAnsi="Palatino Linotype" w:cs="Palatino Linotype"/>
          <w:lang w:val="es-MX" w:eastAsia="es-MX"/>
        </w:rPr>
        <w:t>el </w:t>
      </w:r>
      <w:r w:rsidR="00645615" w:rsidRPr="00AF5238">
        <w:rPr>
          <w:rFonts w:ascii="Palatino Linotype" w:eastAsia="Palatino Linotype" w:hAnsi="Palatino Linotype" w:cs="Palatino Linotype"/>
          <w:b/>
          <w:lang w:val="es-MX" w:eastAsia="es-MX"/>
        </w:rPr>
        <w:t>Recurrente.</w:t>
      </w:r>
    </w:p>
    <w:p w14:paraId="2FBAFCCE"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33814341"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0FDD4FB"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24E055C9"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D47C721"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55AF0A6D"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Entorno a lo que aquí nos interesa, los Lineamientos Quincuagésimo sexto, Quincuagésimo séptimo y Quincuagésimo octavo, establecen lo siguiente:</w:t>
      </w:r>
    </w:p>
    <w:p w14:paraId="372FDA0E"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41CD187D" w14:textId="77777777" w:rsidR="00AF5238" w:rsidRPr="00AF5238" w:rsidRDefault="00AF5238" w:rsidP="00AF5238">
      <w:pPr>
        <w:spacing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“Quincuagésimo sexto</w:t>
      </w:r>
      <w:r w:rsidRPr="00AF5238">
        <w:rPr>
          <w:rFonts w:ascii="Palatino Linotype" w:eastAsia="Palatino Linotype" w:hAnsi="Palatino Linotype" w:cs="Palatino Linotype"/>
          <w:b/>
          <w:i/>
          <w:sz w:val="22"/>
          <w:szCs w:val="22"/>
          <w:lang w:val="es-MX"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4313F3C" w14:textId="77777777" w:rsidR="00AF5238" w:rsidRPr="00AF5238" w:rsidRDefault="00AF5238" w:rsidP="00AF5238">
      <w:pPr>
        <w:spacing w:before="120"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 xml:space="preserve">Quincuagésimo séptimo. Se considera, en principio, como información pública y no podrá omitirse de las versiones públicas la siguiente: </w:t>
      </w:r>
    </w:p>
    <w:p w14:paraId="2053DA1C" w14:textId="77777777" w:rsidR="00AF5238" w:rsidRPr="00AF5238" w:rsidRDefault="00AF5238" w:rsidP="00AF5238">
      <w:pPr>
        <w:spacing w:before="120"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 xml:space="preserve">I. La relativa a las Obligaciones de Transparencia que contempla el Título V de la Ley General y las demás disposiciones legales aplicables; </w:t>
      </w:r>
    </w:p>
    <w:p w14:paraId="4BE31AA5" w14:textId="77777777" w:rsidR="00AF5238" w:rsidRPr="00AF5238" w:rsidRDefault="00AF5238" w:rsidP="00AF5238">
      <w:pPr>
        <w:spacing w:before="120"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 xml:space="preserve">II. El nombre de los servidores públicos en los documentos, y sus firmas autógrafas, cuando sean utilizados en el ejercicio de las facultades conferidas para el desempeño del servicio público, y </w:t>
      </w:r>
    </w:p>
    <w:p w14:paraId="628207CD" w14:textId="77777777" w:rsidR="00AF5238" w:rsidRPr="00AF5238" w:rsidRDefault="00AF5238" w:rsidP="00AF5238">
      <w:pPr>
        <w:spacing w:before="120"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317237D6" w14:textId="77777777" w:rsidR="00AF5238" w:rsidRPr="00AF5238" w:rsidRDefault="00AF5238" w:rsidP="00AF5238">
      <w:pPr>
        <w:spacing w:before="120" w:after="120" w:line="259"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internaciones suscritos por el Estado mexicano. </w:t>
      </w:r>
    </w:p>
    <w:p w14:paraId="05D4E9F5" w14:textId="77777777" w:rsidR="00AF5238" w:rsidRPr="00AF5238" w:rsidRDefault="00AF5238" w:rsidP="00AF5238">
      <w:pPr>
        <w:spacing w:before="120" w:line="360" w:lineRule="auto"/>
        <w:ind w:left="851" w:right="902"/>
        <w:jc w:val="both"/>
        <w:rPr>
          <w:rFonts w:ascii="Palatino Linotype" w:eastAsia="Palatino Linotype" w:hAnsi="Palatino Linotype" w:cs="Palatino Linotype"/>
          <w:i/>
          <w:sz w:val="22"/>
          <w:szCs w:val="22"/>
          <w:lang w:val="es-MX" w:eastAsia="es-MX"/>
        </w:rPr>
      </w:pPr>
      <w:r w:rsidRPr="00AF5238">
        <w:rPr>
          <w:rFonts w:ascii="Palatino Linotype" w:eastAsia="Palatino Linotype" w:hAnsi="Palatino Linotype" w:cs="Palatino Linotype"/>
          <w:i/>
          <w:sz w:val="22"/>
          <w:szCs w:val="22"/>
          <w:lang w:val="es-MX" w:eastAsia="es-MX"/>
        </w:rPr>
        <w:t>Quincuagésimo octavo. Los sujetos obligados garantizarán que los sistemas o medios empleados para eliminar la información en las versiones públicas no permitan la recuperación o visualización de la misma.”</w:t>
      </w:r>
    </w:p>
    <w:p w14:paraId="54200DFB"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6CC535F1"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 xml:space="preserve">Por lo tanto, </w:t>
      </w:r>
      <w:r w:rsidRPr="00AF5238">
        <w:rPr>
          <w:rFonts w:ascii="Palatino Linotype" w:eastAsia="Palatino Linotype" w:hAnsi="Palatino Linotype" w:cs="Palatino Linotype"/>
          <w:b/>
          <w:lang w:val="es-MX" w:eastAsia="es-MX"/>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AF5238">
        <w:rPr>
          <w:rFonts w:ascii="Palatino Linotype" w:eastAsia="Palatino Linotype" w:hAnsi="Palatino Linotype" w:cs="Palatino Linotype"/>
          <w:lang w:val="es-MX" w:eastAsia="es-MX"/>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B33DA2" w14:textId="77777777" w:rsidR="00AF5238" w:rsidRPr="00AF5238" w:rsidRDefault="00AF5238" w:rsidP="00AF5238">
      <w:pPr>
        <w:spacing w:line="360" w:lineRule="auto"/>
        <w:jc w:val="both"/>
        <w:rPr>
          <w:rFonts w:ascii="Palatino Linotype" w:eastAsia="Palatino Linotype" w:hAnsi="Palatino Linotype" w:cs="Palatino Linotype"/>
          <w:lang w:val="es-MX" w:eastAsia="es-MX"/>
        </w:rPr>
      </w:pPr>
    </w:p>
    <w:p w14:paraId="4B505D06" w14:textId="77777777" w:rsidR="00AF5238" w:rsidRPr="00AF5238" w:rsidRDefault="00AF5238" w:rsidP="00AF5238">
      <w:pPr>
        <w:spacing w:after="240" w:line="360" w:lineRule="auto"/>
        <w:jc w:val="both"/>
        <w:rPr>
          <w:rFonts w:ascii="Palatino Linotype" w:eastAsia="Palatino Linotype" w:hAnsi="Palatino Linotype" w:cs="Palatino Linotype"/>
          <w:lang w:val="es-MX" w:eastAsia="es-MX"/>
        </w:rPr>
      </w:pPr>
      <w:r w:rsidRPr="00AF5238">
        <w:rPr>
          <w:rFonts w:ascii="Palatino Linotype" w:eastAsia="Palatino Linotype" w:hAnsi="Palatino Linotype" w:cs="Palatino Linotype"/>
          <w:lang w:val="es-MX" w:eastAsia="es-MX"/>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AF5238" w:rsidRPr="00AF5238" w14:paraId="641CC85E" w14:textId="77777777" w:rsidTr="00AF5238">
        <w:tc>
          <w:tcPr>
            <w:tcW w:w="4414" w:type="dxa"/>
            <w:gridSpan w:val="2"/>
          </w:tcPr>
          <w:p w14:paraId="650D7B9B" w14:textId="77777777" w:rsidR="00AF5238" w:rsidRPr="00AF5238" w:rsidRDefault="00AF5238" w:rsidP="00AF5238">
            <w:pPr>
              <w:spacing w:after="160" w:line="259" w:lineRule="auto"/>
              <w:jc w:val="center"/>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Parcial</w:t>
            </w:r>
          </w:p>
        </w:tc>
        <w:tc>
          <w:tcPr>
            <w:tcW w:w="4414" w:type="dxa"/>
            <w:gridSpan w:val="2"/>
          </w:tcPr>
          <w:p w14:paraId="514BCDA3" w14:textId="77777777" w:rsidR="00AF5238" w:rsidRPr="00AF5238" w:rsidRDefault="00AF5238" w:rsidP="00AF5238">
            <w:pPr>
              <w:spacing w:after="160" w:line="259" w:lineRule="auto"/>
              <w:jc w:val="center"/>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Total</w:t>
            </w:r>
          </w:p>
        </w:tc>
      </w:tr>
      <w:tr w:rsidR="00AF5238" w:rsidRPr="00AF5238" w14:paraId="24DF0C95" w14:textId="77777777" w:rsidTr="00AF5238">
        <w:tc>
          <w:tcPr>
            <w:tcW w:w="846" w:type="dxa"/>
          </w:tcPr>
          <w:p w14:paraId="3F3FBC67" w14:textId="77777777" w:rsidR="00AF5238" w:rsidRPr="00AF5238" w:rsidRDefault="00AF5238" w:rsidP="00AF5238">
            <w:pPr>
              <w:spacing w:after="160" w:line="259" w:lineRule="auto"/>
              <w:jc w:val="center"/>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Concepto</w:t>
            </w:r>
          </w:p>
        </w:tc>
        <w:tc>
          <w:tcPr>
            <w:tcW w:w="3568" w:type="dxa"/>
          </w:tcPr>
          <w:p w14:paraId="0B2B97BC" w14:textId="77777777" w:rsidR="00AF5238" w:rsidRPr="00AF5238" w:rsidRDefault="00AF5238" w:rsidP="00AF5238">
            <w:pPr>
              <w:spacing w:after="160" w:line="259" w:lineRule="auto"/>
              <w:jc w:val="center"/>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Dónde</w:t>
            </w:r>
          </w:p>
        </w:tc>
        <w:tc>
          <w:tcPr>
            <w:tcW w:w="968" w:type="dxa"/>
          </w:tcPr>
          <w:p w14:paraId="2268B262" w14:textId="77777777" w:rsidR="00AF5238" w:rsidRPr="00AF5238" w:rsidRDefault="00AF5238" w:rsidP="00AF5238">
            <w:pPr>
              <w:spacing w:after="160" w:line="259" w:lineRule="auto"/>
              <w:jc w:val="center"/>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Concepto</w:t>
            </w:r>
          </w:p>
        </w:tc>
        <w:tc>
          <w:tcPr>
            <w:tcW w:w="3446" w:type="dxa"/>
          </w:tcPr>
          <w:p w14:paraId="25901E17" w14:textId="77777777" w:rsidR="00AF5238" w:rsidRPr="00AF5238" w:rsidRDefault="00AF5238" w:rsidP="00AF5238">
            <w:pPr>
              <w:spacing w:after="160" w:line="259" w:lineRule="auto"/>
              <w:jc w:val="center"/>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Dónde</w:t>
            </w:r>
          </w:p>
        </w:tc>
      </w:tr>
      <w:tr w:rsidR="00AF5238" w:rsidRPr="00AF5238" w14:paraId="405C3B05" w14:textId="77777777" w:rsidTr="00AF5238">
        <w:tc>
          <w:tcPr>
            <w:tcW w:w="8828" w:type="dxa"/>
            <w:gridSpan w:val="4"/>
          </w:tcPr>
          <w:p w14:paraId="1BF27AC3" w14:textId="77777777" w:rsidR="00AF5238" w:rsidRPr="00AF5238" w:rsidRDefault="00AF5238" w:rsidP="00AF5238">
            <w:pPr>
              <w:spacing w:after="160" w:line="259" w:lineRule="auto"/>
              <w:jc w:val="center"/>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Sello oficial o logotipo del sujeto obligado</w:t>
            </w:r>
          </w:p>
        </w:tc>
      </w:tr>
      <w:tr w:rsidR="00AF5238" w:rsidRPr="00AF5238" w14:paraId="2AFFA21C" w14:textId="77777777" w:rsidTr="00AF5238">
        <w:tc>
          <w:tcPr>
            <w:tcW w:w="846" w:type="dxa"/>
          </w:tcPr>
          <w:p w14:paraId="2D5100CA"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Fecha de clasificación</w:t>
            </w:r>
          </w:p>
        </w:tc>
        <w:tc>
          <w:tcPr>
            <w:tcW w:w="3568" w:type="dxa"/>
          </w:tcPr>
          <w:p w14:paraId="17981449"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anotará la fecha en la que el Comité de Transparencia confirmó la clasificación del documento, en su caso.</w:t>
            </w:r>
          </w:p>
        </w:tc>
        <w:tc>
          <w:tcPr>
            <w:tcW w:w="968" w:type="dxa"/>
          </w:tcPr>
          <w:p w14:paraId="404EF243"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Fecha de clasificación</w:t>
            </w:r>
          </w:p>
        </w:tc>
        <w:tc>
          <w:tcPr>
            <w:tcW w:w="3446" w:type="dxa"/>
          </w:tcPr>
          <w:p w14:paraId="2FB0C198"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anotará la fecha en la que el Comité de Transparencia confirmó la clasificación del documento, en su caso.</w:t>
            </w:r>
          </w:p>
        </w:tc>
      </w:tr>
      <w:tr w:rsidR="00AF5238" w:rsidRPr="00AF5238" w14:paraId="7BE470C9" w14:textId="77777777" w:rsidTr="00AF5238">
        <w:tc>
          <w:tcPr>
            <w:tcW w:w="846" w:type="dxa"/>
          </w:tcPr>
          <w:p w14:paraId="2BFAE75C"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Área</w:t>
            </w:r>
          </w:p>
        </w:tc>
        <w:tc>
          <w:tcPr>
            <w:tcW w:w="3568" w:type="dxa"/>
          </w:tcPr>
          <w:p w14:paraId="538A906F"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área del cual es titular quien clasifica.</w:t>
            </w:r>
          </w:p>
        </w:tc>
        <w:tc>
          <w:tcPr>
            <w:tcW w:w="968" w:type="dxa"/>
          </w:tcPr>
          <w:p w14:paraId="05D3CE44"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Área</w:t>
            </w:r>
          </w:p>
        </w:tc>
        <w:tc>
          <w:tcPr>
            <w:tcW w:w="3446" w:type="dxa"/>
          </w:tcPr>
          <w:p w14:paraId="299CB54F"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área de la cual es el titular quien clasifica.</w:t>
            </w:r>
          </w:p>
        </w:tc>
      </w:tr>
      <w:tr w:rsidR="00AF5238" w:rsidRPr="00AF5238" w14:paraId="3507CCB3" w14:textId="77777777" w:rsidTr="00AF5238">
        <w:tc>
          <w:tcPr>
            <w:tcW w:w="846" w:type="dxa"/>
          </w:tcPr>
          <w:p w14:paraId="05C7CE1A"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Información reservada</w:t>
            </w:r>
          </w:p>
        </w:tc>
        <w:tc>
          <w:tcPr>
            <w:tcW w:w="3568" w:type="dxa"/>
          </w:tcPr>
          <w:p w14:paraId="5D3A7151"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61A2145"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Reservado</w:t>
            </w:r>
          </w:p>
        </w:tc>
        <w:tc>
          <w:tcPr>
            <w:tcW w:w="3446" w:type="dxa"/>
          </w:tcPr>
          <w:p w14:paraId="537B1CAC"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Leyenda de información RESERVADA.</w:t>
            </w:r>
          </w:p>
        </w:tc>
      </w:tr>
      <w:tr w:rsidR="00AF5238" w:rsidRPr="00AF5238" w14:paraId="0D0D4040" w14:textId="77777777" w:rsidTr="00AF5238">
        <w:tc>
          <w:tcPr>
            <w:tcW w:w="846" w:type="dxa"/>
          </w:tcPr>
          <w:p w14:paraId="0744BD2E"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Fundamento legal</w:t>
            </w:r>
          </w:p>
        </w:tc>
        <w:tc>
          <w:tcPr>
            <w:tcW w:w="3568" w:type="dxa"/>
          </w:tcPr>
          <w:p w14:paraId="731A527E"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ordenamiento, el o los artículos, fracción(es), párrafo(s) con base en los cuales se sustente la reserva.</w:t>
            </w:r>
          </w:p>
        </w:tc>
        <w:tc>
          <w:tcPr>
            <w:tcW w:w="968" w:type="dxa"/>
          </w:tcPr>
          <w:p w14:paraId="53DBA23C"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Periodo de reserva</w:t>
            </w:r>
          </w:p>
        </w:tc>
        <w:tc>
          <w:tcPr>
            <w:tcW w:w="3446" w:type="dxa"/>
          </w:tcPr>
          <w:p w14:paraId="2BEBB862"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anotará el número de años o meses por los que se mantendrá el documento o las partes del mismo como reservado. Si el expediente no es reservado, sino confidencial, deberá tacharse este apartado.</w:t>
            </w:r>
          </w:p>
        </w:tc>
      </w:tr>
      <w:tr w:rsidR="00AF5238" w:rsidRPr="00AF5238" w14:paraId="69265F10" w14:textId="77777777" w:rsidTr="00AF5238">
        <w:tc>
          <w:tcPr>
            <w:tcW w:w="846" w:type="dxa"/>
          </w:tcPr>
          <w:p w14:paraId="50669703"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Ampliación del periodo de reserva</w:t>
            </w:r>
          </w:p>
        </w:tc>
        <w:tc>
          <w:tcPr>
            <w:tcW w:w="3568" w:type="dxa"/>
          </w:tcPr>
          <w:p w14:paraId="0ABC3E09"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En caso de haber solicitado la ampliación del periodo de reserva originalmente establecido, se deberá anotar el número de años o meses por los que se amplía la reserva.</w:t>
            </w:r>
          </w:p>
        </w:tc>
        <w:tc>
          <w:tcPr>
            <w:tcW w:w="968" w:type="dxa"/>
          </w:tcPr>
          <w:p w14:paraId="72A4A0FB"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Fundamento legal</w:t>
            </w:r>
          </w:p>
        </w:tc>
        <w:tc>
          <w:tcPr>
            <w:tcW w:w="3446" w:type="dxa"/>
          </w:tcPr>
          <w:p w14:paraId="30C0A27D"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o de los ordenamientos jurídicos, el o los artículos, fracción(es), párrafo(s) con base en los cuales se sustenta la reserva.</w:t>
            </w:r>
          </w:p>
        </w:tc>
      </w:tr>
      <w:tr w:rsidR="00AF5238" w:rsidRPr="00AF5238" w14:paraId="38EC67AB" w14:textId="77777777" w:rsidTr="00AF5238">
        <w:tc>
          <w:tcPr>
            <w:tcW w:w="846" w:type="dxa"/>
          </w:tcPr>
          <w:p w14:paraId="0019D7DC"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Confidencial</w:t>
            </w:r>
          </w:p>
        </w:tc>
        <w:tc>
          <w:tcPr>
            <w:tcW w:w="3568" w:type="dxa"/>
          </w:tcPr>
          <w:p w14:paraId="7A7ACDBD"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433BC0E"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Ampliación del periodo de reserva</w:t>
            </w:r>
          </w:p>
        </w:tc>
        <w:tc>
          <w:tcPr>
            <w:tcW w:w="3446" w:type="dxa"/>
          </w:tcPr>
          <w:p w14:paraId="5FC23808"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En caso de haber solicitado la ampliación del periodo de reserva originalmente establecido, se deberá anotar el número de años o meses por los que se amplía la reserva.</w:t>
            </w:r>
          </w:p>
        </w:tc>
      </w:tr>
      <w:tr w:rsidR="00AF5238" w:rsidRPr="00AF5238" w14:paraId="2A97AF2F" w14:textId="77777777" w:rsidTr="00AF5238">
        <w:tc>
          <w:tcPr>
            <w:tcW w:w="846" w:type="dxa"/>
          </w:tcPr>
          <w:p w14:paraId="6051E003"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Fundamento legal</w:t>
            </w:r>
          </w:p>
        </w:tc>
        <w:tc>
          <w:tcPr>
            <w:tcW w:w="3568" w:type="dxa"/>
          </w:tcPr>
          <w:p w14:paraId="400BCB93"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ordenamiento, el o los artículos, fracción(es), párrafo(s) con base en los cuales se sustente la confidencialidad.</w:t>
            </w:r>
          </w:p>
        </w:tc>
        <w:tc>
          <w:tcPr>
            <w:tcW w:w="968" w:type="dxa"/>
          </w:tcPr>
          <w:p w14:paraId="1F8DA33E"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Confidencial</w:t>
            </w:r>
          </w:p>
        </w:tc>
        <w:tc>
          <w:tcPr>
            <w:tcW w:w="3446" w:type="dxa"/>
          </w:tcPr>
          <w:p w14:paraId="17BC3706"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Leyenda de información CONFIDENCIAL.</w:t>
            </w:r>
          </w:p>
        </w:tc>
      </w:tr>
      <w:tr w:rsidR="00AF5238" w:rsidRPr="00AF5238" w14:paraId="6C74796A" w14:textId="77777777" w:rsidTr="00AF5238">
        <w:tc>
          <w:tcPr>
            <w:tcW w:w="846" w:type="dxa"/>
          </w:tcPr>
          <w:p w14:paraId="182854ED"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del titular del área</w:t>
            </w:r>
          </w:p>
        </w:tc>
        <w:tc>
          <w:tcPr>
            <w:tcW w:w="3568" w:type="dxa"/>
          </w:tcPr>
          <w:p w14:paraId="5E4EBA13"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autógrafa de quien clasifica.</w:t>
            </w:r>
          </w:p>
        </w:tc>
        <w:tc>
          <w:tcPr>
            <w:tcW w:w="968" w:type="dxa"/>
          </w:tcPr>
          <w:p w14:paraId="0D454AAA"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Fundamento legal</w:t>
            </w:r>
          </w:p>
        </w:tc>
        <w:tc>
          <w:tcPr>
            <w:tcW w:w="3446" w:type="dxa"/>
          </w:tcPr>
          <w:p w14:paraId="364E147B"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señalará el nombre del o de los ordenamientos jurídicos, el o los artículos, fracción(es), párrafo(s) con base en los cuales se sustente la confidencialidad.</w:t>
            </w:r>
          </w:p>
        </w:tc>
      </w:tr>
      <w:tr w:rsidR="00AF5238" w:rsidRPr="00AF5238" w14:paraId="4AF8201F" w14:textId="77777777" w:rsidTr="00AF5238">
        <w:tc>
          <w:tcPr>
            <w:tcW w:w="846" w:type="dxa"/>
          </w:tcPr>
          <w:p w14:paraId="4B62C354"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Fecha de desclasificación</w:t>
            </w:r>
          </w:p>
        </w:tc>
        <w:tc>
          <w:tcPr>
            <w:tcW w:w="3568" w:type="dxa"/>
          </w:tcPr>
          <w:p w14:paraId="26EC560B"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anotará la fecha en que se desclasifica el documento.</w:t>
            </w:r>
          </w:p>
        </w:tc>
        <w:tc>
          <w:tcPr>
            <w:tcW w:w="968" w:type="dxa"/>
          </w:tcPr>
          <w:p w14:paraId="53ADA662"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Rúbrica del titular del área</w:t>
            </w:r>
          </w:p>
        </w:tc>
        <w:tc>
          <w:tcPr>
            <w:tcW w:w="3446" w:type="dxa"/>
          </w:tcPr>
          <w:p w14:paraId="47D4D4E5"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autógrafa de quien clasifica.</w:t>
            </w:r>
          </w:p>
        </w:tc>
      </w:tr>
      <w:tr w:rsidR="00AF5238" w:rsidRPr="00AF5238" w14:paraId="3F9E3CE6" w14:textId="77777777" w:rsidTr="00AF5238">
        <w:tc>
          <w:tcPr>
            <w:tcW w:w="846" w:type="dxa"/>
          </w:tcPr>
          <w:p w14:paraId="2BF51151"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y cargo del servidor público</w:t>
            </w:r>
          </w:p>
        </w:tc>
        <w:tc>
          <w:tcPr>
            <w:tcW w:w="3568" w:type="dxa"/>
          </w:tcPr>
          <w:p w14:paraId="73A611E9"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autógrafa de quien desclasifica.</w:t>
            </w:r>
          </w:p>
        </w:tc>
        <w:tc>
          <w:tcPr>
            <w:tcW w:w="968" w:type="dxa"/>
          </w:tcPr>
          <w:p w14:paraId="450A0E68"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Fecha de desclasificación</w:t>
            </w:r>
          </w:p>
        </w:tc>
        <w:tc>
          <w:tcPr>
            <w:tcW w:w="3446" w:type="dxa"/>
          </w:tcPr>
          <w:p w14:paraId="2DD781E0"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Se anotará la fecha en que se desclasifica.</w:t>
            </w:r>
          </w:p>
        </w:tc>
      </w:tr>
      <w:tr w:rsidR="00AF5238" w:rsidRPr="00AF5238" w14:paraId="57FDBD0D" w14:textId="77777777" w:rsidTr="00AF5238">
        <w:tc>
          <w:tcPr>
            <w:tcW w:w="846" w:type="dxa"/>
          </w:tcPr>
          <w:p w14:paraId="34932B2E"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p>
        </w:tc>
        <w:tc>
          <w:tcPr>
            <w:tcW w:w="3568" w:type="dxa"/>
          </w:tcPr>
          <w:p w14:paraId="0CEC6592"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p>
        </w:tc>
        <w:tc>
          <w:tcPr>
            <w:tcW w:w="968" w:type="dxa"/>
          </w:tcPr>
          <w:p w14:paraId="64014E0E"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Partes o secciones reservadas o confidenciales</w:t>
            </w:r>
          </w:p>
        </w:tc>
        <w:tc>
          <w:tcPr>
            <w:tcW w:w="3446" w:type="dxa"/>
          </w:tcPr>
          <w:p w14:paraId="211C5BE2"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En caso que una vez desclasificado el expediente, subsistan partes o secciones del mismo reservadas o confidenciales, se señalará este hecho.</w:t>
            </w:r>
          </w:p>
        </w:tc>
      </w:tr>
      <w:tr w:rsidR="00AF5238" w:rsidRPr="00AF5238" w14:paraId="45799E78" w14:textId="77777777" w:rsidTr="00AF5238">
        <w:tc>
          <w:tcPr>
            <w:tcW w:w="846" w:type="dxa"/>
          </w:tcPr>
          <w:p w14:paraId="3C4A6E4B"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p>
        </w:tc>
        <w:tc>
          <w:tcPr>
            <w:tcW w:w="3568" w:type="dxa"/>
          </w:tcPr>
          <w:p w14:paraId="0E761388"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p>
        </w:tc>
        <w:tc>
          <w:tcPr>
            <w:tcW w:w="968" w:type="dxa"/>
          </w:tcPr>
          <w:p w14:paraId="62D80B8A" w14:textId="77777777" w:rsidR="00AF5238" w:rsidRPr="00AF5238" w:rsidRDefault="00AF5238" w:rsidP="00AF5238">
            <w:pPr>
              <w:spacing w:after="160" w:line="259" w:lineRule="auto"/>
              <w:jc w:val="both"/>
              <w:rPr>
                <w:rFonts w:ascii="Palatino Linotype" w:eastAsia="Palatino Linotype" w:hAnsi="Palatino Linotype" w:cs="Palatino Linotype"/>
                <w:b/>
                <w:sz w:val="12"/>
                <w:szCs w:val="12"/>
                <w:lang w:val="es-MX" w:eastAsia="es-MX"/>
              </w:rPr>
            </w:pPr>
            <w:r w:rsidRPr="00AF5238">
              <w:rPr>
                <w:rFonts w:ascii="Palatino Linotype" w:eastAsia="Palatino Linotype" w:hAnsi="Palatino Linotype" w:cs="Palatino Linotype"/>
                <w:b/>
                <w:sz w:val="12"/>
                <w:szCs w:val="12"/>
                <w:lang w:val="es-MX" w:eastAsia="es-MX"/>
              </w:rPr>
              <w:t>Rúbrica y cargo del servidor público</w:t>
            </w:r>
          </w:p>
        </w:tc>
        <w:tc>
          <w:tcPr>
            <w:tcW w:w="3446" w:type="dxa"/>
          </w:tcPr>
          <w:p w14:paraId="153FA3BF" w14:textId="77777777" w:rsidR="00AF5238" w:rsidRPr="00AF5238" w:rsidRDefault="00AF5238" w:rsidP="00AF5238">
            <w:pPr>
              <w:spacing w:after="160" w:line="259" w:lineRule="auto"/>
              <w:jc w:val="both"/>
              <w:rPr>
                <w:rFonts w:ascii="Palatino Linotype" w:eastAsia="Palatino Linotype" w:hAnsi="Palatino Linotype" w:cs="Palatino Linotype"/>
                <w:sz w:val="12"/>
                <w:szCs w:val="12"/>
                <w:lang w:val="es-MX" w:eastAsia="es-MX"/>
              </w:rPr>
            </w:pPr>
            <w:r w:rsidRPr="00AF5238">
              <w:rPr>
                <w:rFonts w:ascii="Palatino Linotype" w:eastAsia="Palatino Linotype" w:hAnsi="Palatino Linotype" w:cs="Palatino Linotype"/>
                <w:sz w:val="12"/>
                <w:szCs w:val="12"/>
                <w:lang w:val="es-MX" w:eastAsia="es-MX"/>
              </w:rPr>
              <w:t>Rúbrica autógrafa de quien desclasifica.</w:t>
            </w:r>
          </w:p>
        </w:tc>
      </w:tr>
    </w:tbl>
    <w:p w14:paraId="65C13164" w14:textId="77777777" w:rsidR="003C28EC" w:rsidRDefault="00C84742">
      <w:pPr>
        <w:spacing w:before="240" w:after="240" w:line="360" w:lineRule="auto"/>
        <w:jc w:val="both"/>
      </w:pPr>
      <w:r>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F90B453" w14:textId="77777777" w:rsidR="003C28EC" w:rsidRDefault="00C84742">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2D62BCAE"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el recurrente en el Recurso de Revisión </w:t>
      </w:r>
      <w:r>
        <w:rPr>
          <w:rFonts w:ascii="Palatino Linotype" w:eastAsia="Palatino Linotype" w:hAnsi="Palatino Linotype" w:cs="Palatino Linotype"/>
          <w:b/>
        </w:rPr>
        <w:t xml:space="preserve">05519/INFOEM/IP/RR/2022,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3FED2199" w14:textId="77777777" w:rsidR="003C28EC" w:rsidRDefault="00C8474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 Cuarto y Quinto</w:t>
      </w:r>
      <w:r>
        <w:rPr>
          <w:rFonts w:ascii="Palatino Linotype" w:eastAsia="Palatino Linotype" w:hAnsi="Palatino Linotype" w:cs="Palatino Linotype"/>
        </w:rPr>
        <w:t>, haga entrega vía SAIMEX, en versión pública, de lo siguiente:</w:t>
      </w:r>
    </w:p>
    <w:p w14:paraId="072EC1E1" w14:textId="77777777" w:rsidR="003C28EC" w:rsidRDefault="00C84742" w:rsidP="00645615">
      <w:pPr>
        <w:numPr>
          <w:ilvl w:val="0"/>
          <w:numId w:val="6"/>
        </w:numPr>
        <w:pBdr>
          <w:top w:val="nil"/>
          <w:left w:val="nil"/>
          <w:bottom w:val="nil"/>
          <w:right w:val="nil"/>
          <w:between w:val="nil"/>
        </w:pBdr>
        <w:spacing w:before="240" w:after="240" w:line="276" w:lineRule="auto"/>
        <w:ind w:left="567" w:right="1134"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Recibos de nómina correspondientes a la primera y segunda quincena de los meses de enero y febrero de 2022, del Presidente Municipal, Síndico Municipal, Regidores, Secretario Del Ayuntamiento, Coordinadores, Directores, Subdirectores y Jefes de área.</w:t>
      </w:r>
    </w:p>
    <w:p w14:paraId="27D0794E" w14:textId="77777777" w:rsidR="003C28EC" w:rsidRDefault="00C84742">
      <w:pPr>
        <w:spacing w:before="240" w:line="276" w:lineRule="auto"/>
        <w:ind w:left="567" w:right="1134"/>
        <w:jc w:val="both"/>
        <w:rPr>
          <w:rFonts w:ascii="Palatino Linotype" w:eastAsia="Palatino Linotype" w:hAnsi="Palatino Linotype" w:cs="Palatino Linotype"/>
          <w:sz w:val="28"/>
          <w:szCs w:val="28"/>
        </w:rPr>
      </w:pPr>
      <w:r>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r>
        <w:rPr>
          <w:rFonts w:ascii="Palatino Linotype" w:eastAsia="Palatino Linotype" w:hAnsi="Palatino Linotype" w:cs="Palatino Linotype"/>
          <w:sz w:val="28"/>
          <w:szCs w:val="28"/>
        </w:rPr>
        <w:t xml:space="preserve"> </w:t>
      </w:r>
    </w:p>
    <w:p w14:paraId="03CA7164" w14:textId="77777777" w:rsidR="003C28EC" w:rsidRDefault="00C84742">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1" w:name="_heading=h.gjdgxs" w:colFirst="0" w:colLast="0"/>
      <w:bookmarkEnd w:id="1"/>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086CCAD2"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AD8453" w14:textId="77777777" w:rsidR="003C28EC" w:rsidRDefault="00C8474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BBA3A2C" w14:textId="77777777" w:rsidR="003C28EC" w:rsidRDefault="00C84742">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20C0C">
        <w:rPr>
          <w:rFonts w:ascii="Palatino Linotype" w:eastAsia="Palatino Linotype" w:hAnsi="Palatino Linotype" w:cs="Palatino Linotype"/>
          <w:color w:val="222222"/>
          <w:highlight w:val="white"/>
        </w:rPr>
        <w:t xml:space="preserve"> (AUSENCIA JUSTIFICADA);</w:t>
      </w:r>
      <w:r>
        <w:rPr>
          <w:rFonts w:ascii="Palatino Linotype" w:eastAsia="Palatino Linotype" w:hAnsi="Palatino Linotype" w:cs="Palatino Linotype"/>
          <w:color w:val="222222"/>
          <w:highlight w:val="white"/>
        </w:rPr>
        <w:t xml:space="preserve"> LUIS GUSTAVO PARRA NORIEGA Y GUADALUPE RAMÍREZ PEÑA; EN LA VIGÉSIMO QUINTA SESIÓN ORDINARIA CELEBRADA EL SEIS</w:t>
      </w:r>
      <w:r>
        <w:rPr>
          <w:rFonts w:ascii="Palatino Linotype" w:eastAsia="Palatino Linotype" w:hAnsi="Palatino Linotype" w:cs="Palatino Linotype"/>
        </w:rPr>
        <w:t xml:space="preserve"> DE JULIO DEL DOS MIL VEINTIDÓS, ANTE EL SECRETARIO TÉCNICO DEL PLENO ALEXIS TAPIA RAMÍREZ.</w:t>
      </w:r>
      <w:r>
        <w:rPr>
          <w:noProof/>
          <w:lang w:val="es-MX" w:eastAsia="es-MX"/>
        </w:rPr>
        <mc:AlternateContent>
          <mc:Choice Requires="wpg">
            <w:drawing>
              <wp:anchor distT="0" distB="0" distL="114300" distR="114300" simplePos="0" relativeHeight="251658240" behindDoc="0" locked="0" layoutInCell="1" hidden="0" allowOverlap="1" wp14:anchorId="2C239897" wp14:editId="6CA19E16">
                <wp:simplePos x="0" y="0"/>
                <wp:positionH relativeFrom="column">
                  <wp:posOffset>101601</wp:posOffset>
                </wp:positionH>
                <wp:positionV relativeFrom="paragraph">
                  <wp:posOffset>2743200</wp:posOffset>
                </wp:positionV>
                <wp:extent cx="5603875" cy="3895725"/>
                <wp:effectExtent l="0" t="0" r="0" b="0"/>
                <wp:wrapNone/>
                <wp:docPr id="20" name="Conector recto de flecha 20"/>
                <wp:cNvGraphicFramePr/>
                <a:graphic xmlns:a="http://schemas.openxmlformats.org/drawingml/2006/main">
                  <a:graphicData uri="http://schemas.microsoft.com/office/word/2010/wordprocessingShape">
                    <wps:wsp>
                      <wps:cNvCnPr/>
                      <wps:spPr>
                        <a:xfrm>
                          <a:off x="2548825" y="1836900"/>
                          <a:ext cx="5594350" cy="38862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2743200</wp:posOffset>
                </wp:positionV>
                <wp:extent cx="5603875" cy="3895725"/>
                <wp:effectExtent b="0" l="0" r="0" t="0"/>
                <wp:wrapNone/>
                <wp:docPr id="2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603875" cy="3895725"/>
                        </a:xfrm>
                        <a:prstGeom prst="rect"/>
                        <a:ln/>
                      </pic:spPr>
                    </pic:pic>
                  </a:graphicData>
                </a:graphic>
              </wp:anchor>
            </w:drawing>
          </mc:Fallback>
        </mc:AlternateContent>
      </w:r>
    </w:p>
    <w:p w14:paraId="2256718B" w14:textId="77777777" w:rsidR="003C28EC" w:rsidRDefault="003C28EC">
      <w:pPr>
        <w:spacing w:before="240" w:after="240" w:line="360" w:lineRule="auto"/>
        <w:jc w:val="both"/>
        <w:rPr>
          <w:rFonts w:ascii="Palatino Linotype" w:eastAsia="Palatino Linotype" w:hAnsi="Palatino Linotype" w:cs="Palatino Linotype"/>
        </w:rPr>
        <w:sectPr w:rsidR="003C28EC">
          <w:headerReference w:type="default" r:id="rId15"/>
          <w:footerReference w:type="default" r:id="rId16"/>
          <w:headerReference w:type="first" r:id="rId17"/>
          <w:footerReference w:type="first" r:id="rId18"/>
          <w:pgSz w:w="12240" w:h="15840"/>
          <w:pgMar w:top="2041" w:right="1467" w:bottom="1701" w:left="1701" w:header="709" w:footer="709" w:gutter="0"/>
          <w:pgNumType w:start="1"/>
          <w:cols w:space="720"/>
          <w:titlePg/>
        </w:sectPr>
      </w:pPr>
    </w:p>
    <w:p w14:paraId="694EA6E1" w14:textId="77777777" w:rsidR="003C28EC" w:rsidRDefault="003C28EC">
      <w:pPr>
        <w:spacing w:before="240" w:after="240" w:line="360" w:lineRule="auto"/>
        <w:jc w:val="both"/>
        <w:rPr>
          <w:rFonts w:ascii="Palatino Linotype" w:eastAsia="Palatino Linotype" w:hAnsi="Palatino Linotype" w:cs="Palatino Linotype"/>
        </w:rPr>
      </w:pPr>
    </w:p>
    <w:p w14:paraId="0964E739" w14:textId="77777777" w:rsidR="003C28EC" w:rsidRDefault="003C28EC"/>
    <w:sectPr w:rsidR="003C28EC">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59E80" w14:textId="77777777" w:rsidR="00C46B88" w:rsidRDefault="00C46B88">
      <w:r>
        <w:separator/>
      </w:r>
    </w:p>
  </w:endnote>
  <w:endnote w:type="continuationSeparator" w:id="0">
    <w:p w14:paraId="362588EE" w14:textId="77777777" w:rsidR="00C46B88" w:rsidRDefault="00C4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B06BA" w14:textId="77777777" w:rsidR="00AF5238" w:rsidRDefault="00AF52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05C3E">
      <w:rPr>
        <w:rFonts w:ascii="Arial" w:eastAsia="Arial" w:hAnsi="Arial" w:cs="Arial"/>
        <w:b/>
        <w:noProof/>
        <w:color w:val="000000"/>
        <w:sz w:val="20"/>
        <w:szCs w:val="20"/>
      </w:rPr>
      <w:t>63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05C3E">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31CDD487" w14:textId="77777777" w:rsidR="00AF5238" w:rsidRDefault="00AF5238">
    <w:pPr>
      <w:pBdr>
        <w:top w:val="nil"/>
        <w:left w:val="nil"/>
        <w:bottom w:val="nil"/>
        <w:right w:val="nil"/>
        <w:between w:val="nil"/>
      </w:pBdr>
      <w:tabs>
        <w:tab w:val="center" w:pos="4252"/>
        <w:tab w:val="right" w:pos="8504"/>
      </w:tabs>
      <w:rPr>
        <w:color w:val="000000"/>
      </w:rPr>
    </w:pPr>
  </w:p>
  <w:p w14:paraId="405F1968" w14:textId="77777777" w:rsidR="00AF5238" w:rsidRDefault="00AF523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E3700" w14:textId="77777777" w:rsidR="00AF5238" w:rsidRDefault="00AF52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05C3E">
      <w:rPr>
        <w:rFonts w:ascii="Arial" w:eastAsia="Arial" w:hAnsi="Arial" w:cs="Arial"/>
        <w:b/>
        <w:noProof/>
        <w:color w:val="000000"/>
        <w:sz w:val="20"/>
        <w:szCs w:val="20"/>
      </w:rPr>
      <w:t>64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05C3E">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14:paraId="2610B5BF" w14:textId="77777777" w:rsidR="00AF5238" w:rsidRDefault="00AF523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27776" w14:textId="77777777" w:rsidR="00C46B88" w:rsidRDefault="00C46B88">
      <w:r>
        <w:separator/>
      </w:r>
    </w:p>
  </w:footnote>
  <w:footnote w:type="continuationSeparator" w:id="0">
    <w:p w14:paraId="00B9D4BB" w14:textId="77777777" w:rsidR="00C46B88" w:rsidRDefault="00C46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54BC6" w14:textId="77777777" w:rsidR="00AF5238" w:rsidRDefault="00AF5238">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1760124" wp14:editId="5716A8F4">
          <wp:simplePos x="0" y="0"/>
          <wp:positionH relativeFrom="column">
            <wp:posOffset>-1142999</wp:posOffset>
          </wp:positionH>
          <wp:positionV relativeFrom="paragraph">
            <wp:posOffset>-433068</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70" w:type="dxa"/>
      <w:tblInd w:w="3261" w:type="dxa"/>
      <w:tblLayout w:type="fixed"/>
      <w:tblLook w:val="0400" w:firstRow="0" w:lastRow="0" w:firstColumn="0" w:lastColumn="0" w:noHBand="0" w:noVBand="1"/>
    </w:tblPr>
    <w:tblGrid>
      <w:gridCol w:w="2551"/>
      <w:gridCol w:w="3119"/>
    </w:tblGrid>
    <w:tr w:rsidR="00AF5238" w14:paraId="6450D4EE" w14:textId="77777777">
      <w:tc>
        <w:tcPr>
          <w:tcW w:w="2551" w:type="dxa"/>
          <w:vAlign w:val="center"/>
        </w:tcPr>
        <w:p w14:paraId="3B78D4F4" w14:textId="77777777" w:rsidR="00AF5238" w:rsidRDefault="00AF52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58E6F4E" w14:textId="77777777" w:rsidR="00AF5238" w:rsidRDefault="00AF52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05519/INFOEM/IP/RR/2022</w:t>
          </w:r>
        </w:p>
      </w:tc>
    </w:tr>
    <w:tr w:rsidR="00AF5238" w14:paraId="75D93F2C" w14:textId="77777777">
      <w:trPr>
        <w:trHeight w:val="228"/>
      </w:trPr>
      <w:tc>
        <w:tcPr>
          <w:tcW w:w="2551" w:type="dxa"/>
          <w:vAlign w:val="center"/>
        </w:tcPr>
        <w:p w14:paraId="0C05A740" w14:textId="77777777" w:rsidR="00AF5238" w:rsidRDefault="00AF52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FEDEE3B" w14:textId="77777777" w:rsidR="00AF5238" w:rsidRDefault="00AF52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Martín de las Pirámides</w:t>
          </w:r>
        </w:p>
      </w:tc>
    </w:tr>
    <w:tr w:rsidR="00AF5238" w14:paraId="0CE68086" w14:textId="77777777">
      <w:tc>
        <w:tcPr>
          <w:tcW w:w="2551" w:type="dxa"/>
          <w:vAlign w:val="center"/>
        </w:tcPr>
        <w:p w14:paraId="2A5970D9" w14:textId="77777777" w:rsidR="00AF5238" w:rsidRDefault="00AF52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44B0408" w14:textId="77777777" w:rsidR="00AF5238" w:rsidRDefault="00AF523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DD5173" w14:textId="77777777" w:rsidR="00AF5238" w:rsidRDefault="00AF523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8D58F" w14:textId="77777777" w:rsidR="00AF5238" w:rsidRDefault="00AF523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B5C819E" wp14:editId="46E5503B">
          <wp:simplePos x="0" y="0"/>
          <wp:positionH relativeFrom="column">
            <wp:posOffset>-846159</wp:posOffset>
          </wp:positionH>
          <wp:positionV relativeFrom="paragraph">
            <wp:posOffset>-171230</wp:posOffset>
          </wp:positionV>
          <wp:extent cx="7809876" cy="101658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6237" w:type="dxa"/>
      <w:tblInd w:w="3119" w:type="dxa"/>
      <w:tblLayout w:type="fixed"/>
      <w:tblLook w:val="0400" w:firstRow="0" w:lastRow="0" w:firstColumn="0" w:lastColumn="0" w:noHBand="0" w:noVBand="1"/>
    </w:tblPr>
    <w:tblGrid>
      <w:gridCol w:w="2551"/>
      <w:gridCol w:w="3686"/>
    </w:tblGrid>
    <w:tr w:rsidR="00AF5238" w14:paraId="1213CA94" w14:textId="77777777">
      <w:tc>
        <w:tcPr>
          <w:tcW w:w="2551" w:type="dxa"/>
          <w:vAlign w:val="center"/>
        </w:tcPr>
        <w:p w14:paraId="14D57970" w14:textId="77777777" w:rsidR="00AF5238" w:rsidRDefault="00AF52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vAlign w:val="center"/>
        </w:tcPr>
        <w:p w14:paraId="5CA070CA" w14:textId="77777777" w:rsidR="00AF5238" w:rsidRDefault="00AF52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05519/INFOEM/IP/RR/2022</w:t>
          </w:r>
        </w:p>
      </w:tc>
    </w:tr>
    <w:tr w:rsidR="00AF5238" w14:paraId="55F46324" w14:textId="77777777">
      <w:tc>
        <w:tcPr>
          <w:tcW w:w="2551" w:type="dxa"/>
          <w:vAlign w:val="center"/>
        </w:tcPr>
        <w:p w14:paraId="1C4F5766" w14:textId="77777777" w:rsidR="00AF5238" w:rsidRDefault="00AF523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vAlign w:val="center"/>
        </w:tcPr>
        <w:p w14:paraId="2AD8B069" w14:textId="3CA932B7" w:rsidR="00AF5238" w:rsidRDefault="00B05C3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 XXX XX XXX</w:t>
          </w:r>
        </w:p>
      </w:tc>
    </w:tr>
    <w:tr w:rsidR="00AF5238" w14:paraId="4DB70B3C" w14:textId="77777777">
      <w:trPr>
        <w:trHeight w:val="228"/>
      </w:trPr>
      <w:tc>
        <w:tcPr>
          <w:tcW w:w="2551" w:type="dxa"/>
          <w:vAlign w:val="center"/>
        </w:tcPr>
        <w:p w14:paraId="1B8C425C" w14:textId="77777777" w:rsidR="00AF5238" w:rsidRDefault="002736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AF5238">
            <w:rPr>
              <w:rFonts w:ascii="Palatino Linotype" w:eastAsia="Palatino Linotype" w:hAnsi="Palatino Linotype" w:cs="Palatino Linotype"/>
              <w:b/>
              <w:sz w:val="22"/>
              <w:szCs w:val="22"/>
            </w:rPr>
            <w:t>bligado:</w:t>
          </w:r>
        </w:p>
      </w:tc>
      <w:tc>
        <w:tcPr>
          <w:tcW w:w="3686" w:type="dxa"/>
          <w:vAlign w:val="center"/>
        </w:tcPr>
        <w:p w14:paraId="6EDA7493" w14:textId="77777777" w:rsidR="00AF5238" w:rsidRDefault="00AF523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Martín de las Pirámides</w:t>
          </w:r>
        </w:p>
      </w:tc>
    </w:tr>
    <w:tr w:rsidR="00AF5238" w14:paraId="07123FEE" w14:textId="77777777">
      <w:tc>
        <w:tcPr>
          <w:tcW w:w="2551" w:type="dxa"/>
          <w:vAlign w:val="center"/>
        </w:tcPr>
        <w:p w14:paraId="0236E2EE" w14:textId="77777777" w:rsidR="00AF5238" w:rsidRDefault="002736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AF5238">
            <w:rPr>
              <w:rFonts w:ascii="Palatino Linotype" w:eastAsia="Palatino Linotype" w:hAnsi="Palatino Linotype" w:cs="Palatino Linotype"/>
              <w:b/>
              <w:sz w:val="22"/>
              <w:szCs w:val="22"/>
            </w:rPr>
            <w:t>onente:</w:t>
          </w:r>
        </w:p>
      </w:tc>
      <w:tc>
        <w:tcPr>
          <w:tcW w:w="3686" w:type="dxa"/>
          <w:vAlign w:val="center"/>
        </w:tcPr>
        <w:p w14:paraId="0EAC67AE" w14:textId="77777777" w:rsidR="00AF5238" w:rsidRDefault="00AF523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2B3D0A" w14:textId="77777777" w:rsidR="00AF5238" w:rsidRDefault="00AF523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1BC0E" w14:textId="77777777" w:rsidR="00AF5238" w:rsidRDefault="00AF5238">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34857A6" w14:textId="77777777" w:rsidR="00AF5238" w:rsidRDefault="00AF523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0DBB"/>
    <w:multiLevelType w:val="multilevel"/>
    <w:tmpl w:val="DB387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39C503C5"/>
    <w:multiLevelType w:val="multilevel"/>
    <w:tmpl w:val="74AC7F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F426F6"/>
    <w:multiLevelType w:val="multilevel"/>
    <w:tmpl w:val="DDB06826"/>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D9C411D"/>
    <w:multiLevelType w:val="multilevel"/>
    <w:tmpl w:val="8D9E5C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72EA4836"/>
    <w:multiLevelType w:val="multilevel"/>
    <w:tmpl w:val="2B3AA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B195283"/>
    <w:multiLevelType w:val="multilevel"/>
    <w:tmpl w:val="4322C84E"/>
    <w:lvl w:ilvl="0">
      <w:start w:val="1"/>
      <w:numFmt w:val="upperRoman"/>
      <w:lvlText w:val="%1."/>
      <w:lvlJc w:val="left"/>
      <w:pPr>
        <w:ind w:left="1489" w:hanging="720"/>
      </w:p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4"/>
  </w:num>
  <w:num w:numId="3">
    <w:abstractNumId w:val="3"/>
  </w:num>
  <w:num w:numId="4">
    <w:abstractNumId w:val="5"/>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8EC"/>
    <w:rsid w:val="000C11A6"/>
    <w:rsid w:val="00220C0C"/>
    <w:rsid w:val="0027362A"/>
    <w:rsid w:val="003C28EC"/>
    <w:rsid w:val="00645615"/>
    <w:rsid w:val="00AF5238"/>
    <w:rsid w:val="00B05C3E"/>
    <w:rsid w:val="00C46B88"/>
    <w:rsid w:val="00C84742"/>
    <w:rsid w:val="00F642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D8F6"/>
  <w15:docId w15:val="{E6B9CE26-634A-49B4-85D7-B1009C79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F6E"/>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6F4F6E"/>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6F4F6E"/>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6F4F6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4F6E"/>
    <w:rPr>
      <w:rFonts w:eastAsiaTheme="minorEastAsia"/>
      <w:sz w:val="24"/>
      <w:szCs w:val="24"/>
      <w:lang w:val="es-ES_tradnl" w:eastAsia="es-ES"/>
    </w:rPr>
  </w:style>
  <w:style w:type="paragraph" w:styleId="Piedepgina">
    <w:name w:val="footer"/>
    <w:basedOn w:val="Normal"/>
    <w:link w:val="PiedepginaCar"/>
    <w:uiPriority w:val="99"/>
    <w:unhideWhenUsed/>
    <w:rsid w:val="006F4F6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4F6E"/>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4F6E"/>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4F6E"/>
    <w:pPr>
      <w:ind w:left="708"/>
    </w:pPr>
    <w:rPr>
      <w:sz w:val="22"/>
      <w:szCs w:val="22"/>
      <w:lang w:eastAsia="en-US"/>
    </w:rPr>
  </w:style>
  <w:style w:type="table" w:styleId="Tablaconcuadrcula">
    <w:name w:val="Table Grid"/>
    <w:basedOn w:val="Tablanormal"/>
    <w:uiPriority w:val="59"/>
    <w:rsid w:val="006F4F6E"/>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6F4F6E"/>
  </w:style>
  <w:style w:type="character" w:customStyle="1" w:styleId="apple-converted-space">
    <w:name w:val="apple-converted-space"/>
    <w:basedOn w:val="Fuentedeprrafopredeter"/>
    <w:rsid w:val="006F4F6E"/>
  </w:style>
  <w:style w:type="paragraph" w:customStyle="1" w:styleId="paragraph">
    <w:name w:val="paragraph"/>
    <w:basedOn w:val="Normal"/>
    <w:rsid w:val="006F4F6E"/>
    <w:pPr>
      <w:spacing w:before="100" w:beforeAutospacing="1" w:after="100" w:afterAutospacing="1"/>
    </w:pPr>
    <w:rPr>
      <w:lang w:val="es-MX" w:eastAsia="es-MX"/>
    </w:rPr>
  </w:style>
  <w:style w:type="character" w:customStyle="1" w:styleId="eop">
    <w:name w:val="eop"/>
    <w:basedOn w:val="Fuentedeprrafopredeter"/>
    <w:rsid w:val="006F4F6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F4F6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F4F6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F4F6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6F4F6E"/>
    <w:rPr>
      <w:color w:val="0563C1" w:themeColor="hyperlink"/>
      <w:u w:val="single"/>
    </w:rPr>
  </w:style>
  <w:style w:type="paragraph" w:styleId="NormalWeb">
    <w:name w:val="Normal (Web)"/>
    <w:basedOn w:val="Normal"/>
    <w:uiPriority w:val="99"/>
    <w:unhideWhenUsed/>
    <w:rsid w:val="006F4F6E"/>
    <w:pPr>
      <w:spacing w:before="100" w:beforeAutospacing="1" w:after="100" w:afterAutospacing="1"/>
    </w:pPr>
    <w:rPr>
      <w:lang w:val="es-MX" w:eastAsia="es-MX"/>
    </w:rPr>
  </w:style>
  <w:style w:type="character" w:customStyle="1" w:styleId="titulorubro">
    <w:name w:val="titulorubro"/>
    <w:basedOn w:val="Fuentedeprrafopredeter"/>
    <w:rsid w:val="006F4F6E"/>
  </w:style>
  <w:style w:type="paragraph" w:styleId="Textoindependiente">
    <w:name w:val="Body Text"/>
    <w:basedOn w:val="Normal"/>
    <w:link w:val="TextoindependienteCar"/>
    <w:uiPriority w:val="1"/>
    <w:qFormat/>
    <w:rsid w:val="006F4F6E"/>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4F6E"/>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6F4F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4F6E"/>
    <w:rPr>
      <w:rFonts w:ascii="Segoe UI" w:eastAsia="Times New Roman" w:hAnsi="Segoe UI" w:cs="Segoe UI"/>
      <w:sz w:val="18"/>
      <w:szCs w:val="18"/>
      <w:lang w:val="es-ES" w:eastAsia="es-ES"/>
    </w:rPr>
  </w:style>
  <w:style w:type="paragraph" w:customStyle="1" w:styleId="Pa1">
    <w:name w:val="Pa1"/>
    <w:basedOn w:val="Normal"/>
    <w:next w:val="Normal"/>
    <w:uiPriority w:val="99"/>
    <w:rsid w:val="006F4F6E"/>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6F4F6E"/>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6F4F6E"/>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6F4F6E"/>
  </w:style>
  <w:style w:type="character" w:customStyle="1" w:styleId="SinespaciadoCar">
    <w:name w:val="Sin espaciado Car"/>
    <w:aliases w:val="Francesa Car"/>
    <w:link w:val="Sinespaciado"/>
    <w:uiPriority w:val="1"/>
    <w:locked/>
    <w:rsid w:val="006F4F6E"/>
  </w:style>
  <w:style w:type="table" w:styleId="Tabladelista1clara-nfasis1">
    <w:name w:val="List Table 1 Light Accent 1"/>
    <w:basedOn w:val="Tablanormal"/>
    <w:uiPriority w:val="46"/>
    <w:rsid w:val="006F4F6E"/>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6F4F6E"/>
    <w:rPr>
      <w:color w:val="954F72" w:themeColor="followedHyperlink"/>
      <w:u w:val="single"/>
    </w:rPr>
  </w:style>
  <w:style w:type="paragraph" w:customStyle="1" w:styleId="Default">
    <w:name w:val="Default"/>
    <w:rsid w:val="006F4F6E"/>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6F4F6E"/>
    <w:rPr>
      <w:b/>
      <w:bCs/>
      <w:color w:val="auto"/>
    </w:rPr>
  </w:style>
  <w:style w:type="paragraph" w:customStyle="1" w:styleId="j">
    <w:name w:val="j"/>
    <w:basedOn w:val="Normal"/>
    <w:rsid w:val="006F4F6E"/>
    <w:pPr>
      <w:spacing w:before="100" w:beforeAutospacing="1" w:after="100" w:afterAutospacing="1"/>
    </w:pPr>
    <w:rPr>
      <w:lang w:val="es-MX" w:eastAsia="es-MX"/>
    </w:rPr>
  </w:style>
  <w:style w:type="character" w:customStyle="1" w:styleId="nacep">
    <w:name w:val="n_acep"/>
    <w:basedOn w:val="Fuentedeprrafopredeter"/>
    <w:rsid w:val="006F4F6E"/>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f.gob.mx/nota_detalle.php?codigo=5492254&amp;fecha=28/07/2017"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SANMARTINDELASPIRAMIDES/art_92_viii/4.we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h0LFw0cT9xQ28taWdoDYttMRNA==">AMUW2mX+7fO20LZW8A+668hUQdScK1eW1ah1A9Yx7ppXe8vH2/zCoWlMOxDXOhin9/JfcwfEUfkvqW3bir9PXFuf2UYrkkpOMmnX5H5iUqDBtFnSpfbfZMWu7APXJOIZlXY4jxnP0Fj5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15393</Words>
  <Characters>84664</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Cuenta Microsoft</cp:lastModifiedBy>
  <cp:revision>2</cp:revision>
  <cp:lastPrinted>2022-07-08T17:37:00Z</cp:lastPrinted>
  <dcterms:created xsi:type="dcterms:W3CDTF">2022-08-03T21:10:00Z</dcterms:created>
  <dcterms:modified xsi:type="dcterms:W3CDTF">2022-08-03T21:10:00Z</dcterms:modified>
</cp:coreProperties>
</file>