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0ADF6" w14:textId="2A090F7C" w:rsidR="00D262C2" w:rsidRPr="002B71DF" w:rsidRDefault="00D262C2" w:rsidP="00D262C2">
      <w:pPr>
        <w:tabs>
          <w:tab w:val="left" w:pos="3465"/>
        </w:tabs>
        <w:spacing w:before="240" w:after="360" w:line="360" w:lineRule="auto"/>
        <w:jc w:val="both"/>
        <w:rPr>
          <w:rFonts w:ascii="Palatino Linotype" w:hAnsi="Palatino Linotype"/>
        </w:rPr>
      </w:pPr>
      <w:r w:rsidRPr="002B71DF">
        <w:rPr>
          <w:rFonts w:ascii="Palatino Linotype" w:hAnsi="Palatino Linotype"/>
        </w:rPr>
        <w:t>Resolución del Pleno del Instituto de Transparencia, Acceso a la Información Pública y Protección de Datos Personales del Estado de México y Municipios, con domicilio en Me</w:t>
      </w:r>
      <w:r w:rsidR="00385055" w:rsidRPr="002B71DF">
        <w:rPr>
          <w:rFonts w:ascii="Palatino Linotype" w:hAnsi="Palatino Linotype"/>
        </w:rPr>
        <w:t>tepec</w:t>
      </w:r>
      <w:r w:rsidR="005F45F7" w:rsidRPr="002B71DF">
        <w:rPr>
          <w:rFonts w:ascii="Palatino Linotype" w:hAnsi="Palatino Linotype"/>
        </w:rPr>
        <w:t xml:space="preserve">, Estado de México; de </w:t>
      </w:r>
      <w:r w:rsidR="00BF36FE" w:rsidRPr="002B71DF">
        <w:rPr>
          <w:rFonts w:ascii="Palatino Linotype" w:hAnsi="Palatino Linotype"/>
        </w:rPr>
        <w:t>d</w:t>
      </w:r>
      <w:r w:rsidR="00C37CD3" w:rsidRPr="002B71DF">
        <w:rPr>
          <w:rFonts w:ascii="Palatino Linotype" w:hAnsi="Palatino Linotype"/>
        </w:rPr>
        <w:t>oce</w:t>
      </w:r>
      <w:r w:rsidR="005F45F7" w:rsidRPr="002B71DF">
        <w:rPr>
          <w:rFonts w:ascii="Palatino Linotype" w:hAnsi="Palatino Linotype"/>
        </w:rPr>
        <w:t xml:space="preserve"> (</w:t>
      </w:r>
      <w:r w:rsidR="00C37CD3" w:rsidRPr="002B71DF">
        <w:rPr>
          <w:rFonts w:ascii="Palatino Linotype" w:hAnsi="Palatino Linotype"/>
        </w:rPr>
        <w:t>12</w:t>
      </w:r>
      <w:r w:rsidRPr="002B71DF">
        <w:rPr>
          <w:rFonts w:ascii="Palatino Linotype" w:hAnsi="Palatino Linotype"/>
        </w:rPr>
        <w:t xml:space="preserve">) de </w:t>
      </w:r>
      <w:r w:rsidR="00BF36FE" w:rsidRPr="002B71DF">
        <w:rPr>
          <w:rFonts w:ascii="Palatino Linotype" w:hAnsi="Palatino Linotype"/>
        </w:rPr>
        <w:t>octubre</w:t>
      </w:r>
      <w:r w:rsidR="005F45F7" w:rsidRPr="002B71DF">
        <w:rPr>
          <w:rFonts w:ascii="Palatino Linotype" w:hAnsi="Palatino Linotype"/>
        </w:rPr>
        <w:t xml:space="preserve"> de dos mil veintidós</w:t>
      </w:r>
      <w:r w:rsidRPr="002B71DF">
        <w:rPr>
          <w:rFonts w:ascii="Palatino Linotype" w:hAnsi="Palatino Linotype"/>
        </w:rPr>
        <w:t>.</w:t>
      </w:r>
    </w:p>
    <w:p w14:paraId="31FEB299" w14:textId="45A68808" w:rsidR="00D262C2" w:rsidRPr="002B71DF" w:rsidRDefault="00D262C2" w:rsidP="00D262C2">
      <w:pPr>
        <w:spacing w:before="240" w:after="360" w:line="360" w:lineRule="auto"/>
        <w:jc w:val="both"/>
        <w:rPr>
          <w:rFonts w:ascii="Palatino Linotype" w:hAnsi="Palatino Linotype"/>
          <w:b/>
        </w:rPr>
      </w:pPr>
      <w:r w:rsidRPr="002B71DF">
        <w:rPr>
          <w:rFonts w:ascii="Palatino Linotype" w:hAnsi="Palatino Linotype"/>
          <w:b/>
        </w:rPr>
        <w:t>VISTO</w:t>
      </w:r>
      <w:r w:rsidRPr="002B71DF">
        <w:rPr>
          <w:rFonts w:ascii="Palatino Linotype" w:hAnsi="Palatino Linotype"/>
        </w:rPr>
        <w:t xml:space="preserve"> el expediente electrónico formado con motivo del recurso de revisión </w:t>
      </w:r>
      <w:r w:rsidR="00BF36FE" w:rsidRPr="002B71DF">
        <w:rPr>
          <w:rFonts w:ascii="Palatino Linotype" w:hAnsi="Palatino Linotype"/>
          <w:b/>
        </w:rPr>
        <w:t>0</w:t>
      </w:r>
      <w:r w:rsidR="002C62C4" w:rsidRPr="002B71DF">
        <w:rPr>
          <w:rFonts w:ascii="Palatino Linotype" w:hAnsi="Palatino Linotype"/>
          <w:b/>
        </w:rPr>
        <w:t>1863</w:t>
      </w:r>
      <w:r w:rsidR="00B4318F" w:rsidRPr="002B71DF">
        <w:rPr>
          <w:rFonts w:ascii="Palatino Linotype" w:hAnsi="Palatino Linotype"/>
          <w:b/>
        </w:rPr>
        <w:t>/INFOEM/IP/RR/202</w:t>
      </w:r>
      <w:r w:rsidR="004D3E46" w:rsidRPr="002B71DF">
        <w:rPr>
          <w:rFonts w:ascii="Palatino Linotype" w:hAnsi="Palatino Linotype"/>
          <w:b/>
        </w:rPr>
        <w:t>2</w:t>
      </w:r>
      <w:r w:rsidRPr="002B71DF">
        <w:rPr>
          <w:rFonts w:ascii="Palatino Linotype" w:hAnsi="Palatino Linotype" w:cs="Arial"/>
          <w:b/>
          <w:bCs/>
        </w:rPr>
        <w:t xml:space="preserve">; </w:t>
      </w:r>
      <w:r w:rsidR="00577A5A" w:rsidRPr="002B71DF">
        <w:rPr>
          <w:rFonts w:ascii="Palatino Linotype" w:hAnsi="Palatino Linotype"/>
        </w:rPr>
        <w:t xml:space="preserve">promovido </w:t>
      </w:r>
      <w:r w:rsidR="001A6EAB" w:rsidRPr="002B71DF">
        <w:rPr>
          <w:rFonts w:ascii="Palatino Linotype" w:eastAsia="MS Mincho" w:hAnsi="Palatino Linotype"/>
        </w:rPr>
        <w:t xml:space="preserve">por </w:t>
      </w:r>
      <w:r w:rsidR="002B71DF" w:rsidRPr="002B71DF">
        <w:rPr>
          <w:rFonts w:ascii="Palatino Linotype" w:hAnsi="Palatino Linotype"/>
          <w:b/>
          <w:color w:val="000000" w:themeColor="text1"/>
        </w:rPr>
        <w:t>XXXXX XXXX XXXXX</w:t>
      </w:r>
      <w:r w:rsidR="00BF36FE" w:rsidRPr="002B71DF">
        <w:rPr>
          <w:rFonts w:ascii="Palatino Linotype" w:hAnsi="Palatino Linotype"/>
          <w:color w:val="000000" w:themeColor="text1"/>
        </w:rPr>
        <w:t xml:space="preserve">, </w:t>
      </w:r>
      <w:r w:rsidR="001A6EAB" w:rsidRPr="002B71DF">
        <w:rPr>
          <w:rFonts w:ascii="Palatino Linotype" w:hAnsi="Palatino Linotype"/>
          <w:color w:val="000000" w:themeColor="text1"/>
        </w:rPr>
        <w:t>que en lo sucesivo se le identificará como</w:t>
      </w:r>
      <w:r w:rsidR="001A6EAB" w:rsidRPr="002B71DF">
        <w:rPr>
          <w:rFonts w:ascii="Palatino Linotype" w:hAnsi="Palatino Linotype"/>
          <w:b/>
          <w:color w:val="000000" w:themeColor="text1"/>
        </w:rPr>
        <w:t xml:space="preserve"> </w:t>
      </w:r>
      <w:r w:rsidRPr="002B71DF">
        <w:rPr>
          <w:rFonts w:ascii="Palatino Linotype" w:hAnsi="Palatino Linotype" w:cs="Arial"/>
          <w:b/>
        </w:rPr>
        <w:t>RECURRENTE</w:t>
      </w:r>
      <w:r w:rsidRPr="002B71DF">
        <w:rPr>
          <w:rFonts w:ascii="Palatino Linotype" w:hAnsi="Palatino Linotype" w:cs="Arial"/>
        </w:rPr>
        <w:t>, en contra de la respuesta de</w:t>
      </w:r>
      <w:r w:rsidR="00F83CD8" w:rsidRPr="002B71DF">
        <w:rPr>
          <w:rFonts w:ascii="Palatino Linotype" w:hAnsi="Palatino Linotype" w:cs="Arial"/>
        </w:rPr>
        <w:t>l</w:t>
      </w:r>
      <w:r w:rsidRPr="002B71DF">
        <w:rPr>
          <w:rFonts w:ascii="Palatino Linotype" w:hAnsi="Palatino Linotype"/>
        </w:rPr>
        <w:t xml:space="preserve"> </w:t>
      </w:r>
      <w:r w:rsidR="00F83CD8" w:rsidRPr="002B71DF">
        <w:rPr>
          <w:rFonts w:ascii="Palatino Linotype" w:eastAsia="Calibri" w:hAnsi="Palatino Linotype" w:cs="Tahoma"/>
          <w:b/>
          <w:bCs/>
          <w:lang w:eastAsia="en-US"/>
        </w:rPr>
        <w:t xml:space="preserve">Ayuntamiento de </w:t>
      </w:r>
      <w:r w:rsidR="00BF36FE" w:rsidRPr="002B71DF">
        <w:rPr>
          <w:rFonts w:ascii="Palatino Linotype" w:eastAsia="Calibri" w:hAnsi="Palatino Linotype" w:cs="Tahoma"/>
          <w:b/>
          <w:bCs/>
          <w:lang w:eastAsia="en-US"/>
        </w:rPr>
        <w:t>Toluca</w:t>
      </w:r>
      <w:r w:rsidRPr="002B71DF">
        <w:rPr>
          <w:rFonts w:ascii="Palatino Linotype" w:hAnsi="Palatino Linotype"/>
          <w:b/>
        </w:rPr>
        <w:t xml:space="preserve">, </w:t>
      </w:r>
      <w:r w:rsidRPr="002B71DF">
        <w:rPr>
          <w:rFonts w:ascii="Palatino Linotype" w:hAnsi="Palatino Linotype"/>
        </w:rPr>
        <w:t>en lo sucesivo el</w:t>
      </w:r>
      <w:r w:rsidRPr="002B71DF">
        <w:rPr>
          <w:rFonts w:ascii="Palatino Linotype" w:hAnsi="Palatino Linotype"/>
          <w:b/>
        </w:rPr>
        <w:t xml:space="preserve"> SUJETO OBLIGADO, </w:t>
      </w:r>
      <w:r w:rsidRPr="002B71DF">
        <w:rPr>
          <w:rFonts w:ascii="Palatino Linotype" w:hAnsi="Palatino Linotype"/>
        </w:rPr>
        <w:t>se procede a dictar la presente resolución, con base en los siguientes:</w:t>
      </w:r>
    </w:p>
    <w:p w14:paraId="13167791" w14:textId="77777777" w:rsidR="00D262C2" w:rsidRPr="002B71DF" w:rsidRDefault="00D262C2" w:rsidP="00D262C2">
      <w:pPr>
        <w:pStyle w:val="Ttulo1"/>
        <w:spacing w:line="360" w:lineRule="auto"/>
        <w:jc w:val="center"/>
        <w:rPr>
          <w:rFonts w:ascii="Palatino Linotype" w:hAnsi="Palatino Linotype"/>
          <w:b/>
          <w:color w:val="auto"/>
          <w:sz w:val="24"/>
        </w:rPr>
      </w:pPr>
      <w:bookmarkStart w:id="0" w:name="_Toc461555884"/>
      <w:bookmarkStart w:id="1" w:name="_Toc466371847"/>
      <w:bookmarkStart w:id="2" w:name="_Toc81233123"/>
      <w:r w:rsidRPr="002B71DF">
        <w:rPr>
          <w:rFonts w:ascii="Palatino Linotype" w:hAnsi="Palatino Linotype"/>
          <w:b/>
          <w:color w:val="auto"/>
          <w:sz w:val="24"/>
        </w:rPr>
        <w:t>ANTECEDENTES</w:t>
      </w:r>
      <w:bookmarkEnd w:id="0"/>
      <w:bookmarkEnd w:id="1"/>
      <w:bookmarkEnd w:id="2"/>
    </w:p>
    <w:p w14:paraId="5FF5C34D" w14:textId="092321A9" w:rsidR="00D262C2" w:rsidRPr="002B71DF" w:rsidRDefault="00D262C2" w:rsidP="00D262C2">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sz w:val="24"/>
          <w:lang w:val="es-ES"/>
        </w:rPr>
      </w:pPr>
      <w:r w:rsidRPr="002B71DF">
        <w:rPr>
          <w:rFonts w:ascii="Palatino Linotype" w:eastAsia="Calibri" w:hAnsi="Palatino Linotype" w:cs="Arial"/>
          <w:sz w:val="24"/>
          <w:lang w:val="es-ES"/>
        </w:rPr>
        <w:t xml:space="preserve">El </w:t>
      </w:r>
      <w:r w:rsidR="00BF36FE" w:rsidRPr="002B71DF">
        <w:rPr>
          <w:rFonts w:ascii="Palatino Linotype" w:eastAsia="Calibri" w:hAnsi="Palatino Linotype" w:cs="Arial"/>
          <w:sz w:val="24"/>
          <w:lang w:val="es-ES"/>
        </w:rPr>
        <w:t>d</w:t>
      </w:r>
      <w:r w:rsidR="002C62C4" w:rsidRPr="002B71DF">
        <w:rPr>
          <w:rFonts w:ascii="Palatino Linotype" w:eastAsia="Calibri" w:hAnsi="Palatino Linotype" w:cs="Arial"/>
          <w:sz w:val="24"/>
          <w:lang w:val="es-ES"/>
        </w:rPr>
        <w:t xml:space="preserve">os </w:t>
      </w:r>
      <w:r w:rsidR="005F45F7" w:rsidRPr="002B71DF">
        <w:rPr>
          <w:rFonts w:ascii="Palatino Linotype" w:eastAsia="Calibri" w:hAnsi="Palatino Linotype" w:cs="Arial"/>
          <w:sz w:val="24"/>
          <w:lang w:val="es-ES"/>
        </w:rPr>
        <w:t>(</w:t>
      </w:r>
      <w:r w:rsidR="002C62C4" w:rsidRPr="002B71DF">
        <w:rPr>
          <w:rFonts w:ascii="Palatino Linotype" w:eastAsia="Calibri" w:hAnsi="Palatino Linotype" w:cs="Arial"/>
          <w:sz w:val="24"/>
          <w:lang w:val="es-ES"/>
        </w:rPr>
        <w:t>02</w:t>
      </w:r>
      <w:r w:rsidR="00385055" w:rsidRPr="002B71DF">
        <w:rPr>
          <w:rFonts w:ascii="Palatino Linotype" w:eastAsia="Calibri" w:hAnsi="Palatino Linotype" w:cs="Arial"/>
          <w:sz w:val="24"/>
          <w:lang w:val="es-ES"/>
        </w:rPr>
        <w:t xml:space="preserve">) de </w:t>
      </w:r>
      <w:r w:rsidR="002C62C4" w:rsidRPr="002B71DF">
        <w:rPr>
          <w:rFonts w:ascii="Palatino Linotype" w:eastAsia="Calibri" w:hAnsi="Palatino Linotype" w:cs="Arial"/>
          <w:sz w:val="24"/>
          <w:lang w:val="es-ES"/>
        </w:rPr>
        <w:t>febrero</w:t>
      </w:r>
      <w:r w:rsidR="00A840AB" w:rsidRPr="002B71DF">
        <w:rPr>
          <w:rFonts w:ascii="Palatino Linotype" w:eastAsia="Calibri" w:hAnsi="Palatino Linotype" w:cs="Arial"/>
          <w:sz w:val="24"/>
          <w:lang w:val="es-ES"/>
        </w:rPr>
        <w:t xml:space="preserve"> de dos mil veinti</w:t>
      </w:r>
      <w:r w:rsidR="00067992" w:rsidRPr="002B71DF">
        <w:rPr>
          <w:rFonts w:ascii="Palatino Linotype" w:eastAsia="Calibri" w:hAnsi="Palatino Linotype" w:cs="Arial"/>
          <w:sz w:val="24"/>
          <w:lang w:val="es-ES"/>
        </w:rPr>
        <w:t>dós</w:t>
      </w:r>
      <w:r w:rsidRPr="002B71DF">
        <w:rPr>
          <w:rFonts w:ascii="Palatino Linotype" w:hAnsi="Palatino Linotype"/>
          <w:b/>
          <w:sz w:val="24"/>
        </w:rPr>
        <w:t xml:space="preserve">, </w:t>
      </w:r>
      <w:r w:rsidRPr="002B71DF">
        <w:rPr>
          <w:rFonts w:ascii="Palatino Linotype" w:eastAsia="Calibri" w:hAnsi="Palatino Linotype" w:cs="Arial"/>
          <w:sz w:val="24"/>
          <w:lang w:val="es-ES"/>
        </w:rPr>
        <w:t xml:space="preserve">se presentó ante el </w:t>
      </w:r>
      <w:r w:rsidRPr="002B71DF">
        <w:rPr>
          <w:rFonts w:ascii="Palatino Linotype" w:eastAsia="Calibri" w:hAnsi="Palatino Linotype" w:cs="Arial"/>
          <w:b/>
          <w:sz w:val="24"/>
          <w:lang w:val="es-ES"/>
        </w:rPr>
        <w:t>SUJETO OBLIGADO</w:t>
      </w:r>
      <w:r w:rsidRPr="002B71DF">
        <w:rPr>
          <w:rFonts w:ascii="Palatino Linotype" w:eastAsia="Calibri" w:hAnsi="Palatino Linotype" w:cs="Arial"/>
          <w:sz w:val="24"/>
        </w:rPr>
        <w:t xml:space="preserve"> vía </w:t>
      </w:r>
      <w:r w:rsidRPr="002B71DF">
        <w:rPr>
          <w:rFonts w:ascii="Palatino Linotype" w:eastAsia="Calibri" w:hAnsi="Palatino Linotype" w:cs="Arial"/>
          <w:sz w:val="24"/>
          <w:lang w:val="es-ES"/>
        </w:rPr>
        <w:t xml:space="preserve">Sistema de Acceso a la Información Mexiquense </w:t>
      </w:r>
      <w:r w:rsidRPr="002B71DF">
        <w:rPr>
          <w:rFonts w:ascii="Palatino Linotype" w:eastAsia="Calibri" w:hAnsi="Palatino Linotype" w:cs="Arial"/>
          <w:b/>
          <w:sz w:val="24"/>
          <w:lang w:val="es-ES"/>
        </w:rPr>
        <w:t>SAIMEX</w:t>
      </w:r>
      <w:r w:rsidRPr="002B71DF">
        <w:rPr>
          <w:rFonts w:ascii="Palatino Linotype" w:eastAsia="Calibri" w:hAnsi="Palatino Linotype" w:cs="Arial"/>
          <w:sz w:val="24"/>
          <w:lang w:val="es-ES"/>
        </w:rPr>
        <w:t xml:space="preserve">, la solicitud de información pública registrada con el número </w:t>
      </w:r>
      <w:r w:rsidR="00BF36FE" w:rsidRPr="002B71DF">
        <w:rPr>
          <w:rFonts w:ascii="Palatino Linotype" w:hAnsi="Palatino Linotype" w:cs="Arial"/>
          <w:b/>
          <w:bCs/>
          <w:sz w:val="24"/>
        </w:rPr>
        <w:t>00</w:t>
      </w:r>
      <w:r w:rsidR="002C62C4" w:rsidRPr="002B71DF">
        <w:rPr>
          <w:rFonts w:ascii="Palatino Linotype" w:hAnsi="Palatino Linotype" w:cs="Arial"/>
          <w:b/>
          <w:bCs/>
          <w:sz w:val="24"/>
        </w:rPr>
        <w:t>433</w:t>
      </w:r>
      <w:r w:rsidR="00385055" w:rsidRPr="002B71DF">
        <w:rPr>
          <w:rFonts w:ascii="Palatino Linotype" w:hAnsi="Palatino Linotype" w:cs="Arial"/>
          <w:b/>
          <w:bCs/>
          <w:sz w:val="24"/>
        </w:rPr>
        <w:t>/</w:t>
      </w:r>
      <w:r w:rsidR="00BF36FE" w:rsidRPr="002B71DF">
        <w:rPr>
          <w:rFonts w:ascii="Palatino Linotype" w:hAnsi="Palatino Linotype" w:cs="Arial"/>
          <w:b/>
          <w:bCs/>
          <w:sz w:val="24"/>
        </w:rPr>
        <w:t>TOLUC</w:t>
      </w:r>
      <w:r w:rsidR="00F83CD8" w:rsidRPr="002B71DF">
        <w:rPr>
          <w:rFonts w:ascii="Palatino Linotype" w:hAnsi="Palatino Linotype" w:cs="Arial"/>
          <w:b/>
          <w:bCs/>
          <w:sz w:val="24"/>
        </w:rPr>
        <w:t>A</w:t>
      </w:r>
      <w:r w:rsidR="00914A15" w:rsidRPr="002B71DF">
        <w:rPr>
          <w:rFonts w:ascii="Palatino Linotype" w:hAnsi="Palatino Linotype" w:cs="Arial"/>
          <w:b/>
          <w:bCs/>
          <w:sz w:val="24"/>
        </w:rPr>
        <w:t>/IP/202</w:t>
      </w:r>
      <w:r w:rsidR="00067992" w:rsidRPr="002B71DF">
        <w:rPr>
          <w:rFonts w:ascii="Palatino Linotype" w:hAnsi="Palatino Linotype" w:cs="Arial"/>
          <w:b/>
          <w:bCs/>
          <w:sz w:val="24"/>
        </w:rPr>
        <w:t>2</w:t>
      </w:r>
      <w:r w:rsidR="00914A15" w:rsidRPr="002B71DF">
        <w:rPr>
          <w:rFonts w:ascii="Palatino Linotype" w:hAnsi="Palatino Linotype" w:cs="Arial"/>
          <w:b/>
          <w:bCs/>
          <w:sz w:val="24"/>
        </w:rPr>
        <w:t xml:space="preserve"> </w:t>
      </w:r>
      <w:r w:rsidRPr="002B71DF">
        <w:rPr>
          <w:rFonts w:ascii="Palatino Linotype" w:eastAsia="Calibri" w:hAnsi="Palatino Linotype" w:cs="Arial"/>
          <w:sz w:val="24"/>
          <w:lang w:val="es-ES"/>
        </w:rPr>
        <w:t>mediante la cual solicitó:</w:t>
      </w:r>
    </w:p>
    <w:p w14:paraId="725241B4" w14:textId="77777777" w:rsidR="00D262C2" w:rsidRPr="002B71DF" w:rsidRDefault="00D262C2" w:rsidP="00067992">
      <w:pPr>
        <w:ind w:right="539"/>
        <w:jc w:val="both"/>
        <w:rPr>
          <w:rFonts w:ascii="Palatino Linotype" w:hAnsi="Palatino Linotype"/>
          <w:i/>
          <w:color w:val="000000"/>
          <w:sz w:val="22"/>
          <w:szCs w:val="22"/>
        </w:rPr>
      </w:pPr>
    </w:p>
    <w:p w14:paraId="4699E205" w14:textId="6B291005" w:rsidR="00067992" w:rsidRPr="002B71DF" w:rsidRDefault="00D262C2" w:rsidP="002C62C4">
      <w:pPr>
        <w:ind w:left="567" w:right="539"/>
        <w:jc w:val="both"/>
        <w:rPr>
          <w:rFonts w:ascii="Palatino Linotype" w:hAnsi="Palatino Linotype"/>
          <w:i/>
          <w:sz w:val="22"/>
          <w:szCs w:val="22"/>
        </w:rPr>
      </w:pPr>
      <w:r w:rsidRPr="002B71DF">
        <w:rPr>
          <w:rFonts w:ascii="Palatino Linotype" w:hAnsi="Palatino Linotype"/>
          <w:i/>
          <w:color w:val="000000"/>
          <w:sz w:val="22"/>
          <w:szCs w:val="22"/>
        </w:rPr>
        <w:t>“</w:t>
      </w:r>
      <w:r w:rsidR="002C62C4" w:rsidRPr="002B71DF">
        <w:rPr>
          <w:rFonts w:ascii="Palatino Linotype" w:hAnsi="Palatino Linotype"/>
          <w:i/>
          <w:color w:val="000000"/>
          <w:sz w:val="22"/>
          <w:szCs w:val="22"/>
        </w:rPr>
        <w:t>Requiero saber lo siguiente: 1. Cuanto dejo de deuda el alcalde Juan Rodolfo Sánchez Gómez en la administración 2006-2009 2. Cuanto dejo de deuda la alcaldesa María Elena Barrera Tapia en el administración 2009-2012 3. Cuando dejo de deuda la alcaldesa Martha Hilda Gonzalez Calderon en la administración 2013-2015 4. Cuanto dejo de deuda el alcalde Fernado Zamora Morales en la administración 2015-2018 5. Cuanto dejo de deuda el alcalde Juan. Rodolfo Sánchez Gómez en la administración 2019-2021</w:t>
      </w:r>
      <w:r w:rsidR="00BF36FE" w:rsidRPr="002B71DF">
        <w:rPr>
          <w:rFonts w:ascii="Palatino Linotype" w:hAnsi="Palatino Linotype"/>
          <w:i/>
          <w:color w:val="000000"/>
          <w:sz w:val="22"/>
          <w:szCs w:val="22"/>
        </w:rPr>
        <w:t>.”</w:t>
      </w:r>
      <w:r w:rsidR="00F83CD8" w:rsidRPr="002B71DF">
        <w:rPr>
          <w:rFonts w:ascii="Palatino Linotype" w:hAnsi="Palatino Linotype"/>
          <w:i/>
          <w:color w:val="000000"/>
          <w:sz w:val="22"/>
          <w:szCs w:val="22"/>
        </w:rPr>
        <w:t xml:space="preserve"> (Sic)</w:t>
      </w:r>
    </w:p>
    <w:p w14:paraId="2CACDD4A" w14:textId="00955BA9" w:rsidR="00D9126C" w:rsidRPr="002B71DF" w:rsidRDefault="00D9126C" w:rsidP="00F83CD8">
      <w:pPr>
        <w:ind w:right="539"/>
        <w:jc w:val="both"/>
        <w:rPr>
          <w:rFonts w:ascii="Palatino Linotype" w:hAnsi="Palatino Linotype"/>
          <w:i/>
          <w:sz w:val="22"/>
          <w:szCs w:val="22"/>
        </w:rPr>
      </w:pPr>
    </w:p>
    <w:p w14:paraId="389D740F" w14:textId="77777777" w:rsidR="00D262C2" w:rsidRPr="002B71DF" w:rsidRDefault="00A840AB" w:rsidP="00D262C2">
      <w:pPr>
        <w:pStyle w:val="Prrafodelista"/>
        <w:numPr>
          <w:ilvl w:val="0"/>
          <w:numId w:val="8"/>
        </w:numPr>
        <w:tabs>
          <w:tab w:val="left" w:pos="284"/>
        </w:tabs>
        <w:spacing w:before="240" w:after="240" w:line="360" w:lineRule="auto"/>
        <w:ind w:left="0" w:firstLine="0"/>
        <w:jc w:val="both"/>
        <w:rPr>
          <w:rFonts w:ascii="Palatino Linotype" w:eastAsia="MS Mincho" w:hAnsi="Palatino Linotype"/>
          <w:sz w:val="24"/>
        </w:rPr>
      </w:pPr>
      <w:r w:rsidRPr="002B71DF">
        <w:rPr>
          <w:rFonts w:ascii="Palatino Linotype" w:eastAsia="Calibri" w:hAnsi="Palatino Linotype" w:cs="Arial"/>
          <w:sz w:val="24"/>
          <w:lang w:val="es-AR"/>
        </w:rPr>
        <w:t>Se señaló</w:t>
      </w:r>
      <w:r w:rsidR="00D262C2" w:rsidRPr="002B71DF">
        <w:rPr>
          <w:rFonts w:ascii="Palatino Linotype" w:hAnsi="Palatino Linotype" w:cs="Arial"/>
          <w:sz w:val="24"/>
          <w:lang w:val="es-ES"/>
        </w:rPr>
        <w:t xml:space="preserve"> como modalidad de entrega de la información </w:t>
      </w:r>
      <w:r w:rsidRPr="002B71DF">
        <w:rPr>
          <w:rFonts w:ascii="Palatino Linotype" w:hAnsi="Palatino Linotype" w:cs="Arial"/>
          <w:sz w:val="24"/>
          <w:lang w:val="es-ES"/>
        </w:rPr>
        <w:t xml:space="preserve">a través de </w:t>
      </w:r>
      <w:r w:rsidRPr="002B71DF">
        <w:rPr>
          <w:rFonts w:ascii="Palatino Linotype" w:hAnsi="Palatino Linotype" w:cs="Arial"/>
          <w:b/>
          <w:sz w:val="24"/>
          <w:lang w:val="es-ES"/>
        </w:rPr>
        <w:t>SAIMEX</w:t>
      </w:r>
      <w:r w:rsidRPr="002B71DF">
        <w:rPr>
          <w:rFonts w:ascii="Palatino Linotype" w:hAnsi="Palatino Linotype" w:cs="Arial"/>
          <w:sz w:val="24"/>
          <w:lang w:val="es-ES"/>
        </w:rPr>
        <w:t>.</w:t>
      </w:r>
    </w:p>
    <w:p w14:paraId="0B7A3C3E" w14:textId="77777777" w:rsidR="00D262C2" w:rsidRPr="002B71DF" w:rsidRDefault="00D262C2" w:rsidP="00D262C2">
      <w:pPr>
        <w:pStyle w:val="Prrafodelista"/>
        <w:tabs>
          <w:tab w:val="left" w:pos="284"/>
        </w:tabs>
        <w:spacing w:before="240" w:after="240" w:line="360" w:lineRule="auto"/>
        <w:ind w:left="0"/>
        <w:jc w:val="both"/>
        <w:rPr>
          <w:rFonts w:ascii="Palatino Linotype" w:eastAsia="MS Mincho" w:hAnsi="Palatino Linotype"/>
        </w:rPr>
      </w:pPr>
    </w:p>
    <w:p w14:paraId="6B65D35D" w14:textId="14CF8C44" w:rsidR="00A840AB" w:rsidRPr="002B71DF" w:rsidRDefault="00A840AB" w:rsidP="00914A15">
      <w:pPr>
        <w:pStyle w:val="Prrafodelista"/>
        <w:numPr>
          <w:ilvl w:val="0"/>
          <w:numId w:val="8"/>
        </w:numPr>
        <w:tabs>
          <w:tab w:val="left" w:pos="284"/>
        </w:tabs>
        <w:spacing w:line="360" w:lineRule="auto"/>
        <w:ind w:left="0" w:right="34" w:firstLine="0"/>
        <w:jc w:val="both"/>
        <w:rPr>
          <w:rFonts w:ascii="Palatino Linotype" w:hAnsi="Palatino Linotype" w:cs="Arial"/>
          <w:sz w:val="24"/>
          <w:szCs w:val="22"/>
        </w:rPr>
      </w:pPr>
      <w:r w:rsidRPr="002B71DF">
        <w:rPr>
          <w:rFonts w:ascii="Palatino Linotype" w:hAnsi="Palatino Linotype" w:cs="Arial"/>
          <w:sz w:val="24"/>
          <w:szCs w:val="22"/>
        </w:rPr>
        <w:lastRenderedPageBreak/>
        <w:t xml:space="preserve">De las constancias del expediente electrónico </w:t>
      </w:r>
      <w:r w:rsidRPr="002B71DF">
        <w:rPr>
          <w:rFonts w:ascii="Palatino Linotype" w:hAnsi="Palatino Linotype" w:cs="Arial"/>
          <w:b/>
          <w:sz w:val="24"/>
          <w:szCs w:val="22"/>
        </w:rPr>
        <w:t>SAIM</w:t>
      </w:r>
      <w:r w:rsidR="00914A15" w:rsidRPr="002B71DF">
        <w:rPr>
          <w:rFonts w:ascii="Palatino Linotype" w:hAnsi="Palatino Linotype" w:cs="Arial"/>
          <w:b/>
          <w:sz w:val="24"/>
          <w:szCs w:val="22"/>
        </w:rPr>
        <w:t>EX</w:t>
      </w:r>
      <w:r w:rsidR="005F45F7" w:rsidRPr="002B71DF">
        <w:rPr>
          <w:rFonts w:ascii="Palatino Linotype" w:hAnsi="Palatino Linotype" w:cs="Arial"/>
          <w:sz w:val="24"/>
          <w:szCs w:val="22"/>
        </w:rPr>
        <w:t xml:space="preserve">, se observa que </w:t>
      </w:r>
      <w:r w:rsidR="00A03080" w:rsidRPr="002B71DF">
        <w:rPr>
          <w:rFonts w:ascii="Palatino Linotype" w:hAnsi="Palatino Linotype" w:cs="Arial"/>
          <w:sz w:val="24"/>
          <w:szCs w:val="22"/>
        </w:rPr>
        <w:t xml:space="preserve">el </w:t>
      </w:r>
      <w:r w:rsidR="002C62C4" w:rsidRPr="002B71DF">
        <w:rPr>
          <w:rFonts w:ascii="Palatino Linotype" w:hAnsi="Palatino Linotype" w:cs="Arial"/>
          <w:sz w:val="24"/>
          <w:szCs w:val="22"/>
        </w:rPr>
        <w:t>tres</w:t>
      </w:r>
      <w:r w:rsidR="00A03080" w:rsidRPr="002B71DF">
        <w:rPr>
          <w:rFonts w:ascii="Palatino Linotype" w:hAnsi="Palatino Linotype" w:cs="Arial"/>
          <w:sz w:val="24"/>
          <w:szCs w:val="22"/>
        </w:rPr>
        <w:t xml:space="preserve"> (</w:t>
      </w:r>
      <w:r w:rsidR="002C62C4" w:rsidRPr="002B71DF">
        <w:rPr>
          <w:rFonts w:ascii="Palatino Linotype" w:hAnsi="Palatino Linotype" w:cs="Arial"/>
          <w:sz w:val="24"/>
          <w:szCs w:val="22"/>
        </w:rPr>
        <w:t>03</w:t>
      </w:r>
      <w:r w:rsidR="00A03080" w:rsidRPr="002B71DF">
        <w:rPr>
          <w:rFonts w:ascii="Palatino Linotype" w:hAnsi="Palatino Linotype" w:cs="Arial"/>
          <w:sz w:val="24"/>
          <w:szCs w:val="22"/>
        </w:rPr>
        <w:t xml:space="preserve">) de </w:t>
      </w:r>
      <w:r w:rsidR="002C62C4" w:rsidRPr="002B71DF">
        <w:rPr>
          <w:rFonts w:ascii="Palatino Linotype" w:hAnsi="Palatino Linotype" w:cs="Arial"/>
          <w:sz w:val="24"/>
          <w:szCs w:val="22"/>
        </w:rPr>
        <w:t>febrero</w:t>
      </w:r>
      <w:r w:rsidR="00A03080" w:rsidRPr="002B71DF">
        <w:rPr>
          <w:rFonts w:ascii="Palatino Linotype" w:hAnsi="Palatino Linotype" w:cs="Arial"/>
          <w:sz w:val="24"/>
          <w:szCs w:val="22"/>
        </w:rPr>
        <w:t xml:space="preserve"> de dos mil veintidós, </w:t>
      </w:r>
      <w:r w:rsidR="00BF36FE" w:rsidRPr="002B71DF">
        <w:rPr>
          <w:rFonts w:ascii="Palatino Linotype" w:hAnsi="Palatino Linotype" w:cs="Arial"/>
          <w:sz w:val="24"/>
          <w:szCs w:val="22"/>
        </w:rPr>
        <w:t>se realiz</w:t>
      </w:r>
      <w:r w:rsidR="00B76A81" w:rsidRPr="002B71DF">
        <w:rPr>
          <w:rFonts w:ascii="Palatino Linotype" w:hAnsi="Palatino Linotype" w:cs="Arial"/>
          <w:sz w:val="24"/>
          <w:szCs w:val="22"/>
        </w:rPr>
        <w:t>ó un</w:t>
      </w:r>
      <w:r w:rsidR="005F45F7" w:rsidRPr="002B71DF">
        <w:rPr>
          <w:rFonts w:ascii="Palatino Linotype" w:hAnsi="Palatino Linotype" w:cs="Arial"/>
          <w:sz w:val="24"/>
          <w:szCs w:val="22"/>
        </w:rPr>
        <w:t xml:space="preserve"> </w:t>
      </w:r>
      <w:r w:rsidR="00914A15" w:rsidRPr="002B71DF">
        <w:rPr>
          <w:rFonts w:ascii="Palatino Linotype" w:hAnsi="Palatino Linotype" w:cs="Arial"/>
          <w:sz w:val="24"/>
          <w:szCs w:val="22"/>
        </w:rPr>
        <w:t>requerimiento</w:t>
      </w:r>
      <w:r w:rsidR="00B76A81" w:rsidRPr="002B71DF">
        <w:rPr>
          <w:rFonts w:ascii="Palatino Linotype" w:hAnsi="Palatino Linotype" w:cs="Arial"/>
          <w:sz w:val="24"/>
          <w:szCs w:val="22"/>
        </w:rPr>
        <w:t xml:space="preserve"> </w:t>
      </w:r>
      <w:r w:rsidR="00A03080" w:rsidRPr="002B71DF">
        <w:rPr>
          <w:rFonts w:ascii="Palatino Linotype" w:hAnsi="Palatino Linotype" w:cs="Arial"/>
          <w:sz w:val="24"/>
          <w:szCs w:val="22"/>
        </w:rPr>
        <w:t>a</w:t>
      </w:r>
      <w:r w:rsidR="00B76A81" w:rsidRPr="002B71DF">
        <w:rPr>
          <w:rFonts w:ascii="Palatino Linotype" w:hAnsi="Palatino Linotype" w:cs="Arial"/>
          <w:sz w:val="24"/>
          <w:szCs w:val="22"/>
        </w:rPr>
        <w:t>l</w:t>
      </w:r>
      <w:r w:rsidR="00A03080" w:rsidRPr="002B71DF">
        <w:rPr>
          <w:rFonts w:ascii="Palatino Linotype" w:hAnsi="Palatino Linotype" w:cs="Arial"/>
          <w:sz w:val="24"/>
          <w:szCs w:val="22"/>
        </w:rPr>
        <w:t xml:space="preserve"> servidor público</w:t>
      </w:r>
      <w:r w:rsidR="00B76A81" w:rsidRPr="002B71DF">
        <w:rPr>
          <w:rFonts w:ascii="Palatino Linotype" w:hAnsi="Palatino Linotype" w:cs="Arial"/>
          <w:sz w:val="24"/>
          <w:szCs w:val="22"/>
        </w:rPr>
        <w:t xml:space="preserve"> </w:t>
      </w:r>
      <w:r w:rsidR="00A03080" w:rsidRPr="002B71DF">
        <w:rPr>
          <w:rFonts w:ascii="Palatino Linotype" w:hAnsi="Palatino Linotype" w:cs="Arial"/>
          <w:sz w:val="24"/>
          <w:szCs w:val="22"/>
        </w:rPr>
        <w:t>habilitado</w:t>
      </w:r>
      <w:r w:rsidR="00AE26A4" w:rsidRPr="002B71DF">
        <w:rPr>
          <w:rFonts w:ascii="Palatino Linotype" w:hAnsi="Palatino Linotype" w:cs="Arial"/>
          <w:sz w:val="24"/>
          <w:szCs w:val="22"/>
        </w:rPr>
        <w:t>, como a continuación se observa</w:t>
      </w:r>
      <w:r w:rsidRPr="002B71DF">
        <w:rPr>
          <w:rFonts w:ascii="Palatino Linotype" w:hAnsi="Palatino Linotype" w:cs="Arial"/>
          <w:sz w:val="24"/>
          <w:szCs w:val="22"/>
        </w:rPr>
        <w:t>:</w:t>
      </w:r>
    </w:p>
    <w:p w14:paraId="61EF354B" w14:textId="77777777" w:rsidR="002C62C4" w:rsidRPr="002B71DF" w:rsidRDefault="002C62C4" w:rsidP="002C62C4">
      <w:pPr>
        <w:pStyle w:val="Prrafodelista"/>
        <w:tabs>
          <w:tab w:val="left" w:pos="284"/>
        </w:tabs>
        <w:spacing w:line="360" w:lineRule="auto"/>
        <w:ind w:left="0" w:right="34"/>
        <w:jc w:val="both"/>
        <w:rPr>
          <w:rFonts w:ascii="Palatino Linotype" w:hAnsi="Palatino Linotype" w:cs="Arial"/>
          <w:sz w:val="24"/>
          <w:szCs w:val="22"/>
        </w:rPr>
      </w:pPr>
    </w:p>
    <w:p w14:paraId="38031E38" w14:textId="55FB8DE9" w:rsidR="00D35E86" w:rsidRPr="002B71DF" w:rsidRDefault="002C62C4" w:rsidP="00D35E86">
      <w:pPr>
        <w:pStyle w:val="Prrafodelista"/>
        <w:tabs>
          <w:tab w:val="left" w:pos="284"/>
        </w:tabs>
        <w:spacing w:line="360" w:lineRule="auto"/>
        <w:ind w:left="0" w:right="34"/>
        <w:jc w:val="both"/>
        <w:rPr>
          <w:rFonts w:ascii="Palatino Linotype" w:hAnsi="Palatino Linotype" w:cs="Arial"/>
          <w:sz w:val="24"/>
          <w:szCs w:val="22"/>
        </w:rPr>
      </w:pPr>
      <w:r w:rsidRPr="002B71DF">
        <w:rPr>
          <w:rFonts w:ascii="Palatino Linotype" w:hAnsi="Palatino Linotype" w:cs="Arial"/>
          <w:noProof/>
          <w:sz w:val="24"/>
          <w:szCs w:val="22"/>
        </w:rPr>
        <w:drawing>
          <wp:inline distT="0" distB="0" distL="0" distR="0" wp14:anchorId="2E800F8B" wp14:editId="11C2DC7C">
            <wp:extent cx="5742940" cy="847725"/>
            <wp:effectExtent l="12700" t="12700" r="10160" b="158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7">
                      <a:extLst>
                        <a:ext uri="{28A0092B-C50C-407E-A947-70E740481C1C}">
                          <a14:useLocalDpi xmlns:a14="http://schemas.microsoft.com/office/drawing/2010/main" val="0"/>
                        </a:ext>
                      </a:extLst>
                    </a:blip>
                    <a:stretch>
                      <a:fillRect/>
                    </a:stretch>
                  </pic:blipFill>
                  <pic:spPr>
                    <a:xfrm>
                      <a:off x="0" y="0"/>
                      <a:ext cx="5742940" cy="847725"/>
                    </a:xfrm>
                    <a:prstGeom prst="rect">
                      <a:avLst/>
                    </a:prstGeom>
                    <a:ln>
                      <a:solidFill>
                        <a:schemeClr val="tx1"/>
                      </a:solidFill>
                    </a:ln>
                  </pic:spPr>
                </pic:pic>
              </a:graphicData>
            </a:graphic>
          </wp:inline>
        </w:drawing>
      </w:r>
    </w:p>
    <w:p w14:paraId="0A625329" w14:textId="77777777" w:rsidR="00AE26A4" w:rsidRPr="002B71DF" w:rsidRDefault="00AE26A4" w:rsidP="005F45F7">
      <w:pPr>
        <w:tabs>
          <w:tab w:val="left" w:pos="284"/>
        </w:tabs>
        <w:spacing w:line="360" w:lineRule="auto"/>
        <w:ind w:right="34"/>
        <w:jc w:val="both"/>
        <w:rPr>
          <w:rFonts w:ascii="Palatino Linotype" w:hAnsi="Palatino Linotype" w:cs="Arial"/>
          <w:szCs w:val="22"/>
        </w:rPr>
      </w:pPr>
    </w:p>
    <w:p w14:paraId="2D83CBB7" w14:textId="0E53D90C" w:rsidR="00914A15" w:rsidRPr="002B71DF" w:rsidRDefault="00AE26A4" w:rsidP="00914A15">
      <w:pPr>
        <w:pStyle w:val="Prrafodelista"/>
        <w:numPr>
          <w:ilvl w:val="0"/>
          <w:numId w:val="8"/>
        </w:numPr>
        <w:tabs>
          <w:tab w:val="left" w:pos="284"/>
        </w:tabs>
        <w:spacing w:line="360" w:lineRule="auto"/>
        <w:ind w:left="0" w:right="34" w:firstLine="0"/>
        <w:jc w:val="both"/>
        <w:rPr>
          <w:rFonts w:ascii="Palatino Linotype" w:hAnsi="Palatino Linotype" w:cs="Arial"/>
          <w:i/>
          <w:sz w:val="24"/>
          <w:szCs w:val="22"/>
        </w:rPr>
      </w:pPr>
      <w:r w:rsidRPr="002B71DF">
        <w:rPr>
          <w:rFonts w:ascii="Palatino Linotype" w:eastAsia="Calibri" w:hAnsi="Palatino Linotype" w:cs="Arial"/>
          <w:sz w:val="24"/>
          <w:lang w:val="es-AR"/>
        </w:rPr>
        <w:t>E</w:t>
      </w:r>
      <w:r w:rsidR="00A03080" w:rsidRPr="002B71DF">
        <w:rPr>
          <w:rFonts w:ascii="Palatino Linotype" w:eastAsia="Calibri" w:hAnsi="Palatino Linotype" w:cs="Arial"/>
          <w:sz w:val="24"/>
          <w:lang w:val="es-AR"/>
        </w:rPr>
        <w:t xml:space="preserve">l </w:t>
      </w:r>
      <w:r w:rsidR="002C62C4" w:rsidRPr="002B71DF">
        <w:rPr>
          <w:rFonts w:ascii="Palatino Linotype" w:eastAsia="Calibri" w:hAnsi="Palatino Linotype" w:cs="Arial"/>
          <w:sz w:val="24"/>
          <w:lang w:val="es-AR"/>
        </w:rPr>
        <w:t>veinticuatro</w:t>
      </w:r>
      <w:r w:rsidR="00BF36FE" w:rsidRPr="002B71DF">
        <w:rPr>
          <w:rFonts w:ascii="Palatino Linotype" w:eastAsia="Calibri" w:hAnsi="Palatino Linotype" w:cs="Arial"/>
          <w:sz w:val="24"/>
          <w:lang w:val="es-AR"/>
        </w:rPr>
        <w:t xml:space="preserve"> (</w:t>
      </w:r>
      <w:r w:rsidR="002C62C4" w:rsidRPr="002B71DF">
        <w:rPr>
          <w:rFonts w:ascii="Palatino Linotype" w:eastAsia="Calibri" w:hAnsi="Palatino Linotype" w:cs="Arial"/>
          <w:sz w:val="24"/>
          <w:lang w:val="es-AR"/>
        </w:rPr>
        <w:t>24</w:t>
      </w:r>
      <w:r w:rsidR="00BF36FE" w:rsidRPr="002B71DF">
        <w:rPr>
          <w:rFonts w:ascii="Palatino Linotype" w:eastAsia="Calibri" w:hAnsi="Palatino Linotype" w:cs="Arial"/>
          <w:sz w:val="24"/>
          <w:lang w:val="es-AR"/>
        </w:rPr>
        <w:t xml:space="preserve">) de </w:t>
      </w:r>
      <w:r w:rsidR="002C62C4" w:rsidRPr="002B71DF">
        <w:rPr>
          <w:rFonts w:ascii="Palatino Linotype" w:eastAsia="Calibri" w:hAnsi="Palatino Linotype" w:cs="Arial"/>
          <w:sz w:val="24"/>
          <w:lang w:val="es-AR"/>
        </w:rPr>
        <w:t>febrero</w:t>
      </w:r>
      <w:r w:rsidR="00BF36FE" w:rsidRPr="002B71DF">
        <w:rPr>
          <w:rFonts w:ascii="Palatino Linotype" w:eastAsia="Calibri" w:hAnsi="Palatino Linotype" w:cs="Arial"/>
          <w:sz w:val="24"/>
          <w:lang w:val="es-AR"/>
        </w:rPr>
        <w:t xml:space="preserve"> de dos mil veintidós, el </w:t>
      </w:r>
      <w:r w:rsidR="00D262C2" w:rsidRPr="002B71DF">
        <w:rPr>
          <w:rFonts w:ascii="Palatino Linotype" w:eastAsia="Calibri" w:hAnsi="Palatino Linotype" w:cs="Arial"/>
          <w:b/>
          <w:sz w:val="24"/>
          <w:lang w:val="es-AR"/>
        </w:rPr>
        <w:t>SUJETO OBLIGADO</w:t>
      </w:r>
      <w:r w:rsidR="00A03080" w:rsidRPr="002B71DF">
        <w:rPr>
          <w:rFonts w:ascii="Palatino Linotype" w:eastAsia="Calibri" w:hAnsi="Palatino Linotype" w:cs="Arial"/>
          <w:bCs/>
          <w:sz w:val="24"/>
          <w:lang w:val="es-AR"/>
        </w:rPr>
        <w:t xml:space="preserve"> </w:t>
      </w:r>
      <w:r w:rsidR="00BF36FE" w:rsidRPr="002B71DF">
        <w:rPr>
          <w:rFonts w:ascii="Palatino Linotype" w:eastAsia="Calibri" w:hAnsi="Palatino Linotype" w:cs="Arial"/>
          <w:bCs/>
          <w:sz w:val="24"/>
          <w:lang w:val="es-AR"/>
        </w:rPr>
        <w:t xml:space="preserve">dio </w:t>
      </w:r>
      <w:r w:rsidRPr="002B71DF">
        <w:rPr>
          <w:rFonts w:ascii="Palatino Linotype" w:eastAsia="Calibri" w:hAnsi="Palatino Linotype" w:cs="Arial"/>
          <w:bCs/>
          <w:sz w:val="24"/>
          <w:lang w:val="es-AR"/>
        </w:rPr>
        <w:t>respuesta a la solicitud de información</w:t>
      </w:r>
      <w:r w:rsidR="00D35E86" w:rsidRPr="002B71DF">
        <w:rPr>
          <w:rFonts w:ascii="Palatino Linotype" w:eastAsia="Calibri" w:hAnsi="Palatino Linotype" w:cs="Arial"/>
          <w:bCs/>
          <w:sz w:val="24"/>
          <w:lang w:val="es-AR"/>
        </w:rPr>
        <w:t xml:space="preserve">, según consta el Sistema de Acceso a la Información Mexiquense </w:t>
      </w:r>
      <w:r w:rsidR="00BF36FE" w:rsidRPr="002B71DF">
        <w:rPr>
          <w:rFonts w:ascii="Palatino Linotype" w:eastAsia="Calibri" w:hAnsi="Palatino Linotype" w:cs="Arial"/>
          <w:b/>
          <w:sz w:val="24"/>
          <w:lang w:val="es-AR"/>
        </w:rPr>
        <w:t xml:space="preserve">(SAIMEX), </w:t>
      </w:r>
      <w:r w:rsidR="00BF36FE" w:rsidRPr="002B71DF">
        <w:rPr>
          <w:rFonts w:ascii="Palatino Linotype" w:eastAsia="Calibri" w:hAnsi="Palatino Linotype" w:cs="Arial"/>
          <w:sz w:val="24"/>
          <w:lang w:val="es-AR"/>
        </w:rPr>
        <w:t>en los siguientes términos:</w:t>
      </w:r>
    </w:p>
    <w:p w14:paraId="2BFE86A0" w14:textId="77777777" w:rsidR="00BF36FE" w:rsidRPr="002B71DF" w:rsidRDefault="00BF36FE" w:rsidP="00BF36FE">
      <w:pPr>
        <w:tabs>
          <w:tab w:val="left" w:pos="284"/>
        </w:tabs>
        <w:spacing w:line="360" w:lineRule="auto"/>
        <w:ind w:right="34"/>
        <w:jc w:val="both"/>
        <w:rPr>
          <w:rFonts w:ascii="Palatino Linotype" w:hAnsi="Palatino Linotype" w:cs="Arial"/>
          <w:i/>
          <w:szCs w:val="22"/>
        </w:rPr>
      </w:pPr>
    </w:p>
    <w:p w14:paraId="48591478" w14:textId="0F813333" w:rsidR="00BF36FE" w:rsidRPr="002B71DF" w:rsidRDefault="00BF36FE" w:rsidP="002C62C4">
      <w:pPr>
        <w:ind w:left="567" w:right="539"/>
        <w:jc w:val="both"/>
        <w:rPr>
          <w:rFonts w:ascii="Palatino Linotype" w:hAnsi="Palatino Linotype"/>
          <w:i/>
          <w:sz w:val="22"/>
          <w:szCs w:val="22"/>
        </w:rPr>
      </w:pPr>
      <w:r w:rsidRPr="002B71DF">
        <w:rPr>
          <w:rFonts w:ascii="Palatino Linotype" w:hAnsi="Palatino Linotype" w:cs="Arial"/>
          <w:i/>
          <w:sz w:val="22"/>
          <w:szCs w:val="22"/>
        </w:rPr>
        <w:t xml:space="preserve">“…En </w:t>
      </w:r>
      <w:r w:rsidR="002C62C4" w:rsidRPr="002B71DF">
        <w:rPr>
          <w:rFonts w:ascii="Palatino Linotype" w:hAnsi="Palatino Linotype"/>
          <w:i/>
          <w:color w:val="000000"/>
          <w:sz w:val="22"/>
          <w:szCs w:val="22"/>
        </w:rPr>
        <w:t>atención a la solicitud de información número 00433/TOLUCA/IP/2022, me permito adjuntar al presente la respuesta correspondiente. Sin más por el momento, le envío un cordial saludo</w:t>
      </w:r>
      <w:r w:rsidRPr="002B71DF">
        <w:rPr>
          <w:rFonts w:ascii="Palatino Linotype" w:hAnsi="Palatino Linotype"/>
          <w:i/>
          <w:color w:val="000000"/>
          <w:sz w:val="22"/>
          <w:szCs w:val="22"/>
        </w:rPr>
        <w:t>…” (Sic)</w:t>
      </w:r>
    </w:p>
    <w:p w14:paraId="11E89DEF" w14:textId="77777777" w:rsidR="00BF36FE" w:rsidRPr="002B71DF" w:rsidRDefault="00BF36FE" w:rsidP="00BF36FE">
      <w:pPr>
        <w:tabs>
          <w:tab w:val="left" w:pos="284"/>
        </w:tabs>
        <w:spacing w:line="360" w:lineRule="auto"/>
        <w:ind w:right="539"/>
        <w:jc w:val="both"/>
        <w:rPr>
          <w:rFonts w:ascii="Palatino Linotype" w:hAnsi="Palatino Linotype"/>
          <w:i/>
          <w:color w:val="000000"/>
          <w:sz w:val="22"/>
          <w:szCs w:val="22"/>
        </w:rPr>
      </w:pPr>
    </w:p>
    <w:p w14:paraId="133FB38A" w14:textId="4FD1515C" w:rsidR="002C62C4" w:rsidRPr="002B71DF" w:rsidRDefault="00BF36FE" w:rsidP="002C62C4">
      <w:pPr>
        <w:tabs>
          <w:tab w:val="left" w:pos="284"/>
        </w:tabs>
        <w:spacing w:line="360" w:lineRule="auto"/>
        <w:ind w:right="539"/>
        <w:jc w:val="both"/>
        <w:rPr>
          <w:rFonts w:ascii="Palatino Linotype" w:hAnsi="Palatino Linotype" w:cs="Arial"/>
          <w:sz w:val="22"/>
          <w:szCs w:val="22"/>
        </w:rPr>
      </w:pPr>
      <w:r w:rsidRPr="002B71DF">
        <w:rPr>
          <w:rFonts w:ascii="Palatino Linotype" w:hAnsi="Palatino Linotype" w:cs="Arial"/>
          <w:sz w:val="22"/>
          <w:szCs w:val="22"/>
        </w:rPr>
        <w:t>Archivos adjuntos:</w:t>
      </w:r>
    </w:p>
    <w:p w14:paraId="4A6B3826" w14:textId="5542D8C4" w:rsidR="00CD39A6" w:rsidRPr="002B71DF" w:rsidRDefault="00B02EDF" w:rsidP="00CD39A6">
      <w:pPr>
        <w:pStyle w:val="Prrafodelista"/>
        <w:numPr>
          <w:ilvl w:val="0"/>
          <w:numId w:val="21"/>
        </w:numPr>
        <w:ind w:right="539" w:hanging="153"/>
        <w:jc w:val="both"/>
        <w:rPr>
          <w:rFonts w:ascii="Palatino Linotype" w:hAnsi="Palatino Linotype"/>
          <w:b/>
          <w:bCs/>
          <w:szCs w:val="22"/>
        </w:rPr>
      </w:pPr>
      <w:hyperlink r:id="rId8" w:tgtFrame="_blank" w:history="1">
        <w:r w:rsidR="002C62C4" w:rsidRPr="002B71DF">
          <w:rPr>
            <w:rStyle w:val="Hipervnculo"/>
            <w:rFonts w:ascii="Palatino Linotype" w:eastAsiaTheme="majorEastAsia" w:hAnsi="Palatino Linotype" w:cs="Arial"/>
            <w:b/>
            <w:bCs/>
            <w:color w:val="auto"/>
            <w:szCs w:val="22"/>
            <w:u w:val="none"/>
          </w:rPr>
          <w:t>ESTADO -ANALITICO-DE-LA-DEUDA-Y-OTROS-PASIVOS 2021.pdf</w:t>
        </w:r>
      </w:hyperlink>
      <w:r w:rsidR="002C62C4" w:rsidRPr="002B71DF">
        <w:rPr>
          <w:rFonts w:ascii="Palatino Linotype" w:hAnsi="Palatino Linotype"/>
          <w:b/>
          <w:bCs/>
          <w:szCs w:val="22"/>
        </w:rPr>
        <w:t>:</w:t>
      </w:r>
      <w:r w:rsidR="00CD39A6" w:rsidRPr="002B71DF">
        <w:rPr>
          <w:rFonts w:ascii="Palatino Linotype" w:hAnsi="Palatino Linotype"/>
          <w:b/>
          <w:bCs/>
          <w:szCs w:val="22"/>
        </w:rPr>
        <w:t xml:space="preserve"> </w:t>
      </w:r>
      <w:r w:rsidR="00CD39A6" w:rsidRPr="002B71DF">
        <w:rPr>
          <w:rFonts w:ascii="Palatino Linotype" w:hAnsi="Palatino Linotype"/>
          <w:szCs w:val="22"/>
        </w:rPr>
        <w:t>Documento de 176 fojas que contienen el estado analítico de deuda pública y otros pasivos del 01 de octubre al 31 de diciembre de 2021.</w:t>
      </w:r>
    </w:p>
    <w:p w14:paraId="325FF09C" w14:textId="01D04300" w:rsidR="002C62C4" w:rsidRPr="002B71DF" w:rsidRDefault="00B02EDF" w:rsidP="00CD39A6">
      <w:pPr>
        <w:pStyle w:val="Prrafodelista"/>
        <w:numPr>
          <w:ilvl w:val="0"/>
          <w:numId w:val="21"/>
        </w:numPr>
        <w:ind w:right="539" w:hanging="153"/>
        <w:jc w:val="both"/>
        <w:rPr>
          <w:rFonts w:ascii="Palatino Linotype" w:hAnsi="Palatino Linotype"/>
          <w:b/>
          <w:bCs/>
          <w:szCs w:val="22"/>
        </w:rPr>
      </w:pPr>
      <w:hyperlink r:id="rId9" w:tgtFrame="_blank" w:history="1">
        <w:r w:rsidR="002C62C4" w:rsidRPr="002B71DF">
          <w:rPr>
            <w:rStyle w:val="Hipervnculo"/>
            <w:rFonts w:ascii="Palatino Linotype" w:eastAsiaTheme="majorEastAsia" w:hAnsi="Palatino Linotype" w:cs="Arial"/>
            <w:b/>
            <w:bCs/>
            <w:color w:val="auto"/>
            <w:szCs w:val="22"/>
            <w:u w:val="none"/>
          </w:rPr>
          <w:t>ESTADO -ANALITICO-DE-LA-DEUDA-Y-OTROS-PASIVOS 2018.pdf</w:t>
        </w:r>
      </w:hyperlink>
      <w:r w:rsidR="002C62C4" w:rsidRPr="002B71DF">
        <w:rPr>
          <w:rFonts w:ascii="Palatino Linotype" w:hAnsi="Palatino Linotype"/>
          <w:b/>
          <w:bCs/>
          <w:szCs w:val="22"/>
        </w:rPr>
        <w:t>:</w:t>
      </w:r>
      <w:r w:rsidR="00CD39A6" w:rsidRPr="002B71DF">
        <w:rPr>
          <w:rFonts w:ascii="Palatino Linotype" w:hAnsi="Palatino Linotype"/>
          <w:b/>
          <w:bCs/>
          <w:szCs w:val="22"/>
        </w:rPr>
        <w:t xml:space="preserve"> </w:t>
      </w:r>
      <w:r w:rsidR="00CD39A6" w:rsidRPr="002B71DF">
        <w:rPr>
          <w:rFonts w:ascii="Palatino Linotype" w:hAnsi="Palatino Linotype"/>
          <w:szCs w:val="22"/>
        </w:rPr>
        <w:t>Documento de 01 foja que contiene el estado analítico de deuda pública y otros pasivos del 01 de enero al 31 de diciembre de 2018.</w:t>
      </w:r>
    </w:p>
    <w:p w14:paraId="7C24345F" w14:textId="3D75CBE8" w:rsidR="002C62C4" w:rsidRPr="002B71DF" w:rsidRDefault="00B02EDF" w:rsidP="00CD39A6">
      <w:pPr>
        <w:pStyle w:val="Prrafodelista"/>
        <w:numPr>
          <w:ilvl w:val="0"/>
          <w:numId w:val="21"/>
        </w:numPr>
        <w:ind w:right="539" w:hanging="153"/>
        <w:jc w:val="both"/>
        <w:rPr>
          <w:rFonts w:ascii="Palatino Linotype" w:hAnsi="Palatino Linotype"/>
          <w:b/>
          <w:bCs/>
          <w:szCs w:val="22"/>
        </w:rPr>
      </w:pPr>
      <w:hyperlink r:id="rId10" w:tgtFrame="_blank" w:history="1">
        <w:r w:rsidR="002C62C4" w:rsidRPr="002B71DF">
          <w:rPr>
            <w:rStyle w:val="Hipervnculo"/>
            <w:rFonts w:ascii="Palatino Linotype" w:eastAsiaTheme="majorEastAsia" w:hAnsi="Palatino Linotype" w:cs="Arial"/>
            <w:b/>
            <w:bCs/>
            <w:color w:val="auto"/>
            <w:szCs w:val="22"/>
            <w:u w:val="none"/>
          </w:rPr>
          <w:t>ESTADO DE LA DEUDA PUBLICA 2012.PDF</w:t>
        </w:r>
      </w:hyperlink>
      <w:r w:rsidR="002C62C4" w:rsidRPr="002B71DF">
        <w:rPr>
          <w:rFonts w:ascii="Palatino Linotype" w:hAnsi="Palatino Linotype"/>
          <w:b/>
          <w:bCs/>
          <w:szCs w:val="22"/>
        </w:rPr>
        <w:t>:</w:t>
      </w:r>
      <w:r w:rsidR="00CD39A6" w:rsidRPr="002B71DF">
        <w:rPr>
          <w:rFonts w:ascii="Palatino Linotype" w:hAnsi="Palatino Linotype"/>
          <w:b/>
          <w:bCs/>
          <w:szCs w:val="22"/>
        </w:rPr>
        <w:t xml:space="preserve"> </w:t>
      </w:r>
      <w:r w:rsidR="00CD39A6" w:rsidRPr="002B71DF">
        <w:rPr>
          <w:rFonts w:ascii="Palatino Linotype" w:hAnsi="Palatino Linotype"/>
          <w:szCs w:val="22"/>
        </w:rPr>
        <w:t>Documento de 02 fojas que contienen el estado analítico de deuda pública y otros pasivos al 31 de diciembre de 2012.</w:t>
      </w:r>
    </w:p>
    <w:p w14:paraId="605913D7" w14:textId="0E69B5D0" w:rsidR="002C62C4" w:rsidRPr="002B71DF" w:rsidRDefault="00B02EDF" w:rsidP="00CD39A6">
      <w:pPr>
        <w:pStyle w:val="Prrafodelista"/>
        <w:numPr>
          <w:ilvl w:val="0"/>
          <w:numId w:val="21"/>
        </w:numPr>
        <w:ind w:right="539" w:hanging="153"/>
        <w:jc w:val="both"/>
        <w:rPr>
          <w:rFonts w:ascii="Palatino Linotype" w:hAnsi="Palatino Linotype"/>
          <w:b/>
          <w:bCs/>
          <w:szCs w:val="22"/>
        </w:rPr>
      </w:pPr>
      <w:hyperlink r:id="rId11" w:tgtFrame="_blank" w:history="1">
        <w:r w:rsidR="002C62C4" w:rsidRPr="002B71DF">
          <w:rPr>
            <w:rStyle w:val="Hipervnculo"/>
            <w:rFonts w:ascii="Palatino Linotype" w:eastAsiaTheme="majorEastAsia" w:hAnsi="Palatino Linotype" w:cs="Arial"/>
            <w:b/>
            <w:bCs/>
            <w:color w:val="auto"/>
            <w:szCs w:val="22"/>
            <w:u w:val="none"/>
          </w:rPr>
          <w:t>ESTADO ANALITICO DE LA DEUDA Y OTROS PASIVOS 2015.pdf</w:t>
        </w:r>
      </w:hyperlink>
      <w:r w:rsidR="002C62C4" w:rsidRPr="002B71DF">
        <w:rPr>
          <w:rFonts w:ascii="Palatino Linotype" w:hAnsi="Palatino Linotype"/>
          <w:b/>
          <w:bCs/>
          <w:szCs w:val="22"/>
        </w:rPr>
        <w:t>:</w:t>
      </w:r>
      <w:r w:rsidR="00CD39A6" w:rsidRPr="002B71DF">
        <w:rPr>
          <w:rFonts w:ascii="Palatino Linotype" w:hAnsi="Palatino Linotype"/>
          <w:b/>
          <w:bCs/>
          <w:szCs w:val="22"/>
        </w:rPr>
        <w:t xml:space="preserve"> </w:t>
      </w:r>
      <w:r w:rsidR="00CD39A6" w:rsidRPr="002B71DF">
        <w:rPr>
          <w:rFonts w:ascii="Palatino Linotype" w:hAnsi="Palatino Linotype"/>
          <w:szCs w:val="22"/>
        </w:rPr>
        <w:t>Documento de 02 fojas que contienen el estado analítico de deuda pública y otros pasivos del 01 de enero al 31 de diciembre de 2015.</w:t>
      </w:r>
    </w:p>
    <w:p w14:paraId="23FF9445" w14:textId="57969D0A" w:rsidR="00BF36FE" w:rsidRPr="002B71DF" w:rsidRDefault="00B02EDF" w:rsidP="00CD39A6">
      <w:pPr>
        <w:pStyle w:val="Prrafodelista"/>
        <w:numPr>
          <w:ilvl w:val="0"/>
          <w:numId w:val="21"/>
        </w:numPr>
        <w:ind w:right="539" w:hanging="153"/>
        <w:jc w:val="both"/>
        <w:rPr>
          <w:rFonts w:ascii="Palatino Linotype" w:hAnsi="Palatino Linotype"/>
          <w:b/>
          <w:bCs/>
          <w:szCs w:val="22"/>
        </w:rPr>
      </w:pPr>
      <w:hyperlink r:id="rId12" w:tgtFrame="_blank" w:history="1">
        <w:r w:rsidR="002C62C4" w:rsidRPr="002B71DF">
          <w:rPr>
            <w:rStyle w:val="Hipervnculo"/>
            <w:rFonts w:ascii="Palatino Linotype" w:eastAsiaTheme="majorEastAsia" w:hAnsi="Palatino Linotype" w:cs="Arial"/>
            <w:b/>
            <w:bCs/>
            <w:color w:val="auto"/>
            <w:szCs w:val="22"/>
            <w:u w:val="none"/>
          </w:rPr>
          <w:t>Saimex 00433.pdf</w:t>
        </w:r>
      </w:hyperlink>
      <w:r w:rsidR="002C62C4" w:rsidRPr="002B71DF">
        <w:rPr>
          <w:rFonts w:ascii="Palatino Linotype" w:hAnsi="Palatino Linotype"/>
          <w:b/>
          <w:bCs/>
          <w:szCs w:val="22"/>
        </w:rPr>
        <w:t>:</w:t>
      </w:r>
      <w:r w:rsidR="00CD39A6" w:rsidRPr="002B71DF">
        <w:rPr>
          <w:rFonts w:ascii="Palatino Linotype" w:hAnsi="Palatino Linotype"/>
          <w:b/>
          <w:bCs/>
          <w:szCs w:val="22"/>
        </w:rPr>
        <w:t xml:space="preserve"> </w:t>
      </w:r>
      <w:r w:rsidR="00CD39A6" w:rsidRPr="002B71DF">
        <w:rPr>
          <w:rFonts w:ascii="Palatino Linotype" w:hAnsi="Palatino Linotype"/>
          <w:bCs/>
          <w:szCs w:val="22"/>
        </w:rPr>
        <w:t>Oficio del 24 de febrero de 2022, suscrito y signado por la Titular de la Unidad de Transparencia, dirigido a la Recurrente, por medio del cual informó la respuesta proporcionada por el Tesorero Municipal.</w:t>
      </w:r>
    </w:p>
    <w:p w14:paraId="48135D00" w14:textId="77777777" w:rsidR="00CD39A6" w:rsidRPr="002B71DF" w:rsidRDefault="00CD39A6" w:rsidP="00CD39A6">
      <w:pPr>
        <w:ind w:right="539"/>
        <w:jc w:val="both"/>
        <w:rPr>
          <w:rFonts w:ascii="Palatino Linotype" w:hAnsi="Palatino Linotype"/>
          <w:b/>
          <w:bCs/>
          <w:szCs w:val="22"/>
        </w:rPr>
      </w:pPr>
    </w:p>
    <w:p w14:paraId="76A00200" w14:textId="0CBCB90B" w:rsidR="00D262C2" w:rsidRPr="002B71DF" w:rsidRDefault="00A068B7" w:rsidP="00A068B7">
      <w:pPr>
        <w:pStyle w:val="Prrafodelista"/>
        <w:numPr>
          <w:ilvl w:val="0"/>
          <w:numId w:val="8"/>
        </w:numPr>
        <w:tabs>
          <w:tab w:val="left" w:pos="284"/>
        </w:tabs>
        <w:spacing w:line="360" w:lineRule="auto"/>
        <w:ind w:left="0" w:firstLine="0"/>
        <w:jc w:val="both"/>
        <w:rPr>
          <w:rFonts w:ascii="Palatino Linotype" w:hAnsi="Palatino Linotype"/>
          <w:b/>
          <w:i/>
          <w:sz w:val="24"/>
        </w:rPr>
      </w:pPr>
      <w:r w:rsidRPr="002B71DF">
        <w:rPr>
          <w:rFonts w:ascii="Palatino Linotype" w:hAnsi="Palatino Linotype" w:cs="Arial"/>
          <w:sz w:val="24"/>
        </w:rPr>
        <w:t>El</w:t>
      </w:r>
      <w:r w:rsidR="00D262C2" w:rsidRPr="002B71DF">
        <w:rPr>
          <w:rFonts w:ascii="Palatino Linotype" w:hAnsi="Palatino Linotype" w:cs="Arial"/>
          <w:sz w:val="24"/>
          <w:lang w:val="es-ES"/>
        </w:rPr>
        <w:t xml:space="preserve"> </w:t>
      </w:r>
      <w:r w:rsidR="002C62C4" w:rsidRPr="002B71DF">
        <w:rPr>
          <w:rFonts w:ascii="Palatino Linotype" w:hAnsi="Palatino Linotype" w:cs="Arial"/>
          <w:sz w:val="24"/>
          <w:lang w:val="es-ES"/>
        </w:rPr>
        <w:t>veinticuatro</w:t>
      </w:r>
      <w:r w:rsidR="00D52A99" w:rsidRPr="002B71DF">
        <w:rPr>
          <w:rFonts w:ascii="Palatino Linotype" w:hAnsi="Palatino Linotype" w:cs="Arial"/>
          <w:sz w:val="24"/>
          <w:lang w:val="es-ES"/>
        </w:rPr>
        <w:t xml:space="preserve"> (</w:t>
      </w:r>
      <w:r w:rsidR="002C62C4" w:rsidRPr="002B71DF">
        <w:rPr>
          <w:rFonts w:ascii="Palatino Linotype" w:hAnsi="Palatino Linotype" w:cs="Arial"/>
          <w:sz w:val="24"/>
          <w:lang w:val="es-ES"/>
        </w:rPr>
        <w:t>24</w:t>
      </w:r>
      <w:r w:rsidR="00D52A99" w:rsidRPr="002B71DF">
        <w:rPr>
          <w:rFonts w:ascii="Palatino Linotype" w:hAnsi="Palatino Linotype" w:cs="Arial"/>
          <w:sz w:val="24"/>
          <w:lang w:val="es-ES"/>
        </w:rPr>
        <w:t xml:space="preserve">) de </w:t>
      </w:r>
      <w:r w:rsidR="002C62C4" w:rsidRPr="002B71DF">
        <w:rPr>
          <w:rFonts w:ascii="Palatino Linotype" w:hAnsi="Palatino Linotype" w:cs="Arial"/>
          <w:sz w:val="24"/>
          <w:lang w:val="es-ES"/>
        </w:rPr>
        <w:t>febrero</w:t>
      </w:r>
      <w:r w:rsidR="00D262C2" w:rsidRPr="002B71DF">
        <w:rPr>
          <w:rFonts w:ascii="Palatino Linotype" w:hAnsi="Palatino Linotype" w:cs="Arial"/>
          <w:sz w:val="24"/>
          <w:lang w:val="es-ES"/>
        </w:rPr>
        <w:t xml:space="preserve"> de dos mil </w:t>
      </w:r>
      <w:r w:rsidR="00D52A99" w:rsidRPr="002B71DF">
        <w:rPr>
          <w:rFonts w:ascii="Palatino Linotype" w:hAnsi="Palatino Linotype" w:cs="Arial"/>
          <w:sz w:val="24"/>
          <w:lang w:val="es-ES"/>
        </w:rPr>
        <w:t>veintidós</w:t>
      </w:r>
      <w:r w:rsidR="00BF36FE" w:rsidRPr="002B71DF">
        <w:rPr>
          <w:rFonts w:ascii="Palatino Linotype" w:hAnsi="Palatino Linotype" w:cs="Arial"/>
          <w:sz w:val="24"/>
          <w:lang w:val="es-ES"/>
        </w:rPr>
        <w:t xml:space="preserve">, </w:t>
      </w:r>
      <w:r w:rsidR="00B57611" w:rsidRPr="002B71DF">
        <w:rPr>
          <w:rFonts w:ascii="Palatino Linotype" w:hAnsi="Palatino Linotype" w:cs="Arial"/>
          <w:sz w:val="24"/>
          <w:lang w:val="es-ES"/>
        </w:rPr>
        <w:t>la</w:t>
      </w:r>
      <w:r w:rsidR="00BF36FE" w:rsidRPr="002B71DF">
        <w:rPr>
          <w:rFonts w:ascii="Palatino Linotype" w:hAnsi="Palatino Linotype" w:cs="Arial"/>
          <w:sz w:val="24"/>
          <w:lang w:val="es-ES"/>
        </w:rPr>
        <w:t xml:space="preserve"> </w:t>
      </w:r>
      <w:r w:rsidR="005313FB" w:rsidRPr="002B71DF">
        <w:rPr>
          <w:rFonts w:ascii="Palatino Linotype" w:hAnsi="Palatino Linotype" w:cs="Arial"/>
          <w:sz w:val="24"/>
          <w:lang w:val="es-ES"/>
        </w:rPr>
        <w:t>Recurrente</w:t>
      </w:r>
      <w:r w:rsidR="00D262C2" w:rsidRPr="002B71DF">
        <w:rPr>
          <w:rFonts w:ascii="Palatino Linotype" w:hAnsi="Palatino Linotype" w:cs="Arial"/>
          <w:sz w:val="24"/>
          <w:lang w:val="es-ES"/>
        </w:rPr>
        <w:t xml:space="preserve"> interpuso el recurso de revisión señalando como:</w:t>
      </w:r>
    </w:p>
    <w:p w14:paraId="7379C058" w14:textId="77777777" w:rsidR="00D262C2" w:rsidRPr="002B71DF" w:rsidRDefault="00D262C2" w:rsidP="00D262C2">
      <w:pPr>
        <w:pStyle w:val="Prrafodelista"/>
        <w:tabs>
          <w:tab w:val="left" w:pos="284"/>
        </w:tabs>
        <w:spacing w:line="360" w:lineRule="auto"/>
        <w:ind w:left="0"/>
        <w:jc w:val="both"/>
        <w:rPr>
          <w:rFonts w:ascii="Palatino Linotype" w:hAnsi="Palatino Linotype"/>
          <w:b/>
          <w:i/>
          <w:sz w:val="10"/>
          <w:szCs w:val="22"/>
        </w:rPr>
      </w:pPr>
    </w:p>
    <w:p w14:paraId="20D4E409" w14:textId="52C48A3C" w:rsidR="00D262C2" w:rsidRPr="002B71DF" w:rsidRDefault="00D262C2" w:rsidP="002C62C4">
      <w:pPr>
        <w:ind w:left="567" w:right="539"/>
        <w:jc w:val="both"/>
        <w:rPr>
          <w:rFonts w:ascii="Palatino Linotype" w:hAnsi="Palatino Linotype"/>
          <w:i/>
          <w:sz w:val="22"/>
          <w:szCs w:val="22"/>
        </w:rPr>
      </w:pPr>
      <w:r w:rsidRPr="002B71DF">
        <w:rPr>
          <w:rFonts w:ascii="Palatino Linotype" w:hAnsi="Palatino Linotype" w:cs="Arial"/>
          <w:b/>
          <w:sz w:val="22"/>
          <w:szCs w:val="22"/>
          <w:lang w:val="es-ES"/>
        </w:rPr>
        <w:t>Acto impugnado:</w:t>
      </w:r>
      <w:r w:rsidRPr="002B71DF">
        <w:rPr>
          <w:rFonts w:ascii="Palatino Linotype" w:hAnsi="Palatino Linotype" w:cs="Arial"/>
          <w:i/>
          <w:sz w:val="22"/>
          <w:szCs w:val="22"/>
          <w:lang w:val="es-ES"/>
        </w:rPr>
        <w:t xml:space="preserve"> “</w:t>
      </w:r>
      <w:r w:rsidR="002C62C4" w:rsidRPr="002B71DF">
        <w:rPr>
          <w:rFonts w:ascii="Palatino Linotype" w:hAnsi="Palatino Linotype"/>
          <w:i/>
          <w:color w:val="000000"/>
          <w:sz w:val="22"/>
          <w:szCs w:val="22"/>
        </w:rPr>
        <w:t>LA RESPUESTA PROPORCIONADA.</w:t>
      </w:r>
      <w:r w:rsidRPr="002B71DF">
        <w:rPr>
          <w:rFonts w:ascii="Palatino Linotype" w:hAnsi="Palatino Linotype" w:cs="Arial"/>
          <w:i/>
          <w:sz w:val="22"/>
          <w:szCs w:val="22"/>
          <w:lang w:val="es-ES"/>
        </w:rPr>
        <w:t>” (Sic).</w:t>
      </w:r>
    </w:p>
    <w:p w14:paraId="223CEEAF" w14:textId="77777777" w:rsidR="00D262C2" w:rsidRPr="002B71DF" w:rsidRDefault="00D262C2" w:rsidP="002C62C4">
      <w:pPr>
        <w:pStyle w:val="Prrafodelista"/>
        <w:tabs>
          <w:tab w:val="left" w:pos="426"/>
          <w:tab w:val="left" w:pos="993"/>
        </w:tabs>
        <w:ind w:left="567" w:right="539"/>
        <w:jc w:val="both"/>
        <w:rPr>
          <w:rFonts w:ascii="Palatino Linotype" w:hAnsi="Palatino Linotype" w:cs="Arial"/>
          <w:szCs w:val="22"/>
          <w:lang w:val="es-ES"/>
        </w:rPr>
      </w:pPr>
    </w:p>
    <w:p w14:paraId="169D7902" w14:textId="3E2CFF5E" w:rsidR="00D262C2" w:rsidRPr="002B71DF" w:rsidRDefault="00D262C2" w:rsidP="002C62C4">
      <w:pPr>
        <w:ind w:left="567" w:right="539"/>
        <w:jc w:val="both"/>
        <w:rPr>
          <w:rFonts w:ascii="Palatino Linotype" w:hAnsi="Palatino Linotype"/>
          <w:sz w:val="22"/>
          <w:szCs w:val="22"/>
        </w:rPr>
      </w:pPr>
      <w:r w:rsidRPr="002B71DF">
        <w:rPr>
          <w:rFonts w:ascii="Palatino Linotype" w:hAnsi="Palatino Linotype" w:cs="Arial"/>
          <w:b/>
          <w:sz w:val="22"/>
          <w:szCs w:val="22"/>
          <w:lang w:val="es-ES"/>
        </w:rPr>
        <w:t>Razones o motivos de inconformidad</w:t>
      </w:r>
      <w:r w:rsidRPr="002B71DF">
        <w:rPr>
          <w:rFonts w:ascii="Palatino Linotype" w:hAnsi="Palatino Linotype" w:cs="Arial"/>
          <w:b/>
          <w:i/>
          <w:sz w:val="22"/>
          <w:szCs w:val="22"/>
          <w:lang w:val="es-ES"/>
        </w:rPr>
        <w:t>:</w:t>
      </w:r>
      <w:r w:rsidRPr="002B71DF">
        <w:rPr>
          <w:rFonts w:ascii="Palatino Linotype" w:hAnsi="Palatino Linotype" w:cs="Arial"/>
          <w:i/>
          <w:sz w:val="22"/>
          <w:szCs w:val="22"/>
          <w:lang w:val="es-ES"/>
        </w:rPr>
        <w:t xml:space="preserve"> “</w:t>
      </w:r>
      <w:r w:rsidR="002C62C4" w:rsidRPr="002B71DF">
        <w:rPr>
          <w:rFonts w:ascii="Palatino Linotype" w:hAnsi="Palatino Linotype"/>
          <w:i/>
          <w:color w:val="000000"/>
          <w:sz w:val="22"/>
          <w:szCs w:val="22"/>
        </w:rPr>
        <w:t>NO ME ENGTREGARON LA INFORMACION COMPLETA, NI LOS OFICIOS DE RESPUESTA DE LAS AREAS QUE ATENDIERON EL REQUERIMIENTO DE SOLICITUD.</w:t>
      </w:r>
      <w:r w:rsidR="00CC0337" w:rsidRPr="002B71DF">
        <w:rPr>
          <w:rFonts w:ascii="Palatino Linotype" w:hAnsi="Palatino Linotype"/>
          <w:i/>
          <w:color w:val="000000"/>
          <w:sz w:val="22"/>
          <w:szCs w:val="22"/>
        </w:rPr>
        <w:t>"</w:t>
      </w:r>
      <w:r w:rsidR="001A6EAB" w:rsidRPr="002B71DF">
        <w:rPr>
          <w:rFonts w:ascii="Palatino Linotype" w:hAnsi="Palatino Linotype"/>
          <w:i/>
          <w:color w:val="000000"/>
          <w:sz w:val="22"/>
          <w:szCs w:val="22"/>
        </w:rPr>
        <w:t xml:space="preserve"> </w:t>
      </w:r>
      <w:r w:rsidRPr="002B71DF">
        <w:rPr>
          <w:rFonts w:ascii="Palatino Linotype" w:hAnsi="Palatino Linotype" w:cs="Arial"/>
          <w:i/>
          <w:sz w:val="22"/>
          <w:szCs w:val="22"/>
          <w:lang w:val="es-ES"/>
        </w:rPr>
        <w:t>(Sic)</w:t>
      </w:r>
    </w:p>
    <w:p w14:paraId="3237F581" w14:textId="77777777" w:rsidR="0009677C" w:rsidRPr="002B71DF" w:rsidRDefault="0009677C" w:rsidP="00A068B7">
      <w:pPr>
        <w:tabs>
          <w:tab w:val="left" w:pos="426"/>
          <w:tab w:val="left" w:pos="993"/>
        </w:tabs>
        <w:jc w:val="both"/>
        <w:rPr>
          <w:rStyle w:val="Ttulo2Car"/>
          <w:rFonts w:ascii="Palatino Linotype" w:eastAsia="Times New Roman" w:hAnsi="Palatino Linotype" w:cs="Arial"/>
          <w:i/>
          <w:color w:val="auto"/>
          <w:sz w:val="22"/>
          <w:szCs w:val="22"/>
          <w:lang w:val="es-ES"/>
        </w:rPr>
      </w:pPr>
    </w:p>
    <w:p w14:paraId="27D21D0C" w14:textId="77777777" w:rsidR="00D262C2" w:rsidRPr="002B71DF" w:rsidRDefault="00D262C2" w:rsidP="00D262C2">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2B71DF">
        <w:rPr>
          <w:rFonts w:ascii="Palatino Linotype" w:eastAsia="Calibri" w:hAnsi="Palatino Linotype" w:cs="Arial"/>
          <w:sz w:val="24"/>
          <w:lang w:val="es-ES"/>
        </w:rPr>
        <w:t xml:space="preserve">Se registró el recurso de revisión bajo el número de expediente al rubro indicado, asimismo, con fundamento en lo dispuesto por el artículo 185 fracción I de la </w:t>
      </w:r>
      <w:r w:rsidRPr="002B71DF">
        <w:rPr>
          <w:rFonts w:ascii="Palatino Linotype" w:eastAsia="Calibri" w:hAnsi="Palatino Linotype" w:cs="Arial"/>
          <w:b/>
          <w:sz w:val="24"/>
          <w:lang w:val="es-ES"/>
        </w:rPr>
        <w:t>Ley de Transparencia y Acceso a la Información Pública del Estado de México y Municipios</w:t>
      </w:r>
      <w:r w:rsidR="005156AA" w:rsidRPr="002B71DF">
        <w:rPr>
          <w:rFonts w:ascii="Palatino Linotype" w:eastAsia="Calibri" w:hAnsi="Palatino Linotype" w:cs="Arial"/>
          <w:sz w:val="24"/>
          <w:lang w:val="es-ES"/>
        </w:rPr>
        <w:t>, se turnó a la</w:t>
      </w:r>
      <w:r w:rsidRPr="002B71DF">
        <w:rPr>
          <w:rFonts w:ascii="Palatino Linotype" w:eastAsia="Calibri" w:hAnsi="Palatino Linotype" w:cs="Arial"/>
          <w:sz w:val="24"/>
          <w:lang w:val="es-ES"/>
        </w:rPr>
        <w:t xml:space="preserve"> </w:t>
      </w:r>
      <w:r w:rsidR="005156AA" w:rsidRPr="002B71DF">
        <w:rPr>
          <w:rFonts w:ascii="Palatino Linotype" w:eastAsia="Calibri" w:hAnsi="Palatino Linotype" w:cs="Arial"/>
          <w:b/>
          <w:sz w:val="24"/>
          <w:lang w:val="es-ES"/>
        </w:rPr>
        <w:t xml:space="preserve">Comisionada </w:t>
      </w:r>
      <w:r w:rsidR="00CC0337" w:rsidRPr="002B71DF">
        <w:rPr>
          <w:rFonts w:ascii="Palatino Linotype" w:eastAsia="Calibri" w:hAnsi="Palatino Linotype" w:cs="Arial"/>
          <w:b/>
          <w:sz w:val="24"/>
          <w:lang w:val="es-ES"/>
        </w:rPr>
        <w:t>María del Rosario Mejía Ayala</w:t>
      </w:r>
      <w:r w:rsidRPr="002B71DF">
        <w:rPr>
          <w:rFonts w:ascii="Palatino Linotype" w:eastAsia="Calibri" w:hAnsi="Palatino Linotype" w:cs="Arial"/>
          <w:sz w:val="24"/>
          <w:lang w:val="es-ES"/>
        </w:rPr>
        <w:t>, con el objeto de su análisis.</w:t>
      </w:r>
    </w:p>
    <w:p w14:paraId="246C2452" w14:textId="77777777" w:rsidR="00746A1A" w:rsidRPr="002B71DF" w:rsidRDefault="00746A1A" w:rsidP="00746A1A">
      <w:pPr>
        <w:pStyle w:val="Prrafodelista"/>
        <w:tabs>
          <w:tab w:val="left" w:pos="284"/>
        </w:tabs>
        <w:spacing w:before="240" w:after="240" w:line="360" w:lineRule="auto"/>
        <w:ind w:left="0"/>
        <w:jc w:val="both"/>
        <w:rPr>
          <w:rFonts w:ascii="Palatino Linotype" w:eastAsia="Calibri" w:hAnsi="Palatino Linotype" w:cs="Arial"/>
          <w:color w:val="000000" w:themeColor="text1"/>
          <w:sz w:val="24"/>
          <w:lang w:val="es-ES"/>
        </w:rPr>
      </w:pPr>
    </w:p>
    <w:p w14:paraId="431B02C7" w14:textId="56E0965A" w:rsidR="00DF3EEA" w:rsidRPr="002B71DF" w:rsidRDefault="001A6EAB" w:rsidP="00DF3EEA">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2B71DF">
        <w:rPr>
          <w:rFonts w:ascii="Palatino Linotype" w:eastAsia="Calibri" w:hAnsi="Palatino Linotype" w:cs="Arial"/>
          <w:sz w:val="24"/>
          <w:lang w:val="es-ES"/>
        </w:rPr>
        <w:t xml:space="preserve">La Comisionada Ponente, con fundamento en lo dispuesto por el artículo 185 fracción II de la ley de la materia, a través del acuerdo de admisión del </w:t>
      </w:r>
      <w:r w:rsidR="002C62C4" w:rsidRPr="002B71DF">
        <w:rPr>
          <w:rFonts w:ascii="Palatino Linotype" w:eastAsia="Calibri" w:hAnsi="Palatino Linotype" w:cs="Arial"/>
          <w:sz w:val="24"/>
          <w:lang w:val="es-ES"/>
        </w:rPr>
        <w:t>uno</w:t>
      </w:r>
      <w:r w:rsidR="00746A1A" w:rsidRPr="002B71DF">
        <w:rPr>
          <w:rFonts w:ascii="Palatino Linotype" w:eastAsia="Calibri" w:hAnsi="Palatino Linotype" w:cs="Arial"/>
          <w:sz w:val="24"/>
          <w:lang w:val="es-ES"/>
        </w:rPr>
        <w:t xml:space="preserve"> (0</w:t>
      </w:r>
      <w:r w:rsidR="002C62C4" w:rsidRPr="002B71DF">
        <w:rPr>
          <w:rFonts w:ascii="Palatino Linotype" w:eastAsia="Calibri" w:hAnsi="Palatino Linotype" w:cs="Arial"/>
          <w:sz w:val="24"/>
          <w:lang w:val="es-ES"/>
        </w:rPr>
        <w:t>1</w:t>
      </w:r>
      <w:r w:rsidRPr="002B71DF">
        <w:rPr>
          <w:rFonts w:ascii="Palatino Linotype" w:eastAsia="Calibri" w:hAnsi="Palatino Linotype" w:cs="Arial"/>
          <w:sz w:val="24"/>
          <w:lang w:val="es-ES"/>
        </w:rPr>
        <w:t xml:space="preserve">) de </w:t>
      </w:r>
      <w:r w:rsidR="002C62C4" w:rsidRPr="002B71DF">
        <w:rPr>
          <w:rFonts w:ascii="Palatino Linotype" w:eastAsia="Calibri" w:hAnsi="Palatino Linotype" w:cs="Arial"/>
          <w:sz w:val="24"/>
          <w:lang w:val="es-ES"/>
        </w:rPr>
        <w:t>marzo</w:t>
      </w:r>
      <w:r w:rsidRPr="002B71DF">
        <w:rPr>
          <w:rFonts w:ascii="Palatino Linotype" w:eastAsia="Calibri" w:hAnsi="Palatino Linotype" w:cs="Arial"/>
          <w:sz w:val="24"/>
          <w:lang w:val="es-ES"/>
        </w:rPr>
        <w:t xml:space="preserve"> de dos mil veintidós, puso a disposición de las partes el expediente electrónico </w:t>
      </w:r>
      <w:r w:rsidRPr="002B71DF">
        <w:rPr>
          <w:rFonts w:ascii="Palatino Linotype" w:eastAsia="Calibri" w:hAnsi="Palatino Linotype" w:cs="Arial"/>
          <w:sz w:val="24"/>
        </w:rPr>
        <w:t xml:space="preserve">vía </w:t>
      </w:r>
      <w:r w:rsidRPr="002B71DF">
        <w:rPr>
          <w:rFonts w:ascii="Palatino Linotype" w:eastAsia="Calibri" w:hAnsi="Palatino Linotype" w:cs="Arial"/>
          <w:sz w:val="24"/>
          <w:lang w:val="es-ES"/>
        </w:rPr>
        <w:t xml:space="preserve">Sistema de Acceso a la Información Mexiquense </w:t>
      </w:r>
      <w:r w:rsidRPr="002B71DF">
        <w:rPr>
          <w:rFonts w:ascii="Palatino Linotype" w:eastAsia="Calibri" w:hAnsi="Palatino Linotype" w:cs="Arial"/>
          <w:b/>
          <w:sz w:val="24"/>
          <w:lang w:val="es-ES"/>
        </w:rPr>
        <w:t xml:space="preserve">SAIMEX </w:t>
      </w:r>
      <w:r w:rsidRPr="002B71DF">
        <w:rPr>
          <w:rFonts w:ascii="Palatino Linotype" w:eastAsia="Calibri" w:hAnsi="Palatino Linotype" w:cs="Arial"/>
          <w:sz w:val="24"/>
          <w:lang w:val="es-ES"/>
        </w:rPr>
        <w:t xml:space="preserve">a efecto de que en un plazo máximo de siete días manifestaran lo que a su derecho conviniera, ofrecieran pruebas y alegatos según correspondiera a los casos concretos, de esta forma para que el </w:t>
      </w:r>
      <w:r w:rsidRPr="002B71DF">
        <w:rPr>
          <w:rFonts w:ascii="Palatino Linotype" w:eastAsia="Calibri" w:hAnsi="Palatino Linotype" w:cs="Arial"/>
          <w:b/>
          <w:sz w:val="24"/>
          <w:lang w:val="es-ES"/>
        </w:rPr>
        <w:t>SUJETO OBLIGADO</w:t>
      </w:r>
      <w:r w:rsidRPr="002B71DF">
        <w:rPr>
          <w:rFonts w:ascii="Palatino Linotype" w:eastAsia="Calibri" w:hAnsi="Palatino Linotype" w:cs="Arial"/>
          <w:sz w:val="24"/>
          <w:lang w:val="es-ES"/>
        </w:rPr>
        <w:t xml:space="preserve"> presentara el Informe Justificado procedente.</w:t>
      </w:r>
    </w:p>
    <w:p w14:paraId="6B8FD1A1" w14:textId="77777777" w:rsidR="00DF3EEA" w:rsidRPr="002B71DF" w:rsidRDefault="00DF3EEA" w:rsidP="00DF3EEA">
      <w:pPr>
        <w:pStyle w:val="Prrafodelista"/>
        <w:tabs>
          <w:tab w:val="left" w:pos="284"/>
        </w:tabs>
        <w:spacing w:before="240" w:after="240" w:line="360" w:lineRule="auto"/>
        <w:ind w:left="0"/>
        <w:jc w:val="both"/>
        <w:rPr>
          <w:rFonts w:ascii="Palatino Linotype" w:eastAsia="Calibri" w:hAnsi="Palatino Linotype" w:cs="Arial"/>
          <w:color w:val="000000" w:themeColor="text1"/>
          <w:sz w:val="24"/>
          <w:lang w:val="es-ES"/>
        </w:rPr>
      </w:pPr>
    </w:p>
    <w:p w14:paraId="5DB94DA7" w14:textId="17644CA9" w:rsidR="002C62C4" w:rsidRPr="002B71DF" w:rsidRDefault="00DF3EEA" w:rsidP="002C62C4">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2B71DF">
        <w:rPr>
          <w:rFonts w:ascii="Palatino Linotype" w:eastAsia="Calibri" w:hAnsi="Palatino Linotype" w:cs="Arial"/>
          <w:sz w:val="24"/>
          <w:lang w:val="es-ES"/>
        </w:rPr>
        <w:t xml:space="preserve">El </w:t>
      </w:r>
      <w:r w:rsidR="00746A1A" w:rsidRPr="002B71DF">
        <w:rPr>
          <w:rFonts w:ascii="Palatino Linotype" w:eastAsiaTheme="minorEastAsia" w:hAnsi="Palatino Linotype"/>
          <w:b/>
          <w:sz w:val="24"/>
          <w:lang w:val="es-ES_tradnl" w:eastAsia="es-ES"/>
        </w:rPr>
        <w:t>SUJETO OBLIGADO</w:t>
      </w:r>
      <w:r w:rsidRPr="002B71DF">
        <w:rPr>
          <w:rFonts w:ascii="Palatino Linotype" w:eastAsiaTheme="minorEastAsia" w:hAnsi="Palatino Linotype"/>
          <w:sz w:val="24"/>
          <w:lang w:val="es-ES_tradnl" w:eastAsia="es-ES"/>
        </w:rPr>
        <w:t xml:space="preserve"> rindió </w:t>
      </w:r>
      <w:r w:rsidR="00746A1A" w:rsidRPr="002B71DF">
        <w:rPr>
          <w:rFonts w:ascii="Palatino Linotype" w:eastAsiaTheme="minorEastAsia" w:hAnsi="Palatino Linotype"/>
          <w:sz w:val="24"/>
          <w:lang w:val="es-ES_tradnl" w:eastAsia="es-ES"/>
        </w:rPr>
        <w:t xml:space="preserve">el </w:t>
      </w:r>
      <w:r w:rsidRPr="002B71DF">
        <w:rPr>
          <w:rFonts w:ascii="Palatino Linotype" w:eastAsiaTheme="minorEastAsia" w:hAnsi="Palatino Linotype"/>
          <w:sz w:val="24"/>
          <w:lang w:val="es-ES_tradnl" w:eastAsia="es-ES"/>
        </w:rPr>
        <w:t>informe justificado para manifestar lo que a su derecho conviniera</w:t>
      </w:r>
      <w:r w:rsidR="00746A1A" w:rsidRPr="002B71DF">
        <w:rPr>
          <w:rFonts w:ascii="Palatino Linotype" w:eastAsiaTheme="minorEastAsia" w:hAnsi="Palatino Linotype"/>
          <w:sz w:val="24"/>
          <w:lang w:val="es-ES_tradnl" w:eastAsia="es-ES"/>
        </w:rPr>
        <w:t>, a través de</w:t>
      </w:r>
      <w:r w:rsidR="002C62C4" w:rsidRPr="002B71DF">
        <w:rPr>
          <w:rFonts w:ascii="Palatino Linotype" w:eastAsiaTheme="minorEastAsia" w:hAnsi="Palatino Linotype"/>
          <w:sz w:val="24"/>
          <w:lang w:val="es-ES_tradnl" w:eastAsia="es-ES"/>
        </w:rPr>
        <w:t>l</w:t>
      </w:r>
      <w:r w:rsidR="00746A1A" w:rsidRPr="002B71DF">
        <w:rPr>
          <w:rFonts w:ascii="Palatino Linotype" w:eastAsiaTheme="minorEastAsia" w:hAnsi="Palatino Linotype"/>
          <w:sz w:val="24"/>
          <w:lang w:val="es-ES_tradnl" w:eastAsia="es-ES"/>
        </w:rPr>
        <w:t xml:space="preserve"> siguiente archivo electrónico:</w:t>
      </w:r>
    </w:p>
    <w:p w14:paraId="4B513C36" w14:textId="76DBD453" w:rsidR="00C164BC" w:rsidRPr="002B71DF" w:rsidRDefault="00B02EDF" w:rsidP="002C62C4">
      <w:pPr>
        <w:pStyle w:val="Prrafodelista"/>
        <w:numPr>
          <w:ilvl w:val="0"/>
          <w:numId w:val="22"/>
        </w:numPr>
        <w:jc w:val="both"/>
        <w:rPr>
          <w:rFonts w:ascii="Palatino Linotype" w:hAnsi="Palatino Linotype" w:cs="Arial"/>
          <w:szCs w:val="22"/>
        </w:rPr>
      </w:pPr>
      <w:hyperlink r:id="rId13" w:history="1">
        <w:r w:rsidR="002C62C4" w:rsidRPr="002B71DF">
          <w:rPr>
            <w:rStyle w:val="Hipervnculo"/>
            <w:rFonts w:ascii="Palatino Linotype" w:eastAsiaTheme="majorEastAsia" w:hAnsi="Palatino Linotype" w:cs="Arial"/>
            <w:b/>
            <w:bCs/>
            <w:color w:val="auto"/>
            <w:szCs w:val="22"/>
            <w:u w:val="none"/>
          </w:rPr>
          <w:t>Informe 01863_2022.pdf</w:t>
        </w:r>
      </w:hyperlink>
      <w:r w:rsidR="002C62C4" w:rsidRPr="002B71DF">
        <w:rPr>
          <w:rFonts w:ascii="Palatino Linotype" w:hAnsi="Palatino Linotype" w:cs="Arial"/>
          <w:szCs w:val="22"/>
        </w:rPr>
        <w:t xml:space="preserve">: </w:t>
      </w:r>
      <w:r w:rsidR="00B5242E" w:rsidRPr="002B71DF">
        <w:rPr>
          <w:rFonts w:ascii="Palatino Linotype" w:hAnsi="Palatino Linotype"/>
          <w:szCs w:val="22"/>
        </w:rPr>
        <w:t>Oficio número UT/</w:t>
      </w:r>
      <w:r w:rsidR="002C62C4" w:rsidRPr="002B71DF">
        <w:rPr>
          <w:rFonts w:ascii="Palatino Linotype" w:hAnsi="Palatino Linotype"/>
          <w:szCs w:val="22"/>
        </w:rPr>
        <w:t>RR/</w:t>
      </w:r>
      <w:r w:rsidR="00B5242E" w:rsidRPr="002B71DF">
        <w:rPr>
          <w:rFonts w:ascii="Palatino Linotype" w:hAnsi="Palatino Linotype"/>
          <w:szCs w:val="22"/>
        </w:rPr>
        <w:t>0</w:t>
      </w:r>
      <w:r w:rsidR="00C164BC" w:rsidRPr="002B71DF">
        <w:rPr>
          <w:rFonts w:ascii="Palatino Linotype" w:hAnsi="Palatino Linotype"/>
          <w:szCs w:val="22"/>
        </w:rPr>
        <w:t>0</w:t>
      </w:r>
      <w:r w:rsidR="002C62C4" w:rsidRPr="002B71DF">
        <w:rPr>
          <w:rFonts w:ascii="Palatino Linotype" w:hAnsi="Palatino Linotype"/>
          <w:szCs w:val="22"/>
        </w:rPr>
        <w:t>107</w:t>
      </w:r>
      <w:r w:rsidR="00C164BC" w:rsidRPr="002B71DF">
        <w:rPr>
          <w:rFonts w:ascii="Palatino Linotype" w:hAnsi="Palatino Linotype"/>
          <w:szCs w:val="22"/>
        </w:rPr>
        <w:t>/2022 del 1</w:t>
      </w:r>
      <w:r w:rsidR="002C62C4" w:rsidRPr="002B71DF">
        <w:rPr>
          <w:rFonts w:ascii="Palatino Linotype" w:hAnsi="Palatino Linotype"/>
          <w:szCs w:val="22"/>
        </w:rPr>
        <w:t>1</w:t>
      </w:r>
      <w:r w:rsidR="00C164BC" w:rsidRPr="002B71DF">
        <w:rPr>
          <w:rFonts w:ascii="Palatino Linotype" w:hAnsi="Palatino Linotype"/>
          <w:szCs w:val="22"/>
        </w:rPr>
        <w:t xml:space="preserve"> de </w:t>
      </w:r>
      <w:r w:rsidR="002C62C4" w:rsidRPr="002B71DF">
        <w:rPr>
          <w:rFonts w:ascii="Palatino Linotype" w:hAnsi="Palatino Linotype"/>
          <w:szCs w:val="22"/>
        </w:rPr>
        <w:t>marzo</w:t>
      </w:r>
      <w:r w:rsidR="00C164BC" w:rsidRPr="002B71DF">
        <w:rPr>
          <w:rFonts w:ascii="Palatino Linotype" w:hAnsi="Palatino Linotype"/>
          <w:szCs w:val="22"/>
        </w:rPr>
        <w:t xml:space="preserve"> de 2022, suscrito y signado por la Titular de la Unidad de Transparencia, por medio del cual</w:t>
      </w:r>
      <w:r w:rsidR="00E95091" w:rsidRPr="002B71DF">
        <w:rPr>
          <w:rFonts w:ascii="Palatino Linotype" w:hAnsi="Palatino Linotype"/>
          <w:szCs w:val="22"/>
        </w:rPr>
        <w:t>,</w:t>
      </w:r>
      <w:r w:rsidR="00C164BC" w:rsidRPr="002B71DF">
        <w:rPr>
          <w:rFonts w:ascii="Palatino Linotype" w:hAnsi="Palatino Linotype"/>
          <w:szCs w:val="22"/>
        </w:rPr>
        <w:t xml:space="preserve"> el SUJETO OBLIGADO rindió el informe justificado correspondiente y ratificó su respuesta inicial.</w:t>
      </w:r>
    </w:p>
    <w:p w14:paraId="4B8607AB" w14:textId="77777777" w:rsidR="005313FB" w:rsidRPr="002B71DF" w:rsidRDefault="005313FB" w:rsidP="002C62C4">
      <w:pPr>
        <w:jc w:val="both"/>
        <w:rPr>
          <w:rFonts w:ascii="Palatino Linotype" w:hAnsi="Palatino Linotype" w:cs="Arial"/>
          <w:szCs w:val="22"/>
        </w:rPr>
      </w:pPr>
    </w:p>
    <w:p w14:paraId="6E6B5D3B" w14:textId="38325791" w:rsidR="00746A1A" w:rsidRPr="002B71DF" w:rsidRDefault="00746A1A" w:rsidP="005313FB">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2B71DF">
        <w:rPr>
          <w:rFonts w:ascii="Palatino Linotype" w:eastAsiaTheme="minorEastAsia" w:hAnsi="Palatino Linotype"/>
          <w:sz w:val="24"/>
          <w:lang w:val="es-ES_tradnl" w:eastAsia="es-ES"/>
        </w:rPr>
        <w:t>P</w:t>
      </w:r>
      <w:r w:rsidR="00DF3EEA" w:rsidRPr="002B71DF">
        <w:rPr>
          <w:rFonts w:ascii="Palatino Linotype" w:eastAsiaTheme="minorEastAsia" w:hAnsi="Palatino Linotype"/>
          <w:sz w:val="24"/>
          <w:lang w:val="es-ES_tradnl" w:eastAsia="es-ES"/>
        </w:rPr>
        <w:t>or su parte la R</w:t>
      </w:r>
      <w:r w:rsidR="005313FB" w:rsidRPr="002B71DF">
        <w:rPr>
          <w:rFonts w:ascii="Palatino Linotype" w:eastAsiaTheme="minorEastAsia" w:hAnsi="Palatino Linotype"/>
          <w:sz w:val="24"/>
          <w:lang w:val="es-ES_tradnl" w:eastAsia="es-ES"/>
        </w:rPr>
        <w:t>ecurrente</w:t>
      </w:r>
      <w:r w:rsidR="00DF3EEA" w:rsidRPr="002B71DF">
        <w:rPr>
          <w:rFonts w:ascii="Palatino Linotype" w:eastAsiaTheme="minorEastAsia" w:hAnsi="Palatino Linotype"/>
          <w:sz w:val="24"/>
          <w:lang w:val="es-ES_tradnl" w:eastAsia="es-ES"/>
        </w:rPr>
        <w:t xml:space="preserve"> no presentó alegatos ni ofreció medios de prueba, según constancias del Sistema de Acceso a la Información Mexiquense </w:t>
      </w:r>
      <w:r w:rsidR="00DF3EEA" w:rsidRPr="002B71DF">
        <w:rPr>
          <w:rFonts w:ascii="Palatino Linotype" w:eastAsiaTheme="minorEastAsia" w:hAnsi="Palatino Linotype"/>
          <w:b/>
          <w:sz w:val="24"/>
          <w:lang w:val="es-ES_tradnl" w:eastAsia="es-ES"/>
        </w:rPr>
        <w:t>SAIMEX.</w:t>
      </w:r>
      <w:bookmarkStart w:id="3" w:name="_Toc461555889"/>
      <w:bookmarkStart w:id="4" w:name="_Toc466371858"/>
    </w:p>
    <w:p w14:paraId="7E563A73" w14:textId="77777777" w:rsidR="005313FB" w:rsidRPr="002B71DF" w:rsidRDefault="005313FB" w:rsidP="005313FB">
      <w:pPr>
        <w:pStyle w:val="Prrafodelista"/>
        <w:tabs>
          <w:tab w:val="left" w:pos="284"/>
        </w:tabs>
        <w:spacing w:before="240" w:after="240" w:line="360" w:lineRule="auto"/>
        <w:ind w:left="0"/>
        <w:jc w:val="both"/>
        <w:rPr>
          <w:rFonts w:ascii="Palatino Linotype" w:eastAsia="Calibri" w:hAnsi="Palatino Linotype" w:cs="Arial"/>
          <w:color w:val="000000" w:themeColor="text1"/>
          <w:sz w:val="24"/>
          <w:lang w:val="es-ES"/>
        </w:rPr>
      </w:pPr>
    </w:p>
    <w:p w14:paraId="0605AB0D" w14:textId="17317CF7" w:rsidR="005313FB" w:rsidRPr="002B71DF" w:rsidRDefault="005313FB" w:rsidP="005313FB">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2B71DF">
        <w:rPr>
          <w:rFonts w:ascii="Palatino Linotype" w:eastAsiaTheme="minorEastAsia" w:hAnsi="Palatino Linotype"/>
          <w:sz w:val="24"/>
          <w:lang w:val="es-ES_tradnl" w:eastAsia="es-ES"/>
        </w:rPr>
        <w:t xml:space="preserve">El dos (02) de junio de dos mil veintidós, </w:t>
      </w:r>
      <w:r w:rsidRPr="002B71DF">
        <w:rPr>
          <w:rFonts w:ascii="Palatino Linotype" w:hAnsi="Palatino Linotype" w:cs="Arial"/>
          <w:color w:val="000000" w:themeColor="text1"/>
          <w:sz w:val="24"/>
          <w:lang w:val="es-ES"/>
        </w:rPr>
        <w:t>con fundamento en el artículo 181, tercer párrafo, de la Ley de Transparencia y Acceso a la Información Pública del Estado de México y Municipios</w:t>
      </w:r>
      <w:r w:rsidRPr="002B71DF">
        <w:rPr>
          <w:rFonts w:ascii="Palatino Linotype" w:hAnsi="Palatino Linotype" w:cs="Arial"/>
          <w:bCs/>
          <w:color w:val="000000" w:themeColor="text1"/>
          <w:sz w:val="24"/>
          <w:lang w:val="es-ES"/>
        </w:rPr>
        <w:t xml:space="preserve"> </w:t>
      </w:r>
      <w:r w:rsidRPr="002B71DF">
        <w:rPr>
          <w:rFonts w:ascii="Palatino Linotype" w:hAnsi="Palatino Linotype" w:cs="Arial"/>
          <w:color w:val="000000" w:themeColor="text1"/>
          <w:sz w:val="24"/>
          <w:lang w:val="es-ES"/>
        </w:rPr>
        <w:t>se notificó que el plazo de treinta (30) días para resolver el recurso de revisión sería ampliado por un periodo de quince (15) días hábiles adicionales.</w:t>
      </w:r>
    </w:p>
    <w:p w14:paraId="6093BBC9" w14:textId="77777777" w:rsidR="005313FB" w:rsidRPr="002B71DF" w:rsidRDefault="005313FB" w:rsidP="005313FB">
      <w:pPr>
        <w:pStyle w:val="Prrafodelista"/>
        <w:tabs>
          <w:tab w:val="left" w:pos="284"/>
        </w:tabs>
        <w:spacing w:before="240" w:after="240" w:line="360" w:lineRule="auto"/>
        <w:ind w:left="0"/>
        <w:jc w:val="both"/>
        <w:rPr>
          <w:rFonts w:ascii="Palatino Linotype" w:eastAsia="Calibri" w:hAnsi="Palatino Linotype" w:cs="Arial"/>
          <w:color w:val="000000" w:themeColor="text1"/>
          <w:sz w:val="24"/>
          <w:lang w:val="es-ES"/>
        </w:rPr>
      </w:pPr>
    </w:p>
    <w:p w14:paraId="4A363D53" w14:textId="7DDDBF0A" w:rsidR="005313FB" w:rsidRPr="002B71DF" w:rsidRDefault="005313FB" w:rsidP="005313FB">
      <w:pPr>
        <w:pStyle w:val="Prrafodelista"/>
        <w:numPr>
          <w:ilvl w:val="0"/>
          <w:numId w:val="8"/>
        </w:numPr>
        <w:tabs>
          <w:tab w:val="left" w:pos="426"/>
        </w:tabs>
        <w:spacing w:line="360" w:lineRule="auto"/>
        <w:ind w:left="0" w:right="49" w:firstLine="0"/>
        <w:jc w:val="both"/>
        <w:rPr>
          <w:rFonts w:ascii="Palatino Linotype" w:hAnsi="Palatino Linotype" w:cs="Arial"/>
          <w:color w:val="000000" w:themeColor="text1"/>
          <w:sz w:val="24"/>
        </w:rPr>
      </w:pPr>
      <w:r w:rsidRPr="002B71DF">
        <w:rPr>
          <w:rFonts w:ascii="Palatino Linotype" w:hAnsi="Palatino Linotype"/>
          <w:color w:val="000000" w:themeColor="text1"/>
          <w:sz w:val="24"/>
        </w:rPr>
        <w:t xml:space="preserve">Este </w:t>
      </w:r>
      <w:r w:rsidRPr="002B71DF">
        <w:rPr>
          <w:rFonts w:ascii="Palatino Linotype" w:hAnsi="Palatino Linotype"/>
          <w:sz w:val="24"/>
        </w:rPr>
        <w:t>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3EF6E60F" w14:textId="77777777" w:rsidR="00CD39A6" w:rsidRPr="002B71DF" w:rsidRDefault="00CD39A6" w:rsidP="00CD39A6">
      <w:pPr>
        <w:pStyle w:val="Prrafodelista"/>
        <w:tabs>
          <w:tab w:val="left" w:pos="426"/>
        </w:tabs>
        <w:spacing w:line="360" w:lineRule="auto"/>
        <w:ind w:left="0" w:right="49"/>
        <w:jc w:val="both"/>
        <w:rPr>
          <w:rFonts w:ascii="Palatino Linotype" w:hAnsi="Palatino Linotype" w:cs="Arial"/>
          <w:color w:val="000000" w:themeColor="text1"/>
          <w:sz w:val="24"/>
        </w:rPr>
      </w:pPr>
    </w:p>
    <w:p w14:paraId="1DDB7970" w14:textId="77777777" w:rsidR="005313FB" w:rsidRPr="002B71DF" w:rsidRDefault="005313FB" w:rsidP="005313FB">
      <w:pPr>
        <w:pStyle w:val="Prrafodelista"/>
        <w:numPr>
          <w:ilvl w:val="0"/>
          <w:numId w:val="8"/>
        </w:numPr>
        <w:tabs>
          <w:tab w:val="left" w:pos="426"/>
        </w:tabs>
        <w:spacing w:line="360" w:lineRule="auto"/>
        <w:ind w:left="0" w:right="49" w:firstLine="0"/>
        <w:jc w:val="both"/>
        <w:rPr>
          <w:rFonts w:ascii="Palatino Linotype" w:hAnsi="Palatino Linotype" w:cs="Arial"/>
          <w:color w:val="000000" w:themeColor="text1"/>
          <w:sz w:val="24"/>
        </w:rPr>
      </w:pPr>
      <w:r w:rsidRPr="002B71DF">
        <w:rPr>
          <w:rFonts w:ascii="Palatino Linotype" w:hAnsi="Palatino Linotype"/>
          <w:sz w:val="24"/>
        </w:rPr>
        <w:t xml:space="preserve">Por ello, es menester precisar que si bien se ha excedido el plazo para resolver el presente medio de impugnación, de conformidad con la ley de la materia, dicha dilación es de carácter excepcional y se encuentra justificada en los elementos para </w:t>
      </w:r>
      <w:r w:rsidRPr="002B71DF">
        <w:rPr>
          <w:rFonts w:ascii="Palatino Linotype" w:hAnsi="Palatino Linotype"/>
          <w:sz w:val="24"/>
        </w:rPr>
        <w:lastRenderedPageBreak/>
        <w:t>medir la razonabilidad del plazo de resolución de asuntos conforme a los parámetros establecidos por diversos órganos jurisdiccionales federales, aplicables también en procedimientos análogos, como el que nos ocupa.</w:t>
      </w:r>
    </w:p>
    <w:p w14:paraId="07CE80D4" w14:textId="77777777" w:rsidR="005313FB" w:rsidRPr="002B71DF" w:rsidRDefault="005313FB" w:rsidP="005313FB">
      <w:pPr>
        <w:pStyle w:val="Prrafodelista"/>
        <w:tabs>
          <w:tab w:val="left" w:pos="426"/>
        </w:tabs>
        <w:spacing w:line="360" w:lineRule="auto"/>
        <w:ind w:left="0" w:right="49"/>
        <w:jc w:val="both"/>
        <w:rPr>
          <w:rFonts w:ascii="Palatino Linotype" w:hAnsi="Palatino Linotype" w:cs="Arial"/>
          <w:color w:val="000000" w:themeColor="text1"/>
          <w:sz w:val="24"/>
        </w:rPr>
      </w:pPr>
    </w:p>
    <w:p w14:paraId="1830EEE7" w14:textId="77777777" w:rsidR="005313FB" w:rsidRPr="002B71DF" w:rsidRDefault="005313FB" w:rsidP="005313FB">
      <w:pPr>
        <w:pStyle w:val="Prrafodelista"/>
        <w:numPr>
          <w:ilvl w:val="0"/>
          <w:numId w:val="8"/>
        </w:numPr>
        <w:tabs>
          <w:tab w:val="left" w:pos="426"/>
        </w:tabs>
        <w:spacing w:line="360" w:lineRule="auto"/>
        <w:ind w:left="0" w:right="49" w:firstLine="0"/>
        <w:jc w:val="both"/>
        <w:rPr>
          <w:rFonts w:ascii="Palatino Linotype" w:hAnsi="Palatino Linotype" w:cs="Arial"/>
          <w:color w:val="000000" w:themeColor="text1"/>
          <w:sz w:val="24"/>
        </w:rPr>
      </w:pPr>
      <w:r w:rsidRPr="002B71DF">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849DC00" w14:textId="77777777" w:rsidR="005313FB" w:rsidRPr="002B71DF" w:rsidRDefault="005313FB" w:rsidP="005313FB">
      <w:pPr>
        <w:pStyle w:val="Prrafodelista"/>
        <w:tabs>
          <w:tab w:val="left" w:pos="426"/>
        </w:tabs>
        <w:spacing w:line="360" w:lineRule="auto"/>
        <w:ind w:left="0" w:right="49"/>
        <w:jc w:val="both"/>
        <w:rPr>
          <w:rFonts w:ascii="Palatino Linotype" w:hAnsi="Palatino Linotype" w:cs="Arial"/>
          <w:color w:val="000000" w:themeColor="text1"/>
          <w:sz w:val="24"/>
        </w:rPr>
      </w:pPr>
    </w:p>
    <w:p w14:paraId="3489BBCD" w14:textId="77777777" w:rsidR="005313FB" w:rsidRPr="002B71DF" w:rsidRDefault="005313FB" w:rsidP="005313FB">
      <w:pPr>
        <w:pStyle w:val="Prrafodelista"/>
        <w:numPr>
          <w:ilvl w:val="0"/>
          <w:numId w:val="8"/>
        </w:numPr>
        <w:tabs>
          <w:tab w:val="left" w:pos="426"/>
        </w:tabs>
        <w:spacing w:line="360" w:lineRule="auto"/>
        <w:ind w:left="0" w:right="49" w:firstLine="0"/>
        <w:jc w:val="both"/>
        <w:rPr>
          <w:rFonts w:ascii="Palatino Linotype" w:hAnsi="Palatino Linotype" w:cs="Arial"/>
          <w:color w:val="000000" w:themeColor="text1"/>
          <w:sz w:val="24"/>
        </w:rPr>
      </w:pPr>
      <w:r w:rsidRPr="002B71DF">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2F66C1C" w14:textId="77777777" w:rsidR="005313FB" w:rsidRPr="002B71DF" w:rsidRDefault="005313FB" w:rsidP="005313FB">
      <w:pPr>
        <w:pStyle w:val="Prrafodelista"/>
        <w:tabs>
          <w:tab w:val="left" w:pos="426"/>
        </w:tabs>
        <w:spacing w:line="360" w:lineRule="auto"/>
        <w:ind w:left="0" w:right="49"/>
        <w:jc w:val="both"/>
        <w:rPr>
          <w:rFonts w:ascii="Palatino Linotype" w:hAnsi="Palatino Linotype" w:cs="Arial"/>
          <w:color w:val="000000" w:themeColor="text1"/>
          <w:sz w:val="24"/>
        </w:rPr>
      </w:pPr>
    </w:p>
    <w:p w14:paraId="629E3055" w14:textId="77777777" w:rsidR="005313FB" w:rsidRPr="002B71DF" w:rsidRDefault="005313FB" w:rsidP="005313FB">
      <w:pPr>
        <w:pStyle w:val="Prrafodelista"/>
        <w:numPr>
          <w:ilvl w:val="0"/>
          <w:numId w:val="8"/>
        </w:numPr>
        <w:tabs>
          <w:tab w:val="left" w:pos="426"/>
        </w:tabs>
        <w:spacing w:line="360" w:lineRule="auto"/>
        <w:ind w:left="0" w:right="49" w:firstLine="0"/>
        <w:jc w:val="both"/>
        <w:rPr>
          <w:rFonts w:ascii="Palatino Linotype" w:hAnsi="Palatino Linotype" w:cs="Arial"/>
          <w:color w:val="000000" w:themeColor="text1"/>
          <w:sz w:val="24"/>
        </w:rPr>
      </w:pPr>
      <w:r w:rsidRPr="002B71DF">
        <w:rPr>
          <w:rFonts w:ascii="Palatino Linotype" w:hAnsi="Palatino Linotype"/>
          <w:sz w:val="24"/>
        </w:rPr>
        <w:t>Por ello, excepcionalmente, si un asunto es resuelto con posterioridad a los plazos señalados por la norma debe analizarse la razonabilidad de dicha dilación atendiendo a los siguientes criterios:</w:t>
      </w:r>
    </w:p>
    <w:p w14:paraId="69B115A0" w14:textId="77777777" w:rsidR="005313FB" w:rsidRPr="002B71DF" w:rsidRDefault="005313FB" w:rsidP="005313FB">
      <w:pPr>
        <w:pStyle w:val="Prrafodelista"/>
        <w:tabs>
          <w:tab w:val="left" w:pos="426"/>
        </w:tabs>
        <w:spacing w:line="360" w:lineRule="auto"/>
        <w:ind w:left="0" w:right="49"/>
        <w:jc w:val="both"/>
        <w:rPr>
          <w:rFonts w:ascii="Palatino Linotype" w:hAnsi="Palatino Linotype"/>
          <w:sz w:val="24"/>
        </w:rPr>
      </w:pPr>
    </w:p>
    <w:p w14:paraId="499798C8" w14:textId="77777777" w:rsidR="005313FB" w:rsidRPr="002B71DF" w:rsidRDefault="005313FB" w:rsidP="005313FB">
      <w:pPr>
        <w:pStyle w:val="Prrafodelista"/>
        <w:numPr>
          <w:ilvl w:val="0"/>
          <w:numId w:val="19"/>
        </w:numPr>
        <w:ind w:left="851" w:right="616" w:hanging="284"/>
        <w:jc w:val="both"/>
        <w:rPr>
          <w:rFonts w:ascii="Palatino Linotype" w:hAnsi="Palatino Linotype"/>
          <w:szCs w:val="22"/>
        </w:rPr>
      </w:pPr>
      <w:r w:rsidRPr="002B71DF">
        <w:rPr>
          <w:rFonts w:ascii="Palatino Linotype" w:hAnsi="Palatino Linotype"/>
          <w:szCs w:val="22"/>
        </w:rPr>
        <w:t xml:space="preserve">Complejidad del Asunto: La complejidad de la prueba, la pluralidad de sujetos procesales, el tiempo transcurrido, las características y contexto del recurso. </w:t>
      </w:r>
    </w:p>
    <w:p w14:paraId="57CCFB95" w14:textId="77777777" w:rsidR="005313FB" w:rsidRPr="002B71DF" w:rsidRDefault="005313FB" w:rsidP="005313FB">
      <w:pPr>
        <w:pStyle w:val="Prrafodelista"/>
        <w:ind w:left="851" w:right="616" w:hanging="284"/>
        <w:jc w:val="both"/>
        <w:rPr>
          <w:rFonts w:ascii="Palatino Linotype" w:hAnsi="Palatino Linotype"/>
          <w:szCs w:val="22"/>
        </w:rPr>
      </w:pPr>
    </w:p>
    <w:p w14:paraId="6DDC758B" w14:textId="77777777" w:rsidR="005313FB" w:rsidRPr="002B71DF" w:rsidRDefault="005313FB" w:rsidP="005313FB">
      <w:pPr>
        <w:pStyle w:val="Prrafodelista"/>
        <w:numPr>
          <w:ilvl w:val="0"/>
          <w:numId w:val="19"/>
        </w:numPr>
        <w:ind w:left="851" w:right="616" w:hanging="284"/>
        <w:jc w:val="both"/>
        <w:rPr>
          <w:rFonts w:ascii="Palatino Linotype" w:hAnsi="Palatino Linotype"/>
          <w:szCs w:val="22"/>
        </w:rPr>
      </w:pPr>
      <w:r w:rsidRPr="002B71DF">
        <w:rPr>
          <w:rFonts w:ascii="Palatino Linotype" w:hAnsi="Palatino Linotype"/>
          <w:szCs w:val="22"/>
        </w:rPr>
        <w:t>Actividad Procesal del interesado. Acciones u omisiones del interesado.</w:t>
      </w:r>
    </w:p>
    <w:p w14:paraId="3D963D59" w14:textId="77777777" w:rsidR="005313FB" w:rsidRPr="002B71DF" w:rsidRDefault="005313FB" w:rsidP="005313FB">
      <w:pPr>
        <w:ind w:left="851" w:right="616" w:hanging="284"/>
        <w:jc w:val="both"/>
        <w:rPr>
          <w:rFonts w:ascii="Palatino Linotype" w:hAnsi="Palatino Linotype"/>
          <w:sz w:val="22"/>
          <w:szCs w:val="22"/>
        </w:rPr>
      </w:pPr>
    </w:p>
    <w:p w14:paraId="47BC4FE1" w14:textId="77777777" w:rsidR="005313FB" w:rsidRPr="002B71DF" w:rsidRDefault="005313FB" w:rsidP="005313FB">
      <w:pPr>
        <w:pStyle w:val="Prrafodelista"/>
        <w:numPr>
          <w:ilvl w:val="0"/>
          <w:numId w:val="19"/>
        </w:numPr>
        <w:ind w:left="851" w:right="616" w:hanging="284"/>
        <w:jc w:val="both"/>
        <w:rPr>
          <w:rFonts w:ascii="Palatino Linotype" w:hAnsi="Palatino Linotype"/>
          <w:szCs w:val="22"/>
        </w:rPr>
      </w:pPr>
      <w:r w:rsidRPr="002B71DF">
        <w:rPr>
          <w:rFonts w:ascii="Palatino Linotype" w:hAnsi="Palatino Linotype"/>
          <w:szCs w:val="22"/>
        </w:rPr>
        <w:t>Conducta de la Autoridad: Las Acciones u omisiones realizadas en el procedimiento. Así como si la autoridad actuó con la debida diligencia.</w:t>
      </w:r>
    </w:p>
    <w:p w14:paraId="1E514EB2" w14:textId="77777777" w:rsidR="005313FB" w:rsidRPr="002B71DF" w:rsidRDefault="005313FB" w:rsidP="005313FB">
      <w:pPr>
        <w:pStyle w:val="Prrafodelista"/>
        <w:ind w:left="851" w:right="616" w:hanging="284"/>
        <w:rPr>
          <w:rFonts w:ascii="Palatino Linotype" w:hAnsi="Palatino Linotype"/>
          <w:szCs w:val="22"/>
        </w:rPr>
      </w:pPr>
    </w:p>
    <w:p w14:paraId="3044C1FB" w14:textId="77777777" w:rsidR="005313FB" w:rsidRPr="002B71DF" w:rsidRDefault="005313FB" w:rsidP="005313FB">
      <w:pPr>
        <w:ind w:left="851" w:right="616" w:hanging="284"/>
        <w:jc w:val="both"/>
        <w:rPr>
          <w:rFonts w:ascii="Palatino Linotype" w:hAnsi="Palatino Linotype"/>
          <w:sz w:val="22"/>
          <w:szCs w:val="22"/>
        </w:rPr>
      </w:pPr>
      <w:r w:rsidRPr="002B71DF">
        <w:rPr>
          <w:rFonts w:ascii="Palatino Linotype" w:hAnsi="Palatino Linotype"/>
          <w:sz w:val="22"/>
          <w:szCs w:val="22"/>
        </w:rPr>
        <w:t>d) La afectación generada en la situación jurídica de la persona involucrada en el proceso: Violación a sus derechos humanos.</w:t>
      </w:r>
    </w:p>
    <w:p w14:paraId="58D28051" w14:textId="77777777" w:rsidR="005313FB" w:rsidRPr="002B71DF" w:rsidRDefault="005313FB" w:rsidP="005313FB">
      <w:pPr>
        <w:pStyle w:val="Prrafodelista"/>
        <w:tabs>
          <w:tab w:val="left" w:pos="426"/>
        </w:tabs>
        <w:spacing w:line="360" w:lineRule="auto"/>
        <w:ind w:left="0" w:right="49"/>
        <w:jc w:val="both"/>
        <w:rPr>
          <w:rFonts w:ascii="Palatino Linotype" w:hAnsi="Palatino Linotype" w:cs="Arial"/>
          <w:color w:val="000000" w:themeColor="text1"/>
          <w:sz w:val="24"/>
        </w:rPr>
      </w:pPr>
    </w:p>
    <w:p w14:paraId="1E917DDE" w14:textId="77777777" w:rsidR="005313FB" w:rsidRPr="002B71DF" w:rsidRDefault="005313FB" w:rsidP="005313FB">
      <w:pPr>
        <w:pStyle w:val="Prrafodelista"/>
        <w:numPr>
          <w:ilvl w:val="0"/>
          <w:numId w:val="8"/>
        </w:numPr>
        <w:tabs>
          <w:tab w:val="left" w:pos="426"/>
        </w:tabs>
        <w:spacing w:line="360" w:lineRule="auto"/>
        <w:ind w:left="0" w:right="49" w:firstLine="0"/>
        <w:jc w:val="both"/>
        <w:rPr>
          <w:rFonts w:ascii="Palatino Linotype" w:hAnsi="Palatino Linotype" w:cs="Arial"/>
          <w:color w:val="000000" w:themeColor="text1"/>
          <w:sz w:val="24"/>
        </w:rPr>
      </w:pPr>
      <w:r w:rsidRPr="002B71DF">
        <w:rPr>
          <w:rFonts w:ascii="Palatino Linotype" w:hAnsi="Palatino Linotype"/>
          <w:sz w:val="24"/>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E966A57" w14:textId="77777777" w:rsidR="005313FB" w:rsidRPr="002B71DF" w:rsidRDefault="005313FB" w:rsidP="005313FB">
      <w:pPr>
        <w:pStyle w:val="Prrafodelista"/>
        <w:tabs>
          <w:tab w:val="left" w:pos="426"/>
        </w:tabs>
        <w:spacing w:line="360" w:lineRule="auto"/>
        <w:ind w:left="0" w:right="49"/>
        <w:jc w:val="both"/>
        <w:rPr>
          <w:rFonts w:ascii="Palatino Linotype" w:hAnsi="Palatino Linotype" w:cs="Arial"/>
          <w:color w:val="000000" w:themeColor="text1"/>
          <w:sz w:val="24"/>
        </w:rPr>
      </w:pPr>
    </w:p>
    <w:p w14:paraId="7B7A6A63" w14:textId="77777777" w:rsidR="005313FB" w:rsidRPr="002B71DF" w:rsidRDefault="005313FB" w:rsidP="005313FB">
      <w:pPr>
        <w:pStyle w:val="Prrafodelista"/>
        <w:numPr>
          <w:ilvl w:val="0"/>
          <w:numId w:val="8"/>
        </w:numPr>
        <w:tabs>
          <w:tab w:val="left" w:pos="426"/>
        </w:tabs>
        <w:spacing w:line="360" w:lineRule="auto"/>
        <w:ind w:left="0" w:right="49" w:firstLine="0"/>
        <w:jc w:val="both"/>
        <w:rPr>
          <w:rFonts w:ascii="Palatino Linotype" w:hAnsi="Palatino Linotype" w:cs="Arial"/>
          <w:color w:val="000000" w:themeColor="text1"/>
          <w:sz w:val="24"/>
        </w:rPr>
      </w:pPr>
      <w:r w:rsidRPr="002B71DF">
        <w:rPr>
          <w:rFonts w:ascii="Palatino Linotype" w:hAnsi="Palatino Linotype"/>
          <w:sz w:val="24"/>
        </w:rPr>
        <w:t xml:space="preserve">Argumento que encuentra sustento en la jurisprudencia P./J. 32/92 emitida por el Pleno de la Suprema Corte de Justicia de la Nación de rubro </w:t>
      </w:r>
      <w:r w:rsidRPr="002B71DF">
        <w:rPr>
          <w:rFonts w:ascii="Palatino Linotype" w:hAnsi="Palatino Linotype"/>
          <w:i/>
          <w:sz w:val="24"/>
        </w:rPr>
        <w:t>“TÉRMINOS PROCESALES. PARA DETERMINAR SI UN FUNCIONARIO JUDICIAL ACTUÓ INDEBIDAMENTE POR NO RESPETARLOS SE DEBE ATENDER AL PRESUPUESTO QUE CONSIDERÓ EL LEGISLADOR AL FIJARLOS Y LAS CARACTERÍSTICAS DEL CASO.”</w:t>
      </w:r>
      <w:r w:rsidRPr="002B71DF">
        <w:rPr>
          <w:rFonts w:ascii="Palatino Linotype" w:hAnsi="Palatino Linotype"/>
          <w:sz w:val="24"/>
        </w:rPr>
        <w:t>, visible en la Gaceta del Seminario Judicial de la Federación con el registro digital 205635.</w:t>
      </w:r>
    </w:p>
    <w:p w14:paraId="22504F8D" w14:textId="77777777" w:rsidR="005313FB" w:rsidRPr="002B71DF" w:rsidRDefault="005313FB" w:rsidP="005313FB">
      <w:pPr>
        <w:pStyle w:val="Prrafodelista"/>
        <w:tabs>
          <w:tab w:val="left" w:pos="426"/>
        </w:tabs>
        <w:spacing w:line="360" w:lineRule="auto"/>
        <w:ind w:left="0" w:right="49"/>
        <w:jc w:val="both"/>
        <w:rPr>
          <w:rFonts w:ascii="Palatino Linotype" w:hAnsi="Palatino Linotype" w:cs="Arial"/>
          <w:color w:val="000000" w:themeColor="text1"/>
          <w:sz w:val="24"/>
        </w:rPr>
      </w:pPr>
    </w:p>
    <w:p w14:paraId="2D74F436" w14:textId="644BF70F" w:rsidR="005313FB" w:rsidRPr="002B71DF" w:rsidRDefault="005313FB" w:rsidP="005313FB">
      <w:pPr>
        <w:pStyle w:val="Prrafodelista"/>
        <w:numPr>
          <w:ilvl w:val="0"/>
          <w:numId w:val="8"/>
        </w:numPr>
        <w:tabs>
          <w:tab w:val="left" w:pos="426"/>
        </w:tabs>
        <w:spacing w:line="360" w:lineRule="auto"/>
        <w:ind w:left="0" w:right="49" w:firstLine="0"/>
        <w:jc w:val="both"/>
        <w:rPr>
          <w:rFonts w:ascii="Palatino Linotype" w:hAnsi="Palatino Linotype" w:cs="Arial"/>
          <w:color w:val="000000" w:themeColor="text1"/>
          <w:sz w:val="24"/>
        </w:rPr>
      </w:pPr>
      <w:r w:rsidRPr="002B71DF">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00A971D" w14:textId="041A078C" w:rsidR="005313FB" w:rsidRPr="002B71DF" w:rsidRDefault="005313FB" w:rsidP="005313FB">
      <w:pPr>
        <w:pStyle w:val="Prrafodelista"/>
        <w:numPr>
          <w:ilvl w:val="0"/>
          <w:numId w:val="8"/>
        </w:numPr>
        <w:tabs>
          <w:tab w:val="left" w:pos="426"/>
        </w:tabs>
        <w:spacing w:line="360" w:lineRule="auto"/>
        <w:ind w:left="0" w:right="49" w:firstLine="0"/>
        <w:jc w:val="both"/>
        <w:rPr>
          <w:rFonts w:ascii="Palatino Linotype" w:hAnsi="Palatino Linotype" w:cs="Arial"/>
          <w:color w:val="000000" w:themeColor="text1"/>
          <w:sz w:val="24"/>
        </w:rPr>
      </w:pPr>
      <w:r w:rsidRPr="002B71DF">
        <w:rPr>
          <w:rFonts w:ascii="Palatino Linotype" w:hAnsi="Palatino Linotype"/>
          <w:sz w:val="24"/>
        </w:rPr>
        <w:lastRenderedPageBreak/>
        <w:t>Por ello, este organismo garante comprometido con la tutela de los derechos humanos confiados, señala que este exceso del plazo legal para resolver el presente asunto, resulta de carácter excepcional.</w:t>
      </w:r>
    </w:p>
    <w:p w14:paraId="75A027B9" w14:textId="77777777" w:rsidR="00E95091" w:rsidRPr="002B71DF" w:rsidRDefault="00E95091" w:rsidP="00E95091">
      <w:pPr>
        <w:pStyle w:val="Prrafodelista"/>
        <w:tabs>
          <w:tab w:val="left" w:pos="426"/>
        </w:tabs>
        <w:spacing w:line="360" w:lineRule="auto"/>
        <w:ind w:left="0" w:right="49"/>
        <w:jc w:val="both"/>
        <w:rPr>
          <w:rFonts w:ascii="Palatino Linotype" w:hAnsi="Palatino Linotype" w:cs="Arial"/>
          <w:color w:val="000000" w:themeColor="text1"/>
          <w:sz w:val="24"/>
        </w:rPr>
      </w:pPr>
    </w:p>
    <w:p w14:paraId="5153EE81" w14:textId="77777777" w:rsidR="005313FB" w:rsidRPr="002B71DF" w:rsidRDefault="005313FB" w:rsidP="005313FB">
      <w:pPr>
        <w:pStyle w:val="Prrafodelista"/>
        <w:numPr>
          <w:ilvl w:val="0"/>
          <w:numId w:val="8"/>
        </w:numPr>
        <w:tabs>
          <w:tab w:val="left" w:pos="426"/>
        </w:tabs>
        <w:spacing w:line="360" w:lineRule="auto"/>
        <w:ind w:left="0" w:right="49" w:firstLine="0"/>
        <w:jc w:val="both"/>
        <w:rPr>
          <w:rFonts w:ascii="Palatino Linotype" w:hAnsi="Palatino Linotype" w:cs="Arial"/>
          <w:color w:val="000000" w:themeColor="text1"/>
          <w:sz w:val="24"/>
        </w:rPr>
      </w:pPr>
      <w:r w:rsidRPr="002B71DF">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1BF1A2D5" w14:textId="77777777" w:rsidR="005313FB" w:rsidRPr="002B71DF" w:rsidRDefault="005313FB" w:rsidP="005313FB">
      <w:pPr>
        <w:pStyle w:val="Prrafodelista"/>
        <w:tabs>
          <w:tab w:val="left" w:pos="426"/>
        </w:tabs>
        <w:spacing w:line="360" w:lineRule="auto"/>
        <w:ind w:left="0" w:right="49"/>
        <w:jc w:val="both"/>
        <w:rPr>
          <w:rFonts w:ascii="Palatino Linotype" w:hAnsi="Palatino Linotype" w:cs="Arial"/>
          <w:color w:val="000000" w:themeColor="text1"/>
        </w:rPr>
      </w:pPr>
    </w:p>
    <w:p w14:paraId="2000824C" w14:textId="77777777" w:rsidR="005313FB" w:rsidRPr="002B71DF" w:rsidRDefault="005313FB" w:rsidP="005313FB">
      <w:pPr>
        <w:ind w:left="567" w:right="616"/>
        <w:jc w:val="both"/>
        <w:rPr>
          <w:rFonts w:ascii="Palatino Linotype" w:hAnsi="Palatino Linotype"/>
          <w:sz w:val="22"/>
        </w:rPr>
      </w:pPr>
      <w:r w:rsidRPr="002B71DF">
        <w:rPr>
          <w:rFonts w:ascii="Palatino Linotype" w:hAnsi="Palatino Linotype"/>
          <w:i/>
          <w:sz w:val="22"/>
        </w:rPr>
        <w:t>“PLAZO RAZONABLE PARA RESOLVER. DIMENSIÓN Y EFECTOS DE ESTE CONCEPTO CUANDO SE ADUCE EXCESIVA CARGA DE TRABAJO.”</w:t>
      </w:r>
      <w:r w:rsidRPr="002B71DF">
        <w:rPr>
          <w:rFonts w:ascii="Palatino Linotype" w:hAnsi="Palatino Linotype"/>
          <w:sz w:val="22"/>
        </w:rPr>
        <w:t xml:space="preserve"> consultable en el Seminario Judicial de la Federación y su gaceta, con el registro digital 2002351.</w:t>
      </w:r>
    </w:p>
    <w:p w14:paraId="4E936AEF" w14:textId="77777777" w:rsidR="005313FB" w:rsidRPr="002B71DF" w:rsidRDefault="005313FB" w:rsidP="005313FB">
      <w:pPr>
        <w:tabs>
          <w:tab w:val="left" w:pos="2070"/>
        </w:tabs>
        <w:ind w:left="567" w:right="616"/>
        <w:jc w:val="both"/>
        <w:rPr>
          <w:rFonts w:ascii="Palatino Linotype" w:hAnsi="Palatino Linotype"/>
          <w:b/>
          <w:sz w:val="22"/>
        </w:rPr>
      </w:pPr>
      <w:r w:rsidRPr="002B71DF">
        <w:rPr>
          <w:rFonts w:ascii="Palatino Linotype" w:hAnsi="Palatino Linotype"/>
          <w:b/>
          <w:sz w:val="22"/>
        </w:rPr>
        <w:tab/>
      </w:r>
    </w:p>
    <w:p w14:paraId="087A3E0D" w14:textId="77777777" w:rsidR="005313FB" w:rsidRPr="002B71DF" w:rsidRDefault="005313FB" w:rsidP="005313FB">
      <w:pPr>
        <w:ind w:left="567" w:right="616"/>
        <w:jc w:val="both"/>
        <w:rPr>
          <w:rFonts w:ascii="Palatino Linotype" w:hAnsi="Palatino Linotype"/>
          <w:sz w:val="22"/>
        </w:rPr>
      </w:pPr>
      <w:r w:rsidRPr="002B71DF">
        <w:rPr>
          <w:rFonts w:ascii="Palatino Linotype" w:hAnsi="Palatino Linotype"/>
          <w:i/>
          <w:sz w:val="22"/>
        </w:rPr>
        <w:t>“PLAZO RAZONABLE PARA RESOLVER. CONCEPTO Y ELEMENTOS QUE LO INTEGRAN A LA LUZ DEL DERECHO INTERNACIONAL DE LOS DERECHOS HUMANOS.”</w:t>
      </w:r>
      <w:r w:rsidRPr="002B71DF">
        <w:rPr>
          <w:rFonts w:ascii="Palatino Linotype" w:hAnsi="Palatino Linotype"/>
          <w:sz w:val="22"/>
        </w:rPr>
        <w:t>, visible en el Seminario Judicial de la Federación y su gaceta, con el registro digital 2002350.</w:t>
      </w:r>
    </w:p>
    <w:p w14:paraId="54AB296D" w14:textId="77777777" w:rsidR="005313FB" w:rsidRPr="002B71DF" w:rsidRDefault="005313FB" w:rsidP="005313FB">
      <w:pPr>
        <w:rPr>
          <w:rFonts w:ascii="Palatino Linotype" w:hAnsi="Palatino Linotype"/>
        </w:rPr>
      </w:pPr>
    </w:p>
    <w:p w14:paraId="04427EC3" w14:textId="22145611" w:rsidR="005313FB" w:rsidRPr="002B71DF" w:rsidRDefault="005313FB" w:rsidP="005313FB">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2B71DF">
        <w:rPr>
          <w:rFonts w:ascii="Palatino Linotype" w:hAnsi="Palatino Linotype"/>
          <w:sz w:val="24"/>
        </w:rPr>
        <w:t>Por ello, este Organismo Garante comprometido con la tutela de los derechos humanos confiados, señala que este exceso de plazo legal para resolver el presente asunto, resulta de carácter excepcional.</w:t>
      </w:r>
    </w:p>
    <w:p w14:paraId="4C800C9E" w14:textId="77777777" w:rsidR="005313FB" w:rsidRPr="002B71DF" w:rsidRDefault="005313FB" w:rsidP="005313FB">
      <w:pPr>
        <w:pStyle w:val="Prrafodelista"/>
        <w:tabs>
          <w:tab w:val="left" w:pos="284"/>
        </w:tabs>
        <w:spacing w:before="240" w:after="240" w:line="360" w:lineRule="auto"/>
        <w:ind w:left="0"/>
        <w:jc w:val="both"/>
        <w:rPr>
          <w:rFonts w:ascii="Palatino Linotype" w:eastAsia="Calibri" w:hAnsi="Palatino Linotype" w:cs="Arial"/>
          <w:color w:val="000000" w:themeColor="text1"/>
          <w:sz w:val="24"/>
          <w:lang w:val="es-ES"/>
        </w:rPr>
      </w:pPr>
    </w:p>
    <w:p w14:paraId="0F600A70" w14:textId="4953B435" w:rsidR="005313FB" w:rsidRPr="002B71DF" w:rsidRDefault="00746A1A" w:rsidP="005313FB">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2B71DF">
        <w:rPr>
          <w:rFonts w:ascii="Palatino Linotype" w:eastAsia="Calibri" w:hAnsi="Palatino Linotype" w:cs="Arial"/>
          <w:color w:val="000000" w:themeColor="text1"/>
          <w:sz w:val="24"/>
          <w:lang w:val="es-ES"/>
        </w:rPr>
        <w:t>El veintiséis (26) de septiembre de dos mil veintidós, l</w:t>
      </w:r>
      <w:r w:rsidR="00B57611" w:rsidRPr="002B71DF">
        <w:rPr>
          <w:rFonts w:ascii="Palatino Linotype" w:eastAsia="Calibri" w:hAnsi="Palatino Linotype" w:cs="Arial"/>
          <w:color w:val="000000" w:themeColor="text1"/>
          <w:sz w:val="24"/>
          <w:lang w:val="es-ES"/>
        </w:rPr>
        <w:t>a</w:t>
      </w:r>
      <w:r w:rsidRPr="002B71DF">
        <w:rPr>
          <w:rFonts w:ascii="Palatino Linotype" w:eastAsia="Calibri" w:hAnsi="Palatino Linotype" w:cs="Arial"/>
          <w:color w:val="000000" w:themeColor="text1"/>
          <w:sz w:val="24"/>
          <w:lang w:val="es-ES"/>
        </w:rPr>
        <w:t xml:space="preserve"> Recurrente se desistió del recurso de revisión.</w:t>
      </w:r>
    </w:p>
    <w:p w14:paraId="78840791" w14:textId="77777777" w:rsidR="005313FB" w:rsidRPr="002B71DF" w:rsidRDefault="005313FB" w:rsidP="005313FB">
      <w:pPr>
        <w:pStyle w:val="Prrafodelista"/>
        <w:tabs>
          <w:tab w:val="left" w:pos="284"/>
        </w:tabs>
        <w:spacing w:before="240" w:after="240" w:line="360" w:lineRule="auto"/>
        <w:ind w:left="0"/>
        <w:jc w:val="both"/>
        <w:rPr>
          <w:rFonts w:ascii="Palatino Linotype" w:eastAsia="Calibri" w:hAnsi="Palatino Linotype" w:cs="Arial"/>
          <w:color w:val="000000" w:themeColor="text1"/>
          <w:sz w:val="24"/>
          <w:lang w:val="es-ES"/>
        </w:rPr>
      </w:pPr>
    </w:p>
    <w:p w14:paraId="57710A70" w14:textId="1D662778" w:rsidR="00CE5940" w:rsidRPr="002B71DF" w:rsidRDefault="00D262C2" w:rsidP="005313FB">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2B71DF">
        <w:rPr>
          <w:rFonts w:ascii="Palatino Linotype" w:eastAsia="Calibri" w:hAnsi="Palatino Linotype" w:cs="Arial"/>
          <w:sz w:val="24"/>
        </w:rPr>
        <w:t>E</w:t>
      </w:r>
      <w:r w:rsidRPr="002B71DF">
        <w:rPr>
          <w:rFonts w:ascii="Palatino Linotype" w:eastAsia="Calibri" w:hAnsi="Palatino Linotype" w:cs="Arial"/>
          <w:sz w:val="24"/>
          <w:lang w:val="es-ES"/>
        </w:rPr>
        <w:t>l</w:t>
      </w:r>
      <w:r w:rsidRPr="002B71DF">
        <w:rPr>
          <w:rFonts w:ascii="Palatino Linotype" w:hAnsi="Palatino Linotype"/>
          <w:sz w:val="24"/>
        </w:rPr>
        <w:t xml:space="preserve"> Comisionado Ponente decretó el cierre del periodo de instrucción</w:t>
      </w:r>
      <w:r w:rsidRPr="002B71DF">
        <w:rPr>
          <w:rFonts w:ascii="Palatino Linotype" w:hAnsi="Palatino Linotype" w:cs="Arial"/>
          <w:sz w:val="24"/>
        </w:rPr>
        <w:t xml:space="preserve"> </w:t>
      </w:r>
      <w:r w:rsidR="00B00358" w:rsidRPr="002B71DF">
        <w:rPr>
          <w:rFonts w:ascii="Palatino Linotype" w:hAnsi="Palatino Linotype"/>
          <w:sz w:val="24"/>
        </w:rPr>
        <w:t xml:space="preserve">mediante acuerdo de </w:t>
      </w:r>
      <w:r w:rsidR="005313FB" w:rsidRPr="002B71DF">
        <w:rPr>
          <w:rFonts w:ascii="Palatino Linotype" w:hAnsi="Palatino Linotype"/>
          <w:sz w:val="24"/>
        </w:rPr>
        <w:t xml:space="preserve">diez </w:t>
      </w:r>
      <w:r w:rsidR="00D52A99" w:rsidRPr="002B71DF">
        <w:rPr>
          <w:rFonts w:ascii="Palatino Linotype" w:hAnsi="Palatino Linotype"/>
          <w:sz w:val="24"/>
        </w:rPr>
        <w:t>(</w:t>
      </w:r>
      <w:r w:rsidR="005313FB" w:rsidRPr="002B71DF">
        <w:rPr>
          <w:rFonts w:ascii="Palatino Linotype" w:hAnsi="Palatino Linotype"/>
          <w:sz w:val="24"/>
        </w:rPr>
        <w:t>10</w:t>
      </w:r>
      <w:r w:rsidR="00B00358" w:rsidRPr="002B71DF">
        <w:rPr>
          <w:rFonts w:ascii="Palatino Linotype" w:hAnsi="Palatino Linotype"/>
          <w:sz w:val="24"/>
        </w:rPr>
        <w:t xml:space="preserve">) de </w:t>
      </w:r>
      <w:r w:rsidR="005313FB" w:rsidRPr="002B71DF">
        <w:rPr>
          <w:rFonts w:ascii="Palatino Linotype" w:hAnsi="Palatino Linotype"/>
          <w:sz w:val="24"/>
        </w:rPr>
        <w:t>octubr</w:t>
      </w:r>
      <w:r w:rsidR="001A6EAB" w:rsidRPr="002B71DF">
        <w:rPr>
          <w:rFonts w:ascii="Palatino Linotype" w:hAnsi="Palatino Linotype"/>
          <w:sz w:val="24"/>
        </w:rPr>
        <w:t>e</w:t>
      </w:r>
      <w:r w:rsidR="005156AA" w:rsidRPr="002B71DF">
        <w:rPr>
          <w:rFonts w:ascii="Palatino Linotype" w:hAnsi="Palatino Linotype"/>
          <w:sz w:val="24"/>
        </w:rPr>
        <w:t xml:space="preserve"> de dos mil veinti</w:t>
      </w:r>
      <w:r w:rsidR="00577A5A" w:rsidRPr="002B71DF">
        <w:rPr>
          <w:rFonts w:ascii="Palatino Linotype" w:hAnsi="Palatino Linotype"/>
          <w:sz w:val="24"/>
        </w:rPr>
        <w:t>dós</w:t>
      </w:r>
      <w:r w:rsidR="00CE5940" w:rsidRPr="002B71DF">
        <w:rPr>
          <w:rFonts w:ascii="Palatino Linotype" w:hAnsi="Palatino Linotype"/>
          <w:sz w:val="24"/>
        </w:rPr>
        <w:t>.</w:t>
      </w:r>
    </w:p>
    <w:p w14:paraId="21CEA771" w14:textId="77777777" w:rsidR="00DF3EEA" w:rsidRPr="002B71DF" w:rsidRDefault="00DF3EEA" w:rsidP="00B00358">
      <w:pPr>
        <w:pStyle w:val="Prrafodelista"/>
        <w:tabs>
          <w:tab w:val="left" w:pos="426"/>
        </w:tabs>
        <w:spacing w:line="360" w:lineRule="auto"/>
        <w:ind w:left="0"/>
        <w:jc w:val="both"/>
        <w:rPr>
          <w:rFonts w:ascii="Palatino Linotype" w:hAnsi="Palatino Linotype"/>
          <w:sz w:val="24"/>
        </w:rPr>
      </w:pPr>
    </w:p>
    <w:p w14:paraId="0F7C7F18" w14:textId="77777777" w:rsidR="00D262C2" w:rsidRPr="002B71DF" w:rsidRDefault="00D262C2" w:rsidP="00D262C2">
      <w:pPr>
        <w:pStyle w:val="Ttulo2"/>
        <w:jc w:val="center"/>
        <w:rPr>
          <w:rFonts w:ascii="Palatino Linotype" w:hAnsi="Palatino Linotype"/>
          <w:b/>
          <w:color w:val="000000" w:themeColor="text1"/>
          <w:sz w:val="24"/>
        </w:rPr>
      </w:pPr>
      <w:bookmarkStart w:id="5" w:name="_Toc81233124"/>
      <w:r w:rsidRPr="002B71DF">
        <w:rPr>
          <w:rFonts w:ascii="Palatino Linotype" w:hAnsi="Palatino Linotype"/>
          <w:b/>
          <w:color w:val="000000" w:themeColor="text1"/>
          <w:sz w:val="24"/>
        </w:rPr>
        <w:lastRenderedPageBreak/>
        <w:t>CONSIDERANDO</w:t>
      </w:r>
      <w:bookmarkEnd w:id="3"/>
      <w:bookmarkEnd w:id="4"/>
      <w:bookmarkEnd w:id="5"/>
    </w:p>
    <w:p w14:paraId="362468D4" w14:textId="77777777" w:rsidR="00D262C2" w:rsidRPr="002B71DF" w:rsidRDefault="00D262C2" w:rsidP="00D262C2">
      <w:pPr>
        <w:rPr>
          <w:lang w:eastAsia="en-US"/>
        </w:rPr>
      </w:pPr>
    </w:p>
    <w:p w14:paraId="2DD64DD4" w14:textId="77777777" w:rsidR="00D262C2" w:rsidRPr="002B71DF" w:rsidRDefault="00D262C2" w:rsidP="00D262C2">
      <w:pPr>
        <w:pStyle w:val="Ttulo2"/>
        <w:spacing w:line="360" w:lineRule="auto"/>
        <w:rPr>
          <w:rFonts w:ascii="Palatino Linotype" w:hAnsi="Palatino Linotype"/>
          <w:b/>
          <w:color w:val="auto"/>
          <w:sz w:val="24"/>
        </w:rPr>
      </w:pPr>
      <w:bookmarkStart w:id="6" w:name="_Toc461555890"/>
      <w:bookmarkStart w:id="7" w:name="_Toc466371859"/>
      <w:bookmarkStart w:id="8" w:name="_Toc81233125"/>
      <w:r w:rsidRPr="002B71DF">
        <w:rPr>
          <w:rFonts w:ascii="Palatino Linotype" w:hAnsi="Palatino Linotype"/>
          <w:b/>
          <w:color w:val="auto"/>
          <w:sz w:val="24"/>
        </w:rPr>
        <w:t>PRIMERO. De la competencia</w:t>
      </w:r>
      <w:bookmarkEnd w:id="6"/>
      <w:bookmarkEnd w:id="7"/>
      <w:bookmarkEnd w:id="8"/>
    </w:p>
    <w:p w14:paraId="11749C6E" w14:textId="77777777" w:rsidR="00D262C2" w:rsidRPr="002B71DF" w:rsidRDefault="00D262C2" w:rsidP="00D262C2">
      <w:pPr>
        <w:rPr>
          <w:lang w:eastAsia="en-US"/>
        </w:rPr>
      </w:pPr>
    </w:p>
    <w:p w14:paraId="41A1D657" w14:textId="77777777" w:rsidR="00D262C2" w:rsidRPr="002B71DF" w:rsidRDefault="008A657A" w:rsidP="00B00358">
      <w:pPr>
        <w:numPr>
          <w:ilvl w:val="0"/>
          <w:numId w:val="8"/>
        </w:numPr>
        <w:spacing w:line="360" w:lineRule="auto"/>
        <w:ind w:left="0" w:firstLine="0"/>
        <w:contextualSpacing/>
        <w:jc w:val="both"/>
        <w:rPr>
          <w:rFonts w:ascii="Palatino Linotype" w:eastAsiaTheme="minorEastAsia" w:hAnsi="Palatino Linotype"/>
          <w:lang w:val="es-ES_tradnl" w:eastAsia="es-ES"/>
        </w:rPr>
      </w:pPr>
      <w:r w:rsidRPr="002B71DF">
        <w:rPr>
          <w:rFonts w:ascii="Palatino Linotype" w:eastAsia="Calibri" w:hAnsi="Palatino Linotype"/>
          <w:lang w:val="es-ES" w:eastAsia="es-ES"/>
        </w:rPr>
        <w:t xml:space="preserve">Este </w:t>
      </w:r>
      <w:r w:rsidR="00B00358" w:rsidRPr="002B71DF">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B00358" w:rsidRPr="002B71DF">
        <w:rPr>
          <w:rFonts w:ascii="Palatino Linotype" w:eastAsiaTheme="minorEastAsia" w:hAnsi="Palatino Linotype"/>
          <w:lang w:val="es-ES_tradnl" w:eastAsia="es-ES"/>
        </w:rPr>
        <w:t>.</w:t>
      </w:r>
    </w:p>
    <w:p w14:paraId="78A8B226" w14:textId="77777777" w:rsidR="0009677C" w:rsidRPr="002B71DF" w:rsidRDefault="0009677C" w:rsidP="0009677C">
      <w:pPr>
        <w:spacing w:line="360" w:lineRule="auto"/>
        <w:contextualSpacing/>
        <w:jc w:val="both"/>
        <w:rPr>
          <w:rFonts w:ascii="Palatino Linotype" w:eastAsiaTheme="minorEastAsia" w:hAnsi="Palatino Linotype"/>
          <w:lang w:val="es-ES_tradnl" w:eastAsia="es-ES"/>
        </w:rPr>
      </w:pPr>
    </w:p>
    <w:p w14:paraId="1C2E15B9" w14:textId="57460D89" w:rsidR="00DA55B8" w:rsidRPr="002B71DF" w:rsidRDefault="00D262C2" w:rsidP="00E95091">
      <w:pPr>
        <w:pStyle w:val="Ttulo2"/>
        <w:tabs>
          <w:tab w:val="left" w:pos="284"/>
          <w:tab w:val="left" w:pos="426"/>
        </w:tabs>
        <w:spacing w:line="360" w:lineRule="auto"/>
        <w:rPr>
          <w:rFonts w:ascii="Palatino Linotype" w:hAnsi="Palatino Linotype"/>
          <w:b/>
          <w:color w:val="auto"/>
          <w:sz w:val="24"/>
          <w:szCs w:val="24"/>
        </w:rPr>
      </w:pPr>
      <w:bookmarkStart w:id="9" w:name="_Toc461555891"/>
      <w:bookmarkStart w:id="10" w:name="_Toc466371860"/>
      <w:bookmarkStart w:id="11" w:name="_Toc81233126"/>
      <w:r w:rsidRPr="002B71DF">
        <w:rPr>
          <w:rFonts w:ascii="Palatino Linotype" w:hAnsi="Palatino Linotype"/>
          <w:b/>
          <w:color w:val="auto"/>
          <w:sz w:val="24"/>
          <w:szCs w:val="24"/>
        </w:rPr>
        <w:t>SEGUNDO. De la oportunidad y procedencia.</w:t>
      </w:r>
      <w:bookmarkEnd w:id="9"/>
      <w:bookmarkEnd w:id="10"/>
      <w:bookmarkEnd w:id="11"/>
    </w:p>
    <w:p w14:paraId="4A53D376" w14:textId="74F8A917" w:rsidR="00B315FF" w:rsidRPr="002B71DF" w:rsidRDefault="00B315FF" w:rsidP="00B315FF">
      <w:pPr>
        <w:pStyle w:val="Prrafodelista"/>
        <w:numPr>
          <w:ilvl w:val="0"/>
          <w:numId w:val="8"/>
        </w:numPr>
        <w:tabs>
          <w:tab w:val="left" w:pos="284"/>
          <w:tab w:val="left" w:pos="426"/>
        </w:tabs>
        <w:spacing w:before="240" w:after="240" w:line="360" w:lineRule="auto"/>
        <w:ind w:left="0" w:right="49" w:firstLine="0"/>
        <w:jc w:val="both"/>
        <w:rPr>
          <w:rFonts w:ascii="Palatino Linotype" w:hAnsi="Palatino Linotype" w:cs="Arial"/>
          <w:bCs/>
          <w:sz w:val="24"/>
        </w:rPr>
      </w:pPr>
      <w:r w:rsidRPr="002B71DF">
        <w:rPr>
          <w:rFonts w:ascii="Palatino Linotype" w:eastAsia="Calibri" w:hAnsi="Palatino Linotype" w:cs="Arial"/>
          <w:sz w:val="24"/>
        </w:rPr>
        <w:t xml:space="preserve">El medio de impugnación fue presentado a través del </w:t>
      </w:r>
      <w:r w:rsidRPr="002B71DF">
        <w:rPr>
          <w:rFonts w:ascii="Palatino Linotype" w:eastAsia="Calibri" w:hAnsi="Palatino Linotype" w:cs="Arial"/>
          <w:b/>
          <w:sz w:val="24"/>
        </w:rPr>
        <w:t>SAIMEX</w:t>
      </w:r>
      <w:r w:rsidRPr="002B71DF">
        <w:rPr>
          <w:rFonts w:ascii="Palatino Linotype" w:eastAsia="Calibri" w:hAnsi="Palatino Linotype" w:cs="Arial"/>
          <w:sz w:val="24"/>
        </w:rPr>
        <w:t xml:space="preserve"> en el formato previamente aprobado para tal efecto y dentro del plazo legal de quince días hábiles otorgados; siendo así que el </w:t>
      </w:r>
      <w:r w:rsidRPr="002B71DF">
        <w:rPr>
          <w:rFonts w:ascii="Palatino Linotype" w:eastAsia="Calibri" w:hAnsi="Palatino Linotype" w:cs="Arial"/>
          <w:b/>
          <w:sz w:val="24"/>
        </w:rPr>
        <w:t>SUJETO OBLIGADO</w:t>
      </w:r>
      <w:r w:rsidRPr="002B71DF">
        <w:rPr>
          <w:rFonts w:ascii="Palatino Linotype" w:eastAsia="Calibri" w:hAnsi="Palatino Linotype" w:cs="Arial"/>
          <w:sz w:val="24"/>
        </w:rPr>
        <w:t xml:space="preserve"> entregó respuesta el </w:t>
      </w:r>
      <w:r w:rsidR="00CD39A6" w:rsidRPr="002B71DF">
        <w:rPr>
          <w:rFonts w:ascii="Palatino Linotype" w:eastAsia="Calibri" w:hAnsi="Palatino Linotype" w:cs="Arial"/>
          <w:sz w:val="24"/>
        </w:rPr>
        <w:t>veinticuatro</w:t>
      </w:r>
      <w:r w:rsidRPr="002B71DF">
        <w:rPr>
          <w:rFonts w:ascii="Palatino Linotype" w:eastAsia="Calibri" w:hAnsi="Palatino Linotype" w:cs="Arial"/>
          <w:sz w:val="24"/>
        </w:rPr>
        <w:t xml:space="preserve"> (</w:t>
      </w:r>
      <w:r w:rsidR="00CD39A6" w:rsidRPr="002B71DF">
        <w:rPr>
          <w:rFonts w:ascii="Palatino Linotype" w:eastAsia="Calibri" w:hAnsi="Palatino Linotype" w:cs="Arial"/>
          <w:sz w:val="24"/>
        </w:rPr>
        <w:t>24</w:t>
      </w:r>
      <w:r w:rsidRPr="002B71DF">
        <w:rPr>
          <w:rFonts w:ascii="Palatino Linotype" w:eastAsia="Calibri" w:hAnsi="Palatino Linotype" w:cs="Arial"/>
          <w:sz w:val="24"/>
        </w:rPr>
        <w:t xml:space="preserve">) de </w:t>
      </w:r>
      <w:r w:rsidR="00CD39A6" w:rsidRPr="002B71DF">
        <w:rPr>
          <w:rFonts w:ascii="Palatino Linotype" w:eastAsia="Calibri" w:hAnsi="Palatino Linotype" w:cs="Arial"/>
          <w:sz w:val="24"/>
        </w:rPr>
        <w:t>febrero</w:t>
      </w:r>
      <w:r w:rsidRPr="002B71DF">
        <w:rPr>
          <w:rFonts w:ascii="Palatino Linotype" w:eastAsia="Calibri" w:hAnsi="Palatino Linotype" w:cs="Arial"/>
          <w:sz w:val="24"/>
        </w:rPr>
        <w:t xml:space="preserve"> de dos mil veintidós, </w:t>
      </w:r>
      <w:r w:rsidRPr="002B71DF">
        <w:rPr>
          <w:rFonts w:ascii="Palatino Linotype" w:hAnsi="Palatino Linotype" w:cs="Arial"/>
          <w:sz w:val="24"/>
        </w:rPr>
        <w:t xml:space="preserve">de tal forma que el plazo para interponer el recurso de revisión transcurrió del </w:t>
      </w:r>
      <w:r w:rsidR="00CD39A6" w:rsidRPr="002B71DF">
        <w:rPr>
          <w:rFonts w:ascii="Palatino Linotype" w:hAnsi="Palatino Linotype" w:cs="Arial"/>
          <w:sz w:val="24"/>
        </w:rPr>
        <w:t>veinticinco</w:t>
      </w:r>
      <w:r w:rsidRPr="002B71DF">
        <w:rPr>
          <w:rFonts w:ascii="Palatino Linotype" w:hAnsi="Palatino Linotype" w:cs="Arial"/>
          <w:sz w:val="24"/>
        </w:rPr>
        <w:t xml:space="preserve"> (</w:t>
      </w:r>
      <w:r w:rsidR="00CD39A6" w:rsidRPr="002B71DF">
        <w:rPr>
          <w:rFonts w:ascii="Palatino Linotype" w:hAnsi="Palatino Linotype" w:cs="Arial"/>
          <w:sz w:val="24"/>
        </w:rPr>
        <w:t>25</w:t>
      </w:r>
      <w:r w:rsidRPr="002B71DF">
        <w:rPr>
          <w:rFonts w:ascii="Palatino Linotype" w:hAnsi="Palatino Linotype" w:cs="Arial"/>
          <w:sz w:val="24"/>
        </w:rPr>
        <w:t>)</w:t>
      </w:r>
      <w:r w:rsidR="00CD39A6" w:rsidRPr="002B71DF">
        <w:rPr>
          <w:rFonts w:ascii="Palatino Linotype" w:hAnsi="Palatino Linotype" w:cs="Arial"/>
          <w:sz w:val="24"/>
        </w:rPr>
        <w:t xml:space="preserve"> de febrero</w:t>
      </w:r>
      <w:r w:rsidRPr="002B71DF">
        <w:rPr>
          <w:rFonts w:ascii="Palatino Linotype" w:hAnsi="Palatino Linotype" w:cs="Arial"/>
          <w:sz w:val="24"/>
        </w:rPr>
        <w:t xml:space="preserve"> al veinti</w:t>
      </w:r>
      <w:r w:rsidR="00B57611" w:rsidRPr="002B71DF">
        <w:rPr>
          <w:rFonts w:ascii="Palatino Linotype" w:hAnsi="Palatino Linotype" w:cs="Arial"/>
          <w:sz w:val="24"/>
        </w:rPr>
        <w:t>dós</w:t>
      </w:r>
      <w:r w:rsidRPr="002B71DF">
        <w:rPr>
          <w:rFonts w:ascii="Palatino Linotype" w:hAnsi="Palatino Linotype" w:cs="Arial"/>
          <w:sz w:val="24"/>
        </w:rPr>
        <w:t xml:space="preserve"> (2</w:t>
      </w:r>
      <w:r w:rsidR="00B57611" w:rsidRPr="002B71DF">
        <w:rPr>
          <w:rFonts w:ascii="Palatino Linotype" w:hAnsi="Palatino Linotype" w:cs="Arial"/>
          <w:sz w:val="24"/>
        </w:rPr>
        <w:t>2</w:t>
      </w:r>
      <w:r w:rsidRPr="002B71DF">
        <w:rPr>
          <w:rFonts w:ascii="Palatino Linotype" w:hAnsi="Palatino Linotype" w:cs="Arial"/>
          <w:sz w:val="24"/>
        </w:rPr>
        <w:t xml:space="preserve">) de </w:t>
      </w:r>
      <w:r w:rsidR="00CD39A6" w:rsidRPr="002B71DF">
        <w:rPr>
          <w:rFonts w:ascii="Palatino Linotype" w:hAnsi="Palatino Linotype" w:cs="Arial"/>
          <w:sz w:val="24"/>
        </w:rPr>
        <w:t>marzo</w:t>
      </w:r>
      <w:r w:rsidRPr="002B71DF">
        <w:rPr>
          <w:rFonts w:ascii="Palatino Linotype" w:hAnsi="Palatino Linotype" w:cs="Arial"/>
          <w:sz w:val="24"/>
        </w:rPr>
        <w:t xml:space="preserve"> de dos mil veintidós,  en términos del artículo 3 fracción X de la </w:t>
      </w:r>
      <w:r w:rsidRPr="002B71DF">
        <w:rPr>
          <w:rFonts w:ascii="Palatino Linotype" w:hAnsi="Palatino Linotype"/>
          <w:sz w:val="24"/>
        </w:rPr>
        <w:t>Ley de Transparencia y Acceso a la Información Pública del Estado de México y Municipios.</w:t>
      </w:r>
    </w:p>
    <w:p w14:paraId="0CE442F7" w14:textId="562B0114" w:rsidR="00B315FF" w:rsidRPr="002B71DF" w:rsidRDefault="00B315FF" w:rsidP="00B315FF">
      <w:pPr>
        <w:pStyle w:val="Prrafodelista"/>
        <w:numPr>
          <w:ilvl w:val="0"/>
          <w:numId w:val="8"/>
        </w:numPr>
        <w:tabs>
          <w:tab w:val="left" w:pos="284"/>
          <w:tab w:val="left" w:pos="426"/>
        </w:tabs>
        <w:spacing w:before="240" w:after="240" w:line="360" w:lineRule="auto"/>
        <w:ind w:left="0" w:right="49" w:firstLine="0"/>
        <w:jc w:val="both"/>
        <w:rPr>
          <w:rFonts w:ascii="Palatino Linotype" w:hAnsi="Palatino Linotype" w:cs="Arial"/>
          <w:bCs/>
          <w:sz w:val="24"/>
        </w:rPr>
      </w:pPr>
      <w:r w:rsidRPr="002B71DF">
        <w:rPr>
          <w:rFonts w:ascii="Palatino Linotype" w:hAnsi="Palatino Linotype"/>
          <w:sz w:val="24"/>
        </w:rPr>
        <w:lastRenderedPageBreak/>
        <w:t xml:space="preserve">Luego entonces, si el recurso de revisión fue interpuesto el </w:t>
      </w:r>
      <w:r w:rsidR="00CD39A6" w:rsidRPr="002B71DF">
        <w:rPr>
          <w:rFonts w:ascii="Palatino Linotype" w:hAnsi="Palatino Linotype"/>
          <w:sz w:val="24"/>
        </w:rPr>
        <w:t>veinticuatro</w:t>
      </w:r>
      <w:r w:rsidRPr="002B71DF">
        <w:rPr>
          <w:rFonts w:ascii="Palatino Linotype" w:hAnsi="Palatino Linotype"/>
          <w:sz w:val="24"/>
        </w:rPr>
        <w:t xml:space="preserve"> (</w:t>
      </w:r>
      <w:r w:rsidR="00CD39A6" w:rsidRPr="002B71DF">
        <w:rPr>
          <w:rFonts w:ascii="Palatino Linotype" w:hAnsi="Palatino Linotype"/>
          <w:sz w:val="24"/>
        </w:rPr>
        <w:t>24</w:t>
      </w:r>
      <w:r w:rsidRPr="002B71DF">
        <w:rPr>
          <w:rFonts w:ascii="Palatino Linotype" w:hAnsi="Palatino Linotype"/>
          <w:sz w:val="24"/>
        </w:rPr>
        <w:t xml:space="preserve">) de </w:t>
      </w:r>
      <w:r w:rsidR="00CD39A6" w:rsidRPr="002B71DF">
        <w:rPr>
          <w:rFonts w:ascii="Palatino Linotype" w:hAnsi="Palatino Linotype"/>
          <w:sz w:val="24"/>
        </w:rPr>
        <w:t>febrero</w:t>
      </w:r>
      <w:r w:rsidRPr="002B71DF">
        <w:rPr>
          <w:rFonts w:ascii="Palatino Linotype" w:hAnsi="Palatino Linotype"/>
          <w:sz w:val="24"/>
        </w:rPr>
        <w:t xml:space="preserve"> de dos mil veintidós, éste</w:t>
      </w:r>
      <w:r w:rsidRPr="002B71DF">
        <w:rPr>
          <w:rFonts w:ascii="Palatino Linotype" w:hAnsi="Palatino Linotype" w:cs="Arial"/>
          <w:sz w:val="24"/>
        </w:rPr>
        <w:t xml:space="preserve"> se encuentra dentro de los márgenes temporales previstos en el artículo 178 de la Ley de Transparencia y Acceso a la Información Pública del Estado de México y Municipios</w:t>
      </w:r>
      <w:r w:rsidRPr="002B71DF">
        <w:rPr>
          <w:rFonts w:ascii="Palatino Linotype" w:hAnsi="Palatino Linotype" w:cs="Arial"/>
          <w:b/>
          <w:sz w:val="24"/>
        </w:rPr>
        <w:t xml:space="preserve"> </w:t>
      </w:r>
      <w:r w:rsidRPr="002B71DF">
        <w:rPr>
          <w:rFonts w:ascii="Palatino Linotype" w:hAnsi="Palatino Linotype" w:cs="Arial"/>
          <w:sz w:val="24"/>
        </w:rPr>
        <w:t>vigente.</w:t>
      </w:r>
    </w:p>
    <w:p w14:paraId="2BE9C331" w14:textId="77777777" w:rsidR="00B315FF" w:rsidRPr="002B71DF" w:rsidRDefault="00B315FF" w:rsidP="00B315FF">
      <w:pPr>
        <w:pStyle w:val="Prrafodelista"/>
        <w:tabs>
          <w:tab w:val="left" w:pos="284"/>
          <w:tab w:val="left" w:pos="426"/>
        </w:tabs>
        <w:spacing w:before="240" w:after="240" w:line="360" w:lineRule="auto"/>
        <w:ind w:left="0" w:right="49"/>
        <w:jc w:val="both"/>
        <w:rPr>
          <w:rFonts w:ascii="Palatino Linotype" w:hAnsi="Palatino Linotype" w:cs="Arial"/>
          <w:bCs/>
          <w:sz w:val="24"/>
        </w:rPr>
      </w:pPr>
    </w:p>
    <w:p w14:paraId="3755703A" w14:textId="41F1F0E3" w:rsidR="00DF3EEA" w:rsidRPr="002B71DF" w:rsidRDefault="00B315FF" w:rsidP="00B315FF">
      <w:pPr>
        <w:pStyle w:val="Prrafodelista"/>
        <w:numPr>
          <w:ilvl w:val="0"/>
          <w:numId w:val="8"/>
        </w:numPr>
        <w:tabs>
          <w:tab w:val="left" w:pos="426"/>
        </w:tabs>
        <w:spacing w:line="360" w:lineRule="auto"/>
        <w:ind w:left="0" w:right="49" w:firstLine="0"/>
        <w:jc w:val="both"/>
        <w:rPr>
          <w:rFonts w:ascii="Palatino Linotype" w:hAnsi="Palatino Linotype"/>
          <w:sz w:val="24"/>
        </w:rPr>
      </w:pPr>
      <w:r w:rsidRPr="002B71DF">
        <w:rPr>
          <w:rFonts w:ascii="Palatino Linotype" w:hAnsi="Palatino Linotype" w:cs="Arial"/>
          <w:sz w:val="24"/>
        </w:rPr>
        <w:t xml:space="preserve">Consecuencia </w:t>
      </w:r>
      <w:r w:rsidRPr="002B71DF">
        <w:rPr>
          <w:rFonts w:ascii="Palatino Linotype" w:eastAsia="Calibri" w:hAnsi="Palatino Linotype" w:cs="Arial"/>
          <w:sz w:val="24"/>
        </w:rPr>
        <w:t>de lo anterior, esta Ponencia Resolutora reconoce que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r w:rsidR="00DF3EEA" w:rsidRPr="002B71DF">
        <w:rPr>
          <w:rFonts w:ascii="Palatino Linotype" w:eastAsia="Calibri" w:hAnsi="Palatino Linotype" w:cs="Arial"/>
          <w:sz w:val="24"/>
          <w:lang w:val="es-ES_tradnl" w:eastAsia="es-ES"/>
        </w:rPr>
        <w:t>.</w:t>
      </w:r>
    </w:p>
    <w:p w14:paraId="086DBD47" w14:textId="77777777" w:rsidR="00DF3EEA" w:rsidRPr="002B71DF" w:rsidRDefault="00DF3EEA" w:rsidP="00DF3EEA">
      <w:pPr>
        <w:pStyle w:val="Prrafodelista"/>
        <w:tabs>
          <w:tab w:val="left" w:pos="426"/>
        </w:tabs>
        <w:spacing w:line="360" w:lineRule="auto"/>
        <w:ind w:left="0" w:right="49"/>
        <w:jc w:val="both"/>
        <w:rPr>
          <w:rFonts w:ascii="Palatino Linotype" w:hAnsi="Palatino Linotype"/>
          <w:sz w:val="24"/>
          <w:szCs w:val="28"/>
        </w:rPr>
      </w:pPr>
    </w:p>
    <w:p w14:paraId="0359AD2D" w14:textId="77777777" w:rsidR="00D262C2" w:rsidRPr="002B71DF" w:rsidRDefault="00D262C2" w:rsidP="00D262C2">
      <w:pPr>
        <w:pStyle w:val="Ttulo1"/>
        <w:tabs>
          <w:tab w:val="left" w:pos="284"/>
          <w:tab w:val="left" w:pos="426"/>
        </w:tabs>
        <w:spacing w:line="360" w:lineRule="auto"/>
        <w:rPr>
          <w:rFonts w:ascii="Palatino Linotype" w:hAnsi="Palatino Linotype"/>
          <w:b/>
          <w:color w:val="auto"/>
          <w:sz w:val="24"/>
          <w:szCs w:val="24"/>
        </w:rPr>
      </w:pPr>
      <w:bookmarkStart w:id="12" w:name="_Toc500360400"/>
      <w:bookmarkStart w:id="13" w:name="_Toc81233127"/>
      <w:bookmarkStart w:id="14" w:name="_Toc459174366"/>
      <w:bookmarkStart w:id="15" w:name="_Toc459659884"/>
      <w:bookmarkStart w:id="16" w:name="_Toc461687280"/>
      <w:bookmarkStart w:id="17" w:name="_Toc462771051"/>
      <w:bookmarkStart w:id="18" w:name="_Toc464139201"/>
      <w:bookmarkStart w:id="19" w:name="_Toc495427545"/>
      <w:bookmarkStart w:id="20" w:name="_Toc499296549"/>
      <w:r w:rsidRPr="002B71DF">
        <w:rPr>
          <w:rFonts w:ascii="Palatino Linotype" w:hAnsi="Palatino Linotype"/>
          <w:b/>
          <w:color w:val="auto"/>
          <w:sz w:val="24"/>
          <w:szCs w:val="24"/>
        </w:rPr>
        <w:t>TERCERO. De las causales del sobreseimiento.</w:t>
      </w:r>
      <w:bookmarkEnd w:id="12"/>
      <w:bookmarkEnd w:id="13"/>
    </w:p>
    <w:p w14:paraId="22554462" w14:textId="77777777" w:rsidR="00D262C2" w:rsidRPr="002B71DF" w:rsidRDefault="00D262C2" w:rsidP="00D262C2">
      <w:pPr>
        <w:pStyle w:val="Prrafodelista"/>
        <w:numPr>
          <w:ilvl w:val="0"/>
          <w:numId w:val="8"/>
        </w:numPr>
        <w:tabs>
          <w:tab w:val="left" w:pos="284"/>
          <w:tab w:val="left" w:pos="426"/>
        </w:tabs>
        <w:spacing w:before="240" w:after="240" w:line="360" w:lineRule="auto"/>
        <w:ind w:left="0" w:right="49" w:firstLine="0"/>
        <w:jc w:val="both"/>
        <w:rPr>
          <w:rFonts w:ascii="Palatino Linotype" w:hAnsi="Palatino Linotype" w:cs="Arial"/>
          <w:sz w:val="24"/>
        </w:rPr>
      </w:pPr>
      <w:bookmarkStart w:id="21" w:name="_Toc455991148"/>
      <w:bookmarkStart w:id="22" w:name="_Toc450120669"/>
      <w:bookmarkStart w:id="23" w:name="_Toc461555896"/>
      <w:bookmarkStart w:id="24" w:name="_Toc462154385"/>
      <w:bookmarkStart w:id="25" w:name="_Toc462660376"/>
      <w:bookmarkStart w:id="26" w:name="_Toc462660687"/>
      <w:bookmarkStart w:id="27" w:name="_Toc462660766"/>
      <w:bookmarkStart w:id="28" w:name="_Toc465264624"/>
      <w:bookmarkStart w:id="29" w:name="_Toc465264870"/>
      <w:bookmarkStart w:id="30" w:name="_Toc465266520"/>
      <w:bookmarkStart w:id="31" w:name="_Toc466302258"/>
      <w:bookmarkStart w:id="32" w:name="_Toc466371866"/>
      <w:bookmarkStart w:id="33" w:name="_Toc466371925"/>
      <w:bookmarkStart w:id="34" w:name="_Toc466377654"/>
      <w:bookmarkStart w:id="35" w:name="_Toc478549736"/>
      <w:bookmarkStart w:id="36" w:name="_Toc478572850"/>
      <w:bookmarkStart w:id="37" w:name="_Toc479238537"/>
      <w:bookmarkEnd w:id="14"/>
      <w:bookmarkEnd w:id="15"/>
      <w:bookmarkEnd w:id="16"/>
      <w:bookmarkEnd w:id="17"/>
      <w:bookmarkEnd w:id="18"/>
      <w:bookmarkEnd w:id="19"/>
      <w:bookmarkEnd w:id="20"/>
      <w:r w:rsidRPr="002B71DF">
        <w:rPr>
          <w:rFonts w:ascii="Palatino Linotype" w:hAnsi="Palatino Linotype" w:cs="Arial"/>
          <w:sz w:val="24"/>
          <w:szCs w:val="23"/>
        </w:rPr>
        <w:t xml:space="preserve">El recurso revisión tiene como finalidad reparar cualquier posible afectación al Derecho de Acceso a la Información Pública en términos del Título Octavo de la Ley de </w:t>
      </w:r>
      <w:r w:rsidRPr="002B71DF">
        <w:rPr>
          <w:rFonts w:ascii="Palatino Linotype" w:eastAsia="Calibri" w:hAnsi="Palatino Linotype" w:cs="Arial"/>
          <w:sz w:val="24"/>
        </w:rPr>
        <w:t>Transparencia, Acceso a la Información Pública del Estado de México y Municipios</w:t>
      </w:r>
      <w:r w:rsidRPr="002B71DF">
        <w:rPr>
          <w:rFonts w:ascii="Palatino Linotype" w:hAnsi="Palatino Linotype" w:cs="Arial"/>
          <w:sz w:val="24"/>
          <w:szCs w:val="23"/>
        </w:rPr>
        <w:t xml:space="preserve">, y determinar la confirmación; revocación o modificación; desechamiento o </w:t>
      </w:r>
      <w:r w:rsidRPr="002B71DF">
        <w:rPr>
          <w:rFonts w:ascii="Palatino Linotype" w:hAnsi="Palatino Linotype" w:cs="Arial"/>
          <w:b/>
          <w:sz w:val="24"/>
          <w:szCs w:val="23"/>
          <w:u w:val="single"/>
        </w:rPr>
        <w:t>sobreseimiento</w:t>
      </w:r>
      <w:r w:rsidRPr="002B71DF">
        <w:rPr>
          <w:rFonts w:ascii="Palatino Linotype" w:hAnsi="Palatino Linotype" w:cs="Arial"/>
          <w:sz w:val="24"/>
          <w:szCs w:val="23"/>
        </w:rPr>
        <w:t xml:space="preserve">; y, en su caso, ordenar la entrega de la información respecto a la falta de respuesta por parte del </w:t>
      </w:r>
      <w:r w:rsidRPr="002B71DF">
        <w:rPr>
          <w:rFonts w:ascii="Palatino Linotype" w:hAnsi="Palatino Linotype" w:cs="Arial"/>
          <w:b/>
          <w:sz w:val="24"/>
          <w:szCs w:val="23"/>
        </w:rPr>
        <w:t>SUJETO</w:t>
      </w:r>
      <w:r w:rsidRPr="002B71DF">
        <w:rPr>
          <w:rFonts w:ascii="Palatino Linotype" w:hAnsi="Palatino Linotype" w:cs="Arial"/>
          <w:sz w:val="24"/>
          <w:szCs w:val="23"/>
        </w:rPr>
        <w:t xml:space="preserve"> </w:t>
      </w:r>
      <w:r w:rsidRPr="002B71DF">
        <w:rPr>
          <w:rFonts w:ascii="Palatino Linotype" w:hAnsi="Palatino Linotype" w:cs="Arial"/>
          <w:b/>
          <w:sz w:val="24"/>
          <w:szCs w:val="23"/>
        </w:rPr>
        <w:t>OBLIGADO</w:t>
      </w:r>
      <w:r w:rsidRPr="002B71DF">
        <w:rPr>
          <w:rFonts w:ascii="Palatino Linotype" w:hAnsi="Palatino Linotype" w:cs="Arial"/>
          <w:sz w:val="24"/>
          <w:szCs w:val="23"/>
        </w:rPr>
        <w:t>.</w:t>
      </w:r>
    </w:p>
    <w:p w14:paraId="3C2D1D72" w14:textId="77777777" w:rsidR="00D262C2" w:rsidRPr="002B71DF" w:rsidRDefault="00D262C2" w:rsidP="00D262C2">
      <w:pPr>
        <w:pStyle w:val="Prrafodelista"/>
        <w:tabs>
          <w:tab w:val="left" w:pos="284"/>
          <w:tab w:val="left" w:pos="426"/>
        </w:tabs>
        <w:spacing w:before="240" w:after="240" w:line="360" w:lineRule="auto"/>
        <w:ind w:left="0" w:right="49"/>
        <w:jc w:val="both"/>
        <w:rPr>
          <w:rFonts w:ascii="Palatino Linotype" w:hAnsi="Palatino Linotype" w:cs="Arial"/>
        </w:rPr>
      </w:pPr>
    </w:p>
    <w:p w14:paraId="78927D08" w14:textId="26C810B1" w:rsidR="00E95091" w:rsidRPr="002B71DF" w:rsidRDefault="00D262C2" w:rsidP="00E95091">
      <w:pPr>
        <w:pStyle w:val="Prrafodelista"/>
        <w:numPr>
          <w:ilvl w:val="0"/>
          <w:numId w:val="8"/>
        </w:numPr>
        <w:tabs>
          <w:tab w:val="left" w:pos="284"/>
          <w:tab w:val="left" w:pos="426"/>
        </w:tabs>
        <w:spacing w:before="240" w:after="240" w:line="360" w:lineRule="auto"/>
        <w:ind w:left="0" w:right="49" w:firstLine="0"/>
        <w:jc w:val="both"/>
        <w:rPr>
          <w:rFonts w:ascii="Palatino Linotype" w:eastAsia="MS Mincho" w:hAnsi="Palatino Linotype"/>
          <w:color w:val="000000"/>
          <w:sz w:val="24"/>
        </w:rPr>
      </w:pPr>
      <w:r w:rsidRPr="002B71DF">
        <w:rPr>
          <w:rFonts w:ascii="Palatino Linotype" w:eastAsia="Calibri" w:hAnsi="Palatino Linotype" w:cs="Arial"/>
          <w:sz w:val="24"/>
          <w:szCs w:val="22"/>
          <w:lang w:eastAsia="en-US"/>
        </w:rPr>
        <w:t xml:space="preserve">Asimismo, es de señalar que </w:t>
      </w:r>
      <w:r w:rsidRPr="002B71DF">
        <w:rPr>
          <w:rFonts w:ascii="Palatino Linotype" w:eastAsia="MS Mincho" w:hAnsi="Palatino Linotype"/>
          <w:sz w:val="24"/>
        </w:rPr>
        <w:t xml:space="preserve">para actualizar el sobreseimiento de un recurso de revisión, el </w:t>
      </w:r>
      <w:r w:rsidRPr="002B71DF">
        <w:rPr>
          <w:rFonts w:ascii="Palatino Linotype" w:eastAsia="MS Mincho" w:hAnsi="Palatino Linotype"/>
          <w:b/>
          <w:sz w:val="24"/>
        </w:rPr>
        <w:t>SUJETO OBLIGADO</w:t>
      </w:r>
      <w:r w:rsidRPr="002B71DF">
        <w:rPr>
          <w:rFonts w:ascii="Palatino Linotype" w:eastAsia="MS Mincho" w:hAnsi="Palatino Linotype"/>
          <w:sz w:val="24"/>
        </w:rPr>
        <w:t xml:space="preserve"> puede entregar o completar la información al momento de rendir su informe justificado o, dentro de los siete días previstos paranifestar lo que a su derecho convenga</w:t>
      </w:r>
      <w:r w:rsidRPr="002B71DF">
        <w:rPr>
          <w:rFonts w:ascii="Palatino Linotype" w:eastAsia="Calibri" w:hAnsi="Palatino Linotype" w:cs="Arial"/>
          <w:sz w:val="24"/>
          <w:lang w:val="es-ES"/>
        </w:rPr>
        <w:t>, ofrecer pruebas y alegatos; como se refiriera en párrafos anteriores.</w:t>
      </w:r>
    </w:p>
    <w:p w14:paraId="32790E23" w14:textId="28293807" w:rsidR="005004FF" w:rsidRPr="002B71DF" w:rsidRDefault="00CE5940" w:rsidP="00B57611">
      <w:pPr>
        <w:pStyle w:val="Prrafodelista"/>
        <w:numPr>
          <w:ilvl w:val="0"/>
          <w:numId w:val="7"/>
        </w:numPr>
        <w:tabs>
          <w:tab w:val="left" w:pos="284"/>
          <w:tab w:val="left" w:pos="426"/>
        </w:tabs>
        <w:spacing w:before="240" w:after="240" w:line="360" w:lineRule="auto"/>
        <w:ind w:left="0" w:right="49" w:firstLine="0"/>
        <w:jc w:val="both"/>
        <w:rPr>
          <w:rFonts w:ascii="Palatino Linotype" w:eastAsia="MS Mincho" w:hAnsi="Palatino Linotype"/>
          <w:color w:val="000000"/>
          <w:sz w:val="24"/>
        </w:rPr>
      </w:pPr>
      <w:r w:rsidRPr="002B71DF">
        <w:rPr>
          <w:rFonts w:ascii="Palatino Linotype" w:eastAsia="MS Mincho" w:hAnsi="Palatino Linotype"/>
          <w:color w:val="000000"/>
          <w:sz w:val="24"/>
        </w:rPr>
        <w:lastRenderedPageBreak/>
        <w:t xml:space="preserve">Cabe destacar </w:t>
      </w:r>
      <w:bookmarkStart w:id="38" w:name="_Toc466371865"/>
      <w:bookmarkStart w:id="39" w:name="_Toc466377653"/>
      <w:bookmarkStart w:id="40" w:name="_Toc495427547"/>
      <w:bookmarkStart w:id="41" w:name="_Toc49790536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00B315FF" w:rsidRPr="002B71DF">
        <w:rPr>
          <w:rFonts w:ascii="Palatino Linotype" w:eastAsia="MS Mincho" w:hAnsi="Palatino Linotype"/>
          <w:color w:val="000000"/>
          <w:sz w:val="24"/>
        </w:rPr>
        <w:t xml:space="preserve">que el motivo de inconformidad de la Recurrente sobre la negativa </w:t>
      </w:r>
      <w:r w:rsidR="00B57611" w:rsidRPr="002B71DF">
        <w:rPr>
          <w:rFonts w:ascii="Palatino Linotype" w:eastAsia="MS Mincho" w:hAnsi="Palatino Linotype"/>
          <w:color w:val="000000"/>
          <w:sz w:val="24"/>
        </w:rPr>
        <w:t xml:space="preserve">y la </w:t>
      </w:r>
      <w:r w:rsidR="00CD39A6" w:rsidRPr="002B71DF">
        <w:rPr>
          <w:rFonts w:ascii="Palatino Linotype" w:eastAsia="MS Mincho" w:hAnsi="Palatino Linotype"/>
          <w:color w:val="000000"/>
          <w:sz w:val="24"/>
        </w:rPr>
        <w:t>entrega de información incompleta</w:t>
      </w:r>
      <w:r w:rsidR="00B315FF" w:rsidRPr="002B71DF">
        <w:rPr>
          <w:rFonts w:ascii="Palatino Linotype" w:eastAsia="MS Mincho" w:hAnsi="Palatino Linotype"/>
          <w:color w:val="000000"/>
          <w:sz w:val="24"/>
        </w:rPr>
        <w:t>, actualiza la causal e improcedencia contenida en la fracción I</w:t>
      </w:r>
      <w:r w:rsidR="00B57611" w:rsidRPr="002B71DF">
        <w:rPr>
          <w:rFonts w:ascii="Palatino Linotype" w:eastAsia="MS Mincho" w:hAnsi="Palatino Linotype"/>
          <w:color w:val="000000"/>
          <w:sz w:val="24"/>
        </w:rPr>
        <w:t xml:space="preserve"> y </w:t>
      </w:r>
      <w:r w:rsidR="00CD39A6" w:rsidRPr="002B71DF">
        <w:rPr>
          <w:rFonts w:ascii="Palatino Linotype" w:eastAsia="MS Mincho" w:hAnsi="Palatino Linotype"/>
          <w:color w:val="000000"/>
          <w:sz w:val="24"/>
        </w:rPr>
        <w:t>V</w:t>
      </w:r>
      <w:r w:rsidR="00B315FF" w:rsidRPr="002B71DF">
        <w:rPr>
          <w:rFonts w:ascii="Palatino Linotype" w:eastAsia="MS Mincho" w:hAnsi="Palatino Linotype"/>
          <w:color w:val="000000"/>
          <w:sz w:val="24"/>
        </w:rPr>
        <w:t xml:space="preserve"> del artículo 179 de la Ley de Transparencia y Acceso a la Información Pública del Estado de México y Municipios, por lo que este Órgano Garante estaría en la posibilidad de analizar  el presente asunto; sin embargo, será inminentemente excusado el ingreso al estudio y análisis de la controversia en consecuencia de que, como quedara establecido, la Recurrente, por propio derecho, </w:t>
      </w:r>
      <w:r w:rsidR="00B315FF" w:rsidRPr="002B71DF">
        <w:rPr>
          <w:rFonts w:ascii="Palatino Linotype" w:eastAsia="MS Mincho" w:hAnsi="Palatino Linotype"/>
          <w:b/>
          <w:color w:val="000000"/>
          <w:sz w:val="24"/>
        </w:rPr>
        <w:t>se desistió del recurso de revisión</w:t>
      </w:r>
      <w:r w:rsidR="00B315FF" w:rsidRPr="002B71DF">
        <w:rPr>
          <w:rFonts w:ascii="Palatino Linotype" w:eastAsia="MS Mincho" w:hAnsi="Palatino Linotype"/>
          <w:color w:val="000000"/>
          <w:sz w:val="24"/>
        </w:rPr>
        <w:t xml:space="preserve"> que nos ocupa, vía </w:t>
      </w:r>
      <w:r w:rsidR="00B315FF" w:rsidRPr="002B71DF">
        <w:rPr>
          <w:rFonts w:ascii="Palatino Linotype" w:eastAsia="MS Mincho" w:hAnsi="Palatino Linotype"/>
          <w:i/>
          <w:color w:val="000000"/>
          <w:sz w:val="24"/>
        </w:rPr>
        <w:t>SAIMEX</w:t>
      </w:r>
      <w:r w:rsidR="00B315FF" w:rsidRPr="002B71DF">
        <w:rPr>
          <w:rFonts w:ascii="Palatino Linotype" w:eastAsia="MS Mincho" w:hAnsi="Palatino Linotype"/>
          <w:color w:val="000000"/>
          <w:sz w:val="24"/>
        </w:rPr>
        <w:t>, el veinti</w:t>
      </w:r>
      <w:r w:rsidR="00B57611" w:rsidRPr="002B71DF">
        <w:rPr>
          <w:rFonts w:ascii="Palatino Linotype" w:eastAsia="MS Mincho" w:hAnsi="Palatino Linotype"/>
          <w:color w:val="000000"/>
          <w:sz w:val="24"/>
        </w:rPr>
        <w:t>seis</w:t>
      </w:r>
      <w:r w:rsidR="00B315FF" w:rsidRPr="002B71DF">
        <w:rPr>
          <w:rFonts w:ascii="Palatino Linotype" w:eastAsia="MS Mincho" w:hAnsi="Palatino Linotype"/>
          <w:color w:val="000000"/>
          <w:sz w:val="24"/>
        </w:rPr>
        <w:t xml:space="preserve"> (2</w:t>
      </w:r>
      <w:r w:rsidR="00B57611" w:rsidRPr="002B71DF">
        <w:rPr>
          <w:rFonts w:ascii="Palatino Linotype" w:eastAsia="MS Mincho" w:hAnsi="Palatino Linotype"/>
          <w:color w:val="000000"/>
          <w:sz w:val="24"/>
        </w:rPr>
        <w:t>6</w:t>
      </w:r>
      <w:r w:rsidR="00B315FF" w:rsidRPr="002B71DF">
        <w:rPr>
          <w:rFonts w:ascii="Palatino Linotype" w:eastAsia="MS Mincho" w:hAnsi="Palatino Linotype"/>
          <w:color w:val="000000"/>
          <w:sz w:val="24"/>
        </w:rPr>
        <w:t xml:space="preserve">) de </w:t>
      </w:r>
      <w:r w:rsidR="00B57611" w:rsidRPr="002B71DF">
        <w:rPr>
          <w:rFonts w:ascii="Palatino Linotype" w:eastAsia="MS Mincho" w:hAnsi="Palatino Linotype"/>
          <w:color w:val="000000"/>
          <w:sz w:val="24"/>
        </w:rPr>
        <w:t>septiembre</w:t>
      </w:r>
      <w:r w:rsidR="00B315FF" w:rsidRPr="002B71DF">
        <w:rPr>
          <w:rFonts w:ascii="Palatino Linotype" w:eastAsia="MS Mincho" w:hAnsi="Palatino Linotype"/>
          <w:color w:val="000000"/>
          <w:sz w:val="24"/>
        </w:rPr>
        <w:t xml:space="preserve"> de dos mil veintidós, como se ilustra a continuación:</w:t>
      </w:r>
    </w:p>
    <w:p w14:paraId="323B70F1" w14:textId="77777777" w:rsidR="00B57611" w:rsidRPr="002B71DF" w:rsidRDefault="00B57611" w:rsidP="00B57611">
      <w:pPr>
        <w:pStyle w:val="Prrafodelista"/>
        <w:tabs>
          <w:tab w:val="left" w:pos="284"/>
          <w:tab w:val="left" w:pos="426"/>
        </w:tabs>
        <w:spacing w:before="240" w:after="240" w:line="360" w:lineRule="auto"/>
        <w:ind w:left="0" w:right="49"/>
        <w:jc w:val="both"/>
        <w:rPr>
          <w:rFonts w:ascii="Palatino Linotype" w:eastAsia="MS Mincho" w:hAnsi="Palatino Linotype"/>
          <w:color w:val="000000"/>
          <w:sz w:val="24"/>
        </w:rPr>
      </w:pPr>
    </w:p>
    <w:p w14:paraId="3E8389B0" w14:textId="4796F2E9" w:rsidR="00E95091" w:rsidRPr="002B71DF" w:rsidRDefault="002B71DF" w:rsidP="002B71DF">
      <w:pPr>
        <w:pStyle w:val="Prrafodelista"/>
        <w:tabs>
          <w:tab w:val="left" w:pos="284"/>
          <w:tab w:val="left" w:pos="426"/>
        </w:tabs>
        <w:spacing w:before="240" w:after="240" w:line="360" w:lineRule="auto"/>
        <w:ind w:left="0" w:right="49"/>
        <w:jc w:val="center"/>
        <w:rPr>
          <w:rFonts w:ascii="Palatino Linotype" w:eastAsia="MS Mincho" w:hAnsi="Palatino Linotype"/>
          <w:color w:val="000000"/>
          <w:sz w:val="24"/>
        </w:rPr>
      </w:pPr>
      <w:r w:rsidRPr="002B71DF">
        <w:rPr>
          <w:noProof/>
        </w:rPr>
        <w:drawing>
          <wp:inline distT="0" distB="0" distL="0" distR="0" wp14:anchorId="04F1BC59" wp14:editId="2965A47C">
            <wp:extent cx="4871923" cy="2420982"/>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7900" t="26044" r="28526" b="35459"/>
                    <a:stretch/>
                  </pic:blipFill>
                  <pic:spPr bwMode="auto">
                    <a:xfrm>
                      <a:off x="0" y="0"/>
                      <a:ext cx="4897496" cy="2433690"/>
                    </a:xfrm>
                    <a:prstGeom prst="rect">
                      <a:avLst/>
                    </a:prstGeom>
                    <a:ln>
                      <a:noFill/>
                    </a:ln>
                    <a:extLst>
                      <a:ext uri="{53640926-AAD7-44D8-BBD7-CCE9431645EC}">
                        <a14:shadowObscured xmlns:a14="http://schemas.microsoft.com/office/drawing/2010/main"/>
                      </a:ext>
                    </a:extLst>
                  </pic:spPr>
                </pic:pic>
              </a:graphicData>
            </a:graphic>
          </wp:inline>
        </w:drawing>
      </w:r>
    </w:p>
    <w:p w14:paraId="1FE9568D" w14:textId="59CE8819" w:rsidR="00577A5A" w:rsidRPr="002B71DF" w:rsidRDefault="00577A5A" w:rsidP="00387DD2">
      <w:pPr>
        <w:spacing w:before="240" w:after="240" w:line="360" w:lineRule="auto"/>
        <w:ind w:right="49"/>
        <w:jc w:val="center"/>
        <w:rPr>
          <w:rFonts w:ascii="Palatino Linotype" w:eastAsia="MS Mincho" w:hAnsi="Palatino Linotype"/>
          <w:color w:val="000000"/>
          <w:sz w:val="2"/>
          <w:szCs w:val="2"/>
        </w:rPr>
      </w:pPr>
    </w:p>
    <w:p w14:paraId="5DF6A8A9" w14:textId="08A4D7FC" w:rsidR="00D262C2" w:rsidRPr="002B71DF" w:rsidRDefault="00D262C2"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2B71DF">
        <w:rPr>
          <w:rFonts w:ascii="Palatino Linotype" w:eastAsia="MS Mincho" w:hAnsi="Palatino Linotype"/>
          <w:color w:val="000000"/>
          <w:sz w:val="24"/>
        </w:rPr>
        <w:t xml:space="preserve">De la imágen inserta, se advierte que efectivamente </w:t>
      </w:r>
      <w:r w:rsidR="00B57611" w:rsidRPr="002B71DF">
        <w:rPr>
          <w:rFonts w:ascii="Palatino Linotype" w:eastAsia="MS Mincho" w:hAnsi="Palatino Linotype"/>
          <w:color w:val="000000"/>
          <w:sz w:val="24"/>
        </w:rPr>
        <w:t>la Recurrente</w:t>
      </w:r>
      <w:r w:rsidRPr="002B71DF">
        <w:rPr>
          <w:rFonts w:ascii="Palatino Linotype" w:eastAsia="MS Mincho" w:hAnsi="Palatino Linotype"/>
          <w:color w:val="000000"/>
          <w:sz w:val="24"/>
        </w:rPr>
        <w:t xml:space="preserve"> hizo uso de la opción </w:t>
      </w:r>
      <w:r w:rsidR="000F7407" w:rsidRPr="002B71DF">
        <w:rPr>
          <w:rFonts w:ascii="Palatino Linotype" w:eastAsia="MS Mincho" w:hAnsi="Palatino Linotype"/>
          <w:b/>
          <w:color w:val="000000"/>
          <w:sz w:val="24"/>
        </w:rPr>
        <w:t>Desistir</w:t>
      </w:r>
      <w:r w:rsidRPr="002B71DF">
        <w:rPr>
          <w:rFonts w:ascii="Palatino Linotype" w:eastAsia="MS Mincho" w:hAnsi="Palatino Linotype"/>
          <w:color w:val="000000"/>
          <w:sz w:val="24"/>
        </w:rPr>
        <w:t xml:space="preserve"> al recurso de revisión en el propio SAIMEX, opción que </w:t>
      </w:r>
      <w:r w:rsidR="000F7407" w:rsidRPr="002B71DF">
        <w:rPr>
          <w:rFonts w:ascii="Palatino Linotype" w:eastAsia="MS Mincho" w:hAnsi="Palatino Linotype"/>
          <w:b/>
          <w:color w:val="000000"/>
          <w:sz w:val="24"/>
        </w:rPr>
        <w:t>únicamente</w:t>
      </w:r>
      <w:r w:rsidRPr="002B71DF">
        <w:rPr>
          <w:rFonts w:ascii="Palatino Linotype" w:eastAsia="MS Mincho" w:hAnsi="Palatino Linotype"/>
          <w:color w:val="000000"/>
          <w:sz w:val="24"/>
        </w:rPr>
        <w:t xml:space="preserve"> puede hacer uso el usuario dueño de la cuenta, previo ingreso de su nombre de usuario y contraseña; así las cosas, cabe resaltar de igual manera que, al seleccionar la opción de </w:t>
      </w:r>
      <w:r w:rsidRPr="002B71DF">
        <w:rPr>
          <w:rFonts w:ascii="Palatino Linotype" w:eastAsia="MS Mincho" w:hAnsi="Palatino Linotype"/>
          <w:b/>
          <w:color w:val="000000"/>
          <w:sz w:val="24"/>
        </w:rPr>
        <w:t>desistimiento</w:t>
      </w:r>
      <w:r w:rsidRPr="002B71DF">
        <w:rPr>
          <w:rFonts w:ascii="Palatino Linotype" w:eastAsia="MS Mincho" w:hAnsi="Palatino Linotype"/>
          <w:color w:val="000000"/>
          <w:sz w:val="24"/>
        </w:rPr>
        <w:t xml:space="preserve">, aparece al usuario una ventana de alerta con el objeto de </w:t>
      </w:r>
      <w:r w:rsidRPr="002B71DF">
        <w:rPr>
          <w:rFonts w:ascii="Palatino Linotype" w:eastAsia="MS Mincho" w:hAnsi="Palatino Linotype"/>
          <w:color w:val="000000"/>
          <w:sz w:val="24"/>
        </w:rPr>
        <w:lastRenderedPageBreak/>
        <w:t xml:space="preserve">que confirme que efectivamente es su deseo </w:t>
      </w:r>
      <w:r w:rsidRPr="002B71DF">
        <w:rPr>
          <w:rFonts w:ascii="Palatino Linotype" w:eastAsia="MS Mincho" w:hAnsi="Palatino Linotype"/>
          <w:b/>
          <w:color w:val="000000"/>
          <w:sz w:val="24"/>
        </w:rPr>
        <w:t>desistirse</w:t>
      </w:r>
      <w:r w:rsidRPr="002B71DF">
        <w:rPr>
          <w:rFonts w:ascii="Palatino Linotype" w:eastAsia="MS Mincho" w:hAnsi="Palatino Linotype"/>
          <w:color w:val="000000"/>
          <w:sz w:val="24"/>
        </w:rPr>
        <w:t xml:space="preserve"> del recurso; </w:t>
      </w:r>
      <w:r w:rsidRPr="002B71DF">
        <w:rPr>
          <w:rFonts w:ascii="Palatino Linotype" w:eastAsia="MS Mincho" w:hAnsi="Palatino Linotype"/>
          <w:b/>
          <w:color w:val="000000"/>
          <w:sz w:val="24"/>
        </w:rPr>
        <w:t>luego entonces no es hacedero suponer que fue por error involuntario, lo que se constituye como un desistimiento expreso</w:t>
      </w:r>
      <w:r w:rsidRPr="002B71DF">
        <w:rPr>
          <w:rFonts w:ascii="Palatino Linotype" w:eastAsia="MS Mincho" w:hAnsi="Palatino Linotype"/>
          <w:color w:val="000000"/>
          <w:sz w:val="24"/>
        </w:rPr>
        <w:t>.</w:t>
      </w:r>
    </w:p>
    <w:p w14:paraId="5AB134A2" w14:textId="77777777" w:rsidR="002C7D83" w:rsidRPr="002B71DF" w:rsidRDefault="002C7D83" w:rsidP="002C7D83">
      <w:pPr>
        <w:pStyle w:val="Prrafodelista"/>
        <w:tabs>
          <w:tab w:val="left" w:pos="426"/>
        </w:tabs>
        <w:spacing w:before="240" w:after="240" w:line="360" w:lineRule="auto"/>
        <w:ind w:left="0" w:right="49"/>
        <w:jc w:val="both"/>
        <w:rPr>
          <w:rFonts w:ascii="Palatino Linotype" w:eastAsia="MS Mincho" w:hAnsi="Palatino Linotype"/>
          <w:color w:val="000000"/>
          <w:sz w:val="24"/>
        </w:rPr>
      </w:pPr>
    </w:p>
    <w:p w14:paraId="50D555DB" w14:textId="28D8C7C4" w:rsidR="00D262C2" w:rsidRPr="002B71DF" w:rsidRDefault="00D262C2" w:rsidP="00E95091">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2B71DF">
        <w:rPr>
          <w:rFonts w:ascii="Palatino Linotype" w:eastAsia="MS Mincho" w:hAnsi="Palatino Linotype"/>
          <w:color w:val="000000"/>
          <w:sz w:val="24"/>
        </w:rPr>
        <w:t>En ese orden de ideas el art</w:t>
      </w:r>
      <w:r w:rsidR="002B3204" w:rsidRPr="002B71DF">
        <w:rPr>
          <w:rFonts w:ascii="Palatino Linotype" w:eastAsia="MS Mincho" w:hAnsi="Palatino Linotype"/>
          <w:color w:val="000000"/>
          <w:sz w:val="24"/>
        </w:rPr>
        <w:t>íc</w:t>
      </w:r>
      <w:r w:rsidRPr="002B71DF">
        <w:rPr>
          <w:rFonts w:ascii="Palatino Linotype" w:eastAsia="MS Mincho" w:hAnsi="Palatino Linotype"/>
          <w:color w:val="000000"/>
          <w:sz w:val="24"/>
        </w:rPr>
        <w:t xml:space="preserve">ulo 192 </w:t>
      </w:r>
      <w:r w:rsidR="002B3204" w:rsidRPr="002B71DF">
        <w:rPr>
          <w:rFonts w:ascii="Palatino Linotype" w:eastAsia="MS Mincho" w:hAnsi="Palatino Linotype"/>
          <w:color w:val="000000"/>
          <w:sz w:val="24"/>
        </w:rPr>
        <w:t xml:space="preserve">fracción I de la </w:t>
      </w:r>
      <w:r w:rsidRPr="002B71DF">
        <w:rPr>
          <w:rFonts w:ascii="Palatino Linotype" w:eastAsia="MS Mincho" w:hAnsi="Palatino Linotype"/>
          <w:color w:val="000000"/>
          <w:sz w:val="24"/>
        </w:rPr>
        <w:t>Ley de Transparencia y Acceso a la Información Pública del Estado de México y Municipios, establece lo siguiente:</w:t>
      </w:r>
    </w:p>
    <w:p w14:paraId="5E8AFE94" w14:textId="77777777" w:rsidR="00E95091" w:rsidRPr="002B71DF" w:rsidRDefault="00E95091" w:rsidP="00E95091">
      <w:pPr>
        <w:pStyle w:val="Prrafodelista"/>
        <w:tabs>
          <w:tab w:val="left" w:pos="426"/>
        </w:tabs>
        <w:spacing w:before="240" w:after="240" w:line="360" w:lineRule="auto"/>
        <w:ind w:left="0" w:right="49"/>
        <w:jc w:val="both"/>
        <w:rPr>
          <w:rFonts w:ascii="Palatino Linotype" w:eastAsia="MS Mincho" w:hAnsi="Palatino Linotype"/>
          <w:color w:val="000000"/>
          <w:sz w:val="24"/>
        </w:rPr>
      </w:pPr>
    </w:p>
    <w:p w14:paraId="234BA427" w14:textId="77777777" w:rsidR="00D262C2" w:rsidRPr="002B71DF" w:rsidRDefault="00D262C2" w:rsidP="00577A5A">
      <w:pPr>
        <w:pStyle w:val="Prrafodelista"/>
        <w:spacing w:before="240" w:after="240"/>
        <w:ind w:left="567" w:right="567"/>
        <w:jc w:val="both"/>
        <w:rPr>
          <w:rFonts w:ascii="Palatino Linotype" w:eastAsia="MS Mincho" w:hAnsi="Palatino Linotype"/>
          <w:i/>
          <w:color w:val="000000"/>
        </w:rPr>
      </w:pPr>
      <w:r w:rsidRPr="002B71DF">
        <w:rPr>
          <w:rFonts w:ascii="Palatino Linotype" w:eastAsia="MS Mincho" w:hAnsi="Palatino Linotype"/>
          <w:i/>
          <w:color w:val="000000"/>
        </w:rPr>
        <w:t>“</w:t>
      </w:r>
      <w:r w:rsidRPr="002B71DF">
        <w:rPr>
          <w:rFonts w:ascii="Palatino Linotype" w:eastAsia="MS Mincho" w:hAnsi="Palatino Linotype"/>
          <w:b/>
          <w:i/>
          <w:color w:val="000000"/>
        </w:rPr>
        <w:t>Artículo 192.</w:t>
      </w:r>
      <w:r w:rsidRPr="002B71DF">
        <w:rPr>
          <w:rFonts w:ascii="Palatino Linotype" w:eastAsia="MS Mincho" w:hAnsi="Palatino Linotype"/>
          <w:i/>
          <w:color w:val="000000"/>
        </w:rPr>
        <w:t xml:space="preserve"> El recurso será sobreseído, en todo o en parte, cuando una vez admitido, se actualicen alguno de los siguientes supuestos:</w:t>
      </w:r>
    </w:p>
    <w:p w14:paraId="27E52DBB" w14:textId="77777777" w:rsidR="00D262C2" w:rsidRPr="002B71DF" w:rsidRDefault="00D262C2" w:rsidP="00577A5A">
      <w:pPr>
        <w:pStyle w:val="Prrafodelista"/>
        <w:spacing w:before="240" w:after="240"/>
        <w:ind w:left="567" w:right="567"/>
        <w:jc w:val="both"/>
        <w:rPr>
          <w:rFonts w:ascii="Palatino Linotype" w:eastAsia="MS Mincho" w:hAnsi="Palatino Linotype"/>
          <w:i/>
          <w:color w:val="000000"/>
        </w:rPr>
      </w:pPr>
      <w:r w:rsidRPr="002B71DF">
        <w:rPr>
          <w:rFonts w:ascii="Palatino Linotype" w:eastAsia="MS Mincho" w:hAnsi="Palatino Linotype"/>
          <w:b/>
          <w:i/>
          <w:color w:val="000000"/>
        </w:rPr>
        <w:t>I.</w:t>
      </w:r>
      <w:r w:rsidRPr="002B71DF">
        <w:rPr>
          <w:rFonts w:ascii="Palatino Linotype" w:eastAsia="MS Mincho" w:hAnsi="Palatino Linotype"/>
          <w:i/>
          <w:color w:val="000000"/>
        </w:rPr>
        <w:t xml:space="preserve"> El recurrente se desista expresamente del recurso;</w:t>
      </w:r>
    </w:p>
    <w:p w14:paraId="0F0366CD" w14:textId="3F9AD41A" w:rsidR="00E95091" w:rsidRPr="002B71DF" w:rsidRDefault="00D262C2" w:rsidP="00E95091">
      <w:pPr>
        <w:pStyle w:val="Prrafodelista"/>
        <w:spacing w:before="240" w:after="240"/>
        <w:ind w:left="567" w:right="567"/>
        <w:jc w:val="both"/>
        <w:rPr>
          <w:rFonts w:ascii="Palatino Linotype" w:eastAsia="MS Mincho" w:hAnsi="Palatino Linotype"/>
          <w:i/>
          <w:color w:val="000000"/>
        </w:rPr>
      </w:pPr>
      <w:r w:rsidRPr="002B71DF">
        <w:rPr>
          <w:rFonts w:ascii="Palatino Linotype" w:eastAsia="MS Mincho" w:hAnsi="Palatino Linotype"/>
          <w:i/>
          <w:color w:val="000000"/>
        </w:rPr>
        <w:t>(…)”</w:t>
      </w:r>
      <w:r w:rsidR="00E95091" w:rsidRPr="002B71DF">
        <w:rPr>
          <w:rFonts w:ascii="Palatino Linotype" w:eastAsia="MS Mincho" w:hAnsi="Palatino Linotype"/>
          <w:i/>
          <w:color w:val="000000"/>
        </w:rPr>
        <w:t xml:space="preserve"> </w:t>
      </w:r>
    </w:p>
    <w:p w14:paraId="31C7C0E3" w14:textId="77777777" w:rsidR="00E95091" w:rsidRPr="002B71DF" w:rsidRDefault="00E95091" w:rsidP="00E95091">
      <w:pPr>
        <w:spacing w:before="240" w:after="240"/>
        <w:ind w:right="567"/>
        <w:jc w:val="both"/>
        <w:rPr>
          <w:rFonts w:ascii="Palatino Linotype" w:eastAsia="MS Mincho" w:hAnsi="Palatino Linotype"/>
          <w:i/>
          <w:color w:val="000000"/>
        </w:rPr>
      </w:pPr>
    </w:p>
    <w:p w14:paraId="5B69A7F1" w14:textId="77777777" w:rsidR="00D262C2" w:rsidRPr="002B71DF" w:rsidRDefault="00D262C2"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2B71DF">
        <w:rPr>
          <w:rFonts w:ascii="Palatino Linotype" w:eastAsia="MS Mincho" w:hAnsi="Palatino Linotype"/>
          <w:color w:val="000000"/>
          <w:sz w:val="24"/>
        </w:rPr>
        <w:t>Robustece lo anterior la tesis aislada I.15o.T.2 K (10a.), del Décimo Quinto Tribunal Colegiado en Materia de Trabajo del Primer Circuito, misma que se anexa a continuación:</w:t>
      </w:r>
    </w:p>
    <w:p w14:paraId="7F5CB0C6" w14:textId="77777777" w:rsidR="00D262C2" w:rsidRPr="002B71DF" w:rsidRDefault="00D262C2" w:rsidP="00577A5A">
      <w:pPr>
        <w:pStyle w:val="Prrafodelista"/>
        <w:tabs>
          <w:tab w:val="left" w:pos="426"/>
        </w:tabs>
        <w:spacing w:before="240" w:after="240"/>
        <w:ind w:left="0" w:right="49"/>
        <w:jc w:val="both"/>
        <w:rPr>
          <w:rFonts w:ascii="Palatino Linotype" w:eastAsia="MS Mincho" w:hAnsi="Palatino Linotype"/>
          <w:color w:val="000000"/>
        </w:rPr>
      </w:pPr>
    </w:p>
    <w:p w14:paraId="7DF44A05" w14:textId="6C95473D" w:rsidR="00E95091" w:rsidRPr="002B71DF" w:rsidRDefault="00D262C2" w:rsidP="00E95091">
      <w:pPr>
        <w:pStyle w:val="Sinespaciado"/>
        <w:ind w:left="567" w:right="567"/>
        <w:jc w:val="both"/>
        <w:rPr>
          <w:rFonts w:ascii="Palatino Linotype" w:hAnsi="Palatino Linotype"/>
          <w:i/>
        </w:rPr>
      </w:pPr>
      <w:r w:rsidRPr="002B71DF">
        <w:rPr>
          <w:rFonts w:ascii="Palatino Linotype" w:hAnsi="Palatino Linotype"/>
          <w:b/>
          <w:i/>
        </w:rPr>
        <w:t>DESISTIMIENTO DEL RECURSO DE REVISIÓN EN AMPARO INDIRECTO. ES INNECESARIO QUE SE RATIFIQUE EL ESCRITO CORRESPONDIENTE, CUANDO SU REQUERIMIENTO SE NOTIFICÓ PERSONALMENTE.</w:t>
      </w:r>
      <w:r w:rsidRPr="002B71DF">
        <w:rPr>
          <w:rFonts w:ascii="Palatino Linotype" w:hAnsi="Palatino Linotype"/>
          <w:i/>
        </w:rPr>
        <w:t xml:space="preserve"> “Si el quejoso en un juicio de amparo indirecto 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w:t>
      </w:r>
      <w:r w:rsidRPr="002B71DF">
        <w:rPr>
          <w:rFonts w:ascii="Palatino Linotype" w:hAnsi="Palatino Linotype"/>
          <w:i/>
        </w:rPr>
        <w:lastRenderedPageBreak/>
        <w:t>demanda de amparo, entendiéndose tal aspecto como el desistimiento de la acción que originó el juicio constitucional, lo cual conduce a decretar el sobreseimiento.”</w:t>
      </w:r>
    </w:p>
    <w:p w14:paraId="35DACF12" w14:textId="77777777" w:rsidR="00E95091" w:rsidRPr="002B71DF" w:rsidRDefault="00E95091" w:rsidP="00E95091">
      <w:pPr>
        <w:pStyle w:val="Sinespaciado"/>
        <w:ind w:right="567"/>
        <w:jc w:val="both"/>
        <w:rPr>
          <w:rFonts w:ascii="Palatino Linotype" w:hAnsi="Palatino Linotype"/>
          <w:i/>
        </w:rPr>
      </w:pPr>
    </w:p>
    <w:p w14:paraId="33886E3A" w14:textId="6050F9B6" w:rsidR="00D262C2" w:rsidRPr="002B71DF" w:rsidRDefault="00D262C2"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2B71DF">
        <w:rPr>
          <w:rFonts w:ascii="Palatino Linotype" w:eastAsia="MS Mincho" w:hAnsi="Palatino Linotype"/>
          <w:color w:val="000000"/>
          <w:sz w:val="24"/>
        </w:rPr>
        <w:t>Por consiguiente, al existir un desistimiento expreso por parte de</w:t>
      </w:r>
      <w:r w:rsidR="00B57611" w:rsidRPr="002B71DF">
        <w:rPr>
          <w:rFonts w:ascii="Palatino Linotype" w:eastAsia="MS Mincho" w:hAnsi="Palatino Linotype"/>
          <w:color w:val="000000"/>
          <w:sz w:val="24"/>
        </w:rPr>
        <w:t xml:space="preserve"> </w:t>
      </w:r>
      <w:r w:rsidRPr="002B71DF">
        <w:rPr>
          <w:rFonts w:ascii="Palatino Linotype" w:eastAsia="MS Mincho" w:hAnsi="Palatino Linotype"/>
          <w:color w:val="000000"/>
          <w:sz w:val="24"/>
        </w:rPr>
        <w:t>l</w:t>
      </w:r>
      <w:r w:rsidR="00B57611" w:rsidRPr="002B71DF">
        <w:rPr>
          <w:rFonts w:ascii="Palatino Linotype" w:eastAsia="MS Mincho" w:hAnsi="Palatino Linotype"/>
          <w:color w:val="000000"/>
          <w:sz w:val="24"/>
        </w:rPr>
        <w:t>a</w:t>
      </w:r>
      <w:r w:rsidRPr="002B71DF">
        <w:rPr>
          <w:rFonts w:ascii="Palatino Linotype" w:eastAsia="MS Mincho" w:hAnsi="Palatino Linotype"/>
          <w:color w:val="000000"/>
          <w:sz w:val="24"/>
        </w:rPr>
        <w:t xml:space="preserve"> </w:t>
      </w:r>
      <w:r w:rsidRPr="002B71DF">
        <w:rPr>
          <w:rFonts w:ascii="Palatino Linotype" w:eastAsia="MS Mincho" w:hAnsi="Palatino Linotype"/>
          <w:bCs/>
          <w:color w:val="000000"/>
          <w:sz w:val="24"/>
        </w:rPr>
        <w:t>R</w:t>
      </w:r>
      <w:r w:rsidR="00B315FF" w:rsidRPr="002B71DF">
        <w:rPr>
          <w:rFonts w:ascii="Palatino Linotype" w:eastAsia="MS Mincho" w:hAnsi="Palatino Linotype"/>
          <w:bCs/>
          <w:color w:val="000000"/>
          <w:sz w:val="24"/>
        </w:rPr>
        <w:t>ecurrente</w:t>
      </w:r>
      <w:r w:rsidRPr="002B71DF">
        <w:rPr>
          <w:rFonts w:ascii="Palatino Linotype" w:eastAsia="MS Mincho" w:hAnsi="Palatino Linotype"/>
          <w:bCs/>
          <w:color w:val="000000"/>
          <w:sz w:val="24"/>
        </w:rPr>
        <w:t>,</w:t>
      </w:r>
      <w:r w:rsidRPr="002B71DF">
        <w:rPr>
          <w:rFonts w:ascii="Palatino Linotype" w:eastAsia="MS Mincho" w:hAnsi="Palatino Linotype"/>
          <w:color w:val="000000"/>
          <w:sz w:val="24"/>
        </w:rPr>
        <w:t xml:space="preserve"> este Pleno determina el </w:t>
      </w:r>
      <w:r w:rsidRPr="002B71DF">
        <w:rPr>
          <w:rFonts w:ascii="Palatino Linotype" w:eastAsia="MS Mincho" w:hAnsi="Palatino Linotype"/>
          <w:b/>
          <w:color w:val="000000"/>
          <w:sz w:val="24"/>
        </w:rPr>
        <w:t>SOBRESEIMIENTO</w:t>
      </w:r>
      <w:r w:rsidRPr="002B71DF">
        <w:rPr>
          <w:rFonts w:ascii="Palatino Linotype" w:eastAsia="MS Mincho" w:hAnsi="Palatino Linotype"/>
          <w:color w:val="000000"/>
          <w:sz w:val="24"/>
        </w:rPr>
        <w:t xml:space="preserve"> del presente recurso de revisión.</w:t>
      </w:r>
    </w:p>
    <w:p w14:paraId="13F978F8" w14:textId="77777777" w:rsidR="00D262C2" w:rsidRPr="002B71DF" w:rsidRDefault="00D262C2" w:rsidP="00D262C2">
      <w:pPr>
        <w:pStyle w:val="Prrafodelista"/>
        <w:tabs>
          <w:tab w:val="left" w:pos="426"/>
        </w:tabs>
        <w:spacing w:before="240" w:after="240" w:line="360" w:lineRule="auto"/>
        <w:ind w:left="0" w:right="49"/>
        <w:jc w:val="both"/>
        <w:rPr>
          <w:rFonts w:ascii="Palatino Linotype" w:eastAsia="MS Mincho" w:hAnsi="Palatino Linotype"/>
          <w:color w:val="000000"/>
          <w:sz w:val="24"/>
        </w:rPr>
      </w:pPr>
    </w:p>
    <w:p w14:paraId="1127E7E2" w14:textId="70F83E54" w:rsidR="00712A40" w:rsidRPr="002B71DF" w:rsidRDefault="00D262C2" w:rsidP="00712A40">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2B71DF">
        <w:rPr>
          <w:rFonts w:ascii="Palatino Linotype" w:eastAsia="MS Mincho" w:hAnsi="Palatino Linotype"/>
          <w:color w:val="000000"/>
          <w:sz w:val="24"/>
        </w:rPr>
        <w:t>Por lo anteriormente expuesto</w:t>
      </w:r>
      <w:r w:rsidR="00FA6533" w:rsidRPr="002B71DF">
        <w:rPr>
          <w:rFonts w:ascii="Palatino Linotype" w:eastAsia="MS Mincho" w:hAnsi="Palatino Linotype"/>
          <w:color w:val="000000"/>
          <w:sz w:val="24"/>
        </w:rPr>
        <w:t xml:space="preserve"> y fundado</w:t>
      </w:r>
      <w:r w:rsidRPr="002B71DF">
        <w:rPr>
          <w:rFonts w:ascii="Palatino Linotype" w:eastAsia="MS Mincho" w:hAnsi="Palatino Linotype"/>
          <w:color w:val="000000"/>
          <w:sz w:val="24"/>
        </w:rPr>
        <w:t>, este Órgano Gar</w:t>
      </w:r>
      <w:r w:rsidR="00FA6533" w:rsidRPr="002B71DF">
        <w:rPr>
          <w:rFonts w:ascii="Palatino Linotype" w:eastAsia="MS Mincho" w:hAnsi="Palatino Linotype"/>
          <w:color w:val="000000"/>
          <w:sz w:val="24"/>
        </w:rPr>
        <w:t xml:space="preserve">ante emite los siguientes: </w:t>
      </w:r>
    </w:p>
    <w:p w14:paraId="753492A8" w14:textId="77777777" w:rsidR="00D262C2" w:rsidRPr="002B71DF" w:rsidRDefault="00D262C2" w:rsidP="00D262C2">
      <w:pPr>
        <w:pStyle w:val="Ttulo1"/>
        <w:spacing w:line="360" w:lineRule="auto"/>
        <w:jc w:val="center"/>
        <w:rPr>
          <w:rFonts w:ascii="Palatino Linotype" w:hAnsi="Palatino Linotype"/>
          <w:b/>
          <w:color w:val="000000" w:themeColor="text1"/>
          <w:sz w:val="24"/>
          <w:szCs w:val="24"/>
        </w:rPr>
      </w:pPr>
      <w:bookmarkStart w:id="42" w:name="_Toc81233128"/>
      <w:r w:rsidRPr="002B71DF">
        <w:rPr>
          <w:rFonts w:ascii="Palatino Linotype" w:hAnsi="Palatino Linotype"/>
          <w:b/>
          <w:color w:val="000000" w:themeColor="text1"/>
          <w:sz w:val="24"/>
          <w:szCs w:val="24"/>
        </w:rPr>
        <w:t>R E S O L U T I V O S</w:t>
      </w:r>
      <w:bookmarkEnd w:id="38"/>
      <w:bookmarkEnd w:id="39"/>
      <w:bookmarkEnd w:id="40"/>
      <w:bookmarkEnd w:id="41"/>
      <w:bookmarkEnd w:id="42"/>
    </w:p>
    <w:p w14:paraId="7CEB1ECE" w14:textId="77777777" w:rsidR="00FA6533" w:rsidRPr="002B71DF" w:rsidRDefault="00FA6533" w:rsidP="00FA6533"/>
    <w:p w14:paraId="6309B4B4" w14:textId="0C15652D" w:rsidR="00D262C2" w:rsidRPr="002B71DF" w:rsidRDefault="00D262C2" w:rsidP="00D262C2">
      <w:pPr>
        <w:spacing w:after="240" w:line="360" w:lineRule="auto"/>
        <w:jc w:val="both"/>
        <w:rPr>
          <w:rFonts w:ascii="Palatino Linotype" w:hAnsi="Palatino Linotype"/>
        </w:rPr>
      </w:pPr>
      <w:r w:rsidRPr="002B71DF">
        <w:rPr>
          <w:rFonts w:ascii="Palatino Linotype" w:hAnsi="Palatino Linotype"/>
          <w:b/>
        </w:rPr>
        <w:t>PRIMERO.</w:t>
      </w:r>
      <w:r w:rsidRPr="002B71DF">
        <w:rPr>
          <w:rFonts w:ascii="Palatino Linotype" w:hAnsi="Palatino Linotype"/>
        </w:rPr>
        <w:t xml:space="preserve"> Se </w:t>
      </w:r>
      <w:r w:rsidRPr="002B71DF">
        <w:rPr>
          <w:rFonts w:ascii="Palatino Linotype" w:hAnsi="Palatino Linotype"/>
          <w:b/>
        </w:rPr>
        <w:t>SOBRESEE</w:t>
      </w:r>
      <w:r w:rsidRPr="002B71DF">
        <w:rPr>
          <w:rFonts w:ascii="Palatino Linotype" w:hAnsi="Palatino Linotype"/>
        </w:rPr>
        <w:t xml:space="preserve"> el recurso de revisión número </w:t>
      </w:r>
      <w:r w:rsidR="00B315FF" w:rsidRPr="002B71DF">
        <w:rPr>
          <w:rFonts w:ascii="Palatino Linotype" w:hAnsi="Palatino Linotype"/>
          <w:b/>
        </w:rPr>
        <w:t>0</w:t>
      </w:r>
      <w:r w:rsidR="00CD39A6" w:rsidRPr="002B71DF">
        <w:rPr>
          <w:rFonts w:ascii="Palatino Linotype" w:hAnsi="Palatino Linotype"/>
          <w:b/>
        </w:rPr>
        <w:t>1863</w:t>
      </w:r>
      <w:r w:rsidR="00387DD2" w:rsidRPr="002B71DF">
        <w:rPr>
          <w:rFonts w:ascii="Palatino Linotype" w:hAnsi="Palatino Linotype"/>
          <w:b/>
        </w:rPr>
        <w:t>/INFOEM/IP/RR/2022</w:t>
      </w:r>
      <w:r w:rsidRPr="002B71DF">
        <w:rPr>
          <w:rFonts w:ascii="Palatino Linotype" w:hAnsi="Palatino Linotype"/>
        </w:rPr>
        <w:t xml:space="preserve">, </w:t>
      </w:r>
      <w:r w:rsidR="002B3204" w:rsidRPr="002B71DF">
        <w:rPr>
          <w:rFonts w:ascii="Palatino Linotype" w:hAnsi="Palatino Linotype"/>
        </w:rPr>
        <w:t xml:space="preserve">con fundamento en el </w:t>
      </w:r>
      <w:r w:rsidR="002B3204" w:rsidRPr="002B71DF">
        <w:rPr>
          <w:rFonts w:ascii="Palatino Linotype" w:eastAsia="MS Mincho" w:hAnsi="Palatino Linotype"/>
          <w:color w:val="000000"/>
        </w:rPr>
        <w:t xml:space="preserve">artículo 192 fracción I de la Ley de Transparencia y Acceso a la Información Pública del Estado de México y Municipios, </w:t>
      </w:r>
      <w:r w:rsidRPr="002B71DF">
        <w:rPr>
          <w:rFonts w:ascii="Palatino Linotype" w:hAnsi="Palatino Linotype"/>
          <w:b/>
        </w:rPr>
        <w:t xml:space="preserve">por haberse desistido expresamente </w:t>
      </w:r>
      <w:r w:rsidR="00B315FF" w:rsidRPr="002B71DF">
        <w:rPr>
          <w:rFonts w:ascii="Palatino Linotype" w:hAnsi="Palatino Linotype"/>
          <w:b/>
        </w:rPr>
        <w:t>la</w:t>
      </w:r>
      <w:r w:rsidRPr="002B71DF">
        <w:rPr>
          <w:rFonts w:ascii="Palatino Linotype" w:hAnsi="Palatino Linotype"/>
        </w:rPr>
        <w:t xml:space="preserve"> </w:t>
      </w:r>
      <w:r w:rsidRPr="002B71DF">
        <w:rPr>
          <w:rFonts w:ascii="Palatino Linotype" w:hAnsi="Palatino Linotype"/>
          <w:b/>
        </w:rPr>
        <w:t>RECURRENTE</w:t>
      </w:r>
      <w:r w:rsidRPr="002B71DF">
        <w:rPr>
          <w:rFonts w:ascii="Palatino Linotype" w:hAnsi="Palatino Linotype"/>
        </w:rPr>
        <w:t xml:space="preserve">, en términos del </w:t>
      </w:r>
      <w:r w:rsidRPr="002B71DF">
        <w:rPr>
          <w:rFonts w:ascii="Palatino Linotype" w:hAnsi="Palatino Linotype"/>
          <w:b/>
        </w:rPr>
        <w:t>Considerando TERCERO</w:t>
      </w:r>
      <w:r w:rsidRPr="002B71DF">
        <w:rPr>
          <w:rFonts w:ascii="Palatino Linotype" w:hAnsi="Palatino Linotype"/>
        </w:rPr>
        <w:t xml:space="preserve"> de la presente resolución.</w:t>
      </w:r>
    </w:p>
    <w:p w14:paraId="06663E94" w14:textId="77777777" w:rsidR="00D262C2" w:rsidRPr="002B71DF" w:rsidRDefault="00D262C2" w:rsidP="00D262C2">
      <w:pPr>
        <w:pStyle w:val="Sinespaciado"/>
        <w:spacing w:after="240" w:line="360" w:lineRule="auto"/>
        <w:jc w:val="both"/>
        <w:rPr>
          <w:rFonts w:ascii="Palatino Linotype" w:eastAsia="Calibri" w:hAnsi="Palatino Linotype" w:cs="Arial"/>
          <w:b/>
          <w:bCs/>
          <w:sz w:val="24"/>
          <w:szCs w:val="24"/>
          <w:lang w:val="es-ES"/>
        </w:rPr>
      </w:pPr>
      <w:r w:rsidRPr="002B71DF">
        <w:rPr>
          <w:rFonts w:ascii="Palatino Linotype" w:eastAsia="Calibri" w:hAnsi="Palatino Linotype" w:cs="Arial"/>
          <w:b/>
          <w:bCs/>
          <w:sz w:val="24"/>
          <w:szCs w:val="24"/>
          <w:lang w:val="es-ES"/>
        </w:rPr>
        <w:t xml:space="preserve">SEGUNDO. REMÍTASE </w:t>
      </w:r>
      <w:r w:rsidRPr="002B71DF">
        <w:rPr>
          <w:rFonts w:ascii="Palatino Linotype" w:eastAsia="Calibri" w:hAnsi="Palatino Linotype" w:cs="Arial"/>
          <w:bCs/>
          <w:sz w:val="24"/>
          <w:szCs w:val="24"/>
          <w:lang w:val="es-ES"/>
        </w:rPr>
        <w:t xml:space="preserve">a través del Sistema de Acceso a la Información Mexiquense </w:t>
      </w:r>
      <w:r w:rsidRPr="002B71DF">
        <w:rPr>
          <w:rFonts w:ascii="Palatino Linotype" w:eastAsia="Calibri" w:hAnsi="Palatino Linotype" w:cs="Arial"/>
          <w:b/>
          <w:bCs/>
          <w:sz w:val="24"/>
          <w:szCs w:val="24"/>
          <w:lang w:val="es-ES"/>
        </w:rPr>
        <w:t xml:space="preserve">(SAIMEX) </w:t>
      </w:r>
      <w:r w:rsidRPr="002B71DF">
        <w:rPr>
          <w:rFonts w:ascii="Palatino Linotype" w:eastAsia="Calibri" w:hAnsi="Palatino Linotype" w:cs="Arial"/>
          <w:bCs/>
          <w:sz w:val="24"/>
          <w:szCs w:val="24"/>
          <w:lang w:val="es-ES"/>
        </w:rPr>
        <w:t>la presente resolución al Titular de la Unidad de Transparencia del</w:t>
      </w:r>
      <w:r w:rsidRPr="002B71DF">
        <w:rPr>
          <w:rFonts w:ascii="Palatino Linotype" w:eastAsia="Calibri" w:hAnsi="Palatino Linotype" w:cs="Arial"/>
          <w:b/>
          <w:bCs/>
          <w:sz w:val="24"/>
          <w:szCs w:val="24"/>
          <w:lang w:val="es-ES"/>
        </w:rPr>
        <w:t xml:space="preserve"> SUJETO OBLIGADO. </w:t>
      </w:r>
    </w:p>
    <w:p w14:paraId="1B7B576F" w14:textId="5BA9EFCE" w:rsidR="00D262C2" w:rsidRPr="002B71DF" w:rsidRDefault="00D262C2" w:rsidP="00D262C2">
      <w:pPr>
        <w:pStyle w:val="Sinespaciado"/>
        <w:spacing w:after="240" w:line="360" w:lineRule="auto"/>
        <w:jc w:val="both"/>
        <w:rPr>
          <w:rFonts w:ascii="Palatino Linotype" w:eastAsia="Times New Roman" w:hAnsi="Palatino Linotype" w:cs="Times New Roman"/>
          <w:color w:val="222222"/>
          <w:sz w:val="24"/>
          <w:szCs w:val="24"/>
          <w:lang w:val="es-ES" w:eastAsia="es-MX"/>
        </w:rPr>
      </w:pPr>
      <w:r w:rsidRPr="002B71DF">
        <w:rPr>
          <w:rFonts w:ascii="Palatino Linotype" w:eastAsia="Times New Roman" w:hAnsi="Palatino Linotype" w:cs="Arial"/>
          <w:b/>
          <w:sz w:val="24"/>
          <w:szCs w:val="24"/>
        </w:rPr>
        <w:t xml:space="preserve">TERCERO. </w:t>
      </w:r>
      <w:r w:rsidRPr="002B71DF">
        <w:rPr>
          <w:rFonts w:ascii="Palatino Linotype" w:eastAsia="Times New Roman" w:hAnsi="Palatino Linotype" w:cs="Times New Roman"/>
          <w:b/>
          <w:bCs/>
          <w:sz w:val="24"/>
          <w:szCs w:val="24"/>
          <w:lang w:val="es-ES"/>
        </w:rPr>
        <w:t xml:space="preserve">Notifíquese </w:t>
      </w:r>
      <w:r w:rsidR="00B315FF" w:rsidRPr="002B71DF">
        <w:rPr>
          <w:rFonts w:ascii="Palatino Linotype" w:eastAsia="Times New Roman" w:hAnsi="Palatino Linotype" w:cs="Times New Roman"/>
          <w:bCs/>
          <w:color w:val="222222"/>
          <w:sz w:val="24"/>
          <w:szCs w:val="24"/>
          <w:lang w:val="es-ES"/>
        </w:rPr>
        <w:t>la</w:t>
      </w:r>
      <w:r w:rsidRPr="002B71DF">
        <w:rPr>
          <w:rFonts w:ascii="Palatino Linotype" w:eastAsia="Times New Roman" w:hAnsi="Palatino Linotype" w:cs="Times New Roman"/>
          <w:bCs/>
          <w:color w:val="222222"/>
          <w:sz w:val="24"/>
          <w:szCs w:val="24"/>
          <w:lang w:val="es-ES"/>
        </w:rPr>
        <w:t xml:space="preserve"> </w:t>
      </w:r>
      <w:r w:rsidR="00FA6533" w:rsidRPr="002B71DF">
        <w:rPr>
          <w:rFonts w:ascii="Palatino Linotype" w:hAnsi="Palatino Linotype"/>
          <w:b/>
          <w:sz w:val="24"/>
          <w:szCs w:val="24"/>
        </w:rPr>
        <w:t>RECURRENTE</w:t>
      </w:r>
      <w:r w:rsidRPr="002B71DF">
        <w:rPr>
          <w:rFonts w:ascii="Palatino Linotype" w:hAnsi="Palatino Linotype"/>
          <w:b/>
          <w:sz w:val="24"/>
          <w:szCs w:val="24"/>
        </w:rPr>
        <w:t xml:space="preserve"> </w:t>
      </w:r>
      <w:r w:rsidR="001F6479" w:rsidRPr="002B71DF">
        <w:rPr>
          <w:rFonts w:ascii="Palatino Linotype" w:eastAsia="Times New Roman" w:hAnsi="Palatino Linotype" w:cs="Times New Roman"/>
          <w:color w:val="222222"/>
          <w:sz w:val="24"/>
          <w:szCs w:val="24"/>
          <w:lang w:val="es-ES" w:eastAsia="es-MX"/>
        </w:rPr>
        <w:t xml:space="preserve">la presente resolución a través del Sistema de Acceso a la Información Mexiquense </w:t>
      </w:r>
      <w:r w:rsidR="001F6479" w:rsidRPr="002B71DF">
        <w:rPr>
          <w:rFonts w:ascii="Palatino Linotype" w:eastAsia="Times New Roman" w:hAnsi="Palatino Linotype" w:cs="Times New Roman"/>
          <w:b/>
          <w:color w:val="222222"/>
          <w:sz w:val="24"/>
          <w:szCs w:val="24"/>
          <w:lang w:val="es-ES" w:eastAsia="es-MX"/>
        </w:rPr>
        <w:t>(SAIMEX).</w:t>
      </w:r>
    </w:p>
    <w:p w14:paraId="65D6027B" w14:textId="3612DF34" w:rsidR="00D262C2" w:rsidRPr="002B71DF" w:rsidRDefault="00D262C2" w:rsidP="00D262C2">
      <w:pPr>
        <w:pStyle w:val="Prrafodelista"/>
        <w:spacing w:after="240" w:line="360" w:lineRule="auto"/>
        <w:ind w:left="0"/>
        <w:jc w:val="both"/>
        <w:rPr>
          <w:rFonts w:ascii="Palatino Linotype" w:eastAsia="MS Mincho" w:hAnsi="Palatino Linotype"/>
          <w:sz w:val="24"/>
          <w:lang w:val="es-ES"/>
        </w:rPr>
      </w:pPr>
      <w:r w:rsidRPr="002B71DF">
        <w:rPr>
          <w:rFonts w:ascii="Palatino Linotype" w:eastAsia="MS Mincho" w:hAnsi="Palatino Linotype"/>
          <w:b/>
          <w:sz w:val="24"/>
        </w:rPr>
        <w:t>CUARTO.</w:t>
      </w:r>
      <w:r w:rsidRPr="002B71DF">
        <w:rPr>
          <w:rFonts w:ascii="Palatino Linotype" w:eastAsia="MS Mincho" w:hAnsi="Palatino Linotype"/>
          <w:sz w:val="24"/>
        </w:rPr>
        <w:t xml:space="preserve"> </w:t>
      </w:r>
      <w:r w:rsidRPr="002B71DF">
        <w:rPr>
          <w:rFonts w:ascii="Palatino Linotype" w:eastAsia="MS Mincho" w:hAnsi="Palatino Linotype"/>
          <w:sz w:val="24"/>
          <w:lang w:val="es-ES"/>
        </w:rPr>
        <w:t>Se hace del conocimiento de</w:t>
      </w:r>
      <w:r w:rsidR="00B315FF" w:rsidRPr="002B71DF">
        <w:rPr>
          <w:rFonts w:ascii="Palatino Linotype" w:eastAsia="MS Mincho" w:hAnsi="Palatino Linotype"/>
          <w:sz w:val="24"/>
          <w:lang w:val="es-ES"/>
        </w:rPr>
        <w:t xml:space="preserve"> </w:t>
      </w:r>
      <w:r w:rsidR="00FA6533" w:rsidRPr="002B71DF">
        <w:rPr>
          <w:rFonts w:ascii="Palatino Linotype" w:eastAsia="MS Mincho" w:hAnsi="Palatino Linotype"/>
          <w:sz w:val="24"/>
          <w:lang w:val="es-ES"/>
        </w:rPr>
        <w:t>l</w:t>
      </w:r>
      <w:r w:rsidR="00B315FF" w:rsidRPr="002B71DF">
        <w:rPr>
          <w:rFonts w:ascii="Palatino Linotype" w:eastAsia="MS Mincho" w:hAnsi="Palatino Linotype"/>
          <w:sz w:val="24"/>
          <w:lang w:val="es-ES"/>
        </w:rPr>
        <w:t>a</w:t>
      </w:r>
      <w:r w:rsidRPr="002B71DF">
        <w:rPr>
          <w:rFonts w:ascii="Palatino Linotype" w:eastAsia="MS Mincho" w:hAnsi="Palatino Linotype"/>
          <w:sz w:val="24"/>
          <w:lang w:val="es-ES"/>
        </w:rPr>
        <w:t xml:space="preserve"> </w:t>
      </w:r>
      <w:r w:rsidR="00FA6533" w:rsidRPr="002B71DF">
        <w:rPr>
          <w:rFonts w:ascii="Palatino Linotype" w:hAnsi="Palatino Linotype"/>
          <w:b/>
          <w:sz w:val="24"/>
        </w:rPr>
        <w:t>RECURRENTE</w:t>
      </w:r>
      <w:r w:rsidRPr="002B71DF">
        <w:rPr>
          <w:rFonts w:ascii="Palatino Linotype" w:hAnsi="Palatino Linotype"/>
          <w:b/>
          <w:sz w:val="24"/>
        </w:rPr>
        <w:t xml:space="preserve"> </w:t>
      </w:r>
      <w:r w:rsidRPr="002B71DF">
        <w:rPr>
          <w:rFonts w:ascii="Palatino Linotype" w:eastAsia="MS Mincho" w:hAnsi="Palatino Linotype"/>
          <w:sz w:val="24"/>
          <w:lang w:val="es-ES"/>
        </w:rPr>
        <w:t xml:space="preserve">que, de conformidad con lo establecido en el artículo 196 de la Ley de Transparencia y Acceso a la Información Pública del Estado de México y Municipios, en caso de que considere que la resolución </w:t>
      </w:r>
      <w:r w:rsidRPr="002B71DF">
        <w:rPr>
          <w:rFonts w:ascii="Palatino Linotype" w:eastAsia="MS Mincho" w:hAnsi="Palatino Linotype"/>
          <w:sz w:val="24"/>
          <w:lang w:val="es-ES"/>
        </w:rPr>
        <w:lastRenderedPageBreak/>
        <w:t xml:space="preserve">le cause algún perjuicio podrá impugnarla </w:t>
      </w:r>
      <w:r w:rsidRPr="002B71DF">
        <w:rPr>
          <w:rFonts w:ascii="Palatino Linotype" w:eastAsia="MS Mincho" w:hAnsi="Palatino Linotype"/>
          <w:bCs/>
          <w:sz w:val="24"/>
          <w:lang w:val="es-ES"/>
        </w:rPr>
        <w:t xml:space="preserve">vía juicio de amparo </w:t>
      </w:r>
      <w:r w:rsidRPr="002B71DF">
        <w:rPr>
          <w:rFonts w:ascii="Palatino Linotype" w:eastAsia="MS Mincho" w:hAnsi="Palatino Linotype"/>
          <w:sz w:val="24"/>
          <w:lang w:val="es-ES"/>
        </w:rPr>
        <w:t>en los términos de las leyes aplicables.</w:t>
      </w:r>
    </w:p>
    <w:p w14:paraId="5E2A1B9F" w14:textId="77777777" w:rsidR="00D262C2" w:rsidRPr="002B71DF" w:rsidRDefault="00D262C2" w:rsidP="00D262C2">
      <w:pPr>
        <w:pStyle w:val="Prrafodelista"/>
        <w:spacing w:line="360" w:lineRule="auto"/>
        <w:ind w:left="0"/>
        <w:jc w:val="both"/>
        <w:rPr>
          <w:rFonts w:ascii="Palatino Linotype" w:hAnsi="Palatino Linotype"/>
          <w:color w:val="000000" w:themeColor="text1"/>
        </w:rPr>
      </w:pPr>
    </w:p>
    <w:p w14:paraId="3B994D1B" w14:textId="77777777" w:rsidR="00C37CD3" w:rsidRDefault="00C37CD3" w:rsidP="00C37CD3">
      <w:pPr>
        <w:spacing w:before="240" w:after="240" w:line="360" w:lineRule="auto"/>
        <w:jc w:val="both"/>
        <w:rPr>
          <w:rFonts w:ascii="Palatino Linotype" w:hAnsi="Palatino Linotype"/>
        </w:rPr>
      </w:pPr>
      <w:r w:rsidRPr="002B71DF">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DOCE (12) DE OCTUBRE DE DOS MIL VEINTIDÓS, ANTE EL SECRETARIO TÉCNICO DEL PLENO ALEXIS TAPIA RAMÍREZ.</w:t>
      </w:r>
      <w:bookmarkStart w:id="43" w:name="_GoBack"/>
      <w:bookmarkEnd w:id="43"/>
      <w:r w:rsidRPr="00624AAD">
        <w:rPr>
          <w:rFonts w:ascii="Palatino Linotype" w:hAnsi="Palatino Linotype"/>
        </w:rPr>
        <w:t xml:space="preserve"> </w:t>
      </w:r>
    </w:p>
    <w:p w14:paraId="7F505184" w14:textId="77777777" w:rsidR="00FA6533" w:rsidRDefault="00FA6533" w:rsidP="00D262C2"/>
    <w:p w14:paraId="47542A71" w14:textId="77777777" w:rsidR="00FA6533" w:rsidRDefault="00FA6533" w:rsidP="00D262C2"/>
    <w:p w14:paraId="02ED03B3" w14:textId="77777777" w:rsidR="00FA6533" w:rsidRDefault="00FA6533" w:rsidP="00D262C2"/>
    <w:p w14:paraId="59B3AAEA" w14:textId="77777777" w:rsidR="00FA6533" w:rsidRDefault="00FA6533" w:rsidP="00D262C2"/>
    <w:p w14:paraId="5CB0B863" w14:textId="77777777" w:rsidR="00FA6533" w:rsidRDefault="00FA6533" w:rsidP="00D262C2"/>
    <w:p w14:paraId="029E9598" w14:textId="77777777" w:rsidR="00FA6533" w:rsidRDefault="00FA6533" w:rsidP="00D262C2"/>
    <w:p w14:paraId="18DDA3B7" w14:textId="77777777" w:rsidR="00FA6533" w:rsidRDefault="00FA6533" w:rsidP="00D262C2"/>
    <w:p w14:paraId="09DE5F81" w14:textId="77777777" w:rsidR="00FA6533" w:rsidRDefault="00FA6533" w:rsidP="00D262C2"/>
    <w:p w14:paraId="33028EF0" w14:textId="77777777" w:rsidR="00FA6533" w:rsidRDefault="00FA6533" w:rsidP="00D262C2"/>
    <w:p w14:paraId="04325413" w14:textId="77777777" w:rsidR="00FA6533" w:rsidRDefault="00FA6533" w:rsidP="00D262C2"/>
    <w:p w14:paraId="19D009F0" w14:textId="77777777" w:rsidR="00FA6533" w:rsidRDefault="00FA6533" w:rsidP="00D262C2"/>
    <w:p w14:paraId="5D19F608" w14:textId="77777777" w:rsidR="00FA6533" w:rsidRDefault="00FA6533" w:rsidP="00D262C2"/>
    <w:p w14:paraId="48007370" w14:textId="77777777" w:rsidR="00FA6533" w:rsidRDefault="00FA6533" w:rsidP="00D262C2"/>
    <w:p w14:paraId="5459640E" w14:textId="77777777" w:rsidR="00FA6533" w:rsidRDefault="00FA6533" w:rsidP="00D262C2"/>
    <w:p w14:paraId="04605B29" w14:textId="19018D02" w:rsidR="00FA6533" w:rsidRDefault="00FA6533" w:rsidP="00D262C2"/>
    <w:p w14:paraId="6B8B4351" w14:textId="58A2601A" w:rsidR="00577A5A" w:rsidRDefault="00577A5A" w:rsidP="00D262C2"/>
    <w:p w14:paraId="684DB204" w14:textId="77777777" w:rsidR="00577A5A" w:rsidRDefault="00577A5A" w:rsidP="00D262C2"/>
    <w:p w14:paraId="7F95E0D9" w14:textId="77777777" w:rsidR="00FA6533" w:rsidRDefault="00FA6533" w:rsidP="00D262C2"/>
    <w:p w14:paraId="33DFE470" w14:textId="77777777" w:rsidR="00FA6533" w:rsidRPr="00D262C2" w:rsidRDefault="00FA6533" w:rsidP="00D262C2"/>
    <w:sectPr w:rsidR="00FA6533" w:rsidRPr="00D262C2" w:rsidSect="00BB456B">
      <w:headerReference w:type="even" r:id="rId15"/>
      <w:headerReference w:type="default" r:id="rId16"/>
      <w:footerReference w:type="default" r:id="rId17"/>
      <w:headerReference w:type="first" r:id="rId18"/>
      <w:footerReference w:type="first" r:id="rId19"/>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2A2ED" w14:textId="77777777" w:rsidR="00B02EDF" w:rsidRDefault="00B02EDF" w:rsidP="00D262C2">
      <w:r>
        <w:separator/>
      </w:r>
    </w:p>
  </w:endnote>
  <w:endnote w:type="continuationSeparator" w:id="0">
    <w:p w14:paraId="39BA39EC" w14:textId="77777777" w:rsidR="00B02EDF" w:rsidRDefault="00B02EDF" w:rsidP="00D2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BF84E" w14:textId="77777777" w:rsidR="00BB456B" w:rsidRDefault="00BB456B">
    <w:pPr>
      <w:pStyle w:val="Piedepgina"/>
      <w:jc w:val="right"/>
    </w:pPr>
    <w:r>
      <w:rPr>
        <w:lang w:val="es-ES"/>
      </w:rPr>
      <w:t xml:space="preserve">Página </w:t>
    </w:r>
    <w:r>
      <w:rPr>
        <w:b/>
        <w:bCs/>
      </w:rPr>
      <w:fldChar w:fldCharType="begin"/>
    </w:r>
    <w:r>
      <w:rPr>
        <w:b/>
        <w:bCs/>
      </w:rPr>
      <w:instrText>PAGE</w:instrText>
    </w:r>
    <w:r>
      <w:rPr>
        <w:b/>
        <w:bCs/>
      </w:rPr>
      <w:fldChar w:fldCharType="separate"/>
    </w:r>
    <w:r w:rsidR="002B71DF">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B71DF">
      <w:rPr>
        <w:b/>
        <w:bCs/>
        <w:noProof/>
      </w:rPr>
      <w:t>13</w:t>
    </w:r>
    <w:r>
      <w:rPr>
        <w:b/>
        <w:bCs/>
      </w:rPr>
      <w:fldChar w:fldCharType="end"/>
    </w:r>
  </w:p>
  <w:p w14:paraId="17618EB2" w14:textId="77777777" w:rsidR="00BB456B" w:rsidRDefault="00BB456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FEEE7" w14:textId="77777777" w:rsidR="00BB456B" w:rsidRDefault="00BB456B">
    <w:pPr>
      <w:pStyle w:val="Piedepgina"/>
      <w:jc w:val="right"/>
    </w:pPr>
    <w:r>
      <w:rPr>
        <w:lang w:val="es-ES"/>
      </w:rPr>
      <w:t xml:space="preserve">Página </w:t>
    </w:r>
    <w:r>
      <w:rPr>
        <w:b/>
        <w:bCs/>
      </w:rPr>
      <w:fldChar w:fldCharType="begin"/>
    </w:r>
    <w:r>
      <w:rPr>
        <w:b/>
        <w:bCs/>
      </w:rPr>
      <w:instrText>PAGE</w:instrText>
    </w:r>
    <w:r>
      <w:rPr>
        <w:b/>
        <w:bCs/>
      </w:rPr>
      <w:fldChar w:fldCharType="separate"/>
    </w:r>
    <w:r w:rsidR="002B71DF">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B71DF">
      <w:rPr>
        <w:b/>
        <w:bCs/>
        <w:noProof/>
      </w:rPr>
      <w:t>13</w:t>
    </w:r>
    <w:r>
      <w:rPr>
        <w:b/>
        <w:bCs/>
      </w:rPr>
      <w:fldChar w:fldCharType="end"/>
    </w:r>
  </w:p>
  <w:p w14:paraId="09FCC526" w14:textId="77777777" w:rsidR="00BB456B" w:rsidRDefault="00BB45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0F978" w14:textId="77777777" w:rsidR="00B02EDF" w:rsidRDefault="00B02EDF" w:rsidP="00D262C2">
      <w:r>
        <w:separator/>
      </w:r>
    </w:p>
  </w:footnote>
  <w:footnote w:type="continuationSeparator" w:id="0">
    <w:p w14:paraId="02F56EE3" w14:textId="77777777" w:rsidR="00B02EDF" w:rsidRDefault="00B02EDF" w:rsidP="00D26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EE9EA" w14:textId="77777777" w:rsidR="00BB456B" w:rsidRDefault="00B02EDF">
    <w:pPr>
      <w:pStyle w:val="Encabezado"/>
    </w:pPr>
    <w:r>
      <w:rPr>
        <w:noProof/>
      </w:rPr>
      <w:pict w14:anchorId="3531A2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BB456B" w:rsidRPr="005C106F" w14:paraId="45B1AC77" w14:textId="77777777" w:rsidTr="00BB456B">
      <w:trPr>
        <w:trHeight w:val="1435"/>
      </w:trPr>
      <w:tc>
        <w:tcPr>
          <w:tcW w:w="2268" w:type="dxa"/>
          <w:shd w:val="clear" w:color="auto" w:fill="auto"/>
        </w:tcPr>
        <w:p w14:paraId="00A7C613" w14:textId="77777777" w:rsidR="00BB456B" w:rsidRPr="005C106F" w:rsidRDefault="00BB456B" w:rsidP="00BB456B">
          <w:pPr>
            <w:tabs>
              <w:tab w:val="right" w:pos="4273"/>
            </w:tabs>
            <w:rPr>
              <w:rFonts w:ascii="Garamond" w:eastAsia="Calibri" w:hAnsi="Garamond"/>
              <w:sz w:val="16"/>
              <w:szCs w:val="16"/>
              <w:lang w:eastAsia="en-US"/>
            </w:rPr>
          </w:pPr>
        </w:p>
      </w:tc>
      <w:tc>
        <w:tcPr>
          <w:tcW w:w="6946" w:type="dxa"/>
          <w:shd w:val="clear" w:color="auto" w:fill="auto"/>
        </w:tcPr>
        <w:p w14:paraId="3F667E20" w14:textId="77777777" w:rsidR="00BB456B" w:rsidRDefault="00BB456B" w:rsidP="00BB456B"/>
        <w:tbl>
          <w:tblPr>
            <w:tblW w:w="6662" w:type="dxa"/>
            <w:tblInd w:w="40" w:type="dxa"/>
            <w:tblLayout w:type="fixed"/>
            <w:tblLook w:val="0420" w:firstRow="1" w:lastRow="0" w:firstColumn="0" w:lastColumn="0" w:noHBand="0" w:noVBand="1"/>
          </w:tblPr>
          <w:tblGrid>
            <w:gridCol w:w="3254"/>
            <w:gridCol w:w="3408"/>
          </w:tblGrid>
          <w:tr w:rsidR="00BB456B" w14:paraId="335BDDD9" w14:textId="77777777" w:rsidTr="00F83CD8">
            <w:trPr>
              <w:trHeight w:val="150"/>
            </w:trPr>
            <w:tc>
              <w:tcPr>
                <w:tcW w:w="3254" w:type="dxa"/>
                <w:shd w:val="clear" w:color="auto" w:fill="auto"/>
              </w:tcPr>
              <w:p w14:paraId="5A016672" w14:textId="77777777" w:rsidR="00BB456B" w:rsidRPr="00020E73" w:rsidRDefault="00BB456B" w:rsidP="00BF36FE">
                <w:pPr>
                  <w:tabs>
                    <w:tab w:val="right" w:pos="8838"/>
                  </w:tabs>
                  <w:ind w:right="-105"/>
                  <w:jc w:val="right"/>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3408" w:type="dxa"/>
                <w:shd w:val="clear" w:color="auto" w:fill="auto"/>
              </w:tcPr>
              <w:p w14:paraId="02C3FA09" w14:textId="1297EE21" w:rsidR="00BB456B" w:rsidRPr="00020E73" w:rsidRDefault="00BF36FE" w:rsidP="00BF36FE">
                <w:pPr>
                  <w:tabs>
                    <w:tab w:val="right" w:pos="8838"/>
                  </w:tabs>
                  <w:ind w:left="-108" w:right="-102"/>
                  <w:jc w:val="right"/>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w:t>
                </w:r>
                <w:r w:rsidR="002C62C4">
                  <w:rPr>
                    <w:rFonts w:ascii="Palatino Linotype" w:eastAsia="Calibri" w:hAnsi="Palatino Linotype" w:cs="Tahoma"/>
                    <w:bCs/>
                    <w:sz w:val="22"/>
                    <w:szCs w:val="22"/>
                    <w:lang w:eastAsia="en-US"/>
                  </w:rPr>
                  <w:t>1863</w:t>
                </w:r>
                <w:r w:rsidR="005F45F7">
                  <w:rPr>
                    <w:rFonts w:ascii="Palatino Linotype" w:eastAsia="Calibri" w:hAnsi="Palatino Linotype" w:cs="Tahoma"/>
                    <w:bCs/>
                    <w:sz w:val="22"/>
                    <w:szCs w:val="22"/>
                    <w:lang w:eastAsia="en-US"/>
                  </w:rPr>
                  <w:t>/INFOEM/IP/RR/2022</w:t>
                </w:r>
              </w:p>
            </w:tc>
          </w:tr>
          <w:tr w:rsidR="00BB456B" w14:paraId="04498333" w14:textId="77777777" w:rsidTr="00F83CD8">
            <w:trPr>
              <w:trHeight w:val="295"/>
            </w:trPr>
            <w:tc>
              <w:tcPr>
                <w:tcW w:w="3254" w:type="dxa"/>
                <w:shd w:val="clear" w:color="auto" w:fill="auto"/>
              </w:tcPr>
              <w:p w14:paraId="665A989C" w14:textId="77777777" w:rsidR="00BB456B" w:rsidRPr="00020E73" w:rsidRDefault="00BB456B" w:rsidP="00BF36FE">
                <w:pPr>
                  <w:tabs>
                    <w:tab w:val="right" w:pos="8838"/>
                  </w:tabs>
                  <w:ind w:right="-105"/>
                  <w:jc w:val="right"/>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3408" w:type="dxa"/>
                <w:shd w:val="clear" w:color="auto" w:fill="auto"/>
              </w:tcPr>
              <w:p w14:paraId="3C9D9427" w14:textId="70C2E82B" w:rsidR="00BB456B" w:rsidRPr="00020E73" w:rsidRDefault="00BF36FE" w:rsidP="00BF36FE">
                <w:pPr>
                  <w:tabs>
                    <w:tab w:val="left" w:pos="2834"/>
                    <w:tab w:val="right" w:pos="8838"/>
                  </w:tabs>
                  <w:ind w:right="-102"/>
                  <w:jc w:val="right"/>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Toluca</w:t>
                </w:r>
              </w:p>
            </w:tc>
          </w:tr>
          <w:tr w:rsidR="00BB456B" w14:paraId="6FEB3D53" w14:textId="77777777" w:rsidTr="00F83CD8">
            <w:trPr>
              <w:trHeight w:val="295"/>
            </w:trPr>
            <w:tc>
              <w:tcPr>
                <w:tcW w:w="3254" w:type="dxa"/>
                <w:shd w:val="clear" w:color="auto" w:fill="auto"/>
              </w:tcPr>
              <w:p w14:paraId="133AE5A4" w14:textId="77777777" w:rsidR="00BB456B" w:rsidRPr="00020E73" w:rsidRDefault="00BB456B" w:rsidP="00BF36FE">
                <w:pPr>
                  <w:tabs>
                    <w:tab w:val="right" w:pos="8838"/>
                  </w:tabs>
                  <w:ind w:right="-105"/>
                  <w:jc w:val="right"/>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3408" w:type="dxa"/>
                <w:shd w:val="clear" w:color="auto" w:fill="auto"/>
              </w:tcPr>
              <w:p w14:paraId="55887B33" w14:textId="77777777" w:rsidR="00BB456B" w:rsidRPr="00020E73" w:rsidRDefault="00BB456B" w:rsidP="00BF36FE">
                <w:pPr>
                  <w:tabs>
                    <w:tab w:val="right" w:pos="8838"/>
                  </w:tabs>
                  <w:ind w:left="-108" w:right="171"/>
                  <w:jc w:val="right"/>
                  <w:rPr>
                    <w:rFonts w:ascii="Palatino Linotype" w:eastAsia="Calibri" w:hAnsi="Palatino Linotype" w:cs="Tahoma"/>
                    <w:b/>
                    <w:sz w:val="22"/>
                    <w:szCs w:val="22"/>
                    <w:lang w:val="es-ES" w:eastAsia="en-US"/>
                  </w:rPr>
                </w:pPr>
                <w:r>
                  <w:rPr>
                    <w:rFonts w:ascii="Palatino Linotype" w:eastAsia="Calibri" w:hAnsi="Palatino Linotype" w:cs="Tahoma"/>
                    <w:sz w:val="22"/>
                    <w:szCs w:val="22"/>
                    <w:lang w:val="es-ES" w:eastAsia="en-US"/>
                  </w:rPr>
                  <w:t>María del Rosario Mejía Ayala</w:t>
                </w:r>
              </w:p>
            </w:tc>
          </w:tr>
        </w:tbl>
        <w:p w14:paraId="2E9C8546" w14:textId="77777777" w:rsidR="00BB456B" w:rsidRPr="005C106F" w:rsidRDefault="00BB456B" w:rsidP="00BB456B">
          <w:pPr>
            <w:tabs>
              <w:tab w:val="right" w:pos="8838"/>
            </w:tabs>
            <w:ind w:left="-28"/>
            <w:jc w:val="both"/>
            <w:rPr>
              <w:rFonts w:ascii="Arial" w:eastAsia="Calibri" w:hAnsi="Arial" w:cs="Arial"/>
              <w:b/>
              <w:sz w:val="22"/>
              <w:szCs w:val="22"/>
              <w:lang w:eastAsia="en-US"/>
            </w:rPr>
          </w:pPr>
        </w:p>
      </w:tc>
    </w:tr>
  </w:tbl>
  <w:p w14:paraId="4C32297F" w14:textId="77777777" w:rsidR="00BB456B" w:rsidRPr="00443C6B" w:rsidRDefault="00B02EDF" w:rsidP="00BB456B">
    <w:pPr>
      <w:pStyle w:val="Encabezado"/>
      <w:rPr>
        <w:sz w:val="14"/>
      </w:rPr>
    </w:pPr>
    <w:r>
      <w:rPr>
        <w:noProof/>
        <w:sz w:val="14"/>
      </w:rPr>
      <w:pict w14:anchorId="6E78E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BB456B" w:rsidRPr="00330DA7" w14:paraId="749A1EA7" w14:textId="77777777" w:rsidTr="00BB456B">
      <w:trPr>
        <w:trHeight w:val="1435"/>
      </w:trPr>
      <w:tc>
        <w:tcPr>
          <w:tcW w:w="2268" w:type="dxa"/>
          <w:shd w:val="clear" w:color="auto" w:fill="auto"/>
        </w:tcPr>
        <w:p w14:paraId="27478FA3" w14:textId="77777777" w:rsidR="00BB456B" w:rsidRPr="00330DA7" w:rsidRDefault="00BB456B" w:rsidP="00BB456B">
          <w:pPr>
            <w:tabs>
              <w:tab w:val="right" w:pos="4273"/>
            </w:tabs>
            <w:rPr>
              <w:rFonts w:ascii="Garamond" w:eastAsia="Calibri" w:hAnsi="Garamond"/>
              <w:sz w:val="22"/>
              <w:szCs w:val="22"/>
              <w:lang w:eastAsia="en-US"/>
            </w:rPr>
          </w:pPr>
        </w:p>
      </w:tc>
      <w:tc>
        <w:tcPr>
          <w:tcW w:w="6804" w:type="dxa"/>
          <w:shd w:val="clear" w:color="auto" w:fill="auto"/>
        </w:tcPr>
        <w:tbl>
          <w:tblPr>
            <w:tblW w:w="10880" w:type="dxa"/>
            <w:tblInd w:w="40" w:type="dxa"/>
            <w:tblLayout w:type="fixed"/>
            <w:tblLook w:val="0420" w:firstRow="1" w:lastRow="0" w:firstColumn="0" w:lastColumn="0" w:noHBand="0" w:noVBand="1"/>
          </w:tblPr>
          <w:tblGrid>
            <w:gridCol w:w="3538"/>
            <w:gridCol w:w="3124"/>
            <w:gridCol w:w="4218"/>
          </w:tblGrid>
          <w:tr w:rsidR="00BB456B" w:rsidRPr="00330DA7" w14:paraId="6471265A" w14:textId="77777777" w:rsidTr="00F83CD8">
            <w:trPr>
              <w:trHeight w:val="144"/>
            </w:trPr>
            <w:tc>
              <w:tcPr>
                <w:tcW w:w="3538" w:type="dxa"/>
                <w:shd w:val="clear" w:color="auto" w:fill="auto"/>
              </w:tcPr>
              <w:p w14:paraId="7F5E19C2" w14:textId="77777777" w:rsidR="00BB456B" w:rsidRPr="00020E73" w:rsidRDefault="00BB456B" w:rsidP="00BF36FE">
                <w:pPr>
                  <w:tabs>
                    <w:tab w:val="right" w:pos="8838"/>
                  </w:tabs>
                  <w:ind w:left="-264" w:right="-105" w:firstLine="195"/>
                  <w:jc w:val="right"/>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3124" w:type="dxa"/>
                <w:shd w:val="clear" w:color="auto" w:fill="auto"/>
              </w:tcPr>
              <w:p w14:paraId="580F147F" w14:textId="2142119C" w:rsidR="00BB456B" w:rsidRPr="00020E73" w:rsidRDefault="00BF36FE" w:rsidP="00BF36FE">
                <w:pPr>
                  <w:tabs>
                    <w:tab w:val="right" w:pos="8838"/>
                  </w:tabs>
                  <w:ind w:left="-74" w:right="-105"/>
                  <w:jc w:val="right"/>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w:t>
                </w:r>
                <w:r w:rsidR="002C62C4">
                  <w:rPr>
                    <w:rFonts w:ascii="Palatino Linotype" w:eastAsia="Calibri" w:hAnsi="Palatino Linotype" w:cs="Tahoma"/>
                    <w:sz w:val="22"/>
                    <w:szCs w:val="22"/>
                    <w:lang w:eastAsia="en-US"/>
                  </w:rPr>
                  <w:t>1863</w:t>
                </w:r>
                <w:r w:rsidR="005F45F7">
                  <w:rPr>
                    <w:rFonts w:ascii="Palatino Linotype" w:eastAsia="Calibri" w:hAnsi="Palatino Linotype" w:cs="Tahoma"/>
                    <w:sz w:val="22"/>
                    <w:szCs w:val="22"/>
                    <w:lang w:eastAsia="en-US"/>
                  </w:rPr>
                  <w:t>/INFOEM/IP/RR/2022</w:t>
                </w:r>
              </w:p>
            </w:tc>
            <w:tc>
              <w:tcPr>
                <w:tcW w:w="4218" w:type="dxa"/>
              </w:tcPr>
              <w:p w14:paraId="55923110" w14:textId="77777777" w:rsidR="00BB456B" w:rsidRDefault="00BB456B" w:rsidP="00BB456B">
                <w:pPr>
                  <w:tabs>
                    <w:tab w:val="right" w:pos="8838"/>
                  </w:tabs>
                  <w:ind w:left="-74" w:right="-105"/>
                  <w:jc w:val="both"/>
                  <w:rPr>
                    <w:rFonts w:ascii="Palatino Linotype" w:eastAsia="Calibri" w:hAnsi="Palatino Linotype" w:cs="Tahoma"/>
                    <w:sz w:val="22"/>
                    <w:szCs w:val="22"/>
                    <w:lang w:eastAsia="en-US"/>
                  </w:rPr>
                </w:pPr>
              </w:p>
            </w:tc>
          </w:tr>
          <w:tr w:rsidR="00BB456B" w:rsidRPr="00330DA7" w14:paraId="0E97639B" w14:textId="77777777" w:rsidTr="00F83CD8">
            <w:trPr>
              <w:trHeight w:val="144"/>
            </w:trPr>
            <w:tc>
              <w:tcPr>
                <w:tcW w:w="3538" w:type="dxa"/>
                <w:shd w:val="clear" w:color="auto" w:fill="auto"/>
              </w:tcPr>
              <w:p w14:paraId="63D927FB" w14:textId="77777777" w:rsidR="00BB456B" w:rsidRPr="00020E73" w:rsidRDefault="00BB456B" w:rsidP="00BF36FE">
                <w:pPr>
                  <w:tabs>
                    <w:tab w:val="right" w:pos="8838"/>
                  </w:tabs>
                  <w:ind w:left="-74" w:right="-105"/>
                  <w:jc w:val="right"/>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3124" w:type="dxa"/>
                <w:shd w:val="clear" w:color="auto" w:fill="auto"/>
              </w:tcPr>
              <w:p w14:paraId="1CDFA77F" w14:textId="669FCEF6" w:rsidR="00BB456B" w:rsidRPr="00020E73" w:rsidRDefault="002B71DF" w:rsidP="00BF36FE">
                <w:pPr>
                  <w:tabs>
                    <w:tab w:val="left" w:pos="3122"/>
                    <w:tab w:val="right" w:pos="8838"/>
                  </w:tabs>
                  <w:ind w:left="-74" w:right="-105"/>
                  <w:jc w:val="right"/>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 XXXXX XXXXX</w:t>
                </w:r>
              </w:p>
            </w:tc>
            <w:tc>
              <w:tcPr>
                <w:tcW w:w="4218" w:type="dxa"/>
              </w:tcPr>
              <w:p w14:paraId="4B296869" w14:textId="77777777" w:rsidR="00BB456B" w:rsidRPr="00020E73" w:rsidRDefault="00BB456B" w:rsidP="00BB456B">
                <w:pPr>
                  <w:tabs>
                    <w:tab w:val="left" w:pos="3122"/>
                    <w:tab w:val="right" w:pos="8838"/>
                  </w:tabs>
                  <w:ind w:left="-74" w:right="-105"/>
                  <w:jc w:val="both"/>
                  <w:rPr>
                    <w:rFonts w:ascii="Palatino Linotype" w:eastAsia="Calibri" w:hAnsi="Palatino Linotype" w:cs="Tahoma"/>
                    <w:sz w:val="22"/>
                    <w:szCs w:val="22"/>
                    <w:lang w:val="es-ES" w:eastAsia="en-US"/>
                  </w:rPr>
                </w:pPr>
              </w:p>
            </w:tc>
          </w:tr>
          <w:tr w:rsidR="00BB456B" w:rsidRPr="00330DA7" w14:paraId="3F57861B" w14:textId="77777777" w:rsidTr="00F83CD8">
            <w:trPr>
              <w:trHeight w:val="283"/>
            </w:trPr>
            <w:tc>
              <w:tcPr>
                <w:tcW w:w="3538" w:type="dxa"/>
                <w:shd w:val="clear" w:color="auto" w:fill="auto"/>
              </w:tcPr>
              <w:p w14:paraId="60D4F485" w14:textId="77777777" w:rsidR="00BB456B" w:rsidRPr="00020E73" w:rsidRDefault="00BB456B" w:rsidP="00BF36FE">
                <w:pPr>
                  <w:tabs>
                    <w:tab w:val="right" w:pos="8838"/>
                  </w:tabs>
                  <w:ind w:left="-74" w:right="-105"/>
                  <w:jc w:val="right"/>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3124" w:type="dxa"/>
                <w:shd w:val="clear" w:color="auto" w:fill="auto"/>
              </w:tcPr>
              <w:p w14:paraId="64B56988" w14:textId="0CD9D575" w:rsidR="00BB456B" w:rsidRPr="009E7B0A" w:rsidRDefault="00BF36FE" w:rsidP="00BF36FE">
                <w:pPr>
                  <w:tabs>
                    <w:tab w:val="left" w:pos="2834"/>
                    <w:tab w:val="right" w:pos="8838"/>
                  </w:tabs>
                  <w:ind w:left="-74" w:right="-105"/>
                  <w:jc w:val="right"/>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Toluca</w:t>
                </w:r>
              </w:p>
            </w:tc>
            <w:tc>
              <w:tcPr>
                <w:tcW w:w="4218" w:type="dxa"/>
              </w:tcPr>
              <w:p w14:paraId="1E9E70BB" w14:textId="77777777" w:rsidR="00BB456B" w:rsidRDefault="00BB456B" w:rsidP="00BB456B">
                <w:pPr>
                  <w:tabs>
                    <w:tab w:val="left" w:pos="2834"/>
                    <w:tab w:val="right" w:pos="8838"/>
                  </w:tabs>
                  <w:ind w:left="-74" w:right="-105"/>
                  <w:jc w:val="both"/>
                  <w:rPr>
                    <w:rFonts w:ascii="Palatino Linotype" w:eastAsia="Calibri" w:hAnsi="Palatino Linotype" w:cs="Tahoma"/>
                    <w:sz w:val="22"/>
                    <w:szCs w:val="22"/>
                    <w:lang w:eastAsia="en-US"/>
                  </w:rPr>
                </w:pPr>
              </w:p>
            </w:tc>
          </w:tr>
          <w:tr w:rsidR="00BB456B" w:rsidRPr="00330DA7" w14:paraId="265CD2BF" w14:textId="77777777" w:rsidTr="00F83CD8">
            <w:trPr>
              <w:trHeight w:val="283"/>
            </w:trPr>
            <w:tc>
              <w:tcPr>
                <w:tcW w:w="3538" w:type="dxa"/>
                <w:shd w:val="clear" w:color="auto" w:fill="auto"/>
              </w:tcPr>
              <w:p w14:paraId="1BC0A149" w14:textId="77777777" w:rsidR="00BB456B" w:rsidRPr="00020E73" w:rsidRDefault="00BB456B" w:rsidP="00BF36FE">
                <w:pPr>
                  <w:tabs>
                    <w:tab w:val="right" w:pos="8838"/>
                  </w:tabs>
                  <w:ind w:left="-74" w:right="-105"/>
                  <w:jc w:val="right"/>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3124" w:type="dxa"/>
                <w:shd w:val="clear" w:color="auto" w:fill="auto"/>
              </w:tcPr>
              <w:p w14:paraId="47F84170" w14:textId="77777777" w:rsidR="00BB456B" w:rsidRPr="00020E73" w:rsidRDefault="00BB456B" w:rsidP="00BF36FE">
                <w:pPr>
                  <w:tabs>
                    <w:tab w:val="right" w:pos="8838"/>
                  </w:tabs>
                  <w:ind w:left="-74" w:right="-105"/>
                  <w:jc w:val="right"/>
                  <w:rPr>
                    <w:rFonts w:ascii="Palatino Linotype" w:eastAsia="Calibri" w:hAnsi="Palatino Linotype" w:cs="Tahoma"/>
                    <w:b/>
                    <w:sz w:val="22"/>
                    <w:szCs w:val="22"/>
                    <w:lang w:val="es-ES" w:eastAsia="en-US"/>
                  </w:rPr>
                </w:pPr>
                <w:r>
                  <w:rPr>
                    <w:rFonts w:ascii="Palatino Linotype" w:eastAsia="Calibri" w:hAnsi="Palatino Linotype" w:cs="Tahoma"/>
                    <w:sz w:val="22"/>
                    <w:szCs w:val="22"/>
                    <w:lang w:val="es-ES" w:eastAsia="en-US"/>
                  </w:rPr>
                  <w:t>María del Rosario Mejía Ayala</w:t>
                </w:r>
              </w:p>
            </w:tc>
            <w:tc>
              <w:tcPr>
                <w:tcW w:w="4218" w:type="dxa"/>
              </w:tcPr>
              <w:p w14:paraId="19F35050" w14:textId="77777777" w:rsidR="00BB456B" w:rsidRDefault="00BB456B" w:rsidP="00BB456B">
                <w:pPr>
                  <w:tabs>
                    <w:tab w:val="right" w:pos="8838"/>
                  </w:tabs>
                  <w:ind w:left="-74" w:right="-105"/>
                  <w:jc w:val="both"/>
                  <w:rPr>
                    <w:rFonts w:ascii="Palatino Linotype" w:eastAsia="Calibri" w:hAnsi="Palatino Linotype" w:cs="Tahoma"/>
                    <w:sz w:val="22"/>
                    <w:szCs w:val="22"/>
                    <w:lang w:val="es-ES" w:eastAsia="en-US"/>
                  </w:rPr>
                </w:pPr>
              </w:p>
            </w:tc>
          </w:tr>
        </w:tbl>
        <w:p w14:paraId="520DC061" w14:textId="77777777" w:rsidR="00BB456B" w:rsidRPr="00330DA7" w:rsidRDefault="00BB456B" w:rsidP="00BB456B">
          <w:pPr>
            <w:tabs>
              <w:tab w:val="right" w:pos="8838"/>
            </w:tabs>
            <w:ind w:left="-28"/>
            <w:jc w:val="both"/>
            <w:rPr>
              <w:rFonts w:ascii="Arial" w:eastAsia="Calibri" w:hAnsi="Arial" w:cs="Arial"/>
              <w:b/>
              <w:sz w:val="22"/>
              <w:szCs w:val="22"/>
              <w:lang w:eastAsia="en-US"/>
            </w:rPr>
          </w:pPr>
        </w:p>
      </w:tc>
    </w:tr>
  </w:tbl>
  <w:p w14:paraId="5796EF91" w14:textId="77777777" w:rsidR="00BB456B" w:rsidRPr="00827FA0" w:rsidRDefault="00B02EDF" w:rsidP="00BB456B">
    <w:pPr>
      <w:pStyle w:val="Encabezado"/>
      <w:rPr>
        <w:sz w:val="2"/>
        <w:szCs w:val="22"/>
      </w:rPr>
    </w:pPr>
    <w:r>
      <w:rPr>
        <w:noProof/>
        <w:sz w:val="2"/>
        <w:szCs w:val="22"/>
      </w:rPr>
      <w:pict w14:anchorId="40DE7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C5A3CE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D3DAA5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D25061"/>
    <w:multiLevelType w:val="hybridMultilevel"/>
    <w:tmpl w:val="BA641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D7D2599"/>
    <w:multiLevelType w:val="hybridMultilevel"/>
    <w:tmpl w:val="20EE9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0B94EDB"/>
    <w:multiLevelType w:val="hybridMultilevel"/>
    <w:tmpl w:val="FCBEB392"/>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402D0B"/>
    <w:multiLevelType w:val="multilevel"/>
    <w:tmpl w:val="C99A92C2"/>
    <w:lvl w:ilvl="0">
      <w:start w:val="1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4010608F"/>
    <w:multiLevelType w:val="hybridMultilevel"/>
    <w:tmpl w:val="12CC5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4B753FA"/>
    <w:multiLevelType w:val="hybridMultilevel"/>
    <w:tmpl w:val="724C630E"/>
    <w:lvl w:ilvl="0" w:tplc="C3A05FBC">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82E2A13"/>
    <w:multiLevelType w:val="hybridMultilevel"/>
    <w:tmpl w:val="8F96F9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B341121"/>
    <w:multiLevelType w:val="hybridMultilevel"/>
    <w:tmpl w:val="E006D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C3C33FF"/>
    <w:multiLevelType w:val="hybridMultilevel"/>
    <w:tmpl w:val="0BC013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63FA2B63"/>
    <w:multiLevelType w:val="hybridMultilevel"/>
    <w:tmpl w:val="494E81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9BC26E4"/>
    <w:multiLevelType w:val="multilevel"/>
    <w:tmpl w:val="430A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E077F5"/>
    <w:multiLevelType w:val="hybridMultilevel"/>
    <w:tmpl w:val="A4EEEA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A8F08F5"/>
    <w:multiLevelType w:val="hybridMultilevel"/>
    <w:tmpl w:val="1610BF1A"/>
    <w:lvl w:ilvl="0" w:tplc="DF14A7E0">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E123A4F"/>
    <w:multiLevelType w:val="hybridMultilevel"/>
    <w:tmpl w:val="6FF6C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5"/>
  </w:num>
  <w:num w:numId="2">
    <w:abstractNumId w:val="5"/>
  </w:num>
  <w:num w:numId="3">
    <w:abstractNumId w:val="9"/>
  </w:num>
  <w:num w:numId="4">
    <w:abstractNumId w:val="20"/>
  </w:num>
  <w:num w:numId="5">
    <w:abstractNumId w:val="13"/>
  </w:num>
  <w:num w:numId="6">
    <w:abstractNumId w:val="19"/>
  </w:num>
  <w:num w:numId="7">
    <w:abstractNumId w:val="7"/>
  </w:num>
  <w:num w:numId="8">
    <w:abstractNumId w:val="6"/>
  </w:num>
  <w:num w:numId="9">
    <w:abstractNumId w:val="10"/>
  </w:num>
  <w:num w:numId="10">
    <w:abstractNumId w:val="12"/>
  </w:num>
  <w:num w:numId="11">
    <w:abstractNumId w:val="4"/>
  </w:num>
  <w:num w:numId="12">
    <w:abstractNumId w:val="17"/>
  </w:num>
  <w:num w:numId="13">
    <w:abstractNumId w:val="8"/>
  </w:num>
  <w:num w:numId="14">
    <w:abstractNumId w:val="18"/>
  </w:num>
  <w:num w:numId="15">
    <w:abstractNumId w:val="1"/>
  </w:num>
  <w:num w:numId="16">
    <w:abstractNumId w:val="0"/>
  </w:num>
  <w:num w:numId="17">
    <w:abstractNumId w:val="3"/>
  </w:num>
  <w:num w:numId="18">
    <w:abstractNumId w:val="2"/>
  </w:num>
  <w:num w:numId="19">
    <w:abstractNumId w:val="21"/>
  </w:num>
  <w:num w:numId="20">
    <w:abstractNumId w:val="11"/>
  </w:num>
  <w:num w:numId="21">
    <w:abstractNumId w:val="1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2C2"/>
    <w:rsid w:val="000027D6"/>
    <w:rsid w:val="0002693A"/>
    <w:rsid w:val="00037FF5"/>
    <w:rsid w:val="0005250D"/>
    <w:rsid w:val="00067992"/>
    <w:rsid w:val="0009677C"/>
    <w:rsid w:val="000C77B0"/>
    <w:rsid w:val="000F7407"/>
    <w:rsid w:val="00123E3C"/>
    <w:rsid w:val="001A6EAB"/>
    <w:rsid w:val="001C55F3"/>
    <w:rsid w:val="001E6AD4"/>
    <w:rsid w:val="001F6479"/>
    <w:rsid w:val="00252CDE"/>
    <w:rsid w:val="002B01A1"/>
    <w:rsid w:val="002B3204"/>
    <w:rsid w:val="002B71DF"/>
    <w:rsid w:val="002C62C4"/>
    <w:rsid w:val="002C7D83"/>
    <w:rsid w:val="00335000"/>
    <w:rsid w:val="00340B0D"/>
    <w:rsid w:val="00385055"/>
    <w:rsid w:val="00387DD2"/>
    <w:rsid w:val="0041112A"/>
    <w:rsid w:val="00450649"/>
    <w:rsid w:val="00461C0A"/>
    <w:rsid w:val="004A0FA1"/>
    <w:rsid w:val="004C7EF4"/>
    <w:rsid w:val="004D3E46"/>
    <w:rsid w:val="004F5B11"/>
    <w:rsid w:val="005004FF"/>
    <w:rsid w:val="005156AA"/>
    <w:rsid w:val="005313FB"/>
    <w:rsid w:val="00576026"/>
    <w:rsid w:val="00577A5A"/>
    <w:rsid w:val="005C109E"/>
    <w:rsid w:val="005F45F7"/>
    <w:rsid w:val="00655176"/>
    <w:rsid w:val="006D21B6"/>
    <w:rsid w:val="006E42A6"/>
    <w:rsid w:val="00712A40"/>
    <w:rsid w:val="00737830"/>
    <w:rsid w:val="00746A1A"/>
    <w:rsid w:val="00826C6C"/>
    <w:rsid w:val="008306E8"/>
    <w:rsid w:val="00844B62"/>
    <w:rsid w:val="00897AD3"/>
    <w:rsid w:val="008A657A"/>
    <w:rsid w:val="008D7D0D"/>
    <w:rsid w:val="008E30E8"/>
    <w:rsid w:val="008F30AD"/>
    <w:rsid w:val="00914A15"/>
    <w:rsid w:val="00994ACC"/>
    <w:rsid w:val="009963C6"/>
    <w:rsid w:val="00A03080"/>
    <w:rsid w:val="00A068B7"/>
    <w:rsid w:val="00A3119D"/>
    <w:rsid w:val="00A47DE0"/>
    <w:rsid w:val="00A840AB"/>
    <w:rsid w:val="00AD153C"/>
    <w:rsid w:val="00AE26A4"/>
    <w:rsid w:val="00B00358"/>
    <w:rsid w:val="00B02EDF"/>
    <w:rsid w:val="00B315FF"/>
    <w:rsid w:val="00B4318F"/>
    <w:rsid w:val="00B5242E"/>
    <w:rsid w:val="00B55BE4"/>
    <w:rsid w:val="00B57611"/>
    <w:rsid w:val="00B76A81"/>
    <w:rsid w:val="00BB456B"/>
    <w:rsid w:val="00BF36FE"/>
    <w:rsid w:val="00C00F5A"/>
    <w:rsid w:val="00C054FF"/>
    <w:rsid w:val="00C164BC"/>
    <w:rsid w:val="00C37CD3"/>
    <w:rsid w:val="00CA4101"/>
    <w:rsid w:val="00CC0337"/>
    <w:rsid w:val="00CD39A6"/>
    <w:rsid w:val="00CE5940"/>
    <w:rsid w:val="00D262C2"/>
    <w:rsid w:val="00D35E86"/>
    <w:rsid w:val="00D36816"/>
    <w:rsid w:val="00D51ED8"/>
    <w:rsid w:val="00D52A99"/>
    <w:rsid w:val="00D9126C"/>
    <w:rsid w:val="00DA55B8"/>
    <w:rsid w:val="00DB1ED4"/>
    <w:rsid w:val="00DE2AA8"/>
    <w:rsid w:val="00DF11B4"/>
    <w:rsid w:val="00DF3EEA"/>
    <w:rsid w:val="00E07D34"/>
    <w:rsid w:val="00E33D40"/>
    <w:rsid w:val="00E62564"/>
    <w:rsid w:val="00E86044"/>
    <w:rsid w:val="00E95091"/>
    <w:rsid w:val="00EC3CB7"/>
    <w:rsid w:val="00ED53F1"/>
    <w:rsid w:val="00F44700"/>
    <w:rsid w:val="00F70D85"/>
    <w:rsid w:val="00F83CD8"/>
    <w:rsid w:val="00F84E06"/>
    <w:rsid w:val="00F95C94"/>
    <w:rsid w:val="00FA6533"/>
    <w:rsid w:val="00FB10D7"/>
    <w:rsid w:val="00FD3F5F"/>
    <w:rsid w:val="00FE4F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D5D447"/>
  <w15:chartTrackingRefBased/>
  <w15:docId w15:val="{350E2736-2F59-42F0-A873-06609174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6A4"/>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D262C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262C2"/>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62C2"/>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D262C2"/>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D262C2"/>
    <w:pPr>
      <w:tabs>
        <w:tab w:val="center" w:pos="4419"/>
        <w:tab w:val="right" w:pos="8838"/>
      </w:tabs>
    </w:pPr>
  </w:style>
  <w:style w:type="character" w:customStyle="1" w:styleId="EncabezadoCar">
    <w:name w:val="Encabezado Car"/>
    <w:basedOn w:val="Fuentedeprrafopredeter"/>
    <w:link w:val="Encabezado"/>
    <w:uiPriority w:val="99"/>
    <w:rsid w:val="00D262C2"/>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D262C2"/>
    <w:pPr>
      <w:tabs>
        <w:tab w:val="center" w:pos="4419"/>
        <w:tab w:val="right" w:pos="8838"/>
      </w:tabs>
    </w:pPr>
  </w:style>
  <w:style w:type="character" w:customStyle="1" w:styleId="PiedepginaCar">
    <w:name w:val="Pie de página Car"/>
    <w:basedOn w:val="Fuentedeprrafopredeter"/>
    <w:link w:val="Piedepgina"/>
    <w:uiPriority w:val="99"/>
    <w:rsid w:val="00D262C2"/>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262C2"/>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D262C2"/>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D262C2"/>
    <w:rPr>
      <w:color w:val="0563C1"/>
      <w:u w:val="single"/>
    </w:rPr>
  </w:style>
  <w:style w:type="paragraph" w:styleId="Sinespaciado">
    <w:name w:val="No Spacing"/>
    <w:aliases w:val="Francesa,INAI"/>
    <w:link w:val="SinespaciadoCar"/>
    <w:uiPriority w:val="1"/>
    <w:qFormat/>
    <w:rsid w:val="00D262C2"/>
    <w:pPr>
      <w:spacing w:after="0" w:line="240" w:lineRule="auto"/>
    </w:p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262C2"/>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D262C2"/>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262C2"/>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D262C2"/>
    <w:rPr>
      <w:rFonts w:ascii="Times New Roman" w:eastAsia="Times New Roman" w:hAnsi="Times New Roman" w:cs="Times New Roman"/>
      <w:sz w:val="20"/>
      <w:szCs w:val="20"/>
      <w:lang w:eastAsia="es-MX"/>
    </w:rPr>
  </w:style>
  <w:style w:type="character" w:customStyle="1" w:styleId="SinespaciadoCar">
    <w:name w:val="Sin espaciado Car"/>
    <w:aliases w:val="Francesa Car,INAI Car"/>
    <w:link w:val="Sinespaciado"/>
    <w:uiPriority w:val="1"/>
    <w:locked/>
    <w:rsid w:val="00D262C2"/>
  </w:style>
  <w:style w:type="paragraph" w:styleId="TDC1">
    <w:name w:val="toc 1"/>
    <w:basedOn w:val="Normal"/>
    <w:next w:val="Normal"/>
    <w:autoRedefine/>
    <w:uiPriority w:val="39"/>
    <w:unhideWhenUsed/>
    <w:rsid w:val="00D262C2"/>
    <w:pPr>
      <w:spacing w:after="100" w:line="259" w:lineRule="auto"/>
    </w:pPr>
    <w:rPr>
      <w:rFonts w:asciiTheme="minorHAnsi" w:eastAsiaTheme="minorHAnsi" w:hAnsiTheme="minorHAnsi" w:cstheme="minorBidi"/>
      <w:sz w:val="22"/>
      <w:szCs w:val="22"/>
      <w:lang w:eastAsia="en-US"/>
    </w:rPr>
  </w:style>
  <w:style w:type="paragraph" w:styleId="TDC3">
    <w:name w:val="toc 3"/>
    <w:basedOn w:val="Normal"/>
    <w:next w:val="Normal"/>
    <w:autoRedefine/>
    <w:uiPriority w:val="39"/>
    <w:unhideWhenUsed/>
    <w:rsid w:val="00D262C2"/>
    <w:pPr>
      <w:spacing w:after="100" w:line="259" w:lineRule="auto"/>
      <w:ind w:left="440"/>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D262C2"/>
    <w:pPr>
      <w:spacing w:after="100" w:line="259" w:lineRule="auto"/>
      <w:ind w:left="220"/>
    </w:pPr>
    <w:rPr>
      <w:rFonts w:asciiTheme="minorHAnsi" w:eastAsiaTheme="minorHAnsi" w:hAnsiTheme="minorHAnsi" w:cstheme="minorBidi"/>
      <w:sz w:val="22"/>
      <w:szCs w:val="22"/>
      <w:lang w:eastAsia="en-US"/>
    </w:rPr>
  </w:style>
  <w:style w:type="paragraph" w:styleId="TtulodeTDC">
    <w:name w:val="TOC Heading"/>
    <w:basedOn w:val="Ttulo1"/>
    <w:next w:val="Normal"/>
    <w:uiPriority w:val="39"/>
    <w:semiHidden/>
    <w:unhideWhenUsed/>
    <w:qFormat/>
    <w:rsid w:val="00D262C2"/>
    <w:pPr>
      <w:outlineLvl w:val="9"/>
    </w:pPr>
  </w:style>
  <w:style w:type="table" w:customStyle="1" w:styleId="Tablaconcuadrcula1">
    <w:name w:val="Tabla con cuadrícula1"/>
    <w:basedOn w:val="Tablanormal"/>
    <w:next w:val="Tablaconcuadrcula"/>
    <w:uiPriority w:val="59"/>
    <w:rsid w:val="00D262C2"/>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D262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C109E"/>
    <w:pPr>
      <w:autoSpaceDE w:val="0"/>
      <w:autoSpaceDN w:val="0"/>
      <w:adjustRightInd w:val="0"/>
      <w:spacing w:after="0" w:line="240" w:lineRule="auto"/>
    </w:pPr>
    <w:rPr>
      <w:rFonts w:ascii="Calibri Light" w:hAnsi="Calibri Light" w:cs="Calibri Light"/>
      <w:color w:val="000000"/>
      <w:sz w:val="24"/>
      <w:szCs w:val="24"/>
    </w:rPr>
  </w:style>
  <w:style w:type="paragraph" w:styleId="Textodeglobo">
    <w:name w:val="Balloon Text"/>
    <w:basedOn w:val="Normal"/>
    <w:link w:val="TextodegloboCar"/>
    <w:uiPriority w:val="99"/>
    <w:semiHidden/>
    <w:unhideWhenUsed/>
    <w:rsid w:val="005313F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13FB"/>
    <w:rPr>
      <w:rFonts w:ascii="Lucida Grande" w:eastAsia="Times New Roman" w:hAnsi="Lucida Grande" w:cs="Lucida Grande"/>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75980">
      <w:bodyDiv w:val="1"/>
      <w:marLeft w:val="0"/>
      <w:marRight w:val="0"/>
      <w:marTop w:val="0"/>
      <w:marBottom w:val="0"/>
      <w:divBdr>
        <w:top w:val="none" w:sz="0" w:space="0" w:color="auto"/>
        <w:left w:val="none" w:sz="0" w:space="0" w:color="auto"/>
        <w:bottom w:val="none" w:sz="0" w:space="0" w:color="auto"/>
        <w:right w:val="none" w:sz="0" w:space="0" w:color="auto"/>
      </w:divBdr>
    </w:div>
    <w:div w:id="59181501">
      <w:bodyDiv w:val="1"/>
      <w:marLeft w:val="0"/>
      <w:marRight w:val="0"/>
      <w:marTop w:val="0"/>
      <w:marBottom w:val="0"/>
      <w:divBdr>
        <w:top w:val="none" w:sz="0" w:space="0" w:color="auto"/>
        <w:left w:val="none" w:sz="0" w:space="0" w:color="auto"/>
        <w:bottom w:val="none" w:sz="0" w:space="0" w:color="auto"/>
        <w:right w:val="none" w:sz="0" w:space="0" w:color="auto"/>
      </w:divBdr>
    </w:div>
    <w:div w:id="68233051">
      <w:bodyDiv w:val="1"/>
      <w:marLeft w:val="0"/>
      <w:marRight w:val="0"/>
      <w:marTop w:val="0"/>
      <w:marBottom w:val="0"/>
      <w:divBdr>
        <w:top w:val="none" w:sz="0" w:space="0" w:color="auto"/>
        <w:left w:val="none" w:sz="0" w:space="0" w:color="auto"/>
        <w:bottom w:val="none" w:sz="0" w:space="0" w:color="auto"/>
        <w:right w:val="none" w:sz="0" w:space="0" w:color="auto"/>
      </w:divBdr>
    </w:div>
    <w:div w:id="215433711">
      <w:bodyDiv w:val="1"/>
      <w:marLeft w:val="0"/>
      <w:marRight w:val="0"/>
      <w:marTop w:val="0"/>
      <w:marBottom w:val="0"/>
      <w:divBdr>
        <w:top w:val="none" w:sz="0" w:space="0" w:color="auto"/>
        <w:left w:val="none" w:sz="0" w:space="0" w:color="auto"/>
        <w:bottom w:val="none" w:sz="0" w:space="0" w:color="auto"/>
        <w:right w:val="none" w:sz="0" w:space="0" w:color="auto"/>
      </w:divBdr>
    </w:div>
    <w:div w:id="246422538">
      <w:bodyDiv w:val="1"/>
      <w:marLeft w:val="0"/>
      <w:marRight w:val="0"/>
      <w:marTop w:val="0"/>
      <w:marBottom w:val="0"/>
      <w:divBdr>
        <w:top w:val="none" w:sz="0" w:space="0" w:color="auto"/>
        <w:left w:val="none" w:sz="0" w:space="0" w:color="auto"/>
        <w:bottom w:val="none" w:sz="0" w:space="0" w:color="auto"/>
        <w:right w:val="none" w:sz="0" w:space="0" w:color="auto"/>
      </w:divBdr>
    </w:div>
    <w:div w:id="287276475">
      <w:bodyDiv w:val="1"/>
      <w:marLeft w:val="0"/>
      <w:marRight w:val="0"/>
      <w:marTop w:val="0"/>
      <w:marBottom w:val="0"/>
      <w:divBdr>
        <w:top w:val="none" w:sz="0" w:space="0" w:color="auto"/>
        <w:left w:val="none" w:sz="0" w:space="0" w:color="auto"/>
        <w:bottom w:val="none" w:sz="0" w:space="0" w:color="auto"/>
        <w:right w:val="none" w:sz="0" w:space="0" w:color="auto"/>
      </w:divBdr>
    </w:div>
    <w:div w:id="366568524">
      <w:bodyDiv w:val="1"/>
      <w:marLeft w:val="0"/>
      <w:marRight w:val="0"/>
      <w:marTop w:val="0"/>
      <w:marBottom w:val="0"/>
      <w:divBdr>
        <w:top w:val="none" w:sz="0" w:space="0" w:color="auto"/>
        <w:left w:val="none" w:sz="0" w:space="0" w:color="auto"/>
        <w:bottom w:val="none" w:sz="0" w:space="0" w:color="auto"/>
        <w:right w:val="none" w:sz="0" w:space="0" w:color="auto"/>
      </w:divBdr>
    </w:div>
    <w:div w:id="417947370">
      <w:bodyDiv w:val="1"/>
      <w:marLeft w:val="0"/>
      <w:marRight w:val="0"/>
      <w:marTop w:val="0"/>
      <w:marBottom w:val="0"/>
      <w:divBdr>
        <w:top w:val="none" w:sz="0" w:space="0" w:color="auto"/>
        <w:left w:val="none" w:sz="0" w:space="0" w:color="auto"/>
        <w:bottom w:val="none" w:sz="0" w:space="0" w:color="auto"/>
        <w:right w:val="none" w:sz="0" w:space="0" w:color="auto"/>
      </w:divBdr>
    </w:div>
    <w:div w:id="423108445">
      <w:bodyDiv w:val="1"/>
      <w:marLeft w:val="0"/>
      <w:marRight w:val="0"/>
      <w:marTop w:val="0"/>
      <w:marBottom w:val="0"/>
      <w:divBdr>
        <w:top w:val="none" w:sz="0" w:space="0" w:color="auto"/>
        <w:left w:val="none" w:sz="0" w:space="0" w:color="auto"/>
        <w:bottom w:val="none" w:sz="0" w:space="0" w:color="auto"/>
        <w:right w:val="none" w:sz="0" w:space="0" w:color="auto"/>
      </w:divBdr>
    </w:div>
    <w:div w:id="424763406">
      <w:bodyDiv w:val="1"/>
      <w:marLeft w:val="0"/>
      <w:marRight w:val="0"/>
      <w:marTop w:val="0"/>
      <w:marBottom w:val="0"/>
      <w:divBdr>
        <w:top w:val="none" w:sz="0" w:space="0" w:color="auto"/>
        <w:left w:val="none" w:sz="0" w:space="0" w:color="auto"/>
        <w:bottom w:val="none" w:sz="0" w:space="0" w:color="auto"/>
        <w:right w:val="none" w:sz="0" w:space="0" w:color="auto"/>
      </w:divBdr>
    </w:div>
    <w:div w:id="449279355">
      <w:bodyDiv w:val="1"/>
      <w:marLeft w:val="0"/>
      <w:marRight w:val="0"/>
      <w:marTop w:val="0"/>
      <w:marBottom w:val="0"/>
      <w:divBdr>
        <w:top w:val="none" w:sz="0" w:space="0" w:color="auto"/>
        <w:left w:val="none" w:sz="0" w:space="0" w:color="auto"/>
        <w:bottom w:val="none" w:sz="0" w:space="0" w:color="auto"/>
        <w:right w:val="none" w:sz="0" w:space="0" w:color="auto"/>
      </w:divBdr>
    </w:div>
    <w:div w:id="741876056">
      <w:bodyDiv w:val="1"/>
      <w:marLeft w:val="0"/>
      <w:marRight w:val="0"/>
      <w:marTop w:val="0"/>
      <w:marBottom w:val="0"/>
      <w:divBdr>
        <w:top w:val="none" w:sz="0" w:space="0" w:color="auto"/>
        <w:left w:val="none" w:sz="0" w:space="0" w:color="auto"/>
        <w:bottom w:val="none" w:sz="0" w:space="0" w:color="auto"/>
        <w:right w:val="none" w:sz="0" w:space="0" w:color="auto"/>
      </w:divBdr>
    </w:div>
    <w:div w:id="781922786">
      <w:bodyDiv w:val="1"/>
      <w:marLeft w:val="0"/>
      <w:marRight w:val="0"/>
      <w:marTop w:val="0"/>
      <w:marBottom w:val="0"/>
      <w:divBdr>
        <w:top w:val="none" w:sz="0" w:space="0" w:color="auto"/>
        <w:left w:val="none" w:sz="0" w:space="0" w:color="auto"/>
        <w:bottom w:val="none" w:sz="0" w:space="0" w:color="auto"/>
        <w:right w:val="none" w:sz="0" w:space="0" w:color="auto"/>
      </w:divBdr>
    </w:div>
    <w:div w:id="918247618">
      <w:bodyDiv w:val="1"/>
      <w:marLeft w:val="0"/>
      <w:marRight w:val="0"/>
      <w:marTop w:val="0"/>
      <w:marBottom w:val="0"/>
      <w:divBdr>
        <w:top w:val="none" w:sz="0" w:space="0" w:color="auto"/>
        <w:left w:val="none" w:sz="0" w:space="0" w:color="auto"/>
        <w:bottom w:val="none" w:sz="0" w:space="0" w:color="auto"/>
        <w:right w:val="none" w:sz="0" w:space="0" w:color="auto"/>
      </w:divBdr>
    </w:div>
    <w:div w:id="963996473">
      <w:bodyDiv w:val="1"/>
      <w:marLeft w:val="0"/>
      <w:marRight w:val="0"/>
      <w:marTop w:val="0"/>
      <w:marBottom w:val="0"/>
      <w:divBdr>
        <w:top w:val="none" w:sz="0" w:space="0" w:color="auto"/>
        <w:left w:val="none" w:sz="0" w:space="0" w:color="auto"/>
        <w:bottom w:val="none" w:sz="0" w:space="0" w:color="auto"/>
        <w:right w:val="none" w:sz="0" w:space="0" w:color="auto"/>
      </w:divBdr>
    </w:div>
    <w:div w:id="1035957852">
      <w:bodyDiv w:val="1"/>
      <w:marLeft w:val="0"/>
      <w:marRight w:val="0"/>
      <w:marTop w:val="0"/>
      <w:marBottom w:val="0"/>
      <w:divBdr>
        <w:top w:val="none" w:sz="0" w:space="0" w:color="auto"/>
        <w:left w:val="none" w:sz="0" w:space="0" w:color="auto"/>
        <w:bottom w:val="none" w:sz="0" w:space="0" w:color="auto"/>
        <w:right w:val="none" w:sz="0" w:space="0" w:color="auto"/>
      </w:divBdr>
    </w:div>
    <w:div w:id="1182551003">
      <w:bodyDiv w:val="1"/>
      <w:marLeft w:val="0"/>
      <w:marRight w:val="0"/>
      <w:marTop w:val="0"/>
      <w:marBottom w:val="0"/>
      <w:divBdr>
        <w:top w:val="none" w:sz="0" w:space="0" w:color="auto"/>
        <w:left w:val="none" w:sz="0" w:space="0" w:color="auto"/>
        <w:bottom w:val="none" w:sz="0" w:space="0" w:color="auto"/>
        <w:right w:val="none" w:sz="0" w:space="0" w:color="auto"/>
      </w:divBdr>
    </w:div>
    <w:div w:id="1198930336">
      <w:bodyDiv w:val="1"/>
      <w:marLeft w:val="0"/>
      <w:marRight w:val="0"/>
      <w:marTop w:val="0"/>
      <w:marBottom w:val="0"/>
      <w:divBdr>
        <w:top w:val="none" w:sz="0" w:space="0" w:color="auto"/>
        <w:left w:val="none" w:sz="0" w:space="0" w:color="auto"/>
        <w:bottom w:val="none" w:sz="0" w:space="0" w:color="auto"/>
        <w:right w:val="none" w:sz="0" w:space="0" w:color="auto"/>
      </w:divBdr>
    </w:div>
    <w:div w:id="1413695829">
      <w:bodyDiv w:val="1"/>
      <w:marLeft w:val="0"/>
      <w:marRight w:val="0"/>
      <w:marTop w:val="0"/>
      <w:marBottom w:val="0"/>
      <w:divBdr>
        <w:top w:val="none" w:sz="0" w:space="0" w:color="auto"/>
        <w:left w:val="none" w:sz="0" w:space="0" w:color="auto"/>
        <w:bottom w:val="none" w:sz="0" w:space="0" w:color="auto"/>
        <w:right w:val="none" w:sz="0" w:space="0" w:color="auto"/>
      </w:divBdr>
    </w:div>
    <w:div w:id="1568955609">
      <w:bodyDiv w:val="1"/>
      <w:marLeft w:val="0"/>
      <w:marRight w:val="0"/>
      <w:marTop w:val="0"/>
      <w:marBottom w:val="0"/>
      <w:divBdr>
        <w:top w:val="none" w:sz="0" w:space="0" w:color="auto"/>
        <w:left w:val="none" w:sz="0" w:space="0" w:color="auto"/>
        <w:bottom w:val="none" w:sz="0" w:space="0" w:color="auto"/>
        <w:right w:val="none" w:sz="0" w:space="0" w:color="auto"/>
      </w:divBdr>
    </w:div>
    <w:div w:id="1612781111">
      <w:bodyDiv w:val="1"/>
      <w:marLeft w:val="0"/>
      <w:marRight w:val="0"/>
      <w:marTop w:val="0"/>
      <w:marBottom w:val="0"/>
      <w:divBdr>
        <w:top w:val="none" w:sz="0" w:space="0" w:color="auto"/>
        <w:left w:val="none" w:sz="0" w:space="0" w:color="auto"/>
        <w:bottom w:val="none" w:sz="0" w:space="0" w:color="auto"/>
        <w:right w:val="none" w:sz="0" w:space="0" w:color="auto"/>
      </w:divBdr>
    </w:div>
    <w:div w:id="1999771192">
      <w:bodyDiv w:val="1"/>
      <w:marLeft w:val="0"/>
      <w:marRight w:val="0"/>
      <w:marTop w:val="0"/>
      <w:marBottom w:val="0"/>
      <w:divBdr>
        <w:top w:val="none" w:sz="0" w:space="0" w:color="auto"/>
        <w:left w:val="none" w:sz="0" w:space="0" w:color="auto"/>
        <w:bottom w:val="none" w:sz="0" w:space="0" w:color="auto"/>
        <w:right w:val="none" w:sz="0" w:space="0" w:color="auto"/>
      </w:divBdr>
    </w:div>
    <w:div w:id="2004233116">
      <w:bodyDiv w:val="1"/>
      <w:marLeft w:val="0"/>
      <w:marRight w:val="0"/>
      <w:marTop w:val="0"/>
      <w:marBottom w:val="0"/>
      <w:divBdr>
        <w:top w:val="none" w:sz="0" w:space="0" w:color="auto"/>
        <w:left w:val="none" w:sz="0" w:space="0" w:color="auto"/>
        <w:bottom w:val="none" w:sz="0" w:space="0" w:color="auto"/>
        <w:right w:val="none" w:sz="0" w:space="0" w:color="auto"/>
      </w:divBdr>
    </w:div>
    <w:div w:id="2069986964">
      <w:bodyDiv w:val="1"/>
      <w:marLeft w:val="0"/>
      <w:marRight w:val="0"/>
      <w:marTop w:val="0"/>
      <w:marBottom w:val="0"/>
      <w:divBdr>
        <w:top w:val="none" w:sz="0" w:space="0" w:color="auto"/>
        <w:left w:val="none" w:sz="0" w:space="0" w:color="auto"/>
        <w:bottom w:val="none" w:sz="0" w:space="0" w:color="auto"/>
        <w:right w:val="none" w:sz="0" w:space="0" w:color="auto"/>
      </w:divBdr>
    </w:div>
    <w:div w:id="2135516929">
      <w:bodyDiv w:val="1"/>
      <w:marLeft w:val="0"/>
      <w:marRight w:val="0"/>
      <w:marTop w:val="0"/>
      <w:marBottom w:val="0"/>
      <w:divBdr>
        <w:top w:val="none" w:sz="0" w:space="0" w:color="auto"/>
        <w:left w:val="none" w:sz="0" w:space="0" w:color="auto"/>
        <w:bottom w:val="none" w:sz="0" w:space="0" w:color="auto"/>
        <w:right w:val="none" w:sz="0" w:space="0" w:color="auto"/>
      </w:divBdr>
    </w:div>
    <w:div w:id="214199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38048.page" TargetMode="External"/><Relationship Id="rId13" Type="http://schemas.openxmlformats.org/officeDocument/2006/relationships/hyperlink" Target="https://saimex.org.mx/saimex/solicitud/downloadAttach/1362960.page"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saimex.org.mx/saimex/solicitud/downloadAttach/1345952.pag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338052.pag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aimex.org.mx/saimex/solicitud/downloadAttach/1338051.pag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saimex.org.mx/saimex/solicitud/downloadAttach/1338049.page"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2947</Words>
  <Characters>16211</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7</cp:revision>
  <dcterms:created xsi:type="dcterms:W3CDTF">2022-10-05T21:51:00Z</dcterms:created>
  <dcterms:modified xsi:type="dcterms:W3CDTF">2022-11-10T19:12:00Z</dcterms:modified>
</cp:coreProperties>
</file>