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94760"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agosto del dos mil veintidós.</w:t>
      </w:r>
    </w:p>
    <w:p w14:paraId="3843DF8E" w14:textId="52486D6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04569/INFOEM/IP/RR/2022</w:t>
      </w:r>
      <w:r>
        <w:rPr>
          <w:rFonts w:ascii="Palatino Linotype" w:eastAsia="Palatino Linotype" w:hAnsi="Palatino Linotype" w:cs="Palatino Linotype"/>
        </w:rPr>
        <w:t xml:space="preserve">, interpuesto por </w:t>
      </w:r>
      <w:r w:rsidR="00612E83">
        <w:rPr>
          <w:rFonts w:ascii="Palatino Linotype" w:eastAsia="Palatino Linotype" w:hAnsi="Palatino Linotype" w:cs="Palatino Linotype"/>
          <w:b/>
        </w:rPr>
        <w:t>XXXXXX XXXXX XXXXXX XXXXX</w:t>
      </w:r>
      <w:r>
        <w:rPr>
          <w:rFonts w:ascii="Palatino Linotype" w:eastAsia="Palatino Linotype" w:hAnsi="Palatino Linotype" w:cs="Palatino Linotype"/>
        </w:rPr>
        <w:t xml:space="preserve">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00113/CHIMALHU/IP/2022,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Chimalhuacán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1EE40E79" w14:textId="77777777" w:rsidR="002C2FD7" w:rsidRDefault="00CB09A0">
      <w:pPr>
        <w:numPr>
          <w:ilvl w:val="0"/>
          <w:numId w:val="7"/>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E0C012A"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siete de marzo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D956D7E" w14:textId="77777777" w:rsidR="002C2FD7" w:rsidRDefault="00CB09A0">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con los artículos 1, 2, 3 fracción XLIV, 4 segundo párrafo. 50, 51, 53 fracciones I y VI, 150, 160 y 163 primer párrafo de la Ley de Transparencia y Acceso a la Información Pública del Estado de México y Municipios, 47 de la Ley de Fiscalización Superior del Estado de México y 351 del Código Financiero del Estado de México y Municipios, ante la omisión de la publicación en la gaceta del Gobierno del H. Ayuntamiento de Chimalhuacán. Sirva el presente medio de consulta para solicitar </w:t>
      </w:r>
      <w:r>
        <w:rPr>
          <w:rFonts w:ascii="Palatino Linotype" w:eastAsia="Palatino Linotype" w:hAnsi="Palatino Linotype" w:cs="Palatino Linotype"/>
          <w:b/>
          <w:i/>
          <w:sz w:val="22"/>
          <w:szCs w:val="22"/>
        </w:rPr>
        <w:t>copia simple del presupuesto de egresos aprobado por el Cabildo del H. Ayuntamiento de Chimalhuacán, 1 de enero al 31 de diciembre del 2022. Gracias</w:t>
      </w:r>
      <w:r>
        <w:rPr>
          <w:rFonts w:ascii="Palatino Linotype" w:eastAsia="Palatino Linotype" w:hAnsi="Palatino Linotype" w:cs="Palatino Linotype"/>
          <w:i/>
          <w:sz w:val="22"/>
          <w:szCs w:val="22"/>
        </w:rPr>
        <w:t>.” (Sic)</w:t>
      </w:r>
    </w:p>
    <w:p w14:paraId="08964E52"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09476793"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del Sujeto Obligado. </w:t>
      </w:r>
      <w:r>
        <w:rPr>
          <w:rFonts w:ascii="Palatino Linotype" w:eastAsia="Palatino Linotype" w:hAnsi="Palatino Linotype" w:cs="Palatino Linotype"/>
        </w:rPr>
        <w:t xml:space="preserve">Con fecha veintitrés de marzo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en los siguientes términos:</w:t>
      </w:r>
    </w:p>
    <w:p w14:paraId="135D2655" w14:textId="77777777" w:rsidR="002C2FD7" w:rsidRDefault="002C2FD7">
      <w:pPr>
        <w:spacing w:line="360" w:lineRule="auto"/>
        <w:jc w:val="both"/>
        <w:rPr>
          <w:rFonts w:ascii="Palatino Linotype" w:eastAsia="Palatino Linotype" w:hAnsi="Palatino Linotype" w:cs="Palatino Linotype"/>
        </w:rPr>
      </w:pPr>
    </w:p>
    <w:p w14:paraId="779439A2" w14:textId="77777777" w:rsidR="002C2FD7" w:rsidRDefault="00CB09A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Chimalhuacán, Estado de México a 23 de marzo de 2022 Solicitud: 00113/CHIMALHU/IP/2022 Estimado Ciudadano, reciba un cordial saludo al tiempo de poder darle contestación a su solicitud: …. “Con fundamento con los artículos 1, 2 3 fracción XLIV, 4 segundo párrafo, 12 segundo párrafo. 50, 51, 53 fracciones II y VI 150, 160 y 163 primer párrafo de la Ley de Transparencia y Acceso a la Información Pública del Estado de México y Municipios, 47 de la Ley de Fiscalización Superior del Estado de México y 351 del Código Financiero del Estado de México y Municipios, ante la omisión de la publicación en la gaceta del Gobierno del Ayuntamiento de Chimalhuacán. Sirva el presente medio de consulta para solicitar copia simple del presupuesto de egresos aprobado por el Cabildo del Ayuntamiento de Chimalhuacán, 1 de enero al 31 de diciembre de 2022. Gracias.”… </w:t>
      </w:r>
      <w:r>
        <w:rPr>
          <w:rFonts w:ascii="Palatino Linotype" w:eastAsia="Palatino Linotype" w:hAnsi="Palatino Linotype" w:cs="Palatino Linotype"/>
          <w:b/>
          <w:i/>
          <w:color w:val="000000"/>
          <w:sz w:val="22"/>
          <w:szCs w:val="22"/>
          <w:u w:val="single"/>
        </w:rPr>
        <w:t>En atención a ello me permito adjuntar copia simple del acta de cabildo donde fue aprobado el presupuesto para el 2022</w:t>
      </w:r>
      <w:r>
        <w:rPr>
          <w:rFonts w:ascii="Palatino Linotype" w:eastAsia="Palatino Linotype" w:hAnsi="Palatino Linotype" w:cs="Palatino Linotype"/>
          <w:i/>
          <w:color w:val="000000"/>
          <w:sz w:val="22"/>
          <w:szCs w:val="22"/>
        </w:rPr>
        <w:t xml:space="preserve">, en el cual viene compromiso con la transparencia y la rendición de cuentas. ATENTAMENTE. UNIDAD DE TRANSPARENCIA Y ACCESO A LA INFORMACIÓN PÚBLICA. </w:t>
      </w:r>
    </w:p>
    <w:p w14:paraId="0C73E2E2" w14:textId="77777777" w:rsidR="002C2FD7" w:rsidRDefault="00CB09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54D3A249" w14:textId="77777777" w:rsidR="002C2FD7" w:rsidRDefault="00CB09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ATENTAMENTE </w:t>
      </w:r>
    </w:p>
    <w:p w14:paraId="5605AE79" w14:textId="77777777" w:rsidR="002C2FD7" w:rsidRDefault="00CB09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DIANA KAREN GRACIA HERNÁNDEZ.</w:t>
      </w:r>
    </w:p>
    <w:p w14:paraId="33033DA3" w14:textId="77777777" w:rsidR="002C2FD7" w:rsidRDefault="00CB09A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1E605C5A" w14:textId="77777777" w:rsidR="002C2FD7" w:rsidRDefault="002C2FD7">
      <w:pPr>
        <w:ind w:left="851" w:right="902"/>
        <w:jc w:val="both"/>
        <w:rPr>
          <w:rFonts w:ascii="Palatino Linotype" w:eastAsia="Palatino Linotype" w:hAnsi="Palatino Linotype" w:cs="Palatino Linotype"/>
          <w:i/>
          <w:color w:val="000000"/>
        </w:rPr>
      </w:pPr>
    </w:p>
    <w:p w14:paraId="71C39CC5" w14:textId="77777777" w:rsidR="002C2FD7" w:rsidRDefault="00CB09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adjuntó a su respuesta el siguiente archivo</w:t>
      </w:r>
      <w:r>
        <w:rPr>
          <w:rFonts w:ascii="Palatino Linotype" w:eastAsia="Palatino Linotype" w:hAnsi="Palatino Linotype" w:cs="Palatino Linotype"/>
          <w:b/>
        </w:rPr>
        <w:t xml:space="preserve">: </w:t>
      </w:r>
    </w:p>
    <w:p w14:paraId="7862149E" w14:textId="77777777" w:rsidR="002C2FD7" w:rsidRDefault="002C2FD7">
      <w:pPr>
        <w:spacing w:line="360" w:lineRule="auto"/>
        <w:jc w:val="both"/>
        <w:rPr>
          <w:rFonts w:ascii="Palatino Linotype" w:eastAsia="Palatino Linotype" w:hAnsi="Palatino Linotype" w:cs="Palatino Linotype"/>
          <w:b/>
        </w:rPr>
      </w:pPr>
    </w:p>
    <w:p w14:paraId="65BDF6B2" w14:textId="77777777" w:rsidR="002C2FD7" w:rsidRDefault="00CB09A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00113-2022.pdf </w:t>
      </w:r>
      <w:r>
        <w:rPr>
          <w:rFonts w:ascii="Palatino Linotype" w:eastAsia="Palatino Linotype" w:hAnsi="Palatino Linotype" w:cs="Palatino Linotype"/>
          <w:color w:val="000000"/>
        </w:rPr>
        <w:t>que contiene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el escrito elaborado por la Unidad de Transparencia y Acceso a la Información Pública a través del cual hace del conocimiento que se adjunta copia simple del acta de cabildo donde fue </w:t>
      </w:r>
      <w:r>
        <w:rPr>
          <w:rFonts w:ascii="Palatino Linotype" w:eastAsia="Palatino Linotype" w:hAnsi="Palatino Linotype" w:cs="Palatino Linotype"/>
          <w:color w:val="000000"/>
        </w:rPr>
        <w:lastRenderedPageBreak/>
        <w:t xml:space="preserve">aprobado el presupuesto para el 2022, en el cual viene desglosado por partida y fue aprobado por dicho Órgano, tal como se advierte a continuación: </w:t>
      </w:r>
    </w:p>
    <w:p w14:paraId="43ADE9E6" w14:textId="77777777" w:rsidR="002C2FD7" w:rsidRDefault="002C2FD7">
      <w:pPr>
        <w:pBdr>
          <w:top w:val="nil"/>
          <w:left w:val="nil"/>
          <w:bottom w:val="nil"/>
          <w:right w:val="nil"/>
          <w:between w:val="nil"/>
        </w:pBdr>
        <w:spacing w:line="360" w:lineRule="auto"/>
        <w:ind w:left="720"/>
        <w:jc w:val="both"/>
        <w:rPr>
          <w:rFonts w:ascii="Palatino Linotype" w:eastAsia="Palatino Linotype" w:hAnsi="Palatino Linotype" w:cs="Palatino Linotype"/>
          <w:b/>
          <w:i/>
          <w:color w:val="000000"/>
        </w:rPr>
      </w:pPr>
    </w:p>
    <w:p w14:paraId="01F2F13A" w14:textId="77777777" w:rsidR="002C2FD7" w:rsidRDefault="00CB09A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20A20E5F" wp14:editId="040E23F7">
            <wp:extent cx="5012549" cy="4265646"/>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012549" cy="4265646"/>
                    </a:xfrm>
                    <a:prstGeom prst="rect">
                      <a:avLst/>
                    </a:prstGeom>
                    <a:ln/>
                  </pic:spPr>
                </pic:pic>
              </a:graphicData>
            </a:graphic>
          </wp:inline>
        </w:drawing>
      </w:r>
    </w:p>
    <w:p w14:paraId="601CFB49" w14:textId="77777777" w:rsidR="002C2FD7" w:rsidRDefault="002C2FD7">
      <w:pPr>
        <w:spacing w:line="360" w:lineRule="auto"/>
        <w:jc w:val="both"/>
        <w:rPr>
          <w:rFonts w:ascii="Palatino Linotype" w:eastAsia="Palatino Linotype" w:hAnsi="Palatino Linotype" w:cs="Palatino Linotype"/>
        </w:rPr>
      </w:pPr>
    </w:p>
    <w:p w14:paraId="52E108B8" w14:textId="77777777" w:rsidR="002C2FD7" w:rsidRDefault="002C2FD7">
      <w:pPr>
        <w:spacing w:line="360" w:lineRule="auto"/>
        <w:jc w:val="both"/>
        <w:rPr>
          <w:rFonts w:ascii="Palatino Linotype" w:eastAsia="Palatino Linotype" w:hAnsi="Palatino Linotype" w:cs="Palatino Linotype"/>
          <w:b/>
          <w:i/>
        </w:rPr>
      </w:pPr>
    </w:p>
    <w:p w14:paraId="1E186C96"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veinticuatro de marzo del dos mil veintidós, a través del cual expresó lo siguiente:</w:t>
      </w:r>
    </w:p>
    <w:p w14:paraId="2A0A85FE" w14:textId="77777777" w:rsidR="002C2FD7" w:rsidRDefault="00CB09A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70C33065" w14:textId="77777777" w:rsidR="002C2FD7" w:rsidRDefault="00CB09A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 xml:space="preserve">La omisión de anexar la información solicitada </w:t>
      </w:r>
      <w:r>
        <w:rPr>
          <w:rFonts w:ascii="Palatino Linotype" w:eastAsia="Palatino Linotype" w:hAnsi="Palatino Linotype" w:cs="Palatino Linotype"/>
          <w:i/>
          <w:color w:val="000000"/>
          <w:sz w:val="22"/>
          <w:szCs w:val="22"/>
        </w:rPr>
        <w:t xml:space="preserve">mediante oficio con folio 00113/CHIMALHU/IP/2022” </w:t>
      </w:r>
    </w:p>
    <w:p w14:paraId="0B248BB4" w14:textId="77777777" w:rsidR="002C2FD7" w:rsidRDefault="00CB09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1410395B" w14:textId="77777777" w:rsidR="002C2FD7" w:rsidRDefault="00CB09A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sz w:val="22"/>
          <w:szCs w:val="22"/>
        </w:rPr>
        <w:t xml:space="preserve">Con fundamento con los artículos 1, 2, 3 fracción XLIV, 4 segundo párrafo. 50, 51, 53 fracciones I y VI, 150, 160 y 163 primer párrafo de la Ley de Transparencia y Acceso a la Información Pública del Estado de México y Municipios, 47 de la Ley de Fiscalización Superior del Estado de México y 351 del Código Financiero del Estado de México y Municipios, ante la omisión de la publicación en la gaceta del Gobierno del H. Ayuntamiento de Chimalhuacán se solicitó por este medio la copia simple de presupuesto de egresos aprobados por el Cabildo del H. Ayuntamiento de Chimalhuacán, 1 de enero al 31 de diciembre del 2022, </w:t>
      </w:r>
      <w:r>
        <w:rPr>
          <w:rFonts w:ascii="Palatino Linotype" w:eastAsia="Palatino Linotype" w:hAnsi="Palatino Linotype" w:cs="Palatino Linotype"/>
          <w:b/>
          <w:i/>
          <w:sz w:val="22"/>
          <w:szCs w:val="22"/>
          <w:u w:val="single"/>
        </w:rPr>
        <w:t>dando como respuesta a la fecha 24 de marzo del 2022 por parte del sujeto obligado y la titular de la unidad de transparencia y acceso a la información pública un oficio donde señala anexar la información solicitada pero en dicho oficio no integra el presupuesto de egresos solicitado, no anexa información financiera solicitada</w:t>
      </w:r>
      <w:r>
        <w:rPr>
          <w:rFonts w:ascii="Palatino Linotype" w:eastAsia="Palatino Linotype" w:hAnsi="Palatino Linotype" w:cs="Palatino Linotype"/>
          <w:i/>
          <w:color w:val="000000"/>
          <w:sz w:val="22"/>
          <w:szCs w:val="22"/>
        </w:rPr>
        <w:t>.”</w:t>
      </w:r>
    </w:p>
    <w:p w14:paraId="4D751E0B"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w:t>
      </w:r>
      <w:r>
        <w:rPr>
          <w:rFonts w:ascii="Palatino Linotype" w:eastAsia="Palatino Linotype" w:hAnsi="Palatino Linotype" w:cs="Palatino Linotype"/>
          <w:b/>
          <w:color w:val="222222"/>
        </w:rPr>
        <w:t>Turno</w:t>
      </w:r>
      <w:r>
        <w:rPr>
          <w:rFonts w:ascii="Palatino Linotype" w:eastAsia="Palatino Linotype" w:hAnsi="Palatino Linotype" w:cs="Palatino Linotype"/>
          <w:b/>
          <w:color w:val="222222"/>
          <w:sz w:val="28"/>
          <w:szCs w:val="28"/>
        </w:rPr>
        <w:t>. </w:t>
      </w:r>
      <w:r>
        <w:rPr>
          <w:rFonts w:ascii="Palatino Linotype" w:eastAsia="Palatino Linotype" w:hAnsi="Palatino Linotype" w:cs="Palatino Linotype"/>
          <w:color w:val="222222"/>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color w:val="222222"/>
        </w:rPr>
        <w:t xml:space="preserve"> Comisionada</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rPr>
        <w:t>Guadalupe Ramírez Peña</w:t>
      </w:r>
      <w:r>
        <w:rPr>
          <w:rFonts w:ascii="Palatino Linotype" w:eastAsia="Palatino Linotype" w:hAnsi="Palatino Linotype" w:cs="Palatino Linotype"/>
          <w:color w:val="222222"/>
        </w:rPr>
        <w:t> para su análisis, estudio, elaboración del proyecto y presentación ante el Pleno de este Instituto.</w:t>
      </w:r>
    </w:p>
    <w:p w14:paraId="210E5880" w14:textId="77777777" w:rsidR="002C2FD7" w:rsidRDefault="002C2FD7">
      <w:pPr>
        <w:jc w:val="both"/>
        <w:rPr>
          <w:rFonts w:ascii="Palatino Linotype" w:eastAsia="Palatino Linotype" w:hAnsi="Palatino Linotype" w:cs="Palatino Linotype"/>
          <w:b/>
        </w:rPr>
      </w:pPr>
    </w:p>
    <w:p w14:paraId="3E65EB6F" w14:textId="77777777" w:rsidR="002C2FD7" w:rsidRDefault="00CB09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veintinueve de marzo del dos mil veintidós, la Comisionada ponente, admitió a trámite el recurso de revisión que ahora se resuelve, dando un plazo máximo de siete días hábiles para que las partes </w:t>
      </w:r>
      <w:r>
        <w:rPr>
          <w:rFonts w:ascii="Palatino Linotype" w:eastAsia="Palatino Linotype" w:hAnsi="Palatino Linotype" w:cs="Palatino Linotype"/>
        </w:rPr>
        <w:lastRenderedPageBreak/>
        <w:t xml:space="preserve">manifestaran lo que a su derecho resultara conveniente, ofrecieran pruebas, formularan alegatos y el Sujeto Obligado presentara su informe justificado. </w:t>
      </w:r>
    </w:p>
    <w:p w14:paraId="6705DF5B" w14:textId="77777777" w:rsidR="002C2FD7" w:rsidRDefault="00CB09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en fecha treinta de marzo de dos mil veintidós el Recurrente envía dos archivos el primero de nombre </w:t>
      </w:r>
      <w:r>
        <w:rPr>
          <w:rFonts w:ascii="Palatino Linotype" w:eastAsia="Palatino Linotype" w:hAnsi="Palatino Linotype" w:cs="Palatino Linotype"/>
          <w:b/>
          <w:color w:val="000000"/>
        </w:rPr>
        <w:t>00113-2022 (1).pdf.</w:t>
      </w:r>
      <w:r>
        <w:rPr>
          <w:rFonts w:ascii="Palatino Linotype" w:eastAsia="Palatino Linotype" w:hAnsi="Palatino Linotype" w:cs="Palatino Linotype"/>
          <w:color w:val="000000"/>
        </w:rPr>
        <w:t xml:space="preserve"> El cual contiene la respuesta que envío el Sujeto Obligado. </w:t>
      </w:r>
    </w:p>
    <w:p w14:paraId="6756A4AF" w14:textId="77777777" w:rsidR="002C2FD7" w:rsidRDefault="00CB09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2D86673D" wp14:editId="183364F5">
            <wp:extent cx="5612130" cy="3752850"/>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3752850"/>
                    </a:xfrm>
                    <a:prstGeom prst="rect">
                      <a:avLst/>
                    </a:prstGeom>
                    <a:ln/>
                  </pic:spPr>
                </pic:pic>
              </a:graphicData>
            </a:graphic>
          </wp:inline>
        </w:drawing>
      </w:r>
    </w:p>
    <w:p w14:paraId="01F8CCBB" w14:textId="77777777" w:rsidR="002C2FD7" w:rsidRDefault="00CB09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segundo archivo de nombre </w:t>
      </w:r>
      <w:r>
        <w:rPr>
          <w:rFonts w:ascii="Palatino Linotype" w:eastAsia="Palatino Linotype" w:hAnsi="Palatino Linotype" w:cs="Palatino Linotype"/>
          <w:b/>
          <w:color w:val="000000"/>
        </w:rPr>
        <w:t xml:space="preserve">Captura de respuesta sujeto obligado.pdf, </w:t>
      </w:r>
      <w:r>
        <w:rPr>
          <w:rFonts w:ascii="Palatino Linotype" w:eastAsia="Palatino Linotype" w:hAnsi="Palatino Linotype" w:cs="Palatino Linotype"/>
          <w:color w:val="000000"/>
        </w:rPr>
        <w:t>el cual contiene la captura de pantalla de la respuesta del Sujeto Obligado que hizo a través del Sistema de Acceso a la Información Mexiquense (SAIMEX).</w:t>
      </w:r>
    </w:p>
    <w:p w14:paraId="4BF4971B" w14:textId="77777777" w:rsidR="00FA3C93" w:rsidRDefault="00FA3C93">
      <w:pPr>
        <w:widowControl w:val="0"/>
        <w:pBdr>
          <w:top w:val="nil"/>
          <w:left w:val="nil"/>
          <w:bottom w:val="nil"/>
          <w:right w:val="nil"/>
          <w:between w:val="nil"/>
        </w:pBdr>
        <w:tabs>
          <w:tab w:val="left" w:pos="709"/>
        </w:tabs>
        <w:spacing w:before="120" w:after="240" w:line="360" w:lineRule="auto"/>
        <w:jc w:val="both"/>
        <w:rPr>
          <w:noProof/>
          <w:lang w:val="es-MX" w:eastAsia="es-MX"/>
        </w:rPr>
      </w:pPr>
    </w:p>
    <w:p w14:paraId="40D2DEC7" w14:textId="7D343EC6" w:rsidR="002C2FD7" w:rsidRDefault="00FA3C9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GoBack"/>
      <w:r>
        <w:rPr>
          <w:noProof/>
          <w:lang w:val="es-MX" w:eastAsia="es-MX"/>
        </w:rPr>
        <w:drawing>
          <wp:inline distT="0" distB="0" distL="0" distR="0" wp14:anchorId="58592445" wp14:editId="210C3A55">
            <wp:extent cx="5511800" cy="3867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44" t="23939" r="42295" b="19533"/>
                    <a:stretch/>
                  </pic:blipFill>
                  <pic:spPr bwMode="auto">
                    <a:xfrm>
                      <a:off x="0" y="0"/>
                      <a:ext cx="5511800" cy="38671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4B93EA6" w14:textId="77777777" w:rsidR="002C2FD7" w:rsidRDefault="002C2FD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p>
    <w:p w14:paraId="01A56CA8" w14:textId="77777777" w:rsidR="002C2FD7" w:rsidRDefault="00CB09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parte del Sujeto Obligado fue omiso en rendir informe justificado, tal como se advierte a continuación: </w:t>
      </w:r>
    </w:p>
    <w:p w14:paraId="4246105E" w14:textId="77777777" w:rsidR="002C2FD7" w:rsidRDefault="002C2FD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p>
    <w:p w14:paraId="14EECDDA" w14:textId="77777777" w:rsidR="002C2FD7" w:rsidRDefault="00CB09A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521D5DA6" wp14:editId="4B9E99C6">
            <wp:extent cx="5800725" cy="2419350"/>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800725" cy="2419350"/>
                    </a:xfrm>
                    <a:prstGeom prst="rect">
                      <a:avLst/>
                    </a:prstGeom>
                    <a:ln/>
                  </pic:spPr>
                </pic:pic>
              </a:graphicData>
            </a:graphic>
          </wp:inline>
        </w:drawing>
      </w:r>
    </w:p>
    <w:p w14:paraId="285BF21F"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En fecha veintitrés de junio de dos mil veintidós,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6A646580"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primero de agosto del año dos mil veintidós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896E254"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756989" w14:textId="77777777" w:rsidR="002C2FD7" w:rsidRDefault="002C2FD7">
      <w:pPr>
        <w:spacing w:line="360" w:lineRule="auto"/>
        <w:jc w:val="both"/>
        <w:rPr>
          <w:rFonts w:ascii="Palatino Linotype" w:eastAsia="Palatino Linotype" w:hAnsi="Palatino Linotype" w:cs="Palatino Linotype"/>
        </w:rPr>
      </w:pPr>
    </w:p>
    <w:p w14:paraId="165E8F61"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4AF3136" w14:textId="77777777" w:rsidR="002C2FD7" w:rsidRDefault="002C2FD7">
      <w:pPr>
        <w:spacing w:line="360" w:lineRule="auto"/>
        <w:jc w:val="both"/>
        <w:rPr>
          <w:rFonts w:ascii="Palatino Linotype" w:eastAsia="Palatino Linotype" w:hAnsi="Palatino Linotype" w:cs="Palatino Linotype"/>
        </w:rPr>
      </w:pPr>
    </w:p>
    <w:p w14:paraId="0FFFCE92"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A4645E" w14:textId="77777777" w:rsidR="002C2FD7" w:rsidRDefault="002C2FD7">
      <w:pPr>
        <w:spacing w:line="360" w:lineRule="auto"/>
        <w:jc w:val="both"/>
        <w:rPr>
          <w:rFonts w:ascii="Palatino Linotype" w:eastAsia="Palatino Linotype" w:hAnsi="Palatino Linotype" w:cs="Palatino Linotype"/>
        </w:rPr>
      </w:pPr>
    </w:p>
    <w:p w14:paraId="34AB663B"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E7DB77B" w14:textId="77777777" w:rsidR="002C2FD7" w:rsidRDefault="002C2FD7">
      <w:pPr>
        <w:spacing w:line="360" w:lineRule="auto"/>
        <w:jc w:val="both"/>
        <w:rPr>
          <w:rFonts w:ascii="Palatino Linotype" w:eastAsia="Palatino Linotype" w:hAnsi="Palatino Linotype" w:cs="Palatino Linotype"/>
        </w:rPr>
      </w:pPr>
    </w:p>
    <w:p w14:paraId="27F4BF8E" w14:textId="77777777" w:rsidR="002C2FD7" w:rsidRDefault="00CB09A0">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3656434" w14:textId="77777777" w:rsidR="002C2FD7" w:rsidRDefault="002C2FD7">
      <w:pPr>
        <w:spacing w:line="360" w:lineRule="auto"/>
        <w:jc w:val="both"/>
        <w:rPr>
          <w:rFonts w:ascii="Palatino Linotype" w:eastAsia="Palatino Linotype" w:hAnsi="Palatino Linotype" w:cs="Palatino Linotype"/>
        </w:rPr>
      </w:pPr>
    </w:p>
    <w:p w14:paraId="13C212E2" w14:textId="77777777" w:rsidR="002C2FD7" w:rsidRDefault="00CB09A0">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5B2279" w14:textId="77777777" w:rsidR="002C2FD7" w:rsidRDefault="002C2FD7">
      <w:pPr>
        <w:spacing w:line="360" w:lineRule="auto"/>
        <w:ind w:left="927"/>
        <w:jc w:val="both"/>
        <w:rPr>
          <w:rFonts w:ascii="Palatino Linotype" w:eastAsia="Palatino Linotype" w:hAnsi="Palatino Linotype" w:cs="Palatino Linotype"/>
        </w:rPr>
      </w:pPr>
    </w:p>
    <w:p w14:paraId="1E46428B" w14:textId="77777777" w:rsidR="002C2FD7" w:rsidRDefault="00CB09A0">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08738606" w14:textId="77777777" w:rsidR="002C2FD7" w:rsidRDefault="002C2FD7">
      <w:pPr>
        <w:spacing w:line="360" w:lineRule="auto"/>
        <w:jc w:val="both"/>
        <w:rPr>
          <w:rFonts w:ascii="Palatino Linotype" w:eastAsia="Palatino Linotype" w:hAnsi="Palatino Linotype" w:cs="Palatino Linotype"/>
        </w:rPr>
      </w:pPr>
    </w:p>
    <w:p w14:paraId="52E93825" w14:textId="77777777" w:rsidR="002C2FD7" w:rsidRDefault="00CB09A0">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81BC479" w14:textId="77777777" w:rsidR="002C2FD7" w:rsidRDefault="002C2FD7">
      <w:pPr>
        <w:spacing w:line="360" w:lineRule="auto"/>
        <w:ind w:left="708"/>
        <w:rPr>
          <w:rFonts w:ascii="Palatino Linotype" w:eastAsia="Palatino Linotype" w:hAnsi="Palatino Linotype" w:cs="Palatino Linotype"/>
        </w:rPr>
      </w:pPr>
    </w:p>
    <w:p w14:paraId="3C4D386A" w14:textId="77777777" w:rsidR="002C2FD7" w:rsidRDefault="00CB09A0">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97A07E8" w14:textId="77777777" w:rsidR="002C2FD7" w:rsidRDefault="002C2FD7">
      <w:pPr>
        <w:spacing w:line="360" w:lineRule="auto"/>
        <w:jc w:val="both"/>
        <w:rPr>
          <w:rFonts w:ascii="Palatino Linotype" w:eastAsia="Palatino Linotype" w:hAnsi="Palatino Linotype" w:cs="Palatino Linotype"/>
        </w:rPr>
      </w:pPr>
    </w:p>
    <w:p w14:paraId="598E4179"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7291E7" w14:textId="77777777" w:rsidR="002C2FD7" w:rsidRDefault="002C2FD7">
      <w:pPr>
        <w:spacing w:line="360" w:lineRule="auto"/>
        <w:jc w:val="both"/>
        <w:rPr>
          <w:rFonts w:ascii="Palatino Linotype" w:eastAsia="Palatino Linotype" w:hAnsi="Palatino Linotype" w:cs="Palatino Linotype"/>
        </w:rPr>
      </w:pPr>
    </w:p>
    <w:p w14:paraId="635427AD" w14:textId="77777777" w:rsidR="002C2FD7" w:rsidRDefault="00CB09A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2E83131B" w14:textId="77777777" w:rsidR="002C2FD7" w:rsidRDefault="002C2FD7">
      <w:pPr>
        <w:spacing w:line="360" w:lineRule="auto"/>
        <w:jc w:val="both"/>
        <w:rPr>
          <w:rFonts w:ascii="Palatino Linotype" w:eastAsia="Palatino Linotype" w:hAnsi="Palatino Linotype" w:cs="Palatino Linotype"/>
        </w:rPr>
      </w:pPr>
    </w:p>
    <w:p w14:paraId="7580C4ED"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0FBB4C" w14:textId="77777777" w:rsidR="002C2FD7" w:rsidRDefault="002C2FD7">
      <w:pPr>
        <w:spacing w:line="360" w:lineRule="auto"/>
        <w:jc w:val="both"/>
        <w:rPr>
          <w:rFonts w:ascii="Palatino Linotype" w:eastAsia="Palatino Linotype" w:hAnsi="Palatino Linotype" w:cs="Palatino Linotype"/>
        </w:rPr>
      </w:pPr>
    </w:p>
    <w:p w14:paraId="3E912E8C"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2B385D4" w14:textId="77777777" w:rsidR="002C2FD7" w:rsidRDefault="002C2FD7">
      <w:pPr>
        <w:spacing w:line="360" w:lineRule="auto"/>
        <w:jc w:val="both"/>
        <w:rPr>
          <w:rFonts w:ascii="Palatino Linotype" w:eastAsia="Palatino Linotype" w:hAnsi="Palatino Linotype" w:cs="Palatino Linotype"/>
        </w:rPr>
      </w:pPr>
    </w:p>
    <w:p w14:paraId="1C21EF1C"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CDEB786" w14:textId="77777777" w:rsidR="002C2FD7" w:rsidRDefault="002C2FD7">
      <w:pPr>
        <w:spacing w:line="360" w:lineRule="auto"/>
        <w:jc w:val="both"/>
        <w:rPr>
          <w:rFonts w:ascii="Palatino Linotype" w:eastAsia="Palatino Linotype" w:hAnsi="Palatino Linotype" w:cs="Palatino Linotype"/>
          <w:b/>
        </w:rPr>
      </w:pPr>
    </w:p>
    <w:p w14:paraId="67336BEA"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ABFE0DA" w14:textId="77777777" w:rsidR="002C2FD7" w:rsidRDefault="002C2FD7">
      <w:pPr>
        <w:spacing w:line="360" w:lineRule="auto"/>
        <w:jc w:val="both"/>
        <w:rPr>
          <w:rFonts w:ascii="Palatino Linotype" w:eastAsia="Palatino Linotype" w:hAnsi="Palatino Linotype" w:cs="Palatino Linotype"/>
        </w:rPr>
      </w:pPr>
    </w:p>
    <w:p w14:paraId="6E21D3CC"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2C739B0"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FFCE316" w14:textId="77777777" w:rsidR="002C2FD7" w:rsidRDefault="00CB09A0">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 S:</w:t>
      </w:r>
    </w:p>
    <w:p w14:paraId="33A0AE24" w14:textId="77777777" w:rsidR="002C2FD7" w:rsidRDefault="00CB09A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w:t>
      </w:r>
      <w:r>
        <w:rPr>
          <w:rFonts w:ascii="Palatino Linotype" w:eastAsia="Palatino Linotype" w:hAnsi="Palatino Linotype" w:cs="Palatino Linotype"/>
          <w:highlight w:val="white"/>
        </w:rPr>
        <w:lastRenderedPageBreak/>
        <w:t xml:space="preserve">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36456B2D"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la respuesta a la solicitud planteada por el solicitante en fecha veintitrés de marzo del año dos mil veintidós y el recurrente presentó su recurso de revisión el veinticuatro de marzo del dos mil veintidós, esto es al día hábil siguiente de aquel en que tuvo conocimiento de la respuesta; evidenciándose que la interposición del recurso se encuentra dentro de los márgenes temporales previstos en el citado precepto legal.</w:t>
      </w:r>
    </w:p>
    <w:p w14:paraId="202D7DDC"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completo, como se advierte en el detalle de seguimiento del SAIMEX, no obstante lo anterior, no proporcionar el nombre completo no es motivo para archivar la solicitud de acceso a la información pública como concluida, conforme a lo previsto en el artículo 155, </w:t>
      </w:r>
      <w:r>
        <w:rPr>
          <w:rFonts w:ascii="Palatino Linotype" w:eastAsia="Palatino Linotype" w:hAnsi="Palatino Linotype" w:cs="Palatino Linotype"/>
        </w:rPr>
        <w:lastRenderedPageBreak/>
        <w:t>penúltimo párrafo de la Ley de Transparencia y Acceso a la Información Pública del Estado de México y Municipios que establece lo siguiente:</w:t>
      </w:r>
    </w:p>
    <w:p w14:paraId="0C42129A" w14:textId="77777777" w:rsidR="002C2FD7" w:rsidRDefault="00CB09A0">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DD061D4"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E45F196" w14:textId="77777777" w:rsidR="002C2FD7" w:rsidRDefault="00CB09A0">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recurrente en su acto impugnado como en sus motivos de inconformidad, de acuerdo al artículo </w:t>
      </w:r>
      <w:r>
        <w:rPr>
          <w:rFonts w:ascii="Palatino Linotype" w:eastAsia="Palatino Linotype" w:hAnsi="Palatino Linotype" w:cs="Palatino Linotype"/>
          <w:color w:val="000000"/>
          <w:highlight w:val="yellow"/>
        </w:rPr>
        <w:t>179 fracción I</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7C51CCB9" w14:textId="77777777" w:rsidR="002C2FD7" w:rsidRDefault="002C2FD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6927CF1D" w14:textId="77777777" w:rsidR="002C2FD7" w:rsidRDefault="00CB09A0">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374179C1" w14:textId="77777777" w:rsidR="002C2FD7" w:rsidRDefault="00CB09A0">
      <w:pPr>
        <w:pBdr>
          <w:top w:val="nil"/>
          <w:left w:val="nil"/>
          <w:bottom w:val="nil"/>
          <w:right w:val="nil"/>
          <w:between w:val="nil"/>
        </w:pBdr>
        <w:ind w:left="992" w:right="1043"/>
        <w:jc w:val="both"/>
        <w:rPr>
          <w:color w:val="000000"/>
        </w:rPr>
      </w:pPr>
      <w:r>
        <w:rPr>
          <w:color w:val="000000"/>
        </w:rPr>
        <w:t>…</w:t>
      </w:r>
    </w:p>
    <w:p w14:paraId="65E8C25E" w14:textId="77777777" w:rsidR="002C2FD7" w:rsidRDefault="00CB09A0">
      <w:pPr>
        <w:numPr>
          <w:ilvl w:val="0"/>
          <w:numId w:val="4"/>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14:paraId="2D758783" w14:textId="77777777" w:rsidR="002C2FD7" w:rsidRDefault="00CB09A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w:t>
      </w:r>
      <w:r>
        <w:rPr>
          <w:rFonts w:ascii="Palatino Linotype" w:eastAsia="Palatino Linotype" w:hAnsi="Palatino Linotype" w:cs="Palatino Linotype"/>
          <w:b/>
        </w:rPr>
        <w:lastRenderedPageBreak/>
        <w:t xml:space="preserve">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0DC6DA1" w14:textId="77777777" w:rsidR="002C2FD7" w:rsidRDefault="00CB09A0">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3668670" w14:textId="77777777" w:rsidR="002C2FD7" w:rsidRDefault="00CB09A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F40656F" w14:textId="77777777" w:rsidR="002C2FD7" w:rsidRDefault="00CB09A0">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48018C9" w14:textId="77777777" w:rsidR="002C2FD7" w:rsidRDefault="00CB09A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6143991B" w14:textId="77777777" w:rsidR="002C2FD7" w:rsidRDefault="00CB09A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9558296" w14:textId="77777777" w:rsidR="002C2FD7" w:rsidRDefault="00CB09A0">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607FB644" w14:textId="77777777" w:rsidR="002C2FD7" w:rsidRDefault="00CB09A0">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803F9F"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39158656"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CF6757" w14:textId="77777777" w:rsidR="002C2FD7" w:rsidRDefault="00CB09A0">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4BC1CC4"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6FA872D4"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C4A10F3"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78FD57"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C9BBBE3" w14:textId="77777777" w:rsidR="002C2FD7" w:rsidRDefault="00CB09A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D83BFAA"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25CD28B" w14:textId="77777777" w:rsidR="002C2FD7" w:rsidRDefault="00CB09A0">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060D03" w14:textId="77777777" w:rsidR="002C2FD7" w:rsidRDefault="00CB09A0">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w:t>
      </w:r>
      <w:r>
        <w:rPr>
          <w:rFonts w:ascii="Palatino Linotype" w:eastAsia="Palatino Linotype" w:hAnsi="Palatino Linotype" w:cs="Palatino Linotype"/>
          <w:b/>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92E294B" w14:textId="77777777" w:rsidR="002C2FD7" w:rsidRDefault="00CB09A0">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AF3102A"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9C00714" w14:textId="77777777" w:rsidR="002C2FD7" w:rsidRDefault="00CB09A0">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6DC72CB" w14:textId="77777777" w:rsidR="002C2FD7" w:rsidRDefault="00CB09A0">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22C9822" w14:textId="77777777" w:rsidR="002C2FD7" w:rsidRDefault="00CB09A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Pr>
          <w:rFonts w:ascii="Palatino Linotype" w:eastAsia="Palatino Linotype" w:hAnsi="Palatino Linotype" w:cs="Palatino Linotype"/>
        </w:rPr>
        <w:lastRenderedPageBreak/>
        <w:t>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w:t>
      </w:r>
      <w:r>
        <w:rPr>
          <w:rFonts w:ascii="Palatino Linotype" w:eastAsia="Palatino Linotype" w:hAnsi="Palatino Linotype" w:cs="Palatino Linotype"/>
          <w:strike/>
          <w:color w:val="FF0000"/>
        </w:rPr>
        <w:t xml:space="preserve"> </w:t>
      </w:r>
      <w:r>
        <w:rPr>
          <w:rFonts w:ascii="Palatino Linotype" w:eastAsia="Palatino Linotype" w:hAnsi="Palatino Linotype" w:cs="Palatino Linotype"/>
        </w:rPr>
        <w:t>el criterio 03/17 emitido por el Instituto Nacional de Transparencia, Acceso a la Información Pública y Protección de Datos Perso</w:t>
      </w:r>
      <w:r>
        <w:rPr>
          <w:rFonts w:ascii="Palatino Linotype" w:eastAsia="Palatino Linotype" w:hAnsi="Palatino Linotype" w:cs="Palatino Linotype"/>
          <w:sz w:val="22"/>
          <w:szCs w:val="22"/>
        </w:rPr>
        <w:t>nales, los cuales señalan lo siguiente:</w:t>
      </w:r>
    </w:p>
    <w:p w14:paraId="43D527A5" w14:textId="77777777" w:rsidR="002C2FD7" w:rsidRDefault="00CB09A0">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635EAFDE" w14:textId="77777777" w:rsidR="002C2FD7" w:rsidRDefault="00CB09A0">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428DCA10" w14:textId="77777777" w:rsidR="002C2FD7" w:rsidRDefault="00CB09A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48DAFAA"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98DD28" w14:textId="77777777" w:rsidR="002C2FD7" w:rsidRDefault="00CB09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5691D8D" w14:textId="77777777" w:rsidR="002C2FD7" w:rsidRDefault="00CB09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9F71C8" w14:textId="77777777" w:rsidR="002C2FD7" w:rsidRDefault="00CB09A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BDCCB0B" w14:textId="77777777" w:rsidR="002C2FD7" w:rsidRDefault="00CB09A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66201D" w14:textId="77777777" w:rsidR="002C2FD7" w:rsidRDefault="00CB09A0">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w:t>
      </w:r>
      <w:r>
        <w:rPr>
          <w:rFonts w:ascii="Palatino Linotype" w:eastAsia="Palatino Linotype" w:hAnsi="Palatino Linotype" w:cs="Palatino Linotype"/>
          <w:b/>
          <w:i/>
          <w:sz w:val="22"/>
          <w:szCs w:val="22"/>
        </w:rPr>
        <w:t>actas,</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Pr>
          <w:rFonts w:ascii="Palatino Linotype" w:eastAsia="Palatino Linotype" w:hAnsi="Palatino Linotype" w:cs="Palatino Linotype"/>
          <w:i/>
          <w:sz w:val="22"/>
          <w:szCs w:val="22"/>
        </w:rPr>
        <w:lastRenderedPageBreak/>
        <w:t>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(Sic)</w:t>
      </w:r>
    </w:p>
    <w:p w14:paraId="78EADE6F"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6449B9" w14:textId="77777777" w:rsidR="002C2FD7" w:rsidRDefault="00CB09A0">
      <w:pPr>
        <w:spacing w:before="240" w:after="240" w:line="276" w:lineRule="auto"/>
        <w:ind w:left="567"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36D32B8" w14:textId="77777777" w:rsidR="002C2FD7" w:rsidRDefault="00CB09A0">
      <w:p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3FA7FE" w14:textId="77777777" w:rsidR="002C2FD7" w:rsidRDefault="00CB09A0">
      <w:p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81C8B5F" w14:textId="77777777" w:rsidR="002C2FD7" w:rsidRDefault="00CB09A0">
      <w:pPr>
        <w:numPr>
          <w:ilvl w:val="0"/>
          <w:numId w:val="5"/>
        </w:numPr>
        <w:spacing w:before="240" w:after="240" w:line="276" w:lineRule="auto"/>
        <w:ind w:left="567"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14:paraId="2A1B9C05" w14:textId="77777777" w:rsidR="002C2FD7" w:rsidRDefault="00CB09A0">
      <w:pPr>
        <w:numPr>
          <w:ilvl w:val="0"/>
          <w:numId w:val="5"/>
        </w:num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03D43DD" w14:textId="77777777" w:rsidR="002C2FD7" w:rsidRDefault="00CB09A0">
      <w:pPr>
        <w:spacing w:before="240" w:after="240" w:line="276" w:lineRule="auto"/>
        <w:ind w:left="567"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 (Sic)</w:t>
      </w:r>
    </w:p>
    <w:p w14:paraId="496112CF"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2C1B5868"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solicitud de información motivo del Recurso de Revisión que ahora se resuelve, se advierte que la parte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301B6167" w14:textId="77777777" w:rsidR="002C2FD7" w:rsidRDefault="00CB09A0">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Presupuesto de egresos aprobado por el Cabildo del H. Ayuntamiento de Chimalhuacán, 1 de enero al 31 de diciembre del 2022.</w:t>
      </w:r>
    </w:p>
    <w:p w14:paraId="25747B2B" w14:textId="77777777" w:rsidR="002C2FD7" w:rsidRDefault="00CB09A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color w:val="000000"/>
        </w:rPr>
        <w:t>, mediante e</w:t>
      </w:r>
      <w:r>
        <w:rPr>
          <w:rFonts w:ascii="Palatino Linotype" w:eastAsia="Palatino Linotype" w:hAnsi="Palatino Linotype" w:cs="Palatino Linotype"/>
        </w:rPr>
        <w:t xml:space="preserve">scrito elaborado por la Unidad de Transparencia y Acceso a la Información Pública hace del conocimiento al particular </w:t>
      </w:r>
      <w:r>
        <w:rPr>
          <w:rFonts w:ascii="Palatino Linotype" w:eastAsia="Palatino Linotype" w:hAnsi="Palatino Linotype" w:cs="Palatino Linotype"/>
        </w:rPr>
        <w:lastRenderedPageBreak/>
        <w:t>que se adjunta copia simple del acta de cabildo donde fue aprobado el presupuesto para el 2022, en el cual viene desglosado por partida y fue aprobado por dicho Órgano; sin embargo, de las constancias que integran el expediente electrónico se advierte que dicha información no fue adjuntada al SAIMEX.</w:t>
      </w:r>
    </w:p>
    <w:p w14:paraId="00A5F6CB" w14:textId="77777777" w:rsidR="002C2FD7" w:rsidRDefault="00CB09A0">
      <w:pPr>
        <w:spacing w:before="24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rPr>
        <w:t xml:space="preserve">Es así que, derivado de la respuesta 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inconformó porque no anexó la información solicitada. </w:t>
      </w:r>
    </w:p>
    <w:p w14:paraId="79F978DF"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analizará a continuación la información que fue solicitada. </w:t>
      </w:r>
    </w:p>
    <w:p w14:paraId="729F0CE1" w14:textId="77777777" w:rsidR="002C2FD7" w:rsidRDefault="00CB09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Respecto a la información solicitada, es necesario referir que el </w:t>
      </w:r>
      <w:r>
        <w:rPr>
          <w:rFonts w:ascii="Palatino Linotype" w:eastAsia="Palatino Linotype" w:hAnsi="Palatino Linotype" w:cs="Palatino Linotype"/>
          <w:color w:val="000000"/>
        </w:rPr>
        <w:t>artículo 115 fracción IV, párrafo tercero de la Constitución Política de los Estados Unidos Mexicanos establece que: </w:t>
      </w:r>
    </w:p>
    <w:p w14:paraId="5ABE0182" w14:textId="77777777" w:rsidR="002C2FD7" w:rsidRDefault="002C2FD7"/>
    <w:p w14:paraId="464CB61D" w14:textId="77777777" w:rsidR="002C2FD7" w:rsidRDefault="00CB09A0">
      <w:pPr>
        <w:ind w:left="720" w:right="616"/>
        <w:jc w:val="both"/>
        <w:rPr>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115.</w:t>
      </w:r>
      <w:r>
        <w:rPr>
          <w:rFonts w:ascii="Palatino Linotype" w:eastAsia="Palatino Linotype" w:hAnsi="Palatino Linotype" w:cs="Palatino Linotype"/>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07F340DE" w14:textId="77777777" w:rsidR="002C2FD7" w:rsidRDefault="00CB09A0">
      <w:pPr>
        <w:ind w:left="720" w:right="616"/>
        <w:jc w:val="both"/>
        <w:rPr>
          <w:sz w:val="22"/>
          <w:szCs w:val="22"/>
        </w:rPr>
      </w:pPr>
      <w:r>
        <w:rPr>
          <w:rFonts w:ascii="Palatino Linotype" w:eastAsia="Palatino Linotype" w:hAnsi="Palatino Linotype" w:cs="Palatino Linotype"/>
          <w:i/>
          <w:color w:val="000000"/>
          <w:sz w:val="22"/>
          <w:szCs w:val="22"/>
        </w:rPr>
        <w:t>[ … ]</w:t>
      </w:r>
    </w:p>
    <w:p w14:paraId="1A0C3F52" w14:textId="77777777" w:rsidR="002C2FD7" w:rsidRDefault="00CB09A0">
      <w:pPr>
        <w:ind w:left="720" w:right="616"/>
        <w:jc w:val="both"/>
        <w:rPr>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Los municipios administrarán libremente su hacienda, la cual se formará de los rendimientos de los bienes que les pertenezcan, así como de las contribuciones y otros ingresos que las legislaturas establezcan a su favor, y en todo caso:</w:t>
      </w:r>
    </w:p>
    <w:p w14:paraId="62E5E8E1" w14:textId="77777777" w:rsidR="002C2FD7" w:rsidRDefault="00CB09A0">
      <w:pPr>
        <w:ind w:left="720" w:right="616"/>
        <w:jc w:val="both"/>
        <w:rPr>
          <w:sz w:val="22"/>
          <w:szCs w:val="22"/>
        </w:rPr>
      </w:pPr>
      <w:r>
        <w:rPr>
          <w:rFonts w:ascii="Palatino Linotype" w:eastAsia="Palatino Linotype" w:hAnsi="Palatino Linotype" w:cs="Palatino Linotype"/>
          <w:i/>
          <w:color w:val="000000"/>
          <w:sz w:val="22"/>
          <w:szCs w:val="22"/>
        </w:rPr>
        <w:t>[…]</w:t>
      </w:r>
    </w:p>
    <w:p w14:paraId="2923F381" w14:textId="77777777" w:rsidR="002C2FD7" w:rsidRDefault="00CB09A0">
      <w:pPr>
        <w:ind w:left="720" w:right="616"/>
        <w:jc w:val="both"/>
        <w:rPr>
          <w:sz w:val="22"/>
          <w:szCs w:val="22"/>
        </w:rPr>
      </w:pPr>
      <w:r>
        <w:rPr>
          <w:rFonts w:ascii="Palatino Linotype" w:eastAsia="Palatino Linotype" w:hAnsi="Palatino Linotype" w:cs="Palatino Linotype"/>
          <w:i/>
          <w:color w:val="000000"/>
          <w:sz w:val="22"/>
          <w:szCs w:val="22"/>
        </w:rPr>
        <w:t>Las legislaturas de los Estados aprobarán las leyes de ingresos de los municipios, revisarán y fiscalizarán sus cuentas públicas. Los presupuestos de egresos serán aprobados por los ayuntamientos con base en sus ingresos disponibles…</w:t>
      </w:r>
    </w:p>
    <w:p w14:paraId="634167B0"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w:t>
      </w:r>
    </w:p>
    <w:p w14:paraId="5F33C43F" w14:textId="77777777" w:rsidR="002C2FD7" w:rsidRDefault="00CB09A0">
      <w:pPr>
        <w:spacing w:before="240" w:after="240" w:line="360" w:lineRule="auto"/>
        <w:jc w:val="both"/>
      </w:pPr>
      <w:r>
        <w:rPr>
          <w:rFonts w:ascii="Palatino Linotype" w:eastAsia="Palatino Linotype" w:hAnsi="Palatino Linotype" w:cs="Palatino Linotype"/>
          <w:color w:val="000000"/>
        </w:rPr>
        <w:t>Asimismo, el artículo 125 antepenúltimo y penúltimo párrafos de la Constitución Política del Estado Libre y Soberano de México, establece: </w:t>
      </w:r>
    </w:p>
    <w:p w14:paraId="5FFC81A5"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125</w:t>
      </w:r>
      <w:r>
        <w:rPr>
          <w:rFonts w:ascii="Palatino Linotype" w:eastAsia="Palatino Linotype" w:hAnsi="Palatino Linotype" w:cs="Palatino Linotype"/>
          <w:i/>
          <w:color w:val="000000"/>
          <w:sz w:val="22"/>
          <w:szCs w:val="22"/>
        </w:rPr>
        <w:t>.- Los municipios administrarán libremente su hacienda, la cual se formará de los rendimientos de los bienes que les pertenezcan, así como de las contribuciones y otros ingresos que la ley establezca, y en todo caso:</w:t>
      </w:r>
    </w:p>
    <w:p w14:paraId="75069232"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w:t>
      </w:r>
    </w:p>
    <w:p w14:paraId="182380A7" w14:textId="77777777" w:rsidR="002C2FD7" w:rsidRDefault="00CB09A0">
      <w:pPr>
        <w:spacing w:before="240" w:after="240"/>
        <w:ind w:left="720" w:right="616"/>
        <w:jc w:val="both"/>
        <w:rPr>
          <w:b/>
          <w:sz w:val="22"/>
          <w:szCs w:val="22"/>
          <w:u w:val="single"/>
        </w:rPr>
      </w:pPr>
      <w:r>
        <w:rPr>
          <w:rFonts w:ascii="Palatino Linotype" w:eastAsia="Palatino Linotype" w:hAnsi="Palatino Linotype" w:cs="Palatino Linotype"/>
          <w:i/>
          <w:color w:val="000000"/>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Pr>
          <w:rFonts w:ascii="Palatino Linotype" w:eastAsia="Palatino Linotype" w:hAnsi="Palatino Linotype" w:cs="Palatino Linotype"/>
          <w:b/>
          <w:i/>
          <w:color w:val="000000"/>
          <w:sz w:val="22"/>
          <w:szCs w:val="22"/>
          <w:u w:val="single"/>
        </w:rPr>
        <w:t>La Presidenta o el Presidente Municipal, promulgará y publicará el Presupuesto de Egresos Municipal, a más tardar el día 25 de febrero de cada año debiendo enviarlo al Órgano Superior de Fiscalización en la misma fecha. </w:t>
      </w:r>
    </w:p>
    <w:p w14:paraId="250B3D25" w14:textId="77777777" w:rsidR="002C2FD7" w:rsidRDefault="00CB09A0">
      <w:pPr>
        <w:spacing w:before="240" w:after="240"/>
        <w:ind w:left="720"/>
        <w:jc w:val="both"/>
      </w:pPr>
      <w:r>
        <w:rPr>
          <w:rFonts w:ascii="Palatino Linotype" w:eastAsia="Palatino Linotype" w:hAnsi="Palatino Linotype" w:cs="Palatino Linotype"/>
          <w:i/>
          <w:color w:val="000000"/>
        </w:rPr>
        <w:t>…</w:t>
      </w:r>
    </w:p>
    <w:p w14:paraId="3B3569F1"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referir que la Ley de Fiscalización Superior del Estado de México, toda vez que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14:paraId="0B2E108E" w14:textId="77777777" w:rsidR="002C2FD7" w:rsidRDefault="00CB09A0">
      <w:pPr>
        <w:spacing w:before="240" w:after="240" w:line="360" w:lineRule="auto"/>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Son sujetos de fiscalización:</w:t>
      </w:r>
    </w:p>
    <w:p w14:paraId="013DCE70" w14:textId="77777777" w:rsidR="002C2FD7" w:rsidRDefault="00CB09A0">
      <w:pPr>
        <w:spacing w:before="240" w:after="240" w:line="360" w:lineRule="auto"/>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B2550AA" w14:textId="77777777" w:rsidR="002C2FD7" w:rsidRDefault="00CB09A0">
      <w:pPr>
        <w:spacing w:before="240" w:after="240" w:line="360" w:lineRule="auto"/>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municipios del Estado de México</w:t>
      </w:r>
      <w:r>
        <w:rPr>
          <w:rFonts w:ascii="Palatino Linotype" w:eastAsia="Palatino Linotype" w:hAnsi="Palatino Linotype" w:cs="Palatino Linotype"/>
          <w:i/>
          <w:sz w:val="22"/>
          <w:szCs w:val="22"/>
        </w:rPr>
        <w:t>…” (Sic)</w:t>
      </w:r>
    </w:p>
    <w:p w14:paraId="21946985" w14:textId="77777777" w:rsidR="002C2FD7" w:rsidRDefault="00CB09A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ordenamiento legal referido señala en su artículo 8, fracción XI, establece: </w:t>
      </w:r>
    </w:p>
    <w:p w14:paraId="55A0D780" w14:textId="77777777" w:rsidR="002C2FD7" w:rsidRDefault="00CB09A0">
      <w:pPr>
        <w:spacing w:before="240" w:after="240" w:line="360" w:lineRule="auto"/>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8. El Órgano Superior tendrá las siguientes atribuciones:</w:t>
      </w:r>
    </w:p>
    <w:p w14:paraId="16782E95"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lastRenderedPageBreak/>
        <w:t xml:space="preserve"> “I.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1B9FBEE2"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II. Fiscalizar, en todo momento, el ejercicio, la custodia y aplicación de los recursos estatales y municipales, así como los recursos federales en términos de los convenios correspondientes; </w:t>
      </w:r>
    </w:p>
    <w:p w14:paraId="5A6A92C8"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 </w:t>
      </w:r>
    </w:p>
    <w:p w14:paraId="458DE2B7"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 </w:t>
      </w:r>
    </w:p>
    <w:p w14:paraId="6F3F5B12"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w:t>
      </w:r>
    </w:p>
    <w:p w14:paraId="6C95C483"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VIII. Corroborar que las operaciones realizadas por las entidades fiscalizables sean acordes con las leyes de ingresos y presupuestos de egresos del Estado y municipios, y se hayan efectuado con apego a las disposiciones legales aplicables; </w:t>
      </w:r>
    </w:p>
    <w:p w14:paraId="48A0C2E9"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IX. Revisar que los subsidios otorgados por las entidades fiscalizables, con cargo a sus presupuestos, se hayan aplicado a los objetivos autorizados; </w:t>
      </w:r>
    </w:p>
    <w:p w14:paraId="5A623F15"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w:t>
      </w:r>
    </w:p>
    <w:p w14:paraId="061AEBB0" w14:textId="77777777" w:rsidR="002C2FD7" w:rsidRDefault="00CB09A0">
      <w:pPr>
        <w:spacing w:before="240" w:after="240"/>
        <w:ind w:left="720" w:right="616"/>
        <w:jc w:val="both"/>
        <w:rPr>
          <w:b/>
          <w:sz w:val="22"/>
          <w:szCs w:val="22"/>
        </w:rPr>
      </w:pPr>
      <w:r>
        <w:rPr>
          <w:rFonts w:ascii="Palatino Linotype" w:eastAsia="Palatino Linotype" w:hAnsi="Palatino Linotype" w:cs="Palatino Linotype"/>
          <w:b/>
          <w:i/>
          <w:color w:val="000000"/>
          <w:sz w:val="22"/>
          <w:szCs w:val="22"/>
        </w:rPr>
        <w:t>XI. 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51D0775C"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XII. Fiscalizar las obras públicas y servicios relacionados con las mismas que, por sí o por conducto de terceros realicen las entidades fiscalizables de conformidad con la ley de la materia; </w:t>
      </w:r>
    </w:p>
    <w:p w14:paraId="457FD5A5"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XIII. Fiscalizar la adquisición, enajenación y arrendamiento de bienes, así como la contratación de servicios de cualquier naturaleza, que realicen las entidades fiscalizables de conformidad con la ley de la materia; </w:t>
      </w:r>
    </w:p>
    <w:p w14:paraId="5433F0E2"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lastRenderedPageBreak/>
        <w:t>XIV.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p>
    <w:p w14:paraId="67ACF50D"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XV. Rendir los informes a la Comisión sobre el resultado de la revisión de los informes trimestrales sobre los ingresos obtenidos y aplicación de recursos de las entidades fiscalizables; así como de las revisiones a las que se refieren las fracciones I y II del presente artículo;</w:t>
      </w:r>
    </w:p>
    <w:p w14:paraId="7141E397"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XVII. Requerir, según corresponda, por conducto de los titulares de la Secretaría de la Contraloría del Poder Ejecutivo y de los demás órganos de control interno de las entidades fiscalizables, a los profesionistas independientes y auditores externos que sean autorizados legalmente, los dictámenes de las auditorías y revisiones por ellos practicadas; </w:t>
      </w:r>
    </w:p>
    <w:p w14:paraId="07C4F8F7"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 </w:t>
      </w:r>
    </w:p>
    <w:p w14:paraId="2A8FDECB"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XIX. Requerir a las entidades fiscalizables la información, documentos físicos y/o electrónicos necesarios para los actos de fiscalización, así como solicitar a otras autoridades el auxilio o colaboración para el cumplimiento de sus atribuciones; </w:t>
      </w:r>
    </w:p>
    <w:p w14:paraId="6C62DB06"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XX. Ejercer las atribuciones de la autoridad investigadora a que se refiere la Ley General de Responsabilidades Administrativas y la Ley de Responsabilidades Administrativas del Estado de México y Municipios; </w:t>
      </w:r>
    </w:p>
    <w:p w14:paraId="277967BF"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t>[…] </w:t>
      </w:r>
    </w:p>
    <w:p w14:paraId="778DD9E2" w14:textId="77777777" w:rsidR="002C2FD7" w:rsidRDefault="00CB09A0">
      <w:pPr>
        <w:spacing w:before="240" w:after="240"/>
        <w:jc w:val="both"/>
      </w:pPr>
      <w:r>
        <w:rPr>
          <w:rFonts w:ascii="Palatino Linotype" w:eastAsia="Palatino Linotype" w:hAnsi="Palatino Linotype" w:cs="Palatino Linotype"/>
          <w:color w:val="000000"/>
        </w:rPr>
        <w:t>La referida Ley en su artículo 47 indica que: </w:t>
      </w:r>
    </w:p>
    <w:p w14:paraId="17ECA898" w14:textId="77777777" w:rsidR="002C2FD7" w:rsidRDefault="00CB09A0">
      <w:pPr>
        <w:spacing w:before="240" w:after="240"/>
        <w:ind w:left="709" w:right="616"/>
        <w:jc w:val="both"/>
        <w:rPr>
          <w:sz w:val="22"/>
          <w:szCs w:val="22"/>
        </w:rPr>
      </w:pPr>
      <w:r>
        <w:rPr>
          <w:rFonts w:ascii="Palatino Linotype" w:eastAsia="Palatino Linotype" w:hAnsi="Palatino Linotype" w:cs="Palatino Linotype"/>
          <w:i/>
          <w:color w:val="000000"/>
          <w:sz w:val="22"/>
          <w:szCs w:val="22"/>
        </w:rPr>
        <w:t>“Los Presidentes Municipales y los Síndicos estarán obligados a informar al Órgano Superior, a más tardar el 25 de febrero de cada año, el Presupuesto de Egresos Municipal que haya aprobado el Ayuntamiento correspondiente.”</w:t>
      </w:r>
    </w:p>
    <w:p w14:paraId="6D0C7B80" w14:textId="77777777" w:rsidR="002C2FD7" w:rsidRDefault="00CB09A0">
      <w:pPr>
        <w:spacing w:before="240" w:after="240" w:line="360" w:lineRule="auto"/>
        <w:jc w:val="both"/>
      </w:pPr>
      <w:r>
        <w:rPr>
          <w:rFonts w:ascii="Palatino Linotype" w:eastAsia="Palatino Linotype" w:hAnsi="Palatino Linotype" w:cs="Palatino Linotype"/>
          <w:color w:val="000000"/>
        </w:rPr>
        <w:t>Así mismo, el artículo 351 segundo párrafo del Código Financiero del Estado de México y Municipios dispone que:</w:t>
      </w:r>
    </w:p>
    <w:p w14:paraId="12EAC4C1" w14:textId="77777777" w:rsidR="002C2FD7" w:rsidRDefault="00CB09A0">
      <w:pPr>
        <w:spacing w:before="240" w:after="240"/>
        <w:ind w:left="720" w:right="616"/>
        <w:jc w:val="both"/>
        <w:rPr>
          <w:sz w:val="22"/>
          <w:szCs w:val="22"/>
        </w:rPr>
      </w:pPr>
      <w:r>
        <w:rPr>
          <w:rFonts w:ascii="Palatino Linotype" w:eastAsia="Palatino Linotype" w:hAnsi="Palatino Linotype" w:cs="Palatino Linotype"/>
          <w:i/>
          <w:color w:val="000000"/>
          <w:sz w:val="22"/>
          <w:szCs w:val="22"/>
        </w:rPr>
        <w:lastRenderedPageBreak/>
        <w:t> “Los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14:paraId="538ADF47"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el MANUAL PARA LA PLANEACIÓN, PROGRAMACIÓN Y PRESUPUESTO DE EGRESOS MUNICIPAL PARA EL EJERCICIO FISCAL 2022 establece que para la presentación al Órgano Superior de Fiscalización del Estado de México (OSFEM), el Presupuesto de Egresos Municipal deberá contener la información siguiente:</w:t>
      </w:r>
    </w:p>
    <w:p w14:paraId="11A4855B"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noProof/>
          <w:lang w:val="es-MX" w:eastAsia="es-MX"/>
        </w:rPr>
        <w:drawing>
          <wp:inline distT="0" distB="0" distL="0" distR="0" wp14:anchorId="1E7E0D0F" wp14:editId="64C7C0E7">
            <wp:extent cx="5504432" cy="5557332"/>
            <wp:effectExtent l="0" t="0" r="0" b="0"/>
            <wp:docPr id="72" name="image2.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 Word&#10;&#10;Descripción generada automáticamente"/>
                    <pic:cNvPicPr preferRelativeResize="0"/>
                  </pic:nvPicPr>
                  <pic:blipFill>
                    <a:blip r:embed="rId12"/>
                    <a:srcRect l="55772" t="17827" r="6775" b="4724"/>
                    <a:stretch>
                      <a:fillRect/>
                    </a:stretch>
                  </pic:blipFill>
                  <pic:spPr>
                    <a:xfrm>
                      <a:off x="0" y="0"/>
                      <a:ext cx="5504432" cy="5557332"/>
                    </a:xfrm>
                    <a:prstGeom prst="rect">
                      <a:avLst/>
                    </a:prstGeom>
                    <a:ln/>
                  </pic:spPr>
                </pic:pic>
              </a:graphicData>
            </a:graphic>
          </wp:inline>
        </w:drawing>
      </w:r>
    </w:p>
    <w:p w14:paraId="6F9CB060" w14:textId="77777777" w:rsidR="002C2FD7" w:rsidRDefault="00CB09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w:t>
      </w:r>
      <w:r>
        <w:rPr>
          <w:rFonts w:ascii="Palatino Linotype" w:eastAsia="Palatino Linotype" w:hAnsi="Palatino Linotype" w:cs="Palatino Linotype"/>
          <w:b/>
          <w:color w:val="000000"/>
        </w:rPr>
        <w:t xml:space="preserve">la información requerida es generada, poseída y administrada por el SUJETO OBLIGADO, </w:t>
      </w:r>
      <w:r>
        <w:rPr>
          <w:rFonts w:ascii="Palatino Linotype" w:eastAsia="Palatino Linotype" w:hAnsi="Palatino Linotype" w:cs="Palatino Linotype"/>
          <w:color w:val="000000"/>
        </w:rPr>
        <w:t xml:space="preserve">en virtud de ello, se ordenar la entrega integra de la información solicitada. </w:t>
      </w:r>
    </w:p>
    <w:p w14:paraId="6927352E" w14:textId="77777777" w:rsidR="002C2FD7" w:rsidRDefault="002C2FD7">
      <w:pPr>
        <w:spacing w:line="360" w:lineRule="auto"/>
        <w:jc w:val="both"/>
        <w:rPr>
          <w:rFonts w:ascii="Palatino Linotype" w:eastAsia="Palatino Linotype" w:hAnsi="Palatino Linotype" w:cs="Palatino Linotype"/>
          <w:color w:val="000000"/>
        </w:rPr>
      </w:pPr>
    </w:p>
    <w:p w14:paraId="20300B8A"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teniendo estas premisas en cuenta, debe trasladarse al caso concreto que sobre este requerimiento de información, únicamente se pronunció la </w:t>
      </w:r>
      <w:r>
        <w:rPr>
          <w:rFonts w:ascii="Palatino Linotype" w:eastAsia="Palatino Linotype" w:hAnsi="Palatino Linotype" w:cs="Palatino Linotype"/>
          <w:b/>
        </w:rPr>
        <w:t>Unidad de Transparencia</w:t>
      </w:r>
      <w:r>
        <w:rPr>
          <w:rFonts w:ascii="Palatino Linotype" w:eastAsia="Palatino Linotype" w:hAnsi="Palatino Linotype" w:cs="Palatino Linotype"/>
        </w:rPr>
        <w:t xml:space="preserve">, lo cual no satisfizo el derecho de acceso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lo se incumplió con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6E378133" w14:textId="77777777" w:rsidR="002C2FD7" w:rsidRDefault="00CB09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2647A16" w14:textId="77777777" w:rsidR="002C2FD7" w:rsidRDefault="00CB09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43AC81DF" w14:textId="77777777" w:rsidR="002C2FD7" w:rsidRDefault="00CB09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4BFF26B8" w14:textId="77777777" w:rsidR="002C2FD7" w:rsidRDefault="00CB09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67D5177" w14:textId="77777777" w:rsidR="002C2FD7" w:rsidRDefault="00CB09A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0AAF5EE" w14:textId="77777777" w:rsidR="002C2FD7" w:rsidRDefault="00CB09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pueden ser la Tesorería Municipal de acuerdo al Bando Municipal 2022, las siguientes: </w:t>
      </w:r>
    </w:p>
    <w:p w14:paraId="19A9920A" w14:textId="77777777" w:rsidR="002C2FD7" w:rsidRDefault="002C2FD7">
      <w:pPr>
        <w:spacing w:after="160" w:line="360" w:lineRule="auto"/>
        <w:jc w:val="both"/>
        <w:rPr>
          <w:rFonts w:ascii="Palatino Linotype" w:eastAsia="Palatino Linotype" w:hAnsi="Palatino Linotype" w:cs="Palatino Linotype"/>
          <w:i/>
          <w:sz w:val="22"/>
          <w:szCs w:val="22"/>
        </w:rPr>
      </w:pPr>
    </w:p>
    <w:p w14:paraId="195456A9" w14:textId="77777777" w:rsidR="002C2FD7" w:rsidRDefault="00CB09A0">
      <w:pPr>
        <w:spacing w:after="16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65.- La Tesorería Municipal es el órgano encargado de la obtención y aplicación del recurso financiero de acuerdo con la Ley de Ingresos, Código Financiero del Estado de México y Municipios y demás disposiciones aplicables vigentes. Esta dependencia se encargará de recibir la Hacienda Pública, de acuerdo con las previsiones a que se refiere el artículo 19 de la Ley Orgánica Municipal del Estado de México.</w:t>
      </w:r>
    </w:p>
    <w:p w14:paraId="538D60BE" w14:textId="77777777" w:rsidR="002C2FD7" w:rsidRDefault="00CB09A0">
      <w:pPr>
        <w:spacing w:after="16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269. La Gaceta Municipal es el medio impreso de comunicación oficial de la Administración Pública Municipal. Se publicará por lo menos una vez al mes y a través de esta se dará publicidad para los efectos jurídicos correspondientes al Bando, los </w:t>
      </w:r>
      <w:r>
        <w:rPr>
          <w:rFonts w:ascii="Palatino Linotype" w:eastAsia="Palatino Linotype" w:hAnsi="Palatino Linotype" w:cs="Palatino Linotype"/>
          <w:i/>
          <w:sz w:val="22"/>
          <w:szCs w:val="22"/>
        </w:rPr>
        <w:lastRenderedPageBreak/>
        <w:t>reglamentos, resoluciones gubernativas, circulares</w:t>
      </w:r>
      <w:r>
        <w:rPr>
          <w:rFonts w:ascii="Palatino Linotype" w:eastAsia="Palatino Linotype" w:hAnsi="Palatino Linotype" w:cs="Palatino Linotype"/>
          <w:b/>
          <w:i/>
          <w:sz w:val="22"/>
          <w:szCs w:val="22"/>
          <w:u w:val="single"/>
        </w:rPr>
        <w:t>, presupuesto de egresos</w:t>
      </w:r>
      <w:r>
        <w:rPr>
          <w:rFonts w:ascii="Palatino Linotype" w:eastAsia="Palatino Linotype" w:hAnsi="Palatino Linotype" w:cs="Palatino Linotype"/>
          <w:i/>
          <w:sz w:val="22"/>
          <w:szCs w:val="22"/>
        </w:rPr>
        <w:t>, planes y programas municipales y demás acuerdos administrativos y económicos, así como otras disposiciones expedidas por el Ayuntamiento o por la Presidente Municipal.</w:t>
      </w:r>
    </w:p>
    <w:p w14:paraId="71C54092" w14:textId="77777777" w:rsidR="002C2FD7" w:rsidRDefault="00CB09A0">
      <w:pPr>
        <w:spacing w:after="160" w:line="360" w:lineRule="auto"/>
        <w:ind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rPr>
        <w:t>Respecto al responsable de la publicación del presupuesto en la Gaceta Municipal, la Ley Orgánica Municipal del Estado de México establece</w:t>
      </w:r>
      <w:r>
        <w:rPr>
          <w:rFonts w:ascii="Palatino Linotype" w:eastAsia="Palatino Linotype" w:hAnsi="Palatino Linotype" w:cs="Palatino Linotype"/>
          <w:i/>
          <w:sz w:val="22"/>
          <w:szCs w:val="22"/>
        </w:rPr>
        <w:t>:</w:t>
      </w:r>
    </w:p>
    <w:p w14:paraId="374B224B" w14:textId="77777777" w:rsidR="002C2FD7" w:rsidRDefault="00CB09A0">
      <w:pPr>
        <w:spacing w:after="16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I. Asistir a las sesiones del ayuntamiento y levantar las actas correspondientes;</w:t>
      </w:r>
    </w:p>
    <w:p w14:paraId="586F5775" w14:textId="77777777" w:rsidR="002C2FD7" w:rsidRDefault="00CB09A0">
      <w:pPr>
        <w:spacing w:after="16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Llevar y conservar los libros de actas de cabildo, obteniendo las firmas de los asistentes a las sesiones;</w:t>
      </w:r>
    </w:p>
    <w:p w14:paraId="427B16E5" w14:textId="77777777" w:rsidR="002C2FD7" w:rsidRDefault="00CB09A0">
      <w:pPr>
        <w:spacing w:after="16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Ser responsable de la publicación de la Gaceta Municipal, así como de las publicaciones en los estrados de los Ayuntamientos; y</w:t>
      </w:r>
    </w:p>
    <w:p w14:paraId="072A1E8B" w14:textId="77777777" w:rsidR="002C2FD7" w:rsidRDefault="00CB09A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Aunado a lo anterior </w:t>
      </w:r>
      <w:r>
        <w:rPr>
          <w:rFonts w:ascii="Palatino Linotype" w:eastAsia="Palatino Linotype" w:hAnsi="Palatino Linotype" w:cs="Palatino Linotype"/>
        </w:rPr>
        <w:t xml:space="preserve">es de destacar que el artículo 92 fracción VIII de la Ley de Transparencia y Acceso a la Información Pública del Estado de México y Municipios señala lo siguiente:  </w:t>
      </w:r>
    </w:p>
    <w:p w14:paraId="75E27BAE" w14:textId="77777777" w:rsidR="002C2FD7" w:rsidRDefault="00CB09A0">
      <w:pPr>
        <w:spacing w:after="160" w:line="360" w:lineRule="auto"/>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AFC377" w14:textId="77777777" w:rsidR="002C2FD7" w:rsidRDefault="00CB09A0">
      <w:pPr>
        <w:spacing w:after="160" w:line="360" w:lineRule="auto"/>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EA6C72" w14:textId="77777777" w:rsidR="002C2FD7" w:rsidRDefault="00CB09A0">
      <w:pPr>
        <w:spacing w:after="160" w:line="360" w:lineRule="auto"/>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XXV. La información financiera sobre el presupuesto asignado, así como los informes del ejercicio trimestral del gasto, en términos de la Ley General de Contabilidad Gubernamental y demás disposiciones jurídicas aplicables;…”</w:t>
      </w:r>
    </w:p>
    <w:p w14:paraId="354F1E71" w14:textId="77777777" w:rsidR="002C2FD7" w:rsidRDefault="00CB09A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el artículo 94 del citado ordenamiento establece: </w:t>
      </w:r>
    </w:p>
    <w:p w14:paraId="374FA467" w14:textId="77777777" w:rsidR="002C2FD7" w:rsidRDefault="00CB09A0">
      <w:pPr>
        <w:spacing w:after="160" w:line="360" w:lineRule="auto"/>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14:paraId="0562C49C" w14:textId="77777777" w:rsidR="002C2FD7" w:rsidRDefault="00CB09A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del Poder Ejecutivo y los Municipios, en el ámbito de su competencia:</w:t>
      </w:r>
    </w:p>
    <w:p w14:paraId="391D4933" w14:textId="77777777" w:rsidR="002C2FD7" w:rsidRDefault="00CB09A0">
      <w:pPr>
        <w:pBdr>
          <w:top w:val="nil"/>
          <w:left w:val="nil"/>
          <w:bottom w:val="nil"/>
          <w:right w:val="nil"/>
          <w:between w:val="nil"/>
        </w:pBdr>
        <w:spacing w:after="160" w:line="360" w:lineRule="auto"/>
        <w:ind w:left="144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El presupuesto de egresos y las fórmulas de distribución de los recursos otorgados;</w:t>
      </w:r>
    </w:p>
    <w:p w14:paraId="338DE9AB" w14:textId="77777777" w:rsidR="002C2FD7" w:rsidRDefault="00CB09A0">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la información relativa al presupuesto del Sujeto Obligado, </w:t>
      </w:r>
      <w:r>
        <w:rPr>
          <w:rFonts w:ascii="Palatino Linotype" w:eastAsia="Palatino Linotype" w:hAnsi="Palatino Linotype" w:cs="Palatino Linotype"/>
          <w:b/>
          <w:u w:val="single"/>
        </w:rPr>
        <w:t>corresponde a las obligaciones de transparencias comunes y específicas,</w:t>
      </w:r>
      <w:r>
        <w:rPr>
          <w:rFonts w:ascii="Palatino Linotype" w:eastAsia="Palatino Linotype" w:hAnsi="Palatino Linotype" w:cs="Palatino Linotype"/>
        </w:rPr>
        <w:t xml:space="preserve"> que deberá poner a disposición del escrutinio público y mantenerla actualizada, en los respectivos medios electrónicos, de acuerdo con sus facultades, atribuciones, funciones u objeto social, según corresponda.</w:t>
      </w:r>
    </w:p>
    <w:p w14:paraId="664A0B2D" w14:textId="77777777" w:rsidR="002C2FD7" w:rsidRDefault="00CB09A0">
      <w:pPr>
        <w:spacing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lo que resulta inconcuso que el SUJETO OBLIGADO posee la información solicitada por el recurrente, atento a esto,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en el medio de impugnación</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 xml:space="preserve">por lo cual, lo procedente, es ordenar la entrega de los documentos donde conste el presupuesto de egresos de 2022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ser el caso en versión pública en términos del siguiente considerando. </w:t>
      </w:r>
    </w:p>
    <w:p w14:paraId="419BB72E" w14:textId="77777777" w:rsidR="002C2FD7" w:rsidRDefault="00CB09A0">
      <w:pPr>
        <w:spacing w:before="240" w:after="240"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Finalmente, como ya se ha señalado, el </w:t>
      </w:r>
      <w:r>
        <w:rPr>
          <w:rFonts w:ascii="Palatino Linotype" w:eastAsia="Palatino Linotype" w:hAnsi="Palatino Linotype" w:cs="Palatino Linotype"/>
          <w:b/>
          <w:color w:val="000000"/>
        </w:rPr>
        <w:t>Sujeto Obligado </w:t>
      </w:r>
      <w:r>
        <w:rPr>
          <w:rFonts w:ascii="Palatino Linotype" w:eastAsia="Palatino Linotype" w:hAnsi="Palatino Linotype" w:cs="Palatino Linotype"/>
          <w:color w:val="000000"/>
        </w:rPr>
        <w:t xml:space="preserve">debe satisfacer la solicitud de acceso a la información; sin embargo, por </w:t>
      </w:r>
      <w:r>
        <w:rPr>
          <w:rFonts w:ascii="Palatino Linotype" w:eastAsia="Palatino Linotype" w:hAnsi="Palatino Linotype" w:cs="Palatino Linotype"/>
          <w:color w:val="000000"/>
        </w:rPr>
        <w:lastRenderedPageBreak/>
        <w:t xml:space="preserve">cuanto hace a la información que entregará a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dar cumplimiento a la presente resolución, que contenga que contenga datos personales que deban ser clasificados como confidenciales y que deban ser protegidos,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 la parte recurrente sin menoscabo al derecho a la protección de los datos personales de terceros.</w:t>
      </w:r>
    </w:p>
    <w:p w14:paraId="0DCF46E4" w14:textId="77777777" w:rsidR="002C2FD7" w:rsidRDefault="00CB09A0">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de conformidad a lo que señalan los artículos 3, fracciones IX, XX, XXXII, XLV; 6, 137 y 143 fracción I, de la Ley de Transparencia y Acceso a la Información Pública del Estado de México y Municipios vigente, que se leen como sigue:</w:t>
      </w:r>
    </w:p>
    <w:p w14:paraId="63DF50DF"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 “Artículo 3. Para los efectos de la presente Ley se entenderá por:</w:t>
      </w:r>
    </w:p>
    <w:p w14:paraId="092E761F"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información concerniente a una persona, identificada o identificable</w:t>
      </w:r>
      <w:r>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14:paraId="56764772"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xml:space="preserve"> Aquella considerada por la presente Ley como reservada o confidencial;</w:t>
      </w:r>
    </w:p>
    <w:p w14:paraId="129FC57F"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XXXII. Protección de Datos Personales:</w:t>
      </w:r>
      <w:r>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14:paraId="16684DE4"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3A80D282" w14:textId="77777777" w:rsidR="002C2FD7" w:rsidRDefault="002C2FD7">
      <w:pPr>
        <w:spacing w:line="276" w:lineRule="auto"/>
      </w:pPr>
    </w:p>
    <w:p w14:paraId="7B18A548"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Pr>
          <w:rFonts w:ascii="Palatino Linotype" w:eastAsia="Palatino Linotype" w:hAnsi="Palatino Linotype" w:cs="Palatino Linotype"/>
          <w:i/>
          <w:color w:val="000000"/>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7B89B61C" w14:textId="77777777" w:rsidR="002C2FD7" w:rsidRDefault="002C2FD7">
      <w:pPr>
        <w:spacing w:line="276" w:lineRule="auto"/>
      </w:pPr>
    </w:p>
    <w:p w14:paraId="6D1C5338"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137.</w:t>
      </w:r>
      <w:r>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2B17FB4" w14:textId="77777777" w:rsidR="002C2FD7" w:rsidRDefault="002C2FD7">
      <w:pPr>
        <w:spacing w:line="276" w:lineRule="auto"/>
      </w:pPr>
    </w:p>
    <w:p w14:paraId="1E7D200B"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4142FF04" w14:textId="77777777" w:rsidR="002C2FD7" w:rsidRDefault="00CB09A0">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w:t>
      </w:r>
      <w:r>
        <w:rPr>
          <w:rFonts w:ascii="Palatino Linotype" w:eastAsia="Palatino Linotype" w:hAnsi="Palatino Linotype" w:cs="Palatino Linotype"/>
          <w:i/>
          <w:color w:val="000000"/>
          <w:sz w:val="22"/>
          <w:szCs w:val="22"/>
        </w:rPr>
        <w:t>…”</w:t>
      </w:r>
    </w:p>
    <w:p w14:paraId="423E1F0F" w14:textId="77777777" w:rsidR="002C2FD7" w:rsidRDefault="00CB09A0">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w:t>
      </w:r>
      <w:r>
        <w:rPr>
          <w:rFonts w:ascii="Palatino Linotype" w:eastAsia="Palatino Linotype" w:hAnsi="Palatino Linotype" w:cs="Palatino Linotype"/>
          <w:color w:val="000000"/>
        </w:rPr>
        <w:lastRenderedPageBreak/>
        <w:t>Ley de Protección de Datos Personales en Posesión de Sujetos Obligados del Estado de México y Municipios.</w:t>
      </w:r>
    </w:p>
    <w:p w14:paraId="643A5DC9" w14:textId="77777777" w:rsidR="002C2FD7" w:rsidRDefault="00CB09A0">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E2CD1F8" w14:textId="77777777" w:rsidR="002C2FD7" w:rsidRDefault="00CB09A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color w:val="000000"/>
          <w:highlight w:val="white"/>
        </w:rPr>
        <w:t>.</w:t>
      </w:r>
    </w:p>
    <w:p w14:paraId="087FEACB" w14:textId="77777777" w:rsidR="002C2FD7" w:rsidRDefault="00CB09A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14:paraId="2E5F1D1A" w14:textId="77777777" w:rsidR="002C2FD7" w:rsidRDefault="00CB09A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Pr>
          <w:rFonts w:ascii="Palatino Linotype" w:eastAsia="Palatino Linotype" w:hAnsi="Palatino Linotype" w:cs="Palatino Linotype"/>
          <w:color w:val="000000"/>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Recurrente.</w:t>
      </w:r>
    </w:p>
    <w:p w14:paraId="11EC407F" w14:textId="77777777" w:rsidR="002C2FD7" w:rsidRDefault="00CB09A0">
      <w:pPr>
        <w:spacing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w:t>
      </w:r>
    </w:p>
    <w:p w14:paraId="2F72F7A5" w14:textId="77777777" w:rsidR="002C2FD7" w:rsidRDefault="00CB09A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179, fracción VIII, 185, </w:t>
      </w:r>
      <w:r>
        <w:t xml:space="preserve">186, fracciones III y IV </w:t>
      </w:r>
      <w:r>
        <w:rPr>
          <w:rFonts w:ascii="Palatino Linotype" w:eastAsia="Palatino Linotype" w:hAnsi="Palatino Linotype" w:cs="Palatino Linotype"/>
        </w:rPr>
        <w:t>de la Ley de Transparencia y Acceso a la Información Pública del Estado de México y Municipios, este Pleno:</w:t>
      </w:r>
    </w:p>
    <w:p w14:paraId="68932E8F" w14:textId="77777777" w:rsidR="002C2FD7" w:rsidRDefault="00CB09A0">
      <w:pPr>
        <w:spacing w:line="360" w:lineRule="auto"/>
        <w:jc w:val="center"/>
        <w:rPr>
          <w:rFonts w:ascii="Palatino Linotype" w:eastAsia="Palatino Linotype" w:hAnsi="Palatino Linotype" w:cs="Palatino Linotype"/>
          <w:b/>
        </w:rPr>
      </w:pPr>
      <w:bookmarkStart w:id="1" w:name="_heading=h.qc5fa8nm4sd4" w:colFirst="0" w:colLast="0"/>
      <w:bookmarkEnd w:id="1"/>
      <w:r>
        <w:rPr>
          <w:rFonts w:ascii="Palatino Linotype" w:eastAsia="Palatino Linotype" w:hAnsi="Palatino Linotype" w:cs="Palatino Linotype"/>
          <w:b/>
        </w:rPr>
        <w:t>R E S U E L V E</w:t>
      </w:r>
    </w:p>
    <w:p w14:paraId="716E17EF" w14:textId="77777777" w:rsidR="002C2FD7" w:rsidRDefault="00CB09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Recurrente, en el recurso de revisión </w:t>
      </w:r>
      <w:r>
        <w:rPr>
          <w:rFonts w:ascii="Palatino Linotype" w:eastAsia="Palatino Linotype" w:hAnsi="Palatino Linotype" w:cs="Palatino Linotype"/>
          <w:b/>
        </w:rPr>
        <w:t>04569/INFOEM/IP/RR/2022</w:t>
      </w:r>
      <w:r>
        <w:rPr>
          <w:rFonts w:ascii="Palatino Linotype" w:eastAsia="Palatino Linotype" w:hAnsi="Palatino Linotype" w:cs="Palatino Linotype"/>
        </w:rPr>
        <w:t xml:space="preserve">, por </w:t>
      </w:r>
      <w:r>
        <w:rPr>
          <w:rFonts w:ascii="Palatino Linotype" w:eastAsia="Palatino Linotype" w:hAnsi="Palatino Linotype" w:cs="Palatino Linotype"/>
        </w:rPr>
        <w:lastRenderedPageBreak/>
        <w:t xml:space="preserve">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79932EC" w14:textId="77777777" w:rsidR="002C2FD7" w:rsidRDefault="00CB09A0">
      <w:pPr>
        <w:spacing w:before="240" w:after="240" w:line="360" w:lineRule="auto"/>
        <w:ind w:right="49"/>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 haga entrega vía SAIMEX, del documento o documentos en donde conste lo siguiente:</w:t>
      </w:r>
    </w:p>
    <w:p w14:paraId="3B434E64" w14:textId="77777777" w:rsidR="002C2FD7" w:rsidRDefault="00CB09A0">
      <w:pPr>
        <w:numPr>
          <w:ilvl w:val="0"/>
          <w:numId w:val="6"/>
        </w:numPr>
        <w:pBdr>
          <w:top w:val="nil"/>
          <w:left w:val="nil"/>
          <w:bottom w:val="nil"/>
          <w:right w:val="nil"/>
          <w:between w:val="nil"/>
        </w:pBdr>
        <w:spacing w:before="12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Presupuesto de egresos aprobado por el cabildo del Sujeto Obligado correspondiente al ejercicio fiscal dos mil veintidós. </w:t>
      </w:r>
    </w:p>
    <w:p w14:paraId="2023372F" w14:textId="77777777" w:rsidR="002C2FD7" w:rsidRDefault="00CB09A0">
      <w:pPr>
        <w:spacing w:before="12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0208CC49" w14:textId="77777777" w:rsidR="002C2FD7" w:rsidRDefault="00CB09A0">
      <w:pPr>
        <w:spacing w:before="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691C791" w14:textId="77777777" w:rsidR="002C2FD7" w:rsidRDefault="002C2FD7">
      <w:pPr>
        <w:spacing w:before="120" w:line="360" w:lineRule="auto"/>
        <w:ind w:right="49"/>
        <w:jc w:val="both"/>
        <w:rPr>
          <w:rFonts w:ascii="Palatino Linotype" w:eastAsia="Palatino Linotype" w:hAnsi="Palatino Linotype" w:cs="Palatino Linotype"/>
        </w:rPr>
      </w:pPr>
    </w:p>
    <w:p w14:paraId="41A1BE40" w14:textId="77777777" w:rsidR="002C2FD7" w:rsidRDefault="00CB09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50C6D0C" w14:textId="77777777" w:rsidR="002C2FD7" w:rsidRDefault="002C2FD7">
      <w:pPr>
        <w:spacing w:line="360" w:lineRule="auto"/>
        <w:ind w:right="49"/>
        <w:jc w:val="both"/>
        <w:rPr>
          <w:rFonts w:ascii="Palatino Linotype" w:eastAsia="Palatino Linotype" w:hAnsi="Palatino Linotype" w:cs="Palatino Linotype"/>
        </w:rPr>
      </w:pPr>
    </w:p>
    <w:p w14:paraId="78C0505B" w14:textId="77777777" w:rsidR="002C2FD7" w:rsidRDefault="00CB09A0">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4D79B96" w14:textId="77777777" w:rsidR="002C2FD7" w:rsidRDefault="00CB09A0">
      <w:pPr>
        <w:spacing w:before="240" w:after="240" w:line="360" w:lineRule="auto"/>
        <w:jc w:val="both"/>
        <w:rPr>
          <w:rFonts w:ascii="Palatino Linotype" w:eastAsia="Palatino Linotype" w:hAnsi="Palatino Linotype" w:cs="Palatino Linotype"/>
        </w:rPr>
        <w:sectPr w:rsidR="002C2FD7">
          <w:headerReference w:type="default" r:id="rId13"/>
          <w:footerReference w:type="default" r:id="rId14"/>
          <w:headerReference w:type="first" r:id="rId15"/>
          <w:footerReference w:type="first" r:id="rId16"/>
          <w:pgSz w:w="12240" w:h="15840"/>
          <w:pgMar w:top="270" w:right="1701" w:bottom="1417" w:left="1701" w:header="709" w:footer="709" w:gutter="0"/>
          <w:pgNumType w:start="1"/>
          <w:cols w:space="720"/>
          <w:titlePg/>
        </w:sectPr>
      </w:pPr>
      <w:bookmarkStart w:id="3" w:name="_heading=h.gjdgxs" w:colFirst="0" w:colLast="0"/>
      <w:bookmarkEnd w:id="3"/>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OCTAVA SESIÓN ORDINARIA CELEBRADA EL </w:t>
      </w:r>
      <w:r>
        <w:rPr>
          <w:rFonts w:ascii="Palatino Linotype" w:eastAsia="Palatino Linotype" w:hAnsi="Palatino Linotype" w:cs="Palatino Linotype"/>
          <w:color w:val="222222"/>
        </w:rPr>
        <w:t>DIEZ DE AGOSTO</w:t>
      </w:r>
      <w:r>
        <w:rPr>
          <w:rFonts w:ascii="Palatino Linotype" w:eastAsia="Palatino Linotype" w:hAnsi="Palatino Linotype" w:cs="Palatino Linotype"/>
        </w:rPr>
        <w:t xml:space="preserve"> DE DOS MIL VEINTIDÓS, ANTE EL SECRETARIO TÉCNICO DEL PLENO ALEXIS TAPIA RAMÍREZ.</w:t>
      </w:r>
    </w:p>
    <w:p w14:paraId="5E788BF4" w14:textId="77777777" w:rsidR="002C2FD7" w:rsidRDefault="002C2FD7">
      <w:pPr>
        <w:spacing w:before="240" w:after="240" w:line="360" w:lineRule="auto"/>
        <w:jc w:val="both"/>
        <w:rPr>
          <w:rFonts w:ascii="Palatino Linotype" w:eastAsia="Palatino Linotype" w:hAnsi="Palatino Linotype" w:cs="Palatino Linotype"/>
        </w:rPr>
      </w:pPr>
    </w:p>
    <w:p w14:paraId="519DEDE6" w14:textId="77777777" w:rsidR="002C2FD7" w:rsidRDefault="002C2FD7">
      <w:pPr>
        <w:spacing w:before="240" w:after="240" w:line="360" w:lineRule="auto"/>
        <w:jc w:val="both"/>
        <w:rPr>
          <w:rFonts w:ascii="Palatino Linotype" w:eastAsia="Palatino Linotype" w:hAnsi="Palatino Linotype" w:cs="Palatino Linotype"/>
        </w:rPr>
      </w:pPr>
    </w:p>
    <w:p w14:paraId="32BC7DBA" w14:textId="77777777" w:rsidR="002C2FD7" w:rsidRDefault="002C2FD7">
      <w:pPr>
        <w:spacing w:before="240" w:after="240" w:line="360" w:lineRule="auto"/>
        <w:jc w:val="both"/>
        <w:rPr>
          <w:rFonts w:ascii="Palatino Linotype" w:eastAsia="Palatino Linotype" w:hAnsi="Palatino Linotype" w:cs="Palatino Linotype"/>
        </w:rPr>
      </w:pPr>
    </w:p>
    <w:p w14:paraId="04301500" w14:textId="77777777" w:rsidR="002C2FD7" w:rsidRDefault="002C2FD7"/>
    <w:p w14:paraId="43A25EF7" w14:textId="77777777" w:rsidR="002C2FD7" w:rsidRDefault="002C2FD7"/>
    <w:p w14:paraId="47220BE3" w14:textId="77777777" w:rsidR="002C2FD7" w:rsidRDefault="002C2FD7"/>
    <w:p w14:paraId="002EDB5C" w14:textId="77777777" w:rsidR="002C2FD7" w:rsidRDefault="002C2FD7"/>
    <w:sectPr w:rsidR="002C2FD7">
      <w:headerReference w:type="first" r:id="rId17"/>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A6FC2" w14:textId="77777777" w:rsidR="0016794E" w:rsidRDefault="0016794E">
      <w:r>
        <w:separator/>
      </w:r>
    </w:p>
  </w:endnote>
  <w:endnote w:type="continuationSeparator" w:id="0">
    <w:p w14:paraId="360D95B7" w14:textId="77777777" w:rsidR="0016794E" w:rsidRDefault="00167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B7699" w14:textId="57792277" w:rsidR="002C2FD7" w:rsidRDefault="00CB09A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A3C93">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A3C9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74E1B574" w14:textId="77777777" w:rsidR="002C2FD7" w:rsidRDefault="002C2FD7">
    <w:pPr>
      <w:pBdr>
        <w:top w:val="nil"/>
        <w:left w:val="nil"/>
        <w:bottom w:val="nil"/>
        <w:right w:val="nil"/>
        <w:between w:val="nil"/>
      </w:pBdr>
      <w:tabs>
        <w:tab w:val="center" w:pos="4419"/>
        <w:tab w:val="right" w:pos="8838"/>
      </w:tabs>
      <w:rPr>
        <w:color w:val="000000"/>
      </w:rPr>
    </w:pPr>
  </w:p>
  <w:p w14:paraId="11FB163C" w14:textId="77777777" w:rsidR="002C2FD7" w:rsidRDefault="002C2FD7"/>
  <w:p w14:paraId="6890AF45" w14:textId="77777777" w:rsidR="002C2FD7" w:rsidRDefault="002C2FD7"/>
  <w:p w14:paraId="11A0E21B" w14:textId="77777777" w:rsidR="002C2FD7" w:rsidRDefault="002C2F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478A4" w14:textId="3005BB58" w:rsidR="002C2FD7" w:rsidRDefault="00CB09A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A3C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A3C9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6495015E" w14:textId="77777777" w:rsidR="002C2FD7" w:rsidRDefault="002C2FD7">
    <w:pPr>
      <w:pBdr>
        <w:top w:val="nil"/>
        <w:left w:val="nil"/>
        <w:bottom w:val="nil"/>
        <w:right w:val="nil"/>
        <w:between w:val="nil"/>
      </w:pBdr>
      <w:tabs>
        <w:tab w:val="center" w:pos="4419"/>
        <w:tab w:val="right" w:pos="8838"/>
      </w:tabs>
      <w:rPr>
        <w:color w:val="000000"/>
      </w:rPr>
    </w:pPr>
  </w:p>
  <w:p w14:paraId="43627287" w14:textId="77777777" w:rsidR="002C2FD7" w:rsidRDefault="002C2FD7"/>
  <w:p w14:paraId="32D076CA" w14:textId="77777777" w:rsidR="002C2FD7" w:rsidRDefault="002C2FD7"/>
  <w:p w14:paraId="026A03BF" w14:textId="77777777" w:rsidR="002C2FD7" w:rsidRDefault="002C2F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D2A9C" w14:textId="77777777" w:rsidR="0016794E" w:rsidRDefault="0016794E">
      <w:r>
        <w:separator/>
      </w:r>
    </w:p>
  </w:footnote>
  <w:footnote w:type="continuationSeparator" w:id="0">
    <w:p w14:paraId="78C3BFB5" w14:textId="77777777" w:rsidR="0016794E" w:rsidRDefault="0016794E">
      <w:r>
        <w:continuationSeparator/>
      </w:r>
    </w:p>
  </w:footnote>
  <w:footnote w:id="1">
    <w:p w14:paraId="5ABD4165" w14:textId="77777777" w:rsidR="002C2FD7" w:rsidRDefault="00CB09A0">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14:paraId="2982B1BC" w14:textId="77777777" w:rsidR="002C2FD7" w:rsidRDefault="00CB09A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8A483" w14:textId="77777777" w:rsidR="002C2FD7" w:rsidRDefault="00CB09A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25A66248" wp14:editId="7B153513">
          <wp:simplePos x="0" y="0"/>
          <wp:positionH relativeFrom="column">
            <wp:posOffset>-1080134</wp:posOffset>
          </wp:positionH>
          <wp:positionV relativeFrom="paragraph">
            <wp:posOffset>-276859</wp:posOffset>
          </wp:positionV>
          <wp:extent cx="7635600" cy="9943200"/>
          <wp:effectExtent l="0" t="0" r="0" b="0"/>
          <wp:wrapNone/>
          <wp:docPr id="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812" w:type="dxa"/>
      <w:tblInd w:w="3119" w:type="dxa"/>
      <w:tblLayout w:type="fixed"/>
      <w:tblLook w:val="0400" w:firstRow="0" w:lastRow="0" w:firstColumn="0" w:lastColumn="0" w:noHBand="0" w:noVBand="1"/>
    </w:tblPr>
    <w:tblGrid>
      <w:gridCol w:w="2551"/>
      <w:gridCol w:w="3261"/>
    </w:tblGrid>
    <w:tr w:rsidR="002C2FD7" w14:paraId="02C90C69" w14:textId="77777777">
      <w:tc>
        <w:tcPr>
          <w:tcW w:w="2551" w:type="dxa"/>
          <w:vAlign w:val="center"/>
        </w:tcPr>
        <w:p w14:paraId="1A9C1FC4" w14:textId="77777777" w:rsidR="002C2FD7" w:rsidRDefault="00CB0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727B6470" w14:textId="77777777" w:rsidR="002C2FD7" w:rsidRDefault="00CB09A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04569/INFOEM/IP/RR/2022. </w:t>
          </w:r>
        </w:p>
      </w:tc>
    </w:tr>
    <w:tr w:rsidR="002C2FD7" w14:paraId="1B4A806A" w14:textId="77777777">
      <w:tc>
        <w:tcPr>
          <w:tcW w:w="2551" w:type="dxa"/>
          <w:vAlign w:val="center"/>
        </w:tcPr>
        <w:p w14:paraId="75EDC506" w14:textId="77777777" w:rsidR="002C2FD7" w:rsidRDefault="002C2FD7">
          <w:pPr>
            <w:rPr>
              <w:rFonts w:ascii="Palatino Linotype" w:eastAsia="Palatino Linotype" w:hAnsi="Palatino Linotype" w:cs="Palatino Linotype"/>
              <w:b/>
              <w:sz w:val="22"/>
              <w:szCs w:val="22"/>
            </w:rPr>
          </w:pPr>
        </w:p>
      </w:tc>
      <w:tc>
        <w:tcPr>
          <w:tcW w:w="3261" w:type="dxa"/>
          <w:vAlign w:val="center"/>
        </w:tcPr>
        <w:p w14:paraId="3DAC6FD1" w14:textId="77777777" w:rsidR="002C2FD7" w:rsidRDefault="002C2FD7">
          <w:pPr>
            <w:jc w:val="both"/>
            <w:rPr>
              <w:rFonts w:ascii="Palatino Linotype" w:eastAsia="Palatino Linotype" w:hAnsi="Palatino Linotype" w:cs="Palatino Linotype"/>
              <w:b/>
              <w:sz w:val="22"/>
              <w:szCs w:val="22"/>
            </w:rPr>
          </w:pPr>
        </w:p>
      </w:tc>
    </w:tr>
    <w:tr w:rsidR="002C2FD7" w14:paraId="05C5B9E5" w14:textId="77777777">
      <w:trPr>
        <w:trHeight w:val="228"/>
      </w:trPr>
      <w:tc>
        <w:tcPr>
          <w:tcW w:w="2551" w:type="dxa"/>
          <w:vAlign w:val="center"/>
        </w:tcPr>
        <w:p w14:paraId="142D3408" w14:textId="77777777" w:rsidR="002C2FD7" w:rsidRDefault="00CB0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2531E25C" w14:textId="77777777" w:rsidR="002C2FD7" w:rsidRDefault="00CB09A0">
          <w:pPr>
            <w:ind w:left="-108"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Chimalhuacán </w:t>
          </w:r>
        </w:p>
      </w:tc>
    </w:tr>
    <w:tr w:rsidR="002C2FD7" w14:paraId="7CB52CC8" w14:textId="77777777">
      <w:tc>
        <w:tcPr>
          <w:tcW w:w="2551" w:type="dxa"/>
          <w:vAlign w:val="center"/>
        </w:tcPr>
        <w:p w14:paraId="0D792AD6" w14:textId="77777777" w:rsidR="002C2FD7" w:rsidRDefault="00CB0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7C6D0065" w14:textId="77777777" w:rsidR="002C2FD7" w:rsidRDefault="00CB09A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83EBDE" w14:textId="77777777" w:rsidR="002C2FD7" w:rsidRDefault="002C2F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157F8" w14:textId="77777777" w:rsidR="002C2FD7" w:rsidRDefault="00CB09A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77A220B2" wp14:editId="21CD442D">
          <wp:simplePos x="0" y="0"/>
          <wp:positionH relativeFrom="column">
            <wp:posOffset>-1080134</wp:posOffset>
          </wp:positionH>
          <wp:positionV relativeFrom="paragraph">
            <wp:posOffset>-454024</wp:posOffset>
          </wp:positionV>
          <wp:extent cx="7635600" cy="9943200"/>
          <wp:effectExtent l="0" t="0" r="0" b="0"/>
          <wp:wrapNone/>
          <wp:docPr id="6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5953" w:type="dxa"/>
      <w:tblInd w:w="3119" w:type="dxa"/>
      <w:tblLayout w:type="fixed"/>
      <w:tblLook w:val="0400" w:firstRow="0" w:lastRow="0" w:firstColumn="0" w:lastColumn="0" w:noHBand="0" w:noVBand="1"/>
    </w:tblPr>
    <w:tblGrid>
      <w:gridCol w:w="2551"/>
      <w:gridCol w:w="3402"/>
    </w:tblGrid>
    <w:tr w:rsidR="002C2FD7" w14:paraId="47BB0615" w14:textId="77777777">
      <w:tc>
        <w:tcPr>
          <w:tcW w:w="2551" w:type="dxa"/>
          <w:vAlign w:val="center"/>
        </w:tcPr>
        <w:p w14:paraId="50B890D8" w14:textId="77777777" w:rsidR="002C2FD7" w:rsidRDefault="00CB0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5399A0CF" w14:textId="77777777" w:rsidR="002C2FD7" w:rsidRDefault="00CB09A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04569/INFOEM/IP/RR/2022. </w:t>
          </w:r>
        </w:p>
      </w:tc>
    </w:tr>
    <w:tr w:rsidR="002C2FD7" w14:paraId="375779EE" w14:textId="77777777">
      <w:tc>
        <w:tcPr>
          <w:tcW w:w="2551" w:type="dxa"/>
          <w:vAlign w:val="center"/>
        </w:tcPr>
        <w:p w14:paraId="6CE52825" w14:textId="77777777" w:rsidR="002C2FD7" w:rsidRDefault="00CB09A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2E420F73" w14:textId="06BF8EF8" w:rsidR="002C2FD7" w:rsidRDefault="00612E83" w:rsidP="00612E8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w:t>
          </w:r>
          <w:r w:rsidR="00CB09A0">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p>
      </w:tc>
    </w:tr>
    <w:tr w:rsidR="002C2FD7" w14:paraId="496AEEF2" w14:textId="77777777">
      <w:trPr>
        <w:trHeight w:val="228"/>
      </w:trPr>
      <w:tc>
        <w:tcPr>
          <w:tcW w:w="2551" w:type="dxa"/>
          <w:vAlign w:val="center"/>
        </w:tcPr>
        <w:p w14:paraId="31ED806B" w14:textId="77777777" w:rsidR="002C2FD7" w:rsidRDefault="00CB0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7F64645B" w14:textId="77777777" w:rsidR="002C2FD7" w:rsidRDefault="00CB09A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2C2FD7" w14:paraId="5892A167" w14:textId="77777777">
      <w:tc>
        <w:tcPr>
          <w:tcW w:w="2551" w:type="dxa"/>
          <w:vAlign w:val="center"/>
        </w:tcPr>
        <w:p w14:paraId="265D855E" w14:textId="77777777" w:rsidR="002C2FD7" w:rsidRDefault="00CB0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6CD23D9D" w14:textId="77777777" w:rsidR="002C2FD7" w:rsidRDefault="00CB09A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46BF84" w14:textId="77777777" w:rsidR="002C2FD7" w:rsidRDefault="002C2FD7">
    <w:pPr>
      <w:pBdr>
        <w:top w:val="nil"/>
        <w:left w:val="nil"/>
        <w:bottom w:val="nil"/>
        <w:right w:val="nil"/>
        <w:between w:val="nil"/>
      </w:pBdr>
      <w:tabs>
        <w:tab w:val="center" w:pos="4419"/>
        <w:tab w:val="right" w:pos="8838"/>
      </w:tabs>
      <w:rPr>
        <w:color w:val="000000"/>
      </w:rPr>
    </w:pPr>
  </w:p>
  <w:p w14:paraId="112DEF4A" w14:textId="77777777" w:rsidR="002C2FD7" w:rsidRDefault="002C2FD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4701D" w14:textId="77777777" w:rsidR="002C2FD7" w:rsidRDefault="002C2FD7">
    <w:pPr>
      <w:pBdr>
        <w:top w:val="nil"/>
        <w:left w:val="nil"/>
        <w:bottom w:val="nil"/>
        <w:right w:val="nil"/>
        <w:between w:val="nil"/>
      </w:pBdr>
      <w:tabs>
        <w:tab w:val="center" w:pos="4419"/>
        <w:tab w:val="right" w:pos="8838"/>
      </w:tabs>
      <w:jc w:val="both"/>
      <w:rPr>
        <w:color w:val="000000"/>
      </w:rPr>
    </w:pPr>
  </w:p>
  <w:p w14:paraId="30FE0E5C" w14:textId="77777777" w:rsidR="002C2FD7" w:rsidRDefault="002C2FD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5F2F"/>
    <w:multiLevelType w:val="multilevel"/>
    <w:tmpl w:val="92BE045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5E507F"/>
    <w:multiLevelType w:val="multilevel"/>
    <w:tmpl w:val="C142B5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8154AA0"/>
    <w:multiLevelType w:val="multilevel"/>
    <w:tmpl w:val="29ACFE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970897"/>
    <w:multiLevelType w:val="multilevel"/>
    <w:tmpl w:val="5C1E6CFE"/>
    <w:lvl w:ilvl="0">
      <w:start w:val="1"/>
      <w:numFmt w:val="upperRoman"/>
      <w:lvlText w:val="%1."/>
      <w:lvlJc w:val="left"/>
      <w:pPr>
        <w:ind w:left="1712" w:hanging="720"/>
      </w:pPr>
      <w:rPr>
        <w:rFonts w:ascii="Times New Roman" w:eastAsia="Times New Roman" w:hAnsi="Times New Roman" w:cs="Times New Roman"/>
        <w:i w:val="0"/>
        <w:sz w:val="24"/>
        <w:szCs w:val="24"/>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4" w15:restartNumberingAfterBreak="0">
    <w:nsid w:val="222F2F27"/>
    <w:multiLevelType w:val="multilevel"/>
    <w:tmpl w:val="47D04AEE"/>
    <w:lvl w:ilvl="0">
      <w:start w:val="3"/>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28578E"/>
    <w:multiLevelType w:val="multilevel"/>
    <w:tmpl w:val="468CEB4A"/>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B977E5"/>
    <w:multiLevelType w:val="multilevel"/>
    <w:tmpl w:val="CED4341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4"/>
  </w:num>
  <w:num w:numId="2">
    <w:abstractNumId w:val="0"/>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FD7"/>
    <w:rsid w:val="0016794E"/>
    <w:rsid w:val="00284FCE"/>
    <w:rsid w:val="002C2FD7"/>
    <w:rsid w:val="00612E83"/>
    <w:rsid w:val="009120B0"/>
    <w:rsid w:val="00C57C51"/>
    <w:rsid w:val="00CB09A0"/>
    <w:rsid w:val="00E64314"/>
    <w:rsid w:val="00F028D7"/>
    <w:rsid w:val="00FA3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ACC0"/>
  <w15:docId w15:val="{B8EAECDF-C741-4F52-991B-17F6A7C1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10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B20108"/>
    <w:pPr>
      <w:ind w:left="720"/>
      <w:contextualSpacing/>
    </w:pPr>
  </w:style>
  <w:style w:type="paragraph" w:styleId="NormalWeb">
    <w:name w:val="Normal (Web)"/>
    <w:basedOn w:val="Normal"/>
    <w:uiPriority w:val="99"/>
    <w:unhideWhenUsed/>
    <w:rsid w:val="00B20108"/>
    <w:pPr>
      <w:spacing w:before="100" w:beforeAutospacing="1" w:after="100" w:afterAutospacing="1"/>
    </w:pPr>
    <w:rPr>
      <w:lang w:val="es-MX" w:eastAsia="es-MX"/>
    </w:rPr>
  </w:style>
  <w:style w:type="paragraph" w:styleId="Encabezado">
    <w:name w:val="header"/>
    <w:basedOn w:val="Normal"/>
    <w:link w:val="EncabezadoCar"/>
    <w:uiPriority w:val="99"/>
    <w:unhideWhenUsed/>
    <w:rsid w:val="00B20108"/>
    <w:pPr>
      <w:tabs>
        <w:tab w:val="center" w:pos="4419"/>
        <w:tab w:val="right" w:pos="8838"/>
      </w:tabs>
    </w:pPr>
  </w:style>
  <w:style w:type="character" w:customStyle="1" w:styleId="EncabezadoCar">
    <w:name w:val="Encabezado Car"/>
    <w:basedOn w:val="Fuentedeprrafopredeter"/>
    <w:link w:val="Encabezado"/>
    <w:uiPriority w:val="99"/>
    <w:rsid w:val="00B2010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20108"/>
    <w:pPr>
      <w:tabs>
        <w:tab w:val="center" w:pos="4419"/>
        <w:tab w:val="right" w:pos="8838"/>
      </w:tabs>
    </w:pPr>
  </w:style>
  <w:style w:type="character" w:customStyle="1" w:styleId="PiedepginaCar">
    <w:name w:val="Pie de página Car"/>
    <w:basedOn w:val="Fuentedeprrafopredeter"/>
    <w:link w:val="Piedepgina"/>
    <w:uiPriority w:val="99"/>
    <w:rsid w:val="00B20108"/>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3sX6XD98Y5WFsUYq9GKJ5NiCMA==">AMUW2mWsD+s5GiAlMh021DoeFNb/6ThUxmkHm/3ddA1FDV2jfiZKdRqwNFYNbk/wBZlEVnFgOOfFqyjwHFnti7O1NlLKGaQTk0vsgfwPh+UF0AWKYLeeAP7JyL7ki/hI+G6O30OUb8d1fJfzfd62rBilwYwC1PKuQQ==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8117</Words>
  <Characters>44649</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Jhancarlo</cp:lastModifiedBy>
  <cp:revision>6</cp:revision>
  <cp:lastPrinted>2022-08-12T18:51:00Z</cp:lastPrinted>
  <dcterms:created xsi:type="dcterms:W3CDTF">2022-08-11T22:06:00Z</dcterms:created>
  <dcterms:modified xsi:type="dcterms:W3CDTF">2022-10-14T19:56:00Z</dcterms:modified>
</cp:coreProperties>
</file>