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EA7758" w:rsidRDefault="0029071C" w:rsidP="00C753C2">
      <w:pPr>
        <w:shd w:val="clear" w:color="auto" w:fill="FFFFFF"/>
        <w:spacing w:line="360" w:lineRule="auto"/>
        <w:jc w:val="both"/>
        <w:rPr>
          <w:rFonts w:ascii="Palatino Linotype" w:hAnsi="Palatino Linotype" w:cs="Arial"/>
          <w:color w:val="000000"/>
          <w:lang w:val="es-MX" w:eastAsia="es-MX"/>
        </w:rPr>
      </w:pPr>
      <w:r w:rsidRPr="00EA775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40502" w:rsidRPr="00EA7758">
        <w:rPr>
          <w:rFonts w:ascii="Palatino Linotype" w:hAnsi="Palatino Linotype" w:cs="Arial"/>
          <w:color w:val="000000"/>
          <w:lang w:val="es-MX" w:eastAsia="es-MX"/>
        </w:rPr>
        <w:t>veinticuatro de agost</w:t>
      </w:r>
      <w:r w:rsidR="00464839" w:rsidRPr="00EA7758">
        <w:rPr>
          <w:rFonts w:ascii="Palatino Linotype" w:hAnsi="Palatino Linotype" w:cs="Arial"/>
          <w:color w:val="000000"/>
          <w:lang w:val="es-MX" w:eastAsia="es-MX"/>
        </w:rPr>
        <w:t>o</w:t>
      </w:r>
      <w:r w:rsidR="00C4326C" w:rsidRPr="00EA7758">
        <w:rPr>
          <w:rFonts w:ascii="Palatino Linotype" w:hAnsi="Palatino Linotype" w:cs="Arial"/>
          <w:color w:val="000000"/>
          <w:lang w:val="es-MX" w:eastAsia="es-MX"/>
        </w:rPr>
        <w:t xml:space="preserve"> dos mil veintidós</w:t>
      </w:r>
      <w:r w:rsidRPr="00EA7758">
        <w:rPr>
          <w:rFonts w:ascii="Palatino Linotype" w:hAnsi="Palatino Linotype" w:cs="Arial"/>
          <w:color w:val="000000"/>
          <w:lang w:val="es-MX" w:eastAsia="es-MX"/>
        </w:rPr>
        <w:t>.</w:t>
      </w:r>
    </w:p>
    <w:p w:rsidR="00A83B4F" w:rsidRPr="00EA7758"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EA7758" w:rsidRDefault="0029071C" w:rsidP="00C753C2">
      <w:pPr>
        <w:tabs>
          <w:tab w:val="left" w:pos="1701"/>
        </w:tabs>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b/>
          <w:lang w:val="es-MX" w:eastAsia="en-US"/>
        </w:rPr>
        <w:t>VISTO</w:t>
      </w:r>
      <w:r w:rsidRPr="00EA7758">
        <w:rPr>
          <w:rFonts w:ascii="Palatino Linotype" w:eastAsiaTheme="minorHAnsi" w:hAnsi="Palatino Linotype" w:cs="Arial"/>
          <w:lang w:val="es-MX" w:eastAsia="en-US"/>
        </w:rPr>
        <w:t xml:space="preserve"> el expediente electrónico formado con motivo del recurso de revisión número </w:t>
      </w:r>
      <w:r w:rsidR="00C40502" w:rsidRPr="00EA7758">
        <w:rPr>
          <w:rFonts w:ascii="Palatino Linotype" w:eastAsiaTheme="minorHAnsi" w:hAnsi="Palatino Linotype" w:cs="Arial"/>
          <w:b/>
          <w:lang w:val="es-MX" w:eastAsia="en-US"/>
        </w:rPr>
        <w:t>11390</w:t>
      </w:r>
      <w:r w:rsidRPr="00EA7758">
        <w:rPr>
          <w:rFonts w:ascii="Palatino Linotype" w:eastAsiaTheme="minorHAnsi" w:hAnsi="Palatino Linotype" w:cs="Arial"/>
          <w:b/>
          <w:bCs/>
          <w:lang w:val="es-MX" w:eastAsia="es-MX"/>
        </w:rPr>
        <w:t>/INFOEM/IP/RR/202</w:t>
      </w:r>
      <w:r w:rsidR="00A83B4F" w:rsidRPr="00EA7758">
        <w:rPr>
          <w:rFonts w:ascii="Palatino Linotype" w:eastAsiaTheme="minorHAnsi" w:hAnsi="Palatino Linotype" w:cs="Arial"/>
          <w:b/>
          <w:bCs/>
          <w:lang w:val="es-MX" w:eastAsia="es-MX"/>
        </w:rPr>
        <w:t>2</w:t>
      </w:r>
      <w:r w:rsidRPr="00EA7758">
        <w:rPr>
          <w:rFonts w:ascii="Palatino Linotype" w:eastAsiaTheme="minorHAnsi" w:hAnsi="Palatino Linotype" w:cs="Arial"/>
          <w:lang w:val="es-MX" w:eastAsia="en-US"/>
        </w:rPr>
        <w:t xml:space="preserve">, </w:t>
      </w:r>
      <w:r w:rsidR="005F1F89" w:rsidRPr="00EA7758">
        <w:rPr>
          <w:rFonts w:ascii="Palatino Linotype" w:hAnsi="Palatino Linotype" w:cs="Arial"/>
        </w:rPr>
        <w:t xml:space="preserve">interpuesto por </w:t>
      </w:r>
      <w:r w:rsidR="00C40502" w:rsidRPr="00EA7758">
        <w:rPr>
          <w:rFonts w:ascii="Palatino Linotype" w:hAnsi="Palatino Linotype" w:cs="Arial"/>
        </w:rPr>
        <w:t>el</w:t>
      </w:r>
      <w:r w:rsidR="005A59B3" w:rsidRPr="00EA7758">
        <w:rPr>
          <w:rFonts w:ascii="Palatino Linotype" w:hAnsi="Palatino Linotype" w:cs="Arial"/>
        </w:rPr>
        <w:t xml:space="preserve"> </w:t>
      </w:r>
      <w:r w:rsidR="009F6688">
        <w:rPr>
          <w:rFonts w:ascii="Palatino Linotype" w:hAnsi="Palatino Linotype" w:cs="Arial"/>
          <w:b/>
        </w:rPr>
        <w:t>XXXXXXXXXXXXXXXXXXX</w:t>
      </w:r>
      <w:bookmarkStart w:id="0" w:name="_GoBack"/>
      <w:bookmarkEnd w:id="0"/>
      <w:r w:rsidR="005F1F89" w:rsidRPr="00EA7758">
        <w:rPr>
          <w:rFonts w:ascii="Palatino Linotype" w:hAnsi="Palatino Linotype" w:cs="Arial"/>
        </w:rPr>
        <w:t>,</w:t>
      </w:r>
      <w:r w:rsidR="005F1F89" w:rsidRPr="00EA7758">
        <w:rPr>
          <w:rFonts w:ascii="Palatino Linotype" w:hAnsi="Palatino Linotype" w:cs="Arial"/>
          <w:b/>
        </w:rPr>
        <w:t xml:space="preserve"> </w:t>
      </w:r>
      <w:r w:rsidR="005F1F89" w:rsidRPr="00EA7758">
        <w:rPr>
          <w:rFonts w:ascii="Palatino Linotype" w:hAnsi="Palatino Linotype" w:cs="Arial"/>
        </w:rPr>
        <w:t xml:space="preserve">en lo sucesivo </w:t>
      </w:r>
      <w:r w:rsidR="00C40502" w:rsidRPr="00EA7758">
        <w:rPr>
          <w:rFonts w:ascii="Palatino Linotype" w:hAnsi="Palatino Linotype" w:cs="Arial"/>
          <w:b/>
        </w:rPr>
        <w:t>El</w:t>
      </w:r>
      <w:r w:rsidR="005F1F89" w:rsidRPr="00EA7758">
        <w:rPr>
          <w:rFonts w:ascii="Palatino Linotype" w:hAnsi="Palatino Linotype" w:cs="Arial"/>
          <w:b/>
        </w:rPr>
        <w:t xml:space="preserve"> Recurrente</w:t>
      </w:r>
      <w:r w:rsidRPr="00EA7758">
        <w:rPr>
          <w:rFonts w:ascii="Palatino Linotype" w:eastAsiaTheme="minorHAnsi" w:hAnsi="Palatino Linotype" w:cs="Arial"/>
          <w:lang w:val="es-MX" w:eastAsia="en-US"/>
        </w:rPr>
        <w:t>, en contra de la respuesta de</w:t>
      </w:r>
      <w:r w:rsidR="00B20C2B" w:rsidRPr="00EA7758">
        <w:rPr>
          <w:rFonts w:ascii="Palatino Linotype" w:eastAsiaTheme="minorHAnsi" w:hAnsi="Palatino Linotype" w:cs="Arial"/>
          <w:lang w:val="es-MX" w:eastAsia="en-US"/>
        </w:rPr>
        <w:t>l</w:t>
      </w:r>
      <w:r w:rsidRPr="00EA7758">
        <w:rPr>
          <w:rFonts w:ascii="Palatino Linotype" w:eastAsiaTheme="minorHAnsi" w:hAnsi="Palatino Linotype" w:cs="Arial"/>
          <w:lang w:val="es-MX" w:eastAsia="en-US"/>
        </w:rPr>
        <w:t xml:space="preserve"> </w:t>
      </w:r>
      <w:r w:rsidR="003B0FAC" w:rsidRPr="00EA7758">
        <w:rPr>
          <w:rFonts w:ascii="Palatino Linotype" w:eastAsiaTheme="minorHAnsi" w:hAnsi="Palatino Linotype" w:cs="Arial"/>
          <w:b/>
          <w:lang w:val="es-MX" w:eastAsia="en-US"/>
        </w:rPr>
        <w:t>Instituto de Transparencia, Acceso a la Información Pública y Protección de Datos Personales del Estado de México y Municipios</w:t>
      </w:r>
      <w:r w:rsidRPr="00EA7758">
        <w:rPr>
          <w:rFonts w:ascii="Palatino Linotype" w:eastAsiaTheme="minorHAnsi" w:hAnsi="Palatino Linotype" w:cs="Arial"/>
          <w:lang w:val="es-MX" w:eastAsia="en-US"/>
        </w:rPr>
        <w:t>,</w:t>
      </w:r>
      <w:r w:rsidRPr="00EA7758">
        <w:rPr>
          <w:rFonts w:ascii="Palatino Linotype" w:eastAsiaTheme="minorHAnsi" w:hAnsi="Palatino Linotype" w:cs="Arial"/>
          <w:b/>
          <w:lang w:val="es-MX" w:eastAsia="en-US"/>
        </w:rPr>
        <w:t xml:space="preserve"> </w:t>
      </w:r>
      <w:r w:rsidRPr="00EA7758">
        <w:rPr>
          <w:rFonts w:ascii="Palatino Linotype" w:eastAsiaTheme="minorHAnsi" w:hAnsi="Palatino Linotype" w:cs="Arial"/>
          <w:lang w:val="es-MX" w:eastAsia="en-US"/>
        </w:rPr>
        <w:t>en lo subsecuente</w:t>
      </w:r>
      <w:r w:rsidRPr="00EA7758">
        <w:rPr>
          <w:rFonts w:ascii="Palatino Linotype" w:eastAsiaTheme="minorHAnsi" w:hAnsi="Palatino Linotype" w:cs="Arial"/>
          <w:b/>
          <w:lang w:val="es-MX" w:eastAsia="en-US"/>
        </w:rPr>
        <w:t xml:space="preserve"> El Sujeto Obligado, </w:t>
      </w:r>
      <w:r w:rsidRPr="00EA7758">
        <w:rPr>
          <w:rFonts w:ascii="Palatino Linotype" w:eastAsiaTheme="minorHAnsi" w:hAnsi="Palatino Linotype" w:cs="Arial"/>
          <w:lang w:val="es-MX" w:eastAsia="en-US"/>
        </w:rPr>
        <w:t>se procede a dictar la presente resolución.</w:t>
      </w:r>
    </w:p>
    <w:p w:rsidR="00C753C2" w:rsidRPr="00EA7758"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C753C2" w:rsidRPr="00EA7758" w:rsidRDefault="0029071C" w:rsidP="003B0FAC">
      <w:pPr>
        <w:spacing w:line="360" w:lineRule="auto"/>
        <w:jc w:val="center"/>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t>A N T E C E D E N T E S</w:t>
      </w:r>
    </w:p>
    <w:p w:rsidR="003B0FAC" w:rsidRPr="00EA7758" w:rsidRDefault="003B0FAC" w:rsidP="003B0FAC">
      <w:pPr>
        <w:spacing w:line="360" w:lineRule="auto"/>
        <w:jc w:val="center"/>
        <w:rPr>
          <w:rFonts w:ascii="Palatino Linotype" w:eastAsiaTheme="minorHAnsi" w:hAnsi="Palatino Linotype" w:cs="Arial"/>
          <w:b/>
          <w:sz w:val="16"/>
          <w:lang w:val="es-MX" w:eastAsia="en-US"/>
        </w:rPr>
      </w:pPr>
    </w:p>
    <w:p w:rsidR="0029071C" w:rsidRPr="00EA7758" w:rsidRDefault="0029071C" w:rsidP="0029071C">
      <w:pPr>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t>PRIMERO. De la solicitud de información.</w:t>
      </w:r>
    </w:p>
    <w:p w:rsidR="004B2314" w:rsidRPr="00EA7758" w:rsidRDefault="0029071C" w:rsidP="009C6853">
      <w:pPr>
        <w:spacing w:line="360" w:lineRule="auto"/>
        <w:jc w:val="both"/>
        <w:rPr>
          <w:rFonts w:ascii="Palatino Linotype" w:eastAsiaTheme="minorHAnsi" w:hAnsi="Palatino Linotype" w:cs="Arial"/>
          <w:szCs w:val="22"/>
          <w:lang w:val="es-MX" w:eastAsia="en-US"/>
        </w:rPr>
      </w:pPr>
      <w:r w:rsidRPr="00EA7758">
        <w:rPr>
          <w:rFonts w:ascii="Palatino Linotype" w:eastAsiaTheme="minorHAnsi" w:hAnsi="Palatino Linotype" w:cs="Arial"/>
          <w:szCs w:val="22"/>
          <w:lang w:val="es-MX" w:eastAsia="en-US"/>
        </w:rPr>
        <w:t xml:space="preserve">En fecha </w:t>
      </w:r>
      <w:r w:rsidR="003B0FAC" w:rsidRPr="00EA7758">
        <w:rPr>
          <w:rFonts w:ascii="Palatino Linotype" w:eastAsiaTheme="minorHAnsi" w:hAnsi="Palatino Linotype" w:cs="Arial"/>
          <w:szCs w:val="22"/>
          <w:lang w:val="es-MX" w:eastAsia="en-US"/>
        </w:rPr>
        <w:t>tres de mayo</w:t>
      </w:r>
      <w:r w:rsidR="005F1F89" w:rsidRPr="00EA7758">
        <w:rPr>
          <w:rFonts w:ascii="Palatino Linotype" w:eastAsiaTheme="minorHAnsi" w:hAnsi="Palatino Linotype" w:cs="Arial"/>
          <w:szCs w:val="22"/>
          <w:lang w:val="es-MX" w:eastAsia="en-US"/>
        </w:rPr>
        <w:t xml:space="preserve"> de dos mil veintidós</w:t>
      </w:r>
      <w:r w:rsidRPr="00EA7758">
        <w:rPr>
          <w:rFonts w:ascii="Palatino Linotype" w:eastAsiaTheme="minorHAnsi" w:hAnsi="Palatino Linotype" w:cs="Arial"/>
          <w:szCs w:val="22"/>
          <w:lang w:val="es-MX" w:eastAsia="en-US"/>
        </w:rPr>
        <w:t xml:space="preserve">, </w:t>
      </w:r>
      <w:r w:rsidR="00BA27FC" w:rsidRPr="00EA7758">
        <w:rPr>
          <w:rFonts w:ascii="Palatino Linotype" w:eastAsiaTheme="minorHAnsi" w:hAnsi="Palatino Linotype" w:cs="Arial"/>
          <w:szCs w:val="22"/>
          <w:lang w:val="es-MX" w:eastAsia="en-US"/>
        </w:rPr>
        <w:t>el</w:t>
      </w:r>
      <w:r w:rsidRPr="00EA7758">
        <w:rPr>
          <w:rFonts w:ascii="Palatino Linotype" w:eastAsiaTheme="minorHAnsi" w:hAnsi="Palatino Linotype" w:cs="Arial"/>
          <w:szCs w:val="22"/>
          <w:lang w:val="es-MX" w:eastAsia="en-US"/>
        </w:rPr>
        <w:t xml:space="preserve"> </w:t>
      </w:r>
      <w:r w:rsidRPr="00EA7758">
        <w:rPr>
          <w:rFonts w:ascii="Palatino Linotype" w:eastAsiaTheme="minorHAnsi" w:hAnsi="Palatino Linotype" w:cs="Arial"/>
          <w:b/>
          <w:szCs w:val="22"/>
          <w:lang w:val="es-MX" w:eastAsia="en-US"/>
        </w:rPr>
        <w:t>Recurrente</w:t>
      </w:r>
      <w:r w:rsidRPr="00EA7758">
        <w:rPr>
          <w:rFonts w:ascii="Palatino Linotype" w:eastAsiaTheme="minorHAnsi" w:hAnsi="Palatino Linotype" w:cs="Arial"/>
          <w:szCs w:val="22"/>
          <w:lang w:val="es-MX" w:eastAsia="en-US"/>
        </w:rPr>
        <w:t>, presentó a través de</w:t>
      </w:r>
      <w:r w:rsidR="009C6853" w:rsidRPr="00EA7758">
        <w:rPr>
          <w:rFonts w:ascii="Palatino Linotype" w:eastAsiaTheme="minorHAnsi" w:hAnsi="Palatino Linotype" w:cs="Arial"/>
          <w:szCs w:val="22"/>
          <w:lang w:val="es-MX" w:eastAsia="en-US"/>
        </w:rPr>
        <w:t xml:space="preserve">l </w:t>
      </w:r>
      <w:r w:rsidRPr="00EA7758">
        <w:rPr>
          <w:rFonts w:ascii="Palatino Linotype" w:eastAsiaTheme="minorHAnsi" w:hAnsi="Palatino Linotype" w:cs="Arial"/>
          <w:szCs w:val="22"/>
          <w:lang w:val="es-MX" w:eastAsia="en-US"/>
        </w:rPr>
        <w:t xml:space="preserve">Sistema de Acceso a la Información Mexiquense </w:t>
      </w:r>
      <w:r w:rsidRPr="00EA7758">
        <w:rPr>
          <w:rFonts w:ascii="Palatino Linotype" w:eastAsiaTheme="minorHAnsi" w:hAnsi="Palatino Linotype" w:cs="Arial"/>
          <w:b/>
          <w:szCs w:val="22"/>
          <w:lang w:val="es-MX" w:eastAsia="en-US"/>
        </w:rPr>
        <w:t>(SAIMEX),</w:t>
      </w:r>
      <w:r w:rsidRPr="00EA7758">
        <w:rPr>
          <w:rFonts w:ascii="Palatino Linotype" w:eastAsiaTheme="minorHAnsi" w:hAnsi="Palatino Linotype" w:cs="Arial"/>
          <w:szCs w:val="22"/>
          <w:lang w:val="es-MX" w:eastAsia="en-US"/>
        </w:rPr>
        <w:t xml:space="preserve"> ante el </w:t>
      </w:r>
      <w:r w:rsidRPr="00EA7758">
        <w:rPr>
          <w:rFonts w:ascii="Palatino Linotype" w:eastAsiaTheme="minorHAnsi" w:hAnsi="Palatino Linotype" w:cs="Arial"/>
          <w:b/>
          <w:szCs w:val="22"/>
          <w:lang w:val="es-MX" w:eastAsia="en-US"/>
        </w:rPr>
        <w:t>Sujeto Obligado</w:t>
      </w:r>
      <w:r w:rsidRPr="00EA7758">
        <w:rPr>
          <w:rFonts w:ascii="Palatino Linotype" w:eastAsiaTheme="minorHAnsi" w:hAnsi="Palatino Linotype" w:cs="Arial"/>
          <w:szCs w:val="22"/>
          <w:lang w:val="es-MX" w:eastAsia="en-US"/>
        </w:rPr>
        <w:t>, la solicitud de acceso a la información pública, a la que se le</w:t>
      </w:r>
      <w:r w:rsidR="00C753C2" w:rsidRPr="00EA7758">
        <w:rPr>
          <w:rFonts w:ascii="Palatino Linotype" w:eastAsiaTheme="minorHAnsi" w:hAnsi="Palatino Linotype" w:cs="Arial"/>
          <w:szCs w:val="22"/>
          <w:lang w:val="es-MX" w:eastAsia="en-US"/>
        </w:rPr>
        <w:t xml:space="preserve"> asignó el número de expediente </w:t>
      </w:r>
      <w:r w:rsidR="00C40502" w:rsidRPr="00EA7758">
        <w:rPr>
          <w:rFonts w:ascii="Palatino Linotype" w:eastAsiaTheme="minorHAnsi" w:hAnsi="Palatino Linotype" w:cs="Arial"/>
          <w:b/>
          <w:szCs w:val="22"/>
          <w:lang w:val="es-MX" w:eastAsia="en-US"/>
        </w:rPr>
        <w:t>00477/INFOEM/IP/2022</w:t>
      </w:r>
      <w:r w:rsidRPr="00EA7758">
        <w:rPr>
          <w:rFonts w:ascii="Palatino Linotype" w:eastAsiaTheme="minorHAnsi" w:hAnsi="Palatino Linotype" w:cs="Arial"/>
          <w:szCs w:val="22"/>
          <w:lang w:val="es-MX" w:eastAsia="en-US"/>
        </w:rPr>
        <w:t>, mediante la cual solicitó lo siguiente:</w:t>
      </w:r>
    </w:p>
    <w:p w:rsidR="009C6853" w:rsidRPr="00EA7758" w:rsidRDefault="009C6853" w:rsidP="009C6853">
      <w:pPr>
        <w:spacing w:line="360" w:lineRule="auto"/>
        <w:jc w:val="both"/>
        <w:rPr>
          <w:rFonts w:ascii="Palatino Linotype" w:eastAsiaTheme="minorHAnsi" w:hAnsi="Palatino Linotype" w:cs="Arial"/>
          <w:sz w:val="8"/>
          <w:szCs w:val="22"/>
          <w:lang w:val="es-MX" w:eastAsia="en-US"/>
        </w:rPr>
      </w:pPr>
    </w:p>
    <w:p w:rsidR="00C753C2" w:rsidRPr="00EA7758" w:rsidRDefault="0029071C" w:rsidP="003B0FAC">
      <w:pPr>
        <w:ind w:left="284" w:right="332"/>
        <w:jc w:val="both"/>
        <w:rPr>
          <w:rFonts w:ascii="Palatino Linotype" w:hAnsi="Palatino Linotype"/>
          <w:i/>
          <w:sz w:val="22"/>
          <w:szCs w:val="22"/>
          <w:lang w:val="es-ES_tradnl"/>
        </w:rPr>
      </w:pPr>
      <w:r w:rsidRPr="00EA7758">
        <w:rPr>
          <w:rFonts w:ascii="Palatino Linotype" w:hAnsi="Palatino Linotype"/>
          <w:i/>
          <w:sz w:val="22"/>
          <w:szCs w:val="22"/>
          <w:lang w:val="es-MX"/>
        </w:rPr>
        <w:t>“</w:t>
      </w:r>
      <w:r w:rsidR="003B0FAC" w:rsidRPr="00EA7758">
        <w:rPr>
          <w:rFonts w:ascii="Palatino Linotype" w:hAnsi="Palatino Linotype"/>
          <w:i/>
          <w:sz w:val="22"/>
          <w:szCs w:val="22"/>
          <w:lang w:val="es-MX" w:eastAsia="es-MX"/>
        </w:rPr>
        <w:t xml:space="preserve">Documento donde conste el fundamento para no publicar sus versiones </w:t>
      </w:r>
      <w:proofErr w:type="spellStart"/>
      <w:r w:rsidR="003B0FAC" w:rsidRPr="00EA7758">
        <w:rPr>
          <w:rFonts w:ascii="Palatino Linotype" w:hAnsi="Palatino Linotype"/>
          <w:i/>
          <w:sz w:val="22"/>
          <w:szCs w:val="22"/>
          <w:lang w:val="es-MX" w:eastAsia="es-MX"/>
        </w:rPr>
        <w:t>publicas</w:t>
      </w:r>
      <w:proofErr w:type="spellEnd"/>
      <w:r w:rsidR="003B0FAC" w:rsidRPr="00EA7758">
        <w:rPr>
          <w:rFonts w:ascii="Palatino Linotype" w:hAnsi="Palatino Linotype"/>
          <w:i/>
          <w:sz w:val="22"/>
          <w:szCs w:val="22"/>
          <w:lang w:val="es-MX" w:eastAsia="es-MX"/>
        </w:rPr>
        <w:t xml:space="preserve"> de las resoluciones, ya que en su portal </w:t>
      </w:r>
      <w:proofErr w:type="spellStart"/>
      <w:r w:rsidR="003B0FAC" w:rsidRPr="00EA7758">
        <w:rPr>
          <w:rFonts w:ascii="Palatino Linotype" w:hAnsi="Palatino Linotype"/>
          <w:i/>
          <w:sz w:val="22"/>
          <w:szCs w:val="22"/>
          <w:lang w:val="es-MX" w:eastAsia="es-MX"/>
        </w:rPr>
        <w:t>ipomex</w:t>
      </w:r>
      <w:proofErr w:type="spellEnd"/>
      <w:r w:rsidR="003B0FAC" w:rsidRPr="00EA7758">
        <w:rPr>
          <w:rFonts w:ascii="Palatino Linotype" w:hAnsi="Palatino Linotype"/>
          <w:i/>
          <w:sz w:val="22"/>
          <w:szCs w:val="22"/>
          <w:lang w:val="es-MX" w:eastAsia="es-MX"/>
        </w:rPr>
        <w:t xml:space="preserve"> dice que no se cuenta con información de esa fracción, o sea no han emitido resoluciones, y en su página de versiones públicas, no están actualizadas, o ustedes pueden violar la ley?</w:t>
      </w:r>
      <w:r w:rsidRPr="00EA7758">
        <w:rPr>
          <w:rFonts w:ascii="Palatino Linotype" w:hAnsi="Palatino Linotype"/>
          <w:i/>
          <w:sz w:val="22"/>
          <w:szCs w:val="22"/>
          <w:lang w:val="es-MX"/>
        </w:rPr>
        <w:t>”</w:t>
      </w:r>
      <w:r w:rsidRPr="00EA7758">
        <w:rPr>
          <w:rFonts w:ascii="Palatino Linotype" w:hAnsi="Palatino Linotype"/>
          <w:i/>
          <w:sz w:val="22"/>
          <w:szCs w:val="22"/>
          <w:lang w:val="es-ES_tradnl"/>
        </w:rPr>
        <w:t xml:space="preserve"> (Sic).</w:t>
      </w:r>
    </w:p>
    <w:p w:rsidR="009C6853" w:rsidRPr="00EA7758" w:rsidRDefault="009C6853" w:rsidP="00C753C2">
      <w:pPr>
        <w:pStyle w:val="Sinespaciado"/>
      </w:pPr>
    </w:p>
    <w:p w:rsidR="00464839" w:rsidRPr="00EA7758"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EA7758">
        <w:rPr>
          <w:rFonts w:ascii="Palatino Linotype" w:hAnsi="Palatino Linotype"/>
          <w:b/>
          <w:lang w:val="es-ES_tradnl"/>
        </w:rPr>
        <w:t>MODALIDAD DE ENTREGA:</w:t>
      </w:r>
      <w:r w:rsidRPr="00EA7758">
        <w:rPr>
          <w:rFonts w:ascii="Palatino Linotype" w:hAnsi="Palatino Linotype"/>
          <w:lang w:val="es-ES_tradnl"/>
        </w:rPr>
        <w:t xml:space="preserve"> </w:t>
      </w:r>
      <w:r w:rsidR="009C6853" w:rsidRPr="00EA7758">
        <w:rPr>
          <w:rFonts w:ascii="Palatino Linotype" w:eastAsiaTheme="minorHAnsi" w:hAnsi="Palatino Linotype" w:cstheme="minorBidi"/>
          <w:color w:val="000000"/>
          <w:lang w:val="es-MX" w:eastAsia="en-US"/>
        </w:rPr>
        <w:t xml:space="preserve">A través del </w:t>
      </w:r>
      <w:r w:rsidRPr="00EA7758">
        <w:rPr>
          <w:rFonts w:ascii="Palatino Linotype" w:eastAsiaTheme="minorHAnsi" w:hAnsi="Palatino Linotype" w:cstheme="minorBidi"/>
          <w:b/>
          <w:color w:val="000000"/>
          <w:lang w:val="es-MX" w:eastAsia="en-US"/>
        </w:rPr>
        <w:t>SAIMEX</w:t>
      </w:r>
      <w:r w:rsidRPr="00EA7758">
        <w:rPr>
          <w:rFonts w:ascii="Palatino Linotype" w:eastAsiaTheme="minorHAnsi" w:hAnsi="Palatino Linotype" w:cstheme="minorBidi"/>
          <w:color w:val="000000"/>
          <w:lang w:val="es-MX" w:eastAsia="en-US"/>
        </w:rPr>
        <w:t>.</w:t>
      </w:r>
    </w:p>
    <w:p w:rsidR="0029071C" w:rsidRPr="00EA7758" w:rsidRDefault="0031472B" w:rsidP="0029071C">
      <w:pPr>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lastRenderedPageBreak/>
        <w:t>SEGUND</w:t>
      </w:r>
      <w:r w:rsidR="0029071C" w:rsidRPr="00EA7758">
        <w:rPr>
          <w:rFonts w:ascii="Palatino Linotype" w:eastAsiaTheme="minorHAnsi" w:hAnsi="Palatino Linotype" w:cs="Arial"/>
          <w:b/>
          <w:sz w:val="28"/>
          <w:lang w:val="es-MX" w:eastAsia="en-US"/>
        </w:rPr>
        <w:t xml:space="preserve">O. De la respuesta del Sujeto Obligado. </w:t>
      </w:r>
    </w:p>
    <w:p w:rsidR="0029071C" w:rsidRPr="00EA7758" w:rsidRDefault="0029071C" w:rsidP="0029071C">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 xml:space="preserve">De las constancias que obran en el sistema SAIMEX, se advierte que en fecha </w:t>
      </w:r>
      <w:r w:rsidR="003B0FAC" w:rsidRPr="00EA7758">
        <w:rPr>
          <w:rFonts w:ascii="Palatino Linotype" w:eastAsiaTheme="minorHAnsi" w:hAnsi="Palatino Linotype" w:cs="Arial"/>
          <w:lang w:val="es-MX" w:eastAsia="en-US"/>
        </w:rPr>
        <w:t>veinticinco de mayo</w:t>
      </w:r>
      <w:r w:rsidR="008150CA" w:rsidRPr="00EA7758">
        <w:rPr>
          <w:rFonts w:ascii="Palatino Linotype" w:eastAsiaTheme="minorHAnsi" w:hAnsi="Palatino Linotype" w:cs="Arial"/>
          <w:lang w:val="es-MX" w:eastAsia="en-US"/>
        </w:rPr>
        <w:t xml:space="preserve"> </w:t>
      </w:r>
      <w:r w:rsidR="005F1F89" w:rsidRPr="00EA7758">
        <w:rPr>
          <w:rFonts w:ascii="Palatino Linotype" w:eastAsiaTheme="minorHAnsi" w:hAnsi="Palatino Linotype" w:cs="Arial"/>
          <w:lang w:val="es-MX" w:eastAsia="en-US"/>
        </w:rPr>
        <w:t>de dos mil veintidós</w:t>
      </w:r>
      <w:r w:rsidRPr="00EA7758">
        <w:rPr>
          <w:rFonts w:ascii="Palatino Linotype" w:eastAsiaTheme="minorHAnsi" w:hAnsi="Palatino Linotype" w:cs="Arial"/>
          <w:lang w:val="es-MX" w:eastAsia="en-US"/>
        </w:rPr>
        <w:t xml:space="preserve">, </w:t>
      </w:r>
      <w:r w:rsidRPr="00EA7758">
        <w:rPr>
          <w:rFonts w:ascii="Palatino Linotype" w:eastAsiaTheme="minorHAnsi" w:hAnsi="Palatino Linotype" w:cs="Arial"/>
          <w:b/>
          <w:lang w:val="es-MX" w:eastAsia="en-US"/>
        </w:rPr>
        <w:t>El Sujeto Obligado</w:t>
      </w:r>
      <w:r w:rsidRPr="00EA7758">
        <w:rPr>
          <w:rFonts w:ascii="Palatino Linotype" w:eastAsiaTheme="minorHAnsi" w:hAnsi="Palatino Linotype" w:cs="Arial"/>
          <w:lang w:val="es-MX" w:eastAsia="en-US"/>
        </w:rPr>
        <w:t xml:space="preserve"> emitió la respuesta en los siguientes términos:</w:t>
      </w:r>
    </w:p>
    <w:p w:rsidR="0029071C" w:rsidRPr="00EA7758" w:rsidRDefault="0029071C" w:rsidP="0029071C">
      <w:pPr>
        <w:rPr>
          <w:lang w:val="es-MX"/>
        </w:rPr>
      </w:pPr>
    </w:p>
    <w:p w:rsidR="003B0FAC" w:rsidRPr="00EA7758" w:rsidRDefault="0029071C" w:rsidP="003B0FAC">
      <w:pPr>
        <w:spacing w:line="276" w:lineRule="auto"/>
        <w:ind w:left="567" w:right="567"/>
        <w:jc w:val="both"/>
        <w:rPr>
          <w:rFonts w:ascii="Palatino Linotype" w:hAnsi="Palatino Linotype"/>
          <w:i/>
          <w:sz w:val="22"/>
          <w:szCs w:val="22"/>
          <w:lang w:val="es-MX" w:eastAsia="es-MX"/>
        </w:rPr>
      </w:pPr>
      <w:r w:rsidRPr="00EA7758">
        <w:rPr>
          <w:rFonts w:ascii="Palatino Linotype" w:hAnsi="Palatino Linotype"/>
          <w:i/>
          <w:sz w:val="22"/>
          <w:szCs w:val="22"/>
          <w:lang w:val="es-MX" w:eastAsia="es-MX"/>
        </w:rPr>
        <w:t>“</w:t>
      </w:r>
      <w:r w:rsidR="003B0FAC" w:rsidRPr="00EA775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B0FAC" w:rsidRPr="00EA7758" w:rsidRDefault="003B0FAC" w:rsidP="003B0FAC">
      <w:pPr>
        <w:spacing w:line="276" w:lineRule="auto"/>
        <w:ind w:left="567" w:right="567"/>
        <w:jc w:val="both"/>
        <w:rPr>
          <w:rFonts w:ascii="Palatino Linotype" w:hAnsi="Palatino Linotype"/>
          <w:i/>
          <w:sz w:val="22"/>
          <w:szCs w:val="22"/>
          <w:lang w:val="es-MX" w:eastAsia="es-MX"/>
        </w:rPr>
      </w:pPr>
    </w:p>
    <w:p w:rsidR="003B0FAC" w:rsidRPr="00EA7758" w:rsidRDefault="003B0FAC" w:rsidP="003B0FAC">
      <w:pPr>
        <w:spacing w:line="276" w:lineRule="auto"/>
        <w:ind w:left="567" w:right="567"/>
        <w:jc w:val="both"/>
        <w:rPr>
          <w:rFonts w:ascii="Palatino Linotype" w:hAnsi="Palatino Linotype"/>
          <w:i/>
          <w:sz w:val="22"/>
          <w:szCs w:val="22"/>
          <w:lang w:val="es-MX" w:eastAsia="es-MX"/>
        </w:rPr>
      </w:pPr>
      <w:r w:rsidRPr="00EA7758">
        <w:rPr>
          <w:rFonts w:ascii="Palatino Linotype" w:hAnsi="Palatino Linotype"/>
          <w:i/>
          <w:sz w:val="22"/>
          <w:szCs w:val="22"/>
          <w:lang w:val="es-MX" w:eastAsia="es-MX"/>
        </w:rPr>
        <w:t>Con fundamento en el artículo 53 fracción II de la Ley de Transparencia y Acceso a la Información Pública del Estado de México y Municipios, se adjunta la respuesta a su solicitud de acceso a la información pública.</w:t>
      </w:r>
    </w:p>
    <w:p w:rsidR="003B0FAC" w:rsidRPr="00EA7758" w:rsidRDefault="003B0FAC" w:rsidP="003B0FAC">
      <w:pPr>
        <w:spacing w:line="276" w:lineRule="auto"/>
        <w:ind w:left="567" w:right="567"/>
        <w:jc w:val="both"/>
        <w:rPr>
          <w:rFonts w:ascii="Palatino Linotype" w:hAnsi="Palatino Linotype"/>
          <w:i/>
          <w:sz w:val="22"/>
          <w:szCs w:val="22"/>
          <w:lang w:val="es-MX" w:eastAsia="es-MX"/>
        </w:rPr>
      </w:pPr>
    </w:p>
    <w:p w:rsidR="003B0FAC" w:rsidRPr="00EA7758" w:rsidRDefault="003B0FAC" w:rsidP="003B0FAC">
      <w:pPr>
        <w:spacing w:line="276" w:lineRule="auto"/>
        <w:ind w:left="567" w:right="567"/>
        <w:jc w:val="both"/>
        <w:rPr>
          <w:rFonts w:ascii="Palatino Linotype" w:hAnsi="Palatino Linotype"/>
          <w:i/>
          <w:sz w:val="22"/>
          <w:szCs w:val="22"/>
          <w:lang w:val="es-MX" w:eastAsia="es-MX"/>
        </w:rPr>
      </w:pPr>
      <w:r w:rsidRPr="00EA7758">
        <w:rPr>
          <w:rFonts w:ascii="Palatino Linotype" w:hAnsi="Palatino Linotype"/>
          <w:i/>
          <w:sz w:val="22"/>
          <w:szCs w:val="22"/>
          <w:lang w:val="es-MX" w:eastAsia="es-MX"/>
        </w:rPr>
        <w:t>ATENTAMENTE</w:t>
      </w:r>
    </w:p>
    <w:p w:rsidR="0029071C" w:rsidRPr="00EA7758" w:rsidRDefault="003B0FAC" w:rsidP="003B0FAC">
      <w:pPr>
        <w:spacing w:line="276" w:lineRule="auto"/>
        <w:ind w:left="567" w:right="567"/>
        <w:jc w:val="both"/>
        <w:rPr>
          <w:rFonts w:ascii="Palatino Linotype" w:hAnsi="Palatino Linotype"/>
          <w:i/>
          <w:sz w:val="22"/>
          <w:szCs w:val="22"/>
          <w:lang w:val="es-MX" w:eastAsia="es-MX"/>
        </w:rPr>
      </w:pPr>
      <w:r w:rsidRPr="00EA7758">
        <w:rPr>
          <w:rFonts w:ascii="Palatino Linotype" w:hAnsi="Palatino Linotype"/>
          <w:i/>
          <w:sz w:val="22"/>
          <w:szCs w:val="22"/>
          <w:lang w:val="es-MX" w:eastAsia="es-MX"/>
        </w:rPr>
        <w:t>Mtro. Juan Salvador V. Hernández Flores</w:t>
      </w:r>
      <w:r w:rsidR="00E74701" w:rsidRPr="00EA7758">
        <w:rPr>
          <w:rFonts w:ascii="Palatino Linotype" w:hAnsi="Palatino Linotype"/>
          <w:i/>
          <w:sz w:val="22"/>
          <w:szCs w:val="22"/>
          <w:lang w:val="es-MX" w:eastAsia="es-MX"/>
        </w:rPr>
        <w:t>” (Sic).</w:t>
      </w:r>
    </w:p>
    <w:p w:rsidR="00DC1583" w:rsidRPr="00EA7758" w:rsidRDefault="00DC1583" w:rsidP="00DC1583">
      <w:pPr>
        <w:ind w:right="567"/>
        <w:jc w:val="both"/>
        <w:rPr>
          <w:rFonts w:ascii="Palatino Linotype" w:hAnsi="Palatino Linotype"/>
          <w:i/>
          <w:sz w:val="14"/>
          <w:szCs w:val="22"/>
          <w:lang w:val="es-MX" w:eastAsia="es-MX"/>
        </w:rPr>
      </w:pPr>
    </w:p>
    <w:p w:rsidR="00B250D7" w:rsidRPr="00EA7758" w:rsidRDefault="00B250D7" w:rsidP="00B250D7">
      <w:pPr>
        <w:pStyle w:val="Sinespaciado"/>
        <w:rPr>
          <w:lang w:eastAsia="es-MX"/>
        </w:rPr>
      </w:pPr>
    </w:p>
    <w:p w:rsidR="005F1F89" w:rsidRPr="00EA7758" w:rsidRDefault="00CF1DF5" w:rsidP="00386D38">
      <w:pPr>
        <w:spacing w:line="360" w:lineRule="auto"/>
        <w:jc w:val="both"/>
        <w:rPr>
          <w:rFonts w:ascii="Palatino Linotype" w:hAnsi="Palatino Linotype"/>
          <w:i/>
          <w:sz w:val="22"/>
          <w:szCs w:val="22"/>
          <w:lang w:val="es-MX" w:eastAsia="es-MX"/>
        </w:rPr>
      </w:pPr>
      <w:r w:rsidRPr="00EA7758">
        <w:rPr>
          <w:rFonts w:ascii="Palatino Linotype" w:eastAsiaTheme="minorHAnsi" w:hAnsi="Palatino Linotype" w:cs="Arial"/>
          <w:lang w:val="es-MX" w:eastAsia="en-US"/>
        </w:rPr>
        <w:t xml:space="preserve">El </w:t>
      </w:r>
      <w:r w:rsidRPr="00EA7758">
        <w:rPr>
          <w:rFonts w:ascii="Palatino Linotype" w:eastAsiaTheme="minorHAnsi" w:hAnsi="Palatino Linotype" w:cs="Arial"/>
          <w:b/>
          <w:lang w:val="es-MX" w:eastAsia="en-US"/>
        </w:rPr>
        <w:t>Sujeto Obligado</w:t>
      </w:r>
      <w:r w:rsidRPr="00EA7758">
        <w:rPr>
          <w:rFonts w:ascii="Palatino Linotype" w:eastAsiaTheme="minorHAnsi" w:hAnsi="Palatino Linotype" w:cs="Arial"/>
          <w:lang w:val="es-MX" w:eastAsia="en-US"/>
        </w:rPr>
        <w:t xml:space="preserve"> adjuntó</w:t>
      </w:r>
      <w:r w:rsidR="005F1F89" w:rsidRPr="00EA7758">
        <w:rPr>
          <w:rFonts w:ascii="Palatino Linotype" w:eastAsiaTheme="minorHAnsi" w:hAnsi="Palatino Linotype" w:cs="Arial"/>
          <w:lang w:val="es-MX" w:eastAsia="en-US"/>
        </w:rPr>
        <w:t xml:space="preserve"> a su respuesta</w:t>
      </w:r>
      <w:r w:rsidR="00DC1583" w:rsidRPr="00EA7758">
        <w:rPr>
          <w:rFonts w:ascii="Palatino Linotype" w:eastAsiaTheme="minorHAnsi" w:hAnsi="Palatino Linotype" w:cs="Arial"/>
          <w:lang w:val="es-MX" w:eastAsia="en-US"/>
        </w:rPr>
        <w:t xml:space="preserve">, </w:t>
      </w:r>
      <w:r w:rsidR="003B0FAC" w:rsidRPr="00EA7758">
        <w:rPr>
          <w:rFonts w:ascii="Palatino Linotype" w:eastAsiaTheme="minorHAnsi" w:hAnsi="Palatino Linotype" w:cs="Arial"/>
          <w:lang w:val="es-MX" w:eastAsia="en-US"/>
        </w:rPr>
        <w:t>el</w:t>
      </w:r>
      <w:r w:rsidR="001D2DE0" w:rsidRPr="00EA7758">
        <w:rPr>
          <w:rFonts w:ascii="Palatino Linotype" w:eastAsiaTheme="minorHAnsi" w:hAnsi="Palatino Linotype" w:cs="Arial"/>
          <w:lang w:val="es-MX" w:eastAsia="en-US"/>
        </w:rPr>
        <w:t xml:space="preserve"> archivo electrónico denominado</w:t>
      </w:r>
      <w:r w:rsidR="00DC1583" w:rsidRPr="00EA7758">
        <w:rPr>
          <w:rFonts w:ascii="Palatino Linotype" w:eastAsiaTheme="minorHAnsi" w:hAnsi="Palatino Linotype" w:cs="Arial"/>
          <w:lang w:val="es-MX" w:eastAsia="en-US"/>
        </w:rPr>
        <w:t xml:space="preserve"> </w:t>
      </w:r>
      <w:r w:rsidR="00DC1583" w:rsidRPr="00EA7758">
        <w:rPr>
          <w:rFonts w:ascii="Palatino Linotype" w:eastAsiaTheme="minorHAnsi" w:hAnsi="Palatino Linotype" w:cs="Arial"/>
          <w:i/>
          <w:lang w:val="es-MX" w:eastAsia="en-US"/>
        </w:rPr>
        <w:t>“</w:t>
      </w:r>
      <w:r w:rsidR="003B0FAC" w:rsidRPr="00EA7758">
        <w:rPr>
          <w:rFonts w:ascii="Palatino Linotype" w:eastAsiaTheme="minorHAnsi" w:hAnsi="Palatino Linotype" w:cs="Arial"/>
          <w:i/>
          <w:lang w:val="es-MX" w:eastAsia="en-US"/>
        </w:rPr>
        <w:t>RespuestaSolicitud00477.zip</w:t>
      </w:r>
      <w:r w:rsidR="00DC1583" w:rsidRPr="00EA7758">
        <w:rPr>
          <w:rFonts w:ascii="Palatino Linotype" w:eastAsiaTheme="minorHAnsi" w:hAnsi="Palatino Linotype" w:cs="Arial"/>
          <w:i/>
          <w:lang w:val="es-MX" w:eastAsia="en-US"/>
        </w:rPr>
        <w:t>”;</w:t>
      </w:r>
      <w:r w:rsidR="00DC1583" w:rsidRPr="00EA7758">
        <w:rPr>
          <w:rFonts w:ascii="Palatino Linotype" w:eastAsiaTheme="minorHAnsi" w:hAnsi="Palatino Linotype" w:cs="Arial"/>
          <w:lang w:val="es-MX" w:eastAsia="en-US"/>
        </w:rPr>
        <w:t xml:space="preserve"> cuyo contenido no se inserta por ser del conocim</w:t>
      </w:r>
      <w:r w:rsidR="001D2DE0" w:rsidRPr="00EA7758">
        <w:rPr>
          <w:rFonts w:ascii="Palatino Linotype" w:eastAsiaTheme="minorHAnsi" w:hAnsi="Palatino Linotype" w:cs="Arial"/>
          <w:lang w:val="es-MX" w:eastAsia="en-US"/>
        </w:rPr>
        <w:t>iento de las partes, sin embargo, será</w:t>
      </w:r>
      <w:r w:rsidR="00DC1583" w:rsidRPr="00EA7758">
        <w:rPr>
          <w:rFonts w:ascii="Palatino Linotype" w:eastAsiaTheme="minorHAnsi" w:hAnsi="Palatino Linotype" w:cs="Arial"/>
          <w:lang w:val="es-MX" w:eastAsia="en-US"/>
        </w:rPr>
        <w:t xml:space="preserve"> motivo de estudio en el Considerado respectivo. </w:t>
      </w:r>
    </w:p>
    <w:p w:rsidR="00464839" w:rsidRPr="00EA7758" w:rsidRDefault="00464839" w:rsidP="0029071C">
      <w:pPr>
        <w:spacing w:line="360" w:lineRule="auto"/>
        <w:jc w:val="both"/>
        <w:rPr>
          <w:rFonts w:ascii="Palatino Linotype" w:eastAsiaTheme="minorHAnsi" w:hAnsi="Palatino Linotype" w:cs="Arial"/>
          <w:b/>
          <w:lang w:val="es-MX" w:eastAsia="en-US"/>
        </w:rPr>
      </w:pPr>
    </w:p>
    <w:p w:rsidR="0029071C" w:rsidRPr="00EA7758" w:rsidRDefault="0031472B" w:rsidP="0029071C">
      <w:pPr>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t>TERCER</w:t>
      </w:r>
      <w:r w:rsidR="0029071C" w:rsidRPr="00EA7758">
        <w:rPr>
          <w:rFonts w:ascii="Palatino Linotype" w:eastAsiaTheme="minorHAnsi" w:hAnsi="Palatino Linotype" w:cs="Arial"/>
          <w:b/>
          <w:sz w:val="28"/>
          <w:lang w:val="es-MX" w:eastAsia="en-US"/>
        </w:rPr>
        <w:t>O. Del recurso de revisión.</w:t>
      </w:r>
    </w:p>
    <w:p w:rsidR="0029071C" w:rsidRPr="00EA7758" w:rsidRDefault="0029071C" w:rsidP="00B250D7">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 xml:space="preserve">Inconforme con la respuesta por parte del </w:t>
      </w:r>
      <w:r w:rsidRPr="00EA7758">
        <w:rPr>
          <w:rFonts w:ascii="Palatino Linotype" w:eastAsiaTheme="minorHAnsi" w:hAnsi="Palatino Linotype" w:cs="Arial"/>
          <w:b/>
          <w:lang w:val="es-MX" w:eastAsia="en-US"/>
        </w:rPr>
        <w:t>Sujeto Obligado</w:t>
      </w:r>
      <w:r w:rsidRPr="00EA7758">
        <w:rPr>
          <w:rFonts w:ascii="Palatino Linotype" w:eastAsiaTheme="minorHAnsi" w:hAnsi="Palatino Linotype" w:cs="Arial"/>
          <w:lang w:val="es-MX" w:eastAsia="en-US"/>
        </w:rPr>
        <w:t xml:space="preserve">, </w:t>
      </w:r>
      <w:r w:rsidR="00BA27FC" w:rsidRPr="00EA7758">
        <w:rPr>
          <w:rFonts w:ascii="Palatino Linotype" w:eastAsiaTheme="minorHAnsi" w:hAnsi="Palatino Linotype" w:cs="Arial"/>
          <w:lang w:val="es-MX" w:eastAsia="en-US"/>
        </w:rPr>
        <w:t>el</w:t>
      </w:r>
      <w:r w:rsidRPr="00EA7758">
        <w:rPr>
          <w:rFonts w:ascii="Palatino Linotype" w:eastAsiaTheme="minorHAnsi" w:hAnsi="Palatino Linotype" w:cs="Arial"/>
          <w:lang w:val="es-MX" w:eastAsia="en-US"/>
        </w:rPr>
        <w:t xml:space="preserve"> ahora </w:t>
      </w:r>
      <w:r w:rsidRPr="00EA7758">
        <w:rPr>
          <w:rFonts w:ascii="Palatino Linotype" w:eastAsiaTheme="minorHAnsi" w:hAnsi="Palatino Linotype" w:cs="Arial"/>
          <w:b/>
          <w:lang w:val="es-MX" w:eastAsia="en-US"/>
        </w:rPr>
        <w:t>Recurrente</w:t>
      </w:r>
      <w:r w:rsidRPr="00EA7758">
        <w:rPr>
          <w:rFonts w:ascii="Palatino Linotype" w:eastAsiaTheme="minorHAnsi" w:hAnsi="Palatino Linotype" w:cs="Arial"/>
          <w:lang w:val="es-MX" w:eastAsia="en-US"/>
        </w:rPr>
        <w:t xml:space="preserve"> interpuso el presente recurso de revisión en fecha </w:t>
      </w:r>
      <w:r w:rsidR="003B0FAC" w:rsidRPr="00EA7758">
        <w:rPr>
          <w:rFonts w:ascii="Palatino Linotype" w:eastAsiaTheme="minorHAnsi" w:hAnsi="Palatino Linotype" w:cs="Arial"/>
          <w:lang w:val="es-MX" w:eastAsia="en-US"/>
        </w:rPr>
        <w:t>quince de junio</w:t>
      </w:r>
      <w:r w:rsidR="00B250D7" w:rsidRPr="00EA7758">
        <w:rPr>
          <w:rFonts w:ascii="Palatino Linotype" w:eastAsiaTheme="minorHAnsi" w:hAnsi="Palatino Linotype" w:cs="Arial"/>
          <w:lang w:val="es-MX" w:eastAsia="en-US"/>
        </w:rPr>
        <w:t xml:space="preserve"> de dos mil veintidós</w:t>
      </w:r>
      <w:r w:rsidRPr="00EA7758">
        <w:rPr>
          <w:rFonts w:ascii="Palatino Linotype" w:eastAsiaTheme="minorHAnsi" w:hAnsi="Palatino Linotype" w:cs="Arial"/>
          <w:lang w:val="es-MX" w:eastAsia="en-US"/>
        </w:rPr>
        <w:t>, el cual fue registrado</w:t>
      </w:r>
      <w:r w:rsidRPr="00EA7758">
        <w:rPr>
          <w:rFonts w:ascii="Palatino Linotype" w:eastAsiaTheme="minorHAnsi" w:hAnsi="Palatino Linotype" w:cs="Arial"/>
          <w:b/>
          <w:lang w:val="es-MX" w:eastAsia="en-US"/>
        </w:rPr>
        <w:t xml:space="preserve"> </w:t>
      </w:r>
      <w:r w:rsidRPr="00EA7758">
        <w:rPr>
          <w:rFonts w:ascii="Palatino Linotype" w:eastAsiaTheme="minorHAnsi" w:hAnsi="Palatino Linotype" w:cs="Arial"/>
          <w:lang w:val="es-MX" w:eastAsia="en-US"/>
        </w:rPr>
        <w:t xml:space="preserve">en el sistema electrónico con el expediente número </w:t>
      </w:r>
      <w:r w:rsidR="003B0FAC" w:rsidRPr="00EA7758">
        <w:rPr>
          <w:rFonts w:ascii="Palatino Linotype" w:eastAsiaTheme="minorHAnsi" w:hAnsi="Palatino Linotype" w:cs="Arial"/>
          <w:b/>
          <w:bCs/>
          <w:lang w:val="es-MX" w:eastAsia="es-MX"/>
        </w:rPr>
        <w:t>11390</w:t>
      </w:r>
      <w:r w:rsidR="00B250D7" w:rsidRPr="00EA7758">
        <w:rPr>
          <w:rFonts w:ascii="Palatino Linotype" w:eastAsiaTheme="minorHAnsi" w:hAnsi="Palatino Linotype" w:cs="Arial"/>
          <w:b/>
          <w:bCs/>
          <w:lang w:val="es-MX" w:eastAsia="es-MX"/>
        </w:rPr>
        <w:t>/INFOEM/IP/RR/2022</w:t>
      </w:r>
      <w:r w:rsidRPr="00EA7758">
        <w:rPr>
          <w:rFonts w:ascii="Palatino Linotype" w:eastAsiaTheme="minorHAnsi" w:hAnsi="Palatino Linotype" w:cs="Arial"/>
          <w:lang w:val="es-MX" w:eastAsia="en-US"/>
        </w:rPr>
        <w:t>, en el cual aduce, las siguientes manifestaciones:</w:t>
      </w:r>
    </w:p>
    <w:p w:rsidR="002D6E4B" w:rsidRPr="00EA7758" w:rsidRDefault="002D6E4B" w:rsidP="00B250D7">
      <w:pPr>
        <w:pStyle w:val="Sinespaciado"/>
        <w:rPr>
          <w:sz w:val="14"/>
        </w:rPr>
      </w:pPr>
    </w:p>
    <w:p w:rsidR="0029071C" w:rsidRPr="00EA7758" w:rsidRDefault="0029071C" w:rsidP="00B250D7">
      <w:pPr>
        <w:rPr>
          <w:lang w:val="es-MX"/>
        </w:rPr>
      </w:pPr>
    </w:p>
    <w:p w:rsidR="0029071C" w:rsidRPr="00EA7758" w:rsidRDefault="0029071C" w:rsidP="007A37FE">
      <w:pPr>
        <w:numPr>
          <w:ilvl w:val="0"/>
          <w:numId w:val="1"/>
        </w:numPr>
        <w:spacing w:line="259" w:lineRule="auto"/>
        <w:jc w:val="both"/>
        <w:rPr>
          <w:rFonts w:ascii="Palatino Linotype" w:hAnsi="Palatino Linotype" w:cs="Arial"/>
          <w:b/>
          <w:sz w:val="26"/>
          <w:szCs w:val="26"/>
        </w:rPr>
      </w:pPr>
      <w:r w:rsidRPr="00EA7758">
        <w:rPr>
          <w:rFonts w:ascii="Palatino Linotype" w:hAnsi="Palatino Linotype" w:cs="Arial"/>
          <w:b/>
          <w:sz w:val="26"/>
          <w:szCs w:val="26"/>
        </w:rPr>
        <w:lastRenderedPageBreak/>
        <w:t>Acto Impugnado:</w:t>
      </w:r>
    </w:p>
    <w:p w:rsidR="00DC1583" w:rsidRPr="00EA7758"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EA7758">
        <w:rPr>
          <w:rFonts w:ascii="Palatino Linotype" w:eastAsiaTheme="minorHAnsi" w:hAnsi="Palatino Linotype" w:cstheme="minorBidi"/>
          <w:i/>
          <w:color w:val="000000"/>
          <w:sz w:val="22"/>
          <w:szCs w:val="22"/>
          <w:lang w:val="es-MX" w:eastAsia="en-US"/>
        </w:rPr>
        <w:t>“</w:t>
      </w:r>
      <w:r w:rsidR="003B0FAC" w:rsidRPr="00EA7758">
        <w:rPr>
          <w:rFonts w:ascii="Palatino Linotype" w:eastAsiaTheme="minorHAnsi" w:hAnsi="Palatino Linotype" w:cstheme="minorBidi"/>
          <w:i/>
          <w:color w:val="000000"/>
          <w:sz w:val="22"/>
          <w:szCs w:val="22"/>
          <w:lang w:val="es-MX" w:eastAsia="en-US"/>
        </w:rPr>
        <w:t xml:space="preserve">no </w:t>
      </w:r>
      <w:proofErr w:type="spellStart"/>
      <w:r w:rsidR="003B0FAC" w:rsidRPr="00EA7758">
        <w:rPr>
          <w:rFonts w:ascii="Palatino Linotype" w:eastAsiaTheme="minorHAnsi" w:hAnsi="Palatino Linotype" w:cstheme="minorBidi"/>
          <w:i/>
          <w:color w:val="000000"/>
          <w:sz w:val="22"/>
          <w:szCs w:val="22"/>
          <w:lang w:val="es-MX" w:eastAsia="en-US"/>
        </w:rPr>
        <w:t>estan</w:t>
      </w:r>
      <w:proofErr w:type="spellEnd"/>
      <w:r w:rsidR="003B0FAC" w:rsidRPr="00EA7758">
        <w:rPr>
          <w:rFonts w:ascii="Palatino Linotype" w:eastAsiaTheme="minorHAnsi" w:hAnsi="Palatino Linotype" w:cstheme="minorBidi"/>
          <w:i/>
          <w:color w:val="000000"/>
          <w:sz w:val="22"/>
          <w:szCs w:val="22"/>
          <w:lang w:val="es-MX" w:eastAsia="en-US"/>
        </w:rPr>
        <w:t xml:space="preserve"> publicadas todas las resoluciones</w:t>
      </w:r>
      <w:r w:rsidRPr="00EA7758">
        <w:rPr>
          <w:rFonts w:ascii="Palatino Linotype" w:eastAsiaTheme="minorHAnsi" w:hAnsi="Palatino Linotype" w:cstheme="minorBidi"/>
          <w:i/>
          <w:color w:val="000000"/>
          <w:sz w:val="22"/>
          <w:szCs w:val="22"/>
          <w:lang w:val="es-MX" w:eastAsia="en-US"/>
        </w:rPr>
        <w:t>” (Sic).</w:t>
      </w:r>
    </w:p>
    <w:p w:rsidR="002D6E4B" w:rsidRPr="00EA7758" w:rsidRDefault="002D6E4B" w:rsidP="00F712EE">
      <w:pPr>
        <w:spacing w:line="276" w:lineRule="auto"/>
        <w:ind w:left="284"/>
        <w:jc w:val="both"/>
        <w:rPr>
          <w:rFonts w:ascii="Palatino Linotype" w:hAnsi="Palatino Linotype"/>
          <w:i/>
          <w:sz w:val="22"/>
          <w:szCs w:val="22"/>
          <w:lang w:val="es-MX" w:eastAsia="es-MX"/>
        </w:rPr>
      </w:pPr>
    </w:p>
    <w:p w:rsidR="0029071C" w:rsidRPr="00EA7758" w:rsidRDefault="0029071C" w:rsidP="007A37FE">
      <w:pPr>
        <w:pStyle w:val="Prrafodelista"/>
        <w:numPr>
          <w:ilvl w:val="0"/>
          <w:numId w:val="1"/>
        </w:numPr>
        <w:jc w:val="both"/>
        <w:rPr>
          <w:rFonts w:ascii="Palatino Linotype" w:hAnsi="Palatino Linotype"/>
          <w:i/>
          <w:sz w:val="26"/>
          <w:szCs w:val="26"/>
          <w:lang w:val="es-MX" w:eastAsia="es-MX"/>
        </w:rPr>
      </w:pPr>
      <w:r w:rsidRPr="00EA7758">
        <w:rPr>
          <w:rFonts w:ascii="Palatino Linotype" w:hAnsi="Palatino Linotype" w:cs="Arial"/>
          <w:b/>
          <w:sz w:val="26"/>
          <w:szCs w:val="26"/>
        </w:rPr>
        <w:t>Razones o Motivos de Inconformidad</w:t>
      </w:r>
      <w:r w:rsidRPr="00EA7758">
        <w:rPr>
          <w:rFonts w:ascii="Palatino Linotype" w:hAnsi="Palatino Linotype" w:cs="Arial"/>
          <w:sz w:val="26"/>
          <w:szCs w:val="26"/>
        </w:rPr>
        <w:t xml:space="preserve">: </w:t>
      </w:r>
    </w:p>
    <w:p w:rsidR="00E74701" w:rsidRPr="00EA7758" w:rsidRDefault="0029071C" w:rsidP="001D2DE0">
      <w:pPr>
        <w:spacing w:line="276" w:lineRule="auto"/>
        <w:ind w:left="284"/>
        <w:jc w:val="both"/>
        <w:rPr>
          <w:rFonts w:ascii="Palatino Linotype" w:hAnsi="Palatino Linotype"/>
          <w:i/>
          <w:sz w:val="22"/>
          <w:szCs w:val="22"/>
          <w:lang w:val="es-MX" w:eastAsia="es-MX"/>
        </w:rPr>
      </w:pPr>
      <w:r w:rsidRPr="00EA7758">
        <w:rPr>
          <w:rFonts w:ascii="Palatino Linotype" w:eastAsiaTheme="minorHAnsi" w:hAnsi="Palatino Linotype" w:cs="Arial"/>
          <w:i/>
          <w:sz w:val="22"/>
          <w:szCs w:val="22"/>
          <w:lang w:val="es-MX" w:eastAsia="en-US"/>
        </w:rPr>
        <w:t>“</w:t>
      </w:r>
      <w:r w:rsidR="003B0FAC" w:rsidRPr="00EA7758">
        <w:rPr>
          <w:rFonts w:ascii="Palatino Linotype" w:eastAsiaTheme="minorHAnsi" w:hAnsi="Palatino Linotype" w:cstheme="minorBidi"/>
          <w:i/>
          <w:color w:val="000000"/>
          <w:sz w:val="22"/>
          <w:szCs w:val="22"/>
          <w:lang w:val="es-MX" w:eastAsia="en-US"/>
        </w:rPr>
        <w:t xml:space="preserve">no </w:t>
      </w:r>
      <w:proofErr w:type="spellStart"/>
      <w:r w:rsidR="003B0FAC" w:rsidRPr="00EA7758">
        <w:rPr>
          <w:rFonts w:ascii="Palatino Linotype" w:eastAsiaTheme="minorHAnsi" w:hAnsi="Palatino Linotype" w:cstheme="minorBidi"/>
          <w:i/>
          <w:color w:val="000000"/>
          <w:sz w:val="22"/>
          <w:szCs w:val="22"/>
          <w:lang w:val="es-MX" w:eastAsia="en-US"/>
        </w:rPr>
        <w:t>estan</w:t>
      </w:r>
      <w:proofErr w:type="spellEnd"/>
      <w:r w:rsidR="003B0FAC" w:rsidRPr="00EA7758">
        <w:rPr>
          <w:rFonts w:ascii="Palatino Linotype" w:eastAsiaTheme="minorHAnsi" w:hAnsi="Palatino Linotype" w:cstheme="minorBidi"/>
          <w:i/>
          <w:color w:val="000000"/>
          <w:sz w:val="22"/>
          <w:szCs w:val="22"/>
          <w:lang w:val="es-MX" w:eastAsia="en-US"/>
        </w:rPr>
        <w:t xml:space="preserve"> publicadas todas las resoluciones</w:t>
      </w:r>
      <w:r w:rsidRPr="00EA7758">
        <w:rPr>
          <w:rFonts w:ascii="Palatino Linotype" w:eastAsiaTheme="minorHAnsi" w:hAnsi="Palatino Linotype" w:cstheme="minorBidi"/>
          <w:i/>
          <w:color w:val="000000"/>
          <w:sz w:val="22"/>
          <w:szCs w:val="22"/>
          <w:lang w:val="es-MX" w:eastAsia="en-US"/>
        </w:rPr>
        <w:t>” (Sic)</w:t>
      </w:r>
    </w:p>
    <w:p w:rsidR="004A7F7D" w:rsidRPr="00EA7758" w:rsidRDefault="004A7F7D" w:rsidP="0029071C">
      <w:pPr>
        <w:spacing w:line="360" w:lineRule="auto"/>
        <w:jc w:val="both"/>
        <w:rPr>
          <w:rFonts w:ascii="Palatino Linotype" w:eastAsiaTheme="minorHAnsi" w:hAnsi="Palatino Linotype" w:cs="Arial"/>
          <w:b/>
          <w:lang w:val="es-MX" w:eastAsia="en-US"/>
        </w:rPr>
      </w:pPr>
    </w:p>
    <w:p w:rsidR="0029071C" w:rsidRPr="00EA7758" w:rsidRDefault="0031472B" w:rsidP="0029071C">
      <w:pPr>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t>CUAR</w:t>
      </w:r>
      <w:r w:rsidR="00B250D7" w:rsidRPr="00EA7758">
        <w:rPr>
          <w:rFonts w:ascii="Palatino Linotype" w:eastAsiaTheme="minorHAnsi" w:hAnsi="Palatino Linotype" w:cs="Arial"/>
          <w:b/>
          <w:sz w:val="28"/>
          <w:lang w:val="es-MX" w:eastAsia="en-US"/>
        </w:rPr>
        <w:t>T</w:t>
      </w:r>
      <w:r w:rsidR="0029071C" w:rsidRPr="00EA7758">
        <w:rPr>
          <w:rFonts w:ascii="Palatino Linotype" w:eastAsiaTheme="minorHAnsi" w:hAnsi="Palatino Linotype" w:cs="Arial"/>
          <w:b/>
          <w:sz w:val="28"/>
          <w:lang w:val="es-MX" w:eastAsia="en-US"/>
        </w:rPr>
        <w:t>O. Del turno del recurso de revisión.</w:t>
      </w:r>
    </w:p>
    <w:p w:rsidR="00B250D7" w:rsidRPr="00EA7758" w:rsidRDefault="0029071C" w:rsidP="00DC1583">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 xml:space="preserve">Medio de impugnación </w:t>
      </w:r>
      <w:r w:rsidR="00E74701" w:rsidRPr="00EA7758">
        <w:rPr>
          <w:rFonts w:ascii="Palatino Linotype" w:eastAsiaTheme="minorHAnsi" w:hAnsi="Palatino Linotype" w:cs="Arial"/>
          <w:lang w:val="es-MX" w:eastAsia="en-US"/>
        </w:rPr>
        <w:t>que le fue turnado al</w:t>
      </w:r>
      <w:r w:rsidRPr="00EA7758">
        <w:rPr>
          <w:rFonts w:ascii="Palatino Linotype" w:eastAsiaTheme="minorHAnsi" w:hAnsi="Palatino Linotype" w:cs="Arial"/>
          <w:lang w:val="es-MX" w:eastAsia="en-US"/>
        </w:rPr>
        <w:t xml:space="preserve"> </w:t>
      </w:r>
      <w:r w:rsidR="00E74701" w:rsidRPr="00EA7758">
        <w:rPr>
          <w:rFonts w:ascii="Palatino Linotype" w:eastAsiaTheme="minorHAnsi" w:hAnsi="Palatino Linotype" w:cs="Arial"/>
          <w:lang w:val="es-MX" w:eastAsia="en-US"/>
        </w:rPr>
        <w:t>Comisionado Presidente</w:t>
      </w:r>
      <w:r w:rsidRPr="00EA7758">
        <w:rPr>
          <w:rFonts w:ascii="Palatino Linotype" w:eastAsiaTheme="minorHAnsi" w:hAnsi="Palatino Linotype" w:cs="Arial"/>
          <w:lang w:val="es-MX" w:eastAsia="en-US"/>
        </w:rPr>
        <w:t xml:space="preserve"> </w:t>
      </w:r>
      <w:r w:rsidR="00E74701" w:rsidRPr="00EA7758">
        <w:rPr>
          <w:rFonts w:ascii="Palatino Linotype" w:eastAsiaTheme="minorHAnsi" w:hAnsi="Palatino Linotype" w:cs="Arial"/>
          <w:b/>
          <w:lang w:val="es-MX" w:eastAsia="en-US"/>
        </w:rPr>
        <w:t>José Martínez Vilchis</w:t>
      </w:r>
      <w:r w:rsidRPr="00EA775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B0FAC" w:rsidRPr="00EA7758">
        <w:rPr>
          <w:rFonts w:ascii="Palatino Linotype" w:eastAsiaTheme="minorHAnsi" w:hAnsi="Palatino Linotype" w:cs="Arial"/>
          <w:lang w:val="es-MX" w:eastAsia="en-US"/>
        </w:rPr>
        <w:t>veintiuno</w:t>
      </w:r>
      <w:r w:rsidR="00386D38" w:rsidRPr="00EA7758">
        <w:rPr>
          <w:rFonts w:ascii="Palatino Linotype" w:eastAsiaTheme="minorHAnsi" w:hAnsi="Palatino Linotype" w:cs="Arial"/>
          <w:lang w:val="es-MX" w:eastAsia="en-US"/>
        </w:rPr>
        <w:t xml:space="preserve"> de </w:t>
      </w:r>
      <w:r w:rsidR="003B0FAC" w:rsidRPr="00EA7758">
        <w:rPr>
          <w:rFonts w:ascii="Palatino Linotype" w:eastAsiaTheme="minorHAnsi" w:hAnsi="Palatino Linotype" w:cs="Arial"/>
          <w:lang w:val="es-MX" w:eastAsia="en-US"/>
        </w:rPr>
        <w:t>juni</w:t>
      </w:r>
      <w:r w:rsidR="00386D38" w:rsidRPr="00EA7758">
        <w:rPr>
          <w:rFonts w:ascii="Palatino Linotype" w:eastAsiaTheme="minorHAnsi" w:hAnsi="Palatino Linotype" w:cs="Arial"/>
          <w:lang w:val="es-MX" w:eastAsia="en-US"/>
        </w:rPr>
        <w:t>o</w:t>
      </w:r>
      <w:r w:rsidR="00BA27FC" w:rsidRPr="00EA7758">
        <w:rPr>
          <w:rFonts w:ascii="Palatino Linotype" w:eastAsiaTheme="minorHAnsi" w:hAnsi="Palatino Linotype" w:cs="Arial"/>
          <w:lang w:val="es-MX" w:eastAsia="en-US"/>
        </w:rPr>
        <w:t xml:space="preserve"> de</w:t>
      </w:r>
      <w:r w:rsidRPr="00EA7758">
        <w:rPr>
          <w:rFonts w:ascii="Palatino Linotype" w:eastAsiaTheme="minorHAnsi" w:hAnsi="Palatino Linotype" w:cs="Arial"/>
          <w:lang w:val="es-MX" w:eastAsia="en-US"/>
        </w:rPr>
        <w:t xml:space="preserve"> </w:t>
      </w:r>
      <w:r w:rsidR="002D6E4B" w:rsidRPr="00EA7758">
        <w:rPr>
          <w:rFonts w:ascii="Palatino Linotype" w:eastAsiaTheme="minorHAnsi" w:hAnsi="Palatino Linotype" w:cs="Arial"/>
          <w:lang w:val="es-MX" w:eastAsia="en-US"/>
        </w:rPr>
        <w:t>dos mil veintidós</w:t>
      </w:r>
      <w:r w:rsidRPr="00EA775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EA7758" w:rsidRDefault="00BA27FC" w:rsidP="00DC1583">
      <w:pPr>
        <w:spacing w:line="360" w:lineRule="auto"/>
        <w:jc w:val="both"/>
        <w:rPr>
          <w:rFonts w:ascii="Palatino Linotype" w:eastAsiaTheme="minorHAnsi" w:hAnsi="Palatino Linotype" w:cs="Arial"/>
          <w:lang w:val="es-MX" w:eastAsia="en-US"/>
        </w:rPr>
      </w:pPr>
    </w:p>
    <w:p w:rsidR="0029071C" w:rsidRPr="00EA7758" w:rsidRDefault="0031472B" w:rsidP="0029071C">
      <w:pPr>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t>QUIN</w:t>
      </w:r>
      <w:r w:rsidR="00B250D7" w:rsidRPr="00EA7758">
        <w:rPr>
          <w:rFonts w:ascii="Palatino Linotype" w:eastAsiaTheme="minorHAnsi" w:hAnsi="Palatino Linotype" w:cs="Arial"/>
          <w:b/>
          <w:sz w:val="28"/>
          <w:lang w:val="es-MX" w:eastAsia="en-US"/>
        </w:rPr>
        <w:t>T</w:t>
      </w:r>
      <w:r w:rsidR="0029071C" w:rsidRPr="00EA7758">
        <w:rPr>
          <w:rFonts w:ascii="Palatino Linotype" w:eastAsiaTheme="minorHAnsi" w:hAnsi="Palatino Linotype" w:cs="Arial"/>
          <w:b/>
          <w:sz w:val="28"/>
          <w:lang w:val="es-MX" w:eastAsia="en-US"/>
        </w:rPr>
        <w:t>O. De la etapa de manifestaciones y/o alegatos.</w:t>
      </w:r>
    </w:p>
    <w:p w:rsidR="00B250D7" w:rsidRPr="00EA7758" w:rsidRDefault="00CF1DF5" w:rsidP="00A26BD8">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U</w:t>
      </w:r>
      <w:r w:rsidR="0029071C" w:rsidRPr="00EA7758">
        <w:rPr>
          <w:rFonts w:ascii="Palatino Linotype" w:eastAsiaTheme="minorHAnsi" w:hAnsi="Palatino Linotype" w:cs="Arial"/>
          <w:lang w:val="es-MX" w:eastAsia="en-US"/>
        </w:rPr>
        <w:t>na vez transcurrido el término legal referido se destaca que</w:t>
      </w:r>
      <w:r w:rsidR="00267458" w:rsidRPr="00EA7758">
        <w:rPr>
          <w:rFonts w:ascii="Palatino Linotype" w:eastAsiaTheme="minorHAnsi" w:hAnsi="Palatino Linotype" w:cs="Arial"/>
          <w:lang w:val="es-MX" w:eastAsia="en-US"/>
        </w:rPr>
        <w:t>,</w:t>
      </w:r>
      <w:r w:rsidR="0029071C" w:rsidRPr="00EA7758">
        <w:rPr>
          <w:rFonts w:ascii="Palatino Linotype" w:eastAsiaTheme="minorHAnsi" w:hAnsi="Palatino Linotype" w:cs="Arial"/>
          <w:lang w:val="es-MX" w:eastAsia="en-US"/>
        </w:rPr>
        <w:t xml:space="preserve"> </w:t>
      </w:r>
      <w:r w:rsidR="0029071C" w:rsidRPr="00EA7758">
        <w:rPr>
          <w:rFonts w:ascii="Palatino Linotype" w:eastAsiaTheme="minorHAnsi" w:hAnsi="Palatino Linotype" w:cs="Arial"/>
          <w:b/>
          <w:lang w:val="es-MX" w:eastAsia="en-US"/>
        </w:rPr>
        <w:t>El Sujeto Obligado</w:t>
      </w:r>
      <w:r w:rsidR="0029071C" w:rsidRPr="00EA7758">
        <w:rPr>
          <w:rFonts w:ascii="Palatino Linotype" w:eastAsiaTheme="minorHAnsi" w:hAnsi="Palatino Linotype" w:cs="Arial"/>
          <w:lang w:val="es-MX" w:eastAsia="en-US"/>
        </w:rPr>
        <w:t xml:space="preserve"> </w:t>
      </w:r>
      <w:r w:rsidR="008150CA" w:rsidRPr="00EA7758">
        <w:rPr>
          <w:rFonts w:ascii="Palatino Linotype" w:eastAsiaTheme="minorHAnsi" w:hAnsi="Palatino Linotype" w:cs="Arial"/>
          <w:lang w:val="es-MX" w:eastAsia="en-US"/>
        </w:rPr>
        <w:t xml:space="preserve">en fecha </w:t>
      </w:r>
      <w:r w:rsidR="00E7051C" w:rsidRPr="00EA7758">
        <w:rPr>
          <w:rFonts w:ascii="Palatino Linotype" w:eastAsiaTheme="minorHAnsi" w:hAnsi="Palatino Linotype" w:cs="Arial"/>
          <w:lang w:val="es-MX" w:eastAsia="en-US"/>
        </w:rPr>
        <w:t xml:space="preserve">veintisiete y </w:t>
      </w:r>
      <w:r w:rsidR="003B0FAC" w:rsidRPr="00EA7758">
        <w:rPr>
          <w:rFonts w:ascii="Palatino Linotype" w:eastAsiaTheme="minorHAnsi" w:hAnsi="Palatino Linotype" w:cs="Arial"/>
          <w:lang w:val="es-MX" w:eastAsia="en-US"/>
        </w:rPr>
        <w:t>treinta de junio</w:t>
      </w:r>
      <w:r w:rsidR="008150CA" w:rsidRPr="00EA7758">
        <w:rPr>
          <w:rFonts w:ascii="Palatino Linotype" w:eastAsiaTheme="minorHAnsi" w:hAnsi="Palatino Linotype" w:cs="Arial"/>
          <w:lang w:val="es-MX" w:eastAsia="en-US"/>
        </w:rPr>
        <w:t xml:space="preserve"> de dos mil veintidós, remitió</w:t>
      </w:r>
      <w:r w:rsidR="00386D38" w:rsidRPr="00EA7758">
        <w:rPr>
          <w:rFonts w:ascii="Palatino Linotype" w:eastAsiaTheme="minorHAnsi" w:hAnsi="Palatino Linotype" w:cs="Arial"/>
          <w:lang w:val="es-MX" w:eastAsia="en-US"/>
        </w:rPr>
        <w:t xml:space="preserve"> </w:t>
      </w:r>
      <w:r w:rsidR="00267458" w:rsidRPr="00EA7758">
        <w:rPr>
          <w:rFonts w:ascii="Palatino Linotype" w:eastAsiaTheme="minorHAnsi" w:hAnsi="Palatino Linotype" w:cs="Arial"/>
          <w:lang w:val="es-MX" w:eastAsia="en-US"/>
        </w:rPr>
        <w:t xml:space="preserve">su </w:t>
      </w:r>
      <w:r w:rsidR="00BA27FC" w:rsidRPr="00EA7758">
        <w:rPr>
          <w:rFonts w:ascii="Palatino Linotype" w:eastAsiaTheme="minorHAnsi" w:hAnsi="Palatino Linotype" w:cs="Arial"/>
          <w:lang w:val="es-MX" w:eastAsia="en-US"/>
        </w:rPr>
        <w:t>informe justificado</w:t>
      </w:r>
      <w:r w:rsidR="008150CA" w:rsidRPr="00EA7758">
        <w:rPr>
          <w:rFonts w:ascii="Palatino Linotype" w:eastAsiaTheme="minorHAnsi" w:hAnsi="Palatino Linotype" w:cs="Arial"/>
          <w:lang w:val="es-MX" w:eastAsia="en-US"/>
        </w:rPr>
        <w:t xml:space="preserve"> mediante </w:t>
      </w:r>
      <w:r w:rsidR="003B0FAC" w:rsidRPr="00EA7758">
        <w:rPr>
          <w:rFonts w:ascii="Palatino Linotype" w:eastAsiaTheme="minorHAnsi" w:hAnsi="Palatino Linotype" w:cs="Arial"/>
          <w:lang w:val="es-MX" w:eastAsia="en-US"/>
        </w:rPr>
        <w:t>los</w:t>
      </w:r>
      <w:r w:rsidR="008150CA" w:rsidRPr="00EA7758">
        <w:rPr>
          <w:rFonts w:ascii="Palatino Linotype" w:eastAsiaTheme="minorHAnsi" w:hAnsi="Palatino Linotype" w:cs="Arial"/>
          <w:lang w:val="es-MX" w:eastAsia="en-US"/>
        </w:rPr>
        <w:t xml:space="preserve"> archivo</w:t>
      </w:r>
      <w:r w:rsidR="003B0FAC" w:rsidRPr="00EA7758">
        <w:rPr>
          <w:rFonts w:ascii="Palatino Linotype" w:eastAsiaTheme="minorHAnsi" w:hAnsi="Palatino Linotype" w:cs="Arial"/>
          <w:lang w:val="es-MX" w:eastAsia="en-US"/>
        </w:rPr>
        <w:t>s</w:t>
      </w:r>
      <w:r w:rsidR="008150CA" w:rsidRPr="00EA7758">
        <w:rPr>
          <w:rFonts w:ascii="Palatino Linotype" w:eastAsiaTheme="minorHAnsi" w:hAnsi="Palatino Linotype" w:cs="Arial"/>
          <w:lang w:val="es-MX" w:eastAsia="en-US"/>
        </w:rPr>
        <w:t xml:space="preserve"> electrónico</w:t>
      </w:r>
      <w:r w:rsidR="003B0FAC" w:rsidRPr="00EA7758">
        <w:rPr>
          <w:rFonts w:ascii="Palatino Linotype" w:eastAsiaTheme="minorHAnsi" w:hAnsi="Palatino Linotype" w:cs="Arial"/>
          <w:lang w:val="es-MX" w:eastAsia="en-US"/>
        </w:rPr>
        <w:t>s</w:t>
      </w:r>
      <w:r w:rsidR="008150CA" w:rsidRPr="00EA7758">
        <w:rPr>
          <w:rFonts w:ascii="Palatino Linotype" w:eastAsiaTheme="minorHAnsi" w:hAnsi="Palatino Linotype" w:cs="Arial"/>
          <w:lang w:val="es-MX" w:eastAsia="en-US"/>
        </w:rPr>
        <w:t xml:space="preserve"> denominado</w:t>
      </w:r>
      <w:r w:rsidR="003B0FAC" w:rsidRPr="00EA7758">
        <w:rPr>
          <w:rFonts w:ascii="Palatino Linotype" w:eastAsiaTheme="minorHAnsi" w:hAnsi="Palatino Linotype" w:cs="Arial"/>
          <w:lang w:val="es-MX" w:eastAsia="en-US"/>
        </w:rPr>
        <w:t>s</w:t>
      </w:r>
      <w:r w:rsidR="008150CA" w:rsidRPr="00EA7758">
        <w:rPr>
          <w:rFonts w:ascii="Palatino Linotype" w:eastAsiaTheme="minorHAnsi" w:hAnsi="Palatino Linotype" w:cs="Arial"/>
          <w:lang w:val="es-MX" w:eastAsia="en-US"/>
        </w:rPr>
        <w:t xml:space="preserve"> </w:t>
      </w:r>
      <w:r w:rsidR="00E7051C" w:rsidRPr="00EA7758">
        <w:rPr>
          <w:rFonts w:ascii="Palatino Linotype" w:eastAsiaTheme="minorHAnsi" w:hAnsi="Palatino Linotype" w:cs="Arial"/>
          <w:i/>
          <w:lang w:val="es-MX" w:eastAsia="en-US"/>
        </w:rPr>
        <w:t>“Informe Justificado 11280-2022-DSAyEP.pdf”</w:t>
      </w:r>
      <w:r w:rsidR="00E7051C" w:rsidRPr="00EA7758">
        <w:rPr>
          <w:rFonts w:ascii="Palatino Linotype" w:eastAsiaTheme="minorHAnsi" w:hAnsi="Palatino Linotype" w:cs="Arial"/>
          <w:lang w:val="es-MX" w:eastAsia="en-US"/>
        </w:rPr>
        <w:t xml:space="preserve">, </w:t>
      </w:r>
      <w:r w:rsidR="00E7051C" w:rsidRPr="00EA7758">
        <w:rPr>
          <w:rFonts w:ascii="Palatino Linotype" w:eastAsiaTheme="minorHAnsi" w:hAnsi="Palatino Linotype" w:cs="Arial"/>
          <w:i/>
          <w:lang w:val="es-MX" w:eastAsia="en-US"/>
        </w:rPr>
        <w:t>“Oficio Requerimiento Informe RR 11280-2022 STP.pdf”</w:t>
      </w:r>
      <w:r w:rsidR="00E7051C" w:rsidRPr="00EA7758">
        <w:rPr>
          <w:rFonts w:ascii="Palatino Linotype" w:eastAsiaTheme="minorHAnsi" w:hAnsi="Palatino Linotype" w:cs="Arial"/>
          <w:lang w:val="es-MX" w:eastAsia="en-US"/>
        </w:rPr>
        <w:t xml:space="preserve">, </w:t>
      </w:r>
      <w:r w:rsidR="00E7051C" w:rsidRPr="00EA7758">
        <w:rPr>
          <w:rFonts w:ascii="Palatino Linotype" w:eastAsiaTheme="minorHAnsi" w:hAnsi="Palatino Linotype" w:cs="Arial"/>
          <w:i/>
          <w:lang w:val="es-MX" w:eastAsia="en-US"/>
        </w:rPr>
        <w:t>“Remisión de Informe Justificado 11280-2020 STP.pdf”</w:t>
      </w:r>
      <w:r w:rsidR="00E7051C" w:rsidRPr="00EA7758">
        <w:rPr>
          <w:rFonts w:ascii="Palatino Linotype" w:eastAsiaTheme="minorHAnsi" w:hAnsi="Palatino Linotype" w:cs="Arial"/>
          <w:lang w:val="es-MX" w:eastAsia="en-US"/>
        </w:rPr>
        <w:t xml:space="preserve">, </w:t>
      </w:r>
      <w:r w:rsidR="008150CA" w:rsidRPr="00EA7758">
        <w:rPr>
          <w:rFonts w:ascii="Palatino Linotype" w:eastAsiaTheme="minorHAnsi" w:hAnsi="Palatino Linotype" w:cs="Arial"/>
          <w:i/>
          <w:lang w:val="es-MX" w:eastAsia="en-US"/>
        </w:rPr>
        <w:t>“</w:t>
      </w:r>
      <w:r w:rsidR="003B0FAC" w:rsidRPr="00EA7758">
        <w:rPr>
          <w:rFonts w:ascii="Palatino Linotype" w:eastAsiaTheme="minorHAnsi" w:hAnsi="Palatino Linotype" w:cs="Arial"/>
          <w:i/>
          <w:lang w:val="es-MX" w:eastAsia="en-US"/>
        </w:rPr>
        <w:t>Informe Justificado RR 11390-2022 SOLICITUD 00477-2022.pdf</w:t>
      </w:r>
      <w:r w:rsidR="008150CA" w:rsidRPr="00EA7758">
        <w:rPr>
          <w:rFonts w:ascii="Palatino Linotype" w:eastAsiaTheme="minorHAnsi" w:hAnsi="Palatino Linotype" w:cs="Arial"/>
          <w:i/>
          <w:lang w:val="es-MX" w:eastAsia="en-US"/>
        </w:rPr>
        <w:t>”</w:t>
      </w:r>
      <w:r w:rsidR="003B0FAC" w:rsidRPr="00EA7758">
        <w:rPr>
          <w:rFonts w:ascii="Palatino Linotype" w:eastAsiaTheme="minorHAnsi" w:hAnsi="Palatino Linotype" w:cs="Arial"/>
          <w:lang w:val="es-MX" w:eastAsia="en-US"/>
        </w:rPr>
        <w:t>,</w:t>
      </w:r>
      <w:r w:rsidR="003B0FAC" w:rsidRPr="00EA7758">
        <w:rPr>
          <w:rFonts w:ascii="Palatino Linotype" w:eastAsiaTheme="minorHAnsi" w:hAnsi="Palatino Linotype" w:cs="Arial"/>
          <w:i/>
          <w:lang w:val="es-MX" w:eastAsia="en-US"/>
        </w:rPr>
        <w:t xml:space="preserve"> “Oficio Requerimiento Informe RR 11390-2022 STP.pdf” </w:t>
      </w:r>
      <w:r w:rsidR="003B0FAC" w:rsidRPr="00EA7758">
        <w:rPr>
          <w:rFonts w:ascii="Palatino Linotype" w:eastAsiaTheme="minorHAnsi" w:hAnsi="Palatino Linotype" w:cs="Arial"/>
          <w:lang w:val="es-MX" w:eastAsia="en-US"/>
        </w:rPr>
        <w:t>y</w:t>
      </w:r>
      <w:r w:rsidR="003B0FAC" w:rsidRPr="00EA7758">
        <w:rPr>
          <w:rFonts w:ascii="Palatino Linotype" w:eastAsiaTheme="minorHAnsi" w:hAnsi="Palatino Linotype" w:cs="Arial"/>
          <w:i/>
          <w:lang w:val="es-MX" w:eastAsia="en-US"/>
        </w:rPr>
        <w:t xml:space="preserve"> “InformeJustificadoRecurso11390UT.pdf”;</w:t>
      </w:r>
      <w:r w:rsidR="008150CA" w:rsidRPr="00EA7758">
        <w:rPr>
          <w:rFonts w:ascii="Palatino Linotype" w:eastAsiaTheme="minorHAnsi" w:hAnsi="Palatino Linotype" w:cs="Arial"/>
          <w:lang w:val="es-MX" w:eastAsia="en-US"/>
        </w:rPr>
        <w:t xml:space="preserve"> mismo</w:t>
      </w:r>
      <w:r w:rsidR="003B0FAC" w:rsidRPr="00EA7758">
        <w:rPr>
          <w:rFonts w:ascii="Palatino Linotype" w:eastAsiaTheme="minorHAnsi" w:hAnsi="Palatino Linotype" w:cs="Arial"/>
          <w:lang w:val="es-MX" w:eastAsia="en-US"/>
        </w:rPr>
        <w:t>s que se pusieron</w:t>
      </w:r>
      <w:r w:rsidR="008150CA" w:rsidRPr="00EA7758">
        <w:rPr>
          <w:rFonts w:ascii="Palatino Linotype" w:eastAsiaTheme="minorHAnsi" w:hAnsi="Palatino Linotype" w:cs="Arial"/>
          <w:lang w:val="es-MX" w:eastAsia="en-US"/>
        </w:rPr>
        <w:t xml:space="preserve"> a la vista de la parte </w:t>
      </w:r>
      <w:r w:rsidR="008150CA" w:rsidRPr="00EA7758">
        <w:rPr>
          <w:rFonts w:ascii="Palatino Linotype" w:eastAsiaTheme="minorHAnsi" w:hAnsi="Palatino Linotype" w:cs="Arial"/>
          <w:b/>
          <w:lang w:val="es-MX" w:eastAsia="en-US"/>
        </w:rPr>
        <w:t>Recurrente</w:t>
      </w:r>
      <w:r w:rsidR="00E7051C" w:rsidRPr="00EA7758">
        <w:rPr>
          <w:rFonts w:ascii="Palatino Linotype" w:eastAsiaTheme="minorHAnsi" w:hAnsi="Palatino Linotype" w:cs="Arial"/>
          <w:lang w:val="es-MX" w:eastAsia="en-US"/>
        </w:rPr>
        <w:t xml:space="preserve">, mediante </w:t>
      </w:r>
      <w:r w:rsidR="0031472B" w:rsidRPr="00EA7758">
        <w:rPr>
          <w:rFonts w:ascii="Palatino Linotype" w:eastAsiaTheme="minorHAnsi" w:hAnsi="Palatino Linotype" w:cs="Arial"/>
          <w:lang w:val="es-MX" w:eastAsia="en-US"/>
        </w:rPr>
        <w:t xml:space="preserve">Acuerdo de fecha </w:t>
      </w:r>
      <w:r w:rsidR="003B0FAC" w:rsidRPr="00EA7758">
        <w:rPr>
          <w:rFonts w:ascii="Palatino Linotype" w:eastAsiaTheme="minorHAnsi" w:hAnsi="Palatino Linotype" w:cs="Arial"/>
          <w:lang w:val="es-MX" w:eastAsia="en-US"/>
        </w:rPr>
        <w:t>treinta</w:t>
      </w:r>
      <w:r w:rsidR="008150CA" w:rsidRPr="00EA7758">
        <w:rPr>
          <w:rFonts w:ascii="Palatino Linotype" w:eastAsiaTheme="minorHAnsi" w:hAnsi="Palatino Linotype" w:cs="Arial"/>
          <w:lang w:val="es-MX" w:eastAsia="en-US"/>
        </w:rPr>
        <w:t xml:space="preserve"> del mismo mes y año</w:t>
      </w:r>
      <w:r w:rsidR="00267458" w:rsidRPr="00EA7758">
        <w:rPr>
          <w:rFonts w:ascii="Palatino Linotype" w:eastAsiaTheme="minorHAnsi" w:hAnsi="Palatino Linotype" w:cs="Arial"/>
          <w:lang w:val="es-MX" w:eastAsia="en-US"/>
        </w:rPr>
        <w:t>;</w:t>
      </w:r>
      <w:r w:rsidR="00AE78CA" w:rsidRPr="00EA7758">
        <w:rPr>
          <w:rFonts w:ascii="Palatino Linotype" w:eastAsiaTheme="minorHAnsi" w:hAnsi="Palatino Linotype" w:cs="Arial"/>
          <w:lang w:val="es-MX" w:eastAsia="en-US"/>
        </w:rPr>
        <w:t xml:space="preserve"> </w:t>
      </w:r>
      <w:r w:rsidR="002D6E4B" w:rsidRPr="00EA7758">
        <w:rPr>
          <w:rFonts w:ascii="Palatino Linotype" w:eastAsiaTheme="minorHAnsi" w:hAnsi="Palatino Linotype" w:cs="Arial"/>
          <w:lang w:val="es-MX" w:eastAsia="en-US"/>
        </w:rPr>
        <w:t>asimismo</w:t>
      </w:r>
      <w:r w:rsidR="00267458" w:rsidRPr="00EA7758">
        <w:rPr>
          <w:rFonts w:ascii="Palatino Linotype" w:eastAsiaTheme="minorHAnsi" w:hAnsi="Palatino Linotype" w:cs="Arial"/>
          <w:lang w:val="es-MX" w:eastAsia="en-US"/>
        </w:rPr>
        <w:t>,</w:t>
      </w:r>
      <w:r w:rsidR="00B96A17" w:rsidRPr="00EA7758">
        <w:rPr>
          <w:rFonts w:ascii="Palatino Linotype" w:eastAsiaTheme="minorHAnsi" w:hAnsi="Palatino Linotype" w:cs="Arial"/>
          <w:lang w:val="es-MX" w:eastAsia="en-US"/>
        </w:rPr>
        <w:t xml:space="preserve"> se </w:t>
      </w:r>
      <w:r w:rsidR="00B96A17" w:rsidRPr="00EA7758">
        <w:rPr>
          <w:rFonts w:ascii="Palatino Linotype" w:eastAsiaTheme="minorHAnsi" w:hAnsi="Palatino Linotype" w:cs="Arial"/>
          <w:lang w:val="es-MX" w:eastAsia="en-US"/>
        </w:rPr>
        <w:lastRenderedPageBreak/>
        <w:t>aprecia que</w:t>
      </w:r>
      <w:r w:rsidR="002D6E4B" w:rsidRPr="00EA7758">
        <w:rPr>
          <w:rFonts w:ascii="Palatino Linotype" w:eastAsiaTheme="minorHAnsi" w:hAnsi="Palatino Linotype" w:cs="Arial"/>
          <w:lang w:val="es-MX" w:eastAsia="en-US"/>
        </w:rPr>
        <w:t xml:space="preserve"> la </w:t>
      </w:r>
      <w:r w:rsidR="0029071C" w:rsidRPr="00EA7758">
        <w:rPr>
          <w:rFonts w:ascii="Palatino Linotype" w:eastAsiaTheme="minorHAnsi" w:hAnsi="Palatino Linotype" w:cs="Arial"/>
          <w:lang w:val="es-MX" w:eastAsia="en-US"/>
        </w:rPr>
        <w:t xml:space="preserve">parte </w:t>
      </w:r>
      <w:r w:rsidR="0029071C" w:rsidRPr="00EA7758">
        <w:rPr>
          <w:rFonts w:ascii="Palatino Linotype" w:eastAsiaTheme="minorHAnsi" w:hAnsi="Palatino Linotype" w:cs="Arial"/>
          <w:b/>
          <w:lang w:val="es-MX" w:eastAsia="en-US"/>
        </w:rPr>
        <w:t>Recurrente</w:t>
      </w:r>
      <w:r w:rsidR="0029071C" w:rsidRPr="00EA7758">
        <w:rPr>
          <w:rFonts w:ascii="Palatino Linotype" w:eastAsiaTheme="minorHAnsi" w:hAnsi="Palatino Linotype" w:cs="Arial"/>
          <w:lang w:val="es-MX" w:eastAsia="en-US"/>
        </w:rPr>
        <w:t xml:space="preserve"> </w:t>
      </w:r>
      <w:r w:rsidR="008150CA" w:rsidRPr="00EA7758">
        <w:rPr>
          <w:rFonts w:ascii="Palatino Linotype" w:eastAsiaTheme="minorHAnsi" w:hAnsi="Palatino Linotype" w:cs="Arial"/>
          <w:lang w:val="es-MX" w:eastAsia="en-US"/>
        </w:rPr>
        <w:t xml:space="preserve">no </w:t>
      </w:r>
      <w:r w:rsidR="002D6E4B" w:rsidRPr="00EA7758">
        <w:rPr>
          <w:rFonts w:ascii="Palatino Linotype" w:eastAsiaTheme="minorHAnsi" w:hAnsi="Palatino Linotype" w:cs="Arial"/>
          <w:lang w:val="es-MX" w:eastAsia="en-US"/>
        </w:rPr>
        <w:t xml:space="preserve"> </w:t>
      </w:r>
      <w:r w:rsidR="00DC1583" w:rsidRPr="00EA7758">
        <w:rPr>
          <w:rFonts w:ascii="Palatino Linotype" w:eastAsiaTheme="minorHAnsi" w:hAnsi="Palatino Linotype" w:cs="Arial"/>
          <w:lang w:val="es-MX" w:eastAsia="en-US"/>
        </w:rPr>
        <w:t>realizó</w:t>
      </w:r>
      <w:r w:rsidR="0029071C" w:rsidRPr="00EA7758">
        <w:rPr>
          <w:rFonts w:ascii="Palatino Linotype" w:eastAsiaTheme="minorHAnsi" w:hAnsi="Palatino Linotype" w:cs="Arial"/>
          <w:lang w:val="es-MX" w:eastAsia="en-US"/>
        </w:rPr>
        <w:t xml:space="preserve"> alegatos, </w:t>
      </w:r>
      <w:r w:rsidR="00267458" w:rsidRPr="00EA7758">
        <w:rPr>
          <w:rFonts w:ascii="Palatino Linotype" w:eastAsiaTheme="minorHAnsi" w:hAnsi="Palatino Linotype" w:cs="Arial"/>
          <w:lang w:val="es-MX" w:eastAsia="en-US"/>
        </w:rPr>
        <w:t xml:space="preserve">ni ofreció </w:t>
      </w:r>
      <w:r w:rsidR="0029071C" w:rsidRPr="00EA7758">
        <w:rPr>
          <w:rFonts w:ascii="Palatino Linotype" w:eastAsiaTheme="minorHAnsi" w:hAnsi="Palatino Linotype" w:cs="Arial"/>
          <w:lang w:val="es-MX" w:eastAsia="en-US"/>
        </w:rPr>
        <w:t>pruebas o manifestaciones, lo anterior de conformidad con la siguiente imagen</w:t>
      </w:r>
      <w:r w:rsidR="00E74701" w:rsidRPr="00EA7758">
        <w:rPr>
          <w:rFonts w:ascii="Palatino Linotype" w:eastAsiaTheme="minorHAnsi" w:hAnsi="Palatino Linotype" w:cs="Arial"/>
          <w:lang w:val="es-MX" w:eastAsia="en-US"/>
        </w:rPr>
        <w:t>:</w:t>
      </w:r>
    </w:p>
    <w:p w:rsidR="008150CA" w:rsidRPr="00EA7758" w:rsidRDefault="008150CA" w:rsidP="008150CA">
      <w:pPr>
        <w:pStyle w:val="Sinespaciado"/>
        <w:rPr>
          <w:rFonts w:eastAsiaTheme="minorHAnsi"/>
          <w:noProof/>
          <w:sz w:val="2"/>
          <w:lang w:eastAsia="es-MX"/>
        </w:rPr>
      </w:pPr>
    </w:p>
    <w:p w:rsidR="00E7051C" w:rsidRPr="00EA7758" w:rsidRDefault="00E7051C" w:rsidP="008150CA">
      <w:pPr>
        <w:pStyle w:val="Sinespaciado"/>
        <w:rPr>
          <w:rFonts w:eastAsiaTheme="minorHAnsi"/>
          <w:noProof/>
          <w:sz w:val="16"/>
          <w:lang w:eastAsia="es-MX"/>
        </w:rPr>
      </w:pPr>
    </w:p>
    <w:p w:rsidR="00E7051C" w:rsidRPr="00EA7758" w:rsidRDefault="00E7051C" w:rsidP="008150CA">
      <w:pPr>
        <w:pStyle w:val="Sinespaciado"/>
        <w:rPr>
          <w:rFonts w:eastAsiaTheme="minorHAnsi"/>
          <w:sz w:val="16"/>
          <w:lang w:eastAsia="en-US"/>
        </w:rPr>
      </w:pPr>
      <w:r w:rsidRPr="00EA7758">
        <w:rPr>
          <w:rFonts w:eastAsiaTheme="minorHAnsi"/>
          <w:noProof/>
          <w:sz w:val="16"/>
          <w:lang w:eastAsia="es-MX"/>
        </w:rPr>
        <w:drawing>
          <wp:inline distT="0" distB="0" distL="0" distR="0">
            <wp:extent cx="5788660" cy="2655570"/>
            <wp:effectExtent l="152400" t="152400" r="364490" b="3543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655570"/>
                    </a:xfrm>
                    <a:prstGeom prst="rect">
                      <a:avLst/>
                    </a:prstGeom>
                    <a:ln>
                      <a:noFill/>
                    </a:ln>
                    <a:effectLst>
                      <a:outerShdw blurRad="292100" dist="139700" dir="2700000" algn="tl" rotWithShape="0">
                        <a:srgbClr val="333333">
                          <a:alpha val="65000"/>
                        </a:srgbClr>
                      </a:outerShdw>
                    </a:effectLst>
                  </pic:spPr>
                </pic:pic>
              </a:graphicData>
            </a:graphic>
          </wp:inline>
        </w:drawing>
      </w:r>
    </w:p>
    <w:p w:rsidR="008150CA" w:rsidRPr="00EA7758" w:rsidRDefault="008150CA" w:rsidP="0029071C">
      <w:pPr>
        <w:tabs>
          <w:tab w:val="left" w:pos="3206"/>
        </w:tabs>
        <w:spacing w:line="360" w:lineRule="auto"/>
        <w:jc w:val="both"/>
        <w:rPr>
          <w:rFonts w:ascii="Palatino Linotype" w:eastAsiaTheme="minorHAnsi" w:hAnsi="Palatino Linotype" w:cs="Arial"/>
          <w:b/>
          <w:sz w:val="10"/>
          <w:lang w:val="es-MX" w:eastAsia="en-US"/>
        </w:rPr>
      </w:pPr>
    </w:p>
    <w:p w:rsidR="005909E0" w:rsidRPr="00EA7758" w:rsidRDefault="005909E0" w:rsidP="0029071C">
      <w:pPr>
        <w:tabs>
          <w:tab w:val="left" w:pos="3206"/>
        </w:tabs>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 xml:space="preserve">Adicionalmente, se aprecia que parte de los documentos entregados en vía de informe justificado, no tienen relación con el recurso </w:t>
      </w:r>
      <w:r w:rsidRPr="00EA7758">
        <w:rPr>
          <w:rFonts w:ascii="Palatino Linotype" w:eastAsiaTheme="minorHAnsi" w:hAnsi="Palatino Linotype" w:cs="Arial"/>
          <w:b/>
          <w:lang w:val="es-MX" w:eastAsia="en-US"/>
        </w:rPr>
        <w:t>11390/INFOEM/IP/RR/2022</w:t>
      </w:r>
      <w:r w:rsidRPr="00EA7758">
        <w:rPr>
          <w:rFonts w:ascii="Palatino Linotype" w:eastAsiaTheme="minorHAnsi" w:hAnsi="Palatino Linotype" w:cs="Arial"/>
          <w:lang w:val="es-MX" w:eastAsia="en-US"/>
        </w:rPr>
        <w:t xml:space="preserve">; esto es que, el </w:t>
      </w:r>
      <w:r w:rsidRPr="00EA7758">
        <w:rPr>
          <w:rFonts w:ascii="Palatino Linotype" w:eastAsiaTheme="minorHAnsi" w:hAnsi="Palatino Linotype" w:cs="Arial"/>
          <w:b/>
          <w:lang w:val="es-MX" w:eastAsia="en-US"/>
        </w:rPr>
        <w:t>Sujeto Obligado</w:t>
      </w:r>
      <w:r w:rsidRPr="00EA7758">
        <w:rPr>
          <w:rFonts w:ascii="Palatino Linotype" w:eastAsiaTheme="minorHAnsi" w:hAnsi="Palatino Linotype" w:cs="Arial"/>
          <w:lang w:val="es-MX" w:eastAsia="en-US"/>
        </w:rPr>
        <w:t xml:space="preserve"> remitió documentos que contestan a un recurso diverso y se pusieron a la vista del particular; sin embargo, se únicamente se contemplaran los documentos remitidos para el presente recurso de revisión.</w:t>
      </w:r>
    </w:p>
    <w:p w:rsidR="005909E0" w:rsidRPr="00EA7758" w:rsidRDefault="005909E0" w:rsidP="0029071C">
      <w:pPr>
        <w:tabs>
          <w:tab w:val="left" w:pos="3206"/>
        </w:tabs>
        <w:spacing w:line="360" w:lineRule="auto"/>
        <w:jc w:val="both"/>
        <w:rPr>
          <w:rFonts w:ascii="Palatino Linotype" w:eastAsiaTheme="minorHAnsi" w:hAnsi="Palatino Linotype" w:cs="Arial"/>
          <w:lang w:val="es-MX" w:eastAsia="en-US"/>
        </w:rPr>
      </w:pPr>
    </w:p>
    <w:p w:rsidR="0029071C" w:rsidRPr="00EA7758" w:rsidRDefault="0031472B" w:rsidP="0029071C">
      <w:pPr>
        <w:tabs>
          <w:tab w:val="left" w:pos="3206"/>
        </w:tabs>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t>SEXT</w:t>
      </w:r>
      <w:r w:rsidR="0029071C" w:rsidRPr="00EA7758">
        <w:rPr>
          <w:rFonts w:ascii="Palatino Linotype" w:eastAsiaTheme="minorHAnsi" w:hAnsi="Palatino Linotype" w:cs="Arial"/>
          <w:b/>
          <w:sz w:val="28"/>
          <w:lang w:val="es-MX" w:eastAsia="en-US"/>
        </w:rPr>
        <w:t>O. Del cierre de instrucción.</w:t>
      </w:r>
      <w:r w:rsidR="0029071C" w:rsidRPr="00EA7758">
        <w:rPr>
          <w:rFonts w:ascii="Palatino Linotype" w:eastAsiaTheme="minorHAnsi" w:hAnsi="Palatino Linotype" w:cs="Arial"/>
          <w:b/>
          <w:sz w:val="28"/>
          <w:lang w:val="es-MX" w:eastAsia="en-US"/>
        </w:rPr>
        <w:tab/>
      </w:r>
    </w:p>
    <w:p w:rsidR="0029071C" w:rsidRPr="00EA7758" w:rsidRDefault="0029071C" w:rsidP="0029071C">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 xml:space="preserve">Así, una vez transcurrido el término legal, </w:t>
      </w:r>
      <w:r w:rsidR="00DC1583" w:rsidRPr="00EA7758">
        <w:rPr>
          <w:rFonts w:ascii="Palatino Linotype" w:eastAsiaTheme="minorHAnsi" w:hAnsi="Palatino Linotype" w:cs="Arial"/>
          <w:lang w:val="es-MX" w:eastAsia="en-US"/>
        </w:rPr>
        <w:t>permitió decretarse</w:t>
      </w:r>
      <w:r w:rsidRPr="00EA7758">
        <w:rPr>
          <w:rFonts w:ascii="Palatino Linotype" w:eastAsiaTheme="minorHAnsi" w:hAnsi="Palatino Linotype" w:cs="Arial"/>
          <w:lang w:val="es-MX" w:eastAsia="en-US"/>
        </w:rPr>
        <w:t xml:space="preserve"> el cierre de instrucción en fecha </w:t>
      </w:r>
      <w:r w:rsidR="00E7051C" w:rsidRPr="00EA7758">
        <w:rPr>
          <w:rFonts w:ascii="Palatino Linotype" w:eastAsiaTheme="minorHAnsi" w:hAnsi="Palatino Linotype" w:cs="Arial"/>
          <w:lang w:val="es-MX" w:eastAsia="en-US"/>
        </w:rPr>
        <w:t>seis de julio</w:t>
      </w:r>
      <w:r w:rsidRPr="00EA7758">
        <w:rPr>
          <w:rFonts w:ascii="Palatino Linotype" w:eastAsiaTheme="minorHAnsi" w:hAnsi="Palatino Linotype" w:cs="Arial"/>
          <w:lang w:val="es-MX" w:eastAsia="en-US"/>
        </w:rPr>
        <w:t xml:space="preserve"> del año en curso, en términos del artículo 185, Fracción VI, de la </w:t>
      </w:r>
      <w:r w:rsidRPr="00EA7758">
        <w:rPr>
          <w:rFonts w:ascii="Palatino Linotype" w:eastAsiaTheme="minorHAnsi" w:hAnsi="Palatino Linotype" w:cs="Arial"/>
          <w:lang w:val="es-MX" w:eastAsia="en-US"/>
        </w:rPr>
        <w:lastRenderedPageBreak/>
        <w:t>Ley de Transparencia y Acceso a la Información Pública del Estado de México y Municipios, iniciando el término legal para dictar resolución definitiva del asunto.</w:t>
      </w:r>
    </w:p>
    <w:p w:rsidR="008150CA" w:rsidRPr="00EA7758" w:rsidRDefault="008150CA" w:rsidP="0029071C">
      <w:pPr>
        <w:spacing w:line="360" w:lineRule="auto"/>
        <w:jc w:val="both"/>
        <w:rPr>
          <w:rFonts w:ascii="Palatino Linotype" w:eastAsiaTheme="minorHAnsi" w:hAnsi="Palatino Linotype" w:cs="Arial"/>
          <w:lang w:val="es-MX" w:eastAsia="en-US"/>
        </w:rPr>
      </w:pPr>
    </w:p>
    <w:p w:rsidR="008150CA" w:rsidRPr="00EA7758" w:rsidRDefault="0031472B" w:rsidP="008150CA">
      <w:pPr>
        <w:pStyle w:val="Sinespaciado"/>
        <w:spacing w:line="360" w:lineRule="auto"/>
        <w:rPr>
          <w:rFonts w:ascii="Palatino Linotype" w:hAnsi="Palatino Linotype"/>
          <w:b/>
          <w:sz w:val="28"/>
          <w:szCs w:val="26"/>
        </w:rPr>
      </w:pPr>
      <w:r w:rsidRPr="00EA7758">
        <w:rPr>
          <w:rFonts w:ascii="Palatino Linotype" w:hAnsi="Palatino Linotype"/>
          <w:b/>
          <w:sz w:val="28"/>
          <w:szCs w:val="26"/>
        </w:rPr>
        <w:t>SÉPTIM</w:t>
      </w:r>
      <w:r w:rsidR="008150CA" w:rsidRPr="00EA7758">
        <w:rPr>
          <w:rFonts w:ascii="Palatino Linotype" w:hAnsi="Palatino Linotype"/>
          <w:b/>
          <w:sz w:val="28"/>
          <w:szCs w:val="26"/>
        </w:rPr>
        <w:t>O. De la ampliación del término para resolver.</w:t>
      </w:r>
    </w:p>
    <w:p w:rsidR="008150CA" w:rsidRPr="00EA7758" w:rsidRDefault="008150CA" w:rsidP="008150CA">
      <w:pPr>
        <w:pStyle w:val="Sinespaciado"/>
        <w:spacing w:line="360" w:lineRule="auto"/>
        <w:jc w:val="both"/>
        <w:rPr>
          <w:rFonts w:ascii="Palatino Linotype" w:hAnsi="Palatino Linotype"/>
        </w:rPr>
      </w:pPr>
      <w:r w:rsidRPr="00EA7758">
        <w:rPr>
          <w:rFonts w:ascii="Palatino Linotype" w:hAnsi="Palatino Linotype"/>
        </w:rPr>
        <w:t xml:space="preserve">En fecha </w:t>
      </w:r>
      <w:r w:rsidR="00D53327" w:rsidRPr="00EA7758">
        <w:rPr>
          <w:rFonts w:ascii="Palatino Linotype" w:hAnsi="Palatino Linotype"/>
        </w:rPr>
        <w:t>dieciséis de agosto</w:t>
      </w:r>
      <w:r w:rsidRPr="00EA7758">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8150CA" w:rsidRPr="00EA7758" w:rsidRDefault="008150CA" w:rsidP="00B96A17">
      <w:pPr>
        <w:spacing w:line="360" w:lineRule="auto"/>
        <w:jc w:val="both"/>
        <w:rPr>
          <w:rFonts w:ascii="Palatino Linotype" w:eastAsiaTheme="minorHAnsi" w:hAnsi="Palatino Linotype" w:cs="Arial"/>
          <w:lang w:val="es-MX" w:eastAsia="en-US"/>
        </w:rPr>
      </w:pPr>
    </w:p>
    <w:p w:rsidR="008150CA" w:rsidRPr="00EA7758" w:rsidRDefault="00E74701" w:rsidP="00EE7775">
      <w:pPr>
        <w:spacing w:line="360" w:lineRule="auto"/>
        <w:jc w:val="center"/>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t>C O N S I D E R A N</w:t>
      </w:r>
      <w:r w:rsidR="00D57F74" w:rsidRPr="00EA7758">
        <w:rPr>
          <w:rFonts w:ascii="Palatino Linotype" w:eastAsiaTheme="minorHAnsi" w:hAnsi="Palatino Linotype" w:cs="Arial"/>
          <w:b/>
          <w:sz w:val="28"/>
          <w:lang w:val="es-MX" w:eastAsia="en-US"/>
        </w:rPr>
        <w:t xml:space="preserve"> D O </w:t>
      </w:r>
    </w:p>
    <w:p w:rsidR="00EE7775" w:rsidRPr="00EA7758" w:rsidRDefault="00EE7775" w:rsidP="00EE7775">
      <w:pPr>
        <w:spacing w:line="360" w:lineRule="auto"/>
        <w:jc w:val="center"/>
        <w:rPr>
          <w:rFonts w:ascii="Palatino Linotype" w:eastAsiaTheme="minorHAnsi" w:hAnsi="Palatino Linotype" w:cs="Arial"/>
          <w:b/>
          <w:sz w:val="14"/>
          <w:lang w:val="es-MX" w:eastAsia="en-US"/>
        </w:rPr>
      </w:pPr>
    </w:p>
    <w:p w:rsidR="0029071C" w:rsidRPr="00EA7758" w:rsidRDefault="0029071C" w:rsidP="0029071C">
      <w:pPr>
        <w:spacing w:line="360" w:lineRule="auto"/>
        <w:jc w:val="both"/>
        <w:rPr>
          <w:rFonts w:ascii="Palatino Linotype" w:eastAsiaTheme="minorHAnsi" w:hAnsi="Palatino Linotype" w:cs="Arial"/>
          <w:sz w:val="28"/>
          <w:lang w:val="es-MX" w:eastAsia="en-US"/>
        </w:rPr>
      </w:pPr>
      <w:r w:rsidRPr="00EA7758">
        <w:rPr>
          <w:rFonts w:ascii="Palatino Linotype" w:eastAsiaTheme="minorHAnsi" w:hAnsi="Palatino Linotype" w:cs="Arial"/>
          <w:b/>
          <w:sz w:val="28"/>
          <w:lang w:val="es-MX" w:eastAsia="en-US"/>
        </w:rPr>
        <w:t>PRIMERO. De la competencia</w:t>
      </w:r>
      <w:r w:rsidRPr="00EA7758">
        <w:rPr>
          <w:rFonts w:ascii="Palatino Linotype" w:eastAsiaTheme="minorHAnsi" w:hAnsi="Palatino Linotype" w:cs="Arial"/>
          <w:sz w:val="28"/>
          <w:lang w:val="es-MX" w:eastAsia="en-US"/>
        </w:rPr>
        <w:t>.</w:t>
      </w:r>
    </w:p>
    <w:p w:rsidR="00A26BD8" w:rsidRPr="00EA7758" w:rsidRDefault="0029071C" w:rsidP="005909E0">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EA7758">
        <w:rPr>
          <w:rFonts w:ascii="Palatino Linotype" w:eastAsiaTheme="minorHAnsi" w:hAnsi="Palatino Linotype" w:cs="Arial"/>
          <w:lang w:val="es-MX" w:eastAsia="en-US"/>
        </w:rPr>
        <w:t xml:space="preserve"> Estado de México y Municipios.</w:t>
      </w:r>
    </w:p>
    <w:p w:rsidR="0029071C" w:rsidRPr="00EA775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lastRenderedPageBreak/>
        <w:t xml:space="preserve">SEGUNDO. De los alcances del Recurso de Revisión. </w:t>
      </w:r>
    </w:p>
    <w:p w:rsidR="00386D38" w:rsidRPr="00EA7758"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53327" w:rsidRPr="00EA7758"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rsidR="00D53327" w:rsidRPr="00EA7758" w:rsidRDefault="00D53327" w:rsidP="00D53327">
      <w:pPr>
        <w:autoSpaceDE w:val="0"/>
        <w:autoSpaceDN w:val="0"/>
        <w:adjustRightInd w:val="0"/>
        <w:spacing w:line="360" w:lineRule="auto"/>
        <w:jc w:val="both"/>
        <w:rPr>
          <w:rFonts w:ascii="Palatino Linotype" w:hAnsi="Palatino Linotype" w:cs="Arial"/>
          <w:b/>
          <w:sz w:val="28"/>
        </w:rPr>
      </w:pPr>
      <w:r w:rsidRPr="00EA7758">
        <w:rPr>
          <w:rFonts w:ascii="Palatino Linotype" w:hAnsi="Palatino Linotype" w:cs="Arial"/>
          <w:b/>
          <w:sz w:val="28"/>
        </w:rPr>
        <w:t>TERCERO. Del estudio de las causas de improcedencia y sobreseimiento.</w:t>
      </w:r>
    </w:p>
    <w:p w:rsidR="00D53327" w:rsidRPr="00EA7758" w:rsidRDefault="00D53327" w:rsidP="00D53327">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EA7758">
        <w:rPr>
          <w:rFonts w:ascii="Palatino Linotype" w:hAnsi="Palatino Linotype" w:cs="Arial"/>
        </w:rPr>
        <w:t>procedibilidad</w:t>
      </w:r>
      <w:proofErr w:type="spellEnd"/>
      <w:r w:rsidRPr="00EA7758">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53327" w:rsidRPr="00EA7758" w:rsidRDefault="00D53327" w:rsidP="00D53327">
      <w:pPr>
        <w:autoSpaceDE w:val="0"/>
        <w:autoSpaceDN w:val="0"/>
        <w:adjustRightInd w:val="0"/>
        <w:spacing w:line="360" w:lineRule="auto"/>
        <w:jc w:val="both"/>
        <w:rPr>
          <w:rFonts w:ascii="Palatino Linotype" w:hAnsi="Palatino Linotype" w:cs="Arial"/>
        </w:rPr>
      </w:pPr>
    </w:p>
    <w:p w:rsidR="00D53327" w:rsidRPr="00EA7758" w:rsidRDefault="00D53327" w:rsidP="00D53327">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EA7758">
        <w:rPr>
          <w:rFonts w:ascii="Palatino Linotype" w:hAnsi="Palatino Linotype" w:cs="Arial"/>
        </w:rPr>
        <w:t>Resolutor</w:t>
      </w:r>
      <w:proofErr w:type="spellEnd"/>
      <w:r w:rsidRPr="00EA7758">
        <w:rPr>
          <w:rFonts w:ascii="Palatino Linotype" w:hAnsi="Palatino Linotype" w:cs="Arial"/>
        </w:rPr>
        <w:t xml:space="preserve">;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EA7758">
        <w:rPr>
          <w:rFonts w:ascii="Palatino Linotype" w:hAnsi="Palatino Linotype" w:cs="Arial"/>
        </w:rPr>
        <w:lastRenderedPageBreak/>
        <w:t>estudio y resolución de un asunto en su fondo, cuando una vez admitido el recurso de revisión se advierta una causa de improcedencia que permita sobreseerlo.</w:t>
      </w:r>
    </w:p>
    <w:p w:rsidR="00D53327" w:rsidRPr="00EA7758" w:rsidRDefault="00D53327" w:rsidP="00D53327">
      <w:pPr>
        <w:autoSpaceDE w:val="0"/>
        <w:autoSpaceDN w:val="0"/>
        <w:adjustRightInd w:val="0"/>
        <w:spacing w:line="360" w:lineRule="auto"/>
        <w:jc w:val="both"/>
        <w:rPr>
          <w:rFonts w:ascii="Palatino Linotype" w:hAnsi="Palatino Linotype" w:cs="Arial"/>
        </w:rPr>
      </w:pPr>
    </w:p>
    <w:p w:rsidR="00D53327" w:rsidRPr="00EA7758" w:rsidRDefault="00D53327" w:rsidP="00D53327">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EA7758">
        <w:rPr>
          <w:rFonts w:ascii="Palatino Linotype" w:hAnsi="Palatino Linotype" w:cs="Arial"/>
          <w:vertAlign w:val="superscript"/>
        </w:rPr>
        <w:footnoteReference w:id="1"/>
      </w:r>
      <w:r w:rsidRPr="00EA7758">
        <w:rPr>
          <w:rFonts w:ascii="Palatino Linotype" w:hAnsi="Palatino Linotype" w:cs="Arial"/>
        </w:rPr>
        <w:t>.</w:t>
      </w:r>
    </w:p>
    <w:p w:rsidR="00D53327" w:rsidRPr="00EA7758"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rsidR="00D53327" w:rsidRPr="00EA7758"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EA7758">
        <w:rPr>
          <w:rFonts w:ascii="Palatino Linotype" w:eastAsiaTheme="minorHAnsi" w:hAnsi="Palatino Linotype" w:cs="Arial"/>
          <w:lang w:val="es-MX" w:eastAsia="en-US"/>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D53327" w:rsidRPr="00EA7758" w:rsidRDefault="00D53327" w:rsidP="00D53327">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D53327" w:rsidRPr="00EA7758" w:rsidRDefault="00D53327" w:rsidP="00D53327">
      <w:pPr>
        <w:autoSpaceDE w:val="0"/>
        <w:autoSpaceDN w:val="0"/>
        <w:adjustRightInd w:val="0"/>
        <w:spacing w:line="360" w:lineRule="auto"/>
        <w:jc w:val="both"/>
        <w:rPr>
          <w:rFonts w:ascii="Palatino Linotype" w:hAnsi="Palatino Linotype" w:cs="Arial"/>
        </w:rPr>
      </w:pPr>
    </w:p>
    <w:p w:rsidR="00D53327" w:rsidRPr="00EA7758" w:rsidRDefault="00D53327" w:rsidP="00D53327">
      <w:pPr>
        <w:tabs>
          <w:tab w:val="left" w:pos="709"/>
        </w:tabs>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rsidR="009602BA" w:rsidRPr="00EA7758" w:rsidRDefault="009602BA" w:rsidP="00D53327">
      <w:pPr>
        <w:tabs>
          <w:tab w:val="left" w:pos="709"/>
        </w:tabs>
        <w:spacing w:line="360" w:lineRule="auto"/>
        <w:jc w:val="both"/>
        <w:rPr>
          <w:rFonts w:ascii="Palatino Linotype" w:eastAsiaTheme="minorHAnsi" w:hAnsi="Palatino Linotype" w:cs="Arial"/>
          <w:lang w:val="es-MX" w:eastAsia="en-US"/>
        </w:rPr>
      </w:pPr>
    </w:p>
    <w:p w:rsidR="009602BA" w:rsidRPr="00EA7758" w:rsidRDefault="009602BA" w:rsidP="009602BA">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color w:val="000000" w:themeColor="text1"/>
        </w:rPr>
        <w:t xml:space="preserve">Como señalamos en el antecedente </w:t>
      </w:r>
      <w:r w:rsidRPr="00EA7758">
        <w:rPr>
          <w:rFonts w:ascii="Palatino Linotype" w:hAnsi="Palatino Linotype" w:cs="Arial"/>
          <w:b/>
        </w:rPr>
        <w:t>PRIMERO</w:t>
      </w:r>
      <w:r w:rsidRPr="00EA7758">
        <w:rPr>
          <w:rFonts w:ascii="Palatino Linotype" w:hAnsi="Palatino Linotype" w:cs="Arial"/>
        </w:rPr>
        <w:t xml:space="preserve">; en fecha nueve de mayo de dos mil veintidós, el </w:t>
      </w:r>
      <w:r w:rsidRPr="00EA7758">
        <w:rPr>
          <w:rFonts w:ascii="Palatino Linotype" w:hAnsi="Palatino Linotype" w:cs="Arial"/>
          <w:b/>
        </w:rPr>
        <w:t>Recurrente</w:t>
      </w:r>
      <w:r w:rsidRPr="00EA7758">
        <w:rPr>
          <w:rFonts w:ascii="Palatino Linotype" w:hAnsi="Palatino Linotype" w:cs="Arial"/>
        </w:rPr>
        <w:t xml:space="preserve"> </w:t>
      </w:r>
      <w:r w:rsidRPr="00EA7758">
        <w:rPr>
          <w:rFonts w:ascii="Palatino Linotype" w:hAnsi="Palatino Linotype" w:cs="Arial"/>
          <w:color w:val="000000" w:themeColor="text1"/>
        </w:rPr>
        <w:t>realizó</w:t>
      </w:r>
      <w:r w:rsidRPr="00EA7758">
        <w:rPr>
          <w:rFonts w:ascii="Palatino Linotype" w:hAnsi="Palatino Linotype" w:cs="Arial"/>
          <w:b/>
          <w:color w:val="000000" w:themeColor="text1"/>
        </w:rPr>
        <w:t xml:space="preserve"> </w:t>
      </w:r>
      <w:r w:rsidRPr="00EA7758">
        <w:rPr>
          <w:rFonts w:ascii="Palatino Linotype" w:hAnsi="Palatino Linotype" w:cs="Arial"/>
          <w:color w:val="000000" w:themeColor="text1"/>
        </w:rPr>
        <w:t>la solicitud de acceso a la información con folio</w:t>
      </w:r>
      <w:r w:rsidRPr="00EA7758">
        <w:rPr>
          <w:rFonts w:ascii="Palatino Linotype" w:hAnsi="Palatino Linotype" w:cs="Arial"/>
          <w:b/>
        </w:rPr>
        <w:t xml:space="preserve"> 00477/INFOEM/IP/2022</w:t>
      </w:r>
      <w:r w:rsidRPr="00EA7758">
        <w:rPr>
          <w:rFonts w:ascii="Palatino Linotype" w:hAnsi="Palatino Linotype" w:cs="Arial"/>
          <w:lang w:eastAsia="es-MX"/>
        </w:rPr>
        <w:t>,</w:t>
      </w:r>
      <w:r w:rsidRPr="00EA7758">
        <w:rPr>
          <w:rFonts w:ascii="Palatino Linotype" w:hAnsi="Palatino Linotype" w:cs="Arial"/>
          <w:b/>
          <w:lang w:eastAsia="es-MX"/>
        </w:rPr>
        <w:t xml:space="preserve"> </w:t>
      </w:r>
      <w:r w:rsidRPr="00EA7758">
        <w:rPr>
          <w:rFonts w:ascii="Palatino Linotype" w:hAnsi="Palatino Linotype" w:cs="Arial"/>
        </w:rPr>
        <w:t>requiriendo lo siguiente:</w:t>
      </w:r>
    </w:p>
    <w:p w:rsidR="009602BA" w:rsidRPr="00EA7758" w:rsidRDefault="009602BA" w:rsidP="009602BA">
      <w:pPr>
        <w:autoSpaceDE w:val="0"/>
        <w:autoSpaceDN w:val="0"/>
        <w:adjustRightInd w:val="0"/>
        <w:spacing w:line="360" w:lineRule="auto"/>
        <w:jc w:val="both"/>
        <w:rPr>
          <w:rFonts w:ascii="Palatino Linotype" w:hAnsi="Palatino Linotype" w:cs="Arial"/>
        </w:rPr>
      </w:pPr>
    </w:p>
    <w:p w:rsidR="009602BA" w:rsidRPr="00EA7758" w:rsidRDefault="009602BA" w:rsidP="009602BA">
      <w:pPr>
        <w:pStyle w:val="Prrafodelista"/>
        <w:numPr>
          <w:ilvl w:val="0"/>
          <w:numId w:val="15"/>
        </w:num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 xml:space="preserve">Documento donde conste el fundamento para no publicar sus versiones públicas de las resoluciones. </w:t>
      </w:r>
    </w:p>
    <w:p w:rsidR="009602BA" w:rsidRPr="00EA7758" w:rsidRDefault="009602BA" w:rsidP="009602BA">
      <w:pPr>
        <w:pStyle w:val="Prrafodelista"/>
        <w:numPr>
          <w:ilvl w:val="0"/>
          <w:numId w:val="15"/>
        </w:num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Ya que en su portal IPOMEX dice que no se cuenta con información de esa fracción, o sea no han emitido resoluciones, y en su página de versiones públicas, no están actualizadas, o ¿ustedes pueden violar la ley?</w:t>
      </w:r>
    </w:p>
    <w:p w:rsidR="009602BA" w:rsidRPr="00EA7758" w:rsidRDefault="009602BA" w:rsidP="009602BA">
      <w:pPr>
        <w:autoSpaceDE w:val="0"/>
        <w:autoSpaceDN w:val="0"/>
        <w:adjustRightInd w:val="0"/>
        <w:spacing w:line="360" w:lineRule="auto"/>
        <w:jc w:val="both"/>
        <w:rPr>
          <w:rFonts w:ascii="Palatino Linotype" w:hAnsi="Palatino Linotype" w:cs="Arial"/>
        </w:rPr>
      </w:pPr>
    </w:p>
    <w:p w:rsidR="009602BA" w:rsidRPr="00EA7758" w:rsidRDefault="009602BA" w:rsidP="009602BA">
      <w:pPr>
        <w:pStyle w:val="Prrafodelista"/>
        <w:spacing w:line="360" w:lineRule="auto"/>
        <w:ind w:left="0"/>
        <w:contextualSpacing/>
        <w:jc w:val="both"/>
        <w:rPr>
          <w:lang w:val="es-MX" w:eastAsia="en-US"/>
        </w:rPr>
      </w:pPr>
      <w:r w:rsidRPr="00EA7758">
        <w:rPr>
          <w:rFonts w:ascii="Palatino Linotype" w:hAnsi="Palatino Linotype"/>
          <w:color w:val="000000"/>
        </w:rPr>
        <w:lastRenderedPageBreak/>
        <w:t xml:space="preserve">Es de destacar que en dicha solicitud, se observa en primer lugar que la información solicitada fue formulada parcialmente a través de planteamientos en donde </w:t>
      </w:r>
      <w:r w:rsidRPr="00EA7758">
        <w:rPr>
          <w:rFonts w:ascii="Palatino Linotype" w:hAnsi="Palatino Linotype" w:cs="Arial"/>
          <w:b/>
          <w:bCs/>
          <w:iCs/>
          <w:color w:val="222222"/>
        </w:rPr>
        <w:t>no se identifica un documento en específico</w:t>
      </w:r>
      <w:r w:rsidRPr="00EA7758">
        <w:rPr>
          <w:rFonts w:ascii="Palatino Linotype" w:hAnsi="Palatino Linotype"/>
          <w:color w:val="000000"/>
        </w:rPr>
        <w:t>, en segundo lugar se aprecia que en la misma se vierten manifestaciones subjetivas que no pueden ser atendidas mediante el Derecho de Acceso a la Información.</w:t>
      </w:r>
    </w:p>
    <w:p w:rsidR="009602BA" w:rsidRPr="00EA7758" w:rsidRDefault="009602BA" w:rsidP="009602BA">
      <w:pPr>
        <w:pStyle w:val="Prrafodelista"/>
        <w:autoSpaceDE w:val="0"/>
        <w:autoSpaceDN w:val="0"/>
        <w:adjustRightInd w:val="0"/>
        <w:spacing w:line="360" w:lineRule="auto"/>
        <w:ind w:left="0"/>
        <w:contextualSpacing/>
        <w:jc w:val="both"/>
        <w:rPr>
          <w:rFonts w:ascii="Palatino Linotype" w:hAnsi="Palatino Linotype"/>
        </w:rPr>
      </w:pPr>
    </w:p>
    <w:p w:rsidR="009602BA" w:rsidRPr="00EA7758" w:rsidRDefault="009602BA" w:rsidP="009602BA">
      <w:pPr>
        <w:pStyle w:val="Prrafodelista"/>
        <w:autoSpaceDE w:val="0"/>
        <w:autoSpaceDN w:val="0"/>
        <w:adjustRightInd w:val="0"/>
        <w:spacing w:line="360" w:lineRule="auto"/>
        <w:ind w:left="0"/>
        <w:contextualSpacing/>
        <w:jc w:val="both"/>
        <w:rPr>
          <w:rFonts w:ascii="Palatino Linotype" w:hAnsi="Palatino Linotype" w:cs="Arial"/>
          <w:lang w:val="es-MX"/>
        </w:rPr>
      </w:pPr>
      <w:r w:rsidRPr="00EA7758">
        <w:rPr>
          <w:rFonts w:ascii="Palatino Linotype" w:hAnsi="Palatino Linotype"/>
        </w:rPr>
        <w:t xml:space="preserve">Bajo éste tenor cabe aclarar que cuando los planteamientos que formulen los particulares se pueda colmar con la entrega de </w:t>
      </w:r>
      <w:r w:rsidRPr="00EA7758">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EA7758">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9602BA" w:rsidRPr="00EA7758" w:rsidRDefault="009602BA" w:rsidP="009602BA">
      <w:pPr>
        <w:pStyle w:val="Prrafodelista"/>
        <w:autoSpaceDE w:val="0"/>
        <w:autoSpaceDN w:val="0"/>
        <w:adjustRightInd w:val="0"/>
        <w:spacing w:line="360" w:lineRule="auto"/>
        <w:ind w:left="0"/>
        <w:contextualSpacing/>
        <w:jc w:val="both"/>
        <w:rPr>
          <w:rFonts w:ascii="Palatino Linotype" w:hAnsi="Palatino Linotype" w:cs="Arial"/>
          <w:lang w:val="es-MX"/>
        </w:rPr>
      </w:pPr>
    </w:p>
    <w:p w:rsidR="009602BA" w:rsidRPr="00EA7758" w:rsidRDefault="009602BA" w:rsidP="009602B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EA7758">
        <w:rPr>
          <w:rFonts w:ascii="Palatino Linotype" w:hAnsi="Palatino Linotype" w:cs="Arial"/>
          <w:color w:val="000000" w:themeColor="text1"/>
        </w:rPr>
        <w:t>Sirve de sustento a lo anterior, el</w:t>
      </w:r>
      <w:r w:rsidRPr="00EA7758">
        <w:rPr>
          <w:rStyle w:val="apple-converted-space"/>
          <w:rFonts w:ascii="Palatino Linotype" w:eastAsia="Calibri" w:hAnsi="Palatino Linotype" w:cs="Arial"/>
          <w:color w:val="000000" w:themeColor="text1"/>
        </w:rPr>
        <w:t xml:space="preserve"> </w:t>
      </w:r>
      <w:r w:rsidRPr="00EA7758">
        <w:rPr>
          <w:rStyle w:val="il"/>
          <w:rFonts w:ascii="Palatino Linotype" w:hAnsi="Palatino Linotype" w:cs="Arial"/>
          <w:color w:val="000000" w:themeColor="text1"/>
        </w:rPr>
        <w:t>Criterio</w:t>
      </w:r>
      <w:r w:rsidRPr="00EA7758">
        <w:rPr>
          <w:rStyle w:val="apple-converted-space"/>
          <w:rFonts w:ascii="Palatino Linotype" w:eastAsia="Calibri" w:hAnsi="Palatino Linotype" w:cs="Arial"/>
          <w:color w:val="000000" w:themeColor="text1"/>
        </w:rPr>
        <w:t xml:space="preserve"> </w:t>
      </w:r>
      <w:r w:rsidRPr="00EA7758">
        <w:rPr>
          <w:rStyle w:val="il"/>
          <w:rFonts w:ascii="Palatino Linotype" w:hAnsi="Palatino Linotype" w:cs="Arial"/>
          <w:color w:val="000000" w:themeColor="text1"/>
        </w:rPr>
        <w:t>028</w:t>
      </w:r>
      <w:r w:rsidRPr="00EA7758">
        <w:rPr>
          <w:rFonts w:ascii="Palatino Linotype" w:hAnsi="Palatino Linotype" w:cs="Arial"/>
          <w:color w:val="000000" w:themeColor="text1"/>
        </w:rPr>
        <w:t>-</w:t>
      </w:r>
      <w:r w:rsidRPr="00EA7758">
        <w:rPr>
          <w:rStyle w:val="il"/>
          <w:rFonts w:ascii="Palatino Linotype" w:hAnsi="Palatino Linotype" w:cs="Arial"/>
          <w:color w:val="000000" w:themeColor="text1"/>
        </w:rPr>
        <w:t>10,</w:t>
      </w:r>
      <w:r w:rsidRPr="00EA7758">
        <w:rPr>
          <w:rStyle w:val="apple-converted-space"/>
          <w:rFonts w:ascii="Palatino Linotype" w:eastAsia="Calibri" w:hAnsi="Palatino Linotype" w:cs="Arial"/>
          <w:color w:val="000000" w:themeColor="text1"/>
        </w:rPr>
        <w:t xml:space="preserve"> </w:t>
      </w:r>
      <w:r w:rsidRPr="00EA7758">
        <w:rPr>
          <w:rFonts w:ascii="Palatino Linotype" w:hAnsi="Palatino Linotype" w:cs="Arial"/>
          <w:color w:val="000000" w:themeColor="text1"/>
        </w:rPr>
        <w:t>emitido por el Pleno del entonces llamado</w:t>
      </w:r>
      <w:r w:rsidRPr="00EA7758">
        <w:rPr>
          <w:rStyle w:val="apple-converted-space"/>
          <w:rFonts w:ascii="Palatino Linotype" w:eastAsia="Calibri" w:hAnsi="Palatino Linotype" w:cs="Arial"/>
          <w:color w:val="000000" w:themeColor="text1"/>
        </w:rPr>
        <w:t xml:space="preserve"> </w:t>
      </w:r>
      <w:r w:rsidRPr="00EA7758">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EA7758">
        <w:rPr>
          <w:rStyle w:val="apple-converted-space"/>
          <w:rFonts w:ascii="Palatino Linotype" w:eastAsia="Calibri" w:hAnsi="Palatino Linotype" w:cs="Arial"/>
          <w:color w:val="000000" w:themeColor="text1"/>
        </w:rPr>
        <w:t xml:space="preserve"> </w:t>
      </w:r>
      <w:r w:rsidRPr="00EA7758">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A7758">
        <w:rPr>
          <w:rStyle w:val="apple-converted-space"/>
          <w:rFonts w:ascii="Palatino Linotype" w:eastAsia="Calibri" w:hAnsi="Palatino Linotype" w:cs="Arial"/>
          <w:i/>
          <w:iCs/>
          <w:color w:val="000000" w:themeColor="text1"/>
        </w:rPr>
        <w:t xml:space="preserve"> </w:t>
      </w:r>
      <w:r w:rsidRPr="00EA7758">
        <w:rPr>
          <w:rFonts w:ascii="Palatino Linotype" w:hAnsi="Palatino Linotype" w:cs="Arial"/>
          <w:color w:val="000000" w:themeColor="text1"/>
        </w:rPr>
        <w:t xml:space="preserve">aunque el particular lleve a cabo una solicitud de información sin identificar de forma precisa la documentación, </w:t>
      </w:r>
      <w:r w:rsidRPr="00EA7758">
        <w:rPr>
          <w:rFonts w:ascii="Palatino Linotype" w:hAnsi="Palatino Linotype" w:cs="Arial"/>
          <w:b/>
          <w:color w:val="000000" w:themeColor="text1"/>
        </w:rPr>
        <w:t xml:space="preserve">El Sujeto </w:t>
      </w:r>
      <w:r w:rsidRPr="00EA7758">
        <w:rPr>
          <w:rFonts w:ascii="Palatino Linotype" w:hAnsi="Palatino Linotype" w:cs="Arial"/>
          <w:b/>
          <w:color w:val="000000" w:themeColor="text1"/>
        </w:rPr>
        <w:lastRenderedPageBreak/>
        <w:t>Obligado</w:t>
      </w:r>
      <w:r w:rsidRPr="00EA7758">
        <w:rPr>
          <w:rStyle w:val="apple-converted-space"/>
          <w:rFonts w:ascii="Palatino Linotype" w:eastAsia="Calibri" w:hAnsi="Palatino Linotype" w:cs="Arial"/>
          <w:b/>
          <w:color w:val="000000" w:themeColor="text1"/>
        </w:rPr>
        <w:t xml:space="preserve"> </w:t>
      </w:r>
      <w:r w:rsidRPr="00EA7758">
        <w:rPr>
          <w:rFonts w:ascii="Palatino Linotype" w:hAnsi="Palatino Linotype" w:cs="Arial"/>
          <w:color w:val="000000" w:themeColor="text1"/>
        </w:rPr>
        <w:t>deberá hacer entrega del mismo al solicitante</w:t>
      </w:r>
      <w:r w:rsidRPr="00EA7758">
        <w:rPr>
          <w:rStyle w:val="apple-converted-space"/>
          <w:rFonts w:ascii="Palatino Linotype" w:eastAsia="Calibri" w:hAnsi="Palatino Linotype" w:cs="Arial"/>
          <w:color w:val="000000" w:themeColor="text1"/>
        </w:rPr>
        <w:t xml:space="preserve"> </w:t>
      </w:r>
      <w:r w:rsidRPr="00EA7758">
        <w:rPr>
          <w:rFonts w:ascii="Palatino Linotype" w:hAnsi="Palatino Linotype" w:cs="Arial"/>
          <w:color w:val="000000" w:themeColor="text1"/>
        </w:rPr>
        <w:t>mismo que a continuación se cita:</w:t>
      </w:r>
    </w:p>
    <w:p w:rsidR="009602BA" w:rsidRPr="00EA7758" w:rsidRDefault="009602BA" w:rsidP="009602BA">
      <w:pPr>
        <w:pStyle w:val="Sinespaciado"/>
        <w:rPr>
          <w:sz w:val="18"/>
        </w:rPr>
      </w:pPr>
    </w:p>
    <w:p w:rsidR="009602BA" w:rsidRPr="00EA7758" w:rsidRDefault="009602BA" w:rsidP="009602BA">
      <w:pPr>
        <w:pStyle w:val="Prrafodelista"/>
        <w:autoSpaceDE w:val="0"/>
        <w:autoSpaceDN w:val="0"/>
        <w:adjustRightInd w:val="0"/>
        <w:ind w:left="851" w:right="708"/>
        <w:jc w:val="both"/>
        <w:rPr>
          <w:rFonts w:ascii="Palatino Linotype" w:hAnsi="Palatino Linotype" w:cs="Arial"/>
        </w:rPr>
      </w:pPr>
      <w:r w:rsidRPr="00EA7758">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A7758">
        <w:rPr>
          <w:rStyle w:val="apple-converted-space"/>
          <w:rFonts w:ascii="Palatino Linotype" w:eastAsia="Calibri" w:hAnsi="Palatino Linotype" w:cs="Arial"/>
          <w:i/>
          <w:iCs/>
          <w:color w:val="000000" w:themeColor="text1"/>
          <w:sz w:val="22"/>
          <w:szCs w:val="22"/>
          <w:lang w:val="es-ES_tradnl"/>
        </w:rPr>
        <w:t xml:space="preserve"> </w:t>
      </w:r>
      <w:r w:rsidRPr="00EA7758">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9602BA" w:rsidRPr="00EA7758" w:rsidRDefault="009602BA" w:rsidP="009602BA">
      <w:pPr>
        <w:spacing w:line="360" w:lineRule="auto"/>
        <w:jc w:val="both"/>
        <w:rPr>
          <w:rFonts w:ascii="Palatino Linotype" w:hAnsi="Palatino Linotype"/>
        </w:rPr>
      </w:pPr>
    </w:p>
    <w:p w:rsidR="009602BA" w:rsidRPr="00EA7758" w:rsidRDefault="009602BA" w:rsidP="009602BA">
      <w:pPr>
        <w:spacing w:line="360" w:lineRule="auto"/>
        <w:ind w:right="141"/>
        <w:jc w:val="both"/>
        <w:rPr>
          <w:rFonts w:ascii="Palatino Linotype" w:hAnsi="Palatino Linotype" w:cs="Arial"/>
          <w:bCs/>
        </w:rPr>
      </w:pPr>
      <w:r w:rsidRPr="00EA7758">
        <w:rPr>
          <w:rFonts w:ascii="Palatino Linotype" w:hAnsi="Palatino Linotype" w:cs="Arial"/>
        </w:rPr>
        <w:t xml:space="preserve">Así que, hay que hacer un énfasis en que </w:t>
      </w:r>
      <w:r w:rsidRPr="00EA7758">
        <w:rPr>
          <w:rFonts w:ascii="Palatino Linotype" w:eastAsia="MS Mincho" w:hAnsi="Palatino Linotype"/>
        </w:rPr>
        <w:t>son solicitudes que deben señalarse</w:t>
      </w:r>
      <w:r w:rsidRPr="00EA7758">
        <w:rPr>
          <w:rFonts w:ascii="Palatino Linotype" w:hAnsi="Palatino Linotype"/>
          <w:i/>
        </w:rPr>
        <w:t xml:space="preserve">, </w:t>
      </w:r>
      <w:r w:rsidRPr="00EA7758">
        <w:rPr>
          <w:rFonts w:ascii="Palatino Linotype" w:hAnsi="Palatino Linotype" w:cs="Arial"/>
        </w:rPr>
        <w:t xml:space="preserve">no constituyen un derecho de acceso a la información pública y por lo tanto </w:t>
      </w:r>
      <w:r w:rsidRPr="00EA7758">
        <w:rPr>
          <w:rFonts w:ascii="Palatino Linotype" w:hAnsi="Palatino Linotype" w:cs="Arial"/>
          <w:b/>
          <w:u w:val="single"/>
        </w:rPr>
        <w:t>no es atendible mediante una solicitud de Acceso a la Información</w:t>
      </w:r>
      <w:r w:rsidRPr="00EA7758">
        <w:rPr>
          <w:rFonts w:ascii="Palatino Linotype" w:hAnsi="Palatino Linotype" w:cs="Arial"/>
        </w:rPr>
        <w:t xml:space="preserve">, porque se tratan de manifestaciones subjetivas vertidas por el particular, </w:t>
      </w:r>
      <w:r w:rsidRPr="00EA7758">
        <w:rPr>
          <w:rFonts w:ascii="Palatino Linotype" w:hAnsi="Palatino Linotype" w:cs="Arial"/>
          <w:b/>
        </w:rPr>
        <w:t>interrogantes</w:t>
      </w:r>
      <w:r w:rsidRPr="00EA7758">
        <w:rPr>
          <w:rFonts w:ascii="Palatino Linotype" w:hAnsi="Palatino Linotype" w:cs="Arial"/>
        </w:rPr>
        <w:t xml:space="preserve"> y declaraciones que no se colman con la entrega de documentos, situación que conlleva a afirmar que se está en presencia del ejercicio del </w:t>
      </w:r>
      <w:r w:rsidRPr="00EA7758">
        <w:rPr>
          <w:rFonts w:ascii="Palatino Linotype" w:hAnsi="Palatino Linotype" w:cs="Arial"/>
          <w:b/>
          <w:u w:val="single"/>
        </w:rPr>
        <w:t>DERECHO DE PETICIÓN</w:t>
      </w:r>
      <w:r w:rsidRPr="00EA7758">
        <w:rPr>
          <w:rFonts w:ascii="Palatino Linotype" w:hAnsi="Palatino Linotype" w:cs="Arial"/>
        </w:rPr>
        <w:t>.</w:t>
      </w:r>
    </w:p>
    <w:p w:rsidR="009602BA" w:rsidRPr="00EA7758" w:rsidRDefault="009602BA" w:rsidP="009602BA">
      <w:pPr>
        <w:pStyle w:val="Prrafodelista"/>
        <w:spacing w:line="360" w:lineRule="auto"/>
        <w:ind w:left="0"/>
        <w:jc w:val="both"/>
        <w:rPr>
          <w:rFonts w:ascii="Palatino Linotype" w:hAnsi="Palatino Linotype"/>
          <w:sz w:val="22"/>
          <w:szCs w:val="22"/>
        </w:rPr>
      </w:pPr>
    </w:p>
    <w:p w:rsidR="009602BA" w:rsidRPr="00EA7758" w:rsidRDefault="009602BA" w:rsidP="00EE7775">
      <w:pPr>
        <w:spacing w:line="360" w:lineRule="auto"/>
        <w:ind w:right="141"/>
        <w:jc w:val="both"/>
        <w:rPr>
          <w:rFonts w:ascii="Palatino Linotype" w:hAnsi="Palatino Linotype" w:cs="Arial"/>
        </w:rPr>
      </w:pPr>
      <w:r w:rsidRPr="00EA7758">
        <w:rPr>
          <w:rFonts w:ascii="Palatino Linotype" w:hAnsi="Palatino Linotype" w:cs="Arial"/>
        </w:rPr>
        <w:t xml:space="preserve">Por lo que la entrega de una razón o un razonamiento por parte del </w:t>
      </w:r>
      <w:r w:rsidRPr="00EA7758">
        <w:rPr>
          <w:rFonts w:ascii="Palatino Linotype" w:hAnsi="Palatino Linotype" w:cs="Arial"/>
          <w:b/>
        </w:rPr>
        <w:t>Sujeto Obligado</w:t>
      </w:r>
      <w:r w:rsidRPr="00EA7758">
        <w:rPr>
          <w:rFonts w:ascii="Palatino Linotype" w:hAnsi="Palatino Linotype" w:cs="Arial"/>
        </w:rPr>
        <w:t xml:space="preserve"> no es algo que la ley establezca como atribución, derecho, o facultad; pues ello implicaría un juicio de valor referente a </w:t>
      </w:r>
      <w:r w:rsidRPr="00EA7758">
        <w:rPr>
          <w:rFonts w:ascii="Palatino Linotype" w:hAnsi="Palatino Linotype" w:cs="Arial"/>
          <w:b/>
          <w:u w:val="single"/>
        </w:rPr>
        <w:t>un cuestionamiento</w:t>
      </w:r>
      <w:r w:rsidRPr="00EA7758">
        <w:rPr>
          <w:rFonts w:ascii="Palatino Linotype" w:hAnsi="Palatino Linotype" w:cs="Arial"/>
        </w:rPr>
        <w:t xml:space="preserve"> realizado, los cuales, </w:t>
      </w:r>
      <w:r w:rsidRPr="00EA7758">
        <w:rPr>
          <w:rFonts w:ascii="Palatino Linotype" w:hAnsi="Palatino Linotype" w:cs="Arial"/>
          <w:b/>
          <w:u w:val="single"/>
        </w:rPr>
        <w:t xml:space="preserve">al </w:t>
      </w:r>
      <w:r w:rsidRPr="00EA7758">
        <w:rPr>
          <w:rFonts w:ascii="Palatino Linotype" w:hAnsi="Palatino Linotype" w:cs="Arial"/>
          <w:b/>
          <w:u w:val="single"/>
        </w:rPr>
        <w:lastRenderedPageBreak/>
        <w:t>constituir interrogantes</w:t>
      </w:r>
      <w:r w:rsidRPr="00EA7758">
        <w:rPr>
          <w:rFonts w:ascii="Palatino Linotype" w:hAnsi="Palatino Linotype" w:cs="Arial"/>
        </w:rPr>
        <w:t xml:space="preserve">, </w:t>
      </w:r>
      <w:r w:rsidRPr="00EA7758">
        <w:rPr>
          <w:rFonts w:ascii="Palatino Linotype" w:hAnsi="Palatino Linotype" w:cs="Arial"/>
          <w:b/>
          <w:u w:val="single"/>
        </w:rPr>
        <w:t>inquietudes</w:t>
      </w:r>
      <w:r w:rsidRPr="00EA7758">
        <w:rPr>
          <w:rFonts w:ascii="Palatino Linotype" w:hAnsi="Palatino Linotype" w:cs="Arial"/>
        </w:rPr>
        <w:t xml:space="preserve"> y manifestaciones se satisfacen vía derecho de petición.</w:t>
      </w:r>
    </w:p>
    <w:p w:rsidR="005909E0" w:rsidRPr="00EA7758" w:rsidRDefault="005909E0" w:rsidP="009602BA">
      <w:pPr>
        <w:spacing w:line="360" w:lineRule="auto"/>
        <w:jc w:val="both"/>
        <w:rPr>
          <w:rFonts w:ascii="Palatino Linotype" w:hAnsi="Palatino Linotype" w:cs="Arial"/>
        </w:rPr>
      </w:pPr>
    </w:p>
    <w:p w:rsidR="009602BA" w:rsidRPr="00EA7758" w:rsidRDefault="009602BA" w:rsidP="009602BA">
      <w:pPr>
        <w:spacing w:line="360" w:lineRule="auto"/>
        <w:jc w:val="both"/>
        <w:rPr>
          <w:rFonts w:ascii="Palatino Linotype" w:hAnsi="Palatino Linotype" w:cs="Arial"/>
        </w:rPr>
      </w:pPr>
      <w:r w:rsidRPr="00EA7758">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9602BA" w:rsidRPr="00EA7758" w:rsidRDefault="009602BA" w:rsidP="009602BA">
      <w:pPr>
        <w:spacing w:line="360" w:lineRule="auto"/>
        <w:jc w:val="both"/>
        <w:rPr>
          <w:rFonts w:ascii="Palatino Linotype" w:hAnsi="Palatino Linotype" w:cs="Arial"/>
        </w:rPr>
      </w:pPr>
    </w:p>
    <w:p w:rsidR="009602BA" w:rsidRPr="00EA7758" w:rsidRDefault="009602BA" w:rsidP="009602BA">
      <w:pPr>
        <w:spacing w:line="360" w:lineRule="auto"/>
        <w:jc w:val="both"/>
        <w:rPr>
          <w:rFonts w:ascii="Palatino Linotype" w:hAnsi="Palatino Linotype" w:cs="Arial"/>
        </w:rPr>
      </w:pPr>
      <w:r w:rsidRPr="00EA7758">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EA7758">
        <w:rPr>
          <w:rFonts w:ascii="Palatino Linotype" w:hAnsi="Palatino Linotype" w:cs="Arial"/>
          <w:b/>
        </w:rPr>
        <w:t>cualquier otro registro que documente el ejercicio de las facultades, funciones y competencias de los Sujetos Obligados</w:t>
      </w:r>
      <w:r w:rsidRPr="00EA7758">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EE7775" w:rsidRPr="00EA7758" w:rsidRDefault="00EE7775" w:rsidP="009602BA">
      <w:pPr>
        <w:spacing w:line="360" w:lineRule="auto"/>
        <w:jc w:val="both"/>
        <w:rPr>
          <w:rFonts w:ascii="Palatino Linotype" w:hAnsi="Palatino Linotype" w:cs="Arial"/>
        </w:rPr>
      </w:pPr>
    </w:p>
    <w:p w:rsidR="009602BA" w:rsidRPr="00EA7758" w:rsidRDefault="009602BA" w:rsidP="009602BA">
      <w:pPr>
        <w:spacing w:line="360" w:lineRule="auto"/>
        <w:jc w:val="both"/>
        <w:rPr>
          <w:rFonts w:ascii="Palatino Linotype" w:hAnsi="Palatino Linotype" w:cs="Arial"/>
          <w:b/>
          <w:u w:val="single"/>
        </w:rPr>
      </w:pPr>
      <w:r w:rsidRPr="00EA7758">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EA7758">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A7758">
        <w:rPr>
          <w:rFonts w:ascii="Palatino Linotype" w:hAnsi="Palatino Linotype" w:cs="Arial"/>
          <w:bCs/>
          <w:lang w:eastAsia="es-CO"/>
        </w:rPr>
        <w:t xml:space="preserve">segundo supuesto </w:t>
      </w:r>
      <w:r w:rsidRPr="00EA7758">
        <w:rPr>
          <w:rFonts w:ascii="Palatino Linotype" w:hAnsi="Palatino Linotype" w:cs="Arial"/>
          <w:b/>
          <w:bCs/>
          <w:u w:val="single"/>
          <w:lang w:eastAsia="es-CO"/>
        </w:rPr>
        <w:t>la solicitud de acceso a la información pública se encamina primordialmente a</w:t>
      </w:r>
      <w:r w:rsidRPr="00EA7758">
        <w:rPr>
          <w:rFonts w:ascii="Palatino Linotype" w:hAnsi="Palatino Linotype" w:cs="Arial"/>
          <w:b/>
          <w:u w:val="single"/>
        </w:rPr>
        <w:t xml:space="preserve"> permitir el </w:t>
      </w:r>
      <w:r w:rsidRPr="00EA7758">
        <w:rPr>
          <w:rFonts w:ascii="Palatino Linotype" w:hAnsi="Palatino Linotype" w:cs="Arial"/>
          <w:b/>
          <w:u w:val="single"/>
          <w:lang w:eastAsia="es-CO"/>
        </w:rPr>
        <w:t xml:space="preserve">acceso a datos, registros y todo tipo de información </w:t>
      </w:r>
      <w:r w:rsidRPr="00EA7758">
        <w:rPr>
          <w:rFonts w:ascii="Palatino Linotype" w:hAnsi="Palatino Linotype" w:cs="Arial"/>
          <w:b/>
          <w:u w:val="single"/>
          <w:lang w:eastAsia="es-CO"/>
        </w:rPr>
        <w:lastRenderedPageBreak/>
        <w:t xml:space="preserve">pública que conste en documentos, sea generada o se encuentre en posesión de </w:t>
      </w:r>
      <w:r w:rsidRPr="00EA7758">
        <w:rPr>
          <w:rFonts w:ascii="Palatino Linotype" w:hAnsi="Palatino Linotype" w:cs="Arial"/>
          <w:b/>
          <w:u w:val="single"/>
        </w:rPr>
        <w:t xml:space="preserve">la autoridad. </w:t>
      </w:r>
    </w:p>
    <w:p w:rsidR="009602BA" w:rsidRPr="00EA7758" w:rsidRDefault="009602BA" w:rsidP="009602BA">
      <w:pPr>
        <w:spacing w:line="360" w:lineRule="auto"/>
        <w:jc w:val="both"/>
        <w:rPr>
          <w:rFonts w:ascii="Palatino Linotype" w:hAnsi="Palatino Linotype"/>
        </w:rPr>
      </w:pPr>
    </w:p>
    <w:p w:rsidR="009602BA" w:rsidRPr="00EA7758" w:rsidRDefault="009602BA" w:rsidP="009602BA">
      <w:pPr>
        <w:spacing w:line="360" w:lineRule="auto"/>
        <w:jc w:val="both"/>
        <w:rPr>
          <w:rFonts w:ascii="Palatino Linotype" w:hAnsi="Palatino Linotype"/>
        </w:rPr>
      </w:pPr>
      <w:r w:rsidRPr="00EA7758">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rsidR="009602BA" w:rsidRPr="00EA7758" w:rsidRDefault="009602BA" w:rsidP="009602BA">
      <w:pPr>
        <w:spacing w:line="360" w:lineRule="auto"/>
        <w:jc w:val="both"/>
        <w:rPr>
          <w:rFonts w:ascii="Palatino Linotype" w:hAnsi="Palatino Linotype"/>
        </w:rPr>
      </w:pPr>
    </w:p>
    <w:p w:rsidR="009602BA" w:rsidRPr="00EA7758" w:rsidRDefault="009602BA" w:rsidP="009602BA">
      <w:pPr>
        <w:pStyle w:val="Prrafodelista"/>
        <w:numPr>
          <w:ilvl w:val="0"/>
          <w:numId w:val="16"/>
        </w:numPr>
        <w:spacing w:line="360" w:lineRule="auto"/>
        <w:jc w:val="both"/>
        <w:rPr>
          <w:rFonts w:ascii="Palatino Linotype" w:hAnsi="Palatino Linotype"/>
        </w:rPr>
      </w:pPr>
      <w:r w:rsidRPr="00EA7758">
        <w:rPr>
          <w:rFonts w:ascii="Palatino Linotype" w:hAnsi="Palatino Linotype"/>
        </w:rPr>
        <w:t>Que uno de los objetivos de la Ley es proveer lo necesario para garantizar a toda persona el derecho de acceso a la información pública;</w:t>
      </w:r>
    </w:p>
    <w:p w:rsidR="009602BA" w:rsidRPr="00EA7758" w:rsidRDefault="009602BA" w:rsidP="009602BA">
      <w:pPr>
        <w:pStyle w:val="Prrafodelista"/>
        <w:spacing w:line="360" w:lineRule="auto"/>
        <w:ind w:left="720"/>
        <w:jc w:val="both"/>
        <w:rPr>
          <w:rFonts w:ascii="Palatino Linotype" w:hAnsi="Palatino Linotype"/>
        </w:rPr>
      </w:pPr>
    </w:p>
    <w:p w:rsidR="009602BA" w:rsidRPr="00EA7758" w:rsidRDefault="009602BA" w:rsidP="009602BA">
      <w:pPr>
        <w:pStyle w:val="Prrafodelista"/>
        <w:numPr>
          <w:ilvl w:val="0"/>
          <w:numId w:val="16"/>
        </w:numPr>
        <w:spacing w:line="360" w:lineRule="auto"/>
        <w:jc w:val="both"/>
        <w:rPr>
          <w:rFonts w:ascii="Palatino Linotype" w:hAnsi="Palatino Linotype"/>
        </w:rPr>
      </w:pPr>
      <w:r w:rsidRPr="00EA7758">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9602BA" w:rsidRPr="00EA7758" w:rsidRDefault="009602BA" w:rsidP="009602BA">
      <w:pPr>
        <w:rPr>
          <w:rFonts w:asciiTheme="minorHAnsi" w:eastAsiaTheme="minorHAnsi" w:hAnsiTheme="minorHAnsi" w:cstheme="minorBidi"/>
          <w:sz w:val="22"/>
          <w:szCs w:val="22"/>
          <w:lang w:val="es-MX" w:eastAsia="en-US"/>
        </w:rPr>
      </w:pPr>
    </w:p>
    <w:p w:rsidR="009602BA" w:rsidRPr="00EA7758" w:rsidRDefault="009602BA" w:rsidP="009602BA">
      <w:pPr>
        <w:spacing w:line="360" w:lineRule="auto"/>
        <w:jc w:val="both"/>
        <w:rPr>
          <w:rFonts w:ascii="Palatino Linotype" w:eastAsiaTheme="minorHAnsi" w:hAnsi="Palatino Linotype" w:cs="TimesNewRomanPS-ItalicMT"/>
          <w:iCs/>
          <w:lang w:val="es-MX" w:eastAsia="en-US"/>
        </w:rPr>
      </w:pPr>
      <w:r w:rsidRPr="00EA7758">
        <w:rPr>
          <w:rFonts w:ascii="Palatino Linotype" w:eastAsiaTheme="minorHAnsi" w:hAnsi="Palatino Linotype" w:cs="TimesNewRomanPS-ItalicMT"/>
          <w:iCs/>
          <w:lang w:val="es-MX" w:eastAsia="en-US"/>
        </w:rPr>
        <w:t xml:space="preserve">En vista de lo anterior, el </w:t>
      </w:r>
      <w:r w:rsidRPr="00EA7758">
        <w:rPr>
          <w:rFonts w:ascii="Palatino Linotype" w:eastAsiaTheme="minorHAnsi" w:hAnsi="Palatino Linotype" w:cs="TimesNewRomanPS-ItalicMT"/>
          <w:b/>
          <w:iCs/>
          <w:lang w:val="es-MX" w:eastAsia="en-US"/>
        </w:rPr>
        <w:t>Sujeto Obligado</w:t>
      </w:r>
      <w:r w:rsidRPr="00EA7758">
        <w:rPr>
          <w:rFonts w:ascii="Palatino Linotype" w:eastAsiaTheme="minorHAnsi" w:hAnsi="Palatino Linotype" w:cs="TimesNewRomanPS-ItalicMT"/>
          <w:iCs/>
          <w:lang w:val="es-MX" w:eastAsia="en-US"/>
        </w:rPr>
        <w:t xml:space="preserve"> mediante </w:t>
      </w:r>
      <w:r w:rsidRPr="00EA7758">
        <w:rPr>
          <w:rFonts w:ascii="Palatino Linotype" w:eastAsiaTheme="minorHAnsi" w:hAnsi="Palatino Linotype" w:cs="Arial"/>
          <w:lang w:val="es-MX" w:eastAsia="en-US"/>
        </w:rPr>
        <w:t xml:space="preserve">el archivo denominado </w:t>
      </w:r>
      <w:r w:rsidRPr="00EA7758">
        <w:rPr>
          <w:rFonts w:ascii="Palatino Linotype" w:eastAsiaTheme="minorHAnsi" w:hAnsi="Palatino Linotype" w:cs="Arial"/>
          <w:i/>
          <w:sz w:val="22"/>
          <w:szCs w:val="22"/>
          <w:lang w:val="es-MX" w:eastAsia="en-US"/>
        </w:rPr>
        <w:t xml:space="preserve">“RespuestaSolicitud00477.zip”; </w:t>
      </w:r>
      <w:r w:rsidRPr="00EA7758">
        <w:rPr>
          <w:rFonts w:ascii="Palatino Linotype" w:eastAsiaTheme="minorHAnsi" w:hAnsi="Palatino Linotype" w:cs="TimesNewRomanPS-ItalicMT"/>
          <w:iCs/>
          <w:lang w:val="es-MX" w:eastAsia="en-US"/>
        </w:rPr>
        <w:t>remitió su respuesta, el cual, constan en lo siguiente:</w:t>
      </w:r>
    </w:p>
    <w:p w:rsidR="009602BA" w:rsidRPr="00EA7758" w:rsidRDefault="009602BA" w:rsidP="009602BA">
      <w:pPr>
        <w:spacing w:line="360" w:lineRule="auto"/>
        <w:jc w:val="both"/>
        <w:rPr>
          <w:rFonts w:ascii="Palatino Linotype" w:eastAsiaTheme="minorHAnsi" w:hAnsi="Palatino Linotype" w:cs="TimesNewRomanPS-ItalicMT"/>
          <w:iCs/>
          <w:lang w:val="es-MX" w:eastAsia="en-US"/>
        </w:rPr>
      </w:pPr>
    </w:p>
    <w:tbl>
      <w:tblPr>
        <w:tblStyle w:val="Tabladecuadrcula5oscu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4900"/>
        <w:gridCol w:w="2029"/>
      </w:tblGrid>
      <w:tr w:rsidR="00900615" w:rsidRPr="00EA7758" w:rsidTr="00900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EA7758" w:rsidRDefault="009602BA" w:rsidP="009602BA">
            <w:pPr>
              <w:jc w:val="center"/>
              <w:rPr>
                <w:rFonts w:ascii="Palatino Linotype" w:eastAsiaTheme="minorHAnsi" w:hAnsi="Palatino Linotype" w:cs="TimesNewRomanPS-ItalicMT"/>
                <w:iCs/>
                <w:color w:val="auto"/>
                <w:lang w:val="es-MX" w:eastAsia="en-US"/>
              </w:rPr>
            </w:pPr>
            <w:r w:rsidRPr="00EA7758">
              <w:rPr>
                <w:rFonts w:ascii="Palatino Linotype" w:eastAsiaTheme="minorHAnsi" w:hAnsi="Palatino Linotype" w:cs="TimesNewRomanPS-ItalicMT"/>
                <w:iCs/>
                <w:color w:val="auto"/>
                <w:lang w:val="es-MX" w:eastAsia="en-US"/>
              </w:rPr>
              <w:lastRenderedPageBreak/>
              <w:t>Solicitud de Información</w:t>
            </w:r>
          </w:p>
        </w:tc>
        <w:tc>
          <w:tcPr>
            <w:tcW w:w="4962"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EA7758"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EA7758">
              <w:rPr>
                <w:rFonts w:ascii="Palatino Linotype" w:eastAsiaTheme="minorHAnsi" w:hAnsi="Palatino Linotype" w:cs="TimesNewRomanPS-ItalicMT"/>
                <w:iCs/>
                <w:color w:val="auto"/>
                <w:lang w:val="es-MX" w:eastAsia="en-US"/>
              </w:rPr>
              <w:t>Respuesta</w:t>
            </w:r>
          </w:p>
        </w:tc>
        <w:tc>
          <w:tcPr>
            <w:tcW w:w="1837"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EA7758"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EA7758">
              <w:rPr>
                <w:rFonts w:ascii="Palatino Linotype" w:eastAsiaTheme="minorHAnsi" w:hAnsi="Palatino Linotype" w:cs="TimesNewRomanPS-ItalicMT"/>
                <w:iCs/>
                <w:color w:val="auto"/>
                <w:lang w:val="es-MX" w:eastAsia="en-US"/>
              </w:rPr>
              <w:t>Cumplimiento</w:t>
            </w:r>
          </w:p>
        </w:tc>
      </w:tr>
      <w:tr w:rsidR="00900615" w:rsidRPr="00EA7758" w:rsidTr="0090061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tcBorders>
            <w:shd w:val="clear" w:color="auto" w:fill="auto"/>
            <w:vAlign w:val="center"/>
          </w:tcPr>
          <w:p w:rsidR="009602BA" w:rsidRPr="00EA7758" w:rsidRDefault="00900615" w:rsidP="00900615">
            <w:pPr>
              <w:jc w:val="both"/>
              <w:rPr>
                <w:rFonts w:ascii="Palatino Linotype" w:eastAsiaTheme="minorHAnsi" w:hAnsi="Palatino Linotype" w:cs="TimesNewRomanPS-ItalicMT"/>
                <w:b w:val="0"/>
                <w:iCs/>
                <w:color w:val="auto"/>
                <w:sz w:val="20"/>
                <w:lang w:val="es-MX" w:eastAsia="en-US"/>
              </w:rPr>
            </w:pPr>
            <w:r w:rsidRPr="00EA7758">
              <w:rPr>
                <w:rFonts w:ascii="Palatino Linotype" w:eastAsiaTheme="minorHAnsi" w:hAnsi="Palatino Linotype" w:cs="TimesNewRomanPS-ItalicMT"/>
                <w:b w:val="0"/>
                <w:iCs/>
                <w:color w:val="auto"/>
                <w:sz w:val="20"/>
                <w:lang w:val="es-MX" w:eastAsia="en-US"/>
              </w:rPr>
              <w:t xml:space="preserve">Documento donde conste el fundamento para no publicar sus versiones públicas de las resoluciones. </w:t>
            </w:r>
          </w:p>
        </w:tc>
        <w:tc>
          <w:tcPr>
            <w:tcW w:w="4962" w:type="dxa"/>
            <w:shd w:val="clear" w:color="auto" w:fill="FFFFFF" w:themeFill="background1"/>
            <w:vAlign w:val="center"/>
          </w:tcPr>
          <w:p w:rsidR="00900615" w:rsidRPr="00EA7758" w:rsidRDefault="00900615" w:rsidP="009602BA">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EA7758">
              <w:rPr>
                <w:rFonts w:ascii="Palatino Linotype" w:eastAsiaTheme="minorHAnsi" w:hAnsi="Palatino Linotype" w:cs="TimesNewRomanPS-ItalicMT"/>
                <w:iCs/>
                <w:sz w:val="22"/>
                <w:lang w:val="es-MX" w:eastAsia="en-US"/>
              </w:rPr>
              <w:t xml:space="preserve">El Servidor Público Habilitad de la Secretaría Técnica del Pleno, informó que, conforme a sus atribuciones previstas en el artículo 19 del Reglamento Interior del INFOEM, todas las resoluciones de los recursos de revisión emitidas por el Pleno del Instituto se encuentran publicadas en versión pública, en la página oficial en el apartado de </w:t>
            </w:r>
            <w:r w:rsidRPr="00EA7758">
              <w:rPr>
                <w:rFonts w:ascii="Palatino Linotype" w:eastAsiaTheme="minorHAnsi" w:hAnsi="Palatino Linotype" w:cs="TimesNewRomanPS-ItalicMT"/>
                <w:b/>
                <w:i/>
                <w:iCs/>
                <w:sz w:val="22"/>
                <w:lang w:val="es-MX" w:eastAsia="en-US"/>
              </w:rPr>
              <w:t>“Información Pública-Recurso de revisión en versión pública”</w:t>
            </w:r>
            <w:r w:rsidRPr="00EA7758">
              <w:rPr>
                <w:rFonts w:ascii="Palatino Linotype" w:eastAsiaTheme="minorHAnsi" w:hAnsi="Palatino Linotype" w:cs="TimesNewRomanPS-ItalicMT"/>
                <w:iCs/>
                <w:sz w:val="22"/>
                <w:lang w:val="es-MX" w:eastAsia="en-US"/>
              </w:rPr>
              <w:t xml:space="preserve">, a través del siguiente link: </w:t>
            </w:r>
            <w:hyperlink r:id="rId9" w:history="1">
              <w:r w:rsidRPr="00EA7758">
                <w:rPr>
                  <w:rStyle w:val="Hipervnculo"/>
                  <w:rFonts w:ascii="Palatino Linotype" w:eastAsiaTheme="minorHAnsi" w:hAnsi="Palatino Linotype" w:cs="TimesNewRomanPS-ItalicMT"/>
                  <w:iCs/>
                  <w:sz w:val="22"/>
                  <w:lang w:val="es-MX" w:eastAsia="en-US"/>
                </w:rPr>
                <w:t>http://www.infoem.org.mx</w:t>
              </w:r>
            </w:hyperlink>
            <w:r w:rsidRPr="00EA7758">
              <w:rPr>
                <w:rFonts w:ascii="Palatino Linotype" w:eastAsiaTheme="minorHAnsi" w:hAnsi="Palatino Linotype" w:cs="TimesNewRomanPS-ItalicMT"/>
                <w:iCs/>
                <w:sz w:val="22"/>
                <w:lang w:val="es-MX" w:eastAsia="en-US"/>
              </w:rPr>
              <w:t xml:space="preserve"> </w:t>
            </w:r>
          </w:p>
          <w:p w:rsidR="00900615" w:rsidRPr="00EA7758" w:rsidRDefault="00900615" w:rsidP="009602BA">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p w:rsidR="00614A53" w:rsidRPr="00EA7758" w:rsidRDefault="00900615" w:rsidP="009602BA">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EA7758">
              <w:rPr>
                <w:rFonts w:ascii="Palatino Linotype" w:eastAsiaTheme="minorHAnsi" w:hAnsi="Palatino Linotype" w:cs="TimesNewRomanPS-ItalicMT"/>
                <w:iCs/>
                <w:sz w:val="22"/>
                <w:lang w:val="es-MX" w:eastAsia="en-US"/>
              </w:rPr>
              <w:t>Asimismo, indicó el procedimiento a seguir, para la obtención de la información solicitada.</w:t>
            </w:r>
          </w:p>
          <w:p w:rsidR="00614A53" w:rsidRPr="00EA7758" w:rsidRDefault="00614A53" w:rsidP="00614A53">
            <w:pPr>
              <w:spacing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EA7758">
              <w:object w:dxaOrig="13680" w:dyaOrig="11130">
                <v:shape id="_x0000_i1026" type="#_x0000_t75" style="width:210.75pt;height:138pt" o:ole="">
                  <v:imagedata r:id="rId10" o:title=""/>
                </v:shape>
                <o:OLEObject Type="Embed" ProgID="PBrush" ShapeID="_x0000_i1026" DrawAspect="Content" ObjectID="_1724424563" r:id="rId11"/>
              </w:object>
            </w:r>
          </w:p>
        </w:tc>
        <w:tc>
          <w:tcPr>
            <w:tcW w:w="1837" w:type="dxa"/>
            <w:shd w:val="clear" w:color="auto" w:fill="FFFFFF" w:themeFill="background1"/>
            <w:vAlign w:val="center"/>
          </w:tcPr>
          <w:p w:rsidR="009602BA" w:rsidRPr="00EA7758" w:rsidRDefault="00900615" w:rsidP="009602B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EA7758">
              <w:rPr>
                <w:rFonts w:ascii="Palatino Linotype" w:eastAsiaTheme="minorHAnsi" w:hAnsi="Palatino Linotype" w:cs="TimesNewRomanPS-ItalicMT"/>
                <w:b/>
                <w:iCs/>
                <w:lang w:val="es-MX" w:eastAsia="en-US"/>
              </w:rPr>
              <w:t>Sí</w:t>
            </w:r>
          </w:p>
        </w:tc>
      </w:tr>
      <w:tr w:rsidR="00900615" w:rsidRPr="00EA7758" w:rsidTr="00900615">
        <w:trPr>
          <w:trHeight w:val="678"/>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bottom w:val="none" w:sz="0" w:space="0" w:color="auto"/>
            </w:tcBorders>
            <w:shd w:val="clear" w:color="auto" w:fill="auto"/>
            <w:vAlign w:val="center"/>
          </w:tcPr>
          <w:p w:rsidR="00900615" w:rsidRPr="00EA7758" w:rsidRDefault="00900615" w:rsidP="009602BA">
            <w:pPr>
              <w:jc w:val="both"/>
              <w:rPr>
                <w:rFonts w:ascii="Palatino Linotype" w:eastAsiaTheme="minorHAnsi" w:hAnsi="Palatino Linotype" w:cs="TimesNewRomanPS-ItalicMT"/>
                <w:bCs w:val="0"/>
                <w:iCs/>
                <w:sz w:val="20"/>
                <w:lang w:val="es-MX" w:eastAsia="en-US"/>
              </w:rPr>
            </w:pPr>
            <w:r w:rsidRPr="00EA7758">
              <w:rPr>
                <w:rFonts w:ascii="Palatino Linotype" w:eastAsiaTheme="minorHAnsi" w:hAnsi="Palatino Linotype" w:cs="TimesNewRomanPS-ItalicMT"/>
                <w:b w:val="0"/>
                <w:iCs/>
                <w:color w:val="auto"/>
                <w:sz w:val="20"/>
                <w:lang w:val="es-MX" w:eastAsia="en-US"/>
              </w:rPr>
              <w:t>Ya que en su portal IPOMEX dice que no se cuenta con información de esa fracción, o sea no han emitido resoluciones, y en su página de versiones públicas, no están actualizadas, o ¿ustedes pueden violar la ley?</w:t>
            </w:r>
          </w:p>
        </w:tc>
        <w:tc>
          <w:tcPr>
            <w:tcW w:w="4962" w:type="dxa"/>
            <w:shd w:val="clear" w:color="auto" w:fill="FFFFFF" w:themeFill="background1"/>
            <w:vAlign w:val="center"/>
          </w:tcPr>
          <w:p w:rsidR="00900615" w:rsidRPr="00EA7758" w:rsidRDefault="0058348E" w:rsidP="009602BA">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lang w:val="es-MX" w:eastAsia="en-US"/>
              </w:rPr>
            </w:pPr>
            <w:r w:rsidRPr="00EA7758">
              <w:rPr>
                <w:rFonts w:ascii="Palatino Linotype" w:eastAsiaTheme="minorHAnsi" w:hAnsi="Palatino Linotype" w:cs="TimesNewRomanPS-ItalicMT"/>
                <w:iCs/>
                <w:sz w:val="22"/>
                <w:lang w:val="es-MX" w:eastAsia="en-US"/>
              </w:rPr>
              <w:t xml:space="preserve">El Servidor Público Habilitad de la Secretaría Técnica del Pleno, informó que, en dicha solicitud, el particular desea obtener un pronunciamiento sobre dicha circunstancia y no con la intención de acceder a documentos o información que se posee, los cual no es acorde con el derecho de acceso a la información, conforme al artículo 155, fracción III, de la Ley en la materia.  </w:t>
            </w:r>
          </w:p>
          <w:p w:rsidR="0058348E" w:rsidRPr="00EA7758" w:rsidRDefault="0058348E" w:rsidP="009602BA">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lang w:val="es-MX" w:eastAsia="en-US"/>
              </w:rPr>
            </w:pPr>
          </w:p>
          <w:p w:rsidR="0058348E" w:rsidRPr="00EA7758" w:rsidRDefault="0058348E" w:rsidP="009602BA">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sz w:val="22"/>
                <w:lang w:val="es-MX" w:eastAsia="en-US"/>
              </w:rPr>
            </w:pPr>
            <w:r w:rsidRPr="00EA7758">
              <w:rPr>
                <w:rFonts w:ascii="Palatino Linotype" w:eastAsiaTheme="minorHAnsi" w:hAnsi="Palatino Linotype" w:cs="TimesNewRomanPS-ItalicMT"/>
                <w:iCs/>
                <w:sz w:val="22"/>
                <w:lang w:val="es-MX" w:eastAsia="en-US"/>
              </w:rPr>
              <w:lastRenderedPageBreak/>
              <w:t xml:space="preserve">Finalmente, en relación a la manifestación relativa a que no se encuentran actualizadas las versiones públicas de las resoluciones, no se ven sustentadas o justificadas, al no precisar qué versiones públicas a su decir, son las que faltan de publicar. </w:t>
            </w:r>
          </w:p>
        </w:tc>
        <w:tc>
          <w:tcPr>
            <w:tcW w:w="1837" w:type="dxa"/>
            <w:shd w:val="clear" w:color="auto" w:fill="FFFFFF" w:themeFill="background1"/>
            <w:vAlign w:val="center"/>
          </w:tcPr>
          <w:p w:rsidR="00900615" w:rsidRPr="00EA7758" w:rsidRDefault="00900615" w:rsidP="00900615">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lang w:val="es-MX" w:eastAsia="en-US"/>
              </w:rPr>
            </w:pPr>
            <w:r w:rsidRPr="00EA7758">
              <w:rPr>
                <w:rFonts w:ascii="Palatino Linotype" w:eastAsiaTheme="minorHAnsi" w:hAnsi="Palatino Linotype" w:cs="TimesNewRomanPS-ItalicMT"/>
                <w:iCs/>
                <w:lang w:val="es-MX" w:eastAsia="en-US"/>
              </w:rPr>
              <w:lastRenderedPageBreak/>
              <w:t xml:space="preserve">No se da curso a dicho cuestionamiento, por tratarse de un </w:t>
            </w:r>
            <w:r w:rsidRPr="00EA7758">
              <w:rPr>
                <w:rFonts w:ascii="Palatino Linotype" w:eastAsiaTheme="minorHAnsi" w:hAnsi="Palatino Linotype" w:cs="TimesNewRomanPS-ItalicMT"/>
                <w:i/>
                <w:iCs/>
                <w:lang w:val="es-MX" w:eastAsia="en-US"/>
              </w:rPr>
              <w:t>Derecho de Petición</w:t>
            </w:r>
            <w:r w:rsidRPr="00EA7758">
              <w:rPr>
                <w:rFonts w:ascii="Palatino Linotype" w:eastAsiaTheme="minorHAnsi" w:hAnsi="Palatino Linotype" w:cs="TimesNewRomanPS-ItalicMT"/>
                <w:iCs/>
                <w:lang w:val="es-MX" w:eastAsia="en-US"/>
              </w:rPr>
              <w:t>.</w:t>
            </w:r>
          </w:p>
        </w:tc>
      </w:tr>
    </w:tbl>
    <w:p w:rsidR="009602BA" w:rsidRPr="00EA7758" w:rsidRDefault="009602BA" w:rsidP="009602BA">
      <w:pPr>
        <w:spacing w:line="360" w:lineRule="auto"/>
        <w:jc w:val="both"/>
        <w:rPr>
          <w:rFonts w:ascii="Palatino Linotype" w:hAnsi="Palatino Linotype" w:cs="Arial"/>
        </w:rPr>
      </w:pPr>
    </w:p>
    <w:p w:rsidR="009602BA" w:rsidRPr="00EA7758" w:rsidRDefault="009602BA" w:rsidP="009602BA">
      <w:pPr>
        <w:spacing w:line="360" w:lineRule="auto"/>
        <w:jc w:val="both"/>
        <w:rPr>
          <w:rFonts w:ascii="Palatino Linotype" w:eastAsiaTheme="minorHAnsi" w:hAnsi="Palatino Linotype" w:cs="TimesNewRomanPS-ItalicMT"/>
          <w:iCs/>
          <w:lang w:val="es-MX" w:eastAsia="en-US"/>
        </w:rPr>
      </w:pPr>
      <w:r w:rsidRPr="00EA7758">
        <w:rPr>
          <w:rFonts w:ascii="Palatino Linotype" w:hAnsi="Palatino Linotype" w:cs="Arial"/>
        </w:rPr>
        <w:t xml:space="preserve">Por lo que, inconforme con la respuesta emitida por parte del </w:t>
      </w:r>
      <w:r w:rsidRPr="00EA7758">
        <w:rPr>
          <w:rFonts w:ascii="Palatino Linotype" w:hAnsi="Palatino Linotype" w:cs="Arial"/>
          <w:b/>
        </w:rPr>
        <w:t>Sujeto Obligado</w:t>
      </w:r>
      <w:r w:rsidRPr="00EA7758">
        <w:rPr>
          <w:rFonts w:ascii="Palatino Linotype" w:hAnsi="Palatino Linotype" w:cs="Arial"/>
        </w:rPr>
        <w:t xml:space="preserve">, </w:t>
      </w:r>
      <w:r w:rsidR="0058348E" w:rsidRPr="00EA7758">
        <w:rPr>
          <w:rFonts w:ascii="Palatino Linotype" w:hAnsi="Palatino Linotype" w:cs="Arial"/>
          <w:b/>
        </w:rPr>
        <w:t>El</w:t>
      </w:r>
      <w:r w:rsidRPr="00EA7758">
        <w:rPr>
          <w:rFonts w:ascii="Palatino Linotype" w:hAnsi="Palatino Linotype" w:cs="Arial"/>
          <w:b/>
        </w:rPr>
        <w:t xml:space="preserve"> Recurrente </w:t>
      </w:r>
      <w:r w:rsidRPr="00EA7758">
        <w:rPr>
          <w:rFonts w:ascii="Palatino Linotype" w:hAnsi="Palatino Linotype" w:cs="Arial"/>
        </w:rPr>
        <w:t>interpuso el presente recurso de revisión, señalando como sus Razones o Motivos de la Inconformidad, lo siguiente:</w:t>
      </w:r>
      <w:r w:rsidRPr="00EA7758">
        <w:rPr>
          <w:rFonts w:ascii="Palatino Linotype" w:eastAsiaTheme="minorHAnsi" w:hAnsi="Palatino Linotype" w:cs="TimesNewRomanPS-ItalicMT"/>
          <w:iCs/>
          <w:lang w:val="es-MX" w:eastAsia="en-US"/>
        </w:rPr>
        <w:t xml:space="preserve"> </w:t>
      </w:r>
      <w:r w:rsidRPr="00EA7758">
        <w:rPr>
          <w:rFonts w:ascii="Palatino Linotype" w:eastAsiaTheme="minorHAnsi" w:hAnsi="Palatino Linotype" w:cstheme="minorBidi"/>
          <w:i/>
          <w:color w:val="000000"/>
          <w:szCs w:val="22"/>
          <w:lang w:val="es-MX" w:eastAsia="en-US"/>
        </w:rPr>
        <w:t>“</w:t>
      </w:r>
      <w:r w:rsidR="0058348E" w:rsidRPr="00EA7758">
        <w:rPr>
          <w:rFonts w:ascii="Palatino Linotype" w:eastAsiaTheme="minorHAnsi" w:hAnsi="Palatino Linotype" w:cstheme="minorBidi"/>
          <w:i/>
          <w:color w:val="000000"/>
          <w:szCs w:val="22"/>
          <w:lang w:val="es-MX" w:eastAsia="en-US"/>
        </w:rPr>
        <w:t>no están publicadas todas las resoluciones</w:t>
      </w:r>
      <w:r w:rsidRPr="00EA7758">
        <w:rPr>
          <w:rFonts w:ascii="Palatino Linotype" w:eastAsiaTheme="minorHAnsi" w:hAnsi="Palatino Linotype" w:cstheme="minorBidi"/>
          <w:i/>
          <w:color w:val="000000"/>
          <w:szCs w:val="22"/>
          <w:lang w:val="es-MX" w:eastAsia="en-US"/>
        </w:rPr>
        <w:t>" [Sic].</w:t>
      </w:r>
    </w:p>
    <w:p w:rsidR="009602BA" w:rsidRPr="00EA7758" w:rsidRDefault="009602BA" w:rsidP="009602BA">
      <w:pPr>
        <w:spacing w:line="360" w:lineRule="auto"/>
        <w:jc w:val="both"/>
        <w:rPr>
          <w:rFonts w:ascii="Palatino Linotype" w:eastAsiaTheme="minorHAnsi" w:hAnsi="Palatino Linotype" w:cs="Arial"/>
          <w:lang w:val="es-MX" w:eastAsia="es-MX"/>
        </w:rPr>
      </w:pPr>
    </w:p>
    <w:p w:rsidR="009602BA" w:rsidRPr="00EA7758" w:rsidRDefault="009602BA" w:rsidP="009602BA">
      <w:pPr>
        <w:spacing w:line="360" w:lineRule="auto"/>
        <w:jc w:val="both"/>
        <w:rPr>
          <w:rFonts w:ascii="Palatino Linotype" w:eastAsiaTheme="minorHAnsi" w:hAnsi="Palatino Linotype" w:cs="Arial"/>
          <w:lang w:val="es-MX" w:eastAsia="en-US"/>
        </w:rPr>
      </w:pPr>
      <w:r w:rsidRPr="00EA7758">
        <w:rPr>
          <w:rFonts w:ascii="Palatino Linotype" w:hAnsi="Palatino Linotype" w:cs="Arial"/>
        </w:rPr>
        <w:t xml:space="preserve">Así que, en la etapa de manifestaciones, el </w:t>
      </w:r>
      <w:r w:rsidRPr="00EA7758">
        <w:rPr>
          <w:rFonts w:ascii="Palatino Linotype" w:hAnsi="Palatino Linotype" w:cs="Arial"/>
          <w:b/>
        </w:rPr>
        <w:t>Sujeto Obligado</w:t>
      </w:r>
      <w:r w:rsidRPr="00EA7758">
        <w:rPr>
          <w:rFonts w:ascii="Palatino Linotype" w:hAnsi="Palatino Linotype" w:cs="Arial"/>
        </w:rPr>
        <w:t xml:space="preserve"> </w:t>
      </w:r>
      <w:r w:rsidRPr="00EA7758">
        <w:rPr>
          <w:rFonts w:ascii="Palatino Linotype" w:eastAsiaTheme="minorHAnsi" w:hAnsi="Palatino Linotype" w:cs="Arial"/>
          <w:lang w:val="es-MX" w:eastAsia="en-US"/>
        </w:rPr>
        <w:t xml:space="preserve">mediante </w:t>
      </w:r>
      <w:r w:rsidR="0058348E" w:rsidRPr="00EA7758">
        <w:rPr>
          <w:rFonts w:ascii="Palatino Linotype" w:eastAsiaTheme="minorHAnsi" w:hAnsi="Palatino Linotype" w:cs="Arial"/>
          <w:lang w:val="es-MX" w:eastAsia="en-US"/>
        </w:rPr>
        <w:t xml:space="preserve">los diversos archivos remitidos en </w:t>
      </w:r>
      <w:r w:rsidRPr="00EA7758">
        <w:rPr>
          <w:rFonts w:ascii="Palatino Linotype" w:eastAsiaTheme="minorHAnsi" w:hAnsi="Palatino Linotype" w:cs="Arial"/>
          <w:lang w:val="es-MX" w:eastAsia="en-US"/>
        </w:rPr>
        <w:t xml:space="preserve">su Informe Justificado; </w:t>
      </w:r>
      <w:r w:rsidR="00630A94" w:rsidRPr="00EA7758">
        <w:rPr>
          <w:rFonts w:ascii="Palatino Linotype" w:eastAsiaTheme="minorHAnsi" w:hAnsi="Palatino Linotype" w:cs="Arial"/>
          <w:lang w:val="es-MX" w:eastAsia="en-US"/>
        </w:rPr>
        <w:t xml:space="preserve">los cuales, </w:t>
      </w:r>
      <w:r w:rsidRPr="00EA7758">
        <w:rPr>
          <w:rFonts w:ascii="Palatino Linotype" w:eastAsiaTheme="minorHAnsi" w:hAnsi="Palatino Linotype" w:cs="Arial"/>
          <w:lang w:val="es-MX" w:eastAsia="en-US"/>
        </w:rPr>
        <w:t>se desagrega</w:t>
      </w:r>
      <w:r w:rsidR="0058348E" w:rsidRPr="00EA7758">
        <w:rPr>
          <w:rFonts w:ascii="Palatino Linotype" w:eastAsiaTheme="minorHAnsi" w:hAnsi="Palatino Linotype" w:cs="Arial"/>
          <w:lang w:val="es-MX" w:eastAsia="en-US"/>
        </w:rPr>
        <w:t>n</w:t>
      </w:r>
      <w:r w:rsidRPr="00EA7758">
        <w:rPr>
          <w:rFonts w:ascii="Palatino Linotype" w:eastAsiaTheme="minorHAnsi" w:hAnsi="Palatino Linotype" w:cs="Arial"/>
          <w:lang w:val="es-MX" w:eastAsia="en-US"/>
        </w:rPr>
        <w:t xml:space="preserve"> en el siguiente cuadro comparativo</w:t>
      </w:r>
      <w:r w:rsidR="0058348E" w:rsidRPr="00EA7758">
        <w:rPr>
          <w:rFonts w:ascii="Palatino Linotype" w:eastAsiaTheme="minorHAnsi" w:hAnsi="Palatino Linotype" w:cs="Arial"/>
          <w:lang w:val="es-MX" w:eastAsia="en-US"/>
        </w:rPr>
        <w:t>:</w:t>
      </w:r>
    </w:p>
    <w:p w:rsidR="009602BA" w:rsidRPr="00EA7758" w:rsidRDefault="009602BA" w:rsidP="009602BA">
      <w:pPr>
        <w:spacing w:line="360" w:lineRule="auto"/>
        <w:jc w:val="both"/>
        <w:rPr>
          <w:rFonts w:ascii="Palatino Linotype" w:eastAsiaTheme="minorHAnsi" w:hAnsi="Palatino Linotype" w:cs="Arial"/>
          <w:lang w:val="es-MX" w:eastAsia="en-US"/>
        </w:rPr>
      </w:pPr>
    </w:p>
    <w:tbl>
      <w:tblPr>
        <w:tblStyle w:val="Tablaconcuadrcula"/>
        <w:tblW w:w="0" w:type="auto"/>
        <w:tblLook w:val="04A0" w:firstRow="1" w:lastRow="0" w:firstColumn="1" w:lastColumn="0" w:noHBand="0" w:noVBand="1"/>
      </w:tblPr>
      <w:tblGrid>
        <w:gridCol w:w="1870"/>
        <w:gridCol w:w="5405"/>
        <w:gridCol w:w="1836"/>
      </w:tblGrid>
      <w:tr w:rsidR="009602BA" w:rsidRPr="00EA7758" w:rsidTr="00551D6C">
        <w:tc>
          <w:tcPr>
            <w:tcW w:w="1497" w:type="dxa"/>
            <w:shd w:val="clear" w:color="auto" w:fill="BFBFBF" w:themeFill="background1" w:themeFillShade="BF"/>
            <w:vAlign w:val="center"/>
          </w:tcPr>
          <w:p w:rsidR="009602BA" w:rsidRPr="00EA7758" w:rsidRDefault="009602BA" w:rsidP="009602BA">
            <w:pPr>
              <w:jc w:val="center"/>
              <w:rPr>
                <w:rFonts w:ascii="Palatino Linotype" w:eastAsiaTheme="minorHAnsi" w:hAnsi="Palatino Linotype" w:cs="Arial"/>
                <w:b/>
                <w:szCs w:val="22"/>
                <w:lang w:val="es-MX" w:eastAsia="en-US"/>
              </w:rPr>
            </w:pPr>
            <w:r w:rsidRPr="00EA7758">
              <w:rPr>
                <w:rFonts w:ascii="Palatino Linotype" w:eastAsiaTheme="minorHAnsi" w:hAnsi="Palatino Linotype" w:cs="Arial"/>
                <w:b/>
                <w:szCs w:val="22"/>
                <w:lang w:val="es-MX" w:eastAsia="en-US"/>
              </w:rPr>
              <w:t>Razones o Motivos de la Inconformidad</w:t>
            </w:r>
          </w:p>
        </w:tc>
        <w:tc>
          <w:tcPr>
            <w:tcW w:w="5728" w:type="dxa"/>
            <w:shd w:val="clear" w:color="auto" w:fill="BFBFBF" w:themeFill="background1" w:themeFillShade="BF"/>
            <w:vAlign w:val="center"/>
          </w:tcPr>
          <w:p w:rsidR="009602BA" w:rsidRPr="00EA7758" w:rsidRDefault="009602BA" w:rsidP="009602BA">
            <w:pPr>
              <w:jc w:val="center"/>
              <w:rPr>
                <w:rFonts w:ascii="Palatino Linotype" w:eastAsiaTheme="minorHAnsi" w:hAnsi="Palatino Linotype" w:cs="Arial"/>
                <w:b/>
                <w:szCs w:val="22"/>
                <w:lang w:val="es-MX" w:eastAsia="en-US"/>
              </w:rPr>
            </w:pPr>
            <w:r w:rsidRPr="00EA7758">
              <w:rPr>
                <w:rFonts w:ascii="Palatino Linotype" w:eastAsiaTheme="minorHAnsi" w:hAnsi="Palatino Linotype" w:cs="Arial"/>
                <w:b/>
                <w:szCs w:val="22"/>
                <w:lang w:val="es-MX" w:eastAsia="en-US"/>
              </w:rPr>
              <w:t>Información remitida en Informe Justificado</w:t>
            </w:r>
          </w:p>
        </w:tc>
        <w:tc>
          <w:tcPr>
            <w:tcW w:w="1837" w:type="dxa"/>
            <w:shd w:val="clear" w:color="auto" w:fill="BFBFBF" w:themeFill="background1" w:themeFillShade="BF"/>
            <w:vAlign w:val="center"/>
          </w:tcPr>
          <w:p w:rsidR="009602BA" w:rsidRPr="00EA7758" w:rsidRDefault="009602BA" w:rsidP="009602BA">
            <w:pPr>
              <w:jc w:val="center"/>
              <w:rPr>
                <w:rFonts w:ascii="Palatino Linotype" w:eastAsiaTheme="minorHAnsi" w:hAnsi="Palatino Linotype" w:cs="Arial"/>
                <w:b/>
                <w:szCs w:val="22"/>
                <w:lang w:val="es-MX" w:eastAsia="en-US"/>
              </w:rPr>
            </w:pPr>
            <w:r w:rsidRPr="00EA7758">
              <w:rPr>
                <w:rFonts w:ascii="Palatino Linotype" w:eastAsiaTheme="minorHAnsi" w:hAnsi="Palatino Linotype" w:cs="Arial"/>
                <w:b/>
                <w:szCs w:val="22"/>
                <w:lang w:val="es-MX" w:eastAsia="en-US"/>
              </w:rPr>
              <w:t>Cumplimiento</w:t>
            </w:r>
          </w:p>
        </w:tc>
      </w:tr>
      <w:tr w:rsidR="009602BA" w:rsidRPr="00EA7758" w:rsidTr="00551D6C">
        <w:tc>
          <w:tcPr>
            <w:tcW w:w="1497" w:type="dxa"/>
            <w:vAlign w:val="center"/>
          </w:tcPr>
          <w:p w:rsidR="009602BA" w:rsidRPr="00EA7758" w:rsidRDefault="00630A94" w:rsidP="009602BA">
            <w:pPr>
              <w:jc w:val="both"/>
              <w:rPr>
                <w:rFonts w:ascii="Palatino Linotype" w:eastAsiaTheme="minorHAnsi" w:hAnsi="Palatino Linotype" w:cs="Arial"/>
                <w:i/>
                <w:sz w:val="16"/>
                <w:szCs w:val="22"/>
                <w:lang w:val="es-MX" w:eastAsia="en-US"/>
              </w:rPr>
            </w:pPr>
            <w:r w:rsidRPr="00EA7758">
              <w:rPr>
                <w:rFonts w:ascii="Palatino Linotype" w:eastAsiaTheme="minorHAnsi" w:hAnsi="Palatino Linotype" w:cs="Arial"/>
                <w:i/>
                <w:szCs w:val="22"/>
                <w:lang w:val="es-MX" w:eastAsia="en-US"/>
              </w:rPr>
              <w:t>“no están publicadas todas las resoluciones" [Sic].</w:t>
            </w:r>
          </w:p>
        </w:tc>
        <w:tc>
          <w:tcPr>
            <w:tcW w:w="5728" w:type="dxa"/>
            <w:vAlign w:val="center"/>
          </w:tcPr>
          <w:p w:rsidR="009602BA" w:rsidRPr="00EA7758" w:rsidRDefault="00630A94" w:rsidP="00630A94">
            <w:pPr>
              <w:jc w:val="both"/>
              <w:rPr>
                <w:rFonts w:ascii="Palatino Linotype" w:eastAsiaTheme="minorHAnsi" w:hAnsi="Palatino Linotype" w:cs="Arial"/>
                <w:sz w:val="22"/>
                <w:szCs w:val="22"/>
                <w:lang w:val="es-MX" w:eastAsia="en-US"/>
              </w:rPr>
            </w:pPr>
            <w:r w:rsidRPr="00EA7758">
              <w:rPr>
                <w:rFonts w:ascii="Palatino Linotype" w:eastAsiaTheme="minorHAnsi" w:hAnsi="Palatino Linotype" w:cs="Arial"/>
                <w:sz w:val="22"/>
                <w:szCs w:val="22"/>
                <w:lang w:val="es-MX" w:eastAsia="en-US"/>
              </w:rPr>
              <w:t xml:space="preserve">El Titular de la Unidad de Transparencia, informó que, en la vía originaria se estableció que el particular pretendía acceder al documento donde conste el fundamento para no publicar las versiones públicas de las resoluciones, de lo cual es razonado afirmar que resultaba improcedente su entrega, toda vez que la legislación de la materia establece lo contrario, es decir, la obligación de publicar las resoluciones correspondientes, tal y como se advierte de lo previsto en el artículo 97, fracción III, inciso a), de la Ley de </w:t>
            </w:r>
            <w:r w:rsidRPr="00EA7758">
              <w:rPr>
                <w:rFonts w:ascii="Palatino Linotype" w:eastAsiaTheme="minorHAnsi" w:hAnsi="Palatino Linotype" w:cs="Arial"/>
                <w:sz w:val="22"/>
                <w:szCs w:val="22"/>
                <w:lang w:val="es-MX" w:eastAsia="en-US"/>
              </w:rPr>
              <w:lastRenderedPageBreak/>
              <w:t>Transparencia y Acceso a la Información Pública del Estado de México y Municipios.</w:t>
            </w:r>
          </w:p>
          <w:p w:rsidR="00630A94" w:rsidRPr="00EA7758" w:rsidRDefault="00630A94" w:rsidP="00630A94">
            <w:pPr>
              <w:jc w:val="both"/>
              <w:rPr>
                <w:rFonts w:ascii="Palatino Linotype" w:eastAsiaTheme="minorHAnsi" w:hAnsi="Palatino Linotype" w:cs="Arial"/>
                <w:sz w:val="22"/>
                <w:szCs w:val="22"/>
                <w:lang w:val="es-MX" w:eastAsia="en-US"/>
              </w:rPr>
            </w:pPr>
          </w:p>
          <w:p w:rsidR="00630A94" w:rsidRPr="00EA7758" w:rsidRDefault="00630A94" w:rsidP="00630A94">
            <w:pPr>
              <w:jc w:val="both"/>
              <w:rPr>
                <w:rFonts w:ascii="Palatino Linotype" w:eastAsiaTheme="minorHAnsi" w:hAnsi="Palatino Linotype" w:cs="Arial"/>
                <w:sz w:val="22"/>
                <w:szCs w:val="22"/>
                <w:lang w:val="es-MX" w:eastAsia="en-US"/>
              </w:rPr>
            </w:pPr>
            <w:r w:rsidRPr="00EA7758">
              <w:rPr>
                <w:rFonts w:ascii="Palatino Linotype" w:eastAsiaTheme="minorHAnsi" w:hAnsi="Palatino Linotype" w:cs="Arial"/>
                <w:sz w:val="22"/>
                <w:szCs w:val="22"/>
                <w:lang w:val="es-MX" w:eastAsia="en-US"/>
              </w:rPr>
              <w:t>Finalmente, referentes a que el sistema Información Pública de Oficio Mexiquense (IPOMEX), supuestamente no se encuentra actualizado con las resoluciones de mérito, se consideran argumentos inoperantes para rebatir lo actuado en la vía primigenia, esto al tenor de lo que se expone en líneas subsecuentes.</w:t>
            </w:r>
          </w:p>
        </w:tc>
        <w:tc>
          <w:tcPr>
            <w:tcW w:w="1837" w:type="dxa"/>
            <w:vAlign w:val="center"/>
          </w:tcPr>
          <w:p w:rsidR="009602BA" w:rsidRPr="00EA7758" w:rsidRDefault="00630A94" w:rsidP="00630A94">
            <w:pPr>
              <w:jc w:val="center"/>
              <w:rPr>
                <w:rFonts w:ascii="Palatino Linotype" w:eastAsiaTheme="minorHAnsi" w:hAnsi="Palatino Linotype" w:cs="Arial"/>
                <w:szCs w:val="22"/>
                <w:lang w:val="es-MX" w:eastAsia="en-US"/>
              </w:rPr>
            </w:pPr>
            <w:r w:rsidRPr="00EA7758">
              <w:rPr>
                <w:rFonts w:ascii="Palatino Linotype" w:eastAsiaTheme="minorHAnsi" w:hAnsi="Palatino Linotype" w:cs="Arial"/>
                <w:szCs w:val="22"/>
                <w:lang w:val="es-MX" w:eastAsia="en-US"/>
              </w:rPr>
              <w:lastRenderedPageBreak/>
              <w:t>Sí</w:t>
            </w:r>
          </w:p>
        </w:tc>
      </w:tr>
    </w:tbl>
    <w:p w:rsidR="009602BA" w:rsidRPr="00EA7758" w:rsidRDefault="009602BA" w:rsidP="009602BA">
      <w:pPr>
        <w:rPr>
          <w:rFonts w:ascii="Palatino Linotype" w:eastAsiaTheme="minorHAnsi" w:hAnsi="Palatino Linotype" w:cs="Arial"/>
          <w:szCs w:val="22"/>
          <w:lang w:val="es-MX" w:eastAsia="en-US"/>
        </w:rPr>
      </w:pPr>
    </w:p>
    <w:p w:rsidR="009602BA" w:rsidRPr="00EA7758" w:rsidRDefault="009602BA" w:rsidP="009602BA">
      <w:pPr>
        <w:rPr>
          <w:rFonts w:asciiTheme="minorHAnsi" w:eastAsiaTheme="minorHAnsi" w:hAnsiTheme="minorHAnsi" w:cstheme="minorBidi"/>
          <w:sz w:val="14"/>
          <w:szCs w:val="22"/>
          <w:lang w:val="es-MX" w:eastAsia="en-US"/>
        </w:rPr>
      </w:pPr>
    </w:p>
    <w:p w:rsidR="00630A94" w:rsidRPr="00EA7758" w:rsidRDefault="00630A94" w:rsidP="00630A94">
      <w:pPr>
        <w:shd w:val="clear" w:color="auto" w:fill="FFFFFF"/>
        <w:spacing w:line="360" w:lineRule="auto"/>
        <w:jc w:val="both"/>
        <w:rPr>
          <w:rFonts w:ascii="Palatino Linotype" w:hAnsi="Palatino Linotype"/>
          <w:color w:val="222222"/>
        </w:rPr>
      </w:pPr>
      <w:r w:rsidRPr="00EA7758">
        <w:rPr>
          <w:rFonts w:ascii="Palatino Linotype" w:hAnsi="Palatino Linotype"/>
          <w:color w:val="222222"/>
        </w:rPr>
        <w:t>En este sentido, debe dejarse claro que al haber existido un pronunciamiento por parte del </w:t>
      </w:r>
      <w:r w:rsidRPr="00EA7758">
        <w:rPr>
          <w:rFonts w:ascii="Palatino Linotype" w:hAnsi="Palatino Linotype"/>
          <w:b/>
          <w:bCs/>
          <w:color w:val="222222"/>
        </w:rPr>
        <w:t>Sujeto Obligado</w:t>
      </w:r>
      <w:r w:rsidRPr="00EA7758">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630A94" w:rsidRPr="00EA7758" w:rsidRDefault="00630A94" w:rsidP="00630A94">
      <w:pPr>
        <w:rPr>
          <w:lang w:val="es-MX"/>
        </w:rPr>
      </w:pPr>
    </w:p>
    <w:p w:rsidR="00630A94" w:rsidRPr="00EA7758" w:rsidRDefault="00630A94" w:rsidP="00630A94">
      <w:pPr>
        <w:shd w:val="clear" w:color="auto" w:fill="FFFFFF"/>
        <w:spacing w:line="221" w:lineRule="atLeast"/>
        <w:ind w:left="567" w:right="616"/>
        <w:jc w:val="both"/>
        <w:rPr>
          <w:color w:val="222222"/>
          <w:sz w:val="22"/>
        </w:rPr>
      </w:pPr>
      <w:r w:rsidRPr="00EA7758">
        <w:rPr>
          <w:rFonts w:ascii="Palatino Linotype" w:hAnsi="Palatino Linotype"/>
          <w:i/>
          <w:iCs/>
          <w:color w:val="222222"/>
          <w:sz w:val="22"/>
        </w:rPr>
        <w:t>“</w:t>
      </w:r>
      <w:r w:rsidRPr="00EA7758">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EA7758">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B1DE5" w:rsidRPr="00EA7758" w:rsidRDefault="001B1DE5" w:rsidP="009602BA">
      <w:pPr>
        <w:autoSpaceDE w:val="0"/>
        <w:autoSpaceDN w:val="0"/>
        <w:adjustRightInd w:val="0"/>
        <w:spacing w:line="360" w:lineRule="auto"/>
        <w:jc w:val="both"/>
        <w:rPr>
          <w:rFonts w:ascii="Palatino Linotype" w:hAnsi="Palatino Linotype" w:cs="Arial"/>
          <w:lang w:eastAsia="es-MX"/>
        </w:rPr>
      </w:pPr>
    </w:p>
    <w:p w:rsidR="009602BA" w:rsidRPr="00EA7758" w:rsidRDefault="009602BA" w:rsidP="009602BA">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lastRenderedPageBreak/>
        <w:t>Al respecto, cabe traer a cuenta lo previsto por el artículo 12, párrafo segundo de la Ley de Transparencia y Acceso a la Información Pública del Estado de México y Municipios que la letra establece lo siguiente:</w:t>
      </w:r>
    </w:p>
    <w:p w:rsidR="009602BA" w:rsidRPr="00EA7758" w:rsidRDefault="009602BA" w:rsidP="009602BA">
      <w:pPr>
        <w:rPr>
          <w:rFonts w:asciiTheme="minorHAnsi" w:eastAsiaTheme="minorHAnsi" w:hAnsiTheme="minorHAnsi" w:cstheme="minorBidi"/>
          <w:sz w:val="22"/>
          <w:szCs w:val="22"/>
          <w:lang w:val="es-MX" w:eastAsia="en-US"/>
        </w:rPr>
      </w:pPr>
    </w:p>
    <w:p w:rsidR="009602BA" w:rsidRPr="00EA7758" w:rsidRDefault="009602BA" w:rsidP="00C52084">
      <w:pPr>
        <w:pStyle w:val="Sinespaciado"/>
        <w:rPr>
          <w:rFonts w:eastAsiaTheme="minorHAnsi"/>
          <w:sz w:val="8"/>
        </w:rPr>
      </w:pPr>
    </w:p>
    <w:p w:rsidR="009602BA" w:rsidRPr="00EA7758"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EA7758">
        <w:rPr>
          <w:rFonts w:ascii="Palatino Linotype" w:eastAsiaTheme="minorHAnsi" w:hAnsi="Palatino Linotype" w:cs="Arial"/>
          <w:b/>
          <w:i/>
          <w:sz w:val="22"/>
          <w:szCs w:val="22"/>
          <w:lang w:val="es-MX" w:eastAsia="en-US"/>
        </w:rPr>
        <w:t>Artículo 12.</w:t>
      </w:r>
      <w:r w:rsidRPr="00EA7758">
        <w:rPr>
          <w:rFonts w:ascii="Palatino Linotype" w:eastAsiaTheme="minorHAnsi" w:hAnsi="Palatino Linotype" w:cs="Arial"/>
          <w:i/>
          <w:sz w:val="22"/>
          <w:szCs w:val="22"/>
          <w:lang w:val="es-MX" w:eastAsia="en-US"/>
        </w:rPr>
        <w:t xml:space="preserve"> …</w:t>
      </w:r>
      <w:r w:rsidRPr="00EA7758">
        <w:rPr>
          <w:rFonts w:ascii="Palatino Linotype" w:eastAsiaTheme="minorHAnsi" w:hAnsi="Palatino Linotype" w:cs="Arial"/>
          <w:b/>
          <w:i/>
          <w:sz w:val="22"/>
          <w:szCs w:val="22"/>
          <w:lang w:val="es-MX" w:eastAsia="en-US"/>
        </w:rPr>
        <w:t xml:space="preserve"> </w:t>
      </w:r>
    </w:p>
    <w:p w:rsidR="009602BA" w:rsidRPr="00EA7758"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EA7758">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EA7758">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rsidR="009602BA" w:rsidRPr="00EA7758"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rsidR="009602BA" w:rsidRPr="00EA7758" w:rsidRDefault="009602BA" w:rsidP="009602BA">
      <w:pPr>
        <w:spacing w:line="360" w:lineRule="auto"/>
        <w:jc w:val="both"/>
        <w:rPr>
          <w:rFonts w:ascii="Palatino Linotype" w:eastAsiaTheme="minorHAnsi" w:hAnsi="Palatino Linotype" w:cs="Arial"/>
          <w:lang w:val="es-MX" w:eastAsia="es-MX"/>
        </w:rPr>
      </w:pPr>
      <w:r w:rsidRPr="00EA7758">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EA7758">
        <w:rPr>
          <w:rFonts w:ascii="Palatino Linotype" w:eastAsiaTheme="minorHAnsi" w:hAnsi="Palatino Linotype" w:cs="Arial"/>
          <w:b/>
          <w:lang w:val="es-MX" w:eastAsia="es-MX"/>
        </w:rPr>
        <w:t>Sujeto Obligado</w:t>
      </w:r>
      <w:r w:rsidRPr="00EA7758">
        <w:rPr>
          <w:rFonts w:ascii="Palatino Linotype" w:eastAsiaTheme="minorHAnsi" w:hAnsi="Palatino Linotype" w:cs="Arial"/>
          <w:lang w:val="es-MX" w:eastAsia="es-MX"/>
        </w:rPr>
        <w:t xml:space="preserve"> sólo proporcionará la información que obra en sus archivos, lo que </w:t>
      </w:r>
      <w:r w:rsidRPr="00EA7758">
        <w:rPr>
          <w:rFonts w:ascii="Palatino Linotype" w:eastAsiaTheme="minorHAnsi" w:hAnsi="Palatino Linotype" w:cs="Arial"/>
          <w:i/>
          <w:lang w:val="es-MX" w:eastAsia="es-MX"/>
        </w:rPr>
        <w:t>a contrario sensu</w:t>
      </w:r>
      <w:r w:rsidRPr="00EA7758">
        <w:rPr>
          <w:rFonts w:ascii="Palatino Linotype" w:eastAsiaTheme="minorHAnsi" w:hAnsi="Palatino Linotype" w:cs="Arial"/>
          <w:lang w:val="es-MX" w:eastAsia="es-MX"/>
        </w:rPr>
        <w:t xml:space="preserve"> significa que no se está obligado a proporcionar lo que no obre en sus archivos.</w:t>
      </w:r>
    </w:p>
    <w:p w:rsidR="009602BA" w:rsidRPr="00EA7758" w:rsidRDefault="009602BA" w:rsidP="009602BA">
      <w:pPr>
        <w:spacing w:line="360" w:lineRule="auto"/>
        <w:jc w:val="both"/>
        <w:rPr>
          <w:rFonts w:ascii="Palatino Linotype" w:eastAsiaTheme="minorHAnsi" w:hAnsi="Palatino Linotype" w:cs="Arial"/>
          <w:szCs w:val="22"/>
          <w:lang w:val="es-MX" w:eastAsia="es-MX"/>
        </w:rPr>
      </w:pPr>
    </w:p>
    <w:p w:rsidR="009602BA" w:rsidRPr="00EA7758" w:rsidRDefault="009602BA" w:rsidP="009602BA">
      <w:pPr>
        <w:spacing w:line="360" w:lineRule="auto"/>
        <w:jc w:val="both"/>
        <w:rPr>
          <w:rFonts w:ascii="Palatino Linotype" w:eastAsiaTheme="minorHAnsi" w:hAnsi="Palatino Linotype" w:cs="Arial"/>
          <w:szCs w:val="22"/>
          <w:lang w:val="es-MX" w:eastAsia="es-MX"/>
        </w:rPr>
      </w:pPr>
      <w:r w:rsidRPr="00EA7758">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EA7758">
        <w:rPr>
          <w:rFonts w:ascii="Palatino Linotype" w:eastAsiaTheme="minorHAnsi" w:hAnsi="Palatino Linotype" w:cs="Arial"/>
          <w:b/>
          <w:szCs w:val="22"/>
          <w:lang w:val="es-MX" w:eastAsia="es-MX"/>
        </w:rPr>
        <w:t>El Recurrente</w:t>
      </w:r>
      <w:r w:rsidRPr="00EA7758">
        <w:rPr>
          <w:rFonts w:ascii="Palatino Linotype" w:eastAsiaTheme="minorHAnsi" w:hAnsi="Palatino Linotype" w:cs="Arial"/>
          <w:szCs w:val="22"/>
          <w:lang w:val="es-MX" w:eastAsia="es-MX"/>
        </w:rPr>
        <w:t xml:space="preserve"> para que pueda realizar la solicitud de información ante el </w:t>
      </w:r>
      <w:r w:rsidRPr="00EA7758">
        <w:rPr>
          <w:rFonts w:ascii="Palatino Linotype" w:eastAsiaTheme="minorHAnsi" w:hAnsi="Palatino Linotype" w:cs="Arial"/>
          <w:b/>
          <w:szCs w:val="22"/>
          <w:lang w:val="es-MX" w:eastAsia="es-MX"/>
        </w:rPr>
        <w:t>Sujeto Obligado</w:t>
      </w:r>
      <w:r w:rsidRPr="00EA7758">
        <w:rPr>
          <w:rFonts w:ascii="Palatino Linotype" w:eastAsiaTheme="minorHAnsi" w:hAnsi="Palatino Linotype" w:cs="Arial"/>
          <w:szCs w:val="22"/>
          <w:lang w:val="es-MX" w:eastAsia="es-MX"/>
        </w:rPr>
        <w:t xml:space="preserve"> correspondiente.</w:t>
      </w:r>
    </w:p>
    <w:p w:rsidR="009602BA" w:rsidRPr="00EA7758" w:rsidRDefault="009602BA" w:rsidP="009602BA">
      <w:pPr>
        <w:spacing w:line="360" w:lineRule="auto"/>
        <w:jc w:val="both"/>
        <w:rPr>
          <w:rFonts w:ascii="Palatino Linotype" w:eastAsiaTheme="minorHAnsi" w:hAnsi="Palatino Linotype" w:cs="Arial"/>
          <w:szCs w:val="22"/>
          <w:lang w:val="es-MX" w:eastAsia="es-MX"/>
        </w:rPr>
      </w:pPr>
    </w:p>
    <w:p w:rsidR="009602BA" w:rsidRPr="00EA7758" w:rsidRDefault="009602BA" w:rsidP="009602BA">
      <w:pPr>
        <w:spacing w:line="360" w:lineRule="auto"/>
        <w:jc w:val="both"/>
        <w:rPr>
          <w:rFonts w:ascii="Palatino Linotype" w:eastAsia="Calibri" w:hAnsi="Palatino Linotype" w:cs="Arial"/>
          <w:szCs w:val="22"/>
          <w:lang w:val="es-MX" w:eastAsia="en-US"/>
        </w:rPr>
      </w:pPr>
      <w:r w:rsidRPr="00EA7758">
        <w:rPr>
          <w:rFonts w:ascii="Palatino Linotype" w:eastAsia="Calibri" w:hAnsi="Palatino Linotype" w:cs="Arial"/>
          <w:szCs w:val="22"/>
          <w:lang w:val="es-MX" w:eastAsia="en-US"/>
        </w:rPr>
        <w:lastRenderedPageBreak/>
        <w:t>Así también, se dispone que</w:t>
      </w:r>
      <w:r w:rsidRPr="00EA7758">
        <w:rPr>
          <w:rFonts w:ascii="Palatino Linotype" w:eastAsiaTheme="minorHAnsi" w:hAnsi="Palatino Linotype" w:cstheme="minorBidi"/>
          <w:szCs w:val="22"/>
          <w:lang w:val="es-MX" w:eastAsia="en-US"/>
        </w:rPr>
        <w:t xml:space="preserve"> </w:t>
      </w:r>
      <w:r w:rsidRPr="00EA7758">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9602BA" w:rsidRPr="00EA7758" w:rsidRDefault="009602BA" w:rsidP="009602BA">
      <w:pPr>
        <w:spacing w:line="360" w:lineRule="auto"/>
        <w:jc w:val="both"/>
        <w:rPr>
          <w:rFonts w:ascii="Palatino Linotype" w:eastAsiaTheme="minorHAnsi" w:hAnsi="Palatino Linotype" w:cs="Arial"/>
          <w:szCs w:val="22"/>
          <w:lang w:val="es-MX" w:eastAsia="en-US"/>
        </w:rPr>
      </w:pPr>
    </w:p>
    <w:p w:rsidR="009602BA" w:rsidRPr="00EA7758"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EA7758">
        <w:rPr>
          <w:rFonts w:ascii="Palatino Linotype" w:eastAsiaTheme="minorHAnsi" w:hAnsi="Palatino Linotype" w:cs="Arial"/>
          <w:szCs w:val="22"/>
          <w:lang w:val="es-MX" w:eastAsia="en-US"/>
        </w:rPr>
        <w:t xml:space="preserve">En este contexto, </w:t>
      </w:r>
      <w:r w:rsidRPr="00EA7758">
        <w:rPr>
          <w:rFonts w:ascii="Palatino Linotype" w:eastAsiaTheme="minorHAnsi" w:hAnsi="Palatino Linotype" w:cs="Arial"/>
          <w:szCs w:val="22"/>
          <w:lang w:val="es-MX" w:eastAsia="es-MX"/>
        </w:rPr>
        <w:t xml:space="preserve">el </w:t>
      </w:r>
      <w:r w:rsidRPr="00EA7758">
        <w:rPr>
          <w:rFonts w:ascii="Palatino Linotype" w:eastAsiaTheme="minorHAnsi" w:hAnsi="Palatino Linotype" w:cs="Arial"/>
          <w:b/>
          <w:szCs w:val="22"/>
          <w:lang w:val="es-MX" w:eastAsia="es-MX"/>
        </w:rPr>
        <w:t>Sujeto Obligado</w:t>
      </w:r>
      <w:r w:rsidRPr="00EA7758">
        <w:rPr>
          <w:rFonts w:ascii="Palatino Linotype" w:eastAsiaTheme="minorHAnsi" w:hAnsi="Palatino Linotype" w:cs="Arial"/>
          <w:szCs w:val="22"/>
          <w:lang w:val="es-MX" w:eastAsia="en-US"/>
        </w:rPr>
        <w:t xml:space="preserve"> no está obligado a generar documento </w:t>
      </w:r>
      <w:r w:rsidRPr="00EA7758">
        <w:rPr>
          <w:rFonts w:ascii="Palatino Linotype" w:eastAsiaTheme="minorHAnsi" w:hAnsi="Palatino Linotype" w:cs="Arial"/>
          <w:b/>
          <w:i/>
          <w:szCs w:val="22"/>
          <w:lang w:val="es-MX" w:eastAsia="en-US"/>
        </w:rPr>
        <w:t>ad hoc</w:t>
      </w:r>
      <w:r w:rsidRPr="00EA7758">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EA7758">
        <w:rPr>
          <w:rFonts w:ascii="Palatino Linotype" w:eastAsiaTheme="minorHAnsi" w:hAnsi="Palatino Linotype" w:cs="Arial"/>
          <w:color w:val="000000"/>
          <w:szCs w:val="22"/>
          <w:lang w:val="es-MX" w:eastAsia="en-US"/>
        </w:rPr>
        <w:t xml:space="preserve">Como apoyo a lo anterior, es aplicable el Criterio 03-17, emitido por </w:t>
      </w:r>
      <w:r w:rsidRPr="00EA7758">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EA7758">
        <w:rPr>
          <w:rFonts w:ascii="Palatino Linotype" w:eastAsiaTheme="minorHAnsi" w:hAnsi="Palatino Linotype" w:cstheme="minorBidi"/>
          <w:bCs/>
          <w:color w:val="000000"/>
          <w:szCs w:val="22"/>
          <w:lang w:val="es-MX" w:eastAsia="en-US"/>
        </w:rPr>
        <w:t xml:space="preserve"> que dice:</w:t>
      </w:r>
      <w:r w:rsidRPr="00EA7758">
        <w:rPr>
          <w:rFonts w:ascii="Palatino Linotype" w:eastAsiaTheme="minorHAnsi" w:hAnsi="Palatino Linotype" w:cstheme="minorBidi"/>
          <w:b/>
          <w:bCs/>
          <w:color w:val="000000"/>
          <w:szCs w:val="22"/>
          <w:lang w:val="es-MX" w:eastAsia="en-US"/>
        </w:rPr>
        <w:t xml:space="preserve"> </w:t>
      </w:r>
    </w:p>
    <w:p w:rsidR="009602BA" w:rsidRPr="00EA7758" w:rsidRDefault="009602BA" w:rsidP="009602BA">
      <w:pPr>
        <w:rPr>
          <w:rFonts w:asciiTheme="minorHAnsi" w:eastAsiaTheme="minorHAnsi" w:hAnsiTheme="minorHAnsi" w:cstheme="minorBidi"/>
          <w:sz w:val="22"/>
          <w:szCs w:val="22"/>
          <w:lang w:val="es-MX" w:eastAsia="en-US"/>
        </w:rPr>
      </w:pPr>
    </w:p>
    <w:p w:rsidR="009602BA" w:rsidRPr="00EA7758"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rsidR="009602BA" w:rsidRPr="00EA7758"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EA7758">
        <w:rPr>
          <w:rFonts w:ascii="Palatino Linotype" w:eastAsiaTheme="minorHAnsi" w:hAnsi="Palatino Linotype" w:cs="Arial"/>
          <w:i/>
          <w:color w:val="000000"/>
          <w:sz w:val="22"/>
          <w:szCs w:val="22"/>
          <w:lang w:val="es-MX" w:eastAsia="en-US"/>
        </w:rPr>
        <w:t>“</w:t>
      </w:r>
      <w:r w:rsidRPr="00EA7758">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EA7758">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602BA" w:rsidRPr="00EA7758" w:rsidRDefault="009602BA" w:rsidP="009602BA">
      <w:pPr>
        <w:spacing w:line="259" w:lineRule="auto"/>
        <w:ind w:left="851" w:right="901"/>
        <w:jc w:val="both"/>
        <w:rPr>
          <w:rFonts w:ascii="Palatino Linotype" w:eastAsiaTheme="minorHAnsi" w:hAnsi="Palatino Linotype" w:cs="Arial"/>
          <w:i/>
          <w:color w:val="000000"/>
          <w:sz w:val="2"/>
          <w:szCs w:val="22"/>
          <w:lang w:val="es-MX" w:eastAsia="en-US"/>
        </w:rPr>
      </w:pPr>
    </w:p>
    <w:p w:rsidR="009602BA" w:rsidRPr="00EA7758"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p>
    <w:p w:rsidR="009602BA" w:rsidRPr="00EA7758"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EA7758">
        <w:rPr>
          <w:rFonts w:ascii="Palatino Linotype" w:eastAsiaTheme="minorHAnsi" w:hAnsi="Palatino Linotype" w:cs="Arial"/>
          <w:i/>
          <w:color w:val="000000"/>
          <w:sz w:val="22"/>
          <w:szCs w:val="22"/>
          <w:lang w:val="es-MX" w:eastAsia="en-US"/>
        </w:rPr>
        <w:t xml:space="preserve">Resoluciones: </w:t>
      </w:r>
    </w:p>
    <w:p w:rsidR="009602BA" w:rsidRPr="00EA7758"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EA7758">
        <w:rPr>
          <w:rFonts w:ascii="Palatino Linotype" w:eastAsiaTheme="minorHAnsi" w:hAnsi="Palatino Linotype" w:cs="Arial"/>
          <w:i/>
          <w:color w:val="000000"/>
          <w:sz w:val="22"/>
          <w:szCs w:val="22"/>
          <w:lang w:val="es-MX" w:eastAsia="en-US"/>
        </w:rPr>
        <w:lastRenderedPageBreak/>
        <w:sym w:font="Symbol" w:char="F0B7"/>
      </w:r>
      <w:r w:rsidRPr="00EA7758">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9602BA" w:rsidRPr="00EA7758"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EA7758">
        <w:rPr>
          <w:rFonts w:ascii="Palatino Linotype" w:eastAsiaTheme="minorHAnsi" w:hAnsi="Palatino Linotype" w:cs="Arial"/>
          <w:i/>
          <w:color w:val="000000"/>
          <w:sz w:val="22"/>
          <w:szCs w:val="22"/>
          <w:lang w:val="es-MX" w:eastAsia="en-US"/>
        </w:rPr>
        <w:sym w:font="Symbol" w:char="F0B7"/>
      </w:r>
      <w:r w:rsidRPr="00EA7758">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9602BA" w:rsidRPr="00EA7758"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EA7758">
        <w:rPr>
          <w:rFonts w:ascii="Palatino Linotype" w:eastAsiaTheme="minorHAnsi" w:hAnsi="Palatino Linotype" w:cs="Arial"/>
          <w:i/>
          <w:color w:val="000000"/>
          <w:sz w:val="22"/>
          <w:szCs w:val="22"/>
          <w:lang w:val="es-MX" w:eastAsia="en-US"/>
        </w:rPr>
        <w:sym w:font="Symbol" w:char="F0B7"/>
      </w:r>
      <w:r w:rsidRPr="00EA7758">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9602BA" w:rsidRPr="00EA7758"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rsidR="009602BA" w:rsidRPr="00EA7758" w:rsidRDefault="009602BA" w:rsidP="009602BA">
      <w:pPr>
        <w:spacing w:line="360" w:lineRule="auto"/>
        <w:jc w:val="both"/>
        <w:rPr>
          <w:rFonts w:ascii="Palatino Linotype" w:hAnsi="Palatino Linotype"/>
          <w:lang w:eastAsia="es-MX"/>
        </w:rPr>
      </w:pPr>
      <w:r w:rsidRPr="00EA7758">
        <w:rPr>
          <w:rFonts w:ascii="Palatino Linotype" w:hAnsi="Palatino Linotype" w:cs="Arial"/>
        </w:rPr>
        <w:t xml:space="preserve">Adicionalmente, es de precisar que, aunque la solicitud de información y la respuesta estén dirigidas y atendidas por un </w:t>
      </w:r>
      <w:r w:rsidRPr="00EA7758">
        <w:rPr>
          <w:rFonts w:ascii="Palatino Linotype" w:hAnsi="Palatino Linotype" w:cs="Arial"/>
          <w:b/>
        </w:rPr>
        <w:t>Sujeto Obligado</w:t>
      </w:r>
      <w:r w:rsidRPr="00EA7758">
        <w:rPr>
          <w:rFonts w:ascii="Palatino Linotype" w:hAnsi="Palatino Linotype" w:cs="Arial"/>
        </w:rPr>
        <w:t xml:space="preserve">, lo cierto es que también tienen diversas Unidades Administrativas y cada área cuenta con un </w:t>
      </w:r>
      <w:r w:rsidRPr="00EA7758">
        <w:rPr>
          <w:rFonts w:ascii="Palatino Linotype" w:hAnsi="Palatino Linotype" w:cs="Arial"/>
          <w:b/>
        </w:rPr>
        <w:t>Servidor Público Habilitado</w:t>
      </w:r>
      <w:r w:rsidRPr="00EA7758">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9602BA" w:rsidRPr="00EA7758" w:rsidRDefault="009602BA" w:rsidP="009602BA">
      <w:pPr>
        <w:rPr>
          <w:rFonts w:ascii="Palatino Linotype" w:hAnsi="Palatino Linotype"/>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b/>
          <w:i/>
          <w:sz w:val="22"/>
        </w:rPr>
        <w:t>Artículo 3.</w:t>
      </w:r>
      <w:r w:rsidRPr="00EA7758">
        <w:rPr>
          <w:rFonts w:ascii="Palatino Linotype" w:hAnsi="Palatino Linotype" w:cs="Arial"/>
          <w:i/>
          <w:sz w:val="22"/>
        </w:rPr>
        <w:t xml:space="preserve"> Para los efectos de la presente Ley se entenderá por:</w:t>
      </w: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w:t>
      </w: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b/>
          <w:i/>
          <w:sz w:val="22"/>
        </w:rPr>
        <w:t xml:space="preserve">XXXIX. Servidor público habilitado: </w:t>
      </w:r>
      <w:r w:rsidRPr="00EA7758">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w:t>
      </w: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b/>
          <w:i/>
          <w:sz w:val="22"/>
        </w:rPr>
        <w:t>Artículo 58.</w:t>
      </w:r>
      <w:r w:rsidRPr="00EA7758">
        <w:rPr>
          <w:rFonts w:ascii="Palatino Linotype" w:hAnsi="Palatino Linotype" w:cs="Arial"/>
          <w:i/>
          <w:sz w:val="22"/>
        </w:rPr>
        <w:t xml:space="preserve"> Los servidores públicos habilitados serán designados por el titular del sujeto obligado a propuesta del responsable de la Unidad de Transparencia.</w:t>
      </w:r>
    </w:p>
    <w:p w:rsidR="009602BA" w:rsidRPr="00EA7758" w:rsidRDefault="009602BA" w:rsidP="009602BA">
      <w:pPr>
        <w:autoSpaceDE w:val="0"/>
        <w:autoSpaceDN w:val="0"/>
        <w:adjustRightInd w:val="0"/>
        <w:ind w:left="567" w:right="708"/>
        <w:jc w:val="both"/>
        <w:rPr>
          <w:rFonts w:ascii="Palatino Linotype" w:hAnsi="Palatino Linotype" w:cs="Arial"/>
          <w:i/>
          <w:sz w:val="22"/>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b/>
          <w:i/>
          <w:sz w:val="22"/>
        </w:rPr>
        <w:t>Artículo 59.</w:t>
      </w:r>
      <w:r w:rsidRPr="00EA7758">
        <w:rPr>
          <w:rFonts w:ascii="Palatino Linotype" w:hAnsi="Palatino Linotype" w:cs="Arial"/>
          <w:i/>
          <w:sz w:val="22"/>
        </w:rPr>
        <w:t xml:space="preserve"> </w:t>
      </w:r>
      <w:r w:rsidRPr="00EA7758">
        <w:rPr>
          <w:rFonts w:ascii="Palatino Linotype" w:hAnsi="Palatino Linotype" w:cs="Arial"/>
          <w:b/>
          <w:i/>
          <w:sz w:val="22"/>
          <w:u w:val="single"/>
        </w:rPr>
        <w:t>Los servidores públicos habilitados</w:t>
      </w:r>
      <w:r w:rsidRPr="00EA7758">
        <w:rPr>
          <w:rFonts w:ascii="Palatino Linotype" w:hAnsi="Palatino Linotype" w:cs="Arial"/>
          <w:i/>
          <w:sz w:val="22"/>
        </w:rPr>
        <w:t xml:space="preserve"> tendrán las funciones siguientes:</w:t>
      </w: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 xml:space="preserve">I. </w:t>
      </w:r>
      <w:r w:rsidRPr="00EA7758">
        <w:rPr>
          <w:rFonts w:ascii="Palatino Linotype" w:hAnsi="Palatino Linotype" w:cs="Arial"/>
          <w:b/>
          <w:i/>
          <w:sz w:val="22"/>
          <w:u w:val="single"/>
        </w:rPr>
        <w:t>Localizar la información que le solicite la Unidad de Transparencia</w:t>
      </w:r>
      <w:r w:rsidRPr="00EA7758">
        <w:rPr>
          <w:rFonts w:ascii="Palatino Linotype" w:hAnsi="Palatino Linotype" w:cs="Arial"/>
          <w:i/>
          <w:sz w:val="22"/>
        </w:rPr>
        <w:t>;</w:t>
      </w:r>
    </w:p>
    <w:p w:rsidR="009602BA" w:rsidRPr="00EA7758" w:rsidRDefault="009602BA" w:rsidP="009602BA">
      <w:pPr>
        <w:autoSpaceDE w:val="0"/>
        <w:autoSpaceDN w:val="0"/>
        <w:adjustRightInd w:val="0"/>
        <w:ind w:left="567" w:right="708"/>
        <w:jc w:val="both"/>
        <w:rPr>
          <w:rFonts w:ascii="Palatino Linotype" w:hAnsi="Palatino Linotype" w:cs="Arial"/>
          <w:i/>
          <w:sz w:val="22"/>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 xml:space="preserve">II. </w:t>
      </w:r>
      <w:r w:rsidRPr="00EA7758">
        <w:rPr>
          <w:rFonts w:ascii="Palatino Linotype" w:hAnsi="Palatino Linotype" w:cs="Arial"/>
          <w:b/>
          <w:i/>
          <w:sz w:val="22"/>
          <w:u w:val="single"/>
        </w:rPr>
        <w:t>Proporcionar la información que obre en los archivos y que le sea solicitada por la Unidad de Transparencia</w:t>
      </w:r>
      <w:r w:rsidRPr="00EA7758">
        <w:rPr>
          <w:rFonts w:ascii="Palatino Linotype" w:hAnsi="Palatino Linotype" w:cs="Arial"/>
          <w:i/>
          <w:sz w:val="22"/>
        </w:rPr>
        <w:t>;</w:t>
      </w:r>
    </w:p>
    <w:p w:rsidR="009602BA" w:rsidRPr="00EA7758" w:rsidRDefault="009602BA" w:rsidP="009602BA">
      <w:pPr>
        <w:autoSpaceDE w:val="0"/>
        <w:autoSpaceDN w:val="0"/>
        <w:adjustRightInd w:val="0"/>
        <w:ind w:left="567" w:right="708"/>
        <w:jc w:val="both"/>
        <w:rPr>
          <w:rFonts w:ascii="Palatino Linotype" w:hAnsi="Palatino Linotype" w:cs="Arial"/>
          <w:i/>
          <w:sz w:val="22"/>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III. Apoyar a la Unidad de Transparencia en lo que esta le solicite para el cumplimiento de sus funciones;</w:t>
      </w:r>
    </w:p>
    <w:p w:rsidR="009602BA" w:rsidRPr="00EA7758" w:rsidRDefault="009602BA" w:rsidP="009602BA">
      <w:pPr>
        <w:autoSpaceDE w:val="0"/>
        <w:autoSpaceDN w:val="0"/>
        <w:adjustRightInd w:val="0"/>
        <w:ind w:left="567" w:right="708"/>
        <w:jc w:val="both"/>
        <w:rPr>
          <w:rFonts w:ascii="Palatino Linotype" w:hAnsi="Palatino Linotype" w:cs="Arial"/>
          <w:i/>
          <w:sz w:val="22"/>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IV. Proporcionar a la Unidad de Transparencia, las modificaciones a la información pública de oficio que obre en su poder;</w:t>
      </w:r>
    </w:p>
    <w:p w:rsidR="009602BA" w:rsidRPr="00EA7758" w:rsidRDefault="009602BA" w:rsidP="009602BA">
      <w:pPr>
        <w:autoSpaceDE w:val="0"/>
        <w:autoSpaceDN w:val="0"/>
        <w:adjustRightInd w:val="0"/>
        <w:ind w:left="567" w:right="708"/>
        <w:jc w:val="both"/>
        <w:rPr>
          <w:rFonts w:ascii="Palatino Linotype" w:hAnsi="Palatino Linotype" w:cs="Arial"/>
          <w:i/>
          <w:sz w:val="22"/>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9602BA" w:rsidRPr="00EA7758" w:rsidRDefault="009602BA" w:rsidP="009602BA">
      <w:pPr>
        <w:autoSpaceDE w:val="0"/>
        <w:autoSpaceDN w:val="0"/>
        <w:adjustRightInd w:val="0"/>
        <w:ind w:left="567" w:right="708"/>
        <w:jc w:val="both"/>
        <w:rPr>
          <w:rFonts w:ascii="Palatino Linotype" w:hAnsi="Palatino Linotype" w:cs="Arial"/>
          <w:i/>
          <w:sz w:val="22"/>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VI. Verificar, una vez analizado el contenido de la información, que no se encuentre en los supuestos de información clasificada; y</w:t>
      </w:r>
    </w:p>
    <w:p w:rsidR="009602BA" w:rsidRPr="00EA7758" w:rsidRDefault="009602BA" w:rsidP="009602BA">
      <w:pPr>
        <w:autoSpaceDE w:val="0"/>
        <w:autoSpaceDN w:val="0"/>
        <w:adjustRightInd w:val="0"/>
        <w:ind w:left="567" w:right="708"/>
        <w:jc w:val="both"/>
        <w:rPr>
          <w:rFonts w:ascii="Palatino Linotype" w:hAnsi="Palatino Linotype" w:cs="Arial"/>
          <w:i/>
          <w:sz w:val="22"/>
        </w:rPr>
      </w:pPr>
    </w:p>
    <w:p w:rsidR="009602BA" w:rsidRPr="00EA7758" w:rsidRDefault="009602BA" w:rsidP="009602BA">
      <w:pPr>
        <w:autoSpaceDE w:val="0"/>
        <w:autoSpaceDN w:val="0"/>
        <w:adjustRightInd w:val="0"/>
        <w:ind w:left="567" w:right="708"/>
        <w:jc w:val="both"/>
        <w:rPr>
          <w:rFonts w:ascii="Palatino Linotype" w:hAnsi="Palatino Linotype" w:cs="Arial"/>
          <w:i/>
          <w:sz w:val="22"/>
        </w:rPr>
      </w:pPr>
      <w:r w:rsidRPr="00EA7758">
        <w:rPr>
          <w:rFonts w:ascii="Palatino Linotype" w:hAnsi="Palatino Linotype" w:cs="Arial"/>
          <w:i/>
          <w:sz w:val="22"/>
        </w:rPr>
        <w:t>VII. Dar cuenta a la Unidad de Transparencia del vencimiento de los plazos de reserva.</w:t>
      </w:r>
    </w:p>
    <w:p w:rsidR="009602BA" w:rsidRPr="00EA7758" w:rsidRDefault="009602BA" w:rsidP="009602BA">
      <w:pPr>
        <w:spacing w:line="360" w:lineRule="auto"/>
        <w:jc w:val="both"/>
        <w:rPr>
          <w:rFonts w:ascii="Palatino Linotype" w:hAnsi="Palatino Linotype"/>
          <w:lang w:eastAsia="es-MX"/>
        </w:rPr>
      </w:pPr>
    </w:p>
    <w:p w:rsidR="009602BA" w:rsidRPr="00EA7758" w:rsidRDefault="009602BA" w:rsidP="009602BA">
      <w:pPr>
        <w:spacing w:line="360" w:lineRule="auto"/>
        <w:jc w:val="both"/>
        <w:rPr>
          <w:rFonts w:ascii="Palatino Linotype" w:hAnsi="Palatino Linotype"/>
          <w:lang w:eastAsia="es-MX"/>
        </w:rPr>
      </w:pPr>
      <w:r w:rsidRPr="00EA7758">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9602BA" w:rsidRPr="00EA7758" w:rsidRDefault="009602BA" w:rsidP="009602BA">
      <w:pPr>
        <w:spacing w:line="360" w:lineRule="auto"/>
        <w:jc w:val="both"/>
        <w:rPr>
          <w:rFonts w:ascii="Palatino Linotype" w:hAnsi="Palatino Linotype"/>
          <w:sz w:val="10"/>
          <w:lang w:eastAsia="es-MX"/>
        </w:rPr>
      </w:pPr>
    </w:p>
    <w:p w:rsidR="009602BA" w:rsidRPr="00EA7758" w:rsidRDefault="009602BA" w:rsidP="009602BA">
      <w:pPr>
        <w:spacing w:line="360" w:lineRule="auto"/>
        <w:jc w:val="both"/>
        <w:rPr>
          <w:rFonts w:ascii="Palatino Linotype" w:hAnsi="Palatino Linotype"/>
          <w:sz w:val="10"/>
          <w:lang w:eastAsia="es-MX"/>
        </w:rPr>
      </w:pPr>
    </w:p>
    <w:p w:rsidR="009602BA" w:rsidRPr="00EA7758" w:rsidRDefault="009602BA" w:rsidP="00C52084">
      <w:pPr>
        <w:ind w:left="567"/>
        <w:jc w:val="both"/>
        <w:rPr>
          <w:rFonts w:ascii="Palatino Linotype" w:hAnsi="Palatino Linotype"/>
          <w:i/>
          <w:sz w:val="18"/>
          <w:szCs w:val="20"/>
          <w:lang w:eastAsia="es-MX"/>
        </w:rPr>
      </w:pPr>
      <w:r w:rsidRPr="00EA7758">
        <w:rPr>
          <w:rFonts w:ascii="Palatino Linotype" w:hAnsi="Palatino Linotype"/>
          <w:i/>
          <w:sz w:val="22"/>
          <w:szCs w:val="20"/>
          <w:lang w:eastAsia="es-MX"/>
        </w:rPr>
        <w:t>“</w:t>
      </w:r>
      <w:r w:rsidRPr="00EA7758">
        <w:rPr>
          <w:rFonts w:ascii="Palatino Linotype" w:hAnsi="Palatino Linotype"/>
          <w:b/>
          <w:bCs/>
          <w:i/>
          <w:sz w:val="22"/>
          <w:szCs w:val="20"/>
          <w:lang w:eastAsia="es-MX"/>
        </w:rPr>
        <w:t xml:space="preserve">Artículo 162. </w:t>
      </w:r>
      <w:r w:rsidRPr="00EA7758">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A7758">
        <w:rPr>
          <w:rFonts w:ascii="Palatino Linotype" w:hAnsi="Palatino Linotype"/>
          <w:i/>
          <w:sz w:val="22"/>
          <w:szCs w:val="20"/>
          <w:lang w:eastAsia="es-MX"/>
        </w:rPr>
        <w:t>”</w:t>
      </w:r>
    </w:p>
    <w:p w:rsidR="00EE7775" w:rsidRPr="00EA7758" w:rsidRDefault="00EE7775"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EA7758"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Hasta lo aquí expuesto, se advierte que se actualiza la hipótesis prevista en el artículo 191, fracción V, de la Ley de Transparencia y Acceso a la Información Pública del Estado de México y Municipios en vigor, que a la letra dice:</w:t>
      </w:r>
    </w:p>
    <w:p w:rsidR="00614A53" w:rsidRPr="00EA7758" w:rsidRDefault="00614A53" w:rsidP="00614A53">
      <w:pPr>
        <w:autoSpaceDE w:val="0"/>
        <w:autoSpaceDN w:val="0"/>
        <w:adjustRightInd w:val="0"/>
        <w:spacing w:line="360" w:lineRule="auto"/>
        <w:jc w:val="both"/>
        <w:rPr>
          <w:rFonts w:ascii="Palatino Linotype" w:eastAsiaTheme="minorHAnsi" w:hAnsi="Palatino Linotype" w:cs="Arial"/>
          <w:b/>
          <w:lang w:val="es-MX" w:eastAsia="en-US"/>
        </w:rPr>
      </w:pPr>
    </w:p>
    <w:p w:rsidR="00614A53" w:rsidRPr="00EA7758"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i/>
          <w:lang w:val="es-MX" w:eastAsia="en-US"/>
        </w:rPr>
        <w:lastRenderedPageBreak/>
        <w:t>“</w:t>
      </w:r>
      <w:r w:rsidRPr="00EA7758">
        <w:rPr>
          <w:rFonts w:ascii="Palatino Linotype" w:eastAsiaTheme="minorHAnsi" w:hAnsi="Palatino Linotype" w:cs="Arial"/>
          <w:b/>
          <w:i/>
          <w:lang w:val="es-MX" w:eastAsia="en-US"/>
        </w:rPr>
        <w:t>Artículo 191</w:t>
      </w:r>
      <w:r w:rsidRPr="00EA7758">
        <w:rPr>
          <w:rFonts w:ascii="Palatino Linotype" w:eastAsiaTheme="minorHAnsi" w:hAnsi="Palatino Linotype" w:cs="Arial"/>
          <w:i/>
          <w:lang w:val="es-MX" w:eastAsia="en-US"/>
        </w:rPr>
        <w:t>. El recurso será desechado por improcedente cuando:</w:t>
      </w:r>
    </w:p>
    <w:p w:rsidR="00614A53" w:rsidRPr="00EA7758"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i/>
          <w:lang w:val="es-MX" w:eastAsia="en-US"/>
        </w:rPr>
        <w:t>(…)</w:t>
      </w:r>
    </w:p>
    <w:p w:rsidR="00614A53" w:rsidRPr="00EA7758"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b/>
          <w:i/>
          <w:lang w:val="es-MX" w:eastAsia="en-US"/>
        </w:rPr>
        <w:t>V.</w:t>
      </w:r>
      <w:r w:rsidRPr="00EA7758">
        <w:rPr>
          <w:rFonts w:ascii="Palatino Linotype" w:eastAsiaTheme="minorHAnsi" w:hAnsi="Palatino Linotype" w:cs="Arial"/>
          <w:i/>
          <w:lang w:val="es-MX" w:eastAsia="en-US"/>
        </w:rPr>
        <w:t xml:space="preserve"> </w:t>
      </w:r>
      <w:r w:rsidRPr="00EA7758">
        <w:rPr>
          <w:rFonts w:ascii="Palatino Linotype" w:eastAsiaTheme="minorHAnsi" w:hAnsi="Palatino Linotype" w:cs="Arial"/>
          <w:i/>
          <w:u w:val="single"/>
          <w:lang w:val="es-MX" w:eastAsia="en-US"/>
        </w:rPr>
        <w:t>Se impugne la veracidad de la información proporcionada</w:t>
      </w:r>
      <w:r w:rsidRPr="00EA7758">
        <w:rPr>
          <w:rFonts w:ascii="Palatino Linotype" w:eastAsiaTheme="minorHAnsi" w:hAnsi="Palatino Linotype" w:cs="Arial"/>
          <w:i/>
          <w:lang w:val="es-MX" w:eastAsia="en-US"/>
        </w:rPr>
        <w:t>;</w:t>
      </w:r>
    </w:p>
    <w:p w:rsidR="00614A53" w:rsidRPr="00EA7758"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i/>
          <w:lang w:val="es-MX" w:eastAsia="en-US"/>
        </w:rPr>
        <w:t>(…)</w:t>
      </w:r>
    </w:p>
    <w:p w:rsidR="009602BA" w:rsidRPr="00EA7758"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rsidR="009602BA" w:rsidRPr="00EA7758" w:rsidRDefault="009602BA" w:rsidP="009602BA">
      <w:pPr>
        <w:autoSpaceDE w:val="0"/>
        <w:autoSpaceDN w:val="0"/>
        <w:adjustRightInd w:val="0"/>
        <w:spacing w:line="360" w:lineRule="auto"/>
        <w:jc w:val="both"/>
        <w:rPr>
          <w:rFonts w:ascii="Palatino Linotype" w:hAnsi="Palatino Linotype" w:cs="Arial"/>
        </w:rPr>
      </w:pPr>
      <w:r w:rsidRPr="00EA7758">
        <w:rPr>
          <w:rFonts w:ascii="Palatino Linotype" w:eastAsiaTheme="minorHAnsi" w:hAnsi="Palatino Linotype" w:cs="Arial"/>
          <w:szCs w:val="22"/>
          <w:lang w:val="es-MX" w:eastAsia="en-US"/>
        </w:rPr>
        <w:t xml:space="preserve">En conclusión, la ley de la materia establece </w:t>
      </w:r>
      <w:r w:rsidR="00614A53" w:rsidRPr="00EA7758">
        <w:rPr>
          <w:rFonts w:ascii="Palatino Linotype" w:hAnsi="Palatino Linotype" w:cs="Arial"/>
        </w:rPr>
        <w:t xml:space="preserve">en la fracción </w:t>
      </w:r>
      <w:r w:rsidRPr="00EA7758">
        <w:rPr>
          <w:rFonts w:ascii="Palatino Linotype" w:hAnsi="Palatino Linotype" w:cs="Arial"/>
        </w:rPr>
        <w:t>I</w:t>
      </w:r>
      <w:r w:rsidR="00614A53" w:rsidRPr="00EA7758">
        <w:rPr>
          <w:rFonts w:ascii="Palatino Linotype" w:hAnsi="Palatino Linotype" w:cs="Arial"/>
        </w:rPr>
        <w:t>V</w:t>
      </w:r>
      <w:r w:rsidRPr="00EA7758">
        <w:rPr>
          <w:rFonts w:ascii="Palatino Linotype" w:hAnsi="Palatino Linotype" w:cs="Arial"/>
        </w:rPr>
        <w:t>, del artículo 192, de la Ley de Transparencia vigente en la entidad, que a la letra establecen:</w:t>
      </w:r>
    </w:p>
    <w:p w:rsidR="009602BA" w:rsidRPr="00EA7758" w:rsidRDefault="009602BA" w:rsidP="00EE7775">
      <w:pPr>
        <w:autoSpaceDE w:val="0"/>
        <w:autoSpaceDN w:val="0"/>
        <w:adjustRightInd w:val="0"/>
        <w:ind w:left="708"/>
        <w:jc w:val="both"/>
        <w:rPr>
          <w:rFonts w:ascii="Palatino Linotype" w:hAnsi="Palatino Linotype"/>
          <w:i/>
          <w:sz w:val="22"/>
        </w:rPr>
      </w:pPr>
      <w:r w:rsidRPr="00EA7758">
        <w:rPr>
          <w:rFonts w:ascii="Palatino Linotype" w:hAnsi="Palatino Linotype"/>
          <w:i/>
          <w:sz w:val="22"/>
        </w:rPr>
        <w:t>“</w:t>
      </w:r>
      <w:r w:rsidRPr="00EA7758">
        <w:rPr>
          <w:rFonts w:ascii="Palatino Linotype" w:hAnsi="Palatino Linotype"/>
          <w:b/>
          <w:i/>
          <w:sz w:val="22"/>
        </w:rPr>
        <w:t xml:space="preserve">Artículo 192. </w:t>
      </w:r>
      <w:r w:rsidRPr="00EA7758">
        <w:rPr>
          <w:rFonts w:ascii="Palatino Linotype" w:hAnsi="Palatino Linotype"/>
          <w:b/>
          <w:i/>
          <w:sz w:val="22"/>
          <w:u w:val="single"/>
        </w:rPr>
        <w:t>El recurso será sobreseído, en todo o en parte, cuando una vez admitido, se actualicen alguno de los siguientes supuestos</w:t>
      </w:r>
      <w:r w:rsidRPr="00EA7758">
        <w:rPr>
          <w:rFonts w:ascii="Palatino Linotype" w:hAnsi="Palatino Linotype"/>
          <w:i/>
          <w:sz w:val="22"/>
        </w:rPr>
        <w:t>:</w:t>
      </w:r>
    </w:p>
    <w:p w:rsidR="009602BA" w:rsidRPr="00EA7758" w:rsidRDefault="009602BA" w:rsidP="00EE7775">
      <w:pPr>
        <w:autoSpaceDE w:val="0"/>
        <w:autoSpaceDN w:val="0"/>
        <w:adjustRightInd w:val="0"/>
        <w:ind w:left="708"/>
        <w:jc w:val="both"/>
        <w:rPr>
          <w:rFonts w:ascii="Palatino Linotype" w:hAnsi="Palatino Linotype"/>
          <w:i/>
          <w:sz w:val="22"/>
        </w:rPr>
      </w:pPr>
    </w:p>
    <w:p w:rsidR="009602BA" w:rsidRPr="00EA7758" w:rsidRDefault="009602BA" w:rsidP="00EE7775">
      <w:pPr>
        <w:numPr>
          <w:ilvl w:val="0"/>
          <w:numId w:val="18"/>
        </w:numPr>
        <w:autoSpaceDE w:val="0"/>
        <w:autoSpaceDN w:val="0"/>
        <w:adjustRightInd w:val="0"/>
        <w:jc w:val="both"/>
        <w:rPr>
          <w:rFonts w:ascii="Palatino Linotype" w:hAnsi="Palatino Linotype"/>
          <w:i/>
          <w:sz w:val="22"/>
        </w:rPr>
      </w:pPr>
      <w:r w:rsidRPr="00EA7758">
        <w:rPr>
          <w:rFonts w:ascii="Palatino Linotype" w:hAnsi="Palatino Linotype"/>
          <w:i/>
          <w:sz w:val="22"/>
        </w:rPr>
        <w:t xml:space="preserve">El recurrente se desista expresamente del recurso; </w:t>
      </w:r>
    </w:p>
    <w:p w:rsidR="009602BA" w:rsidRPr="00EA7758" w:rsidRDefault="009602BA" w:rsidP="00EE7775">
      <w:pPr>
        <w:numPr>
          <w:ilvl w:val="0"/>
          <w:numId w:val="18"/>
        </w:numPr>
        <w:autoSpaceDE w:val="0"/>
        <w:autoSpaceDN w:val="0"/>
        <w:adjustRightInd w:val="0"/>
        <w:jc w:val="both"/>
        <w:rPr>
          <w:rFonts w:ascii="Palatino Linotype" w:hAnsi="Palatino Linotype" w:cs="Arial"/>
          <w:i/>
          <w:sz w:val="22"/>
        </w:rPr>
      </w:pPr>
      <w:r w:rsidRPr="00EA7758">
        <w:rPr>
          <w:rFonts w:ascii="Palatino Linotype" w:hAnsi="Palatino Linotype"/>
          <w:i/>
          <w:sz w:val="22"/>
        </w:rPr>
        <w:t xml:space="preserve">El recurrente fallezca o, tratándose de personas jurídicas colectivas, se disuelva; </w:t>
      </w:r>
    </w:p>
    <w:p w:rsidR="009602BA" w:rsidRPr="00EA7758" w:rsidRDefault="009602BA" w:rsidP="00EE7775">
      <w:pPr>
        <w:numPr>
          <w:ilvl w:val="0"/>
          <w:numId w:val="18"/>
        </w:numPr>
        <w:autoSpaceDE w:val="0"/>
        <w:autoSpaceDN w:val="0"/>
        <w:adjustRightInd w:val="0"/>
        <w:jc w:val="both"/>
        <w:rPr>
          <w:rFonts w:ascii="Palatino Linotype" w:hAnsi="Palatino Linotype" w:cs="Arial"/>
          <w:i/>
          <w:sz w:val="22"/>
        </w:rPr>
      </w:pPr>
      <w:r w:rsidRPr="00EA7758">
        <w:rPr>
          <w:rFonts w:ascii="Palatino Linotype" w:hAnsi="Palatino Linotype"/>
          <w:i/>
          <w:sz w:val="22"/>
        </w:rPr>
        <w:t xml:space="preserve">El sujeto obligado responsable del acto lo modifique o revoque de tal manera que el recurso de revisión quede sin materia; </w:t>
      </w:r>
    </w:p>
    <w:p w:rsidR="009602BA" w:rsidRPr="00EA7758" w:rsidRDefault="009602BA" w:rsidP="00EE7775">
      <w:pPr>
        <w:numPr>
          <w:ilvl w:val="0"/>
          <w:numId w:val="18"/>
        </w:numPr>
        <w:autoSpaceDE w:val="0"/>
        <w:autoSpaceDN w:val="0"/>
        <w:adjustRightInd w:val="0"/>
        <w:jc w:val="both"/>
        <w:rPr>
          <w:rFonts w:ascii="Palatino Linotype" w:hAnsi="Palatino Linotype" w:cs="Arial"/>
          <w:i/>
          <w:sz w:val="22"/>
        </w:rPr>
      </w:pPr>
      <w:r w:rsidRPr="00EA7758">
        <w:rPr>
          <w:rFonts w:ascii="Palatino Linotype" w:hAnsi="Palatino Linotype"/>
          <w:b/>
          <w:i/>
          <w:sz w:val="22"/>
          <w:u w:val="single"/>
        </w:rPr>
        <w:t>Admitido el recurso de revisión, aparezca alguna causal de improcedencia en los términos de la presente Ley</w:t>
      </w:r>
      <w:r w:rsidRPr="00EA7758">
        <w:rPr>
          <w:rFonts w:ascii="Palatino Linotype" w:hAnsi="Palatino Linotype"/>
          <w:i/>
          <w:sz w:val="22"/>
        </w:rPr>
        <w:t xml:space="preserve">; y </w:t>
      </w:r>
    </w:p>
    <w:p w:rsidR="009602BA" w:rsidRPr="00EA7758" w:rsidRDefault="009602BA" w:rsidP="00EE7775">
      <w:pPr>
        <w:numPr>
          <w:ilvl w:val="0"/>
          <w:numId w:val="18"/>
        </w:numPr>
        <w:autoSpaceDE w:val="0"/>
        <w:autoSpaceDN w:val="0"/>
        <w:adjustRightInd w:val="0"/>
        <w:jc w:val="both"/>
        <w:rPr>
          <w:rFonts w:ascii="Palatino Linotype" w:hAnsi="Palatino Linotype" w:cs="Arial"/>
          <w:i/>
          <w:sz w:val="22"/>
        </w:rPr>
      </w:pPr>
      <w:r w:rsidRPr="00EA7758">
        <w:rPr>
          <w:rFonts w:ascii="Palatino Linotype" w:hAnsi="Palatino Linotype"/>
          <w:i/>
          <w:sz w:val="22"/>
        </w:rPr>
        <w:t>Cuando por cualquier motivo quede sin materia el recurso.”</w:t>
      </w:r>
    </w:p>
    <w:p w:rsidR="009602BA" w:rsidRPr="00EA7758" w:rsidRDefault="009602BA" w:rsidP="009602BA">
      <w:pPr>
        <w:spacing w:after="160" w:line="259" w:lineRule="auto"/>
        <w:rPr>
          <w:rFonts w:ascii="Palatino Linotype" w:eastAsiaTheme="minorHAnsi" w:hAnsi="Palatino Linotype" w:cstheme="minorBidi"/>
          <w:szCs w:val="22"/>
        </w:rPr>
      </w:pPr>
    </w:p>
    <w:p w:rsidR="009602BA" w:rsidRPr="00EA7758" w:rsidRDefault="009602BA" w:rsidP="009602BA">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Por lo que hace a los requisitos de procedencia del sobreseimiento en términos del artículo 192, de la Ley de Transparencia estatal se establece lo siguiente:</w:t>
      </w:r>
    </w:p>
    <w:p w:rsidR="009602BA" w:rsidRPr="00EA7758" w:rsidRDefault="009602BA" w:rsidP="009602BA">
      <w:pPr>
        <w:rPr>
          <w:rFonts w:asciiTheme="minorHAnsi" w:eastAsiaTheme="minorHAnsi" w:hAnsiTheme="minorHAnsi" w:cstheme="minorBidi"/>
          <w:sz w:val="22"/>
          <w:szCs w:val="22"/>
          <w:lang w:eastAsia="en-US"/>
        </w:rPr>
      </w:pPr>
    </w:p>
    <w:p w:rsidR="009602BA" w:rsidRPr="00EA7758" w:rsidRDefault="009602BA" w:rsidP="00EE7775">
      <w:pPr>
        <w:numPr>
          <w:ilvl w:val="0"/>
          <w:numId w:val="19"/>
        </w:numPr>
        <w:autoSpaceDE w:val="0"/>
        <w:autoSpaceDN w:val="0"/>
        <w:adjustRightInd w:val="0"/>
        <w:spacing w:line="360" w:lineRule="auto"/>
        <w:ind w:left="851" w:right="850" w:firstLine="10"/>
        <w:jc w:val="both"/>
        <w:rPr>
          <w:rFonts w:ascii="Palatino Linotype" w:hAnsi="Palatino Linotype" w:cs="Arial"/>
        </w:rPr>
      </w:pPr>
      <w:r w:rsidRPr="00EA7758">
        <w:rPr>
          <w:rFonts w:ascii="Palatino Linotype" w:hAnsi="Palatino Linotype" w:cs="Arial"/>
        </w:rPr>
        <w:t xml:space="preserve">Mediante acuerdo de fecha </w:t>
      </w:r>
      <w:r w:rsidR="00D96D23" w:rsidRPr="00EA7758">
        <w:rPr>
          <w:rFonts w:ascii="Palatino Linotype" w:hAnsi="Palatino Linotype" w:cs="Arial"/>
          <w:b/>
        </w:rPr>
        <w:t>veintiuno</w:t>
      </w:r>
      <w:r w:rsidRPr="00EA7758">
        <w:rPr>
          <w:rFonts w:ascii="Palatino Linotype" w:hAnsi="Palatino Linotype" w:cs="Arial"/>
          <w:b/>
        </w:rPr>
        <w:t xml:space="preserve"> de </w:t>
      </w:r>
      <w:r w:rsidR="00D96D23" w:rsidRPr="00EA7758">
        <w:rPr>
          <w:rFonts w:ascii="Palatino Linotype" w:hAnsi="Palatino Linotype" w:cs="Arial"/>
          <w:b/>
        </w:rPr>
        <w:t>juni</w:t>
      </w:r>
      <w:r w:rsidRPr="00EA7758">
        <w:rPr>
          <w:rFonts w:ascii="Palatino Linotype" w:hAnsi="Palatino Linotype" w:cs="Arial"/>
          <w:b/>
        </w:rPr>
        <w:t>o de dos mil veintidós</w:t>
      </w:r>
      <w:r w:rsidRPr="00EA7758">
        <w:rPr>
          <w:rFonts w:ascii="Palatino Linotype" w:hAnsi="Palatino Linotype" w:cs="Arial"/>
        </w:rPr>
        <w:t xml:space="preserve">, el Comisionado </w:t>
      </w:r>
      <w:r w:rsidRPr="00EA7758">
        <w:rPr>
          <w:rFonts w:ascii="Palatino Linotype" w:hAnsi="Palatino Linotype" w:cs="Arial"/>
          <w:b/>
        </w:rPr>
        <w:t>José Martínez Vilchis</w:t>
      </w:r>
      <w:r w:rsidRPr="00EA7758">
        <w:rPr>
          <w:rFonts w:ascii="Palatino Linotype" w:hAnsi="Palatino Linotype" w:cs="Arial"/>
        </w:rPr>
        <w:t>, admitió a trámite el recurso de revisión que nos ocupa</w:t>
      </w:r>
      <w:r w:rsidRPr="00EA7758">
        <w:rPr>
          <w:rFonts w:ascii="Palatino Linotype" w:hAnsi="Palatino Linotype" w:cs="Arial"/>
          <w:lang w:val="es-MX"/>
        </w:rPr>
        <w:t>.</w:t>
      </w:r>
    </w:p>
    <w:p w:rsidR="009602BA" w:rsidRPr="00EA7758" w:rsidRDefault="009602BA" w:rsidP="00EE7775">
      <w:pPr>
        <w:numPr>
          <w:ilvl w:val="0"/>
          <w:numId w:val="19"/>
        </w:numPr>
        <w:autoSpaceDE w:val="0"/>
        <w:autoSpaceDN w:val="0"/>
        <w:adjustRightInd w:val="0"/>
        <w:spacing w:line="360" w:lineRule="auto"/>
        <w:ind w:left="851" w:right="850" w:firstLine="10"/>
        <w:jc w:val="both"/>
        <w:rPr>
          <w:rFonts w:asciiTheme="minorHAnsi" w:eastAsiaTheme="minorHAnsi" w:hAnsiTheme="minorHAnsi" w:cstheme="minorBidi"/>
          <w:sz w:val="22"/>
          <w:szCs w:val="22"/>
          <w:lang w:val="es-MX" w:eastAsia="en-US"/>
        </w:rPr>
      </w:pPr>
      <w:r w:rsidRPr="00EA7758">
        <w:rPr>
          <w:rFonts w:ascii="Palatino Linotype" w:eastAsiaTheme="minorHAnsi" w:hAnsi="Palatino Linotype" w:cs="Arial"/>
          <w:lang w:val="es-MX" w:eastAsia="en-US"/>
        </w:rPr>
        <w:t>Lo esgrimido por el particular dentro del recurso de revisión</w:t>
      </w:r>
      <w:r w:rsidR="00D96D23" w:rsidRPr="00EA7758">
        <w:rPr>
          <w:rFonts w:ascii="Palatino Linotype" w:eastAsiaTheme="minorHAnsi" w:hAnsi="Palatino Linotype" w:cs="Arial"/>
          <w:lang w:val="es-MX" w:eastAsia="en-US"/>
        </w:rPr>
        <w:t>, toda vez que</w:t>
      </w:r>
      <w:r w:rsidRPr="00EA7758">
        <w:rPr>
          <w:rFonts w:ascii="Palatino Linotype" w:eastAsiaTheme="minorHAnsi" w:hAnsi="Palatino Linotype" w:cs="Arial"/>
          <w:lang w:val="es-MX" w:eastAsia="en-US"/>
        </w:rPr>
        <w:t xml:space="preserve"> </w:t>
      </w:r>
      <w:r w:rsidR="00D96D23" w:rsidRPr="00EA7758">
        <w:rPr>
          <w:rFonts w:ascii="Palatino Linotype" w:eastAsiaTheme="minorHAnsi" w:hAnsi="Palatino Linotype" w:cs="Arial"/>
          <w:lang w:val="es-MX" w:eastAsia="en-US"/>
        </w:rPr>
        <w:t>se impugnó la veracidad de la información proporcionada</w:t>
      </w:r>
      <w:r w:rsidRPr="00EA7758">
        <w:rPr>
          <w:rFonts w:ascii="Palatino Linotype" w:eastAsiaTheme="minorHAnsi" w:hAnsi="Palatino Linotype" w:cs="Arial"/>
          <w:lang w:val="es-MX" w:eastAsia="en-US"/>
        </w:rPr>
        <w:t xml:space="preserve"> </w:t>
      </w:r>
      <w:r w:rsidR="00D96D23" w:rsidRPr="00EA7758">
        <w:rPr>
          <w:rFonts w:ascii="Palatino Linotype" w:eastAsiaTheme="minorHAnsi" w:hAnsi="Palatino Linotype" w:cs="Arial"/>
          <w:lang w:val="es-MX" w:eastAsia="en-US"/>
        </w:rPr>
        <w:t>por parte del Sujeto Obligado</w:t>
      </w:r>
      <w:r w:rsidRPr="00EA7758">
        <w:rPr>
          <w:rFonts w:ascii="Palatino Linotype" w:eastAsiaTheme="minorHAnsi" w:hAnsi="Palatino Linotype" w:cs="Arial"/>
          <w:lang w:val="es-MX" w:eastAsia="en-US"/>
        </w:rPr>
        <w:t>.</w:t>
      </w:r>
    </w:p>
    <w:p w:rsidR="009602BA" w:rsidRPr="00EA7758" w:rsidRDefault="009602BA" w:rsidP="00EE7775">
      <w:pPr>
        <w:numPr>
          <w:ilvl w:val="0"/>
          <w:numId w:val="19"/>
        </w:numPr>
        <w:autoSpaceDE w:val="0"/>
        <w:autoSpaceDN w:val="0"/>
        <w:adjustRightInd w:val="0"/>
        <w:spacing w:line="360" w:lineRule="auto"/>
        <w:ind w:left="851" w:right="850" w:firstLine="10"/>
        <w:jc w:val="both"/>
        <w:rPr>
          <w:rFonts w:ascii="Palatino Linotype" w:hAnsi="Palatino Linotype" w:cs="Arial"/>
        </w:rPr>
      </w:pPr>
      <w:r w:rsidRPr="00EA7758">
        <w:rPr>
          <w:rFonts w:ascii="Palatino Linotype" w:hAnsi="Palatino Linotype" w:cs="Arial"/>
        </w:rPr>
        <w:t xml:space="preserve">El recurso </w:t>
      </w:r>
      <w:r w:rsidR="00D96D23" w:rsidRPr="00EA7758">
        <w:rPr>
          <w:rFonts w:ascii="Palatino Linotype" w:hAnsi="Palatino Linotype" w:cs="Arial"/>
          <w:b/>
          <w:bCs/>
          <w:lang w:eastAsia="es-MX"/>
        </w:rPr>
        <w:t>11390</w:t>
      </w:r>
      <w:r w:rsidRPr="00EA7758">
        <w:rPr>
          <w:rFonts w:ascii="Palatino Linotype" w:hAnsi="Palatino Linotype" w:cs="Arial"/>
          <w:b/>
          <w:bCs/>
          <w:lang w:eastAsia="es-MX"/>
        </w:rPr>
        <w:t>/INFOEM/IP/RR/2022</w:t>
      </w:r>
      <w:r w:rsidRPr="00EA7758">
        <w:rPr>
          <w:rFonts w:ascii="Palatino Linotype" w:hAnsi="Palatino Linotype" w:cs="Arial"/>
          <w:bCs/>
          <w:lang w:eastAsia="es-MX"/>
        </w:rPr>
        <w:t>,</w:t>
      </w:r>
      <w:r w:rsidRPr="00EA7758">
        <w:rPr>
          <w:rFonts w:ascii="Palatino Linotype" w:hAnsi="Palatino Linotype" w:cs="Arial"/>
        </w:rPr>
        <w:t xml:space="preserve"> </w:t>
      </w:r>
      <w:r w:rsidR="00D96D23" w:rsidRPr="00EA7758">
        <w:rPr>
          <w:rFonts w:ascii="Palatino Linotype" w:hAnsi="Palatino Linotype" w:cs="Arial"/>
        </w:rPr>
        <w:t xml:space="preserve">se Sobresee </w:t>
      </w:r>
      <w:r w:rsidR="00D96D23" w:rsidRPr="00EA7758">
        <w:rPr>
          <w:rFonts w:ascii="Palatino Linotype" w:hAnsi="Palatino Linotype" w:cs="Arial"/>
          <w:lang w:val="es-MX"/>
        </w:rPr>
        <w:t xml:space="preserve">por improcedente, toda vez que se actualiza la fracción IV, del artículo 192, </w:t>
      </w:r>
      <w:r w:rsidR="00D96D23" w:rsidRPr="00EA7758">
        <w:rPr>
          <w:rFonts w:ascii="Palatino Linotype" w:hAnsi="Palatino Linotype" w:cs="Arial"/>
          <w:lang w:val="es-MX"/>
        </w:rPr>
        <w:lastRenderedPageBreak/>
        <w:t>de la Ley de Transparencia y Acceso a la Información Pública del Estado de México y Municipios, en correlación con el diverso 191, fracción V, del mismo ordenamiento</w:t>
      </w:r>
      <w:r w:rsidRPr="00EA7758">
        <w:rPr>
          <w:rFonts w:ascii="Palatino Linotype" w:hAnsi="Palatino Linotype" w:cs="Arial"/>
        </w:rPr>
        <w:t>.</w:t>
      </w:r>
    </w:p>
    <w:p w:rsidR="00EE7775" w:rsidRPr="00EA7758" w:rsidRDefault="00EE7775" w:rsidP="009602BA">
      <w:pPr>
        <w:autoSpaceDE w:val="0"/>
        <w:autoSpaceDN w:val="0"/>
        <w:adjustRightInd w:val="0"/>
        <w:spacing w:line="360" w:lineRule="auto"/>
        <w:jc w:val="both"/>
        <w:rPr>
          <w:rFonts w:ascii="Palatino Linotype" w:hAnsi="Palatino Linotype"/>
          <w:sz w:val="14"/>
        </w:rPr>
      </w:pPr>
    </w:p>
    <w:p w:rsidR="009602BA" w:rsidRPr="00EA7758" w:rsidRDefault="009602BA" w:rsidP="009602BA">
      <w:pPr>
        <w:autoSpaceDE w:val="0"/>
        <w:autoSpaceDN w:val="0"/>
        <w:adjustRightInd w:val="0"/>
        <w:spacing w:line="360" w:lineRule="auto"/>
        <w:jc w:val="both"/>
        <w:rPr>
          <w:rFonts w:ascii="Palatino Linotype" w:hAnsi="Palatino Linotype"/>
          <w:b/>
          <w:u w:val="single"/>
        </w:rPr>
      </w:pPr>
      <w:r w:rsidRPr="00EA7758">
        <w:rPr>
          <w:rFonts w:ascii="Palatino Linotype" w:hAnsi="Palatino Linotype"/>
        </w:rPr>
        <w:t xml:space="preserve">Es importante resaltar a manera de analogía que la Suprema Corte de Justicia de la Nación mediante el número 2 de la Serie </w:t>
      </w:r>
      <w:r w:rsidRPr="00EA7758">
        <w:rPr>
          <w:rFonts w:ascii="Palatino Linotype" w:hAnsi="Palatino Linotype"/>
          <w:i/>
        </w:rPr>
        <w:t xml:space="preserve">Estudios Introductorios sobre el Juicio de Amparo </w:t>
      </w:r>
      <w:r w:rsidRPr="00EA7758">
        <w:rPr>
          <w:rFonts w:ascii="Palatino Linotype" w:hAnsi="Palatino Linotype"/>
        </w:rPr>
        <w:t xml:space="preserve">relativo a </w:t>
      </w:r>
      <w:r w:rsidRPr="00EA7758">
        <w:rPr>
          <w:rFonts w:ascii="Palatino Linotype" w:hAnsi="Palatino Linotype"/>
          <w:i/>
        </w:rPr>
        <w:t xml:space="preserve">LA IMPROCEDENCIA DE LA ACCIÓN DE AMPARO </w:t>
      </w:r>
      <w:r w:rsidRPr="00EA7758">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A7758">
        <w:rPr>
          <w:rFonts w:ascii="Palatino Linotype" w:hAnsi="Palatino Linotype"/>
          <w:b/>
          <w:u w:val="single"/>
        </w:rPr>
        <w:t>lo que generará que la demanda sea desechada; o bien, después de admitida la demanda, lo que tendrá como consecuencia que se sobresea en el juicio.</w:t>
      </w:r>
    </w:p>
    <w:p w:rsidR="009602BA" w:rsidRPr="00EA7758" w:rsidRDefault="009602BA" w:rsidP="009602BA">
      <w:pPr>
        <w:autoSpaceDE w:val="0"/>
        <w:autoSpaceDN w:val="0"/>
        <w:adjustRightInd w:val="0"/>
        <w:spacing w:line="360" w:lineRule="auto"/>
        <w:jc w:val="both"/>
        <w:rPr>
          <w:rFonts w:ascii="Palatino Linotype" w:hAnsi="Palatino Linotype"/>
          <w:b/>
          <w:u w:val="single"/>
        </w:rPr>
      </w:pPr>
    </w:p>
    <w:p w:rsidR="009602BA" w:rsidRPr="00EA7758" w:rsidRDefault="009602BA" w:rsidP="009602BA">
      <w:pPr>
        <w:spacing w:line="360" w:lineRule="auto"/>
        <w:ind w:right="51"/>
        <w:jc w:val="both"/>
        <w:rPr>
          <w:rFonts w:ascii="Palatino Linotype" w:hAnsi="Palatino Linotype" w:cs="Arial"/>
          <w:bCs/>
          <w:lang w:eastAsia="es-MX"/>
        </w:rPr>
      </w:pPr>
      <w:r w:rsidRPr="00EA7758">
        <w:rPr>
          <w:rFonts w:ascii="Palatino Linotype" w:hAnsi="Palatino Linotype" w:cs="Arial"/>
        </w:rPr>
        <w:t>En mérito de lo expuesto en líneas anteriores</w:t>
      </w:r>
      <w:r w:rsidRPr="00EA7758">
        <w:rPr>
          <w:rFonts w:ascii="Palatino Linotype" w:hAnsi="Palatino Linotype"/>
          <w:noProof/>
          <w:lang w:eastAsia="es-MX"/>
        </w:rPr>
        <w:t xml:space="preserve">, resultan parcialmente procedentes los motivos de inconformidad que arguye </w:t>
      </w:r>
      <w:r w:rsidR="00D96D23" w:rsidRPr="00EA7758">
        <w:rPr>
          <w:rFonts w:ascii="Palatino Linotype" w:hAnsi="Palatino Linotype"/>
          <w:b/>
          <w:noProof/>
          <w:lang w:eastAsia="es-MX"/>
        </w:rPr>
        <w:t>El</w:t>
      </w:r>
      <w:r w:rsidRPr="00EA7758">
        <w:rPr>
          <w:rFonts w:ascii="Palatino Linotype" w:hAnsi="Palatino Linotype"/>
          <w:b/>
          <w:noProof/>
          <w:lang w:eastAsia="es-MX"/>
        </w:rPr>
        <w:t xml:space="preserve"> Recurrente</w:t>
      </w:r>
      <w:r w:rsidRPr="00EA7758">
        <w:rPr>
          <w:rFonts w:ascii="Palatino Linotype" w:hAnsi="Palatino Linotype"/>
          <w:noProof/>
          <w:lang w:eastAsia="es-MX"/>
        </w:rPr>
        <w:t xml:space="preserve"> en su medio de impugnación que fue materia de estudio, </w:t>
      </w:r>
      <w:r w:rsidRPr="00EA7758">
        <w:rPr>
          <w:rFonts w:ascii="Palatino Linotype" w:hAnsi="Palatino Linotype" w:cs="Arial"/>
        </w:rPr>
        <w:t>por ello con fundamento en el artículo 186, fracción I, en concordancia c</w:t>
      </w:r>
      <w:r w:rsidR="00D96D23" w:rsidRPr="00EA7758">
        <w:rPr>
          <w:rFonts w:ascii="Palatino Linotype" w:hAnsi="Palatino Linotype" w:cs="Arial"/>
        </w:rPr>
        <w:t>on el artículo 192, fracción IV</w:t>
      </w:r>
      <w:r w:rsidRPr="00EA7758">
        <w:rPr>
          <w:rFonts w:ascii="Palatino Linotype" w:hAnsi="Palatino Linotype" w:cs="Arial"/>
        </w:rPr>
        <w:t xml:space="preserve">, de la Ley de Transparencia y Acceso a la Información Pública del Estado de México y Municipios, se </w:t>
      </w:r>
      <w:r w:rsidRPr="00EA7758">
        <w:rPr>
          <w:rFonts w:ascii="Palatino Linotype" w:hAnsi="Palatino Linotype" w:cs="Arial"/>
          <w:b/>
        </w:rPr>
        <w:t>SOBRESEE</w:t>
      </w:r>
      <w:r w:rsidRPr="00EA7758">
        <w:rPr>
          <w:rFonts w:ascii="Palatino Linotype" w:hAnsi="Palatino Linotype" w:cs="Arial"/>
        </w:rPr>
        <w:t xml:space="preserve"> el recurso de revisión </w:t>
      </w:r>
      <w:r w:rsidR="00D96D23" w:rsidRPr="00EA7758">
        <w:rPr>
          <w:rFonts w:ascii="Palatino Linotype" w:eastAsiaTheme="minorEastAsia" w:hAnsi="Palatino Linotype" w:cstheme="minorBidi"/>
          <w:b/>
          <w:lang w:val="es-ES_tradnl"/>
        </w:rPr>
        <w:t>11390</w:t>
      </w:r>
      <w:r w:rsidRPr="00EA7758">
        <w:rPr>
          <w:rFonts w:ascii="Palatino Linotype" w:eastAsiaTheme="minorEastAsia" w:hAnsi="Palatino Linotype" w:cstheme="minorBidi"/>
          <w:b/>
          <w:lang w:val="es-ES_tradnl"/>
        </w:rPr>
        <w:t>/INFOEM/IP/RR/2022</w:t>
      </w:r>
      <w:r w:rsidRPr="00EA7758">
        <w:rPr>
          <w:rFonts w:ascii="Palatino Linotype" w:eastAsiaTheme="minorEastAsia" w:hAnsi="Palatino Linotype" w:cstheme="minorBidi"/>
          <w:lang w:val="es-ES_tradnl"/>
        </w:rPr>
        <w:t>,</w:t>
      </w:r>
      <w:r w:rsidRPr="00EA7758">
        <w:rPr>
          <w:rFonts w:ascii="Palatino Linotype" w:eastAsiaTheme="minorEastAsia" w:hAnsi="Palatino Linotype" w:cstheme="minorBidi"/>
          <w:b/>
          <w:lang w:val="es-ES_tradnl"/>
        </w:rPr>
        <w:t xml:space="preserve"> </w:t>
      </w:r>
      <w:r w:rsidRPr="00EA7758">
        <w:rPr>
          <w:rFonts w:ascii="Palatino Linotype" w:hAnsi="Palatino Linotype" w:cs="Arial"/>
          <w:bCs/>
          <w:lang w:eastAsia="es-MX"/>
        </w:rPr>
        <w:t>que ha sido materia del presente fallo.</w:t>
      </w:r>
    </w:p>
    <w:p w:rsidR="005909E0" w:rsidRPr="00EA7758"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EA7758"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EA7758">
        <w:rPr>
          <w:rFonts w:ascii="Palatino Linotype" w:eastAsiaTheme="minorHAnsi" w:hAnsi="Palatino Linotype" w:cstheme="minorBidi"/>
          <w:lang w:val="es-MX" w:eastAsia="en-US"/>
        </w:rPr>
        <w:t>Por lo antes expuesto y fundado es de resolverse y,</w:t>
      </w:r>
    </w:p>
    <w:p w:rsidR="005909E0" w:rsidRPr="00EA7758"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EA7758" w:rsidRDefault="009602BA" w:rsidP="009602BA">
      <w:pPr>
        <w:spacing w:line="360" w:lineRule="auto"/>
        <w:jc w:val="center"/>
        <w:rPr>
          <w:rFonts w:ascii="Palatino Linotype" w:hAnsi="Palatino Linotype" w:cstheme="minorBidi"/>
          <w:b/>
          <w:bCs/>
          <w:spacing w:val="60"/>
          <w:sz w:val="28"/>
          <w:szCs w:val="22"/>
          <w:lang w:val="es-ES_tradnl" w:eastAsia="en-US"/>
        </w:rPr>
      </w:pPr>
      <w:r w:rsidRPr="00EA7758">
        <w:rPr>
          <w:rFonts w:ascii="Palatino Linotype" w:hAnsi="Palatino Linotype" w:cstheme="minorBidi"/>
          <w:b/>
          <w:bCs/>
          <w:spacing w:val="60"/>
          <w:sz w:val="28"/>
          <w:szCs w:val="22"/>
          <w:lang w:val="es-ES_tradnl" w:eastAsia="en-US"/>
        </w:rPr>
        <w:lastRenderedPageBreak/>
        <w:t>SE    RESUELVE</w:t>
      </w:r>
    </w:p>
    <w:p w:rsidR="009602BA" w:rsidRPr="00EA7758" w:rsidRDefault="009602BA" w:rsidP="009602BA">
      <w:pPr>
        <w:spacing w:line="360" w:lineRule="auto"/>
        <w:jc w:val="center"/>
        <w:rPr>
          <w:rFonts w:ascii="Palatino Linotype" w:hAnsi="Palatino Linotype" w:cstheme="minorBidi"/>
          <w:b/>
          <w:bCs/>
          <w:spacing w:val="60"/>
          <w:szCs w:val="22"/>
          <w:lang w:val="es-ES_tradnl" w:eastAsia="en-US"/>
        </w:rPr>
      </w:pPr>
    </w:p>
    <w:p w:rsidR="009602BA" w:rsidRPr="00EA7758" w:rsidRDefault="009602BA" w:rsidP="009602BA">
      <w:pPr>
        <w:spacing w:line="360" w:lineRule="auto"/>
        <w:jc w:val="both"/>
        <w:rPr>
          <w:rFonts w:ascii="Palatino Linotype" w:eastAsiaTheme="minorEastAsia" w:hAnsi="Palatino Linotype" w:cstheme="minorBidi"/>
          <w:lang w:val="es-ES_tradnl" w:eastAsia="en-US"/>
        </w:rPr>
      </w:pPr>
      <w:r w:rsidRPr="00EA7758">
        <w:rPr>
          <w:rFonts w:ascii="Palatino Linotype" w:hAnsi="Palatino Linotype" w:cstheme="minorBidi"/>
          <w:b/>
          <w:bCs/>
          <w:sz w:val="28"/>
          <w:szCs w:val="22"/>
          <w:lang w:val="es-MX" w:eastAsia="es-MX"/>
        </w:rPr>
        <w:t>PRIMERO</w:t>
      </w:r>
      <w:r w:rsidRPr="00EA7758">
        <w:rPr>
          <w:rFonts w:ascii="Palatino Linotype" w:hAnsi="Palatino Linotype" w:cstheme="minorBidi"/>
          <w:sz w:val="28"/>
          <w:szCs w:val="22"/>
          <w:lang w:val="es-MX" w:eastAsia="es-MX"/>
        </w:rPr>
        <w:t xml:space="preserve">. </w:t>
      </w:r>
      <w:r w:rsidRPr="00EA7758">
        <w:rPr>
          <w:rFonts w:ascii="Palatino Linotype" w:eastAsiaTheme="minorHAnsi" w:hAnsi="Palatino Linotype" w:cs="Arial"/>
          <w:lang w:val="es-ES_tradnl" w:eastAsia="en-US"/>
        </w:rPr>
        <w:t xml:space="preserve">Se </w:t>
      </w:r>
      <w:r w:rsidRPr="00EA7758">
        <w:rPr>
          <w:rFonts w:ascii="Palatino Linotype" w:eastAsiaTheme="minorHAnsi" w:hAnsi="Palatino Linotype" w:cs="Arial"/>
          <w:b/>
          <w:lang w:val="es-ES_tradnl" w:eastAsia="en-US"/>
        </w:rPr>
        <w:t>SOBRESEE</w:t>
      </w:r>
      <w:r w:rsidRPr="00EA7758">
        <w:rPr>
          <w:rFonts w:ascii="Palatino Linotype" w:eastAsiaTheme="minorHAnsi" w:hAnsi="Palatino Linotype" w:cs="Arial"/>
          <w:lang w:val="es-ES_tradnl" w:eastAsia="en-US"/>
        </w:rPr>
        <w:t xml:space="preserve"> el recurso de revisión número </w:t>
      </w:r>
      <w:r w:rsidR="00C52084" w:rsidRPr="00EA7758">
        <w:rPr>
          <w:rFonts w:ascii="Palatino Linotype" w:eastAsiaTheme="minorEastAsia" w:hAnsi="Palatino Linotype" w:cstheme="minorBidi"/>
          <w:b/>
          <w:lang w:val="es-ES_tradnl" w:eastAsia="en-US"/>
        </w:rPr>
        <w:t>11390</w:t>
      </w:r>
      <w:r w:rsidRPr="00EA7758">
        <w:rPr>
          <w:rFonts w:ascii="Palatino Linotype" w:eastAsiaTheme="minorEastAsia" w:hAnsi="Palatino Linotype" w:cstheme="minorBidi"/>
          <w:b/>
          <w:lang w:val="es-ES_tradnl" w:eastAsia="en-US"/>
        </w:rPr>
        <w:t>/INFOEM/IP/RR/2022</w:t>
      </w:r>
      <w:r w:rsidRPr="00EA7758">
        <w:rPr>
          <w:rFonts w:ascii="Palatino Linotype" w:eastAsiaTheme="minorEastAsia" w:hAnsi="Palatino Linotype" w:cstheme="minorBidi"/>
          <w:lang w:val="es-ES_tradnl" w:eastAsia="en-US"/>
        </w:rPr>
        <w:t xml:space="preserve">, </w:t>
      </w:r>
      <w:r w:rsidR="00C52084" w:rsidRPr="00EA7758">
        <w:rPr>
          <w:rFonts w:ascii="Palatino Linotype" w:eastAsiaTheme="minorEastAsia" w:hAnsi="Palatino Linotype" w:cstheme="minorBidi"/>
          <w:lang w:val="es-ES_tradnl" w:eastAsia="en-US"/>
        </w:rPr>
        <w:t>por improcedente en términos de los artículos 191, fracción V y 192, fracción IV, de la Ley de Transparencia y Acceso a la Información Pública del Estado de México y Municipios</w:t>
      </w:r>
      <w:r w:rsidRPr="00EA7758">
        <w:rPr>
          <w:rFonts w:ascii="Palatino Linotype" w:eastAsiaTheme="minorEastAsia" w:hAnsi="Palatino Linotype" w:cstheme="minorBidi"/>
          <w:lang w:val="es-ES_tradnl" w:eastAsia="en-US"/>
        </w:rPr>
        <w:t xml:space="preserve">, y en términos del Considerando </w:t>
      </w:r>
      <w:r w:rsidRPr="00EA7758">
        <w:rPr>
          <w:rFonts w:ascii="Palatino Linotype" w:eastAsiaTheme="minorEastAsia" w:hAnsi="Palatino Linotype" w:cstheme="minorBidi"/>
          <w:b/>
          <w:lang w:val="es-ES_tradnl" w:eastAsia="en-US"/>
        </w:rPr>
        <w:t>TERCERO</w:t>
      </w:r>
      <w:r w:rsidRPr="00EA7758">
        <w:rPr>
          <w:rFonts w:ascii="Palatino Linotype" w:eastAsiaTheme="minorEastAsia" w:hAnsi="Palatino Linotype" w:cstheme="minorBidi"/>
          <w:lang w:val="es-ES_tradnl" w:eastAsia="en-US"/>
        </w:rPr>
        <w:t xml:space="preserve"> de la presente resolución.</w:t>
      </w:r>
    </w:p>
    <w:p w:rsidR="009602BA" w:rsidRPr="00EA7758" w:rsidRDefault="009602BA" w:rsidP="009602BA">
      <w:pPr>
        <w:spacing w:line="360" w:lineRule="auto"/>
        <w:jc w:val="both"/>
        <w:rPr>
          <w:rFonts w:ascii="Palatino Linotype" w:eastAsiaTheme="minorEastAsia" w:hAnsi="Palatino Linotype" w:cstheme="minorBidi"/>
          <w:lang w:val="es-ES_tradnl" w:eastAsia="en-US"/>
        </w:rPr>
      </w:pPr>
    </w:p>
    <w:p w:rsidR="009602BA" w:rsidRPr="00EA7758" w:rsidRDefault="009602BA" w:rsidP="009602BA">
      <w:pPr>
        <w:spacing w:line="360" w:lineRule="auto"/>
        <w:jc w:val="both"/>
        <w:rPr>
          <w:rFonts w:ascii="Palatino Linotype" w:eastAsiaTheme="minorHAnsi" w:hAnsi="Palatino Linotype" w:cstheme="minorBidi"/>
          <w:lang w:val="es-MX" w:eastAsia="en-US"/>
        </w:rPr>
      </w:pPr>
      <w:r w:rsidRPr="00EA7758">
        <w:rPr>
          <w:rFonts w:ascii="Palatino Linotype" w:eastAsiaTheme="minorHAnsi" w:hAnsi="Palatino Linotype" w:cstheme="minorBidi"/>
          <w:b/>
          <w:sz w:val="28"/>
          <w:lang w:val="es-MX" w:eastAsia="en-US"/>
        </w:rPr>
        <w:t>SEGUNDO.</w:t>
      </w:r>
      <w:r w:rsidRPr="00EA7758">
        <w:rPr>
          <w:rFonts w:ascii="Palatino Linotype" w:eastAsiaTheme="minorHAnsi" w:hAnsi="Palatino Linotype" w:cs="Arial"/>
          <w:sz w:val="28"/>
          <w:lang w:val="es-MX" w:eastAsia="en-US"/>
        </w:rPr>
        <w:t xml:space="preserve"> </w:t>
      </w:r>
      <w:r w:rsidRPr="00EA7758">
        <w:rPr>
          <w:rFonts w:ascii="Palatino Linotype" w:eastAsiaTheme="minorHAnsi" w:hAnsi="Palatino Linotype" w:cstheme="minorBidi"/>
          <w:b/>
          <w:lang w:val="es-MX" w:eastAsia="en-US"/>
        </w:rPr>
        <w:t>NOTIFÍQUESE</w:t>
      </w:r>
      <w:r w:rsidRPr="00EA7758">
        <w:rPr>
          <w:rFonts w:ascii="Palatino Linotype" w:eastAsiaTheme="minorHAnsi" w:hAnsi="Palatino Linotype" w:cstheme="minorBidi"/>
          <w:lang w:val="es-MX" w:eastAsia="en-US"/>
        </w:rPr>
        <w:t xml:space="preserve"> vía Sistema de Acceso a la Información Mexiquense </w:t>
      </w:r>
      <w:r w:rsidRPr="00EA7758">
        <w:rPr>
          <w:rFonts w:ascii="Palatino Linotype" w:eastAsiaTheme="minorHAnsi" w:hAnsi="Palatino Linotype" w:cstheme="minorBidi"/>
          <w:b/>
          <w:lang w:val="es-MX" w:eastAsia="en-US"/>
        </w:rPr>
        <w:t>(SAIMEX)</w:t>
      </w:r>
      <w:r w:rsidRPr="00EA7758">
        <w:rPr>
          <w:rFonts w:ascii="Palatino Linotype" w:eastAsiaTheme="minorHAnsi" w:hAnsi="Palatino Linotype" w:cstheme="minorBidi"/>
          <w:lang w:val="es-MX" w:eastAsia="en-US"/>
        </w:rPr>
        <w:t xml:space="preserve">, la presente resolución al Titular de la Unidad de Transparencia del </w:t>
      </w:r>
      <w:r w:rsidRPr="00EA7758">
        <w:rPr>
          <w:rFonts w:ascii="Palatino Linotype" w:eastAsiaTheme="minorHAnsi" w:hAnsi="Palatino Linotype" w:cstheme="minorBidi"/>
          <w:b/>
          <w:lang w:val="es-MX" w:eastAsia="en-US"/>
        </w:rPr>
        <w:t>Sujeto Obligado</w:t>
      </w:r>
      <w:r w:rsidRPr="00EA7758">
        <w:rPr>
          <w:rFonts w:ascii="Palatino Linotype" w:eastAsiaTheme="minorHAnsi" w:hAnsi="Palatino Linotype" w:cstheme="minorBidi"/>
          <w:lang w:val="es-MX" w:eastAsia="en-US"/>
        </w:rPr>
        <w:t>.</w:t>
      </w:r>
    </w:p>
    <w:p w:rsidR="009602BA" w:rsidRPr="00EA7758" w:rsidRDefault="009602BA" w:rsidP="009602BA">
      <w:pPr>
        <w:spacing w:line="360" w:lineRule="auto"/>
        <w:jc w:val="both"/>
        <w:rPr>
          <w:rFonts w:ascii="Palatino Linotype" w:eastAsiaTheme="minorHAnsi" w:hAnsi="Palatino Linotype" w:cstheme="minorBidi"/>
          <w:lang w:val="es-MX" w:eastAsia="en-US"/>
        </w:rPr>
      </w:pPr>
    </w:p>
    <w:p w:rsidR="009602BA" w:rsidRPr="00EA7758" w:rsidRDefault="009602BA" w:rsidP="009602BA">
      <w:pPr>
        <w:spacing w:line="360" w:lineRule="auto"/>
        <w:jc w:val="both"/>
        <w:rPr>
          <w:rFonts w:ascii="Palatino Linotype" w:eastAsiaTheme="minorHAnsi" w:hAnsi="Palatino Linotype" w:cstheme="minorBidi"/>
          <w:lang w:val="es-MX" w:eastAsia="en-US"/>
        </w:rPr>
      </w:pPr>
      <w:r w:rsidRPr="00EA7758">
        <w:rPr>
          <w:rFonts w:ascii="Palatino Linotype" w:eastAsiaTheme="minorHAnsi" w:hAnsi="Palatino Linotype" w:cs="Arial"/>
          <w:b/>
          <w:sz w:val="28"/>
          <w:lang w:val="es-MX" w:eastAsia="en-US"/>
        </w:rPr>
        <w:t xml:space="preserve">TERCERO. </w:t>
      </w:r>
      <w:r w:rsidRPr="00EA7758">
        <w:rPr>
          <w:rFonts w:ascii="Palatino Linotype" w:eastAsiaTheme="minorHAnsi" w:hAnsi="Palatino Linotype" w:cstheme="minorBidi"/>
          <w:b/>
          <w:lang w:val="es-MX" w:eastAsia="en-US"/>
        </w:rPr>
        <w:t>NOTIFÍQUESE</w:t>
      </w:r>
      <w:r w:rsidR="00C52084" w:rsidRPr="00EA7758">
        <w:rPr>
          <w:rFonts w:ascii="Palatino Linotype" w:eastAsiaTheme="minorHAnsi" w:hAnsi="Palatino Linotype" w:cstheme="minorBidi"/>
          <w:lang w:val="es-MX" w:eastAsia="en-US"/>
        </w:rPr>
        <w:t xml:space="preserve"> al</w:t>
      </w:r>
      <w:r w:rsidRPr="00EA7758">
        <w:rPr>
          <w:rFonts w:ascii="Palatino Linotype" w:eastAsiaTheme="minorHAnsi" w:hAnsi="Palatino Linotype" w:cstheme="minorBidi"/>
          <w:lang w:val="es-MX" w:eastAsia="en-US"/>
        </w:rPr>
        <w:t xml:space="preserve"> </w:t>
      </w:r>
      <w:r w:rsidRPr="00EA7758">
        <w:rPr>
          <w:rFonts w:ascii="Palatino Linotype" w:eastAsiaTheme="minorHAnsi" w:hAnsi="Palatino Linotype" w:cstheme="minorBidi"/>
          <w:b/>
          <w:lang w:val="es-MX" w:eastAsia="en-US"/>
        </w:rPr>
        <w:t xml:space="preserve">Recurrente </w:t>
      </w:r>
      <w:r w:rsidRPr="00EA7758">
        <w:rPr>
          <w:rFonts w:ascii="Palatino Linotype" w:eastAsiaTheme="minorHAnsi" w:hAnsi="Palatino Linotype" w:cstheme="minorBidi"/>
          <w:lang w:val="es-MX" w:eastAsia="en-US"/>
        </w:rPr>
        <w:t xml:space="preserve">la presente resolución vía Sistema de Acceso a la Información Mexiquense </w:t>
      </w:r>
      <w:r w:rsidRPr="00EA7758">
        <w:rPr>
          <w:rFonts w:ascii="Palatino Linotype" w:eastAsiaTheme="minorHAnsi" w:hAnsi="Palatino Linotype" w:cstheme="minorBidi"/>
          <w:b/>
          <w:lang w:val="es-MX" w:eastAsia="en-US"/>
        </w:rPr>
        <w:t>(SAIMEX)</w:t>
      </w:r>
      <w:r w:rsidRPr="00EA7758">
        <w:rPr>
          <w:rFonts w:ascii="Palatino Linotype" w:eastAsiaTheme="minorHAnsi" w:hAnsi="Palatino Linotype" w:cstheme="minorBidi"/>
          <w:lang w:val="es-MX" w:eastAsia="en-US"/>
        </w:rPr>
        <w:t xml:space="preserve">, y </w:t>
      </w:r>
      <w:r w:rsidRPr="00EA7758">
        <w:rPr>
          <w:rFonts w:ascii="Palatino Linotype" w:eastAsiaTheme="minorHAnsi" w:hAnsi="Palatino Linotype" w:cs="Arial"/>
          <w:lang w:val="es-MX" w:eastAsia="en-US"/>
        </w:rPr>
        <w:t>hágase</w:t>
      </w:r>
      <w:r w:rsidRPr="00EA7758">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9602BA" w:rsidRPr="00EA7758" w:rsidRDefault="009602BA" w:rsidP="009602BA">
      <w:pPr>
        <w:spacing w:line="360" w:lineRule="auto"/>
        <w:jc w:val="both"/>
        <w:rPr>
          <w:rFonts w:ascii="Palatino Linotype" w:eastAsiaTheme="minorHAnsi" w:hAnsi="Palatino Linotype" w:cstheme="minorBidi"/>
          <w:lang w:val="es-MX" w:eastAsia="en-US"/>
        </w:rPr>
      </w:pPr>
    </w:p>
    <w:p w:rsidR="00054E04" w:rsidRPr="00EA7758" w:rsidRDefault="0029071C" w:rsidP="00EE7775">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ASÍ LO RESUELVE, POR UNANIMIDAD DE VOTOS, EL PLENO DEL</w:t>
      </w:r>
      <w:r w:rsidRPr="00EA775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758">
        <w:rPr>
          <w:rFonts w:ascii="Palatino Linotype" w:eastAsiaTheme="minorHAnsi" w:hAnsi="Palatino Linotype" w:cs="Arial"/>
          <w:lang w:val="es-MX" w:eastAsia="en-US"/>
        </w:rPr>
        <w:t xml:space="preserve">, CONFORMADO POR LOS COMISIONADOS JOSÉ MARTÍNEZ VILCHIS; MARÍA </w:t>
      </w:r>
      <w:r w:rsidRPr="00EA7758">
        <w:rPr>
          <w:rFonts w:ascii="Palatino Linotype" w:eastAsiaTheme="minorHAnsi" w:hAnsi="Palatino Linotype" w:cs="Arial"/>
          <w:lang w:val="es-MX" w:eastAsia="en-US"/>
        </w:rPr>
        <w:lastRenderedPageBreak/>
        <w:t>DEL ROSARIO MEJÍA AYALA; SHARON CRISTINA MORALES MARTÍNEZ</w:t>
      </w:r>
      <w:r w:rsidR="00C4326C" w:rsidRPr="00EA7758">
        <w:rPr>
          <w:rFonts w:ascii="Palatino Linotype" w:eastAsiaTheme="minorHAnsi" w:hAnsi="Palatino Linotype" w:cs="Arial"/>
          <w:lang w:val="es-MX" w:eastAsia="en-US"/>
        </w:rPr>
        <w:t xml:space="preserve">; </w:t>
      </w:r>
      <w:r w:rsidRPr="00EA7758">
        <w:rPr>
          <w:rFonts w:ascii="Palatino Linotype" w:eastAsiaTheme="minorHAnsi" w:hAnsi="Palatino Linotype" w:cs="Arial"/>
          <w:lang w:val="es-MX" w:eastAsia="en-US"/>
        </w:rPr>
        <w:t xml:space="preserve">LUIS GUSTAVO PARRA NORIEGA Y GUADALUPE RAMÍREZ PEÑA; EN LA </w:t>
      </w:r>
      <w:r w:rsidR="00C40502" w:rsidRPr="00EA7758">
        <w:rPr>
          <w:rFonts w:ascii="Palatino Linotype" w:eastAsiaTheme="minorHAnsi" w:hAnsi="Palatino Linotype" w:cs="Arial"/>
          <w:lang w:val="es-MX" w:eastAsia="en-US"/>
        </w:rPr>
        <w:t>TRIGÉSIM</w:t>
      </w:r>
      <w:r w:rsidR="00464839" w:rsidRPr="00EA7758">
        <w:rPr>
          <w:rFonts w:ascii="Palatino Linotype" w:eastAsiaTheme="minorHAnsi" w:hAnsi="Palatino Linotype" w:cs="Arial"/>
          <w:lang w:val="es-MX" w:eastAsia="en-US"/>
        </w:rPr>
        <w:t>A</w:t>
      </w:r>
      <w:r w:rsidR="005F1F89" w:rsidRPr="00EA7758">
        <w:rPr>
          <w:rFonts w:ascii="Palatino Linotype" w:eastAsiaTheme="minorHAnsi" w:hAnsi="Palatino Linotype" w:cs="Arial"/>
          <w:lang w:val="es-MX" w:eastAsia="en-US"/>
        </w:rPr>
        <w:t xml:space="preserve"> </w:t>
      </w:r>
      <w:r w:rsidR="00C753C2" w:rsidRPr="00EA7758">
        <w:rPr>
          <w:rFonts w:ascii="Palatino Linotype" w:eastAsiaTheme="minorHAnsi" w:hAnsi="Palatino Linotype" w:cs="Arial"/>
          <w:lang w:val="es-MX" w:eastAsia="en-US"/>
        </w:rPr>
        <w:t xml:space="preserve">SESIÓN ORDINARIA CELEBRADA EL </w:t>
      </w:r>
      <w:r w:rsidR="00C40502" w:rsidRPr="00EA7758">
        <w:rPr>
          <w:rFonts w:ascii="Palatino Linotype" w:hAnsi="Palatino Linotype" w:cs="Arial"/>
          <w:color w:val="000000"/>
          <w:lang w:val="es-MX" w:eastAsia="es-MX"/>
        </w:rPr>
        <w:t>VEINTICUATRO DE AGOSTO</w:t>
      </w:r>
      <w:r w:rsidRPr="00EA7758">
        <w:rPr>
          <w:rFonts w:ascii="Palatino Linotype" w:hAnsi="Palatino Linotype" w:cs="Arial"/>
          <w:color w:val="000000"/>
          <w:lang w:val="es-MX" w:eastAsia="es-MX"/>
        </w:rPr>
        <w:t xml:space="preserve"> DE</w:t>
      </w:r>
      <w:r w:rsidR="00C4326C" w:rsidRPr="00EA7758">
        <w:rPr>
          <w:rFonts w:ascii="Palatino Linotype" w:eastAsiaTheme="minorHAnsi" w:hAnsi="Palatino Linotype" w:cs="Arial"/>
          <w:lang w:val="es-MX" w:eastAsia="en-US"/>
        </w:rPr>
        <w:t xml:space="preserve"> DOS MIL VEINTIDÓS</w:t>
      </w:r>
      <w:r w:rsidRPr="00EA7758">
        <w:rPr>
          <w:rFonts w:ascii="Palatino Linotype" w:eastAsiaTheme="minorHAnsi" w:hAnsi="Palatino Linotype" w:cs="Arial"/>
          <w:lang w:val="es-MX" w:eastAsia="en-US"/>
        </w:rPr>
        <w:t>, ANTE EL SECRETARIO TÉCNICO, ALEXIS TAPIA RA</w:t>
      </w:r>
      <w:r w:rsidR="00054E04" w:rsidRPr="00EA7758">
        <w:rPr>
          <w:rFonts w:ascii="Palatino Linotype" w:eastAsiaTheme="minorHAnsi" w:hAnsi="Palatino Linotype" w:cs="Arial"/>
          <w:lang w:val="es-MX" w:eastAsia="en-US"/>
        </w:rPr>
        <w:t>MÍREZ.</w:t>
      </w:r>
      <w:r w:rsidR="005909E0" w:rsidRPr="00EA7758">
        <w:rPr>
          <w:rFonts w:ascii="Palatino Linotype" w:eastAsiaTheme="minorHAnsi" w:hAnsi="Palatino Linotype" w:cs="Arial"/>
          <w:lang w:val="es-MX" w:eastAsia="en-US"/>
        </w:rPr>
        <w:t>--------------------------------------------------------------------------------------------------- ------------------------------------------------------------------------------------------------------------------------------------------------------------------------------------------------------------------------------------------------------------------------------------------------------------------------------------------------------------------------------------------------------------------------------------------------------------------------------------------------------------------------------------------------------------------------------------------------------------------------------------------------------------------------------------------------------------------------------------------------------------------------------------------------------------------------------------------------------------------------------------------------------------------------------------------------------------------------------------------------------------------------------------------------------------------------------------------------------------------------------------------------------------------------------------------------------------------------------------------------------------------------------------------------------------------------------------------------------------------------------------------------------------------------------------------------------------------------------------------------------------------------------------------------------------------------------------------------------------------------------------------------------------------------------------------------------------------------------------------------------------------------------------------------------------------------------------------------------------------------------------------------------------------------------------------------------------------------------------------------------------------</w:t>
      </w:r>
    </w:p>
    <w:p w:rsidR="005909E0" w:rsidRPr="005909E0" w:rsidRDefault="005909E0" w:rsidP="00EE7775">
      <w:pPr>
        <w:spacing w:line="360" w:lineRule="auto"/>
        <w:jc w:val="both"/>
        <w:rPr>
          <w:rFonts w:ascii="Palatino Linotype" w:eastAsiaTheme="minorHAnsi" w:hAnsi="Palatino Linotype" w:cs="Arial"/>
          <w:sz w:val="2"/>
          <w:lang w:val="es-MX" w:eastAsia="en-US"/>
        </w:rPr>
      </w:pPr>
      <w:r w:rsidRPr="00EA7758">
        <w:rPr>
          <w:rFonts w:ascii="Palatino Linotype" w:eastAsiaTheme="minorHAnsi" w:hAnsi="Palatino Linotype" w:cs="Arial"/>
          <w:sz w:val="18"/>
          <w:lang w:val="es-MX" w:eastAsia="en-US"/>
        </w:rPr>
        <w:t>JMV/CCR/</w:t>
      </w:r>
      <w:proofErr w:type="spellStart"/>
      <w:r w:rsidRPr="00EA7758">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9BC" w:rsidRDefault="008719BC" w:rsidP="000B5E25">
      <w:r>
        <w:separator/>
      </w:r>
    </w:p>
  </w:endnote>
  <w:endnote w:type="continuationSeparator" w:id="0">
    <w:p w:rsidR="008719BC" w:rsidRDefault="008719B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F6688">
      <w:rPr>
        <w:rFonts w:ascii="Palatino Linotype" w:hAnsi="Palatino Linotype" w:cs="Arial"/>
        <w:bCs/>
        <w:noProof/>
        <w:sz w:val="20"/>
        <w:szCs w:val="20"/>
      </w:rPr>
      <w:t>24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F6688">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F668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F6688">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9BC" w:rsidRDefault="008719BC" w:rsidP="000B5E25">
      <w:r>
        <w:separator/>
      </w:r>
    </w:p>
  </w:footnote>
  <w:footnote w:type="continuationSeparator" w:id="0">
    <w:p w:rsidR="008719BC" w:rsidRDefault="008719BC" w:rsidP="000B5E25">
      <w:r>
        <w:continuationSeparator/>
      </w:r>
    </w:p>
  </w:footnote>
  <w:footnote w:id="1">
    <w:p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7A" w:rsidRDefault="008719B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C40502"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11390</w:t>
          </w:r>
          <w:r w:rsidR="00C04B7A" w:rsidRPr="0029071C">
            <w:rPr>
              <w:rFonts w:ascii="Palatino Linotype" w:hAnsi="Palatino Linotype"/>
              <w:sz w:val="22"/>
              <w:szCs w:val="22"/>
              <w:lang w:val="es-ES_tradnl"/>
            </w:rPr>
            <w:t>/INFOEM/IP/RR/202</w:t>
          </w:r>
          <w:r w:rsidR="00C04B7A">
            <w:rPr>
              <w:rFonts w:ascii="Palatino Linotype" w:hAnsi="Palatino Linotype"/>
              <w:sz w:val="22"/>
              <w:szCs w:val="22"/>
              <w:lang w:val="es-ES_tradnl"/>
            </w:rPr>
            <w:t>2</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C40502" w:rsidP="0033140D">
          <w:pPr>
            <w:spacing w:line="276" w:lineRule="auto"/>
            <w:jc w:val="right"/>
            <w:rPr>
              <w:rFonts w:ascii="Palatino Linotype" w:hAnsi="Palatino Linotype"/>
              <w:sz w:val="22"/>
              <w:szCs w:val="22"/>
            </w:rPr>
          </w:pPr>
          <w:r w:rsidRPr="00C40502">
            <w:rPr>
              <w:rFonts w:ascii="Palatino Linotype" w:hAnsi="Palatino Linotype"/>
              <w:sz w:val="22"/>
              <w:szCs w:val="22"/>
            </w:rPr>
            <w:t>Instituto de Transparencia, Acceso a la Información Pública y Protección de Datos Personales del Estado de México y Municipios</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04B7A" w:rsidRPr="001779E0" w:rsidRDefault="008719B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43.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C40502" w:rsidP="005A59B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11390</w:t>
          </w:r>
          <w:r w:rsidR="00C04B7A" w:rsidRPr="0029071C">
            <w:rPr>
              <w:rFonts w:ascii="Palatino Linotype" w:hAnsi="Palatino Linotype"/>
              <w:sz w:val="22"/>
              <w:szCs w:val="22"/>
              <w:lang w:val="es-ES_tradnl"/>
            </w:rPr>
            <w:t>/INFOEM/IP/RR/202</w:t>
          </w:r>
          <w:r w:rsidR="00C04B7A">
            <w:rPr>
              <w:rFonts w:ascii="Palatino Linotype" w:hAnsi="Palatino Linotype"/>
              <w:sz w:val="22"/>
              <w:szCs w:val="22"/>
              <w:lang w:val="es-ES_tradnl"/>
            </w:rPr>
            <w:t>2</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04B7A" w:rsidRPr="006D30E6" w:rsidRDefault="009F668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C40502" w:rsidP="00C40502">
          <w:pPr>
            <w:spacing w:line="276" w:lineRule="auto"/>
            <w:jc w:val="right"/>
            <w:rPr>
              <w:rFonts w:ascii="Palatino Linotype" w:hAnsi="Palatino Linotype"/>
              <w:sz w:val="22"/>
              <w:szCs w:val="22"/>
            </w:rPr>
          </w:pPr>
          <w:r w:rsidRPr="00C40502">
            <w:rPr>
              <w:rFonts w:ascii="Palatino Linotype" w:hAnsi="Palatino Linotype"/>
              <w:sz w:val="22"/>
              <w:szCs w:val="22"/>
            </w:rPr>
            <w:t>Instituto de Transparencia, Acceso a la Información Pública y Protección de Datos Personales del Estado de México y Municipios</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C04B7A" w:rsidRPr="00BA27FC" w:rsidRDefault="00C04B7A" w:rsidP="00BA27FC">
          <w:pPr>
            <w:spacing w:line="276" w:lineRule="auto"/>
            <w:rPr>
              <w:rFonts w:ascii="Palatino Linotype" w:hAnsi="Palatino Linotype"/>
              <w:sz w:val="14"/>
              <w:szCs w:val="22"/>
              <w:lang w:val="es-ES_tradnl"/>
            </w:rPr>
          </w:pPr>
        </w:p>
      </w:tc>
    </w:tr>
  </w:tbl>
  <w:p w:rsidR="00C04B7A" w:rsidRPr="009F1AB6" w:rsidRDefault="008719B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76.6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1"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4"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8"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3"/>
  </w:num>
  <w:num w:numId="3">
    <w:abstractNumId w:val="6"/>
  </w:num>
  <w:num w:numId="4">
    <w:abstractNumId w:val="3"/>
  </w:num>
  <w:num w:numId="5">
    <w:abstractNumId w:val="11"/>
  </w:num>
  <w:num w:numId="6">
    <w:abstractNumId w:val="0"/>
  </w:num>
  <w:num w:numId="7">
    <w:abstractNumId w:val="2"/>
  </w:num>
  <w:num w:numId="8">
    <w:abstractNumId w:val="12"/>
  </w:num>
  <w:num w:numId="9">
    <w:abstractNumId w:val="9"/>
  </w:num>
  <w:num w:numId="10">
    <w:abstractNumId w:val="1"/>
  </w:num>
  <w:num w:numId="11">
    <w:abstractNumId w:val="14"/>
  </w:num>
  <w:num w:numId="12">
    <w:abstractNumId w:val="17"/>
  </w:num>
  <w:num w:numId="13">
    <w:abstractNumId w:val="10"/>
  </w:num>
  <w:num w:numId="14">
    <w:abstractNumId w:val="18"/>
  </w:num>
  <w:num w:numId="15">
    <w:abstractNumId w:val="8"/>
  </w:num>
  <w:num w:numId="16">
    <w:abstractNumId w:val="4"/>
  </w:num>
  <w:num w:numId="17">
    <w:abstractNumId w:val="16"/>
  </w:num>
  <w:num w:numId="18">
    <w:abstractNumId w:val="7"/>
  </w:num>
  <w:num w:numId="1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AA7"/>
    <w:rsid w:val="00186CCB"/>
    <w:rsid w:val="00191418"/>
    <w:rsid w:val="0019170F"/>
    <w:rsid w:val="001A6109"/>
    <w:rsid w:val="001B1DE5"/>
    <w:rsid w:val="001C14AC"/>
    <w:rsid w:val="001C3AA7"/>
    <w:rsid w:val="001D2DE0"/>
    <w:rsid w:val="001D4046"/>
    <w:rsid w:val="001D5495"/>
    <w:rsid w:val="001E2DA3"/>
    <w:rsid w:val="001E45B5"/>
    <w:rsid w:val="001F1FCC"/>
    <w:rsid w:val="001F2305"/>
    <w:rsid w:val="001F4F5E"/>
    <w:rsid w:val="0020249A"/>
    <w:rsid w:val="00202C04"/>
    <w:rsid w:val="002167BB"/>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40A06"/>
    <w:rsid w:val="00343F0B"/>
    <w:rsid w:val="003520C5"/>
    <w:rsid w:val="0035559A"/>
    <w:rsid w:val="00371835"/>
    <w:rsid w:val="0037315D"/>
    <w:rsid w:val="003746DE"/>
    <w:rsid w:val="003804E8"/>
    <w:rsid w:val="00380D3E"/>
    <w:rsid w:val="00386D38"/>
    <w:rsid w:val="00396DB6"/>
    <w:rsid w:val="003B0FAC"/>
    <w:rsid w:val="003B1C85"/>
    <w:rsid w:val="003B70B0"/>
    <w:rsid w:val="003E21A7"/>
    <w:rsid w:val="003E56C9"/>
    <w:rsid w:val="004018F9"/>
    <w:rsid w:val="00425E0F"/>
    <w:rsid w:val="004344EA"/>
    <w:rsid w:val="0043515A"/>
    <w:rsid w:val="004403F7"/>
    <w:rsid w:val="00442FD8"/>
    <w:rsid w:val="00443892"/>
    <w:rsid w:val="004445A1"/>
    <w:rsid w:val="00445CAA"/>
    <w:rsid w:val="00464839"/>
    <w:rsid w:val="004672ED"/>
    <w:rsid w:val="00490422"/>
    <w:rsid w:val="004A7F7D"/>
    <w:rsid w:val="004B2314"/>
    <w:rsid w:val="004D18B6"/>
    <w:rsid w:val="004D5D2F"/>
    <w:rsid w:val="004D6F71"/>
    <w:rsid w:val="004E5628"/>
    <w:rsid w:val="0050130E"/>
    <w:rsid w:val="0050243E"/>
    <w:rsid w:val="00514370"/>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14A53"/>
    <w:rsid w:val="00620280"/>
    <w:rsid w:val="006258FD"/>
    <w:rsid w:val="00630A94"/>
    <w:rsid w:val="00632E48"/>
    <w:rsid w:val="00634926"/>
    <w:rsid w:val="00643B58"/>
    <w:rsid w:val="006810FF"/>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50CA"/>
    <w:rsid w:val="00835035"/>
    <w:rsid w:val="008500D3"/>
    <w:rsid w:val="00852668"/>
    <w:rsid w:val="008578BF"/>
    <w:rsid w:val="008660D6"/>
    <w:rsid w:val="008719BC"/>
    <w:rsid w:val="00891C59"/>
    <w:rsid w:val="00896D29"/>
    <w:rsid w:val="00897751"/>
    <w:rsid w:val="008A12CF"/>
    <w:rsid w:val="008A1A90"/>
    <w:rsid w:val="008A64CB"/>
    <w:rsid w:val="008B082B"/>
    <w:rsid w:val="008B6546"/>
    <w:rsid w:val="008C2536"/>
    <w:rsid w:val="008C3B24"/>
    <w:rsid w:val="008E01E4"/>
    <w:rsid w:val="008E7F32"/>
    <w:rsid w:val="008F148C"/>
    <w:rsid w:val="008F5DAE"/>
    <w:rsid w:val="00900615"/>
    <w:rsid w:val="00900C9B"/>
    <w:rsid w:val="0090126C"/>
    <w:rsid w:val="00901487"/>
    <w:rsid w:val="00921551"/>
    <w:rsid w:val="009217E8"/>
    <w:rsid w:val="00925B0B"/>
    <w:rsid w:val="00926C44"/>
    <w:rsid w:val="0093645B"/>
    <w:rsid w:val="0094381A"/>
    <w:rsid w:val="009602BA"/>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6688"/>
    <w:rsid w:val="009F71DC"/>
    <w:rsid w:val="00A0100D"/>
    <w:rsid w:val="00A05133"/>
    <w:rsid w:val="00A05D3A"/>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302E"/>
    <w:rsid w:val="00B01BD5"/>
    <w:rsid w:val="00B04476"/>
    <w:rsid w:val="00B05B83"/>
    <w:rsid w:val="00B17992"/>
    <w:rsid w:val="00B20C2B"/>
    <w:rsid w:val="00B23344"/>
    <w:rsid w:val="00B24258"/>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7A86"/>
    <w:rsid w:val="00C20F80"/>
    <w:rsid w:val="00C249A6"/>
    <w:rsid w:val="00C40502"/>
    <w:rsid w:val="00C4326C"/>
    <w:rsid w:val="00C52084"/>
    <w:rsid w:val="00C56DD5"/>
    <w:rsid w:val="00C63F7B"/>
    <w:rsid w:val="00C753C2"/>
    <w:rsid w:val="00C802FB"/>
    <w:rsid w:val="00C85653"/>
    <w:rsid w:val="00CA216C"/>
    <w:rsid w:val="00CA4BF9"/>
    <w:rsid w:val="00CC0700"/>
    <w:rsid w:val="00CD024D"/>
    <w:rsid w:val="00CD3A41"/>
    <w:rsid w:val="00CD431E"/>
    <w:rsid w:val="00CE0469"/>
    <w:rsid w:val="00CE1C82"/>
    <w:rsid w:val="00CE51D0"/>
    <w:rsid w:val="00CF1DF5"/>
    <w:rsid w:val="00CF7FBE"/>
    <w:rsid w:val="00D01A63"/>
    <w:rsid w:val="00D12C36"/>
    <w:rsid w:val="00D21ECE"/>
    <w:rsid w:val="00D27727"/>
    <w:rsid w:val="00D4431A"/>
    <w:rsid w:val="00D46962"/>
    <w:rsid w:val="00D53327"/>
    <w:rsid w:val="00D553D4"/>
    <w:rsid w:val="00D57210"/>
    <w:rsid w:val="00D57AED"/>
    <w:rsid w:val="00D57F74"/>
    <w:rsid w:val="00D6211C"/>
    <w:rsid w:val="00D901D7"/>
    <w:rsid w:val="00D92BFE"/>
    <w:rsid w:val="00D96D23"/>
    <w:rsid w:val="00DA14E0"/>
    <w:rsid w:val="00DC1583"/>
    <w:rsid w:val="00DC2B31"/>
    <w:rsid w:val="00DD1866"/>
    <w:rsid w:val="00DD5A69"/>
    <w:rsid w:val="00DE0A8D"/>
    <w:rsid w:val="00DE562A"/>
    <w:rsid w:val="00DE7148"/>
    <w:rsid w:val="00DF62A4"/>
    <w:rsid w:val="00E00D15"/>
    <w:rsid w:val="00E11B18"/>
    <w:rsid w:val="00E34413"/>
    <w:rsid w:val="00E40828"/>
    <w:rsid w:val="00E42B2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8BFF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infoem.org.m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A01C-DFB8-45F4-8B84-8ED43F32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5449</Words>
  <Characters>29974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9</cp:revision>
  <dcterms:created xsi:type="dcterms:W3CDTF">2022-08-09T16:53:00Z</dcterms:created>
  <dcterms:modified xsi:type="dcterms:W3CDTF">2022-09-11T23:03:00Z</dcterms:modified>
</cp:coreProperties>
</file>