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del </w:t>
      </w:r>
      <w:r w:rsidDel="00000000" w:rsidR="00000000" w:rsidRPr="00000000">
        <w:rPr>
          <w:rFonts w:ascii="Palatino Linotype" w:cs="Palatino Linotype" w:eastAsia="Palatino Linotype" w:hAnsi="Palatino Linotype"/>
          <w:b w:val="1"/>
          <w:rtl w:val="0"/>
        </w:rPr>
        <w:t xml:space="preserve">siete de abril del dos mil veintidós</w:t>
      </w:r>
      <w:r w:rsidDel="00000000" w:rsidR="00000000" w:rsidRPr="00000000">
        <w:rPr>
          <w:rFonts w:ascii="Palatino Linotype" w:cs="Palatino Linotype" w:eastAsia="Palatino Linotype" w:hAnsi="Palatino Linotype"/>
          <w:rtl w:val="0"/>
        </w:rPr>
        <w:t xml:space="preserve">.</w:t>
      </w:r>
      <w:r w:rsidDel="00000000" w:rsidR="00000000" w:rsidRPr="00000000">
        <w:rPr>
          <w:rtl w:val="0"/>
        </w:rPr>
      </w:r>
    </w:p>
    <w:p w:rsidR="00000000" w:rsidDel="00000000" w:rsidP="00000000" w:rsidRDefault="00000000" w:rsidRPr="00000000" w14:paraId="00000002">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00389/INFOEM/IP/RR/2022</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quien no proporcionó nombre,</w:t>
      </w:r>
      <w:r w:rsidDel="00000000" w:rsidR="00000000" w:rsidRPr="00000000">
        <w:rPr>
          <w:rFonts w:ascii="Palatino Linotype" w:cs="Palatino Linotype" w:eastAsia="Palatino Linotype" w:hAnsi="Palatino Linotype"/>
          <w:rtl w:val="0"/>
        </w:rPr>
        <w:t xml:space="preserve"> a quien en lo sucesivo se le denominará </w:t>
      </w:r>
      <w:r w:rsidDel="00000000" w:rsidR="00000000" w:rsidRPr="00000000">
        <w:rPr>
          <w:rFonts w:ascii="Palatino Linotype" w:cs="Palatino Linotype" w:eastAsia="Palatino Linotype" w:hAnsi="Palatino Linotype"/>
          <w:b w:val="1"/>
          <w:rtl w:val="0"/>
        </w:rPr>
        <w:t xml:space="preserve">el</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en contra de la respuesta a su solicitud de información con número de folio</w:t>
      </w:r>
      <w:r w:rsidDel="00000000" w:rsidR="00000000" w:rsidRPr="00000000">
        <w:rPr>
          <w:rFonts w:ascii="Verdana" w:cs="Verdana" w:eastAsia="Verdana" w:hAnsi="Verdana"/>
          <w:b w:val="1"/>
          <w:color w:val="ff0000"/>
          <w:rtl w:val="0"/>
        </w:rPr>
        <w:t xml:space="preserve"> </w:t>
      </w:r>
      <w:r w:rsidDel="00000000" w:rsidR="00000000" w:rsidRPr="00000000">
        <w:rPr>
          <w:rFonts w:ascii="Palatino Linotype" w:cs="Palatino Linotype" w:eastAsia="Palatino Linotype" w:hAnsi="Palatino Linotype"/>
          <w:b w:val="1"/>
          <w:sz w:val="22"/>
          <w:szCs w:val="22"/>
          <w:rtl w:val="0"/>
        </w:rPr>
        <w:t xml:space="preserve">00604/TEOLOYU/IP/2021</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otorgada por el </w:t>
      </w:r>
      <w:r w:rsidDel="00000000" w:rsidR="00000000" w:rsidRPr="00000000">
        <w:rPr>
          <w:rFonts w:ascii="Palatino Linotype" w:cs="Palatino Linotype" w:eastAsia="Palatino Linotype" w:hAnsi="Palatino Linotype"/>
          <w:b w:val="1"/>
          <w:rtl w:val="0"/>
        </w:rPr>
        <w:t xml:space="preserve">Ayuntamiento de Teoloyucan</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se procede a dictar la presente resolución, con base en lo siguiente. </w:t>
      </w:r>
      <w:r w:rsidDel="00000000" w:rsidR="00000000" w:rsidRPr="00000000">
        <w:rPr>
          <w:rtl w:val="0"/>
        </w:rPr>
      </w:r>
    </w:p>
    <w:p w:rsidR="00000000" w:rsidDel="00000000" w:rsidP="00000000" w:rsidRDefault="00000000" w:rsidRPr="00000000" w14:paraId="00000003">
      <w:pPr>
        <w:pStyle w:val="Heading2"/>
        <w:jc w:val="center"/>
        <w:rPr>
          <w:rFonts w:ascii="Palatino Linotype" w:cs="Palatino Linotype" w:eastAsia="Palatino Linotype" w:hAnsi="Palatino Linotype"/>
          <w:b w:val="1"/>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rtl w:val="0"/>
        </w:rPr>
        <w:t xml:space="preserve">Con fecha once</w:t>
      </w:r>
      <w:r w:rsidDel="00000000" w:rsidR="00000000" w:rsidRPr="00000000">
        <w:rPr>
          <w:rFonts w:ascii="Palatino Linotype" w:cs="Palatino Linotype" w:eastAsia="Palatino Linotype" w:hAnsi="Palatino Linotype"/>
          <w:b w:val="1"/>
          <w:rtl w:val="0"/>
        </w:rPr>
        <w:t xml:space="preserve"> de diciembre del dos mil veintiuno,</w:t>
      </w:r>
      <w:r w:rsidDel="00000000" w:rsidR="00000000" w:rsidRPr="00000000">
        <w:rPr>
          <w:rFonts w:ascii="Palatino Linotype" w:cs="Palatino Linotype" w:eastAsia="Palatino Linotype" w:hAnsi="Palatino Linotype"/>
          <w:rtl w:val="0"/>
        </w:rPr>
        <w:t xml:space="preserve"> el ahora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la información pública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requiriendo lo siguiente:</w:t>
      </w:r>
      <w:r w:rsidDel="00000000" w:rsidR="00000000" w:rsidRPr="00000000">
        <w:rPr>
          <w:rtl w:val="0"/>
        </w:rPr>
      </w:r>
    </w:p>
    <w:p w:rsidR="00000000" w:rsidDel="00000000" w:rsidP="00000000" w:rsidRDefault="00000000" w:rsidRPr="00000000" w14:paraId="00000005">
      <w:pPr>
        <w:spacing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“solicito ultimo recibo de nomina de los servidores puvlicos del area de ´planeasion del ayuntamiento y curriculum “(Sic)</w:t>
      </w:r>
    </w:p>
    <w:p w:rsidR="00000000" w:rsidDel="00000000" w:rsidP="00000000" w:rsidRDefault="00000000" w:rsidRPr="00000000" w14:paraId="00000006">
      <w:pPr>
        <w:spacing w:after="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Modalidad de entrega de la información</w:t>
      </w:r>
      <w:r w:rsidDel="00000000" w:rsidR="00000000" w:rsidRPr="00000000">
        <w:rPr>
          <w:rFonts w:ascii="Palatino Linotype" w:cs="Palatino Linotype" w:eastAsia="Palatino Linotype" w:hAnsi="Palatino Linotype"/>
          <w:rtl w:val="0"/>
        </w:rPr>
        <w:t xml:space="preserve">: vía </w:t>
      </w:r>
      <w:r w:rsidDel="00000000" w:rsidR="00000000" w:rsidRPr="00000000">
        <w:rPr>
          <w:rFonts w:ascii="Palatino Linotype" w:cs="Palatino Linotype" w:eastAsia="Palatino Linotype" w:hAnsi="Palatino Linotype"/>
          <w:b w:val="1"/>
          <w:rtl w:val="0"/>
        </w:rPr>
        <w:t xml:space="preserve">SAIMEX.</w:t>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Anexos. </w:t>
      </w:r>
      <w:r w:rsidDel="00000000" w:rsidR="00000000" w:rsidRPr="00000000">
        <w:rPr>
          <w:rFonts w:ascii="Palatino Linotype" w:cs="Palatino Linotype" w:eastAsia="Palatino Linotype" w:hAnsi="Palatino Linotype"/>
          <w:rtl w:val="0"/>
        </w:rPr>
        <w:t xml:space="preserve">A través del formato de solicitud de información se advierte que el particular no adjuntó archivo alguno. </w:t>
      </w:r>
    </w:p>
    <w:p w:rsidR="00000000" w:rsidDel="00000000" w:rsidP="00000000" w:rsidRDefault="00000000" w:rsidRPr="00000000" w14:paraId="00000009">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veintitrés de diciembre del dos mil veintiuno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otorgó,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respuesta a la solicitud de acceso a la información de la siguiente manera:</w:t>
      </w:r>
      <w:r w:rsidDel="00000000" w:rsidR="00000000" w:rsidRPr="00000000">
        <w:rPr>
          <w:rtl w:val="0"/>
        </w:rPr>
      </w:r>
    </w:p>
    <w:p w:rsidR="00000000" w:rsidDel="00000000" w:rsidP="00000000" w:rsidRDefault="00000000" w:rsidRPr="00000000" w14:paraId="0000000A">
      <w:pPr>
        <w:spacing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B">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atención a su solicitud se remite el oficio ADM/TEO/VHDR/742/2021 suscrito por el Lic. Victor Hugo Delgado Director de administración con la respuesta a su solicitud.” (Sic)</w:t>
      </w:r>
    </w:p>
    <w:p w:rsidR="00000000" w:rsidDel="00000000" w:rsidP="00000000" w:rsidRDefault="00000000" w:rsidRPr="00000000" w14:paraId="0000000C">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D">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0E">
      <w:pPr>
        <w:ind w:left="851" w:right="90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F">
      <w:pPr>
        <w:spacing w:after="240"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rtl w:val="0"/>
        </w:rPr>
        <w:t xml:space="preserve">Adjunto a su respuesta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proporcionó los archivos digitales siguientes: </w:t>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pacing w:before="240" w:lineRule="auto"/>
        <w:ind w:left="1571" w:right="902"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604.pdf:  </w:t>
      </w:r>
      <w:r w:rsidDel="00000000" w:rsidR="00000000" w:rsidRPr="00000000">
        <w:rPr>
          <w:rFonts w:ascii="Palatino Linotype" w:cs="Palatino Linotype" w:eastAsia="Palatino Linotype" w:hAnsi="Palatino Linotype"/>
          <w:color w:val="000000"/>
          <w:rtl w:val="0"/>
        </w:rPr>
        <w:t xml:space="preserve">Oficio número ADM/TEO/VHDR/742/2021, de fecha veintidos de diciembre de dos mil veintiuno, suscrito por el Director de Administración y es dirigido al Encargado de Despacho de la Unidad de Transparencia, por medio del cual manifiesta y expone: “… </w:t>
      </w:r>
      <w:r w:rsidDel="00000000" w:rsidR="00000000" w:rsidRPr="00000000">
        <w:rPr>
          <w:rFonts w:ascii="Palatino Linotype" w:cs="Palatino Linotype" w:eastAsia="Palatino Linotype" w:hAnsi="Palatino Linotype"/>
          <w:i w:val="1"/>
          <w:color w:val="000000"/>
          <w:rtl w:val="0"/>
        </w:rPr>
        <w:t xml:space="preserve">Por medio de la presente reciba un cordial y afectuoso saludo, aprovecho este medio para informarle que en respuesta a la solicitud con número de folio 00604/TEOLOYU/IP/2021 Donde solicitan último recibo de nómina y curriculum de los servidores públicos del área de planeación y curriculum …” (Sic)</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ind w:left="1571" w:right="902" w:firstLine="0"/>
        <w:jc w:val="both"/>
        <w:rPr>
          <w:color w:val="00000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ind w:left="1571" w:right="902"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Al oficio previamente citado, el Sujeto Obligado adjuntó la digitalización del curriculum vitae y recibos de nómina de la quincena corresponde del dieciséis al treinta de diciembre de dos mil veintiuno.</w:t>
      </w:r>
    </w:p>
    <w:p w:rsidR="00000000" w:rsidDel="00000000" w:rsidP="00000000" w:rsidRDefault="00000000" w:rsidRPr="00000000" w14:paraId="00000013">
      <w:pPr>
        <w:pBdr>
          <w:top w:space="0" w:sz="0" w:val="nil"/>
          <w:left w:space="0" w:sz="0" w:val="nil"/>
          <w:bottom w:space="0" w:sz="0" w:val="nil"/>
          <w:right w:space="0" w:sz="0" w:val="nil"/>
          <w:between w:space="0" w:sz="0" w:val="nil"/>
        </w:pBdr>
        <w:ind w:left="1571" w:right="902"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1571" w:right="902"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1571" w:right="902"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1571" w:right="902"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 La información previamente referida fue proporcionada conforme a lo siguiente:</w:t>
      </w:r>
    </w:p>
    <w:p w:rsidR="00000000" w:rsidDel="00000000" w:rsidP="00000000" w:rsidRDefault="00000000" w:rsidRPr="00000000" w14:paraId="00000017">
      <w:pPr>
        <w:pBdr>
          <w:top w:space="0" w:sz="0" w:val="nil"/>
          <w:left w:space="0" w:sz="0" w:val="nil"/>
          <w:bottom w:space="0" w:sz="0" w:val="nil"/>
          <w:right w:space="0" w:sz="0" w:val="nil"/>
          <w:between w:space="0" w:sz="0" w:val="nil"/>
        </w:pBdr>
        <w:ind w:left="1571" w:right="902"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Noto Sans Symbols" w:cs="Noto Sans Symbols" w:eastAsia="Noto Sans Symbols" w:hAnsi="Noto Sans Symbols"/>
          <w:color w:val="000000"/>
          <w:rtl w:val="0"/>
        </w:rPr>
        <w:t xml:space="preserve">−</w:t>
      </w:r>
      <w:r w:rsidDel="00000000" w:rsidR="00000000" w:rsidRPr="00000000">
        <w:rPr>
          <w:rFonts w:ascii="Palatino Linotype" w:cs="Palatino Linotype" w:eastAsia="Palatino Linotype" w:hAnsi="Palatino Linotype"/>
          <w:color w:val="000000"/>
          <w:rtl w:val="0"/>
        </w:rPr>
        <w:t xml:space="preserve"> De dos servidores públicos adscritos al UIPPE </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240" w:lineRule="auto"/>
        <w:ind w:left="1571" w:right="902"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19">
      <w:pP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Recurso de revisión.</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rtl w:val="0"/>
        </w:rPr>
        <w:t xml:space="preserve">Inconforme con la respuesta recibida,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en fecha dieciocho de enero de la presente anualidad, el presente medio de impugnación expresando las siguientes manifestaciones:</w:t>
      </w:r>
    </w:p>
    <w:p w:rsidR="00000000" w:rsidDel="00000000" w:rsidP="00000000" w:rsidRDefault="00000000" w:rsidRPr="00000000" w14:paraId="0000001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B">
      <w:pPr>
        <w:spacing w:line="360" w:lineRule="auto"/>
        <w:ind w:left="567"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1C">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“RESPUESTA.”(Sic)</w:t>
      </w:r>
    </w:p>
    <w:p w:rsidR="00000000" w:rsidDel="00000000" w:rsidP="00000000" w:rsidRDefault="00000000" w:rsidRPr="00000000" w14:paraId="0000001D">
      <w:pPr>
        <w:spacing w:after="240" w:line="360" w:lineRule="auto"/>
        <w:ind w:left="567"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Razones o motivos de inconformidad.</w:t>
      </w:r>
    </w:p>
    <w:p w:rsidR="00000000" w:rsidDel="00000000" w:rsidP="00000000" w:rsidRDefault="00000000" w:rsidRPr="00000000" w14:paraId="0000001E">
      <w:pPr>
        <w:spacing w:after="240" w:before="240" w:lineRule="auto"/>
        <w:ind w:left="851"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i w:val="1"/>
          <w:sz w:val="22"/>
          <w:szCs w:val="22"/>
          <w:rtl w:val="0"/>
        </w:rPr>
        <w:t xml:space="preserve">“INCOMPLETA.” (Sic)</w:t>
      </w:r>
      <w:r w:rsidDel="00000000" w:rsidR="00000000" w:rsidRPr="00000000">
        <w:rPr>
          <w:rtl w:val="0"/>
        </w:rPr>
      </w:r>
    </w:p>
    <w:p w:rsidR="00000000" w:rsidDel="00000000" w:rsidP="00000000" w:rsidRDefault="00000000" w:rsidRPr="00000000" w14:paraId="0000001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sidDel="00000000" w:rsidR="00000000" w:rsidRPr="00000000">
        <w:rPr>
          <w:rFonts w:ascii="Palatino Linotype" w:cs="Palatino Linotype" w:eastAsia="Palatino Linotype" w:hAnsi="Palatino Linotype"/>
          <w:b w:val="1"/>
          <w:rtl w:val="0"/>
        </w:rPr>
        <w:t xml:space="preserve">Comisionada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Guadalupe Ramírez Peña</w:t>
      </w:r>
      <w:r w:rsidDel="00000000" w:rsidR="00000000" w:rsidRPr="00000000">
        <w:rPr>
          <w:rFonts w:ascii="Palatino Linotype" w:cs="Palatino Linotype" w:eastAsia="Palatino Linotype" w:hAnsi="Palatino Linotype"/>
          <w:rtl w:val="0"/>
        </w:rPr>
        <w:t xml:space="preserve"> a su análisis, estudio, elaboración del proyecto y presentación ante el Pleno de este Instituto.</w:t>
      </w:r>
    </w:p>
    <w:p w:rsidR="00000000" w:rsidDel="00000000" w:rsidP="00000000" w:rsidRDefault="00000000" w:rsidRPr="00000000" w14:paraId="0000002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w:t>
      </w:r>
      <w:r w:rsidDel="00000000" w:rsidR="00000000" w:rsidRPr="00000000">
        <w:rPr>
          <w:rFonts w:ascii="Palatino Linotype" w:cs="Palatino Linotype" w:eastAsia="Palatino Linotype" w:hAnsi="Palatino Linotype"/>
          <w:rtl w:val="0"/>
        </w:rPr>
        <w:t xml:space="preserve">Mediante auto de fecha dos</w:t>
      </w:r>
      <w:r w:rsidDel="00000000" w:rsidR="00000000" w:rsidRPr="00000000">
        <w:rPr>
          <w:rFonts w:ascii="Palatino Linotype" w:cs="Palatino Linotype" w:eastAsia="Palatino Linotype" w:hAnsi="Palatino Linotype"/>
          <w:b w:val="1"/>
          <w:rtl w:val="0"/>
        </w:rPr>
        <w:t xml:space="preserve"> de febrero de este año</w:t>
      </w:r>
      <w:r w:rsidDel="00000000" w:rsidR="00000000" w:rsidRPr="00000000">
        <w:rPr>
          <w:rFonts w:ascii="Palatino Linotype" w:cs="Palatino Linotype" w:eastAsia="Palatino Linotype" w:hAnsi="Palatino Linotype"/>
          <w:rtl w:val="0"/>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tabs>
          <w:tab w:val="left" w:pos="709"/>
        </w:tabs>
        <w:spacing w:after="240" w:before="12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6. Manifestaciones.</w:t>
      </w:r>
      <w:r w:rsidDel="00000000" w:rsidR="00000000" w:rsidRPr="00000000">
        <w:rPr>
          <w:rFonts w:ascii="Palatino Linotype" w:cs="Palatino Linotype" w:eastAsia="Palatino Linotype" w:hAnsi="Palatino Linotype"/>
          <w:b w:val="1"/>
          <w:color w:val="000000"/>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De las constancias que integran el expediente en que se actúan se advierte que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emitió pronunciamiento en fecha diez de marzo de la presente anualidad, adjuntando los archivos:</w:t>
      </w:r>
    </w:p>
    <w:p w:rsidR="00000000" w:rsidDel="00000000" w:rsidP="00000000" w:rsidRDefault="00000000" w:rsidRPr="00000000" w14:paraId="00000022">
      <w:pPr>
        <w:widowControl w:val="0"/>
        <w:numPr>
          <w:ilvl w:val="0"/>
          <w:numId w:val="1"/>
        </w:numPr>
        <w:pBdr>
          <w:top w:space="0" w:sz="0" w:val="nil"/>
          <w:left w:space="0" w:sz="0" w:val="nil"/>
          <w:bottom w:space="0" w:sz="0" w:val="nil"/>
          <w:right w:space="0" w:sz="0" w:val="nil"/>
          <w:between w:space="0" w:sz="0" w:val="nil"/>
        </w:pBdr>
        <w:tabs>
          <w:tab w:val="left" w:pos="709"/>
        </w:tabs>
        <w:spacing w:after="240" w:before="120" w:line="360" w:lineRule="auto"/>
        <w:ind w:left="1571"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Informe Justificado RR 389 (1).pdf:</w:t>
      </w:r>
      <w:r w:rsidDel="00000000" w:rsidR="00000000" w:rsidRPr="00000000">
        <w:rPr>
          <w:rFonts w:ascii="Palatino Linotype" w:cs="Palatino Linotype" w:eastAsia="Palatino Linotype" w:hAnsi="Palatino Linotype"/>
          <w:color w:val="000000"/>
          <w:rtl w:val="0"/>
        </w:rPr>
        <w:t xml:space="preserve"> archivo en cuyo contenido se advierte que el SUJETO OBLIGADO ratifica su respuesta adjuntando las mismas documentales que fueron proporcionadas en vía de su respuesta. Asimismo, es importante señalar que dichas documentales no fueron puesta a la vista del particular en consideración a que se dejan visibles diversos códigos </w:t>
      </w:r>
      <w:r w:rsidDel="00000000" w:rsidR="00000000" w:rsidRPr="00000000">
        <w:rPr>
          <w:rFonts w:ascii="Palatino Linotype" w:cs="Palatino Linotype" w:eastAsia="Palatino Linotype" w:hAnsi="Palatino Linotype"/>
          <w:i w:val="1"/>
          <w:color w:val="000000"/>
          <w:rtl w:val="0"/>
        </w:rPr>
        <w:t xml:space="preserve">Qr</w:t>
      </w:r>
      <w:r w:rsidDel="00000000" w:rsidR="00000000" w:rsidRPr="00000000">
        <w:rPr>
          <w:rFonts w:ascii="Palatino Linotype" w:cs="Palatino Linotype" w:eastAsia="Palatino Linotype" w:hAnsi="Palatino Linotype"/>
          <w:color w:val="000000"/>
          <w:rtl w:val="0"/>
        </w:rPr>
        <w:t xml:space="preserve"> en los recibos de nómina, que si bien por la forma en que fueron escaneados no dirigen al sitio donde se encentran los datos personales, esta Autoridad a fin de salvaguardar en su totalidad dichos datos tiene por no poner a la vista la citada documental. </w:t>
      </w:r>
    </w:p>
    <w:p w:rsidR="00000000" w:rsidDel="00000000" w:rsidP="00000000" w:rsidRDefault="00000000" w:rsidRPr="00000000" w14:paraId="00000023">
      <w:pPr>
        <w:widowControl w:val="0"/>
        <w:tabs>
          <w:tab w:val="left" w:pos="709"/>
        </w:tabs>
        <w:spacing w:after="24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el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 en fecha cuatro de marzo de la presente anualidad adjunta en la etapa de manifestaciones la documental denominada “</w:t>
        <w:tab/>
      </w:r>
      <w:r w:rsidDel="00000000" w:rsidR="00000000" w:rsidRPr="00000000">
        <w:rPr>
          <w:rFonts w:ascii="Palatino Linotype" w:cs="Palatino Linotype" w:eastAsia="Palatino Linotype" w:hAnsi="Palatino Linotype"/>
          <w:i w:val="1"/>
          <w:rtl w:val="0"/>
        </w:rPr>
        <w:t xml:space="preserve">Informe Justificado RR 389 (1).pdf”</w:t>
      </w:r>
      <w:r w:rsidDel="00000000" w:rsidR="00000000" w:rsidRPr="00000000">
        <w:rPr>
          <w:rFonts w:ascii="Palatino Linotype" w:cs="Palatino Linotype" w:eastAsia="Palatino Linotype" w:hAnsi="Palatino Linotype"/>
          <w:rtl w:val="0"/>
        </w:rPr>
        <w:t xml:space="preserve"> en cuyo contenido se tiene el mismo informe justificado remitido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24">
      <w:pPr>
        <w:widowControl w:val="0"/>
        <w:tabs>
          <w:tab w:val="left" w:pos="709"/>
        </w:tabs>
        <w:spacing w:after="240" w:before="12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5">
      <w:pPr>
        <w:widowControl w:val="0"/>
        <w:tabs>
          <w:tab w:val="left" w:pos="709"/>
        </w:tabs>
        <w:spacing w:after="240" w:before="120" w:line="360" w:lineRule="auto"/>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tabs>
          <w:tab w:val="left" w:pos="709"/>
        </w:tabs>
        <w:spacing w:after="240" w:before="12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7. Cierre de Instrucción. </w:t>
      </w:r>
      <w:r w:rsidDel="00000000" w:rsidR="00000000" w:rsidRPr="00000000">
        <w:rPr>
          <w:rFonts w:ascii="Palatino Linotype" w:cs="Palatino Linotype" w:eastAsia="Palatino Linotype" w:hAnsi="Palatino Linotype"/>
          <w:color w:val="000000"/>
          <w:rtl w:val="0"/>
        </w:rPr>
        <w:t xml:space="preserve">En fecha primero de abril del año dos mil veintidós, se emitió el acuerdo por medio del cual se declaró cerrada la instrucción, pasando el expediente a resolución, debido a que fue debidamente substanciado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sidDel="00000000" w:rsidR="00000000" w:rsidRPr="00000000">
        <w:rPr>
          <w:rFonts w:ascii="Palatino Linotype" w:cs="Palatino Linotype" w:eastAsia="Palatino Linotype" w:hAnsi="Palatino Linotype"/>
          <w:b w:val="1"/>
          <w:color w:val="000000"/>
          <w:sz w:val="28"/>
          <w:szCs w:val="28"/>
          <w:rtl w:val="0"/>
        </w:rPr>
        <w:t xml:space="preserve"> </w:t>
      </w:r>
      <w:r w:rsidDel="00000000" w:rsidR="00000000" w:rsidRPr="00000000">
        <w:rPr>
          <w:rtl w:val="0"/>
        </w:rPr>
      </w:r>
    </w:p>
    <w:p w:rsidR="00000000" w:rsidDel="00000000" w:rsidP="00000000" w:rsidRDefault="00000000" w:rsidRPr="00000000" w14:paraId="00000027">
      <w:pPr>
        <w:widowControl w:val="0"/>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8. Ampliación de plazo.</w:t>
      </w:r>
      <w:r w:rsidDel="00000000" w:rsidR="00000000" w:rsidRPr="00000000">
        <w:rPr>
          <w:rFonts w:ascii="Palatino Linotype" w:cs="Palatino Linotype" w:eastAsia="Palatino Linotype" w:hAnsi="Palatino Linotype"/>
          <w:rtl w:val="0"/>
        </w:rPr>
        <w:t xml:space="preserve"> En fecha primero de abril de dos mil veintidós con fundamento en el artículo 181, párrafo tercero de la Ley de Transparencia y Acceso a la Información Pública del Estado de México y Municipios, se acordó la aplicación del plazo para su resolución.</w:t>
      </w:r>
      <w:r w:rsidDel="00000000" w:rsidR="00000000" w:rsidRPr="00000000">
        <w:rPr>
          <w:rtl w:val="0"/>
        </w:rPr>
      </w:r>
    </w:p>
    <w:p w:rsidR="00000000" w:rsidDel="00000000" w:rsidP="00000000" w:rsidRDefault="00000000" w:rsidRPr="00000000" w14:paraId="00000028">
      <w:pPr>
        <w:pStyle w:val="Heading2"/>
        <w:jc w:val="center"/>
        <w:rPr>
          <w:rFonts w:ascii="Palatino Linotype" w:cs="Palatino Linotype" w:eastAsia="Palatino Linotype" w:hAnsi="Palatino Linotype"/>
          <w:b w:val="1"/>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II. C O N S I D E R A N D O S:</w:t>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highlight w:val="white"/>
          <w:rtl w:val="0"/>
        </w:rPr>
        <w:t xml:space="preserve">El Instituto de Transparencia, Acceso a la Información Pública y Protección de Datos Personales del Estado de México y Municipios, es competente para conocer y resolver el presente recurso de revisión interpuesto por la parte </w:t>
      </w:r>
      <w:r w:rsidDel="00000000" w:rsidR="00000000" w:rsidRPr="00000000">
        <w:rPr>
          <w:rFonts w:ascii="Palatino Linotype" w:cs="Palatino Linotype" w:eastAsia="Palatino Linotype" w:hAnsi="Palatino Linotype"/>
          <w:b w:val="1"/>
          <w:highlight w:val="white"/>
          <w:rtl w:val="0"/>
        </w:rPr>
        <w:t xml:space="preserve">recurrente</w:t>
      </w:r>
      <w:r w:rsidDel="00000000" w:rsidR="00000000" w:rsidRPr="00000000">
        <w:rPr>
          <w:rFonts w:ascii="Palatino Linotype" w:cs="Palatino Linotype" w:eastAsia="Palatino Linotype" w:hAnsi="Palatino Linotype"/>
          <w:highlight w:val="white"/>
          <w:rtl w:val="0"/>
        </w:rPr>
        <w:t xml:space="preserve">, conforme a lo dispuesto en los artículos 6, apartado A de la Constitución Política de los Estados Unidos Mexicanos; 5, párrafos trigésimo,  trigésimo primero, y trigésimo segundo fracción IV y V de la Constitución Política del Estado Libre y Soberano de México; 1, 2, fracción II; 13,  29, 36, fracciones I y II; 176, 178, 179, 181 párrafo 3 y 185 de la Ley Transparencia y Acceso a la Información Pública del Estado de México y Municipios; </w:t>
      </w:r>
      <w:r w:rsidDel="00000000" w:rsidR="00000000" w:rsidRPr="00000000">
        <w:rPr>
          <w:rFonts w:ascii="Palatino Linotype" w:cs="Palatino Linotype" w:eastAsia="Palatino Linotype" w:hAnsi="Palatino Linotype"/>
          <w:rtl w:val="0"/>
        </w:rPr>
        <w:t xml:space="preserve">9 fracciones I, XXIV y 11 </w:t>
      </w:r>
      <w:r w:rsidDel="00000000" w:rsidR="00000000" w:rsidRPr="00000000">
        <w:rPr>
          <w:rFonts w:ascii="Palatino Linotype" w:cs="Palatino Linotype" w:eastAsia="Palatino Linotype" w:hAnsi="Palatino Linotype"/>
          <w:highlight w:val="white"/>
          <w:rtl w:val="0"/>
        </w:rPr>
        <w:t xml:space="preserve">del Reglamento Interior del Instituto de Transparencia, Acceso a la Información Pública y Protección de Datos Personales del Estado de México y Municipios.</w:t>
      </w:r>
      <w:r w:rsidDel="00000000" w:rsidR="00000000" w:rsidRPr="00000000">
        <w:rPr>
          <w:rtl w:val="0"/>
        </w:rPr>
      </w:r>
    </w:p>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rtl w:val="0"/>
        </w:rPr>
        <w:t xml:space="preserve">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emitió su respuesta a la solicitud planteada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veintitrés de diciembre del año dos mil veintiuno</w:t>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presentó su recurso de revisión el día </w:t>
      </w:r>
      <w:r w:rsidDel="00000000" w:rsidR="00000000" w:rsidRPr="00000000">
        <w:rPr>
          <w:rFonts w:ascii="Palatino Linotype" w:cs="Palatino Linotype" w:eastAsia="Palatino Linotype" w:hAnsi="Palatino Linotype"/>
          <w:b w:val="1"/>
          <w:rtl w:val="0"/>
        </w:rPr>
        <w:t xml:space="preserve">veintiocho de enero de la misma anualidad</w:t>
      </w:r>
      <w:r w:rsidDel="00000000" w:rsidR="00000000" w:rsidRPr="00000000">
        <w:rPr>
          <w:rFonts w:ascii="Palatino Linotype" w:cs="Palatino Linotype" w:eastAsia="Palatino Linotype" w:hAnsi="Palatino Linotype"/>
          <w:rtl w:val="0"/>
        </w:rPr>
        <w:t xml:space="preserve">, esto es, al décimo </w:t>
      </w:r>
      <w:r w:rsidDel="00000000" w:rsidR="00000000" w:rsidRPr="00000000">
        <w:rPr>
          <w:rFonts w:ascii="Palatino Linotype" w:cs="Palatino Linotype" w:eastAsia="Palatino Linotype" w:hAnsi="Palatino Linotype"/>
          <w:b w:val="1"/>
          <w:rtl w:val="0"/>
        </w:rPr>
        <w:t xml:space="preserve">quinto día hábil</w:t>
      </w:r>
      <w:r w:rsidDel="00000000" w:rsidR="00000000" w:rsidRPr="00000000">
        <w:rPr>
          <w:rFonts w:ascii="Palatino Linotype" w:cs="Palatino Linotype" w:eastAsia="Palatino Linotype" w:hAnsi="Palatino Linotype"/>
          <w:rtl w:val="0"/>
        </w:rPr>
        <w:t xml:space="preserve"> en el que tuvo conocimiento de la respuesta; evidenciándose que la interposición del recurso se encuentra dentro de los márgenes temporales previstos en el citado precepto legal.</w:t>
      </w:r>
    </w:p>
    <w:p w:rsidR="00000000" w:rsidDel="00000000" w:rsidP="00000000" w:rsidRDefault="00000000" w:rsidRPr="00000000" w14:paraId="0000002B">
      <w:pPr>
        <w:spacing w:after="240" w:before="240" w:line="360" w:lineRule="auto"/>
        <w:jc w:val="both"/>
        <w:rPr/>
      </w:pPr>
      <w:r w:rsidDel="00000000" w:rsidR="00000000" w:rsidRPr="00000000">
        <w:rPr>
          <w:rFonts w:ascii="Palatino Linotype" w:cs="Palatino Linotype" w:eastAsia="Palatino Linotype" w:hAnsi="Palatino Linotype"/>
          <w:color w:val="000000"/>
          <w:rtl w:val="0"/>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r w:rsidDel="00000000" w:rsidR="00000000" w:rsidRPr="00000000">
        <w:rPr>
          <w:rtl w:val="0"/>
        </w:rPr>
      </w:r>
    </w:p>
    <w:p w:rsidR="00000000" w:rsidDel="00000000" w:rsidP="00000000" w:rsidRDefault="00000000" w:rsidRPr="00000000" w14:paraId="0000002C">
      <w:pPr>
        <w:spacing w:after="240" w:before="240" w:line="360" w:lineRule="auto"/>
        <w:jc w:val="both"/>
        <w:rPr/>
      </w:pPr>
      <w:r w:rsidDel="00000000" w:rsidR="00000000" w:rsidRPr="00000000">
        <w:rPr>
          <w:rFonts w:ascii="Palatino Linotype" w:cs="Palatino Linotype" w:eastAsia="Palatino Linotype" w:hAnsi="Palatino Linotype"/>
          <w:color w:val="000000"/>
          <w:rtl w:val="0"/>
        </w:rPr>
        <w:t xml:space="preserve">A efecto de sustentar lo anterior, es de suma importancia mencionar que si bien parte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no proporcionó nombre o seudónimo </w:t>
      </w:r>
      <w:r w:rsidDel="00000000" w:rsidR="00000000" w:rsidRPr="00000000">
        <w:rPr>
          <w:rFonts w:ascii="Palatino Linotype" w:cs="Palatino Linotype" w:eastAsia="Palatino Linotype" w:hAnsi="Palatino Linotype"/>
          <w:color w:val="000000"/>
          <w:rtl w:val="0"/>
        </w:rPr>
        <w:t xml:space="preserve">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r w:rsidDel="00000000" w:rsidR="00000000" w:rsidRPr="00000000">
        <w:rPr>
          <w:rtl w:val="0"/>
        </w:rPr>
      </w:r>
    </w:p>
    <w:p w:rsidR="00000000" w:rsidDel="00000000" w:rsidP="00000000" w:rsidRDefault="00000000" w:rsidRPr="00000000" w14:paraId="0000002D">
      <w:pPr>
        <w:spacing w:after="120" w:before="120" w:lineRule="auto"/>
        <w:ind w:left="851" w:right="902" w:firstLine="0"/>
        <w:jc w:val="both"/>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Las solicitudes anónimas</w:t>
      </w:r>
      <w:r w:rsidDel="00000000" w:rsidR="00000000" w:rsidRPr="00000000">
        <w:rPr>
          <w:rFonts w:ascii="Palatino Linotype" w:cs="Palatino Linotype" w:eastAsia="Palatino Linotype" w:hAnsi="Palatino Linotype"/>
          <w:i w:val="1"/>
          <w:color w:val="000000"/>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color w:val="000000"/>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color w:val="000000"/>
          <w:sz w:val="22"/>
          <w:szCs w:val="22"/>
          <w:rtl w:val="0"/>
        </w:rPr>
        <w:t xml:space="preserv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2E">
      <w:pPr>
        <w:spacing w:after="240" w:before="240" w:line="360" w:lineRule="auto"/>
        <w:jc w:val="both"/>
        <w:rPr/>
      </w:pPr>
      <w:r w:rsidDel="00000000" w:rsidR="00000000" w:rsidRPr="00000000">
        <w:rPr>
          <w:rFonts w:ascii="Palatino Linotype" w:cs="Palatino Linotype" w:eastAsia="Palatino Linotype" w:hAnsi="Palatino Linotype"/>
          <w:color w:val="000000"/>
          <w:rtl w:val="0"/>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por lo que, en el presente caso, al haber sido presentado el recurso de revisión vía SAIMEX, dicho requisito resulta innecesario.</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Ahora bien, resulta procedente la interposición del recurso, según lo aducido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razones o </w:t>
      </w:r>
      <w:r w:rsidDel="00000000" w:rsidR="00000000" w:rsidRPr="00000000">
        <w:rPr>
          <w:rFonts w:ascii="Palatino Linotype" w:cs="Palatino Linotype" w:eastAsia="Palatino Linotype" w:hAnsi="Palatino Linotype"/>
          <w:color w:val="000000"/>
          <w:rtl w:val="0"/>
        </w:rPr>
        <w:t xml:space="preserve">motivos de inconformidad, de acuerdo a los artículos 176 y  179, fracción V de la Ley de Transparencia y Acceso a la Información Pública del Estado de México y Municipios; que a la letra dice:</w:t>
      </w:r>
    </w:p>
    <w:p w:rsidR="00000000" w:rsidDel="00000000" w:rsidP="00000000" w:rsidRDefault="00000000" w:rsidRPr="00000000" w14:paraId="00000030">
      <w:pPr>
        <w:spacing w:after="120" w:lineRule="auto"/>
        <w:ind w:left="851" w:right="902" w:firstLine="0"/>
        <w:jc w:val="both"/>
        <w:rPr>
          <w:rFonts w:ascii="Palatino Linotype" w:cs="Palatino Linotype" w:eastAsia="Palatino Linotype" w:hAnsi="Palatino Linotype"/>
          <w:b w:val="1"/>
          <w:i w:val="1"/>
          <w:sz w:val="20"/>
          <w:szCs w:val="20"/>
        </w:rPr>
      </w:pPr>
      <w:r w:rsidDel="00000000" w:rsidR="00000000" w:rsidRPr="00000000">
        <w:rPr>
          <w:rtl w:val="0"/>
        </w:rPr>
      </w:r>
    </w:p>
    <w:p w:rsidR="00000000" w:rsidDel="00000000" w:rsidP="00000000" w:rsidRDefault="00000000" w:rsidRPr="00000000" w14:paraId="00000031">
      <w:pPr>
        <w:spacing w:after="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“Artículo 176. </w:t>
      </w:r>
      <w:r w:rsidDel="00000000" w:rsidR="00000000" w:rsidRPr="00000000">
        <w:rPr>
          <w:rFonts w:ascii="Palatino Linotype" w:cs="Palatino Linotype" w:eastAsia="Palatino Linotype" w:hAnsi="Palatino Linotype"/>
          <w:i w:val="1"/>
          <w:sz w:val="22"/>
          <w:szCs w:val="22"/>
          <w:rtl w:val="0"/>
        </w:rPr>
        <w:t xml:space="preserve">El recurso de revisión es la garantía secundaria mediante la cual se pretende reparar cualquier posible afectación al derecho de acceso a la información pública en términos del presente y siguiente Capítulo.</w:t>
      </w:r>
    </w:p>
    <w:p w:rsidR="00000000" w:rsidDel="00000000" w:rsidP="00000000" w:rsidRDefault="00000000" w:rsidRPr="00000000" w14:paraId="00000032">
      <w:pPr>
        <w:spacing w:after="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3">
      <w:pPr>
        <w:spacing w:after="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34">
      <w:pPr>
        <w:spacing w:after="12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120" w:lineRule="auto"/>
        <w:ind w:left="993" w:right="902"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V. La entrega de información incompleta;</w:t>
        <w:br w:type="textWrapping"/>
      </w:r>
    </w:p>
    <w:p w:rsidR="00000000" w:rsidDel="00000000" w:rsidP="00000000" w:rsidRDefault="00000000" w:rsidRPr="00000000" w14:paraId="00000036">
      <w:pPr>
        <w:spacing w:after="120" w:lineRule="auto"/>
        <w:ind w:right="902"/>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 (Sic)</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tl w:val="0"/>
        </w:rPr>
      </w:r>
    </w:p>
    <w:p w:rsidR="00000000" w:rsidDel="00000000" w:rsidP="00000000" w:rsidRDefault="00000000" w:rsidRPr="00000000" w14:paraId="0000003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tras la revisión del escrito de interposición,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el presente medio de impugnación.</w:t>
      </w:r>
    </w:p>
    <w:p w:rsidR="00000000" w:rsidDel="00000000" w:rsidP="00000000" w:rsidRDefault="00000000" w:rsidRPr="00000000" w14:paraId="00000038">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Órgano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 oportuna.</w:t>
      </w:r>
    </w:p>
    <w:p w:rsidR="00000000" w:rsidDel="00000000" w:rsidP="00000000" w:rsidRDefault="00000000" w:rsidRPr="00000000" w14:paraId="0000003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Del análisis de la solicitud de información motivo del recurso de revisión que ahora se resuelve se advierte que el particular solicitó:</w:t>
      </w:r>
    </w:p>
    <w:p w:rsidR="00000000" w:rsidDel="00000000" w:rsidP="00000000" w:rsidRDefault="00000000" w:rsidRPr="00000000" w14:paraId="0000003A">
      <w:pPr>
        <w:numPr>
          <w:ilvl w:val="0"/>
          <w:numId w:val="2"/>
        </w:numPr>
        <w:pBdr>
          <w:top w:space="0" w:sz="0" w:val="nil"/>
          <w:left w:space="0" w:sz="0" w:val="nil"/>
          <w:bottom w:space="0" w:sz="0" w:val="nil"/>
          <w:right w:space="0" w:sz="0" w:val="nil"/>
          <w:between w:space="0" w:sz="0" w:val="nil"/>
        </w:pBdr>
        <w:spacing w:after="240" w:before="240"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 Último recibo de nómina  y curriculum de los servidores públicos del área de Planeación del ayuntamiento.</w:t>
      </w:r>
    </w:p>
    <w:p w:rsidR="00000000" w:rsidDel="00000000" w:rsidP="00000000" w:rsidRDefault="00000000" w:rsidRPr="00000000" w14:paraId="0000003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adjuntó el oficio número ADM/TEO/VHDR/742/2021, de fecha veintidós de diciembre de dos mil veintiuno, suscrito por el Director de Administración y es dirigido al Encargado de Despacho de la Unidad de Transparencia, por medio del cual manifiesta y expone: “… </w:t>
      </w:r>
      <w:r w:rsidDel="00000000" w:rsidR="00000000" w:rsidRPr="00000000">
        <w:rPr>
          <w:rFonts w:ascii="Palatino Linotype" w:cs="Palatino Linotype" w:eastAsia="Palatino Linotype" w:hAnsi="Palatino Linotype"/>
          <w:i w:val="1"/>
          <w:rtl w:val="0"/>
        </w:rPr>
        <w:t xml:space="preserve">Por medio de la presente reciba un cordial y afectuoso saludo, aprovecho este medio para informarle que en respuesta a la solicitud con número de folio 00604/TEOLOYU/IP/2021 Donde solicitan último recibo de nómina y curriculum de los servidores públicos del área de planeación y curriculum …” (Sic)</w:t>
      </w:r>
      <w:r w:rsidDel="00000000" w:rsidR="00000000" w:rsidRPr="00000000">
        <w:rPr>
          <w:rtl w:val="0"/>
        </w:rPr>
      </w:r>
    </w:p>
    <w:p w:rsidR="00000000" w:rsidDel="00000000" w:rsidP="00000000" w:rsidRDefault="00000000" w:rsidRPr="00000000" w14:paraId="0000003C">
      <w:pPr>
        <w:spacing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oficio previamente citado,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adjuntó la digitalización del curriculum vitae y recibos de nómina de la quincena corresponde del dieciséis al treinta de diciembre de dos mil veintiuno.</w:t>
      </w:r>
    </w:p>
    <w:p w:rsidR="00000000" w:rsidDel="00000000" w:rsidP="00000000" w:rsidRDefault="00000000" w:rsidRPr="00000000" w14:paraId="0000003D">
      <w:pPr>
        <w:ind w:right="90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E">
      <w:pPr>
        <w:spacing w:after="24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La información previamente referida fue proporcionada conforme a lo siguiente:</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240" w:before="240" w:lineRule="auto"/>
        <w:ind w:left="1571" w:right="902"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Noto Sans Symbols" w:cs="Noto Sans Symbols" w:eastAsia="Noto Sans Symbols" w:hAnsi="Noto Sans Symbols"/>
          <w:color w:val="000000"/>
          <w:rtl w:val="0"/>
        </w:rPr>
        <w:t xml:space="preserve">−</w:t>
      </w:r>
      <w:r w:rsidDel="00000000" w:rsidR="00000000" w:rsidRPr="00000000">
        <w:rPr>
          <w:rFonts w:ascii="Palatino Linotype" w:cs="Palatino Linotype" w:eastAsia="Palatino Linotype" w:hAnsi="Palatino Linotype"/>
          <w:color w:val="000000"/>
          <w:rtl w:val="0"/>
        </w:rPr>
        <w:t xml:space="preserve"> De dos servidores públicos adscritos a la UIPPE </w:t>
      </w:r>
    </w:p>
    <w:p w:rsidR="00000000" w:rsidDel="00000000" w:rsidP="00000000" w:rsidRDefault="00000000" w:rsidRPr="00000000" w14:paraId="00000040">
      <w:pPr>
        <w:spacing w:after="240" w:before="240" w:line="360" w:lineRule="auto"/>
        <w:jc w:val="both"/>
        <w:rPr>
          <w:rFonts w:ascii="Palatino Linotype" w:cs="Palatino Linotype" w:eastAsia="Palatino Linotype" w:hAnsi="Palatino Linotype"/>
          <w:color w:val="222222"/>
        </w:rPr>
      </w:pPr>
      <w:r w:rsidDel="00000000" w:rsidR="00000000" w:rsidRPr="00000000">
        <w:rPr>
          <w:rFonts w:ascii="Palatino Linotype" w:cs="Palatino Linotype" w:eastAsia="Palatino Linotype" w:hAnsi="Palatino Linotype"/>
          <w:color w:val="222222"/>
          <w:rtl w:val="0"/>
        </w:rPr>
        <w:t xml:space="preserve">Finamente, el </w:t>
      </w:r>
      <w:r w:rsidDel="00000000" w:rsidR="00000000" w:rsidRPr="00000000">
        <w:rPr>
          <w:rFonts w:ascii="Palatino Linotype" w:cs="Palatino Linotype" w:eastAsia="Palatino Linotype" w:hAnsi="Palatino Linotype"/>
          <w:b w:val="1"/>
          <w:color w:val="222222"/>
          <w:rtl w:val="0"/>
        </w:rPr>
        <w:t xml:space="preserve">SUJETO OBLIGADO</w:t>
      </w:r>
      <w:r w:rsidDel="00000000" w:rsidR="00000000" w:rsidRPr="00000000">
        <w:rPr>
          <w:rFonts w:ascii="Palatino Linotype" w:cs="Palatino Linotype" w:eastAsia="Palatino Linotype" w:hAnsi="Palatino Linotype"/>
          <w:color w:val="222222"/>
          <w:rtl w:val="0"/>
        </w:rPr>
        <w:t xml:space="preserve"> de acuerdo al contenido de su informe justificado ratifica su respuesta inicial. </w:t>
      </w:r>
    </w:p>
    <w:p w:rsidR="00000000" w:rsidDel="00000000" w:rsidP="00000000" w:rsidRDefault="00000000" w:rsidRPr="00000000" w14:paraId="0000004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Expuestas las posturas de las partes, se procede al análisis del agravio hecho valer por el ahora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concerniente a la entrega de información incompleta, para lo cual, en principio, cabe recordar que el Particular solicitó la información del Área de Planeación del Ayuntamiento.</w:t>
      </w:r>
    </w:p>
    <w:p w:rsidR="00000000" w:rsidDel="00000000" w:rsidP="00000000" w:rsidRDefault="00000000" w:rsidRPr="00000000" w14:paraId="00000042">
      <w:pPr>
        <w:spacing w:line="360" w:lineRule="auto"/>
        <w:jc w:val="both"/>
        <w:rPr/>
      </w:pPr>
      <w:r w:rsidDel="00000000" w:rsidR="00000000" w:rsidRPr="00000000">
        <w:rPr>
          <w:rtl w:val="0"/>
        </w:rPr>
      </w:r>
    </w:p>
    <w:p w:rsidR="00000000" w:rsidDel="00000000" w:rsidP="00000000" w:rsidRDefault="00000000" w:rsidRPr="00000000" w14:paraId="0000004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En ese orden de ideas, este Instituto revisó el artículo 37 del Bando Municipal dos mil veintiuno, de Teoloyucan, que establece que el Ayuntamiento, para el ejercicio de sus funciones contara con diversas unidades administrativas, entre las cuales se encuentran las siguientes:</w:t>
      </w:r>
    </w:p>
    <w:p w:rsidR="00000000" w:rsidDel="00000000" w:rsidP="00000000" w:rsidRDefault="00000000" w:rsidRPr="00000000" w14:paraId="00000044">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t xml:space="preserve"> </w:t>
      </w:r>
      <w:r w:rsidDel="00000000" w:rsidR="00000000" w:rsidRPr="00000000">
        <w:rPr>
          <w:rFonts w:ascii="Palatino Linotype" w:cs="Palatino Linotype" w:eastAsia="Palatino Linotype" w:hAnsi="Palatino Linotype"/>
          <w:i w:val="1"/>
          <w:sz w:val="22"/>
          <w:szCs w:val="22"/>
          <w:rtl w:val="0"/>
        </w:rPr>
        <w:t xml:space="preserve">“ARTÍCULO 37. La administración pública municipal centralizada, para la planeación, el despacho y ejecución de sus atribuciones y responsabilidades cuenta con las siguientes dependencias y entidades:</w:t>
      </w:r>
    </w:p>
    <w:p w:rsidR="00000000" w:rsidDel="00000000" w:rsidP="00000000" w:rsidRDefault="00000000" w:rsidRPr="00000000" w14:paraId="00000045">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6">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XIV. Dirección de planeación (UIPPE);</w:t>
      </w:r>
    </w:p>
    <w:p w:rsidR="00000000" w:rsidDel="00000000" w:rsidP="00000000" w:rsidRDefault="00000000" w:rsidRPr="00000000" w14:paraId="00000047">
      <w:pPr>
        <w:ind w:left="14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principio, es necesario contextualizar la solicitud de información, por lo que, es de señalar que el </w:t>
      </w:r>
      <w:r w:rsidDel="00000000" w:rsidR="00000000" w:rsidRPr="00000000">
        <w:rPr>
          <w:rFonts w:ascii="Palatino Linotype" w:cs="Palatino Linotype" w:eastAsia="Palatino Linotype" w:hAnsi="Palatino Linotype"/>
          <w:i w:val="1"/>
          <w:rtl w:val="0"/>
        </w:rPr>
        <w:t xml:space="preserve">curriculum vitae</w:t>
      </w:r>
      <w:r w:rsidDel="00000000" w:rsidR="00000000" w:rsidRPr="00000000">
        <w:rPr>
          <w:rFonts w:ascii="Palatino Linotype" w:cs="Palatino Linotype" w:eastAsia="Palatino Linotype" w:hAnsi="Palatino Linotype"/>
          <w:rtl w:val="0"/>
        </w:rPr>
        <w:t xml:space="preserve">, es aquel documento que las personas elaboran con los datos de identificación y contacto, preparación académica y experiencia profesional, para presentarse ante un posible empleador. Por lo que, dicho documento da cuenta de la preparación académica y la experiencia laboral, lo cual permite identificar el nivel de conocimientos de su titular, así como, su perfil profesional o laboral.</w:t>
      </w:r>
    </w:p>
    <w:p w:rsidR="00000000" w:rsidDel="00000000" w:rsidP="00000000" w:rsidRDefault="00000000" w:rsidRPr="00000000" w14:paraId="0000004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el documento en comento, si bien, se trata de aquel elaborado por cada persona, sin ninguna validez oficial, también lo es, que tiene por objetivo que las personas puedan conocer la trayectoria de quién lo presenta; por lo que, existe un interés público para dar a conocer dicha información, pues transparenta que el personal que labora para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las capacidades, conocimientos y experiencia necesaria para cumplir con sus funciones</w:t>
      </w:r>
    </w:p>
    <w:p w:rsidR="00000000" w:rsidDel="00000000" w:rsidP="00000000" w:rsidRDefault="00000000" w:rsidRPr="00000000" w14:paraId="0000004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se robustece con la fracción XXI, del artículo 92 de la Ley de Transparencia y Acceso a la Información Pública del Estado de México y Municipios, que establece que la información curricular es información que deben de poner a disposición del público los sujetos obligados, en el presente caso, el Ayuntamiento de Teoloyucan.</w:t>
      </w:r>
    </w:p>
    <w:p w:rsidR="00000000" w:rsidDel="00000000" w:rsidP="00000000" w:rsidRDefault="00000000" w:rsidRPr="00000000" w14:paraId="0000004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manera, toma relevancia, traer a colación el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–Lineamientos Generales-, que deben de difundir los sujetos obligados en los portales de Internet y en la Plataforma Nacional de Transparencia, establece como datos a publicar, de los servidores públicos, el nivel máximo de estudios concluido y comprobable, así como la experiencia laboral, concerniente a los tres últimos empleos, tal como se muestra continuación:</w:t>
      </w:r>
    </w:p>
    <w:p w:rsidR="00000000" w:rsidDel="00000000" w:rsidP="00000000" w:rsidRDefault="00000000" w:rsidRPr="00000000" w14:paraId="00000050">
      <w:pPr>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770755" cy="1693545"/>
            <wp:effectExtent b="0" l="0" r="0" t="0"/>
            <wp:docPr id="4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770755" cy="169354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Criterio 03/09, emitido por el Pleno del entonces Instituto Federal de Acceso a la Información y Protección de Datos, tal como se muestra a continuación: </w:t>
      </w:r>
    </w:p>
    <w:p w:rsidR="00000000" w:rsidDel="00000000" w:rsidP="00000000" w:rsidRDefault="00000000" w:rsidRPr="00000000" w14:paraId="0000005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4">
      <w:pPr>
        <w:spacing w:line="276" w:lineRule="auto"/>
        <w:ind w:left="567" w:right="61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sz w:val="22"/>
          <w:szCs w:val="22"/>
          <w:rtl w:val="0"/>
        </w:rPr>
        <w:t xml:space="preserve">“Curriculum Vitae de servidores públicos.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r w:rsidDel="00000000" w:rsidR="00000000" w:rsidRPr="00000000">
        <w:rPr>
          <w:rtl w:val="0"/>
        </w:rPr>
      </w:r>
    </w:p>
    <w:p w:rsidR="00000000" w:rsidDel="00000000" w:rsidP="00000000" w:rsidRDefault="00000000" w:rsidRPr="00000000" w14:paraId="0000005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citado criterio, se desprende que una de las formas en que los ciudadanos pueden evaluar las aptitudes para desempeñar un cargo público determinado, es mediante la publicidad de ciertos datos contenidos en el currículum vitae, tales como, la trayectoria académica, profesional, laboral, así como todos aquellos que acrediten su capacidad, habilidades pericia para ocupar el puesto público. Lo anterior, para favorecer la rendición de cuentas, pues la publicidad de lo anterior, tiene como fin verificar el correcto desempeño de los sujetos obligados.</w:t>
      </w:r>
    </w:p>
    <w:p w:rsidR="00000000" w:rsidDel="00000000" w:rsidP="00000000" w:rsidRDefault="00000000" w:rsidRPr="00000000" w14:paraId="0000005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8">
      <w:pPr>
        <w:spacing w:line="360" w:lineRule="auto"/>
        <w:jc w:val="both"/>
        <w:rPr/>
      </w:pPr>
      <w:r w:rsidDel="00000000" w:rsidR="00000000" w:rsidRPr="00000000">
        <w:rPr>
          <w:rFonts w:ascii="Palatino Linotype" w:cs="Palatino Linotype" w:eastAsia="Palatino Linotype" w:hAnsi="Palatino Linotype"/>
          <w:rtl w:val="0"/>
        </w:rPr>
        <w:t xml:space="preserve">Conforme a lo anterior, se considera que la pretensión del ahora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es obtener el currículum vitae o el documento que contenga la información curricular de los servidores públicos adscritos al área de Planeación de Teoloyucan</w:t>
      </w:r>
      <w:r w:rsidDel="00000000" w:rsidR="00000000" w:rsidRPr="00000000">
        <w:rPr>
          <w:rtl w:val="0"/>
        </w:rPr>
        <w:t xml:space="preserve">.</w:t>
      </w:r>
    </w:p>
    <w:p w:rsidR="00000000" w:rsidDel="00000000" w:rsidP="00000000" w:rsidRDefault="00000000" w:rsidRPr="00000000" w14:paraId="00000059">
      <w:pPr>
        <w:spacing w:line="360" w:lineRule="auto"/>
        <w:jc w:val="both"/>
        <w:rPr/>
      </w:pPr>
      <w:r w:rsidDel="00000000" w:rsidR="00000000" w:rsidRPr="00000000">
        <w:rPr>
          <w:rtl w:val="0"/>
        </w:rPr>
      </w:r>
    </w:p>
    <w:p w:rsidR="00000000" w:rsidDel="00000000" w:rsidP="00000000" w:rsidRDefault="00000000" w:rsidRPr="00000000" w14:paraId="0000005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respuesta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proporcionó la información curricular de dos servidores públicos adscritos a la Dirección de Planeación, de los cuales se muestra un extracto a manera de ejemplo:</w:t>
      </w:r>
    </w:p>
    <w:p w:rsidR="00000000" w:rsidDel="00000000" w:rsidP="00000000" w:rsidRDefault="00000000" w:rsidRPr="00000000" w14:paraId="0000005B">
      <w:pPr>
        <w:spacing w:line="360" w:lineRule="auto"/>
        <w:jc w:val="both"/>
        <w:rPr/>
      </w:pPr>
      <w:r w:rsidDel="00000000" w:rsidR="00000000" w:rsidRPr="00000000">
        <w:rPr/>
        <w:drawing>
          <wp:inline distB="0" distT="0" distL="0" distR="0">
            <wp:extent cx="4824885" cy="2349302"/>
            <wp:effectExtent b="0" l="0" r="0" t="0"/>
            <wp:docPr id="4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824885" cy="2349302"/>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line="360" w:lineRule="auto"/>
        <w:jc w:val="both"/>
        <w:rPr/>
      </w:pPr>
      <w:r w:rsidDel="00000000" w:rsidR="00000000" w:rsidRPr="00000000">
        <w:rPr>
          <w:rtl w:val="0"/>
        </w:rPr>
      </w:r>
    </w:p>
    <w:p w:rsidR="00000000" w:rsidDel="00000000" w:rsidP="00000000" w:rsidRDefault="00000000" w:rsidRPr="00000000" w14:paraId="0000005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se estima que con la información proporcionada se colma el Derecho de Acceso a la información al entregar la Información de los Servidores Públicos  adscritos al área indicada, al momento de presentar la solicitud de información.</w:t>
      </w:r>
    </w:p>
    <w:p w:rsidR="00000000" w:rsidDel="00000000" w:rsidP="00000000" w:rsidRDefault="00000000" w:rsidRPr="00000000" w14:paraId="0000005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F">
      <w:pPr>
        <w:spacing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Pues de la revisión de dichos documentos, se logra observar, que corresponden aquellos que contienen el grado académico, la trayectoria profesional y laboral de los servidores públicos adscritos al área de Planeación; por lo que, se logra advertir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proporcionó los documentos que obraban en sus archivos y daban cuenta de lo peticionado, al contener la información curricular de los servidores públicos solicitados.</w:t>
      </w:r>
      <w:r w:rsidDel="00000000" w:rsidR="00000000" w:rsidRPr="00000000">
        <w:rPr>
          <w:rtl w:val="0"/>
        </w:rPr>
      </w:r>
    </w:p>
    <w:p w:rsidR="00000000" w:rsidDel="00000000" w:rsidP="00000000" w:rsidRDefault="00000000" w:rsidRPr="00000000" w14:paraId="00000060">
      <w:pPr>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1">
      <w:pPr>
        <w:spacing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r w:rsidDel="00000000" w:rsidR="00000000" w:rsidRPr="00000000">
        <w:rPr>
          <w:rtl w:val="0"/>
        </w:rPr>
      </w:r>
    </w:p>
    <w:p w:rsidR="00000000" w:rsidDel="00000000" w:rsidP="00000000" w:rsidRDefault="00000000" w:rsidRPr="00000000" w14:paraId="00000062">
      <w:pPr>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3">
      <w:pPr>
        <w:spacing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De esta manera, el derecho de acceso a la información pública se satisface en aquellos casos en que se entregue el soporte documental en el que conste la información solicitada, sin necesidad de elaborar documentos ad hoc; lo cual, de conformidad con en el artículo 160 de la Ley de Transparencia y Acceso a la Información Pública del Estado de México y Municipios, el cual refiere que los sujetos obligados deberán entregar la información que obre en sus archivos.</w:t>
      </w:r>
      <w:r w:rsidDel="00000000" w:rsidR="00000000" w:rsidRPr="00000000">
        <w:rPr>
          <w:rtl w:val="0"/>
        </w:rPr>
      </w:r>
    </w:p>
    <w:p w:rsidR="00000000" w:rsidDel="00000000" w:rsidP="00000000" w:rsidRDefault="00000000" w:rsidRPr="00000000" w14:paraId="0000006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5">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Aunado a que la respuesta fue proporcionada por el Servidor Público Habilitado que ostenta las atribuciones necesarias; es decir, la respuesta deriva del Servidor público Habilitado de la Dirección de Administración, quien entre sus atribuciones se encuentra, de acuerdo al Manual de Organización de la Dirección de Administración, la de realizar las funciones de contratación de personal, organización, administración de sueldos, prestaciones, capacitación, desarrollo y terminación de las relaciones laborales, así como, revisar e integrar los expedientes personales de la administración.</w:t>
      </w:r>
      <w:r w:rsidDel="00000000" w:rsidR="00000000" w:rsidRPr="00000000">
        <w:rPr>
          <w:rtl w:val="0"/>
        </w:rPr>
      </w:r>
    </w:p>
    <w:p w:rsidR="00000000" w:rsidDel="00000000" w:rsidP="00000000" w:rsidRDefault="00000000" w:rsidRPr="00000000" w14:paraId="0000006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se logra advertir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turnó la solicitud de información a la Dirección de Administración; así, es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rsidR="00000000" w:rsidDel="00000000" w:rsidP="00000000" w:rsidRDefault="00000000" w:rsidRPr="00000000" w14:paraId="0000006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9">
      <w:pPr>
        <w:numPr>
          <w:ilvl w:val="0"/>
          <w:numId w:val="3"/>
        </w:numPr>
        <w:pBdr>
          <w:top w:space="0" w:sz="0" w:val="nil"/>
          <w:left w:space="0" w:sz="0" w:val="nil"/>
          <w:bottom w:space="0" w:sz="0" w:val="nil"/>
          <w:right w:space="0" w:sz="0" w:val="nil"/>
          <w:between w:space="0" w:sz="0" w:val="nil"/>
        </w:pBdr>
        <w:spacing w:line="360" w:lineRule="auto"/>
        <w:ind w:left="1068"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000000" w:rsidDel="00000000" w:rsidP="00000000" w:rsidRDefault="00000000" w:rsidRPr="00000000" w14:paraId="0000006A">
      <w:pPr>
        <w:spacing w:line="360" w:lineRule="auto"/>
        <w:ind w:left="708"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B">
      <w:pPr>
        <w:spacing w:line="360" w:lineRule="auto"/>
        <w:ind w:left="708"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00000000" w:rsidDel="00000000" w:rsidP="00000000" w:rsidRDefault="00000000" w:rsidRPr="00000000" w14:paraId="0000006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D">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Atendiendo a lo dispuesto en los preceptos legales de referencia, a efecto de determinar si el SUJETO OBLIGADO siguió el procedimiento antes descrito. </w:t>
      </w:r>
      <w:r w:rsidDel="00000000" w:rsidR="00000000" w:rsidRPr="00000000">
        <w:rPr>
          <w:rtl w:val="0"/>
        </w:rPr>
      </w:r>
    </w:p>
    <w:p w:rsidR="00000000" w:rsidDel="00000000" w:rsidP="00000000" w:rsidRDefault="00000000" w:rsidRPr="00000000" w14:paraId="0000006E">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6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queda acreditado que al haberse pronunciando el área competente, es decir en este caso la Dirección de Administración esta Autoridad determina que queda colmada la pretensión del particular el haberse entregado la información curricular del Personal adscrito al área de planeación. </w:t>
      </w:r>
    </w:p>
    <w:p w:rsidR="00000000" w:rsidDel="00000000" w:rsidP="00000000" w:rsidRDefault="00000000" w:rsidRPr="00000000" w14:paraId="0000007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lo anterior, cabe precisar que este Instituto, no tiene atribuciones para pronunciarse sobre la veracidad de la información. Apoya lo anterior, el Criterio 31/10, emitido por el Pleno del entonces Instituto Federal de Acceso a la Información y Protección de Datos, que a continuación se cita:</w:t>
      </w:r>
    </w:p>
    <w:p w:rsidR="00000000" w:rsidDel="00000000" w:rsidP="00000000" w:rsidRDefault="00000000" w:rsidRPr="00000000" w14:paraId="00000072">
      <w:pPr>
        <w:ind w:left="70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073">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7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por cuenta hace a los recibos de nómina, el artículo 147 de la Constitución Política del Estado Libre y Soberano de México, que establece que los trabajadores al servicio del Estado, como los miembros de los Ayuntamientos, recibirán una remuneración adecuada e irrenunciable por el desempeño de su empleo, cargo o comisión, que será determinada en el presupuesto de egresos que corresponda.</w:t>
      </w:r>
    </w:p>
    <w:p w:rsidR="00000000" w:rsidDel="00000000" w:rsidP="00000000" w:rsidRDefault="00000000" w:rsidRPr="00000000" w14:paraId="0000007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6">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r w:rsidDel="00000000" w:rsidR="00000000" w:rsidRPr="00000000">
        <w:rPr>
          <w:rtl w:val="0"/>
        </w:rPr>
      </w:r>
    </w:p>
    <w:p w:rsidR="00000000" w:rsidDel="00000000" w:rsidP="00000000" w:rsidRDefault="00000000" w:rsidRPr="00000000" w14:paraId="00000077">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7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 la misma manera, el Anexo IV.5 Glosario de Términos, del Manual para la Planeación, Programación y Presupuesto de Egresos Municipal para el ejercicio fiscal dos mil veinte, establece que la remuneración es la percepción de un trabajador o retribución monetaria que se da en pago por su servicio o actividad desarrollada</w:t>
      </w:r>
    </w:p>
    <w:p w:rsidR="00000000" w:rsidDel="00000000" w:rsidP="00000000" w:rsidRDefault="00000000" w:rsidRPr="00000000" w14:paraId="0000007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rsidR="00000000" w:rsidDel="00000000" w:rsidP="00000000" w:rsidRDefault="00000000" w:rsidRPr="00000000" w14:paraId="0000007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respecto al documento solicitado, la Ley del Trabajo de los Servidores Públicos del Estado y Municipios, en su artículo 220 K, fracciones II y IV, establece los documentos que tiene la obligación de conservar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entre los que se encuentra los recibos de pago de salarios o las constancias documentales del pago de sueldos, cuando sea por depósito o mediante información electrónica; así como los recibos o constancias de depósito o del medio de información magnética o electrónica que sean utilizadas para el pago de salarios, prima vacacional, aguinaldo y demás prestaciones.</w:t>
      </w:r>
    </w:p>
    <w:p w:rsidR="00000000" w:rsidDel="00000000" w:rsidP="00000000" w:rsidRDefault="00000000" w:rsidRPr="00000000" w14:paraId="0000007C">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7D">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Lo anterior, toma sustento en la Tesis aislada número I.6o.T.154 L (10a.), emitida por los Tribunales Colegiados de Circuito, publicada el abril de dos mil dieciséis, en la Gaceta del Semanario Judicial de la Federación, en su Libro 29, Tomo III, misma que señala lo siguiente:</w:t>
      </w:r>
      <w:r w:rsidDel="00000000" w:rsidR="00000000" w:rsidRPr="00000000">
        <w:rPr>
          <w:rtl w:val="0"/>
        </w:rPr>
      </w:r>
    </w:p>
    <w:p w:rsidR="00000000" w:rsidDel="00000000" w:rsidP="00000000" w:rsidRDefault="00000000" w:rsidRPr="00000000" w14:paraId="0000007E">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7F">
      <w:pPr>
        <w:ind w:left="708"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“RECIBOS DE PAGO 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r w:rsidDel="00000000" w:rsidR="00000000" w:rsidRPr="00000000">
        <w:rPr>
          <w:rtl w:val="0"/>
        </w:rPr>
      </w:r>
    </w:p>
    <w:p w:rsidR="00000000" w:rsidDel="00000000" w:rsidP="00000000" w:rsidRDefault="00000000" w:rsidRPr="00000000" w14:paraId="00000080">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8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tesis transcrita, se desprende que en materia burocrática los recibos de pago acreditan los conceptos y montos que en ellos se insertan, y constituyen prueba para demostrar las percepciones y montos que reciben los servidores públicos.</w:t>
      </w:r>
    </w:p>
    <w:p w:rsidR="00000000" w:rsidDel="00000000" w:rsidP="00000000" w:rsidRDefault="00000000" w:rsidRPr="00000000" w14:paraId="0000008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se logra advertir que la pretensión del hoy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es obtener el último recibo de nómina con el que contaba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la fecha de la solicitud; es decir, el correspondiente a la segunda quincena de noviembre de dos mil veintiuno (última pagada a la fecha de la solicitud) de todos los servidores públicos  adscritos al área de Planeación. </w:t>
      </w:r>
    </w:p>
    <w:p w:rsidR="00000000" w:rsidDel="00000000" w:rsidP="00000000" w:rsidRDefault="00000000" w:rsidRPr="00000000" w14:paraId="0000008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ello, la Dirección de Administración proporcionó los recibos de pago de dos servidores públicos adscritos al área de Planeación, de los cuales se muestra un extracto a manera de ejemplo:</w:t>
      </w:r>
    </w:p>
    <w:p w:rsidR="00000000" w:rsidDel="00000000" w:rsidP="00000000" w:rsidRDefault="00000000" w:rsidRPr="00000000" w14:paraId="0000008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7">
      <w:pPr>
        <w:spacing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Pr>
        <w:drawing>
          <wp:inline distB="0" distT="0" distL="0" distR="0">
            <wp:extent cx="4525264" cy="2682967"/>
            <wp:effectExtent b="0" l="0" r="0" t="0"/>
            <wp:docPr id="48"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525264" cy="2682967"/>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si bien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proporcionó documentos que podrían dar cuenta de lo solicitado, lo cierto es que se advierte que en efecto los mismos aparentemente fueron remitidos de manera incompleta al testar datos sin acompañar el acuerdo del Comité de Transparencia, además fueron eliminados datos de interés público como lo son el folio digital, Cadena Original del complemento del Certificado Digital del SAT, número de serie del certificado del SAT, fecha y hora de certificación y número de serie del certificado del emisor, sin embargo es importante señalar que dichos datos no debieron eliminarse, lo anterior es así, toda vez que no se encuentran relacionados con información de particulares; sino más bien de un ente público, se afirma lo anterior en virtud de que el </w:t>
      </w:r>
      <w:r w:rsidDel="00000000" w:rsidR="00000000" w:rsidRPr="00000000">
        <w:rPr>
          <w:rFonts w:ascii="Palatino Linotype" w:cs="Palatino Linotype" w:eastAsia="Palatino Linotype" w:hAnsi="Palatino Linotype"/>
          <w:b w:val="1"/>
          <w:i w:val="1"/>
          <w:rtl w:val="0"/>
        </w:rPr>
        <w:t xml:space="preserve">folio digital</w:t>
      </w:r>
      <w:r w:rsidDel="00000000" w:rsidR="00000000" w:rsidRPr="00000000">
        <w:rPr>
          <w:rFonts w:ascii="Palatino Linotype" w:cs="Palatino Linotype" w:eastAsia="Palatino Linotype" w:hAnsi="Palatino Linotype"/>
          <w:rtl w:val="0"/>
        </w:rPr>
        <w:t xml:space="preserve">, es un atributo compuesto de 36 caracteres, el cual se encuentra relacionado con el timbrado; que el </w:t>
      </w:r>
      <w:r w:rsidDel="00000000" w:rsidR="00000000" w:rsidRPr="00000000">
        <w:rPr>
          <w:rFonts w:ascii="Palatino Linotype" w:cs="Palatino Linotype" w:eastAsia="Palatino Linotype" w:hAnsi="Palatino Linotype"/>
          <w:b w:val="1"/>
          <w:i w:val="1"/>
          <w:rtl w:val="0"/>
        </w:rPr>
        <w:t xml:space="preserve">número de serie del certificado del SAT</w:t>
      </w:r>
      <w:r w:rsidDel="00000000" w:rsidR="00000000" w:rsidRPr="00000000">
        <w:rPr>
          <w:rFonts w:ascii="Palatino Linotype" w:cs="Palatino Linotype" w:eastAsia="Palatino Linotype" w:hAnsi="Palatino Linotype"/>
          <w:rtl w:val="0"/>
        </w:rPr>
        <w:t xml:space="preserve">, es un atributo requerido usado para generar el sello digital del timbre fiscal digital y que el </w:t>
      </w:r>
      <w:r w:rsidDel="00000000" w:rsidR="00000000" w:rsidRPr="00000000">
        <w:rPr>
          <w:rFonts w:ascii="Palatino Linotype" w:cs="Palatino Linotype" w:eastAsia="Palatino Linotype" w:hAnsi="Palatino Linotype"/>
          <w:b w:val="1"/>
          <w:i w:val="1"/>
          <w:rtl w:val="0"/>
        </w:rPr>
        <w:t xml:space="preserve">número de serie del certificado del emisor</w:t>
      </w:r>
      <w:r w:rsidDel="00000000" w:rsidR="00000000" w:rsidRPr="00000000">
        <w:rPr>
          <w:rFonts w:ascii="Palatino Linotype" w:cs="Palatino Linotype" w:eastAsia="Palatino Linotype" w:hAnsi="Palatino Linotype"/>
          <w:rtl w:val="0"/>
        </w:rPr>
        <w:t xml:space="preserve">, es un atributo requerido para expresar la clave del efecto del comprobante fiscal para el contribuyente emisor.</w:t>
      </w:r>
    </w:p>
    <w:p w:rsidR="00000000" w:rsidDel="00000000" w:rsidP="00000000" w:rsidRDefault="00000000" w:rsidRPr="00000000" w14:paraId="0000008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B">
      <w:pPr>
        <w:shd w:fill="ffffff" w:val="clea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tiene sustento conforme a lo establecido en el Anexo 20 de la Resolución Miscelánea Fiscal, precisa lo siguiente: </w:t>
      </w:r>
    </w:p>
    <w:p w:rsidR="00000000" w:rsidDel="00000000" w:rsidP="00000000" w:rsidRDefault="00000000" w:rsidRPr="00000000" w14:paraId="0000008C">
      <w:pPr>
        <w:shd w:fill="ffffff" w:val="clear"/>
        <w:spacing w:line="360" w:lineRule="auto"/>
        <w:jc w:val="both"/>
        <w:rPr>
          <w:rFonts w:ascii="Palatino Linotype" w:cs="Palatino Linotype" w:eastAsia="Palatino Linotype" w:hAnsi="Palatino Linotype"/>
          <w:highlight w:val="yellow"/>
        </w:rPr>
      </w:pPr>
      <w:r w:rsidDel="00000000" w:rsidR="00000000" w:rsidRPr="00000000">
        <w:rPr>
          <w:rtl w:val="0"/>
        </w:rPr>
      </w:r>
    </w:p>
    <w:p w:rsidR="00000000" w:rsidDel="00000000" w:rsidP="00000000" w:rsidRDefault="00000000" w:rsidRPr="00000000" w14:paraId="0000008D">
      <w:pPr>
        <w:shd w:fill="ffffff" w:val="clear"/>
        <w:spacing w:line="360" w:lineRule="auto"/>
        <w:jc w:val="both"/>
        <w:rPr>
          <w:rFonts w:ascii="Palatino Linotype" w:cs="Palatino Linotype" w:eastAsia="Palatino Linotype" w:hAnsi="Palatino Linotype"/>
          <w:highlight w:val="yellow"/>
        </w:rPr>
      </w:pPr>
      <w:r w:rsidDel="00000000" w:rsidR="00000000" w:rsidRPr="00000000">
        <w:rPr>
          <w:rFonts w:ascii="Palatino Linotype" w:cs="Palatino Linotype" w:eastAsia="Palatino Linotype" w:hAnsi="Palatino Linotype"/>
          <w:highlight w:val="yellow"/>
        </w:rPr>
        <w:drawing>
          <wp:inline distB="0" distT="0" distL="0" distR="0">
            <wp:extent cx="4556760" cy="3355246"/>
            <wp:effectExtent b="0" l="0" r="0" t="0"/>
            <wp:docPr id="51"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4556760" cy="335524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25400</wp:posOffset>
                </wp:positionV>
                <wp:extent cx="4552950" cy="507393"/>
                <wp:effectExtent b="0" l="0" r="0" t="0"/>
                <wp:wrapNone/>
                <wp:docPr id="41" name=""/>
                <a:graphic>
                  <a:graphicData uri="http://schemas.microsoft.com/office/word/2010/wordprocessingShape">
                    <wps:wsp>
                      <wps:cNvSpPr/>
                      <wps:cNvPr id="3" name="Shape 3"/>
                      <wps:spPr>
                        <a:xfrm>
                          <a:off x="3098100" y="3554879"/>
                          <a:ext cx="4495800" cy="450243"/>
                        </a:xfrm>
                        <a:prstGeom prst="roundRect">
                          <a:avLst>
                            <a:gd fmla="val 16667" name="adj"/>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25400</wp:posOffset>
                </wp:positionV>
                <wp:extent cx="4552950" cy="507393"/>
                <wp:effectExtent b="0" l="0" r="0" t="0"/>
                <wp:wrapNone/>
                <wp:docPr id="41"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4552950" cy="50739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1638300</wp:posOffset>
                </wp:positionV>
                <wp:extent cx="4156710" cy="651510"/>
                <wp:effectExtent b="0" l="0" r="0" t="0"/>
                <wp:wrapNone/>
                <wp:docPr id="40" name=""/>
                <a:graphic>
                  <a:graphicData uri="http://schemas.microsoft.com/office/word/2010/wordprocessingShape">
                    <wps:wsp>
                      <wps:cNvSpPr/>
                      <wps:cNvPr id="2" name="Shape 2"/>
                      <wps:spPr>
                        <a:xfrm flipH="1" rot="10800000">
                          <a:off x="3296220" y="3482820"/>
                          <a:ext cx="4099560" cy="594360"/>
                        </a:xfrm>
                        <a:prstGeom prst="roundRect">
                          <a:avLst>
                            <a:gd fmla="val 16667" name="adj"/>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1638300</wp:posOffset>
                </wp:positionV>
                <wp:extent cx="4156710" cy="651510"/>
                <wp:effectExtent b="0" l="0" r="0" t="0"/>
                <wp:wrapNone/>
                <wp:docPr id="40"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4156710" cy="651510"/>
                        </a:xfrm>
                        <a:prstGeom prst="rect"/>
                        <a:ln/>
                      </pic:spPr>
                    </pic:pic>
                  </a:graphicData>
                </a:graphic>
              </wp:anchor>
            </w:drawing>
          </mc:Fallback>
        </mc:AlternateContent>
      </w:r>
    </w:p>
    <w:p w:rsidR="00000000" w:rsidDel="00000000" w:rsidP="00000000" w:rsidRDefault="00000000" w:rsidRPr="00000000" w14:paraId="0000008E">
      <w:pPr>
        <w:shd w:fill="ffffff" w:val="clear"/>
        <w:spacing w:line="360" w:lineRule="auto"/>
        <w:jc w:val="both"/>
        <w:rPr>
          <w:rFonts w:ascii="Palatino Linotype" w:cs="Palatino Linotype" w:eastAsia="Palatino Linotype" w:hAnsi="Palatino Linotype"/>
          <w:highlight w:val="yellow"/>
        </w:rPr>
      </w:pPr>
      <w:r w:rsidDel="00000000" w:rsidR="00000000" w:rsidRPr="00000000">
        <w:rPr>
          <w:rFonts w:ascii="Palatino Linotype" w:cs="Palatino Linotype" w:eastAsia="Palatino Linotype" w:hAnsi="Palatino Linotype"/>
          <w:highlight w:val="yellow"/>
        </w:rPr>
        <w:drawing>
          <wp:inline distB="0" distT="0" distL="0" distR="0">
            <wp:extent cx="4330860" cy="2968593"/>
            <wp:effectExtent b="0" l="0" r="0" t="0"/>
            <wp:docPr id="50"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4330860" cy="296859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127000</wp:posOffset>
                </wp:positionV>
                <wp:extent cx="4156710" cy="1035159"/>
                <wp:effectExtent b="0" l="0" r="0" t="0"/>
                <wp:wrapNone/>
                <wp:docPr id="43" name=""/>
                <a:graphic>
                  <a:graphicData uri="http://schemas.microsoft.com/office/word/2010/wordprocessingShape">
                    <wps:wsp>
                      <wps:cNvSpPr/>
                      <wps:cNvPr id="5" name="Shape 5"/>
                      <wps:spPr>
                        <a:xfrm flipH="1" rot="10800000">
                          <a:off x="3296220" y="3290995"/>
                          <a:ext cx="4099560" cy="978010"/>
                        </a:xfrm>
                        <a:prstGeom prst="roundRect">
                          <a:avLst>
                            <a:gd fmla="val 16667" name="adj"/>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127000</wp:posOffset>
                </wp:positionV>
                <wp:extent cx="4156710" cy="1035159"/>
                <wp:effectExtent b="0" l="0" r="0" t="0"/>
                <wp:wrapNone/>
                <wp:docPr id="43"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4156710" cy="103515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1371600</wp:posOffset>
                </wp:positionV>
                <wp:extent cx="4331970" cy="445770"/>
                <wp:effectExtent b="0" l="0" r="0" t="0"/>
                <wp:wrapNone/>
                <wp:docPr id="42" name=""/>
                <a:graphic>
                  <a:graphicData uri="http://schemas.microsoft.com/office/word/2010/wordprocessingShape">
                    <wps:wsp>
                      <wps:cNvSpPr/>
                      <wps:cNvPr id="4" name="Shape 4"/>
                      <wps:spPr>
                        <a:xfrm flipH="1" rot="10800000">
                          <a:off x="3208590" y="3585690"/>
                          <a:ext cx="4274820" cy="388620"/>
                        </a:xfrm>
                        <a:prstGeom prst="roundRect">
                          <a:avLst>
                            <a:gd fmla="val 16667" name="adj"/>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1371600</wp:posOffset>
                </wp:positionV>
                <wp:extent cx="4331970" cy="445770"/>
                <wp:effectExtent b="0" l="0" r="0" t="0"/>
                <wp:wrapNone/>
                <wp:docPr id="42"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4331970" cy="445770"/>
                        </a:xfrm>
                        <a:prstGeom prst="rect"/>
                        <a:ln/>
                      </pic:spPr>
                    </pic:pic>
                  </a:graphicData>
                </a:graphic>
              </wp:anchor>
            </w:drawing>
          </mc:Fallback>
        </mc:AlternateContent>
      </w:r>
    </w:p>
    <w:p w:rsidR="00000000" w:rsidDel="00000000" w:rsidP="00000000" w:rsidRDefault="00000000" w:rsidRPr="00000000" w14:paraId="0000008F">
      <w:pPr>
        <w:shd w:fill="ffffff" w:val="clear"/>
        <w:spacing w:line="360" w:lineRule="auto"/>
        <w:jc w:val="both"/>
        <w:rPr>
          <w:rFonts w:ascii="Palatino Linotype" w:cs="Palatino Linotype" w:eastAsia="Palatino Linotype" w:hAnsi="Palatino Linotype"/>
          <w:highlight w:val="yellow"/>
        </w:rPr>
      </w:pPr>
      <w:r w:rsidDel="00000000" w:rsidR="00000000" w:rsidRPr="00000000">
        <w:rPr>
          <w:rtl w:val="0"/>
        </w:rPr>
      </w:r>
    </w:p>
    <w:p w:rsidR="00000000" w:rsidDel="00000000" w:rsidP="00000000" w:rsidRDefault="00000000" w:rsidRPr="00000000" w14:paraId="00000090">
      <w:pPr>
        <w:shd w:fill="ffffff" w:val="clear"/>
        <w:spacing w:line="360" w:lineRule="auto"/>
        <w:jc w:val="both"/>
        <w:rPr>
          <w:rFonts w:ascii="Palatino Linotype" w:cs="Palatino Linotype" w:eastAsia="Palatino Linotype" w:hAnsi="Palatino Linotype"/>
          <w:highlight w:val="yellow"/>
        </w:rPr>
      </w:pPr>
      <w:r w:rsidDel="00000000" w:rsidR="00000000" w:rsidRPr="00000000">
        <w:rPr>
          <w:rFonts w:ascii="Palatino Linotype" w:cs="Palatino Linotype" w:eastAsia="Palatino Linotype" w:hAnsi="Palatino Linotype"/>
          <w:highlight w:val="yellow"/>
        </w:rPr>
        <w:drawing>
          <wp:inline distB="0" distT="0" distL="0" distR="0">
            <wp:extent cx="5128704" cy="1432684"/>
            <wp:effectExtent b="0" l="0" r="0" t="0"/>
            <wp:docPr id="52"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128704" cy="143268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5185410" cy="689610"/>
                <wp:effectExtent b="0" l="0" r="0" t="0"/>
                <wp:wrapNone/>
                <wp:docPr id="44" name=""/>
                <a:graphic>
                  <a:graphicData uri="http://schemas.microsoft.com/office/word/2010/wordprocessingShape">
                    <wps:wsp>
                      <wps:cNvSpPr/>
                      <wps:cNvPr id="6" name="Shape 6"/>
                      <wps:spPr>
                        <a:xfrm>
                          <a:off x="2781870" y="3463770"/>
                          <a:ext cx="5128260" cy="632460"/>
                        </a:xfrm>
                        <a:prstGeom prst="roundRect">
                          <a:avLst>
                            <a:gd fmla="val 16667" name="adj"/>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5185410" cy="689610"/>
                <wp:effectExtent b="0" l="0" r="0" t="0"/>
                <wp:wrapNone/>
                <wp:docPr id="44" name="image11.png"/>
                <a:graphic>
                  <a:graphicData uri="http://schemas.openxmlformats.org/drawingml/2006/picture">
                    <pic:pic>
                      <pic:nvPicPr>
                        <pic:cNvPr id="0" name="image11.png"/>
                        <pic:cNvPicPr preferRelativeResize="0"/>
                      </pic:nvPicPr>
                      <pic:blipFill>
                        <a:blip r:embed="rId17"/>
                        <a:srcRect/>
                        <a:stretch>
                          <a:fillRect/>
                        </a:stretch>
                      </pic:blipFill>
                      <pic:spPr>
                        <a:xfrm>
                          <a:off x="0" y="0"/>
                          <a:ext cx="5185410" cy="689610"/>
                        </a:xfrm>
                        <a:prstGeom prst="rect"/>
                        <a:ln/>
                      </pic:spPr>
                    </pic:pic>
                  </a:graphicData>
                </a:graphic>
              </wp:anchor>
            </w:drawing>
          </mc:Fallback>
        </mc:AlternateContent>
      </w:r>
    </w:p>
    <w:p w:rsidR="00000000" w:rsidDel="00000000" w:rsidP="00000000" w:rsidRDefault="00000000" w:rsidRPr="00000000" w14:paraId="00000091">
      <w:pPr>
        <w:shd w:fill="ffffff" w:val="clear"/>
        <w:spacing w:line="360" w:lineRule="auto"/>
        <w:jc w:val="both"/>
        <w:rPr>
          <w:rFonts w:ascii="Palatino Linotype" w:cs="Palatino Linotype" w:eastAsia="Palatino Linotype" w:hAnsi="Palatino Linotype"/>
          <w:highlight w:val="yellow"/>
        </w:rPr>
      </w:pPr>
      <w:r w:rsidDel="00000000" w:rsidR="00000000" w:rsidRPr="00000000">
        <w:rPr>
          <w:rtl w:val="0"/>
        </w:rPr>
      </w:r>
    </w:p>
    <w:p w:rsidR="00000000" w:rsidDel="00000000" w:rsidP="00000000" w:rsidRDefault="00000000" w:rsidRPr="00000000" w14:paraId="00000092">
      <w:pPr>
        <w:shd w:fill="ffffff" w:val="clea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desprende que, el folio digital, es un atributo compuesto de 36 caracteres, el cual se encuentra relacionado con el timbrado; en cuanto al número de serie del certificado del SAT, es un atributo requerido, el cual es usado para generar el sello digital del timbre fiscal digital y por cuanto hace al número de serie del certificado del emisor, este es un atributo requerido para expresar la clave del efecto del comprobante fiscal para el contribuyente emisor; en consecuencia, dichos datos no pueden ser considerados como confidenciales, pues no se encuentra relacionada con información relacionada a particulares; sino más bien de un ente público. </w:t>
      </w:r>
    </w:p>
    <w:p w:rsidR="00000000" w:rsidDel="00000000" w:rsidP="00000000" w:rsidRDefault="00000000" w:rsidRPr="00000000" w14:paraId="0000009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4">
      <w:pPr>
        <w:shd w:fill="ffffff" w:val="clea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a que dicha versión pública no fue acompañada del acuerdo de comité de transparencia en el que se funde y motive el actuar del Sujeto Obligado, por lo tanto no se conocen los motivos, razones y circunstancias de hecho y derecho para testar los datos en comento.</w:t>
      </w:r>
    </w:p>
    <w:p w:rsidR="00000000" w:rsidDel="00000000" w:rsidP="00000000" w:rsidRDefault="00000000" w:rsidRPr="00000000" w14:paraId="00000095">
      <w:pPr>
        <w:spacing w:line="360" w:lineRule="auto"/>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9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no se advierte que el Sujeto obligado hubiese expresado el artículo, fracción, inciso o subinciso de la legislación aplicable a la materia, que establece de manera expresa la naturaleza jurídica de todos y cada uno de los datos contenidos en los recibos de nómina que entregó en respuesta, lo anterior, con la finalidad de justificar la procedencia de omitirlos o testarlos, en consecuencia, el actuar del Sujeto Obligado </w:t>
      </w:r>
      <w:r w:rsidDel="00000000" w:rsidR="00000000" w:rsidRPr="00000000">
        <w:rPr>
          <w:rFonts w:ascii="Palatino Linotype" w:cs="Palatino Linotype" w:eastAsia="Palatino Linotype" w:hAnsi="Palatino Linotype"/>
          <w:color w:val="222222"/>
          <w:rtl w:val="0"/>
        </w:rPr>
        <w:t xml:space="preserve">carece de fundamentación y motivación, consistentes en la </w:t>
      </w:r>
      <w:r w:rsidDel="00000000" w:rsidR="00000000" w:rsidRPr="00000000">
        <w:rPr>
          <w:rFonts w:ascii="Palatino Linotype" w:cs="Palatino Linotype" w:eastAsia="Palatino Linotype" w:hAnsi="Palatino Linotype"/>
          <w:rtl w:val="0"/>
        </w:rPr>
        <w:t xml:space="preserve">obligación que tiene todo ente público de expresar los preceptos jurídicos aplicables al asunto motivo del acto y las razones o argumentos de su actuar.</w:t>
      </w:r>
    </w:p>
    <w:p w:rsidR="00000000" w:rsidDel="00000000" w:rsidP="00000000" w:rsidRDefault="00000000" w:rsidRPr="00000000" w14:paraId="0000009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el máximo tribunal del país ha establecido jurisprudencia respecto a qué debe entenderse por fundamentación y motivación, en los siguientes términos:</w:t>
      </w:r>
    </w:p>
    <w:p w:rsidR="00000000" w:rsidDel="00000000" w:rsidP="00000000" w:rsidRDefault="00000000" w:rsidRPr="00000000" w14:paraId="00000098">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9">
      <w:pPr>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“FUNDAMENTACION Y MOTIVACION. </w:t>
      </w:r>
      <w:r w:rsidDel="00000000" w:rsidR="00000000" w:rsidRPr="00000000">
        <w:rPr>
          <w:rFonts w:ascii="Palatino Linotype" w:cs="Palatino Linotype" w:eastAsia="Palatino Linotype" w:hAnsi="Palatino Linotype"/>
          <w:i w:val="1"/>
          <w:sz w:val="22"/>
          <w:szCs w:val="22"/>
          <w:rtl w:val="0"/>
        </w:rPr>
        <w:t xml:space="preserve">La </w:t>
      </w:r>
      <w:r w:rsidDel="00000000" w:rsidR="00000000" w:rsidRPr="00000000">
        <w:rPr>
          <w:rFonts w:ascii="Palatino Linotype" w:cs="Palatino Linotype" w:eastAsia="Palatino Linotype" w:hAnsi="Palatino Linotype"/>
          <w:b w:val="1"/>
          <w:i w:val="1"/>
          <w:sz w:val="22"/>
          <w:szCs w:val="22"/>
          <w:u w:val="single"/>
          <w:rtl w:val="0"/>
        </w:rPr>
        <w:t xml:space="preserve">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A">
      <w:pPr>
        <w:ind w:left="851" w:right="85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…”(Sic)</w:t>
      </w:r>
    </w:p>
    <w:p w:rsidR="00000000" w:rsidDel="00000000" w:rsidP="00000000" w:rsidRDefault="00000000" w:rsidRPr="00000000" w14:paraId="0000009B">
      <w:pPr>
        <w:ind w:left="851" w:right="85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un acto de autoridad se surte la debida fundamentación cuando se cita el precepto legal aplicable al caso concreto y la debida motivación cuando se </w:t>
      </w:r>
      <w:r w:rsidDel="00000000" w:rsidR="00000000" w:rsidRPr="00000000">
        <w:rPr>
          <w:rFonts w:ascii="Palatino Linotype" w:cs="Palatino Linotype" w:eastAsia="Palatino Linotype" w:hAnsi="Palatino Linotype"/>
          <w:color w:val="222222"/>
          <w:rtl w:val="0"/>
        </w:rPr>
        <w:t xml:space="preserve">expresan</w:t>
      </w:r>
      <w:r w:rsidDel="00000000" w:rsidR="00000000" w:rsidRPr="00000000">
        <w:rPr>
          <w:rFonts w:ascii="Palatino Linotype" w:cs="Palatino Linotype" w:eastAsia="Palatino Linotype" w:hAnsi="Palatino Linotype"/>
          <w:rtl w:val="0"/>
        </w:rPr>
        <w:t xml:space="preserve"> las razones, motivos o circunstancias que tomó en cuenta la autoridad para adecuar el hecho a los fundamentos de derecho.</w:t>
      </w:r>
    </w:p>
    <w:p w:rsidR="00000000" w:rsidDel="00000000" w:rsidP="00000000" w:rsidRDefault="00000000" w:rsidRPr="00000000" w14:paraId="0000009D">
      <w:pPr>
        <w:spacing w:line="360" w:lineRule="auto"/>
        <w:ind w:right="-51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Más aún, a través de diversa jurisprudencia dictada por el </w:t>
      </w:r>
      <w:r w:rsidDel="00000000" w:rsidR="00000000" w:rsidRPr="00000000">
        <w:rPr>
          <w:rFonts w:ascii="Palatino Linotype" w:cs="Palatino Linotype" w:eastAsia="Palatino Linotype" w:hAnsi="Palatino Linotype"/>
          <w:color w:val="222222"/>
          <w:rtl w:val="0"/>
        </w:rPr>
        <w:t xml:space="preserve">Poder</w:t>
      </w:r>
      <w:r w:rsidDel="00000000" w:rsidR="00000000" w:rsidRPr="00000000">
        <w:rPr>
          <w:rFonts w:ascii="Palatino Linotype" w:cs="Palatino Linotype" w:eastAsia="Palatino Linotype" w:hAnsi="Palatino Linotype"/>
          <w:rtl w:val="0"/>
        </w:rPr>
        <w:t xml:space="preserve"> Judicial de la Federación se sostiene que la finalidad de la fundamentación o motivación es la de explicar, justificar, posibilitar la defensa y comunicar la decisión de la autoridad:</w:t>
      </w:r>
    </w:p>
    <w:p w:rsidR="00000000" w:rsidDel="00000000" w:rsidP="00000000" w:rsidRDefault="00000000" w:rsidRPr="00000000" w14:paraId="0000009F">
      <w:pPr>
        <w:ind w:right="-51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0">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“FUNDAMENTACIÓN Y MOTIVACIÓN. EL ASPECTO FORMAL DE LA GARANTÍA Y SU FINALIDAD SE TRADUCEN EN EXPLICAR, JUSTIFICAR, POSIBILITAR LA DEFENSA Y COMUNICAR LA DECISIÓN</w:t>
      </w:r>
      <w:r w:rsidDel="00000000" w:rsidR="00000000" w:rsidRPr="00000000">
        <w:rPr>
          <w:rFonts w:ascii="Palatino Linotype" w:cs="Palatino Linotype" w:eastAsia="Palatino Linotype" w:hAnsi="Palatino Linotype"/>
          <w:i w:val="1"/>
          <w:sz w:val="22"/>
          <w:szCs w:val="22"/>
          <w:rtl w:val="0"/>
        </w:rPr>
        <w:t xml:space="preserve">. El contenido formal de la garantía de legalidad prevista en el artículo 16 constitucional relativa a la fundamentación</w:t>
      </w:r>
      <w:r w:rsidDel="00000000" w:rsidR="00000000" w:rsidRPr="00000000">
        <w:rPr>
          <w:rFonts w:ascii="Palatino Linotype" w:cs="Palatino Linotype" w:eastAsia="Palatino Linotype" w:hAnsi="Palatino Linotype"/>
          <w:b w:val="1"/>
          <w:i w:val="1"/>
          <w:sz w:val="22"/>
          <w:szCs w:val="22"/>
          <w:rtl w:val="0"/>
        </w:rPr>
        <w:t xml:space="preserve">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Del="00000000" w:rsidR="00000000" w:rsidRPr="00000000">
        <w:rPr>
          <w:rFonts w:ascii="Palatino Linotype" w:cs="Palatino Linotype" w:eastAsia="Palatino Linotype" w:hAnsi="Palatino Linotype"/>
          <w:i w:val="1"/>
          <w:sz w:val="22"/>
          <w:szCs w:val="22"/>
          <w:rtl w:val="0"/>
        </w:rPr>
        <w:t xml:space="preserve">. Por tanto, </w:t>
      </w:r>
      <w:r w:rsidDel="00000000" w:rsidR="00000000" w:rsidRPr="00000000">
        <w:rPr>
          <w:rFonts w:ascii="Palatino Linotype" w:cs="Palatino Linotype" w:eastAsia="Palatino Linotype" w:hAnsi="Palatino Linotype"/>
          <w:b w:val="1"/>
          <w:i w:val="1"/>
          <w:sz w:val="22"/>
          <w:szCs w:val="22"/>
          <w:u w:val="single"/>
          <w:rtl w:val="0"/>
        </w:rPr>
        <w:t xml:space="preserve">no basta que el acto de autoridad apenas observe una motivación pro forma pero de una manera incongruente, insuficiente o imprecisa</w:t>
      </w:r>
      <w:r w:rsidDel="00000000" w:rsidR="00000000" w:rsidRPr="00000000">
        <w:rPr>
          <w:rFonts w:ascii="Palatino Linotype" w:cs="Palatino Linotype" w:eastAsia="Palatino Linotype" w:hAnsi="Palatino Linotype"/>
          <w:i w:val="1"/>
          <w:sz w:val="22"/>
          <w:szCs w:val="22"/>
          <w:rtl w:val="0"/>
        </w:rPr>
        <w:t xml:space="preserve">, que impida la finalidad del conocimiento, comprobación y defensa pertinente</w:t>
      </w:r>
      <w:r w:rsidDel="00000000" w:rsidR="00000000" w:rsidRPr="00000000">
        <w:rPr>
          <w:rFonts w:ascii="Palatino Linotype" w:cs="Palatino Linotype" w:eastAsia="Palatino Linotype" w:hAnsi="Palatino Linotype"/>
          <w:b w:val="1"/>
          <w:i w:val="1"/>
          <w:sz w:val="22"/>
          <w:szCs w:val="22"/>
          <w:u w:val="single"/>
          <w:rtl w:val="0"/>
        </w:rPr>
        <w:t xml:space="preserv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A1">
      <w:pPr>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2">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A3">
      <w:pPr>
        <w:ind w:right="-51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la fundamentación y motivación implica que en el acto de autoridad, además de contener los supuestos jurídicos aplicables debe explicar claramente por qué a través de la utilización de la norma se emitió el acto. De este modo, la persona que se siente afectada podrá impugnar la decisión, permitiéndole una real y auténtica defensa, circunstancia que en el presente asunto no sucedió.</w:t>
      </w:r>
    </w:p>
    <w:p w:rsidR="00000000" w:rsidDel="00000000" w:rsidP="00000000" w:rsidRDefault="00000000" w:rsidRPr="00000000" w14:paraId="000000A5">
      <w:pPr>
        <w:shd w:fill="ffffff" w:val="clea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ello no se debe perder de vista que la clasificación es el proceso mediante el cual el sujeto obligado determina que la información en su poder actualiza alguno de los supuestos de reserva o confidencialidad, los cuales deberán ser acordes con las bases, principios y disposiciones establecidos en la Ley General de Transparencia, al respecto, conviene referir que la Ley de Transparencia vigente en el Estado de México establece:</w:t>
      </w:r>
    </w:p>
    <w:p w:rsidR="00000000" w:rsidDel="00000000" w:rsidP="00000000" w:rsidRDefault="00000000" w:rsidRPr="00000000" w14:paraId="000000A6">
      <w:pPr>
        <w:shd w:fill="ffffff" w:val="clear"/>
        <w:spacing w:line="360" w:lineRule="auto"/>
        <w:jc w:val="both"/>
        <w:rPr>
          <w:b w:val="1"/>
        </w:rPr>
      </w:pPr>
      <w:r w:rsidDel="00000000" w:rsidR="00000000" w:rsidRPr="00000000">
        <w:rPr>
          <w:rtl w:val="0"/>
        </w:rPr>
      </w:r>
    </w:p>
    <w:p w:rsidR="00000000" w:rsidDel="00000000" w:rsidP="00000000" w:rsidRDefault="00000000" w:rsidRPr="00000000" w14:paraId="000000A7">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131.</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La carga de la prueba para justificar toda negativa de acceso a la información, por actualizarse cualquiera de los supuestos de clasificación</w:t>
      </w:r>
      <w:r w:rsidDel="00000000" w:rsidR="00000000" w:rsidRPr="00000000">
        <w:rPr>
          <w:rFonts w:ascii="Palatino Linotype" w:cs="Palatino Linotype" w:eastAsia="Palatino Linotype" w:hAnsi="Palatino Linotype"/>
          <w:i w:val="1"/>
          <w:sz w:val="22"/>
          <w:szCs w:val="22"/>
          <w:rtl w:val="0"/>
        </w:rPr>
        <w:t xml:space="preserve"> previstos en esta Ley </w:t>
      </w:r>
      <w:r w:rsidDel="00000000" w:rsidR="00000000" w:rsidRPr="00000000">
        <w:rPr>
          <w:rFonts w:ascii="Palatino Linotype" w:cs="Palatino Linotype" w:eastAsia="Palatino Linotype" w:hAnsi="Palatino Linotype"/>
          <w:b w:val="1"/>
          <w:i w:val="1"/>
          <w:sz w:val="22"/>
          <w:szCs w:val="22"/>
          <w:u w:val="single"/>
          <w:rtl w:val="0"/>
        </w:rPr>
        <w:t xml:space="preserve">corresponderá a los sujetos obligados; en tal caso deberá fundar y motivar debidamente la clasificación de la información</w:t>
      </w:r>
      <w:r w:rsidDel="00000000" w:rsidR="00000000" w:rsidRPr="00000000">
        <w:rPr>
          <w:rFonts w:ascii="Palatino Linotype" w:cs="Palatino Linotype" w:eastAsia="Palatino Linotype" w:hAnsi="Palatino Linotype"/>
          <w:i w:val="1"/>
          <w:sz w:val="22"/>
          <w:szCs w:val="22"/>
          <w:rtl w:val="0"/>
        </w:rPr>
        <w:t xml:space="preserve">, de conformidad con lo previsto en la presente Ley.</w:t>
      </w:r>
    </w:p>
    <w:p w:rsidR="00000000" w:rsidDel="00000000" w:rsidP="00000000" w:rsidRDefault="00000000" w:rsidRPr="00000000" w14:paraId="000000A8">
      <w:pPr>
        <w:shd w:fill="ffffff" w:val="clea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A9">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La clasificación de la información se llevará a cabo</w:t>
      </w:r>
      <w:r w:rsidDel="00000000" w:rsidR="00000000" w:rsidRPr="00000000">
        <w:rPr>
          <w:rFonts w:ascii="Palatino Linotype" w:cs="Palatino Linotype" w:eastAsia="Palatino Linotype" w:hAnsi="Palatino Linotype"/>
          <w:i w:val="1"/>
          <w:sz w:val="22"/>
          <w:szCs w:val="22"/>
          <w:rtl w:val="0"/>
        </w:rPr>
        <w:t xml:space="preserve"> en el momento en que:</w:t>
      </w:r>
    </w:p>
    <w:p w:rsidR="00000000" w:rsidDel="00000000" w:rsidP="00000000" w:rsidRDefault="00000000" w:rsidRPr="00000000" w14:paraId="000000AA">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Se reciba una solicitud de acceso a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B">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0AC">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0AD">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E">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Tratándose de información reservada, los titulares de las áreas deberán revisar la clasificación al momento de la recepción de una solicitud, para verificar si subsisten las causas que le dieron origen.</w:t>
      </w:r>
    </w:p>
    <w:p w:rsidR="00000000" w:rsidDel="00000000" w:rsidP="00000000" w:rsidRDefault="00000000" w:rsidRPr="00000000" w14:paraId="000000AF">
      <w:pPr>
        <w:shd w:fill="ffffff" w:val="clea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0">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134.</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sujetos obligados no podrán emitir acuerdos de carácter general</w:t>
      </w:r>
      <w:r w:rsidDel="00000000" w:rsidR="00000000" w:rsidRPr="00000000">
        <w:rPr>
          <w:rFonts w:ascii="Palatino Linotype" w:cs="Palatino Linotype" w:eastAsia="Palatino Linotype" w:hAnsi="Palatino Linotype"/>
          <w:i w:val="1"/>
          <w:sz w:val="22"/>
          <w:szCs w:val="22"/>
          <w:rtl w:val="0"/>
        </w:rPr>
        <w:t xml:space="preserve">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w:t>
      </w:r>
    </w:p>
    <w:p w:rsidR="00000000" w:rsidDel="00000000" w:rsidP="00000000" w:rsidRDefault="00000000" w:rsidRPr="00000000" w14:paraId="000000B1">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En ningún caso se podrán clasificar documentos antes de que se genere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3">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4">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clasificación de información se realizará conforme a un análisis caso por caso, mediante la aplicación de la prueba de daño.</w:t>
      </w:r>
    </w:p>
    <w:p w:rsidR="00000000" w:rsidDel="00000000" w:rsidP="00000000" w:rsidRDefault="00000000" w:rsidRPr="00000000" w14:paraId="000000B5">
      <w:pP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B6">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135.</w:t>
      </w:r>
      <w:r w:rsidDel="00000000" w:rsidR="00000000" w:rsidRPr="00000000">
        <w:rPr>
          <w:rFonts w:ascii="Palatino Linotype" w:cs="Palatino Linotype" w:eastAsia="Palatino Linotype" w:hAnsi="Palatino Linotype"/>
          <w:i w:val="1"/>
          <w:sz w:val="22"/>
          <w:szCs w:val="22"/>
          <w:rtl w:val="0"/>
        </w:rPr>
        <w:t xml:space="preserve"> Los lineamientos generales que se emitan al respecto en materia de clasificación de la información reservada y confidencial y, para la elaboración de versiones públicas, serán de observancia obligatoria para los sujetos obligados.</w:t>
      </w:r>
    </w:p>
    <w:p w:rsidR="00000000" w:rsidDel="00000000" w:rsidP="00000000" w:rsidRDefault="00000000" w:rsidRPr="00000000" w14:paraId="000000B7">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8">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B9">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normatividad se aprecia que l</w:t>
      </w:r>
      <w:r w:rsidDel="00000000" w:rsidR="00000000" w:rsidRPr="00000000">
        <w:rPr>
          <w:rFonts w:ascii="Palatino Linotype" w:cs="Palatino Linotype" w:eastAsia="Palatino Linotype" w:hAnsi="Palatino Linotype"/>
          <w:b w:val="1"/>
          <w:rtl w:val="0"/>
        </w:rPr>
        <w:t xml:space="preserve">a </w:t>
      </w:r>
      <w:r w:rsidDel="00000000" w:rsidR="00000000" w:rsidRPr="00000000">
        <w:rPr>
          <w:rFonts w:ascii="Palatino Linotype" w:cs="Palatino Linotype" w:eastAsia="Palatino Linotype" w:hAnsi="Palatino Linotype"/>
          <w:rtl w:val="0"/>
        </w:rPr>
        <w:t xml:space="preserve">carga de la prueba para justificar toda negativa de acceso a la información, por actualizarse cualquiera de los supuestos de clasificación corresponde a los sujetos obligados; en tal caso deberá fundar y motivar debidamente la clasificación de la información, la cual se llevará a cabo en el momento en que </w:t>
      </w:r>
      <w:r w:rsidDel="00000000" w:rsidR="00000000" w:rsidRPr="00000000">
        <w:rPr>
          <w:rFonts w:ascii="Palatino Linotype" w:cs="Palatino Linotype" w:eastAsia="Palatino Linotype" w:hAnsi="Palatino Linotype"/>
          <w:i w:val="1"/>
          <w:rtl w:val="0"/>
        </w:rPr>
        <w:t xml:space="preserve">se reciba una solicitud de acceso a la información;</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determine mediante resolución de autoridad competente; 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generen versiones públicas para dar cumplimiento a las obligaciones de transparencia,</w:t>
      </w:r>
      <w:r w:rsidDel="00000000" w:rsidR="00000000" w:rsidRPr="00000000">
        <w:rPr>
          <w:rFonts w:ascii="Palatino Linotype" w:cs="Palatino Linotype" w:eastAsia="Palatino Linotype" w:hAnsi="Palatino Linotype"/>
          <w:rtl w:val="0"/>
        </w:rPr>
        <w:t xml:space="preserve"> cabe mencionar que los sujetos obligados no podrán emitir acuerdos de carácter general, en donde no se podrán clasificar documentos antes de que se genere la información, es decir, la clasificación de información se realizará conforme a un análisis caso por caso, formalidades que en el presente asunto no fueron observadas por el Sujeto Obligado.</w:t>
      </w:r>
    </w:p>
    <w:p w:rsidR="00000000" w:rsidDel="00000000" w:rsidP="00000000" w:rsidRDefault="00000000" w:rsidRPr="00000000" w14:paraId="000000B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y con la finalidad de garantizar el pleno ejercicio del derecho de acceso a la información pública del recurrente, se considera pertinente ordenar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proporcionar  los recibos de nómina de la segunda quincena de noviembre de dos mil veintiuno, de los servidores públicos adscritos al área de Planeación, con el objetivo de cumplir con los artículos 12, 160 y 162 de la Ley de Transparencia y Acceso a la Información Pública del Estado de México y Municipios, en versión pública en términos del apartado correspondiente de esta resolución. </w:t>
      </w:r>
    </w:p>
    <w:p w:rsidR="00000000" w:rsidDel="00000000" w:rsidP="00000000" w:rsidRDefault="00000000" w:rsidRPr="00000000" w14:paraId="000000B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no pasa desapercibido que de la revisión de los recibos de nómina entregados, se logra vislumbrar que dejó visible el Código bidimensional o Qr.</w:t>
      </w:r>
    </w:p>
    <w:p w:rsidR="00000000" w:rsidDel="00000000" w:rsidP="00000000" w:rsidRDefault="00000000" w:rsidRPr="00000000" w14:paraId="000000B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principio, resulta necesario señalar que los comprobantes fiscales digitales por Internet, deben de incluir un código bidimensional conforme al formato QR Code (Quick Response Code), el cual contiene el Registro Federal de Contribuyentes del receptor, del emisor, o de ambos; lo anterior, conforme al Anexo 20 de la Segunda Resolución de modificación a la Resolución Miscelánea Fiscal para el 2017, localizada en la página electrónica </w:t>
      </w:r>
      <w:hyperlink r:id="rId18">
        <w:r w:rsidDel="00000000" w:rsidR="00000000" w:rsidRPr="00000000">
          <w:rPr>
            <w:rFonts w:ascii="Palatino Linotype" w:cs="Palatino Linotype" w:eastAsia="Palatino Linotype" w:hAnsi="Palatino Linotype"/>
            <w:color w:val="0000ff"/>
            <w:u w:val="single"/>
            <w:rtl w:val="0"/>
          </w:rPr>
          <w:t xml:space="preserve">http://dof.gob.mx/nota_detalle.php?codigo=5492254&amp;fecha=28/07/2017</w:t>
        </w:r>
      </w:hyperlink>
      <w:r w:rsidDel="00000000" w:rsidR="00000000" w:rsidRPr="00000000">
        <w:rPr>
          <w:rtl w:val="0"/>
        </w:rPr>
      </w:r>
    </w:p>
    <w:p w:rsidR="00000000" w:rsidDel="00000000" w:rsidP="00000000" w:rsidRDefault="00000000" w:rsidRPr="00000000" w14:paraId="000000C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Incluso con la captura de dicho código, a través de la aplicación móvil del Servicio de Administración Tributaria, permite el acceso al Registro Federal de Contribuyentes, como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como de los servidores públicos.</w:t>
      </w:r>
    </w:p>
    <w:p w:rsidR="00000000" w:rsidDel="00000000" w:rsidP="00000000" w:rsidRDefault="00000000" w:rsidRPr="00000000" w14:paraId="000000C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tales circunstancias, se considera que dicho dato actualiza la causal de clasificación prevista en el artículo 143, fracción I de la Ley de la materia, toda vez que da acceso al Registro Federal de Contribuyentes de los servidores públicos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datos que tal como se señaló previamente, son clasificados. Ahora bien, cabe señalar que si bien dicho dato fue dejado público en los documentos entregados en respuesta, por la forma de digitalización, no se logra acceder a la información localizada en este, al estar parcialmente ilegible.</w:t>
      </w:r>
    </w:p>
    <w:p w:rsidR="00000000" w:rsidDel="00000000" w:rsidP="00000000" w:rsidRDefault="00000000" w:rsidRPr="00000000" w14:paraId="000000C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 la revisión a los Códigos Qr que fueron dejados visibles por el SUJETO OBLIGADO de la captura a los mismos,  derivado de la forma en que fueron escaneados se advierte que no dirige al portal donde se encuentran los datos personales del trabajador. </w:t>
      </w:r>
    </w:p>
    <w:p w:rsidR="00000000" w:rsidDel="00000000" w:rsidP="00000000" w:rsidRDefault="00000000" w:rsidRPr="00000000" w14:paraId="000000C6">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C7">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Versión Pública. </w:t>
      </w:r>
      <w:r w:rsidDel="00000000" w:rsidR="00000000" w:rsidRPr="00000000">
        <w:rPr>
          <w:rFonts w:ascii="Palatino Linotype" w:cs="Palatino Linotype" w:eastAsia="Palatino Linotype" w:hAnsi="Palatino Linotype"/>
          <w:rtl w:val="0"/>
        </w:rPr>
        <w:t xml:space="preserve">Bajo este esquema a continuación se analizan los datos personales susceptibles de clasificación que podrían estar contenidos en los Recibos de nómina de  los trabajadores señalados en la solicitud de información, tales como el </w:t>
      </w:r>
      <w:r w:rsidDel="00000000" w:rsidR="00000000" w:rsidRPr="00000000">
        <w:rPr>
          <w:rFonts w:ascii="Palatino Linotype" w:cs="Palatino Linotype" w:eastAsia="Palatino Linotype" w:hAnsi="Palatino Linotype"/>
          <w:b w:val="1"/>
          <w:rtl w:val="0"/>
        </w:rPr>
        <w:t xml:space="preserve">Registro Federal de Contribuyentes</w:t>
      </w:r>
      <w:r w:rsidDel="00000000" w:rsidR="00000000" w:rsidRPr="00000000">
        <w:rPr>
          <w:rFonts w:ascii="Palatino Linotype" w:cs="Palatino Linotype" w:eastAsia="Palatino Linotype" w:hAnsi="Palatino Linotype"/>
          <w:rtl w:val="0"/>
        </w:rPr>
        <w:t xml:space="preserve"> (RFC), la </w:t>
      </w:r>
      <w:r w:rsidDel="00000000" w:rsidR="00000000" w:rsidRPr="00000000">
        <w:rPr>
          <w:rFonts w:ascii="Palatino Linotype" w:cs="Palatino Linotype" w:eastAsia="Palatino Linotype" w:hAnsi="Palatino Linotype"/>
          <w:b w:val="1"/>
          <w:rtl w:val="0"/>
        </w:rPr>
        <w:t xml:space="preserve">Clave Única de Registro de Población</w:t>
      </w:r>
      <w:r w:rsidDel="00000000" w:rsidR="00000000" w:rsidRPr="00000000">
        <w:rPr>
          <w:rFonts w:ascii="Palatino Linotype" w:cs="Palatino Linotype" w:eastAsia="Palatino Linotype" w:hAnsi="Palatino Linotype"/>
          <w:rtl w:val="0"/>
        </w:rPr>
        <w:t xml:space="preserve"> (CURP), la </w:t>
      </w:r>
      <w:r w:rsidDel="00000000" w:rsidR="00000000" w:rsidRPr="00000000">
        <w:rPr>
          <w:rFonts w:ascii="Palatino Linotype" w:cs="Palatino Linotype" w:eastAsia="Palatino Linotype" w:hAnsi="Palatino Linotype"/>
          <w:b w:val="1"/>
          <w:rtl w:val="0"/>
        </w:rPr>
        <w:t xml:space="preserve">Clave de cualquier tipo de seguridad social</w:t>
      </w:r>
      <w:r w:rsidDel="00000000" w:rsidR="00000000" w:rsidRPr="00000000">
        <w:rPr>
          <w:rFonts w:ascii="Palatino Linotype" w:cs="Palatino Linotype" w:eastAsia="Palatino Linotype" w:hAnsi="Palatino Linotype"/>
          <w:rtl w:val="0"/>
        </w:rPr>
        <w:t xml:space="preserve"> (ISSEMYM, u otros), así como, los </w:t>
      </w:r>
      <w:r w:rsidDel="00000000" w:rsidR="00000000" w:rsidRPr="00000000">
        <w:rPr>
          <w:rFonts w:ascii="Palatino Linotype" w:cs="Palatino Linotype" w:eastAsia="Palatino Linotype" w:hAnsi="Palatino Linotype"/>
          <w:b w:val="1"/>
          <w:rtl w:val="0"/>
        </w:rPr>
        <w:t xml:space="preserve">préstamos o descuentos </w:t>
      </w:r>
      <w:r w:rsidDel="00000000" w:rsidR="00000000" w:rsidRPr="00000000">
        <w:rPr>
          <w:rFonts w:ascii="Palatino Linotype" w:cs="Palatino Linotype" w:eastAsia="Palatino Linotype" w:hAnsi="Palatino Linotype"/>
          <w:rtl w:val="0"/>
        </w:rPr>
        <w:t xml:space="preserve">que se le hagan al servidor público y la clave interbancaria de depósito.</w:t>
      </w:r>
      <w:r w:rsidDel="00000000" w:rsidR="00000000" w:rsidRPr="00000000">
        <w:rPr>
          <w:rtl w:val="0"/>
        </w:rPr>
      </w:r>
    </w:p>
    <w:p w:rsidR="00000000" w:rsidDel="00000000" w:rsidP="00000000" w:rsidRDefault="00000000" w:rsidRPr="00000000" w14:paraId="000000C8">
      <w:pPr>
        <w:spacing w:line="360" w:lineRule="auto"/>
        <w:ind w:right="-93"/>
        <w:jc w:val="both"/>
        <w:rPr>
          <w:rFonts w:ascii="Palatino Linotype" w:cs="Palatino Linotype" w:eastAsia="Palatino Linotype" w:hAnsi="Palatino Linotype"/>
          <w:color w:val="ff0000"/>
          <w:sz w:val="14"/>
          <w:szCs w:val="14"/>
        </w:rPr>
      </w:pPr>
      <w:r w:rsidDel="00000000" w:rsidR="00000000" w:rsidRPr="00000000">
        <w:rPr>
          <w:rtl w:val="0"/>
        </w:rPr>
      </w:r>
    </w:p>
    <w:p w:rsidR="00000000" w:rsidDel="00000000" w:rsidP="00000000" w:rsidRDefault="00000000" w:rsidRPr="00000000" w14:paraId="000000C9">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Respecto al Registro Federal de Contribuyentes</w:t>
      </w:r>
      <w:r w:rsidDel="00000000" w:rsidR="00000000" w:rsidRPr="00000000">
        <w:rPr>
          <w:rFonts w:ascii="Palatino Linotype" w:cs="Palatino Linotype" w:eastAsia="Palatino Linotype" w:hAnsi="Palatino Linotype"/>
          <w:rtl w:val="0"/>
        </w:rPr>
        <w:t xml:space="preserve"> (RFC)  tenemos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000000" w:rsidDel="00000000" w:rsidP="00000000" w:rsidRDefault="00000000" w:rsidRPr="00000000" w14:paraId="000000CA">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00000000" w:rsidDel="00000000" w:rsidP="00000000" w:rsidRDefault="00000000" w:rsidRPr="00000000" w14:paraId="000000CB">
      <w:pPr>
        <w:spacing w:line="360" w:lineRule="auto"/>
        <w:ind w:right="-93"/>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0CC">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000000" w:rsidDel="00000000" w:rsidP="00000000" w:rsidRDefault="00000000" w:rsidRPr="00000000" w14:paraId="000000CD">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E">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los involucrados, en el pago de estos, en el presente caso, del pago del Impuesto Sobre el Producto del Trabajo. </w:t>
      </w:r>
    </w:p>
    <w:p w:rsidR="00000000" w:rsidDel="00000000" w:rsidP="00000000" w:rsidRDefault="00000000" w:rsidRPr="00000000" w14:paraId="000000CF">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0">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resulta congruente con el Criterio 19/17 emitido por el Instituto Nacional de Transparencia, Acceso a la Información y Protección de Datos Personales, en el cual se señala lo siguiente:</w:t>
      </w:r>
    </w:p>
    <w:p w:rsidR="00000000" w:rsidDel="00000000" w:rsidP="00000000" w:rsidRDefault="00000000" w:rsidRPr="00000000" w14:paraId="000000D1">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2">
      <w:pPr>
        <w:spacing w:line="360" w:lineRule="auto"/>
        <w:ind w:left="567" w:right="53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i w:val="1"/>
          <w:rtl w:val="0"/>
        </w:rPr>
        <w:t xml:space="preserve">Registro Federal de Contribuyentes (RFC) de personas físicas</w:t>
      </w:r>
      <w:r w:rsidDel="00000000" w:rsidR="00000000" w:rsidRPr="00000000">
        <w:rPr>
          <w:rFonts w:ascii="Palatino Linotype" w:cs="Palatino Linotype" w:eastAsia="Palatino Linotype" w:hAnsi="Palatino Linotype"/>
          <w:i w:val="1"/>
          <w:rtl w:val="0"/>
        </w:rPr>
        <w:t xml:space="preserve">. El RFC es una clave de carácter fiscal, única e irrepetible, que permite identificar al titular, su edad y fecha de nacimiento, por lo que es un dato personal de carácter confidencial.”</w:t>
      </w:r>
      <w:r w:rsidDel="00000000" w:rsidR="00000000" w:rsidRPr="00000000">
        <w:rPr>
          <w:rtl w:val="0"/>
        </w:rPr>
      </w:r>
    </w:p>
    <w:p w:rsidR="00000000" w:rsidDel="00000000" w:rsidP="00000000" w:rsidRDefault="00000000" w:rsidRPr="00000000" w14:paraId="000000D3">
      <w:pPr>
        <w:spacing w:line="360" w:lineRule="auto"/>
        <w:ind w:right="-93"/>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0D4">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000000" w:rsidDel="00000000" w:rsidP="00000000" w:rsidRDefault="00000000" w:rsidRPr="00000000" w14:paraId="000000D5">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6">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en cuanto a la </w:t>
      </w:r>
      <w:r w:rsidDel="00000000" w:rsidR="00000000" w:rsidRPr="00000000">
        <w:rPr>
          <w:rFonts w:ascii="Palatino Linotype" w:cs="Palatino Linotype" w:eastAsia="Palatino Linotype" w:hAnsi="Palatino Linotype"/>
          <w:b w:val="1"/>
          <w:rtl w:val="0"/>
        </w:rPr>
        <w:t xml:space="preserve">Clave </w:t>
      </w:r>
      <w:r w:rsidDel="00000000" w:rsidR="00000000" w:rsidRPr="00000000">
        <w:rPr>
          <w:rFonts w:ascii="Palatino Linotype" w:cs="Palatino Linotype" w:eastAsia="Palatino Linotype" w:hAnsi="Palatino Linotype"/>
          <w:b w:val="1"/>
          <w:smallCaps w:val="1"/>
          <w:rtl w:val="0"/>
        </w:rPr>
        <w:t xml:space="preserve">Ú</w:t>
      </w:r>
      <w:r w:rsidDel="00000000" w:rsidR="00000000" w:rsidRPr="00000000">
        <w:rPr>
          <w:rFonts w:ascii="Palatino Linotype" w:cs="Palatino Linotype" w:eastAsia="Palatino Linotype" w:hAnsi="Palatino Linotype"/>
          <w:b w:val="1"/>
          <w:rtl w:val="0"/>
        </w:rPr>
        <w:t xml:space="preserve">nica de Registro de Población, </w:t>
      </w:r>
      <w:r w:rsidDel="00000000" w:rsidR="00000000" w:rsidRPr="00000000">
        <w:rPr>
          <w:rFonts w:ascii="Palatino Linotype" w:cs="Palatino Linotype" w:eastAsia="Palatino Linotype" w:hAnsi="Palatino Linotype"/>
          <w:rtl w:val="0"/>
        </w:rPr>
        <w:t xml:space="preserve">el artículo 36 de la Constitución Política de los Estados Unidos Mexicanos, dispone la obligación de los ciudadanos de inscribirse en el Registro Nacional de Ciudadanos. </w:t>
      </w:r>
    </w:p>
    <w:p w:rsidR="00000000" w:rsidDel="00000000" w:rsidP="00000000" w:rsidRDefault="00000000" w:rsidRPr="00000000" w14:paraId="000000D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artículo 85 de la Ley General de Población, prevé que corresponde a la  Secretaría de Gobernación el registro y acreditación de la identidad de todas las personas residentes en el país y de los nacionales que residan en el extranjero.</w:t>
      </w:r>
    </w:p>
    <w:p w:rsidR="00000000" w:rsidDel="00000000" w:rsidP="00000000" w:rsidRDefault="00000000" w:rsidRPr="00000000" w14:paraId="000000D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000000" w:rsidDel="00000000" w:rsidP="00000000" w:rsidRDefault="00000000" w:rsidRPr="00000000" w14:paraId="000000D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lo precisado por la propia Secretaría de Gobernación en la dirección </w:t>
      </w:r>
      <w:hyperlink r:id="rId19">
        <w:r w:rsidDel="00000000" w:rsidR="00000000" w:rsidRPr="00000000">
          <w:rPr>
            <w:rFonts w:ascii="Palatino Linotype" w:cs="Palatino Linotype" w:eastAsia="Palatino Linotype" w:hAnsi="Palatino Linotype"/>
            <w:color w:val="000000"/>
            <w:u w:val="single"/>
            <w:rtl w:val="0"/>
          </w:rPr>
          <w:t xml:space="preserve">https://consultas.curp.gob.mx/CurpSP/html/informacionecurpPS.html</w:t>
        </w:r>
      </w:hyperlink>
      <w:r w:rsidDel="00000000" w:rsidR="00000000" w:rsidRPr="00000000">
        <w:rPr>
          <w:rFonts w:ascii="Palatino Linotype" w:cs="Palatino Linotype" w:eastAsia="Palatino Linotype" w:hAnsi="Palatino Linotype"/>
          <w:rtl w:val="0"/>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Del="00000000" w:rsidR="00000000" w:rsidRPr="00000000">
        <w:rPr>
          <w:rFonts w:ascii="Palatino Linotype" w:cs="Palatino Linotype" w:eastAsia="Palatino Linotype" w:hAnsi="Palatino Linotype"/>
          <w:b w:val="1"/>
          <w:rtl w:val="0"/>
        </w:rPr>
        <w:t xml:space="preserve">se generan a partir de los datos contenidos en el documento probatorio de la identidad del interesado </w:t>
      </w:r>
      <w:r w:rsidDel="00000000" w:rsidR="00000000" w:rsidRPr="00000000">
        <w:rPr>
          <w:rFonts w:ascii="Palatino Linotype" w:cs="Palatino Linotype" w:eastAsia="Palatino Linotype" w:hAnsi="Palatino Linotype"/>
          <w:rtl w:val="0"/>
        </w:rPr>
        <w:t xml:space="preserve">(acta de nacimiento, carta de naturalización o documento migratorio) de la siguiente forma:</w:t>
      </w:r>
    </w:p>
    <w:p w:rsidR="00000000" w:rsidDel="00000000" w:rsidP="00000000" w:rsidRDefault="00000000" w:rsidRPr="00000000" w14:paraId="000000D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 El primero y segundo apellidos, así como al nombre de pila.</w:t>
      </w:r>
    </w:p>
    <w:p w:rsidR="00000000" w:rsidDel="00000000" w:rsidP="00000000" w:rsidRDefault="00000000" w:rsidRPr="00000000" w14:paraId="000000D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 La fecha de nacimiento.</w:t>
      </w:r>
    </w:p>
    <w:p w:rsidR="00000000" w:rsidDel="00000000" w:rsidP="00000000" w:rsidRDefault="00000000" w:rsidRPr="00000000" w14:paraId="000000E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 El sexo.</w:t>
      </w:r>
    </w:p>
    <w:p w:rsidR="00000000" w:rsidDel="00000000" w:rsidP="00000000" w:rsidRDefault="00000000" w:rsidRPr="00000000" w14:paraId="000000E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 La entidad federativa de nacimiento.</w:t>
      </w:r>
    </w:p>
    <w:p w:rsidR="00000000" w:rsidDel="00000000" w:rsidP="00000000" w:rsidRDefault="00000000" w:rsidRPr="00000000" w14:paraId="000000E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dos últimos elementos de la CURP evitan la duplicidad de la Clave y garantizan su correcta integración.</w:t>
      </w:r>
    </w:p>
    <w:p w:rsidR="00000000" w:rsidDel="00000000" w:rsidP="00000000" w:rsidRDefault="00000000" w:rsidRPr="00000000" w14:paraId="000000E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000000" w:rsidDel="00000000" w:rsidP="00000000" w:rsidRDefault="00000000" w:rsidRPr="00000000" w14:paraId="000000E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Resulta aplicable en la especie, como argumento orientador, el Criterio 3/10, emitido por el INAI.</w:t>
      </w:r>
    </w:p>
    <w:p w:rsidR="00000000" w:rsidDel="00000000" w:rsidP="00000000" w:rsidRDefault="00000000" w:rsidRPr="00000000" w14:paraId="000000E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9">
      <w:pPr>
        <w:spacing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Clave Única de Registro de Población (CURP) es un dato personal confidencial. </w:t>
      </w:r>
      <w:r w:rsidDel="00000000" w:rsidR="00000000" w:rsidRPr="00000000">
        <w:rPr>
          <w:rFonts w:ascii="Palatino Linotype" w:cs="Palatino Linotype" w:eastAsia="Palatino Linotype" w:hAnsi="Palatino Linotype"/>
          <w:i w:val="1"/>
          <w:rtl w:val="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000000" w:rsidDel="00000000" w:rsidP="00000000" w:rsidRDefault="00000000" w:rsidRPr="00000000" w14:paraId="000000E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acuerdo con lo anterior, se la clave CURP, es un dato personal confidencial, en términos del artículo 143, fracción I de la Ley de Transparencia y Acceso a la Información Pública del Estado de México y Municipios.</w:t>
      </w:r>
    </w:p>
    <w:p w:rsidR="00000000" w:rsidDel="00000000" w:rsidP="00000000" w:rsidRDefault="00000000" w:rsidRPr="00000000" w14:paraId="000000EB">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la misma lógica, tenemos que </w:t>
      </w:r>
      <w:r w:rsidDel="00000000" w:rsidR="00000000" w:rsidRPr="00000000">
        <w:rPr>
          <w:rFonts w:ascii="Palatino Linotype" w:cs="Palatino Linotype" w:eastAsia="Palatino Linotype" w:hAnsi="Palatino Linotype"/>
          <w:b w:val="1"/>
          <w:rtl w:val="0"/>
        </w:rPr>
        <w:t xml:space="preserve">Clave de seguridad social ISSEMYM, </w:t>
      </w:r>
      <w:r w:rsidDel="00000000" w:rsidR="00000000" w:rsidRPr="00000000">
        <w:rPr>
          <w:rFonts w:ascii="Palatino Linotype" w:cs="Palatino Linotype" w:eastAsia="Palatino Linotype" w:hAnsi="Palatino Linotype"/>
          <w:rtl w:val="0"/>
        </w:rPr>
        <w:t xml:space="preserve">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r w:rsidDel="00000000" w:rsidR="00000000" w:rsidRPr="00000000">
        <w:rPr>
          <w:rtl w:val="0"/>
        </w:rPr>
      </w:r>
    </w:p>
    <w:p w:rsidR="00000000" w:rsidDel="00000000" w:rsidP="00000000" w:rsidRDefault="00000000" w:rsidRPr="00000000" w14:paraId="000000EC">
      <w:pPr>
        <w:spacing w:line="360" w:lineRule="auto"/>
        <w:jc w:val="both"/>
        <w:rPr>
          <w:rFonts w:ascii="Palatino Linotype" w:cs="Palatino Linotype" w:eastAsia="Palatino Linotype" w:hAnsi="Palatino Linotype"/>
          <w:u w:val="single"/>
        </w:rPr>
      </w:pPr>
      <w:r w:rsidDel="00000000" w:rsidR="00000000" w:rsidRPr="00000000">
        <w:rPr>
          <w:rFonts w:ascii="Palatino Linotype" w:cs="Palatino Linotype" w:eastAsia="Palatino Linotype" w:hAnsi="Palatino Linotype"/>
          <w:rtl w:val="0"/>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Del="00000000" w:rsidR="00000000" w:rsidRPr="00000000">
        <w:rPr>
          <w:rFonts w:ascii="Palatino Linotype" w:cs="Palatino Linotype" w:eastAsia="Palatino Linotype" w:hAnsi="Palatino Linotype"/>
          <w:u w:val="single"/>
          <w:rtl w:val="0"/>
        </w:rPr>
        <w:t xml:space="preserve">se le asigna una clave para hacer identificable al trabajador con el objetivo de poder proporcionar los servicios que brinda el ISSEMYM.</w:t>
      </w:r>
    </w:p>
    <w:p w:rsidR="00000000" w:rsidDel="00000000" w:rsidP="00000000" w:rsidRDefault="00000000" w:rsidRPr="00000000" w14:paraId="000000E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000000" w:rsidDel="00000000" w:rsidP="00000000" w:rsidRDefault="00000000" w:rsidRPr="00000000" w14:paraId="000000EF">
      <w:pPr>
        <w:spacing w:line="360" w:lineRule="auto"/>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0F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000000" w:rsidDel="00000000" w:rsidP="00000000" w:rsidRDefault="00000000" w:rsidRPr="00000000" w14:paraId="000000F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2">
      <w:pPr>
        <w:spacing w:line="360" w:lineRule="auto"/>
        <w:ind w:right="-93"/>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Por otra parte, existen deducciones (</w:t>
      </w:r>
      <w:r w:rsidDel="00000000" w:rsidR="00000000" w:rsidRPr="00000000">
        <w:rPr>
          <w:rFonts w:ascii="Palatino Linotype" w:cs="Palatino Linotype" w:eastAsia="Palatino Linotype" w:hAnsi="Palatino Linotype"/>
          <w:b w:val="1"/>
          <w:rtl w:val="0"/>
        </w:rPr>
        <w:t xml:space="preserve">Préstamos o descuentos que se le hagan al servidor público</w:t>
      </w:r>
      <w:r w:rsidDel="00000000" w:rsidR="00000000" w:rsidRPr="00000000">
        <w:rPr>
          <w:rFonts w:ascii="Palatino Linotype" w:cs="Palatino Linotype" w:eastAsia="Palatino Linotype" w:hAnsi="Palatino Linotype"/>
          <w:rtl w:val="0"/>
        </w:rPr>
        <w:t xml:space="preserve">) que se generan con motivo de una decisión libre y voluntaria de los servidores públicos, como son: contratar seguros de vida, de gastos médicos mayores (potenciación) o de automóvil.</w:t>
      </w:r>
      <w:r w:rsidDel="00000000" w:rsidR="00000000" w:rsidRPr="00000000">
        <w:rPr>
          <w:rtl w:val="0"/>
        </w:rPr>
      </w:r>
    </w:p>
    <w:p w:rsidR="00000000" w:rsidDel="00000000" w:rsidP="00000000" w:rsidRDefault="00000000" w:rsidRPr="00000000" w14:paraId="000000F3">
      <w:pPr>
        <w:spacing w:line="360" w:lineRule="auto"/>
        <w:ind w:right="-93"/>
        <w:jc w:val="both"/>
        <w:rPr>
          <w:rFonts w:ascii="Palatino Linotype" w:cs="Palatino Linotype" w:eastAsia="Palatino Linotype" w:hAnsi="Palatino Linotype"/>
          <w:b w:val="1"/>
          <w:color w:val="ff0000"/>
          <w:sz w:val="16"/>
          <w:szCs w:val="16"/>
        </w:rPr>
      </w:pPr>
      <w:r w:rsidDel="00000000" w:rsidR="00000000" w:rsidRPr="00000000">
        <w:rPr>
          <w:rtl w:val="0"/>
        </w:rPr>
      </w:r>
    </w:p>
    <w:p w:rsidR="00000000" w:rsidDel="00000000" w:rsidP="00000000" w:rsidRDefault="00000000" w:rsidRPr="00000000" w14:paraId="000000F4">
      <w:pPr>
        <w:spacing w:line="360" w:lineRule="auto"/>
        <w:ind w:right="-93"/>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color w:val="ff0000"/>
          <w:rtl w:val="0"/>
        </w:rPr>
        <w:t xml:space="preserve"> </w:t>
      </w:r>
      <w:r w:rsidDel="00000000" w:rsidR="00000000" w:rsidRPr="00000000">
        <w:rPr>
          <w:rFonts w:ascii="Palatino Linotype" w:cs="Palatino Linotype" w:eastAsia="Palatino Linotype" w:hAnsi="Palatino Linotype"/>
          <w:rtl w:val="0"/>
        </w:rPr>
        <w:t xml:space="preserve">Asimismo, pueden existir deducciones que se generan con motivo de una sentencia judicial, como es la pensión alimenticia que periódicamente se retira de la cuenta de un empleado, a efecto de que sea entregado a un tercero</w:t>
      </w:r>
      <w:r w:rsidDel="00000000" w:rsidR="00000000" w:rsidRPr="00000000">
        <w:rPr>
          <w:rFonts w:ascii="Palatino Linotype" w:cs="Palatino Linotype" w:eastAsia="Palatino Linotype" w:hAnsi="Palatino Linotype"/>
          <w:color w:val="ff0000"/>
          <w:rtl w:val="0"/>
        </w:rPr>
        <w:t xml:space="preserve">.  </w:t>
      </w:r>
    </w:p>
    <w:p w:rsidR="00000000" w:rsidDel="00000000" w:rsidP="00000000" w:rsidRDefault="00000000" w:rsidRPr="00000000" w14:paraId="000000F5">
      <w:pPr>
        <w:spacing w:line="360" w:lineRule="auto"/>
        <w:ind w:right="-93"/>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0F6">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público,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rsidR="00000000" w:rsidDel="00000000" w:rsidP="00000000" w:rsidRDefault="00000000" w:rsidRPr="00000000" w14:paraId="000000F7">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8">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resulta procedente clasificar dicho dato en términos del artículo 143, fracción I de la Ley de Transparencia y Acceso a la Información Pública del Estado de México y Municipios.</w:t>
      </w:r>
    </w:p>
    <w:p w:rsidR="00000000" w:rsidDel="00000000" w:rsidP="00000000" w:rsidRDefault="00000000" w:rsidRPr="00000000" w14:paraId="000000F9">
      <w:pPr>
        <w:spacing w:line="360" w:lineRule="auto"/>
        <w:ind w:right="-93"/>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También,</w:t>
      </w:r>
      <w:r w:rsidDel="00000000" w:rsidR="00000000" w:rsidRPr="00000000">
        <w:rPr>
          <w:rFonts w:ascii="Palatino Linotype" w:cs="Palatino Linotype" w:eastAsia="Palatino Linotype" w:hAnsi="Palatino Linotype"/>
          <w:b w:val="1"/>
          <w:rtl w:val="0"/>
        </w:rPr>
        <w:t xml:space="preserve"> el número de cuenta bancario</w:t>
      </w:r>
      <w:r w:rsidDel="00000000" w:rsidR="00000000" w:rsidRPr="00000000">
        <w:rPr>
          <w:rFonts w:ascii="Palatino Linotype" w:cs="Palatino Linotype" w:eastAsia="Palatino Linotype" w:hAnsi="Palatino Linotype"/>
          <w:rtl w:val="0"/>
        </w:rPr>
        <w:t xml:space="preserve">, en el Criterio 10/17 emitido por el Pleno del Instituto Nacional de Transparencia, Acceso a la Información y Protección de Datos Personales  se establece lo siguiente:</w:t>
      </w:r>
      <w:r w:rsidDel="00000000" w:rsidR="00000000" w:rsidRPr="00000000">
        <w:rPr>
          <w:rtl w:val="0"/>
        </w:rPr>
      </w:r>
    </w:p>
    <w:p w:rsidR="00000000" w:rsidDel="00000000" w:rsidP="00000000" w:rsidRDefault="00000000" w:rsidRPr="00000000" w14:paraId="000000FA">
      <w:pPr>
        <w:shd w:fill="ffffff" w:val="clear"/>
        <w:spacing w:line="360" w:lineRule="auto"/>
        <w:ind w:left="567" w:righ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B">
      <w:pPr>
        <w:shd w:fill="ffffff" w:val="clear"/>
        <w:spacing w:line="276" w:lineRule="auto"/>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Cuentas bancarias y/o CLABE interbancaria de personas físicas y morales privadas.</w:t>
      </w:r>
      <w:r w:rsidDel="00000000" w:rsidR="00000000" w:rsidRPr="00000000">
        <w:rPr>
          <w:rFonts w:ascii="Palatino Linotype" w:cs="Palatino Linotype" w:eastAsia="Palatino Linotype" w:hAnsi="Palatino Linotype"/>
          <w:i w:val="1"/>
          <w:sz w:val="22"/>
          <w:szCs w:val="22"/>
          <w:rtl w:val="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FC">
      <w:pPr>
        <w:spacing w:line="360" w:lineRule="auto"/>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0FD">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000000" w:rsidDel="00000000" w:rsidP="00000000" w:rsidRDefault="00000000" w:rsidRPr="00000000" w14:paraId="000000FE">
      <w:pPr>
        <w:spacing w:line="360" w:lineRule="auto"/>
        <w:ind w:right="-93"/>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0FF">
      <w:pPr>
        <w:spacing w:line="360" w:lineRule="auto"/>
        <w:ind w:right="-93"/>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Código de barras bidimensional (QR)</w:t>
      </w:r>
      <w:r w:rsidDel="00000000" w:rsidR="00000000" w:rsidRPr="00000000">
        <w:rPr>
          <w:rFonts w:ascii="Palatino Linotype" w:cs="Palatino Linotype" w:eastAsia="Palatino Linotype" w:hAnsi="Palatino Linotype"/>
          <w:rtl w:val="0"/>
        </w:rPr>
        <w:t xml:space="preserve">, resulta necesario señalar que los comprobantes fiscales digitales por Internet, deben de incluir un código bidimensional conforme al formato </w:t>
      </w:r>
      <w:r w:rsidDel="00000000" w:rsidR="00000000" w:rsidRPr="00000000">
        <w:rPr>
          <w:rFonts w:ascii="Palatino Linotype" w:cs="Palatino Linotype" w:eastAsia="Palatino Linotype" w:hAnsi="Palatino Linotype"/>
          <w:i w:val="1"/>
          <w:rtl w:val="0"/>
        </w:rPr>
        <w:t xml:space="preserve">QR Code (Quick Response Code)</w:t>
      </w:r>
      <w:r w:rsidDel="00000000" w:rsidR="00000000" w:rsidRPr="00000000">
        <w:rPr>
          <w:rFonts w:ascii="Palatino Linotype" w:cs="Palatino Linotype" w:eastAsia="Palatino Linotype" w:hAnsi="Palatino Linotype"/>
          <w:rtl w:val="0"/>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0">
        <w:r w:rsidDel="00000000" w:rsidR="00000000" w:rsidRPr="00000000">
          <w:rPr>
            <w:rFonts w:ascii="Palatino Linotype" w:cs="Palatino Linotype" w:eastAsia="Palatino Linotype" w:hAnsi="Palatino Linotype"/>
            <w:color w:val="000000"/>
            <w:u w:val="single"/>
            <w:rtl w:val="0"/>
          </w:rPr>
          <w:t xml:space="preserve">http://dof.gob.mx/nota_detalle.php?codigo=5492254&amp;fecha=28/07/2017</w:t>
        </w:r>
      </w:hyperlink>
      <w:r w:rsidDel="00000000" w:rsidR="00000000" w:rsidRPr="00000000">
        <w:rPr>
          <w:rFonts w:ascii="Palatino Linotype" w:cs="Palatino Linotype" w:eastAsia="Palatino Linotype" w:hAnsi="Palatino Linotype"/>
          <w:rtl w:val="0"/>
        </w:rPr>
        <w:t xml:space="preserve">. Incluso con la captura de dicho código, a través de la aplicación móvil del Servicio de Administración Tributaria, permite el acceso al Registro Federal de Contribuyentes, como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como de la persona física o moral correspondiente.</w:t>
      </w:r>
      <w:r w:rsidDel="00000000" w:rsidR="00000000" w:rsidRPr="00000000">
        <w:rPr>
          <w:rtl w:val="0"/>
        </w:rPr>
      </w:r>
    </w:p>
    <w:p w:rsidR="00000000" w:rsidDel="00000000" w:rsidP="00000000" w:rsidRDefault="00000000" w:rsidRPr="00000000" w14:paraId="00000100">
      <w:pPr>
        <w:spacing w:line="360" w:lineRule="auto"/>
        <w:ind w:right="-93"/>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101">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rsidR="00000000" w:rsidDel="00000000" w:rsidP="00000000" w:rsidRDefault="00000000" w:rsidRPr="00000000" w14:paraId="00000102">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3">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armonía entre los principios constitucionales de máxima publicidad y de protección de datos personales, se debe entregar la documentación señalada en versión pública en la que se suprima aquella información relacionada con la vida privada.</w:t>
      </w:r>
    </w:p>
    <w:p w:rsidR="00000000" w:rsidDel="00000000" w:rsidP="00000000" w:rsidRDefault="00000000" w:rsidRPr="00000000" w14:paraId="00000104">
      <w:pPr>
        <w:spacing w:after="240" w:before="240" w:line="360" w:lineRule="auto"/>
        <w:jc w:val="both"/>
        <w:rPr>
          <w:rFonts w:ascii="Palatino Linotype" w:cs="Palatino Linotype" w:eastAsia="Palatino Linotype" w:hAnsi="Palatino Linotype"/>
        </w:rPr>
      </w:pPr>
      <w:bookmarkStart w:colFirst="0" w:colLast="0" w:name="_heading=h.gjdgxs" w:id="0"/>
      <w:bookmarkEnd w:id="0"/>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w:t>
      </w:r>
      <w:r w:rsidDel="00000000" w:rsidR="00000000" w:rsidRPr="00000000">
        <w:rPr>
          <w:rFonts w:ascii="Palatino Linotype" w:cs="Palatino Linotype" w:eastAsia="Palatino Linotype" w:hAnsi="Palatino Linotype"/>
          <w:highlight w:val="white"/>
          <w:rtl w:val="0"/>
        </w:rPr>
        <w:t xml:space="preserve"> fracciones IV y V de la </w:t>
      </w:r>
      <w:r w:rsidDel="00000000" w:rsidR="00000000" w:rsidRPr="00000000">
        <w:rPr>
          <w:rFonts w:ascii="Palatino Linotype" w:cs="Palatino Linotype" w:eastAsia="Palatino Linotype" w:hAnsi="Palatino Linotype"/>
          <w:rtl w:val="0"/>
        </w:rPr>
        <w:t xml:space="preserve">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05">
      <w:pPr>
        <w:numPr>
          <w:ilvl w:val="0"/>
          <w:numId w:val="4"/>
        </w:numPr>
        <w:pBdr>
          <w:top w:space="0" w:sz="0" w:val="nil"/>
          <w:left w:space="0" w:sz="0" w:val="nil"/>
          <w:bottom w:space="0" w:sz="0" w:val="nil"/>
          <w:right w:space="0" w:sz="0" w:val="nil"/>
          <w:between w:space="0" w:sz="0" w:val="nil"/>
        </w:pBdr>
        <w:spacing w:after="240" w:before="240" w:line="360" w:lineRule="auto"/>
        <w:ind w:left="426" w:hanging="72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 E S U E L V E</w:t>
      </w:r>
    </w:p>
    <w:p w:rsidR="00000000" w:rsidDel="00000000" w:rsidP="00000000" w:rsidRDefault="00000000" w:rsidRPr="00000000" w14:paraId="0000010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w:t>
      </w:r>
      <w:r w:rsidDel="00000000" w:rsidR="00000000" w:rsidRPr="00000000">
        <w:rPr>
          <w:rFonts w:ascii="Palatino Linotype" w:cs="Palatino Linotype" w:eastAsia="Palatino Linotype" w:hAnsi="Palatino Linotype"/>
          <w:rtl w:val="0"/>
        </w:rPr>
        <w:t xml:space="preserve">. Resulta  </w:t>
      </w:r>
      <w:r w:rsidDel="00000000" w:rsidR="00000000" w:rsidRPr="00000000">
        <w:rPr>
          <w:rFonts w:ascii="Palatino Linotype" w:cs="Palatino Linotype" w:eastAsia="Palatino Linotype" w:hAnsi="Palatino Linotype"/>
          <w:b w:val="1"/>
          <w:rtl w:val="0"/>
        </w:rPr>
        <w:t xml:space="preserve">fundado</w:t>
      </w:r>
      <w:r w:rsidDel="00000000" w:rsidR="00000000" w:rsidRPr="00000000">
        <w:rPr>
          <w:rFonts w:ascii="Palatino Linotype" w:cs="Palatino Linotype" w:eastAsia="Palatino Linotype" w:hAnsi="Palatino Linotype"/>
          <w:rtl w:val="0"/>
        </w:rPr>
        <w:t xml:space="preserve"> el motivo de inconformidad planteado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en el recurso de revisión </w:t>
      </w:r>
      <w:r w:rsidDel="00000000" w:rsidR="00000000" w:rsidRPr="00000000">
        <w:rPr>
          <w:rFonts w:ascii="Palatino Linotype" w:cs="Palatino Linotype" w:eastAsia="Palatino Linotype" w:hAnsi="Palatino Linotype"/>
          <w:b w:val="1"/>
          <w:sz w:val="22"/>
          <w:szCs w:val="22"/>
          <w:rtl w:val="0"/>
        </w:rPr>
        <w:t xml:space="preserve">00389/INFOEM/IP/RR/2022</w:t>
      </w:r>
      <w:r w:rsidDel="00000000" w:rsidR="00000000" w:rsidRPr="00000000">
        <w:rPr>
          <w:rFonts w:ascii="Palatino Linotype" w:cs="Palatino Linotype" w:eastAsia="Palatino Linotype" w:hAnsi="Palatino Linotype"/>
          <w:rtl w:val="0"/>
        </w:rPr>
        <w:t xml:space="preserve">, por lo que, en términos del </w:t>
      </w:r>
      <w:r w:rsidDel="00000000" w:rsidR="00000000" w:rsidRPr="00000000">
        <w:rPr>
          <w:rFonts w:ascii="Palatino Linotype" w:cs="Palatino Linotype" w:eastAsia="Palatino Linotype" w:hAnsi="Palatino Linotype"/>
          <w:b w:val="1"/>
          <w:rtl w:val="0"/>
        </w:rPr>
        <w:t xml:space="preserve">Considerando Cuarto</w:t>
      </w:r>
      <w:r w:rsidDel="00000000" w:rsidR="00000000" w:rsidRPr="00000000">
        <w:rPr>
          <w:rFonts w:ascii="Palatino Linotype" w:cs="Palatino Linotype" w:eastAsia="Palatino Linotype" w:hAnsi="Palatino Linotype"/>
          <w:rtl w:val="0"/>
        </w:rPr>
        <w:t xml:space="preserve"> de la presente resolución,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emitida por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tl w:val="0"/>
        </w:rPr>
      </w:r>
    </w:p>
    <w:p w:rsidR="00000000" w:rsidDel="00000000" w:rsidP="00000000" w:rsidRDefault="00000000" w:rsidRPr="00000000" w14:paraId="000001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Se</w:t>
      </w:r>
      <w:r w:rsidDel="00000000" w:rsidR="00000000" w:rsidRPr="00000000">
        <w:rPr>
          <w:rFonts w:ascii="Palatino Linotype" w:cs="Palatino Linotype" w:eastAsia="Palatino Linotype" w:hAnsi="Palatino Linotype"/>
          <w:b w:val="1"/>
          <w:rtl w:val="0"/>
        </w:rPr>
        <w:t xml:space="preserve"> 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que en términos del </w:t>
      </w:r>
      <w:r w:rsidDel="00000000" w:rsidR="00000000" w:rsidRPr="00000000">
        <w:rPr>
          <w:rFonts w:ascii="Palatino Linotype" w:cs="Palatino Linotype" w:eastAsia="Palatino Linotype" w:hAnsi="Palatino Linotype"/>
          <w:b w:val="1"/>
          <w:rtl w:val="0"/>
        </w:rPr>
        <w:t xml:space="preserve">Considerando Cuarto</w:t>
      </w:r>
      <w:r w:rsidDel="00000000" w:rsidR="00000000" w:rsidRPr="00000000">
        <w:rPr>
          <w:rFonts w:ascii="Palatino Linotype" w:cs="Palatino Linotype" w:eastAsia="Palatino Linotype" w:hAnsi="Palatino Linotype"/>
          <w:rtl w:val="0"/>
        </w:rPr>
        <w:t xml:space="preserve"> de esta resolución haga entrega al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en versión pública,  lo siguiente: </w:t>
      </w:r>
    </w:p>
    <w:p w:rsidR="00000000" w:rsidDel="00000000" w:rsidP="00000000" w:rsidRDefault="00000000" w:rsidRPr="00000000" w14:paraId="00000108">
      <w:pPr>
        <w:spacing w:after="240" w:before="240" w:lineRule="auto"/>
        <w:ind w:left="708"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 </w:t>
      </w:r>
      <w:r w:rsidDel="00000000" w:rsidR="00000000" w:rsidRPr="00000000">
        <w:rPr>
          <w:rFonts w:ascii="Palatino Linotype" w:cs="Palatino Linotype" w:eastAsia="Palatino Linotype" w:hAnsi="Palatino Linotype"/>
          <w:i w:val="1"/>
          <w:rtl w:val="0"/>
        </w:rPr>
        <w:t xml:space="preserve"> Los recibos de nómina de la segunda quincena de noviembre de dos mil veintiuno, de los servidores públicos adscritos a la Dirección de Planeación (UIPPE) de Teoloyucan.</w:t>
      </w:r>
    </w:p>
    <w:p w:rsidR="00000000" w:rsidDel="00000000" w:rsidP="00000000" w:rsidRDefault="00000000" w:rsidRPr="00000000" w14:paraId="00000109">
      <w:pPr>
        <w:spacing w:after="240" w:before="240" w:line="276"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la versión pública, el Sujeto Obligado deberá emitir el Acuerdo del Comité de Transparencia en términos del artículo 49 fracción VIII y 132 fracción II de la Ley de Transparencia y Acceso a la Información Pública del Estado de México y Municipios vigente, en el que funde y motive las razones sobre los datos que se supriman o eliminen dentro del soporte documental respectivo objeto de las versiones públicas que se formulen y se ponga a disposición del recurrente.</w:t>
      </w:r>
    </w:p>
    <w:p w:rsidR="00000000" w:rsidDel="00000000" w:rsidP="00000000" w:rsidRDefault="00000000" w:rsidRPr="00000000" w14:paraId="0000010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b w:val="1"/>
          <w:rtl w:val="0"/>
        </w:rPr>
        <w:t xml:space="preserve">Notifíquese,</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al Responsable de la Unidad de Transparencia del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vía SAIMEX,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00000" w:rsidDel="00000000" w:rsidP="00000000" w:rsidRDefault="00000000" w:rsidRPr="00000000" w14:paraId="0000010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0C">
      <w:pPr>
        <w:spacing w:after="240" w:before="240" w:line="360" w:lineRule="auto"/>
        <w:jc w:val="both"/>
        <w:rPr>
          <w:rFonts w:ascii="Palatino Linotype" w:cs="Palatino Linotype" w:eastAsia="Palatino Linotype" w:hAnsi="Palatino Linotype"/>
          <w:color w:val="222222"/>
        </w:rPr>
      </w:pPr>
      <w:r w:rsidDel="00000000" w:rsidR="00000000" w:rsidRPr="00000000">
        <w:rPr>
          <w:rFonts w:ascii="Palatino Linotype" w:cs="Palatino Linotype" w:eastAsia="Palatino Linotype" w:hAnsi="Palatino Linotype"/>
          <w:b w:val="1"/>
          <w:rtl w:val="0"/>
        </w:rPr>
        <w:t xml:space="preserve">Quinto. Notifíquese,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vía SAIMEX, así como que</w:t>
      </w:r>
      <w:r w:rsidDel="00000000" w:rsidR="00000000" w:rsidRPr="00000000">
        <w:rPr>
          <w:rFonts w:ascii="Palatino Linotype" w:cs="Palatino Linotype" w:eastAsia="Palatino Linotype" w:hAnsi="Palatino Linotype"/>
          <w:color w:val="222222"/>
          <w:rtl w:val="0"/>
        </w:rPr>
        <w:t xml:space="preserve"> </w:t>
      </w:r>
      <w:r w:rsidDel="00000000" w:rsidR="00000000" w:rsidRPr="00000000">
        <w:rPr>
          <w:rFonts w:ascii="Palatino Linotype" w:cs="Palatino Linotype" w:eastAsia="Palatino Linotype" w:hAnsi="Palatino Linotype"/>
          <w:rtl w:val="0"/>
        </w:rPr>
        <w:t xml:space="preserve">de conformidad con lo establecido en el artículo 196 de la Ley de Transparencia y Acceso a la Información Pública del Estado de México y Municipios podrá impugnarla vía Juicio de Amparo en los términos de las leyes aplicables</w:t>
      </w:r>
      <w:r w:rsidDel="00000000" w:rsidR="00000000" w:rsidRPr="00000000">
        <w:rPr>
          <w:rFonts w:ascii="Palatino Linotype" w:cs="Palatino Linotype" w:eastAsia="Palatino Linotype" w:hAnsi="Palatino Linotype"/>
          <w:color w:val="222222"/>
          <w:rtl w:val="0"/>
        </w:rPr>
        <w:t xml:space="preserve">.</w:t>
      </w:r>
    </w:p>
    <w:p w:rsidR="00000000" w:rsidDel="00000000" w:rsidP="00000000" w:rsidRDefault="00000000" w:rsidRPr="00000000" w14:paraId="0000010D">
      <w:pPr>
        <w:spacing w:line="360" w:lineRule="auto"/>
        <w:ind w:right="49"/>
        <w:jc w:val="both"/>
        <w:rPr>
          <w:rFonts w:ascii="Palatino Linotype" w:cs="Palatino Linotype" w:eastAsia="Palatino Linotype" w:hAnsi="Palatino Linotype"/>
        </w:rPr>
      </w:pPr>
      <w:bookmarkStart w:colFirst="0" w:colLast="0" w:name="_heading=h.30j0zll" w:id="1"/>
      <w:bookmarkEnd w:id="1"/>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SIETE DE ABRIL DE DOS MIL VEINTIDÓS, ANTE EL SECRETARIO TÉCNICO DEL PLENO ALEXIS TAPIA RAMÍREZ.</w:t>
      </w:r>
    </w:p>
    <w:p w:rsidR="00000000" w:rsidDel="00000000" w:rsidP="00000000" w:rsidRDefault="00000000" w:rsidRPr="00000000" w14:paraId="0000010E">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0F">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0">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1">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2">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3">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4">
      <w:pPr>
        <w:spacing w:after="240" w:before="240" w:line="360" w:lineRule="auto"/>
        <w:jc w:val="both"/>
        <w:rPr>
          <w:rFonts w:ascii="Palatino Linotype" w:cs="Palatino Linotype" w:eastAsia="Palatino Linotype" w:hAnsi="Palatino Linotype"/>
        </w:rPr>
      </w:pPr>
      <w:bookmarkStart w:colFirst="0" w:colLast="0" w:name="_heading=h.1fob9te" w:id="2"/>
      <w:bookmarkEnd w:id="2"/>
      <w:r w:rsidDel="00000000" w:rsidR="00000000" w:rsidRPr="00000000">
        <w:rPr>
          <w:rtl w:val="0"/>
        </w:rPr>
      </w:r>
    </w:p>
    <w:sectPr>
      <w:headerReference r:id="rId21" w:type="default"/>
      <w:headerReference r:id="rId22" w:type="first"/>
      <w:footerReference r:id="rId23" w:type="default"/>
      <w:footerReference r:id="rId24" w:type="first"/>
      <w:pgSz w:h="15840" w:w="12240" w:orient="portrait"/>
      <w:pgMar w:bottom="1417" w:top="1417"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Cambr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8">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tabs>
        <w:tab w:val="center" w:pos="4252"/>
        <w:tab w:val="right"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A">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tabs>
        <w:tab w:val="center" w:pos="4252"/>
        <w:tab w:val="right" w:pos="8504"/>
      </w:tabs>
      <w:ind w:firstLine="708"/>
      <w:rPr>
        <w:rFonts w:ascii="Cambria" w:cs="Cambria" w:eastAsia="Cambria" w:hAnsi="Cambria"/>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5">
    <w:pPr>
      <w:pBdr>
        <w:top w:space="0" w:sz="0" w:val="nil"/>
        <w:left w:space="0" w:sz="0" w:val="nil"/>
        <w:bottom w:space="0" w:sz="0" w:val="nil"/>
        <w:right w:space="0" w:sz="0" w:val="nil"/>
        <w:between w:space="0" w:sz="0" w:val="nil"/>
      </w:pBdr>
      <w:tabs>
        <w:tab w:val="center" w:pos="4252"/>
        <w:tab w:val="right" w:pos="8504"/>
      </w:tabs>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-916302</wp:posOffset>
          </wp:positionH>
          <wp:positionV relativeFrom="paragraph">
            <wp:posOffset>-354864</wp:posOffset>
          </wp:positionV>
          <wp:extent cx="7635600" cy="9943200"/>
          <wp:effectExtent b="0" l="0" r="0" t="0"/>
          <wp:wrapNone/>
          <wp:docPr id="46"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7635600" cy="9943200"/>
                  </a:xfrm>
                  <a:prstGeom prst="rect"/>
                  <a:ln/>
                </pic:spPr>
              </pic:pic>
            </a:graphicData>
          </a:graphic>
        </wp:anchor>
      </w:drawing>
    </w:r>
  </w:p>
  <w:tbl>
    <w:tblPr>
      <w:tblStyle w:val="Table1"/>
      <w:tblW w:w="6240.0" w:type="dxa"/>
      <w:jc w:val="left"/>
      <w:tblInd w:w="3685.0" w:type="dxa"/>
      <w:tblLayout w:type="fixed"/>
      <w:tblLook w:val="0400"/>
    </w:tblPr>
    <w:tblGrid>
      <w:gridCol w:w="2553"/>
      <w:gridCol w:w="3687"/>
      <w:tblGridChange w:id="0">
        <w:tblGrid>
          <w:gridCol w:w="2553"/>
          <w:gridCol w:w="3687"/>
        </w:tblGrid>
      </w:tblGridChange>
    </w:tblGrid>
    <w:tr>
      <w:trPr>
        <w:cantSplit w:val="0"/>
        <w:tblHeader w:val="0"/>
      </w:trPr>
      <w:tc>
        <w:tcPr>
          <w:vAlign w:val="center"/>
        </w:tcPr>
        <w:p w:rsidR="00000000" w:rsidDel="00000000" w:rsidP="00000000" w:rsidRDefault="00000000" w:rsidRPr="00000000" w14:paraId="0000011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1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00389/INFOEM/IP/RR/2022</w:t>
          </w:r>
        </w:p>
      </w:tc>
    </w:tr>
    <w:tr>
      <w:trPr>
        <w:cantSplit w:val="0"/>
        <w:tblHeader w:val="0"/>
      </w:trPr>
      <w:tc>
        <w:tcPr>
          <w:vAlign w:val="center"/>
        </w:tcPr>
        <w:p w:rsidR="00000000" w:rsidDel="00000000" w:rsidP="00000000" w:rsidRDefault="00000000" w:rsidRPr="00000000" w14:paraId="0000011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119">
          <w:pPr>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1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1B">
          <w:pPr>
            <w:ind w:right="596"/>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Teoloyucan</w:t>
          </w:r>
        </w:p>
      </w:tc>
    </w:tr>
    <w:tr>
      <w:trPr>
        <w:cantSplit w:val="0"/>
        <w:tblHeader w:val="0"/>
      </w:trPr>
      <w:tc>
        <w:tcPr>
          <w:vAlign w:val="center"/>
        </w:tcPr>
        <w:p w:rsidR="00000000" w:rsidDel="00000000" w:rsidP="00000000" w:rsidRDefault="00000000" w:rsidRPr="00000000" w14:paraId="0000011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1D">
          <w:pPr>
            <w:ind w:right="-533"/>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1E">
    <w:pPr>
      <w:pBdr>
        <w:top w:space="0" w:sz="0" w:val="nil"/>
        <w:left w:space="0" w:sz="0" w:val="nil"/>
        <w:bottom w:space="0" w:sz="0" w:val="nil"/>
        <w:right w:space="0" w:sz="0" w:val="nil"/>
        <w:between w:space="0" w:sz="0" w:val="nil"/>
      </w:pBdr>
      <w:tabs>
        <w:tab w:val="center" w:pos="4252"/>
        <w:tab w:val="right" w:pos="8504"/>
      </w:tabs>
      <w:rPr>
        <w:rFonts w:ascii="Cambria" w:cs="Cambria" w:eastAsia="Cambria" w:hAnsi="Cambria"/>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spacing w:line="276" w:lineRule="auto"/>
      <w:rPr>
        <w:rFonts w:ascii="Cambria" w:cs="Cambria" w:eastAsia="Cambria" w:hAnsi="Cambria"/>
        <w:color w:val="000000"/>
      </w:rPr>
    </w:pPr>
    <w:r w:rsidDel="00000000" w:rsidR="00000000" w:rsidRPr="00000000">
      <w:rPr>
        <w:rtl w:val="0"/>
      </w:rPr>
    </w:r>
  </w:p>
  <w:tbl>
    <w:tblPr>
      <w:tblStyle w:val="Table2"/>
      <w:tblW w:w="6240.0" w:type="dxa"/>
      <w:jc w:val="left"/>
      <w:tblInd w:w="3746.0" w:type="dxa"/>
      <w:tblLayout w:type="fixed"/>
      <w:tblLook w:val="0400"/>
    </w:tblPr>
    <w:tblGrid>
      <w:gridCol w:w="2553"/>
      <w:gridCol w:w="3687"/>
      <w:tblGridChange w:id="0">
        <w:tblGrid>
          <w:gridCol w:w="2553"/>
          <w:gridCol w:w="3687"/>
        </w:tblGrid>
      </w:tblGridChange>
    </w:tblGrid>
    <w:tr>
      <w:trPr>
        <w:cantSplit w:val="0"/>
        <w:tblHeader w:val="0"/>
      </w:trPr>
      <w:tc>
        <w:tcPr>
          <w:vAlign w:val="center"/>
        </w:tcPr>
        <w:p w:rsidR="00000000" w:rsidDel="00000000" w:rsidP="00000000" w:rsidRDefault="00000000" w:rsidRPr="00000000" w14:paraId="0000012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21">
          <w:pPr>
            <w:ind w:right="666"/>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00389/INFOEM/IP/RR/2022</w:t>
          </w:r>
        </w:p>
      </w:tc>
    </w:tr>
    <w:tr>
      <w:trPr>
        <w:cantSplit w:val="0"/>
        <w:trHeight w:val="228" w:hRule="atLeast"/>
        <w:tblHeader w:val="0"/>
      </w:trPr>
      <w:tc>
        <w:tcPr>
          <w:vAlign w:val="center"/>
        </w:tcPr>
        <w:p w:rsidR="00000000" w:rsidDel="00000000" w:rsidP="00000000" w:rsidRDefault="00000000" w:rsidRPr="00000000" w14:paraId="0000012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23">
          <w:pPr>
            <w:ind w:right="954"/>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24">
          <w:pPr>
            <w:ind w:right="954"/>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Teoloyucan</w:t>
          </w:r>
        </w:p>
      </w:tc>
    </w:tr>
    <w:tr>
      <w:trPr>
        <w:cantSplit w:val="0"/>
        <w:tblHeader w:val="0"/>
      </w:trPr>
      <w:tc>
        <w:tcPr>
          <w:vAlign w:val="center"/>
        </w:tcPr>
        <w:p w:rsidR="00000000" w:rsidDel="00000000" w:rsidP="00000000" w:rsidRDefault="00000000" w:rsidRPr="00000000" w14:paraId="0000012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26">
          <w:pPr>
            <w:ind w:right="-533"/>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27">
    <w:pPr>
      <w:pBdr>
        <w:top w:space="0" w:sz="0" w:val="nil"/>
        <w:left w:space="0" w:sz="0" w:val="nil"/>
        <w:bottom w:space="0" w:sz="0" w:val="nil"/>
        <w:right w:space="0" w:sz="0" w:val="nil"/>
        <w:between w:space="0" w:sz="0" w:val="nil"/>
      </w:pBdr>
      <w:tabs>
        <w:tab w:val="center" w:pos="4252"/>
        <w:tab w:val="right" w:pos="8504"/>
        <w:tab w:val="left" w:pos="2326"/>
      </w:tabs>
      <w:rPr>
        <w:rFonts w:ascii="Cambria" w:cs="Cambria" w:eastAsia="Cambria" w:hAnsi="Cambria"/>
        <w:color w:val="000000"/>
      </w:rPr>
    </w:pPr>
    <w:r w:rsidDel="00000000" w:rsidR="00000000" w:rsidRPr="00000000">
      <w:rPr>
        <w:rFonts w:ascii="Cambria" w:cs="Cambria" w:eastAsia="Cambria" w:hAnsi="Cambria"/>
        <w:color w:val="000000"/>
        <w:rtl w:val="0"/>
      </w:rPr>
      <w:tab/>
    </w:r>
    <w:r w:rsidDel="00000000" w:rsidR="00000000" w:rsidRPr="00000000">
      <w:drawing>
        <wp:anchor allowOverlap="1" behindDoc="1" distB="0" distT="0" distL="0" distR="0" hidden="0" layoutInCell="1" locked="0" relativeHeight="0" simplePos="0">
          <wp:simplePos x="0" y="0"/>
          <wp:positionH relativeFrom="column">
            <wp:posOffset>-982343</wp:posOffset>
          </wp:positionH>
          <wp:positionV relativeFrom="paragraph">
            <wp:posOffset>-1108073</wp:posOffset>
          </wp:positionV>
          <wp:extent cx="7635600" cy="9943200"/>
          <wp:effectExtent b="0" l="0" r="0" t="0"/>
          <wp:wrapNone/>
          <wp:docPr id="45"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7635600" cy="99432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571" w:hanging="360"/>
      </w:pPr>
      <w:rPr>
        <w:rFonts w:ascii="Noto Sans Symbols" w:cs="Noto Sans Symbols" w:eastAsia="Noto Sans Symbols" w:hAnsi="Noto Sans Symbols"/>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4">
    <w:lvl w:ilvl="0">
      <w:start w:val="3"/>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spacing w:before="40" w:lineRule="auto"/>
    </w:pPr>
    <w:rPr>
      <w:rFonts w:ascii="Calibri" w:cs="Calibri" w:eastAsia="Calibri" w:hAnsi="Calibri"/>
      <w:i w:val="1"/>
      <w:color w:val="36609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C80F8C"/>
  </w:style>
  <w:style w:type="paragraph" w:styleId="Ttulo1">
    <w:name w:val="heading 1"/>
    <w:basedOn w:val="Normal"/>
    <w:next w:val="Normal"/>
    <w:link w:val="Ttulo1Car"/>
    <w:uiPriority w:val="9"/>
    <w:qFormat w:val="1"/>
    <w:rsid w:val="007F61DA"/>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unhideWhenUsed w:val="1"/>
    <w:qFormat w:val="1"/>
    <w:rsid w:val="004A6EFE"/>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D006F2"/>
    <w:pPr>
      <w:keepNext w:val="1"/>
      <w:keepLines w:val="1"/>
      <w:spacing w:before="40"/>
      <w:outlineLvl w:val="2"/>
    </w:pPr>
    <w:rPr>
      <w:rFonts w:asciiTheme="majorHAnsi" w:cstheme="majorBidi" w:eastAsiaTheme="majorEastAsia" w:hAnsiTheme="majorHAnsi"/>
      <w:color w:val="243f60" w:themeColor="accent1" w:themeShade="00007F"/>
    </w:rPr>
  </w:style>
  <w:style w:type="paragraph" w:styleId="Ttulo4">
    <w:name w:val="heading 4"/>
    <w:basedOn w:val="Normal"/>
    <w:next w:val="Normal"/>
    <w:link w:val="Ttulo4Car"/>
    <w:uiPriority w:val="9"/>
    <w:semiHidden w:val="1"/>
    <w:unhideWhenUsed w:val="1"/>
    <w:qFormat w:val="1"/>
    <w:rsid w:val="00D006F2"/>
    <w:pPr>
      <w:keepNext w:val="1"/>
      <w:keepLines w:val="1"/>
      <w:spacing w:before="40"/>
      <w:outlineLvl w:val="3"/>
    </w:pPr>
    <w:rPr>
      <w:rFonts w:asciiTheme="majorHAnsi" w:cstheme="majorBidi" w:eastAsiaTheme="majorEastAsia" w:hAnsiTheme="majorHAnsi"/>
      <w:i w:val="1"/>
      <w:iCs w:val="1"/>
      <w:color w:val="365f91" w:themeColor="accent1" w:themeShade="0000BF"/>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D485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9D4854"/>
    <w:pPr>
      <w:ind w:left="708"/>
    </w:pPr>
  </w:style>
  <w:style w:type="table" w:styleId="Tablaconcuadrcula">
    <w:name w:val="Table Grid"/>
    <w:basedOn w:val="Tablanormal"/>
    <w:uiPriority w:val="39"/>
    <w:rsid w:val="00AB3F5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B3F5E"/>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B3F5E"/>
    <w:rPr>
      <w:vertAlign w:val="superscript"/>
    </w:rPr>
  </w:style>
  <w:style w:type="character" w:styleId="Ttulo2Car" w:customStyle="1">
    <w:name w:val="Título 2 Car"/>
    <w:basedOn w:val="Fuentedeprrafopredeter"/>
    <w:link w:val="Ttulo2"/>
    <w:uiPriority w:val="9"/>
    <w:rsid w:val="004A6EFE"/>
    <w:rPr>
      <w:rFonts w:asciiTheme="majorHAnsi" w:cstheme="majorBidi" w:eastAsiaTheme="majorEastAsia" w:hAnsiTheme="majorHAnsi"/>
      <w:color w:val="365f91" w:themeColor="accent1" w:themeShade="0000BF"/>
      <w:sz w:val="26"/>
      <w:szCs w:val="26"/>
      <w:lang w:val="es-ES"/>
    </w:rPr>
  </w:style>
  <w:style w:type="character" w:styleId="apple-converted-space" w:customStyle="1">
    <w:name w:val="apple-converted-space"/>
    <w:basedOn w:val="Fuentedeprrafopredeter"/>
    <w:rsid w:val="00A5404F"/>
  </w:style>
  <w:style w:type="character" w:styleId="normaltextrun" w:customStyle="1">
    <w:name w:val="normaltextrun"/>
    <w:basedOn w:val="Fuentedeprrafopredeter"/>
    <w:rsid w:val="00355B75"/>
  </w:style>
  <w:style w:type="paragraph" w:styleId="paragraph" w:customStyle="1">
    <w:name w:val="paragraph"/>
    <w:basedOn w:val="Normal"/>
    <w:rsid w:val="00355B75"/>
    <w:pPr>
      <w:spacing w:after="100" w:afterAutospacing="1" w:before="100" w:beforeAutospacing="1"/>
    </w:pPr>
    <w:rPr>
      <w:lang w:val="es-MX"/>
    </w:rPr>
  </w:style>
  <w:style w:type="character" w:styleId="eop" w:customStyle="1">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val="1"/>
    <w:rsid w:val="00623EA3"/>
    <w:rPr>
      <w:color w:val="0000ff" w:themeColor="hyperlink"/>
      <w:u w:val="single"/>
    </w:rPr>
  </w:style>
  <w:style w:type="character" w:styleId="nacep" w:customStyle="1">
    <w:name w:val="n_acep"/>
    <w:basedOn w:val="Fuentedeprrafopredeter"/>
    <w:rsid w:val="00585C24"/>
  </w:style>
  <w:style w:type="paragraph" w:styleId="Texto" w:customStyle="1">
    <w:name w:val="Texto"/>
    <w:basedOn w:val="Normal"/>
    <w:link w:val="TextoCar"/>
    <w:qFormat w:val="1"/>
    <w:rsid w:val="009573BD"/>
    <w:pPr>
      <w:spacing w:after="101" w:line="216" w:lineRule="exact"/>
      <w:ind w:firstLine="288"/>
      <w:jc w:val="both"/>
    </w:pPr>
    <w:rPr>
      <w:rFonts w:ascii="Arial" w:cs="Arial" w:hAnsi="Arial"/>
      <w:sz w:val="18"/>
      <w:szCs w:val="20"/>
    </w:rPr>
  </w:style>
  <w:style w:type="character" w:styleId="TextoCar" w:customStyle="1">
    <w:name w:val="Texto Car"/>
    <w:link w:val="Texto"/>
    <w:locked w:val="1"/>
    <w:rsid w:val="009573BD"/>
    <w:rPr>
      <w:rFonts w:ascii="Arial" w:cs="Arial" w:eastAsia="Times New Roman" w:hAnsi="Arial"/>
      <w:sz w:val="18"/>
      <w:szCs w:val="20"/>
      <w:lang w:val="es-ES"/>
    </w:rPr>
  </w:style>
  <w:style w:type="character" w:styleId="Ttulo1Car" w:customStyle="1">
    <w:name w:val="Título 1 Car"/>
    <w:basedOn w:val="Fuentedeprrafopredeter"/>
    <w:link w:val="Ttulo1"/>
    <w:uiPriority w:val="9"/>
    <w:rsid w:val="007F61DA"/>
    <w:rPr>
      <w:rFonts w:asciiTheme="majorHAnsi" w:cstheme="majorBidi" w:eastAsiaTheme="majorEastAsia" w:hAnsiTheme="majorHAnsi"/>
      <w:color w:val="365f91" w:themeColor="accent1" w:themeShade="0000BF"/>
      <w:sz w:val="32"/>
      <w:szCs w:val="32"/>
      <w:lang w:val="es-ES"/>
    </w:rPr>
  </w:style>
  <w:style w:type="paragraph" w:styleId="Default" w:customStyle="1">
    <w:name w:val="Default"/>
    <w:rsid w:val="00DF0D44"/>
    <w:pPr>
      <w:autoSpaceDE w:val="0"/>
      <w:autoSpaceDN w:val="0"/>
      <w:adjustRightInd w:val="0"/>
    </w:pPr>
    <w:rPr>
      <w:rFonts w:ascii="Arial" w:cs="Arial" w:hAnsi="Arial"/>
      <w:color w:val="000000"/>
      <w:lang w:val="es-MX"/>
    </w:rPr>
  </w:style>
  <w:style w:type="paragraph" w:styleId="Sinespaciado">
    <w:name w:val="No Spacing"/>
    <w:aliases w:val="Francesa,INAI"/>
    <w:link w:val="SinespaciadoCar"/>
    <w:uiPriority w:val="1"/>
    <w:qFormat w:val="1"/>
    <w:rsid w:val="00932CFF"/>
    <w:rPr>
      <w:lang w:val="es-MX"/>
    </w:rPr>
  </w:style>
  <w:style w:type="character" w:styleId="Textoennegrita">
    <w:name w:val="Strong"/>
    <w:uiPriority w:val="22"/>
    <w:qFormat w:val="1"/>
    <w:rsid w:val="00932CFF"/>
    <w:rPr>
      <w:b w:val="1"/>
      <w:bCs w:val="1"/>
    </w:rPr>
  </w:style>
  <w:style w:type="character" w:styleId="SinespaciadoCar" w:customStyle="1">
    <w:name w:val="Sin espaciado Car"/>
    <w:aliases w:val="Francesa Car,INAI Car"/>
    <w:link w:val="Sinespaciado"/>
    <w:uiPriority w:val="1"/>
    <w:locked w:val="1"/>
    <w:rsid w:val="00932CFF"/>
    <w:rPr>
      <w:rFonts w:ascii="Times New Roman" w:cs="Times New Roman" w:eastAsia="Times New Roman" w:hAnsi="Times New Roman"/>
      <w:lang w:val="es-MX"/>
    </w:rPr>
  </w:style>
  <w:style w:type="paragraph" w:styleId="NormalWeb">
    <w:name w:val="Normal (Web)"/>
    <w:basedOn w:val="Normal"/>
    <w:uiPriority w:val="99"/>
    <w:unhideWhenUsed w:val="1"/>
    <w:rsid w:val="00444919"/>
    <w:pPr>
      <w:spacing w:after="100" w:afterAutospacing="1" w:before="100" w:beforeAutospacing="1"/>
    </w:pPr>
    <w:rPr>
      <w:lang w:val="es-MX"/>
    </w:rPr>
  </w:style>
  <w:style w:type="paragraph" w:styleId="Textoindependiente">
    <w:name w:val="Body Text"/>
    <w:basedOn w:val="Normal"/>
    <w:link w:val="TextoindependienteCar"/>
    <w:uiPriority w:val="1"/>
    <w:qFormat w:val="1"/>
    <w:rsid w:val="00446C36"/>
    <w:pPr>
      <w:widowControl w:val="0"/>
      <w:autoSpaceDE w:val="0"/>
      <w:autoSpaceDN w:val="0"/>
      <w:adjustRightInd w:val="0"/>
      <w:ind w:left="112"/>
    </w:pPr>
    <w:rPr>
      <w:rFonts w:eastAsiaTheme="minorEastAsia"/>
      <w:sz w:val="25"/>
      <w:szCs w:val="25"/>
      <w:lang w:val="es-MX"/>
    </w:rPr>
  </w:style>
  <w:style w:type="character" w:styleId="TextoindependienteCar" w:customStyle="1">
    <w:name w:val="Texto independiente Car"/>
    <w:basedOn w:val="Fuentedeprrafopredeter"/>
    <w:link w:val="Textoindependiente"/>
    <w:uiPriority w:val="1"/>
    <w:rsid w:val="00446C36"/>
    <w:rPr>
      <w:rFonts w:ascii="Times New Roman" w:cs="Times New Roman" w:hAnsi="Times New Roman"/>
      <w:sz w:val="25"/>
      <w:szCs w:val="25"/>
      <w:lang w:eastAsia="es-MX" w:val="es-MX"/>
    </w:rPr>
  </w:style>
  <w:style w:type="paragraph" w:styleId="Textosinformato">
    <w:name w:val="Plain Text"/>
    <w:basedOn w:val="Normal"/>
    <w:link w:val="TextosinformatoCar"/>
    <w:unhideWhenUsed w:val="1"/>
    <w:rsid w:val="006F1806"/>
    <w:rPr>
      <w:rFonts w:ascii="Courier New" w:hAnsi="Courier New"/>
      <w:sz w:val="20"/>
      <w:szCs w:val="20"/>
    </w:rPr>
  </w:style>
  <w:style w:type="character" w:styleId="TextosinformatoCar" w:customStyle="1">
    <w:name w:val="Texto sin formato Car"/>
    <w:basedOn w:val="Fuentedeprrafopredeter"/>
    <w:link w:val="Textosinformato"/>
    <w:rsid w:val="006F1806"/>
    <w:rPr>
      <w:rFonts w:ascii="Courier New" w:cs="Times New Roman" w:eastAsia="Times New Roman" w:hAnsi="Courier New"/>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CA08C0"/>
    <w:rPr>
      <w:color w:val="605e5c"/>
      <w:shd w:color="auto" w:fill="e1dfdd" w:val="clear"/>
    </w:rPr>
  </w:style>
  <w:style w:type="table" w:styleId="Tabladecuadrcula4-nfasis5">
    <w:name w:val="Grid Table 4 Accent 5"/>
    <w:basedOn w:val="Tablanormal"/>
    <w:uiPriority w:val="49"/>
    <w:rsid w:val="006E38D5"/>
    <w:tblPr>
      <w:tblStyleRowBandSize w:val="1"/>
      <w:tblStyleColBandSize w:val="1"/>
      <w:tblBorders>
        <w:top w:color="92cddc" w:space="0" w:sz="4" w:themeColor="accent5" w:themeTint="000099" w:val="single"/>
        <w:left w:color="92cddc" w:space="0" w:sz="4" w:themeColor="accent5" w:themeTint="000099" w:val="single"/>
        <w:bottom w:color="92cddc" w:space="0" w:sz="4" w:themeColor="accent5" w:themeTint="000099" w:val="single"/>
        <w:right w:color="92cddc" w:space="0" w:sz="4" w:themeColor="accent5" w:themeTint="000099" w:val="single"/>
        <w:insideH w:color="92cddc" w:space="0" w:sz="4" w:themeColor="accent5" w:themeTint="000099" w:val="single"/>
        <w:insideV w:color="92cddc" w:space="0" w:sz="4" w:themeColor="accent5" w:themeTint="000099" w:val="single"/>
      </w:tblBorders>
    </w:tblPr>
    <w:tblStylePr w:type="firstRow">
      <w:rPr>
        <w:b w:val="1"/>
        <w:bCs w:val="1"/>
        <w:color w:val="ffffff" w:themeColor="background1"/>
      </w:rPr>
      <w:tblPr/>
      <w:tcPr>
        <w:tcBorders>
          <w:top w:color="4bacc6" w:space="0" w:sz="4" w:themeColor="accent5" w:val="single"/>
          <w:left w:color="4bacc6" w:space="0" w:sz="4" w:themeColor="accent5" w:val="single"/>
          <w:bottom w:color="4bacc6" w:space="0" w:sz="4" w:themeColor="accent5" w:val="single"/>
          <w:right w:color="4bacc6" w:space="0" w:sz="4" w:themeColor="accent5" w:val="single"/>
          <w:insideH w:space="0" w:sz="0" w:val="nil"/>
          <w:insideV w:space="0" w:sz="0" w:val="nil"/>
        </w:tcBorders>
        <w:shd w:color="auto" w:fill="4bacc6" w:themeFill="accent5" w:val="clear"/>
      </w:tcPr>
    </w:tblStylePr>
    <w:tblStylePr w:type="lastRow">
      <w:rPr>
        <w:b w:val="1"/>
        <w:bCs w:val="1"/>
      </w:rPr>
      <w:tblPr/>
      <w:tcPr>
        <w:tcBorders>
          <w:top w:color="4bacc6" w:space="0" w:sz="4" w:themeColor="accent5" w:val="double"/>
        </w:tcBorders>
      </w:tcPr>
    </w:tblStylePr>
    <w:tblStylePr w:type="firstCol">
      <w:rPr>
        <w:b w:val="1"/>
        <w:bCs w:val="1"/>
      </w:rPr>
    </w:tblStylePr>
    <w:tblStylePr w:type="lastCol">
      <w:rPr>
        <w:b w:val="1"/>
        <w:bCs w:val="1"/>
      </w:rPr>
    </w:tblStylePr>
    <w:tblStylePr w:type="band1Vert">
      <w:tblPr/>
      <w:tcPr>
        <w:shd w:color="auto" w:fill="daeef3" w:themeFill="accent5" w:themeFillTint="000033" w:val="clear"/>
      </w:tcPr>
    </w:tblStylePr>
    <w:tblStylePr w:type="band1Horz">
      <w:tblPr/>
      <w:tcPr>
        <w:shd w:color="auto" w:fill="daeef3" w:themeFill="accent5" w:themeFillTint="000033" w:val="clear"/>
      </w:tcPr>
    </w:tblStylePr>
  </w:style>
  <w:style w:type="character" w:styleId="Ttulo3Car" w:customStyle="1">
    <w:name w:val="Título 3 Car"/>
    <w:basedOn w:val="Fuentedeprrafopredeter"/>
    <w:link w:val="Ttulo3"/>
    <w:uiPriority w:val="9"/>
    <w:semiHidden w:val="1"/>
    <w:rsid w:val="00D006F2"/>
    <w:rPr>
      <w:rFonts w:asciiTheme="majorHAnsi" w:cstheme="majorBidi" w:eastAsiaTheme="majorEastAsia" w:hAnsiTheme="majorHAnsi"/>
      <w:color w:val="243f60" w:themeColor="accent1" w:themeShade="00007F"/>
      <w:lang w:val="es-ES"/>
    </w:rPr>
  </w:style>
  <w:style w:type="character" w:styleId="Ttulo4Car" w:customStyle="1">
    <w:name w:val="Título 4 Car"/>
    <w:basedOn w:val="Fuentedeprrafopredeter"/>
    <w:link w:val="Ttulo4"/>
    <w:uiPriority w:val="9"/>
    <w:semiHidden w:val="1"/>
    <w:rsid w:val="00D006F2"/>
    <w:rPr>
      <w:rFonts w:asciiTheme="majorHAnsi" w:cstheme="majorBidi" w:eastAsiaTheme="majorEastAsia" w:hAnsiTheme="majorHAnsi"/>
      <w:i w:val="1"/>
      <w:iCs w:val="1"/>
      <w:color w:val="365f91" w:themeColor="accent1" w:themeShade="0000BF"/>
      <w:lang w:val="es-ES"/>
    </w:rPr>
  </w:style>
  <w:style w:type="paragraph" w:styleId="m-698976158124685028gmail-default" w:customStyle="1">
    <w:name w:val="m_-698976158124685028gmail-default"/>
    <w:basedOn w:val="Normal"/>
    <w:rsid w:val="006B1B2B"/>
    <w:pPr>
      <w:spacing w:after="100" w:afterAutospacing="1" w:before="100" w:beforeAutospacing="1"/>
    </w:pPr>
    <w:rPr>
      <w:lang w:val="es-MX"/>
    </w:rPr>
  </w:style>
  <w:style w:type="paragraph" w:styleId="m-698976158124685028gmail-msolistparagraph" w:customStyle="1">
    <w:name w:val="m_-698976158124685028gmail-msolistparagraph"/>
    <w:basedOn w:val="Normal"/>
    <w:rsid w:val="006B1B2B"/>
    <w:pPr>
      <w:spacing w:after="100" w:afterAutospacing="1" w:before="100" w:beforeAutospacing="1"/>
    </w:pPr>
    <w:rPr>
      <w:lang w:val="es-MX"/>
    </w:rPr>
  </w:style>
  <w:style w:type="paragraph" w:styleId="m-698976158124685028gmail-m483811427706604298gmail-msolistparagraph" w:customStyle="1">
    <w:name w:val="m_-698976158124685028gmail-m483811427706604298gmail-msolistparagraph"/>
    <w:basedOn w:val="Normal"/>
    <w:rsid w:val="00D41810"/>
    <w:pPr>
      <w:spacing w:after="100" w:afterAutospacing="1" w:before="100" w:beforeAutospacing="1"/>
    </w:pPr>
    <w:rPr>
      <w:lang w:val="es-MX"/>
    </w:rPr>
  </w:style>
  <w:style w:type="paragraph" w:styleId="m-698976158124685028gmail-msonormal" w:customStyle="1">
    <w:name w:val="m_-698976158124685028gmail-msonormal"/>
    <w:basedOn w:val="Normal"/>
    <w:rsid w:val="00D41810"/>
    <w:pPr>
      <w:spacing w:after="100" w:afterAutospacing="1" w:before="100" w:beforeAutospacing="1"/>
    </w:pPr>
    <w:rPr>
      <w:lang w:val="es-MX"/>
    </w:rPr>
  </w:style>
  <w:style w:type="character" w:styleId="m-698976158124685028gmail-apple-converted-space" w:customStyle="1">
    <w:name w:val="m_-698976158124685028gmail-apple-converted-space"/>
    <w:basedOn w:val="Fuentedeprrafopredeter"/>
    <w:rsid w:val="00D41810"/>
  </w:style>
  <w:style w:type="character" w:styleId="il" w:customStyle="1">
    <w:name w:val="il"/>
    <w:basedOn w:val="Fuentedeprrafopredeter"/>
    <w:rsid w:val="00BE068C"/>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dof.gob.mx/nota_detalle.php?codigo=5492254&amp;fecha=28/07/2017" TargetMode="External"/><Relationship Id="rId11" Type="http://schemas.openxmlformats.org/officeDocument/2006/relationships/image" Target="media/image8.png"/><Relationship Id="rId22" Type="http://schemas.openxmlformats.org/officeDocument/2006/relationships/header" Target="header1.xml"/><Relationship Id="rId10" Type="http://schemas.openxmlformats.org/officeDocument/2006/relationships/image" Target="media/image12.png"/><Relationship Id="rId21" Type="http://schemas.openxmlformats.org/officeDocument/2006/relationships/header" Target="header2.xml"/><Relationship Id="rId13" Type="http://schemas.openxmlformats.org/officeDocument/2006/relationships/image" Target="media/image5.png"/><Relationship Id="rId24" Type="http://schemas.openxmlformats.org/officeDocument/2006/relationships/footer" Target="footer1.xml"/><Relationship Id="rId12" Type="http://schemas.openxmlformats.org/officeDocument/2006/relationships/image" Target="media/image7.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9.png"/><Relationship Id="rId14" Type="http://schemas.openxmlformats.org/officeDocument/2006/relationships/image" Target="media/image10.png"/><Relationship Id="rId17" Type="http://schemas.openxmlformats.org/officeDocument/2006/relationships/image" Target="media/image11.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hyperlink" Target="https://consultas.curp.gob.mx/CurpSP/html/informacionecurpPS.html" TargetMode="External"/><Relationship Id="rId6" Type="http://schemas.openxmlformats.org/officeDocument/2006/relationships/customXml" Target="../customXML/item1.xml"/><Relationship Id="rId18" Type="http://schemas.openxmlformats.org/officeDocument/2006/relationships/hyperlink" Target="http://dof.gob.mx/nota_detalle.php?codigo=5492254&amp;fecha=28/07/2017" TargetMode="External"/><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q/5ekrToiNgN3+O03bjO9ed+9Q==">AMUW2mXfCZ551WyIryv9PV3EQqiwWvLvpDojak92w972TGQi+p7sIM6UeGOgvwZvzmoP8PmyIyY61jdzV/dFjvcQ+Ekg8bceb8mrUDH5SeKT0YSLlKXkVovTuvPSo8Y6h3z+9Lj3uAYAP8NDq02UisK72lAA1Tz8oA==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2022-04-08T05:04:00Z</dcterms:created>
  <dc:creator>iMac</dc:creator>
</cp:coreProperties>
</file>