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1B807A0A"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w:t>
      </w:r>
      <w:r w:rsidRPr="00256752">
        <w:rPr>
          <w:rFonts w:ascii="Palatino Linotype" w:hAnsi="Palatino Linotype" w:cs="Tahoma"/>
          <w:bCs/>
          <w:sz w:val="22"/>
          <w:szCs w:val="22"/>
        </w:rPr>
        <w:t xml:space="preserve">de México, de fecha </w:t>
      </w:r>
      <w:r w:rsidR="008C4879" w:rsidRPr="00256752">
        <w:rPr>
          <w:rFonts w:ascii="Palatino Linotype" w:hAnsi="Palatino Linotype" w:cs="Tahoma"/>
          <w:bCs/>
          <w:sz w:val="22"/>
          <w:szCs w:val="22"/>
        </w:rPr>
        <w:t>once</w:t>
      </w:r>
      <w:r w:rsidR="007D2BD0" w:rsidRPr="00256752">
        <w:rPr>
          <w:rFonts w:ascii="Palatino Linotype" w:hAnsi="Palatino Linotype" w:cs="Tahoma"/>
          <w:bCs/>
          <w:sz w:val="22"/>
          <w:szCs w:val="22"/>
        </w:rPr>
        <w:t xml:space="preserve"> de </w:t>
      </w:r>
      <w:r w:rsidR="00C43D9A" w:rsidRPr="00256752">
        <w:rPr>
          <w:rFonts w:ascii="Palatino Linotype" w:hAnsi="Palatino Linotype" w:cs="Tahoma"/>
          <w:bCs/>
          <w:sz w:val="22"/>
          <w:szCs w:val="22"/>
        </w:rPr>
        <w:t>ma</w:t>
      </w:r>
      <w:r w:rsidR="00F86B39" w:rsidRPr="00256752">
        <w:rPr>
          <w:rFonts w:ascii="Palatino Linotype" w:hAnsi="Palatino Linotype" w:cs="Tahoma"/>
          <w:bCs/>
          <w:sz w:val="22"/>
          <w:szCs w:val="22"/>
        </w:rPr>
        <w:t xml:space="preserve">yo </w:t>
      </w:r>
      <w:r w:rsidRPr="00256752">
        <w:rPr>
          <w:rFonts w:ascii="Palatino Linotype" w:hAnsi="Palatino Linotype" w:cs="Tahoma"/>
          <w:bCs/>
          <w:sz w:val="22"/>
          <w:szCs w:val="22"/>
        </w:rPr>
        <w:t>de dos mil veinti</w:t>
      </w:r>
      <w:r w:rsidR="00C43D9A" w:rsidRPr="00256752">
        <w:rPr>
          <w:rFonts w:ascii="Palatino Linotype" w:hAnsi="Palatino Linotype" w:cs="Tahoma"/>
          <w:bCs/>
          <w:sz w:val="22"/>
          <w:szCs w:val="22"/>
        </w:rPr>
        <w:t>dós</w:t>
      </w:r>
      <w:r w:rsidRPr="00256752">
        <w:rPr>
          <w:rFonts w:ascii="Palatino Linotype" w:hAnsi="Palatino Linotype" w:cs="Tahoma"/>
          <w:bCs/>
          <w:sz w:val="22"/>
          <w:szCs w:val="22"/>
        </w:rPr>
        <w:t>.</w:t>
      </w:r>
      <w:r w:rsidRPr="000B7ED7">
        <w:rPr>
          <w:rFonts w:ascii="Palatino Linotype" w:hAnsi="Palatino Linotype" w:cs="Tahoma"/>
          <w:bCs/>
          <w:sz w:val="22"/>
          <w:szCs w:val="22"/>
        </w:rPr>
        <w:t xml:space="preserve"> </w:t>
      </w:r>
    </w:p>
    <w:p w14:paraId="6EA90397" w14:textId="77777777" w:rsidR="00836192" w:rsidRPr="000B7ED7" w:rsidRDefault="00836192" w:rsidP="00836192">
      <w:pPr>
        <w:spacing w:line="360" w:lineRule="auto"/>
        <w:rPr>
          <w:rFonts w:ascii="Palatino Linotype" w:hAnsi="Palatino Linotype" w:cs="Tahoma"/>
          <w:bCs/>
          <w:sz w:val="22"/>
          <w:szCs w:val="22"/>
        </w:rPr>
      </w:pPr>
    </w:p>
    <w:p w14:paraId="64FBBD27" w14:textId="68C82E4D" w:rsidR="00836192" w:rsidRPr="000B7ED7" w:rsidRDefault="00836192" w:rsidP="00D5551D">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el expediente conformado con motivo de</w:t>
      </w:r>
      <w:r w:rsidR="008912D9">
        <w:rPr>
          <w:rFonts w:ascii="Palatino Linotype" w:hAnsi="Palatino Linotype" w:cs="Tahoma"/>
          <w:bCs/>
          <w:color w:val="0D0D0D" w:themeColor="text1" w:themeTint="F2"/>
          <w:sz w:val="22"/>
          <w:szCs w:val="22"/>
        </w:rPr>
        <w:t xml:space="preserve"> </w:t>
      </w:r>
      <w:r w:rsidRPr="000B7ED7">
        <w:rPr>
          <w:rFonts w:ascii="Palatino Linotype" w:hAnsi="Palatino Linotype" w:cs="Tahoma"/>
          <w:bCs/>
          <w:color w:val="0D0D0D" w:themeColor="text1" w:themeTint="F2"/>
          <w:sz w:val="22"/>
          <w:szCs w:val="22"/>
        </w:rPr>
        <w:t>l</w:t>
      </w:r>
      <w:r w:rsidR="008912D9">
        <w:rPr>
          <w:rFonts w:ascii="Palatino Linotype" w:hAnsi="Palatino Linotype" w:cs="Tahoma"/>
          <w:bCs/>
          <w:color w:val="0D0D0D" w:themeColor="text1" w:themeTint="F2"/>
          <w:sz w:val="22"/>
          <w:szCs w:val="22"/>
        </w:rPr>
        <w:t>os</w:t>
      </w:r>
      <w:r w:rsidRPr="000B7ED7">
        <w:rPr>
          <w:rFonts w:ascii="Palatino Linotype" w:hAnsi="Palatino Linotype" w:cs="Tahoma"/>
          <w:bCs/>
          <w:color w:val="0D0D0D" w:themeColor="text1" w:themeTint="F2"/>
          <w:sz w:val="22"/>
          <w:szCs w:val="22"/>
        </w:rPr>
        <w:t xml:space="preserve"> Recurso</w:t>
      </w:r>
      <w:r w:rsidR="008912D9">
        <w:rPr>
          <w:rFonts w:ascii="Palatino Linotype" w:hAnsi="Palatino Linotype" w:cs="Tahoma"/>
          <w:bCs/>
          <w:color w:val="0D0D0D" w:themeColor="text1" w:themeTint="F2"/>
          <w:sz w:val="22"/>
          <w:szCs w:val="22"/>
        </w:rPr>
        <w:t>s</w:t>
      </w:r>
      <w:r w:rsidRPr="000B7ED7">
        <w:rPr>
          <w:rFonts w:ascii="Palatino Linotype" w:hAnsi="Palatino Linotype" w:cs="Tahoma"/>
          <w:bCs/>
          <w:color w:val="0D0D0D" w:themeColor="text1" w:themeTint="F2"/>
          <w:sz w:val="22"/>
          <w:szCs w:val="22"/>
        </w:rPr>
        <w:t xml:space="preserve"> de Revisión </w:t>
      </w:r>
      <w:r w:rsidR="008912D9" w:rsidRPr="0057023C">
        <w:rPr>
          <w:rFonts w:ascii="Palatino Linotype" w:eastAsia="Batang" w:hAnsi="Palatino Linotype" w:cs="Tahoma"/>
          <w:bCs/>
          <w:sz w:val="22"/>
          <w:szCs w:val="22"/>
          <w:lang w:val="es-ES_tradnl"/>
        </w:rPr>
        <w:t>01606/INFOEM/IP/RR/2022, 01723/INFOEM/IP/RR/2022 y  01725/INFOEM/IP/RR/2022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256752" w:rsidRPr="00256752">
        <w:rPr>
          <w:rFonts w:ascii="Palatino Linotype" w:hAnsi="Palatino Linotype" w:cs="Tahoma"/>
          <w:color w:val="0D0D0D" w:themeColor="text1" w:themeTint="F2"/>
          <w:sz w:val="22"/>
          <w:szCs w:val="22"/>
        </w:rPr>
        <w:t>Sistema Municipal Para el Desarrollo Integral de la Familia de Metepec</w:t>
      </w:r>
      <w:r w:rsidRPr="000B7ED7">
        <w:rPr>
          <w:rFonts w:ascii="Palatino Linotype" w:hAnsi="Palatino Linotype" w:cs="Tahoma"/>
          <w:bCs/>
          <w:color w:val="0D0D0D" w:themeColor="text1" w:themeTint="F2"/>
          <w:sz w:val="22"/>
          <w:szCs w:val="22"/>
        </w:rPr>
        <w:t>, a la</w:t>
      </w:r>
      <w:r w:rsidR="00D5551D">
        <w:rPr>
          <w:rFonts w:ascii="Palatino Linotype" w:hAnsi="Palatino Linotype" w:cs="Tahoma"/>
          <w:bCs/>
          <w:color w:val="0D0D0D" w:themeColor="text1" w:themeTint="F2"/>
          <w:sz w:val="22"/>
          <w:szCs w:val="22"/>
        </w:rPr>
        <w:t>s</w:t>
      </w:r>
      <w:r w:rsidRPr="000B7ED7">
        <w:rPr>
          <w:rFonts w:ascii="Palatino Linotype" w:hAnsi="Palatino Linotype" w:cs="Tahoma"/>
          <w:bCs/>
          <w:color w:val="0D0D0D" w:themeColor="text1" w:themeTint="F2"/>
          <w:sz w:val="22"/>
          <w:szCs w:val="22"/>
        </w:rPr>
        <w:t xml:space="preserve"> solicitud</w:t>
      </w:r>
      <w:r w:rsidR="00D5551D">
        <w:rPr>
          <w:rFonts w:ascii="Palatino Linotype" w:hAnsi="Palatino Linotype" w:cs="Tahoma"/>
          <w:bCs/>
          <w:color w:val="0D0D0D" w:themeColor="text1" w:themeTint="F2"/>
          <w:sz w:val="22"/>
          <w:szCs w:val="22"/>
        </w:rPr>
        <w:t>es</w:t>
      </w:r>
      <w:r w:rsidRPr="000B7ED7">
        <w:rPr>
          <w:rFonts w:ascii="Palatino Linotype" w:hAnsi="Palatino Linotype" w:cs="Tahoma"/>
          <w:bCs/>
          <w:color w:val="0D0D0D" w:themeColor="text1" w:themeTint="F2"/>
          <w:sz w:val="22"/>
          <w:szCs w:val="22"/>
        </w:rPr>
        <w:t xml:space="preserve"> de </w:t>
      </w:r>
      <w:r w:rsidRPr="009303E9">
        <w:rPr>
          <w:rFonts w:ascii="Palatino Linotype" w:hAnsi="Palatino Linotype" w:cs="Tahoma"/>
          <w:bCs/>
          <w:color w:val="0D0D0D" w:themeColor="text1" w:themeTint="F2"/>
          <w:sz w:val="22"/>
          <w:szCs w:val="22"/>
        </w:rPr>
        <w:t>acceso a la información pública</w:t>
      </w:r>
      <w:r w:rsidR="00FE7D5E">
        <w:rPr>
          <w:rFonts w:ascii="Palatino Linotype" w:hAnsi="Palatino Linotype" w:cs="Tahoma"/>
          <w:bCs/>
          <w:color w:val="0D0D0D" w:themeColor="text1" w:themeTint="F2"/>
          <w:sz w:val="22"/>
          <w:szCs w:val="22"/>
        </w:rPr>
        <w:t xml:space="preserve"> 00066/DIFMETEPEC/IP/2022, 00068/DIFMETEPEC/IP/2022 y </w:t>
      </w:r>
      <w:r w:rsidR="00FE7D5E" w:rsidRPr="00FE7D5E">
        <w:rPr>
          <w:rFonts w:ascii="Palatino Linotype" w:hAnsi="Palatino Linotype" w:cs="Tahoma"/>
          <w:bCs/>
          <w:color w:val="0D0D0D" w:themeColor="text1" w:themeTint="F2"/>
          <w:sz w:val="22"/>
          <w:szCs w:val="22"/>
        </w:rPr>
        <w:t>00630/DIFMETEPEC/IP/2022</w:t>
      </w:r>
      <w:r w:rsidR="00FE7D5E">
        <w:rPr>
          <w:rFonts w:ascii="Palatino Linotype" w:hAnsi="Palatino Linotype" w:cs="Tahoma"/>
          <w:bCs/>
          <w:color w:val="0D0D0D" w:themeColor="text1" w:themeTint="F2"/>
          <w:sz w:val="22"/>
          <w:szCs w:val="22"/>
        </w:rPr>
        <w:t xml:space="preserve"> </w:t>
      </w:r>
      <w:r w:rsidRPr="009303E9">
        <w:rPr>
          <w:rFonts w:ascii="Palatino Linotype" w:hAnsi="Palatino Linotype" w:cs="Tahoma"/>
          <w:bCs/>
          <w:color w:val="0D0D0D" w:themeColor="text1" w:themeTint="F2"/>
          <w:sz w:val="22"/>
          <w:szCs w:val="22"/>
        </w:rPr>
        <w:t>se emite la presente Resolución, con base en los Antecedentes y C</w:t>
      </w:r>
      <w:r w:rsidRPr="009303E9">
        <w:rPr>
          <w:rFonts w:ascii="Palatino Linotype" w:hAnsi="Palatino Linotype" w:cs="Tahoma"/>
          <w:bCs/>
          <w:sz w:val="22"/>
          <w:szCs w:val="22"/>
        </w:rPr>
        <w:t>onsiderandos que a continuación se exponen:</w:t>
      </w:r>
    </w:p>
    <w:p w14:paraId="28946067" w14:textId="77777777" w:rsidR="00836192" w:rsidRPr="000B7ED7" w:rsidRDefault="00836192" w:rsidP="00836192">
      <w:pPr>
        <w:spacing w:line="360" w:lineRule="auto"/>
        <w:rPr>
          <w:rFonts w:ascii="Palatino Linotype" w:hAnsi="Palatino Linotype" w:cs="Tahoma"/>
          <w:sz w:val="22"/>
          <w:szCs w:val="22"/>
        </w:rPr>
      </w:pPr>
    </w:p>
    <w:p w14:paraId="5F432416" w14:textId="77777777" w:rsidR="00836192" w:rsidRPr="000B7ED7" w:rsidRDefault="00836192" w:rsidP="00836192">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9303E9">
      <w:pPr>
        <w:pStyle w:val="Prrafodelista"/>
        <w:tabs>
          <w:tab w:val="left" w:pos="567"/>
        </w:tabs>
        <w:spacing w:line="360" w:lineRule="auto"/>
        <w:ind w:left="567"/>
        <w:jc w:val="both"/>
        <w:rPr>
          <w:rFonts w:ascii="Palatino Linotype" w:hAnsi="Palatino Linotype" w:cs="Tahoma"/>
          <w:szCs w:val="22"/>
        </w:rPr>
      </w:pPr>
    </w:p>
    <w:p w14:paraId="1049213E" w14:textId="3EC6934C"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I. Presentación de la</w:t>
      </w:r>
      <w:r w:rsidR="009303E9">
        <w:rPr>
          <w:rFonts w:ascii="Palatino Linotype" w:hAnsi="Palatino Linotype" w:cs="Tahoma"/>
          <w:b/>
          <w:szCs w:val="22"/>
        </w:rPr>
        <w:t>s</w:t>
      </w:r>
      <w:r w:rsidRPr="000B7ED7">
        <w:rPr>
          <w:rFonts w:ascii="Palatino Linotype" w:hAnsi="Palatino Linotype" w:cs="Tahoma"/>
          <w:b/>
          <w:szCs w:val="22"/>
        </w:rPr>
        <w:t xml:space="preserve"> solicitud</w:t>
      </w:r>
      <w:r w:rsidR="009303E9">
        <w:rPr>
          <w:rFonts w:ascii="Palatino Linotype" w:hAnsi="Palatino Linotype" w:cs="Tahoma"/>
          <w:b/>
          <w:szCs w:val="22"/>
        </w:rPr>
        <w:t>es</w:t>
      </w:r>
      <w:r w:rsidRPr="000B7ED7">
        <w:rPr>
          <w:rFonts w:ascii="Palatino Linotype" w:hAnsi="Palatino Linotype" w:cs="Tahoma"/>
          <w:b/>
          <w:szCs w:val="22"/>
        </w:rPr>
        <w:t xml:space="preserve"> de información. </w:t>
      </w:r>
    </w:p>
    <w:p w14:paraId="608CFBE6"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1BA87F1F" w14:textId="1CB69AE6" w:rsidR="00836192" w:rsidRDefault="00836192" w:rsidP="00836192">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szCs w:val="22"/>
        </w:rPr>
        <w:t xml:space="preserve">Con fecha </w:t>
      </w:r>
      <w:r w:rsidR="009303E9">
        <w:rPr>
          <w:rFonts w:ascii="Palatino Linotype" w:hAnsi="Palatino Linotype" w:cs="Tahoma"/>
          <w:szCs w:val="22"/>
        </w:rPr>
        <w:t>once</w:t>
      </w:r>
      <w:r w:rsidR="0086262C" w:rsidRPr="000B7ED7">
        <w:rPr>
          <w:rFonts w:ascii="Palatino Linotype" w:hAnsi="Palatino Linotype" w:cs="Tahoma"/>
          <w:szCs w:val="22"/>
        </w:rPr>
        <w:t xml:space="preserve"> de </w:t>
      </w:r>
      <w:r w:rsidR="00C43D9A">
        <w:rPr>
          <w:rFonts w:ascii="Palatino Linotype" w:hAnsi="Palatino Linotype" w:cs="Tahoma"/>
          <w:szCs w:val="22"/>
        </w:rPr>
        <w:t>enero</w:t>
      </w:r>
      <w:r w:rsidRPr="000B7ED7">
        <w:rPr>
          <w:rFonts w:ascii="Palatino Linotype" w:hAnsi="Palatino Linotype" w:cs="Tahoma"/>
          <w:szCs w:val="22"/>
        </w:rPr>
        <w:t xml:space="preserve"> </w:t>
      </w:r>
      <w:r w:rsidR="009303E9">
        <w:rPr>
          <w:rFonts w:ascii="Palatino Linotype" w:hAnsi="Palatino Linotype" w:cs="Tahoma"/>
          <w:szCs w:val="22"/>
        </w:rPr>
        <w:t xml:space="preserve">y quince de febrero </w:t>
      </w:r>
      <w:r w:rsidRPr="000B7ED7">
        <w:rPr>
          <w:rFonts w:ascii="Palatino Linotype" w:hAnsi="Palatino Linotype" w:cs="Tahoma"/>
          <w:szCs w:val="22"/>
        </w:rPr>
        <w:t>de dos mil veinti</w:t>
      </w:r>
      <w:r w:rsidR="00C43D9A">
        <w:rPr>
          <w:rFonts w:ascii="Palatino Linotype" w:hAnsi="Palatino Linotype" w:cs="Tahoma"/>
          <w:szCs w:val="22"/>
        </w:rPr>
        <w:t>dós</w:t>
      </w:r>
      <w:r w:rsidR="009303E9">
        <w:rPr>
          <w:rFonts w:ascii="Palatino Linotype" w:hAnsi="Palatino Linotype" w:cs="Tahoma"/>
          <w:szCs w:val="22"/>
        </w:rPr>
        <w:t>, el Particular presentó tres</w:t>
      </w:r>
      <w:r w:rsidRPr="000B7ED7">
        <w:rPr>
          <w:rFonts w:ascii="Palatino Linotype" w:hAnsi="Palatino Linotype" w:cs="Tahoma"/>
          <w:szCs w:val="22"/>
        </w:rPr>
        <w:t xml:space="preserve"> solicitud</w:t>
      </w:r>
      <w:r w:rsidR="009303E9">
        <w:rPr>
          <w:rFonts w:ascii="Palatino Linotype" w:hAnsi="Palatino Linotype" w:cs="Tahoma"/>
          <w:szCs w:val="22"/>
        </w:rPr>
        <w:t>es</w:t>
      </w:r>
      <w:r w:rsidRPr="000B7ED7">
        <w:rPr>
          <w:rFonts w:ascii="Palatino Linotype" w:hAnsi="Palatino Linotype" w:cs="Tahoma"/>
          <w:szCs w:val="22"/>
        </w:rPr>
        <w:t xml:space="preserve">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0086262C" w:rsidRPr="000B7ED7">
        <w:rPr>
          <w:rFonts w:ascii="Palatino Linotype" w:hAnsi="Palatino Linotype" w:cs="Tahoma"/>
          <w:szCs w:val="22"/>
        </w:rPr>
        <w:t xml:space="preserve"> </w:t>
      </w:r>
      <w:r w:rsidR="00F86B39" w:rsidRPr="00F86B39">
        <w:rPr>
          <w:rFonts w:ascii="Palatino Linotype" w:hAnsi="Palatino Linotype" w:cs="Tahoma"/>
          <w:szCs w:val="22"/>
        </w:rPr>
        <w:t>Ayuntamiento de Metepec</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14:paraId="246129B2" w14:textId="77777777" w:rsidR="0057023C" w:rsidRPr="000B7ED7" w:rsidRDefault="0057023C" w:rsidP="00836192">
      <w:pPr>
        <w:pStyle w:val="Prrafodelista"/>
        <w:tabs>
          <w:tab w:val="left" w:pos="567"/>
        </w:tabs>
        <w:spacing w:line="360" w:lineRule="auto"/>
        <w:ind w:left="0"/>
        <w:jc w:val="both"/>
        <w:rPr>
          <w:rFonts w:ascii="Palatino Linotype" w:hAnsi="Palatino Linotype" w:cs="Tahoma"/>
          <w:b/>
          <w:szCs w:val="22"/>
        </w:rPr>
      </w:pPr>
    </w:p>
    <w:p w14:paraId="789F0ED4" w14:textId="77777777" w:rsidR="000D1272" w:rsidRPr="0057023C" w:rsidRDefault="000D1272" w:rsidP="000D1272">
      <w:pPr>
        <w:tabs>
          <w:tab w:val="left" w:pos="4667"/>
        </w:tabs>
        <w:spacing w:line="360" w:lineRule="auto"/>
        <w:ind w:left="567" w:right="567"/>
        <w:jc w:val="both"/>
        <w:rPr>
          <w:rFonts w:ascii="Palatino Linotype" w:hAnsi="Palatino Linotype" w:cs="Tahoma"/>
        </w:rPr>
      </w:pPr>
      <w:r w:rsidRPr="0057023C">
        <w:rPr>
          <w:rFonts w:ascii="Palatino Linotype" w:hAnsi="Palatino Linotype" w:cs="Tahoma"/>
        </w:rPr>
        <w:t xml:space="preserve">00066/DIFMETEPEC/IP/2022 </w:t>
      </w:r>
    </w:p>
    <w:p w14:paraId="0908D9CC" w14:textId="77777777" w:rsidR="000D1272" w:rsidRPr="0057023C" w:rsidRDefault="000D1272" w:rsidP="000D1272">
      <w:pPr>
        <w:tabs>
          <w:tab w:val="left" w:pos="4667"/>
        </w:tabs>
        <w:spacing w:line="360" w:lineRule="auto"/>
        <w:ind w:left="567" w:right="567"/>
        <w:jc w:val="both"/>
        <w:rPr>
          <w:rFonts w:ascii="Palatino Linotype" w:hAnsi="Palatino Linotype" w:cs="Tahoma"/>
          <w:b/>
          <w:bCs/>
          <w:i/>
        </w:rPr>
      </w:pPr>
      <w:r w:rsidRPr="0057023C">
        <w:rPr>
          <w:rFonts w:ascii="Palatino Linotype" w:hAnsi="Palatino Linotype" w:cs="Tahoma"/>
          <w:b/>
          <w:bCs/>
          <w:i/>
        </w:rPr>
        <w:t>“DESCRIPCIÓN CLARA Y PRECISA DE LA INFORMACIÓN SOLICITADA</w:t>
      </w:r>
    </w:p>
    <w:p w14:paraId="33982779" w14:textId="06F6CE7F" w:rsidR="000D1272" w:rsidRPr="0057023C" w:rsidRDefault="000D1272" w:rsidP="000D1272">
      <w:pPr>
        <w:tabs>
          <w:tab w:val="left" w:pos="4667"/>
        </w:tabs>
        <w:spacing w:line="360" w:lineRule="auto"/>
        <w:ind w:left="567" w:right="567"/>
        <w:jc w:val="both"/>
        <w:rPr>
          <w:rFonts w:ascii="Palatino Linotype" w:hAnsi="Palatino Linotype" w:cs="Tahoma"/>
          <w:bCs/>
          <w:i/>
        </w:rPr>
      </w:pPr>
      <w:r w:rsidRPr="0057023C">
        <w:rPr>
          <w:rFonts w:ascii="Palatino Linotype" w:hAnsi="Palatino Linotype" w:cs="Tahoma"/>
          <w:bCs/>
          <w:i/>
        </w:rPr>
        <w:t xml:space="preserve">Solicito una copia, en pdf, del cv de la directora general </w:t>
      </w:r>
      <w:proofErr w:type="spellStart"/>
      <w:r w:rsidRPr="0057023C">
        <w:rPr>
          <w:rFonts w:ascii="Palatino Linotype" w:hAnsi="Palatino Linotype" w:cs="Tahoma"/>
          <w:bCs/>
          <w:i/>
        </w:rPr>
        <w:t>maria</w:t>
      </w:r>
      <w:proofErr w:type="spellEnd"/>
      <w:r w:rsidRPr="0057023C">
        <w:rPr>
          <w:rFonts w:ascii="Palatino Linotype" w:hAnsi="Palatino Linotype" w:cs="Tahoma"/>
          <w:bCs/>
          <w:i/>
        </w:rPr>
        <w:t xml:space="preserve"> </w:t>
      </w:r>
      <w:proofErr w:type="spellStart"/>
      <w:r w:rsidRPr="0057023C">
        <w:rPr>
          <w:rFonts w:ascii="Palatino Linotype" w:hAnsi="Palatino Linotype" w:cs="Tahoma"/>
          <w:bCs/>
          <w:i/>
        </w:rPr>
        <w:t>elisa</w:t>
      </w:r>
      <w:proofErr w:type="spellEnd"/>
      <w:r w:rsidRPr="0057023C">
        <w:rPr>
          <w:rFonts w:ascii="Palatino Linotype" w:hAnsi="Palatino Linotype" w:cs="Tahoma"/>
          <w:bCs/>
          <w:i/>
        </w:rPr>
        <w:t xml:space="preserve"> quijada </w:t>
      </w:r>
      <w:proofErr w:type="spellStart"/>
      <w:r w:rsidRPr="0057023C">
        <w:rPr>
          <w:rFonts w:ascii="Palatino Linotype" w:hAnsi="Palatino Linotype" w:cs="Tahoma"/>
          <w:bCs/>
          <w:i/>
        </w:rPr>
        <w:t>badillo</w:t>
      </w:r>
      <w:proofErr w:type="spellEnd"/>
      <w:r w:rsidRPr="0057023C">
        <w:rPr>
          <w:rFonts w:ascii="Palatino Linotype" w:hAnsi="Palatino Linotype" w:cs="Tahoma"/>
          <w:bCs/>
          <w:i/>
        </w:rPr>
        <w:t>.” (Sic)</w:t>
      </w:r>
    </w:p>
    <w:p w14:paraId="330E07B5" w14:textId="77777777" w:rsidR="000D1272" w:rsidRPr="0057023C" w:rsidRDefault="000D1272" w:rsidP="009303E9">
      <w:pPr>
        <w:pStyle w:val="Prrafodelista"/>
        <w:tabs>
          <w:tab w:val="left" w:pos="567"/>
        </w:tabs>
        <w:spacing w:line="360" w:lineRule="auto"/>
        <w:ind w:left="567"/>
        <w:jc w:val="both"/>
        <w:rPr>
          <w:rFonts w:ascii="Palatino Linotype" w:hAnsi="Palatino Linotype" w:cs="Tahoma"/>
          <w:sz w:val="20"/>
          <w:szCs w:val="20"/>
        </w:rPr>
      </w:pPr>
    </w:p>
    <w:p w14:paraId="2A219690" w14:textId="1D270652" w:rsidR="00836192" w:rsidRPr="0057023C" w:rsidRDefault="009303E9" w:rsidP="009303E9">
      <w:pPr>
        <w:pStyle w:val="Prrafodelista"/>
        <w:tabs>
          <w:tab w:val="left" w:pos="567"/>
        </w:tabs>
        <w:spacing w:line="360" w:lineRule="auto"/>
        <w:ind w:left="567"/>
        <w:jc w:val="both"/>
        <w:rPr>
          <w:rFonts w:ascii="Palatino Linotype" w:hAnsi="Palatino Linotype" w:cs="Tahoma"/>
          <w:sz w:val="20"/>
          <w:szCs w:val="20"/>
        </w:rPr>
      </w:pPr>
      <w:r w:rsidRPr="0057023C">
        <w:rPr>
          <w:rFonts w:ascii="Palatino Linotype" w:hAnsi="Palatino Linotype" w:cs="Tahoma"/>
          <w:sz w:val="20"/>
          <w:szCs w:val="20"/>
        </w:rPr>
        <w:t>00068/DIFMETEPEC/IP/2022</w:t>
      </w:r>
    </w:p>
    <w:p w14:paraId="043D5A48" w14:textId="3623C826" w:rsidR="00F86B39" w:rsidRPr="0057023C" w:rsidRDefault="0086262C" w:rsidP="00F86B39">
      <w:pPr>
        <w:tabs>
          <w:tab w:val="left" w:pos="4667"/>
        </w:tabs>
        <w:spacing w:line="360" w:lineRule="auto"/>
        <w:ind w:left="567" w:right="567"/>
        <w:jc w:val="both"/>
        <w:rPr>
          <w:rFonts w:ascii="Palatino Linotype" w:hAnsi="Palatino Linotype" w:cs="Tahoma"/>
          <w:b/>
          <w:bCs/>
          <w:i/>
        </w:rPr>
      </w:pPr>
      <w:r w:rsidRPr="0057023C">
        <w:rPr>
          <w:rFonts w:ascii="Palatino Linotype" w:hAnsi="Palatino Linotype" w:cs="Tahoma"/>
          <w:b/>
          <w:bCs/>
          <w:i/>
        </w:rPr>
        <w:t>“</w:t>
      </w:r>
      <w:r w:rsidR="00836192" w:rsidRPr="0057023C">
        <w:rPr>
          <w:rFonts w:ascii="Palatino Linotype" w:hAnsi="Palatino Linotype" w:cs="Tahoma"/>
          <w:b/>
          <w:bCs/>
          <w:i/>
        </w:rPr>
        <w:t>DESCRIPCIÓN CLARA Y PRECISA DE LA INFORMACIÓN SOLICITADA</w:t>
      </w:r>
    </w:p>
    <w:p w14:paraId="5BF45220" w14:textId="2BD770E8" w:rsidR="00836192" w:rsidRPr="0057023C" w:rsidRDefault="000D1272" w:rsidP="00F86B39">
      <w:pPr>
        <w:tabs>
          <w:tab w:val="left" w:pos="4667"/>
        </w:tabs>
        <w:spacing w:line="360" w:lineRule="auto"/>
        <w:ind w:left="567" w:right="567"/>
        <w:jc w:val="both"/>
        <w:rPr>
          <w:rFonts w:ascii="Palatino Linotype" w:hAnsi="Palatino Linotype" w:cs="Tahoma"/>
          <w:bCs/>
          <w:i/>
        </w:rPr>
      </w:pPr>
      <w:r w:rsidRPr="0057023C">
        <w:rPr>
          <w:rFonts w:ascii="Palatino Linotype" w:hAnsi="Palatino Linotype" w:cs="Tahoma"/>
          <w:bCs/>
          <w:i/>
        </w:rPr>
        <w:lastRenderedPageBreak/>
        <w:t xml:space="preserve">Solicito una copia en pdf, del cv de la titular del órgano interno de control del </w:t>
      </w:r>
      <w:proofErr w:type="spellStart"/>
      <w:r w:rsidRPr="0057023C">
        <w:rPr>
          <w:rFonts w:ascii="Palatino Linotype" w:hAnsi="Palatino Linotype" w:cs="Tahoma"/>
          <w:bCs/>
          <w:i/>
        </w:rPr>
        <w:t>smdif</w:t>
      </w:r>
      <w:proofErr w:type="spellEnd"/>
      <w:r w:rsidRPr="0057023C">
        <w:rPr>
          <w:rFonts w:ascii="Palatino Linotype" w:hAnsi="Palatino Linotype" w:cs="Tahoma"/>
          <w:bCs/>
          <w:i/>
        </w:rPr>
        <w:t xml:space="preserve"> </w:t>
      </w:r>
      <w:proofErr w:type="spellStart"/>
      <w:r w:rsidRPr="0057023C">
        <w:rPr>
          <w:rFonts w:ascii="Palatino Linotype" w:hAnsi="Palatino Linotype" w:cs="Tahoma"/>
          <w:bCs/>
          <w:i/>
        </w:rPr>
        <w:t>metepec</w:t>
      </w:r>
      <w:proofErr w:type="spellEnd"/>
      <w:r w:rsidR="00F86B39" w:rsidRPr="0057023C">
        <w:rPr>
          <w:rFonts w:ascii="Palatino Linotype" w:hAnsi="Palatino Linotype" w:cs="Tahoma"/>
          <w:bCs/>
          <w:i/>
        </w:rPr>
        <w:t>.</w:t>
      </w:r>
      <w:r w:rsidR="0086262C" w:rsidRPr="0057023C">
        <w:rPr>
          <w:rFonts w:ascii="Palatino Linotype" w:hAnsi="Palatino Linotype" w:cs="Tahoma"/>
          <w:bCs/>
          <w:i/>
        </w:rPr>
        <w:t>”</w:t>
      </w:r>
      <w:r w:rsidR="00CF6D4F" w:rsidRPr="0057023C">
        <w:rPr>
          <w:rFonts w:ascii="Palatino Linotype" w:hAnsi="Palatino Linotype" w:cs="Tahoma"/>
          <w:bCs/>
          <w:i/>
        </w:rPr>
        <w:t xml:space="preserve"> </w:t>
      </w:r>
      <w:r w:rsidR="00836192" w:rsidRPr="0057023C">
        <w:rPr>
          <w:rFonts w:ascii="Palatino Linotype" w:hAnsi="Palatino Linotype" w:cs="Tahoma"/>
          <w:bCs/>
          <w:i/>
        </w:rPr>
        <w:t>(Sic)</w:t>
      </w:r>
    </w:p>
    <w:p w14:paraId="455CA252" w14:textId="77777777" w:rsidR="000D1272" w:rsidRPr="0057023C" w:rsidRDefault="000D1272" w:rsidP="009303E9">
      <w:pPr>
        <w:tabs>
          <w:tab w:val="left" w:pos="4667"/>
        </w:tabs>
        <w:spacing w:line="360" w:lineRule="auto"/>
        <w:ind w:left="567" w:right="567"/>
        <w:jc w:val="both"/>
        <w:rPr>
          <w:rFonts w:ascii="Palatino Linotype" w:hAnsi="Palatino Linotype" w:cs="Tahoma"/>
        </w:rPr>
      </w:pPr>
    </w:p>
    <w:p w14:paraId="20BB3655" w14:textId="77777777" w:rsidR="000D1272" w:rsidRPr="0057023C" w:rsidRDefault="000D1272" w:rsidP="009303E9">
      <w:pPr>
        <w:tabs>
          <w:tab w:val="left" w:pos="4667"/>
        </w:tabs>
        <w:spacing w:line="360" w:lineRule="auto"/>
        <w:ind w:left="567" w:right="567"/>
        <w:jc w:val="both"/>
        <w:rPr>
          <w:rFonts w:ascii="Palatino Linotype" w:hAnsi="Palatino Linotype" w:cs="Tahoma"/>
        </w:rPr>
      </w:pPr>
      <w:r w:rsidRPr="0057023C">
        <w:rPr>
          <w:rFonts w:ascii="Palatino Linotype" w:hAnsi="Palatino Linotype" w:cs="Tahoma"/>
        </w:rPr>
        <w:t xml:space="preserve">00630/DIFMETEPEC/IP/2022 </w:t>
      </w:r>
    </w:p>
    <w:p w14:paraId="3B0EA855" w14:textId="4920268E" w:rsidR="009303E9" w:rsidRPr="0057023C" w:rsidRDefault="009303E9" w:rsidP="009303E9">
      <w:pPr>
        <w:tabs>
          <w:tab w:val="left" w:pos="4667"/>
        </w:tabs>
        <w:spacing w:line="360" w:lineRule="auto"/>
        <w:ind w:left="567" w:right="567"/>
        <w:jc w:val="both"/>
        <w:rPr>
          <w:rFonts w:ascii="Palatino Linotype" w:hAnsi="Palatino Linotype" w:cs="Tahoma"/>
          <w:b/>
          <w:bCs/>
          <w:i/>
        </w:rPr>
      </w:pPr>
      <w:r w:rsidRPr="0057023C">
        <w:rPr>
          <w:rFonts w:ascii="Palatino Linotype" w:hAnsi="Palatino Linotype" w:cs="Tahoma"/>
          <w:b/>
          <w:bCs/>
          <w:i/>
        </w:rPr>
        <w:t>“DESCRIPCIÓN CLARA Y PRECISA DE LA INFORMACIÓN SOLICITADA</w:t>
      </w:r>
    </w:p>
    <w:p w14:paraId="3C5CA251" w14:textId="4EC75CAB" w:rsidR="009303E9" w:rsidRPr="0057023C" w:rsidRDefault="000D1272" w:rsidP="009303E9">
      <w:pPr>
        <w:tabs>
          <w:tab w:val="left" w:pos="4667"/>
        </w:tabs>
        <w:spacing w:line="360" w:lineRule="auto"/>
        <w:ind w:left="567" w:right="567"/>
        <w:jc w:val="both"/>
        <w:rPr>
          <w:rFonts w:ascii="Palatino Linotype" w:hAnsi="Palatino Linotype" w:cs="Tahoma"/>
          <w:bCs/>
          <w:i/>
        </w:rPr>
      </w:pPr>
      <w:r w:rsidRPr="0057023C">
        <w:rPr>
          <w:rFonts w:ascii="Palatino Linotype" w:hAnsi="Palatino Linotype" w:cs="Tahoma"/>
          <w:bCs/>
          <w:i/>
        </w:rPr>
        <w:t>Solicito por este medio de forma digitalizada el CV de Diana Mireya Sandoval Pérez</w:t>
      </w:r>
      <w:r w:rsidR="009303E9" w:rsidRPr="0057023C">
        <w:rPr>
          <w:rFonts w:ascii="Palatino Linotype" w:hAnsi="Palatino Linotype" w:cs="Tahoma"/>
          <w:bCs/>
          <w:i/>
        </w:rPr>
        <w:t>” (Sic)</w:t>
      </w:r>
    </w:p>
    <w:p w14:paraId="48CBC44F" w14:textId="77777777" w:rsidR="009303E9" w:rsidRPr="000B7ED7" w:rsidRDefault="009303E9" w:rsidP="009303E9">
      <w:pPr>
        <w:tabs>
          <w:tab w:val="left" w:pos="4667"/>
        </w:tabs>
        <w:spacing w:line="360" w:lineRule="auto"/>
        <w:ind w:left="567" w:right="567"/>
        <w:jc w:val="both"/>
        <w:rPr>
          <w:rFonts w:ascii="Palatino Linotype" w:hAnsi="Palatino Linotype" w:cs="Tahoma"/>
          <w:bCs/>
          <w:i/>
        </w:rPr>
      </w:pPr>
    </w:p>
    <w:p w14:paraId="15E3F65D" w14:textId="25E3E21E" w:rsidR="009303E9" w:rsidRPr="000D1272" w:rsidRDefault="000D1272" w:rsidP="008912D9">
      <w:pPr>
        <w:tabs>
          <w:tab w:val="left" w:pos="4667"/>
        </w:tabs>
        <w:spacing w:line="360" w:lineRule="auto"/>
        <w:jc w:val="both"/>
        <w:rPr>
          <w:rFonts w:ascii="Palatino Linotype" w:hAnsi="Palatino Linotype" w:cs="Tahoma"/>
          <w:bCs/>
          <w:sz w:val="22"/>
        </w:rPr>
      </w:pPr>
      <w:r w:rsidRPr="000D1272">
        <w:rPr>
          <w:rFonts w:ascii="Palatino Linotype" w:hAnsi="Palatino Linotype" w:cs="Tahoma"/>
          <w:bCs/>
          <w:sz w:val="22"/>
        </w:rPr>
        <w:t xml:space="preserve">En </w:t>
      </w:r>
      <w:r w:rsidR="00FE7D5E" w:rsidRPr="000D1272">
        <w:rPr>
          <w:rFonts w:ascii="Palatino Linotype" w:hAnsi="Palatino Linotype" w:cs="Tahoma"/>
          <w:bCs/>
          <w:sz w:val="22"/>
        </w:rPr>
        <w:t>las</w:t>
      </w:r>
      <w:r w:rsidRPr="000D1272">
        <w:rPr>
          <w:rFonts w:ascii="Palatino Linotype" w:hAnsi="Palatino Linotype" w:cs="Tahoma"/>
          <w:bCs/>
          <w:sz w:val="22"/>
        </w:rPr>
        <w:t xml:space="preserve"> tres solicitudes de información, </w:t>
      </w:r>
      <w:r>
        <w:rPr>
          <w:rFonts w:ascii="Palatino Linotype" w:hAnsi="Palatino Linotype" w:cs="Tahoma"/>
          <w:bCs/>
          <w:sz w:val="22"/>
        </w:rPr>
        <w:t>e</w:t>
      </w:r>
      <w:r w:rsidRPr="000D1272">
        <w:rPr>
          <w:rFonts w:ascii="Palatino Linotype" w:hAnsi="Palatino Linotype" w:cs="Tahoma"/>
          <w:bCs/>
          <w:sz w:val="22"/>
        </w:rPr>
        <w:t>l Particular eligió como modalidad de entrega a</w:t>
      </w:r>
      <w:r w:rsidR="009303E9" w:rsidRPr="000D1272">
        <w:rPr>
          <w:rFonts w:ascii="Palatino Linotype" w:hAnsi="Palatino Linotype" w:cs="Tahoma"/>
          <w:bCs/>
          <w:sz w:val="22"/>
        </w:rPr>
        <w:t xml:space="preserve"> través del SAIMEX</w:t>
      </w:r>
      <w:r>
        <w:rPr>
          <w:rFonts w:ascii="Palatino Linotype" w:hAnsi="Palatino Linotype" w:cs="Tahoma"/>
          <w:bCs/>
          <w:sz w:val="22"/>
        </w:rPr>
        <w:t>.</w:t>
      </w:r>
    </w:p>
    <w:p w14:paraId="4275EE60" w14:textId="77777777" w:rsidR="009303E9" w:rsidRPr="000D1272" w:rsidRDefault="009303E9" w:rsidP="000D1272">
      <w:pPr>
        <w:pStyle w:val="Prrafodelista"/>
        <w:tabs>
          <w:tab w:val="left" w:pos="567"/>
        </w:tabs>
        <w:spacing w:line="360" w:lineRule="auto"/>
        <w:ind w:left="0"/>
        <w:jc w:val="both"/>
        <w:rPr>
          <w:rFonts w:ascii="Palatino Linotype" w:hAnsi="Palatino Linotype" w:cs="Tahoma"/>
          <w:bCs/>
          <w:szCs w:val="20"/>
        </w:rPr>
      </w:pPr>
    </w:p>
    <w:p w14:paraId="0AE949F3" w14:textId="77777777" w:rsidR="008912D9" w:rsidRPr="00A72D1C" w:rsidRDefault="008912D9" w:rsidP="008912D9">
      <w:pPr>
        <w:tabs>
          <w:tab w:val="left" w:pos="4667"/>
        </w:tabs>
        <w:spacing w:line="360" w:lineRule="auto"/>
        <w:ind w:right="567"/>
        <w:jc w:val="both"/>
        <w:rPr>
          <w:rFonts w:ascii="Palatino Linotype" w:hAnsi="Palatino Linotype" w:cs="Tahoma"/>
          <w:b/>
          <w:bCs/>
          <w:sz w:val="22"/>
        </w:rPr>
      </w:pPr>
      <w:r w:rsidRPr="00A72D1C">
        <w:rPr>
          <w:rFonts w:ascii="Palatino Linotype" w:hAnsi="Palatino Linotype" w:cs="Tahoma"/>
          <w:b/>
          <w:bCs/>
          <w:sz w:val="22"/>
        </w:rPr>
        <w:t xml:space="preserve">II. Prórroga para atender su solicitud de información. </w:t>
      </w:r>
    </w:p>
    <w:p w14:paraId="32C6B20A" w14:textId="77777777" w:rsidR="008912D9" w:rsidRPr="00A72D1C" w:rsidRDefault="008912D9" w:rsidP="008912D9">
      <w:pPr>
        <w:tabs>
          <w:tab w:val="left" w:pos="4667"/>
        </w:tabs>
        <w:spacing w:line="360" w:lineRule="auto"/>
        <w:ind w:right="567"/>
        <w:jc w:val="both"/>
        <w:rPr>
          <w:rFonts w:ascii="Palatino Linotype" w:hAnsi="Palatino Linotype" w:cs="Tahoma"/>
          <w:b/>
          <w:bCs/>
          <w:sz w:val="22"/>
        </w:rPr>
      </w:pPr>
    </w:p>
    <w:p w14:paraId="0BA8FD68" w14:textId="2B1A7CE2" w:rsidR="008912D9" w:rsidRPr="00A72D1C" w:rsidRDefault="008912D9" w:rsidP="008912D9">
      <w:pPr>
        <w:tabs>
          <w:tab w:val="left" w:pos="4667"/>
        </w:tabs>
        <w:spacing w:line="360" w:lineRule="auto"/>
        <w:ind w:right="567"/>
        <w:jc w:val="both"/>
        <w:rPr>
          <w:rFonts w:ascii="Palatino Linotype" w:hAnsi="Palatino Linotype" w:cs="Tahoma"/>
          <w:sz w:val="22"/>
        </w:rPr>
      </w:pPr>
      <w:r w:rsidRPr="00A72D1C">
        <w:rPr>
          <w:rFonts w:ascii="Palatino Linotype" w:hAnsi="Palatino Linotype" w:cs="Tahoma"/>
          <w:sz w:val="22"/>
        </w:rPr>
        <w:t xml:space="preserve">Con fecha </w:t>
      </w:r>
      <w:r>
        <w:rPr>
          <w:rFonts w:ascii="Palatino Linotype" w:hAnsi="Palatino Linotype" w:cs="Tahoma"/>
          <w:sz w:val="22"/>
        </w:rPr>
        <w:t>treinta y uno</w:t>
      </w:r>
      <w:r w:rsidRPr="00A72D1C">
        <w:rPr>
          <w:rFonts w:ascii="Palatino Linotype" w:hAnsi="Palatino Linotype" w:cs="Tahoma"/>
          <w:sz w:val="22"/>
        </w:rPr>
        <w:t xml:space="preserve"> de enero de dos mil veintidós, el Sujeto Obligado, a través del Sistema de Acceso a la Información Mexiquense (SAIMEX)</w:t>
      </w:r>
      <w:r w:rsidR="004B52AC">
        <w:rPr>
          <w:rFonts w:ascii="Palatino Linotype" w:hAnsi="Palatino Linotype" w:cs="Tahoma"/>
          <w:sz w:val="22"/>
        </w:rPr>
        <w:t>,</w:t>
      </w:r>
      <w:r w:rsidRPr="00A72D1C">
        <w:rPr>
          <w:rFonts w:ascii="Palatino Linotype" w:hAnsi="Palatino Linotype" w:cs="Tahoma"/>
          <w:sz w:val="22"/>
        </w:rPr>
        <w:t xml:space="preserve"> notificó </w:t>
      </w:r>
      <w:r w:rsidR="004B52AC">
        <w:rPr>
          <w:rFonts w:ascii="Palatino Linotype" w:hAnsi="Palatino Linotype" w:cs="Tahoma"/>
          <w:sz w:val="22"/>
        </w:rPr>
        <w:t>una prórroga</w:t>
      </w:r>
      <w:r w:rsidRPr="00A72D1C">
        <w:rPr>
          <w:rFonts w:ascii="Palatino Linotype" w:hAnsi="Palatino Linotype" w:cs="Tahoma"/>
          <w:sz w:val="22"/>
        </w:rPr>
        <w:t>, mediante la cual aprueba la ampliación de término para atender las solicitudes de información</w:t>
      </w:r>
      <w:r w:rsidR="004B52AC">
        <w:rPr>
          <w:rFonts w:ascii="Palatino Linotype" w:hAnsi="Palatino Linotype" w:cs="Tahoma"/>
          <w:sz w:val="22"/>
        </w:rPr>
        <w:t xml:space="preserve"> con número </w:t>
      </w:r>
      <w:r w:rsidR="004B52AC">
        <w:rPr>
          <w:rFonts w:ascii="Palatino Linotype" w:hAnsi="Palatino Linotype" w:cs="Tahoma"/>
          <w:bCs/>
          <w:color w:val="0D0D0D" w:themeColor="text1" w:themeTint="F2"/>
          <w:sz w:val="22"/>
          <w:szCs w:val="22"/>
        </w:rPr>
        <w:t>00066/DIFMETEPEC/IP/2022 y 00068/DIFMETEPEC/IP/2022.</w:t>
      </w:r>
    </w:p>
    <w:p w14:paraId="3AF9C03F" w14:textId="77777777" w:rsidR="00585616" w:rsidRDefault="00585616" w:rsidP="00495118">
      <w:pPr>
        <w:tabs>
          <w:tab w:val="left" w:pos="4667"/>
        </w:tabs>
        <w:spacing w:line="360" w:lineRule="auto"/>
        <w:ind w:right="49"/>
        <w:jc w:val="both"/>
        <w:rPr>
          <w:rFonts w:ascii="Palatino Linotype" w:hAnsi="Palatino Linotype" w:cs="Tahoma"/>
          <w:sz w:val="22"/>
          <w:szCs w:val="24"/>
        </w:rPr>
      </w:pPr>
    </w:p>
    <w:p w14:paraId="0A1E5DD2" w14:textId="104A94B1" w:rsidR="004B52AC" w:rsidRDefault="004B52AC" w:rsidP="004B52AC">
      <w:pPr>
        <w:autoSpaceDE w:val="0"/>
        <w:autoSpaceDN w:val="0"/>
        <w:adjustRightInd w:val="0"/>
        <w:spacing w:line="360" w:lineRule="auto"/>
        <w:ind w:right="-28"/>
        <w:jc w:val="both"/>
        <w:rPr>
          <w:rFonts w:ascii="Palatino Linotype" w:hAnsi="Palatino Linotype" w:cs="Tahoma"/>
          <w:b/>
          <w:sz w:val="22"/>
          <w:szCs w:val="22"/>
        </w:rPr>
      </w:pPr>
      <w:r w:rsidRPr="0044324B">
        <w:rPr>
          <w:rFonts w:ascii="Palatino Linotype" w:hAnsi="Palatino Linotype" w:cs="Tahoma"/>
          <w:b/>
          <w:sz w:val="22"/>
          <w:szCs w:val="22"/>
        </w:rPr>
        <w:t>I</w:t>
      </w:r>
      <w:r w:rsidR="00B60565">
        <w:rPr>
          <w:rFonts w:ascii="Palatino Linotype" w:hAnsi="Palatino Linotype" w:cs="Tahoma"/>
          <w:b/>
          <w:sz w:val="22"/>
          <w:szCs w:val="22"/>
        </w:rPr>
        <w:t>I</w:t>
      </w:r>
      <w:r w:rsidRPr="0044324B">
        <w:rPr>
          <w:rFonts w:ascii="Palatino Linotype" w:hAnsi="Palatino Linotype" w:cs="Tahoma"/>
          <w:b/>
          <w:sz w:val="22"/>
          <w:szCs w:val="22"/>
        </w:rPr>
        <w:t xml:space="preserve">I. </w:t>
      </w:r>
      <w:r>
        <w:rPr>
          <w:rFonts w:ascii="Palatino Linotype" w:hAnsi="Palatino Linotype" w:cs="Tahoma"/>
          <w:b/>
          <w:sz w:val="22"/>
          <w:szCs w:val="22"/>
        </w:rPr>
        <w:t>Solicitud de Aclaración.</w:t>
      </w:r>
    </w:p>
    <w:p w14:paraId="4A01E661" w14:textId="77777777" w:rsidR="004B52AC" w:rsidRDefault="004B52AC" w:rsidP="004B52AC">
      <w:pPr>
        <w:autoSpaceDE w:val="0"/>
        <w:autoSpaceDN w:val="0"/>
        <w:adjustRightInd w:val="0"/>
        <w:spacing w:line="360" w:lineRule="auto"/>
        <w:ind w:right="-28"/>
        <w:jc w:val="both"/>
        <w:rPr>
          <w:rFonts w:ascii="Palatino Linotype" w:hAnsi="Palatino Linotype" w:cs="Tahoma"/>
          <w:b/>
          <w:sz w:val="22"/>
          <w:szCs w:val="22"/>
        </w:rPr>
      </w:pPr>
    </w:p>
    <w:p w14:paraId="45EFEDB5" w14:textId="2BF120D8" w:rsidR="004B52AC" w:rsidRDefault="004B52AC" w:rsidP="004B52AC">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Co</w:t>
      </w:r>
      <w:r w:rsidRPr="00032EA1">
        <w:rPr>
          <w:rFonts w:ascii="Palatino Linotype" w:hAnsi="Palatino Linotype" w:cs="Tahoma"/>
          <w:bCs/>
          <w:sz w:val="22"/>
          <w:szCs w:val="22"/>
        </w:rPr>
        <w:t xml:space="preserve">n fecha </w:t>
      </w:r>
      <w:r>
        <w:rPr>
          <w:rFonts w:ascii="Palatino Linotype" w:hAnsi="Palatino Linotype" w:cs="Tahoma"/>
          <w:bCs/>
          <w:sz w:val="22"/>
          <w:szCs w:val="22"/>
        </w:rPr>
        <w:t>dieciocho</w:t>
      </w:r>
      <w:r w:rsidRPr="00032EA1">
        <w:rPr>
          <w:rFonts w:ascii="Palatino Linotype" w:hAnsi="Palatino Linotype" w:cs="Tahoma"/>
          <w:bCs/>
          <w:sz w:val="22"/>
          <w:szCs w:val="22"/>
        </w:rPr>
        <w:t xml:space="preserve"> de febrero de dos mil veintidós, a través del Sistema de Acceso a la Información Mexiquense (SAIMEX), el Sujeto Obligado solicitó al Particular que aclarara su solicitud de información, en los siguientes términos:</w:t>
      </w:r>
    </w:p>
    <w:p w14:paraId="62FD61BB" w14:textId="77777777" w:rsidR="004B52AC" w:rsidRDefault="004B52AC" w:rsidP="004B52AC">
      <w:pPr>
        <w:autoSpaceDE w:val="0"/>
        <w:autoSpaceDN w:val="0"/>
        <w:adjustRightInd w:val="0"/>
        <w:spacing w:line="360" w:lineRule="auto"/>
        <w:ind w:right="-28"/>
        <w:jc w:val="both"/>
        <w:rPr>
          <w:rFonts w:ascii="Palatino Linotype" w:hAnsi="Palatino Linotype" w:cs="Tahoma"/>
          <w:bCs/>
          <w:sz w:val="22"/>
          <w:szCs w:val="22"/>
        </w:rPr>
      </w:pPr>
    </w:p>
    <w:p w14:paraId="47B7ED5A" w14:textId="7B619CC5" w:rsidR="00585616" w:rsidRPr="00585616" w:rsidRDefault="00585616" w:rsidP="00FE7D5E">
      <w:pPr>
        <w:tabs>
          <w:tab w:val="left" w:pos="4667"/>
        </w:tabs>
        <w:spacing w:line="360" w:lineRule="auto"/>
        <w:ind w:left="567" w:right="900"/>
        <w:jc w:val="both"/>
        <w:rPr>
          <w:rFonts w:ascii="Palatino Linotype" w:hAnsi="Palatino Linotype" w:cs="Tahoma"/>
          <w:sz w:val="22"/>
          <w:szCs w:val="24"/>
        </w:rPr>
      </w:pPr>
      <w:r w:rsidRPr="00FE7D5E">
        <w:rPr>
          <w:rFonts w:ascii="Palatino Linotype" w:hAnsi="Palatino Linotype" w:cs="Tahoma"/>
          <w:i/>
          <w:szCs w:val="24"/>
        </w:rPr>
        <w:t>“LA SOLICITUD NO ES CLARA, SE SOLICITA AL PARTICULAR SE HAGA ACLARACION TOTAL DE LA INFORMACIÓN A OBTENER</w:t>
      </w:r>
      <w:r w:rsidRPr="00FE7D5E">
        <w:rPr>
          <w:rFonts w:ascii="Palatino Linotype" w:hAnsi="Palatino Linotype" w:cs="Tahoma"/>
          <w:szCs w:val="24"/>
        </w:rPr>
        <w:t>”</w:t>
      </w:r>
      <w:r w:rsidR="00FE7D5E" w:rsidRPr="00FE7D5E">
        <w:rPr>
          <w:rFonts w:ascii="Palatino Linotype" w:hAnsi="Palatino Linotype" w:cs="Tahoma"/>
          <w:szCs w:val="24"/>
        </w:rPr>
        <w:t xml:space="preserve"> (Sic</w:t>
      </w:r>
      <w:r w:rsidR="00FE7D5E">
        <w:rPr>
          <w:rFonts w:ascii="Palatino Linotype" w:hAnsi="Palatino Linotype" w:cs="Tahoma"/>
          <w:sz w:val="22"/>
          <w:szCs w:val="24"/>
        </w:rPr>
        <w:t>)</w:t>
      </w:r>
    </w:p>
    <w:p w14:paraId="7619638B" w14:textId="77777777" w:rsidR="00585616" w:rsidRPr="00585616" w:rsidRDefault="00585616" w:rsidP="00585616">
      <w:pPr>
        <w:tabs>
          <w:tab w:val="left" w:pos="4667"/>
        </w:tabs>
        <w:spacing w:line="360" w:lineRule="auto"/>
        <w:ind w:right="567"/>
        <w:jc w:val="both"/>
        <w:rPr>
          <w:rFonts w:ascii="Palatino Linotype" w:hAnsi="Palatino Linotype" w:cs="Tahoma"/>
          <w:sz w:val="22"/>
          <w:szCs w:val="24"/>
        </w:rPr>
      </w:pPr>
    </w:p>
    <w:p w14:paraId="70419A07" w14:textId="1D368A42" w:rsidR="005864BF" w:rsidRPr="00495118" w:rsidRDefault="00585616" w:rsidP="005864BF">
      <w:pPr>
        <w:tabs>
          <w:tab w:val="left" w:pos="4667"/>
        </w:tabs>
        <w:spacing w:line="360" w:lineRule="auto"/>
        <w:ind w:right="567"/>
        <w:jc w:val="both"/>
        <w:rPr>
          <w:rFonts w:ascii="Palatino Linotype" w:hAnsi="Palatino Linotype" w:cs="Tahoma"/>
          <w:b/>
          <w:bCs/>
          <w:sz w:val="22"/>
          <w:szCs w:val="24"/>
        </w:rPr>
      </w:pPr>
      <w:r w:rsidRPr="00495118">
        <w:rPr>
          <w:rFonts w:ascii="Palatino Linotype" w:hAnsi="Palatino Linotype" w:cs="Tahoma"/>
          <w:b/>
          <w:bCs/>
          <w:sz w:val="22"/>
          <w:szCs w:val="24"/>
        </w:rPr>
        <w:lastRenderedPageBreak/>
        <w:t>IV</w:t>
      </w:r>
      <w:r w:rsidR="005864BF" w:rsidRPr="00495118">
        <w:rPr>
          <w:rFonts w:ascii="Palatino Linotype" w:hAnsi="Palatino Linotype" w:cs="Tahoma"/>
          <w:b/>
          <w:bCs/>
          <w:sz w:val="22"/>
          <w:szCs w:val="24"/>
        </w:rPr>
        <w:t xml:space="preserve">. </w:t>
      </w:r>
      <w:r w:rsidR="005864BF" w:rsidRPr="00495118">
        <w:rPr>
          <w:rFonts w:ascii="Palatino Linotype" w:hAnsi="Palatino Linotype" w:cs="Tahoma"/>
          <w:b/>
          <w:sz w:val="22"/>
          <w:szCs w:val="24"/>
        </w:rPr>
        <w:t>Respuesta</w:t>
      </w:r>
      <w:r w:rsidR="005864BF" w:rsidRPr="00495118">
        <w:rPr>
          <w:rFonts w:ascii="Palatino Linotype" w:hAnsi="Palatino Linotype" w:cs="Tahoma"/>
          <w:b/>
          <w:bCs/>
          <w:sz w:val="22"/>
          <w:szCs w:val="24"/>
        </w:rPr>
        <w:t xml:space="preserve"> del Sujeto Obligado.</w:t>
      </w:r>
    </w:p>
    <w:p w14:paraId="41C1F271" w14:textId="77777777" w:rsidR="00836192" w:rsidRPr="00495118" w:rsidRDefault="00836192" w:rsidP="00836192">
      <w:pPr>
        <w:pStyle w:val="Prrafodelista"/>
        <w:tabs>
          <w:tab w:val="left" w:pos="567"/>
        </w:tabs>
        <w:spacing w:line="360" w:lineRule="auto"/>
        <w:ind w:left="0"/>
        <w:jc w:val="both"/>
        <w:rPr>
          <w:rFonts w:ascii="Palatino Linotype" w:hAnsi="Palatino Linotype" w:cs="Tahoma"/>
          <w:bCs/>
          <w:szCs w:val="22"/>
        </w:rPr>
      </w:pPr>
    </w:p>
    <w:p w14:paraId="165E741A" w14:textId="4FAA5F5A" w:rsidR="004B52AC" w:rsidRPr="000B3A22" w:rsidRDefault="004B52AC" w:rsidP="00836192">
      <w:pPr>
        <w:pStyle w:val="Prrafodelista"/>
        <w:tabs>
          <w:tab w:val="left" w:pos="567"/>
        </w:tabs>
        <w:spacing w:line="360" w:lineRule="auto"/>
        <w:ind w:left="0"/>
        <w:jc w:val="both"/>
        <w:rPr>
          <w:rFonts w:ascii="Palatino Linotype" w:hAnsi="Palatino Linotype" w:cs="Tahoma"/>
          <w:i/>
          <w:iCs/>
          <w:szCs w:val="22"/>
        </w:rPr>
      </w:pPr>
      <w:r>
        <w:rPr>
          <w:rFonts w:ascii="Palatino Linotype" w:hAnsi="Palatino Linotype" w:cs="Tahoma"/>
          <w:bCs/>
          <w:szCs w:val="22"/>
        </w:rPr>
        <w:t>Con fecha</w:t>
      </w:r>
      <w:r w:rsidR="00495118" w:rsidRPr="00495118">
        <w:rPr>
          <w:rFonts w:ascii="Palatino Linotype" w:hAnsi="Palatino Linotype" w:cs="Tahoma"/>
          <w:bCs/>
          <w:szCs w:val="22"/>
        </w:rPr>
        <w:t xml:space="preserve"> diez</w:t>
      </w:r>
      <w:r w:rsidR="00FE7D5E" w:rsidRPr="00495118">
        <w:rPr>
          <w:rFonts w:ascii="Palatino Linotype" w:hAnsi="Palatino Linotype" w:cs="Tahoma"/>
          <w:bCs/>
          <w:szCs w:val="22"/>
        </w:rPr>
        <w:t xml:space="preserve"> y veintiuno</w:t>
      </w:r>
      <w:r w:rsidR="0086262C" w:rsidRPr="00495118">
        <w:rPr>
          <w:rFonts w:ascii="Palatino Linotype" w:hAnsi="Palatino Linotype" w:cs="Tahoma"/>
          <w:bCs/>
          <w:szCs w:val="22"/>
        </w:rPr>
        <w:t xml:space="preserve"> de </w:t>
      </w:r>
      <w:r w:rsidR="00F86B39" w:rsidRPr="00495118">
        <w:rPr>
          <w:rFonts w:ascii="Palatino Linotype" w:hAnsi="Palatino Linotype" w:cs="Tahoma"/>
          <w:bCs/>
          <w:szCs w:val="22"/>
        </w:rPr>
        <w:t>febrero</w:t>
      </w:r>
      <w:r w:rsidR="00C43D9A" w:rsidRPr="00495118">
        <w:rPr>
          <w:rFonts w:ascii="Palatino Linotype" w:hAnsi="Palatino Linotype" w:cs="Tahoma"/>
          <w:bCs/>
          <w:szCs w:val="22"/>
        </w:rPr>
        <w:t xml:space="preserve"> </w:t>
      </w:r>
      <w:r w:rsidR="00836192" w:rsidRPr="00495118">
        <w:rPr>
          <w:rFonts w:ascii="Palatino Linotype" w:hAnsi="Palatino Linotype" w:cs="Tahoma"/>
          <w:bCs/>
          <w:szCs w:val="22"/>
        </w:rPr>
        <w:t>de dos mil veinti</w:t>
      </w:r>
      <w:r w:rsidR="00C43D9A" w:rsidRPr="00495118">
        <w:rPr>
          <w:rFonts w:ascii="Palatino Linotype" w:hAnsi="Palatino Linotype" w:cs="Tahoma"/>
          <w:bCs/>
          <w:szCs w:val="22"/>
        </w:rPr>
        <w:t>dós</w:t>
      </w:r>
      <w:r w:rsidR="00FE7D5E" w:rsidRPr="00495118">
        <w:rPr>
          <w:rFonts w:ascii="Palatino Linotype" w:hAnsi="Palatino Linotype" w:cs="Tahoma"/>
          <w:bCs/>
          <w:szCs w:val="22"/>
        </w:rPr>
        <w:t xml:space="preserve"> </w:t>
      </w:r>
      <w:r w:rsidR="00C43D9A" w:rsidRPr="00495118">
        <w:rPr>
          <w:rFonts w:ascii="Palatino Linotype" w:hAnsi="Palatino Linotype" w:cs="Tahoma"/>
          <w:szCs w:val="22"/>
        </w:rPr>
        <w:t xml:space="preserve">el Ayuntamiento de </w:t>
      </w:r>
      <w:r w:rsidR="00F86B39" w:rsidRPr="00495118">
        <w:rPr>
          <w:rFonts w:ascii="Palatino Linotype" w:hAnsi="Palatino Linotype" w:cs="Tahoma"/>
          <w:szCs w:val="22"/>
        </w:rPr>
        <w:t>Metepec</w:t>
      </w:r>
      <w:r w:rsidR="00836192" w:rsidRPr="00495118">
        <w:rPr>
          <w:rFonts w:ascii="Palatino Linotype" w:hAnsi="Palatino Linotype" w:cs="Tahoma"/>
          <w:szCs w:val="22"/>
        </w:rPr>
        <w:t xml:space="preserve"> notificó al Solicitante, mediante el Sistema de Acceso a</w:t>
      </w:r>
      <w:r w:rsidR="00836192" w:rsidRPr="000B7ED7">
        <w:rPr>
          <w:rFonts w:ascii="Palatino Linotype" w:hAnsi="Palatino Linotype" w:cs="Tahoma"/>
          <w:szCs w:val="22"/>
        </w:rPr>
        <w:t xml:space="preserve"> la Información Mexiquense (SAIMEX), la respuesta a la</w:t>
      </w:r>
      <w:r w:rsidR="000B0C2A">
        <w:rPr>
          <w:rFonts w:ascii="Palatino Linotype" w:hAnsi="Palatino Linotype" w:cs="Tahoma"/>
          <w:szCs w:val="22"/>
        </w:rPr>
        <w:t>s</w:t>
      </w:r>
      <w:r w:rsidR="00836192" w:rsidRPr="000B7ED7">
        <w:rPr>
          <w:rFonts w:ascii="Palatino Linotype" w:hAnsi="Palatino Linotype" w:cs="Tahoma"/>
          <w:szCs w:val="22"/>
        </w:rPr>
        <w:t xml:space="preserve"> solicitud</w:t>
      </w:r>
      <w:r w:rsidR="000B0C2A">
        <w:rPr>
          <w:rFonts w:ascii="Palatino Linotype" w:hAnsi="Palatino Linotype" w:cs="Tahoma"/>
          <w:szCs w:val="22"/>
        </w:rPr>
        <w:t>es</w:t>
      </w:r>
      <w:r w:rsidR="00836192" w:rsidRPr="000B7ED7">
        <w:rPr>
          <w:rFonts w:ascii="Palatino Linotype" w:hAnsi="Palatino Linotype" w:cs="Tahoma"/>
          <w:szCs w:val="22"/>
        </w:rPr>
        <w:t xml:space="preserve"> de acceso a la</w:t>
      </w:r>
      <w:r w:rsidR="0086262C" w:rsidRPr="000B7ED7">
        <w:rPr>
          <w:rFonts w:ascii="Palatino Linotype" w:hAnsi="Palatino Linotype" w:cs="Tahoma"/>
          <w:szCs w:val="22"/>
        </w:rPr>
        <w:t xml:space="preserve"> </w:t>
      </w:r>
      <w:r w:rsidR="00836192" w:rsidRPr="000B7ED7">
        <w:rPr>
          <w:rFonts w:ascii="Palatino Linotype" w:hAnsi="Palatino Linotype" w:cs="Tahoma"/>
          <w:szCs w:val="22"/>
        </w:rPr>
        <w:t xml:space="preserve">información, </w:t>
      </w:r>
      <w:r>
        <w:rPr>
          <w:rFonts w:ascii="Palatino Linotype" w:hAnsi="Palatino Linotype" w:cs="Tahoma"/>
          <w:szCs w:val="22"/>
        </w:rPr>
        <w:t xml:space="preserve">mediante la digitalización </w:t>
      </w:r>
      <w:r w:rsidR="000B3A22">
        <w:rPr>
          <w:rFonts w:ascii="Palatino Linotype" w:hAnsi="Palatino Linotype" w:cs="Tahoma"/>
          <w:szCs w:val="22"/>
        </w:rPr>
        <w:t xml:space="preserve">de la versión pública del </w:t>
      </w:r>
      <w:r w:rsidR="000B3A22">
        <w:rPr>
          <w:rFonts w:ascii="Palatino Linotype" w:hAnsi="Palatino Linotype" w:cs="Tahoma"/>
          <w:i/>
          <w:iCs/>
          <w:szCs w:val="22"/>
        </w:rPr>
        <w:t xml:space="preserve">Curriculum vitae </w:t>
      </w:r>
      <w:r w:rsidR="000B3A22">
        <w:rPr>
          <w:rFonts w:ascii="Palatino Linotype" w:hAnsi="Palatino Linotype" w:cs="Tahoma"/>
          <w:szCs w:val="22"/>
        </w:rPr>
        <w:t>Diana Mireya Sandoval Pérez y Elisa Quijada.</w:t>
      </w:r>
      <w:r w:rsidR="000B3A22">
        <w:rPr>
          <w:rFonts w:ascii="Palatino Linotype" w:hAnsi="Palatino Linotype" w:cs="Tahoma"/>
          <w:i/>
          <w:iCs/>
          <w:szCs w:val="22"/>
        </w:rPr>
        <w:t xml:space="preserve"> </w:t>
      </w:r>
    </w:p>
    <w:p w14:paraId="204CAC43" w14:textId="38EA69C2" w:rsidR="008B0751" w:rsidRPr="000B7ED7" w:rsidRDefault="0086262C" w:rsidP="00FE7D5E">
      <w:pPr>
        <w:pStyle w:val="Prrafodelista"/>
        <w:tabs>
          <w:tab w:val="left" w:pos="567"/>
        </w:tabs>
        <w:spacing w:line="360" w:lineRule="auto"/>
        <w:ind w:left="0"/>
        <w:jc w:val="both"/>
        <w:rPr>
          <w:rFonts w:ascii="Palatino Linotype" w:hAnsi="Palatino Linotype" w:cs="Tahoma"/>
          <w:i/>
          <w:iCs/>
          <w:sz w:val="20"/>
          <w:szCs w:val="20"/>
        </w:rPr>
      </w:pPr>
      <w:r w:rsidRPr="000B7ED7">
        <w:rPr>
          <w:rFonts w:ascii="Palatino Linotype" w:hAnsi="Palatino Linotype" w:cs="Tahoma"/>
          <w:szCs w:val="22"/>
        </w:rPr>
        <w:t xml:space="preserve"> </w:t>
      </w:r>
    </w:p>
    <w:p w14:paraId="200EA5F2" w14:textId="4A8E079F" w:rsidR="00836192" w:rsidRPr="000B7ED7" w:rsidRDefault="00B60565" w:rsidP="0083619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00836192" w:rsidRPr="000B7ED7">
        <w:rPr>
          <w:rFonts w:ascii="Palatino Linotype" w:hAnsi="Palatino Linotype" w:cs="Tahoma"/>
          <w:b/>
          <w:sz w:val="22"/>
          <w:szCs w:val="22"/>
        </w:rPr>
        <w:t>. Interposición del Recurso de Revisión.</w:t>
      </w:r>
    </w:p>
    <w:p w14:paraId="0F737B53" w14:textId="77777777" w:rsidR="00B60565" w:rsidRDefault="00B60565" w:rsidP="000B0C2A">
      <w:pPr>
        <w:autoSpaceDE w:val="0"/>
        <w:autoSpaceDN w:val="0"/>
        <w:adjustRightInd w:val="0"/>
        <w:spacing w:line="360" w:lineRule="auto"/>
        <w:jc w:val="both"/>
        <w:rPr>
          <w:rFonts w:ascii="Palatino Linotype" w:hAnsi="Palatino Linotype" w:cs="Tahoma"/>
          <w:sz w:val="22"/>
          <w:szCs w:val="22"/>
        </w:rPr>
      </w:pPr>
    </w:p>
    <w:p w14:paraId="388A5D29" w14:textId="1836F576" w:rsidR="000B0C2A" w:rsidRDefault="00836192" w:rsidP="000B0C2A">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0B0C2A">
        <w:rPr>
          <w:rFonts w:ascii="Palatino Linotype" w:hAnsi="Palatino Linotype" w:cs="Tahoma"/>
          <w:sz w:val="22"/>
          <w:szCs w:val="22"/>
        </w:rPr>
        <w:t>veintitrés</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007B7A1E" w:rsidRPr="000B7ED7">
        <w:rPr>
          <w:rFonts w:ascii="Palatino Linotype" w:hAnsi="Palatino Linotype" w:cs="Tahoma"/>
          <w:sz w:val="22"/>
          <w:szCs w:val="22"/>
        </w:rPr>
        <w:t xml:space="preserve"> </w:t>
      </w:r>
      <w:r w:rsidR="004042A4">
        <w:rPr>
          <w:rFonts w:ascii="Palatino Linotype" w:hAnsi="Palatino Linotype" w:cs="Tahoma"/>
          <w:sz w:val="22"/>
          <w:szCs w:val="22"/>
        </w:rPr>
        <w:t>febrero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eastAsia="Calibri" w:hAnsi="Palatino Linotype"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000B0C2A">
        <w:rPr>
          <w:rFonts w:ascii="Palatino Linotype" w:hAnsi="Palatino Linotype" w:cs="Tahoma"/>
          <w:sz w:val="22"/>
          <w:szCs w:val="22"/>
        </w:rPr>
        <w:t>, los</w:t>
      </w:r>
      <w:r w:rsidRPr="000B7ED7">
        <w:rPr>
          <w:rFonts w:ascii="Palatino Linotype" w:hAnsi="Palatino Linotype" w:cs="Tahoma"/>
          <w:sz w:val="22"/>
          <w:szCs w:val="22"/>
        </w:rPr>
        <w:t xml:space="preserve"> Recurso</w:t>
      </w:r>
      <w:r w:rsidR="000B0C2A">
        <w:rPr>
          <w:rFonts w:ascii="Palatino Linotype" w:hAnsi="Palatino Linotype" w:cs="Tahoma"/>
          <w:sz w:val="22"/>
          <w:szCs w:val="22"/>
        </w:rPr>
        <w:t>s</w:t>
      </w:r>
      <w:r w:rsidRPr="000B7ED7">
        <w:rPr>
          <w:rFonts w:ascii="Palatino Linotype" w:hAnsi="Palatino Linotype" w:cs="Tahoma"/>
          <w:sz w:val="22"/>
          <w:szCs w:val="22"/>
        </w:rPr>
        <w:t xml:space="preserve"> de Revisión interpuesto</w:t>
      </w:r>
      <w:r w:rsidR="000B0C2A">
        <w:rPr>
          <w:rFonts w:ascii="Palatino Linotype" w:hAnsi="Palatino Linotype" w:cs="Tahoma"/>
          <w:sz w:val="22"/>
          <w:szCs w:val="22"/>
        </w:rPr>
        <w:t>s</w:t>
      </w:r>
      <w:r w:rsidRPr="000B7ED7">
        <w:rPr>
          <w:rFonts w:ascii="Palatino Linotype" w:hAnsi="Palatino Linotype" w:cs="Tahoma"/>
          <w:sz w:val="22"/>
          <w:szCs w:val="22"/>
        </w:rPr>
        <w:t xml:space="preserve"> por la parte Recurrente, en contra de la respuesta del Sujeto Obligado, en </w:t>
      </w:r>
      <w:r w:rsidR="000B0C2A">
        <w:rPr>
          <w:rFonts w:ascii="Palatino Linotype" w:hAnsi="Palatino Linotype" w:cs="Tahoma"/>
          <w:sz w:val="22"/>
          <w:szCs w:val="22"/>
        </w:rPr>
        <w:t xml:space="preserve">idénticos términos para las tres solicitudes de información: </w:t>
      </w:r>
    </w:p>
    <w:p w14:paraId="2F23BF16" w14:textId="77777777" w:rsidR="000B0C2A" w:rsidRDefault="000B0C2A" w:rsidP="000B0C2A">
      <w:pPr>
        <w:autoSpaceDE w:val="0"/>
        <w:autoSpaceDN w:val="0"/>
        <w:adjustRightInd w:val="0"/>
        <w:spacing w:line="360" w:lineRule="auto"/>
        <w:jc w:val="both"/>
        <w:rPr>
          <w:rFonts w:ascii="Palatino Linotype" w:hAnsi="Palatino Linotype" w:cs="Tahoma"/>
          <w:sz w:val="22"/>
          <w:szCs w:val="22"/>
        </w:rPr>
      </w:pPr>
    </w:p>
    <w:p w14:paraId="394C292B" w14:textId="2F24BAEC" w:rsidR="00836192" w:rsidRPr="000B7ED7" w:rsidRDefault="00D41CFA" w:rsidP="000B0C2A">
      <w:pPr>
        <w:autoSpaceDE w:val="0"/>
        <w:autoSpaceDN w:val="0"/>
        <w:adjustRightInd w:val="0"/>
        <w:spacing w:line="360" w:lineRule="auto"/>
        <w:ind w:left="567"/>
        <w:jc w:val="both"/>
        <w:rPr>
          <w:rFonts w:ascii="Palatino Linotype" w:hAnsi="Palatino Linotype" w:cs="Tahoma"/>
          <w:bCs/>
          <w:i/>
        </w:rPr>
      </w:pPr>
      <w:r w:rsidRPr="000B7ED7">
        <w:rPr>
          <w:rFonts w:ascii="Palatino Linotype" w:hAnsi="Palatino Linotype" w:cs="Tahoma"/>
          <w:b/>
          <w:bCs/>
          <w:i/>
        </w:rPr>
        <w:t>“</w:t>
      </w:r>
      <w:r w:rsidR="00836192" w:rsidRPr="000B7ED7">
        <w:rPr>
          <w:rFonts w:ascii="Palatino Linotype" w:hAnsi="Palatino Linotype" w:cs="Tahoma"/>
          <w:b/>
          <w:bCs/>
          <w:i/>
        </w:rPr>
        <w:t>ACTO IMPUGNADO</w:t>
      </w:r>
    </w:p>
    <w:p w14:paraId="39D421A0" w14:textId="6A2D16CE" w:rsidR="00836192" w:rsidRPr="000B7ED7" w:rsidRDefault="004042A4" w:rsidP="00836192">
      <w:pPr>
        <w:autoSpaceDE w:val="0"/>
        <w:autoSpaceDN w:val="0"/>
        <w:adjustRightInd w:val="0"/>
        <w:spacing w:line="360" w:lineRule="auto"/>
        <w:ind w:left="567" w:right="567"/>
        <w:jc w:val="both"/>
        <w:rPr>
          <w:rFonts w:ascii="Palatino Linotype" w:hAnsi="Palatino Linotype" w:cs="Tahoma"/>
          <w:i/>
        </w:rPr>
      </w:pPr>
      <w:r w:rsidRPr="004042A4">
        <w:rPr>
          <w:rFonts w:ascii="Palatino Linotype" w:hAnsi="Palatino Linotype" w:cs="Tahoma"/>
          <w:i/>
        </w:rPr>
        <w:t>La respuesta proporcionada por el Sujeto Obligado.</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836192">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836192">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6CAAAB47" w:rsidR="00836192" w:rsidRPr="000B7ED7" w:rsidRDefault="004042A4" w:rsidP="00836192">
      <w:pPr>
        <w:autoSpaceDE w:val="0"/>
        <w:autoSpaceDN w:val="0"/>
        <w:adjustRightInd w:val="0"/>
        <w:spacing w:line="360" w:lineRule="auto"/>
        <w:ind w:left="567" w:right="567"/>
        <w:jc w:val="both"/>
        <w:rPr>
          <w:rFonts w:ascii="Palatino Linotype" w:hAnsi="Palatino Linotype" w:cs="Tahoma"/>
          <w:i/>
        </w:rPr>
      </w:pPr>
      <w:r w:rsidRPr="004042A4">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w:t>
      </w:r>
      <w:r w:rsidRPr="004042A4">
        <w:rPr>
          <w:rFonts w:ascii="Palatino Linotype" w:hAnsi="Palatino Linotype" w:cs="Tahoma"/>
          <w:i/>
        </w:rPr>
        <w:lastRenderedPageBreak/>
        <w:t>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836192">
      <w:pPr>
        <w:spacing w:line="360" w:lineRule="auto"/>
        <w:jc w:val="both"/>
        <w:rPr>
          <w:rFonts w:ascii="Palatino Linotype" w:hAnsi="Palatino Linotype" w:cs="Tahoma"/>
          <w:b/>
          <w:sz w:val="22"/>
          <w:szCs w:val="22"/>
        </w:rPr>
      </w:pPr>
    </w:p>
    <w:p w14:paraId="262CD250" w14:textId="77777777" w:rsidR="00836192" w:rsidRPr="000B7ED7" w:rsidRDefault="00836192" w:rsidP="00836192">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5F11E829" w14:textId="3B836D22" w:rsidR="00836192" w:rsidRPr="000B7ED7" w:rsidRDefault="00836192" w:rsidP="00836192">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lastRenderedPageBreak/>
        <w:t xml:space="preserve">a) Turno del Recurso de Revisión. </w:t>
      </w:r>
      <w:r w:rsidRPr="000B7ED7">
        <w:rPr>
          <w:rFonts w:ascii="Palatino Linotype" w:eastAsia="Batang" w:hAnsi="Palatino Linotype" w:cs="Tahoma"/>
          <w:bCs/>
          <w:sz w:val="22"/>
          <w:szCs w:val="22"/>
          <w:lang w:val="es-ES_tradnl"/>
        </w:rPr>
        <w:t xml:space="preserve">El </w:t>
      </w:r>
      <w:r w:rsidR="000B0C2A">
        <w:rPr>
          <w:rFonts w:ascii="Palatino Linotype" w:hAnsi="Palatino Linotype" w:cs="Tahoma"/>
          <w:sz w:val="22"/>
          <w:szCs w:val="22"/>
        </w:rPr>
        <w:t>vein</w:t>
      </w:r>
      <w:r w:rsidR="00495118">
        <w:rPr>
          <w:rFonts w:ascii="Palatino Linotype" w:hAnsi="Palatino Linotype" w:cs="Tahoma"/>
          <w:sz w:val="22"/>
          <w:szCs w:val="22"/>
        </w:rPr>
        <w:t>ti</w:t>
      </w:r>
      <w:r w:rsidR="000B0C2A">
        <w:rPr>
          <w:rFonts w:ascii="Palatino Linotype" w:hAnsi="Palatino Linotype" w:cs="Tahoma"/>
          <w:sz w:val="22"/>
          <w:szCs w:val="22"/>
        </w:rPr>
        <w:t>trés</w:t>
      </w:r>
      <w:r w:rsidR="00A828B7" w:rsidRPr="00A828B7">
        <w:rPr>
          <w:rFonts w:ascii="Palatino Linotype" w:hAnsi="Palatino Linotype" w:cs="Tahoma"/>
          <w:sz w:val="22"/>
          <w:szCs w:val="22"/>
        </w:rPr>
        <w:t xml:space="preserve"> de </w:t>
      </w:r>
      <w:r w:rsidR="00F70958">
        <w:rPr>
          <w:rFonts w:ascii="Palatino Linotype" w:hAnsi="Palatino Linotype" w:cs="Tahoma"/>
          <w:sz w:val="22"/>
          <w:szCs w:val="22"/>
        </w:rPr>
        <w:t>febrero</w:t>
      </w:r>
      <w:r w:rsidR="00A828B7" w:rsidRPr="00A828B7">
        <w:rPr>
          <w:rFonts w:ascii="Palatino Linotype" w:hAnsi="Palatino Linotype" w:cs="Tahoma"/>
          <w:sz w:val="22"/>
          <w:szCs w:val="22"/>
        </w:rPr>
        <w:t xml:space="preserve"> de dos mil veintidós</w:t>
      </w:r>
      <w:r w:rsidRPr="000B7ED7">
        <w:rPr>
          <w:rFonts w:ascii="Palatino Linotype" w:eastAsia="Batang" w:hAnsi="Palatino Linotype" w:cs="Tahoma"/>
          <w:bCs/>
          <w:sz w:val="22"/>
          <w:szCs w:val="22"/>
          <w:lang w:val="es-ES_tradnl"/>
        </w:rPr>
        <w:t>, el Sistema de Acceso a la Informació</w:t>
      </w:r>
      <w:r w:rsidR="000B0C2A">
        <w:rPr>
          <w:rFonts w:ascii="Palatino Linotype" w:eastAsia="Batang" w:hAnsi="Palatino Linotype" w:cs="Tahoma"/>
          <w:bCs/>
          <w:sz w:val="22"/>
          <w:szCs w:val="22"/>
          <w:lang w:val="es-ES_tradnl"/>
        </w:rPr>
        <w:t>n Mexiquense (SAIMEX), asignó los</w:t>
      </w:r>
      <w:r w:rsidRPr="000B7ED7">
        <w:rPr>
          <w:rFonts w:ascii="Palatino Linotype" w:eastAsia="Batang" w:hAnsi="Palatino Linotype" w:cs="Tahoma"/>
          <w:bCs/>
          <w:sz w:val="22"/>
          <w:szCs w:val="22"/>
          <w:lang w:val="es-ES_tradnl"/>
        </w:rPr>
        <w:t xml:space="preserve"> número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de expediente </w:t>
      </w:r>
      <w:r w:rsidR="000B0C2A" w:rsidRPr="0057023C">
        <w:rPr>
          <w:rFonts w:ascii="Palatino Linotype" w:eastAsia="Batang" w:hAnsi="Palatino Linotype" w:cs="Tahoma"/>
          <w:bCs/>
          <w:sz w:val="22"/>
          <w:szCs w:val="22"/>
          <w:lang w:val="es-ES_tradnl"/>
        </w:rPr>
        <w:t>01606/INFOEM/IP/RR/2022</w:t>
      </w:r>
      <w:r w:rsidRPr="0057023C">
        <w:rPr>
          <w:rFonts w:ascii="Palatino Linotype" w:eastAsia="Batang" w:hAnsi="Palatino Linotype" w:cs="Tahoma"/>
          <w:bCs/>
          <w:sz w:val="22"/>
          <w:szCs w:val="22"/>
          <w:lang w:val="es-ES_tradnl"/>
        </w:rPr>
        <w:t xml:space="preserve">, </w:t>
      </w:r>
      <w:r w:rsidR="000B0C2A" w:rsidRPr="0057023C">
        <w:rPr>
          <w:rFonts w:ascii="Palatino Linotype" w:eastAsia="Batang" w:hAnsi="Palatino Linotype" w:cs="Tahoma"/>
          <w:bCs/>
          <w:sz w:val="22"/>
          <w:szCs w:val="22"/>
          <w:lang w:val="es-ES_tradnl"/>
        </w:rPr>
        <w:t>01723/INFOEM/IP/RR/2022 y  01725/INFOEM/IP/RR/2022</w:t>
      </w:r>
      <w:r w:rsidR="000B0C2A" w:rsidRPr="000B0C2A">
        <w:rPr>
          <w:rFonts w:ascii="Palatino Linotype" w:eastAsia="Batang" w:hAnsi="Palatino Linotype" w:cs="Tahoma"/>
          <w:bCs/>
          <w:sz w:val="22"/>
          <w:szCs w:val="22"/>
          <w:lang w:val="es-ES_tradnl"/>
        </w:rPr>
        <w:t xml:space="preserve"> </w:t>
      </w:r>
      <w:r w:rsidR="000B0C2A">
        <w:rPr>
          <w:rFonts w:ascii="Palatino Linotype" w:eastAsia="Batang" w:hAnsi="Palatino Linotype" w:cs="Tahoma"/>
          <w:bCs/>
          <w:sz w:val="22"/>
          <w:szCs w:val="22"/>
          <w:lang w:val="es-ES_tradnl"/>
        </w:rPr>
        <w:t xml:space="preserve"> a los </w:t>
      </w:r>
      <w:r w:rsidRPr="000B7ED7">
        <w:rPr>
          <w:rFonts w:ascii="Palatino Linotype" w:eastAsia="Batang" w:hAnsi="Palatino Linotype" w:cs="Tahoma"/>
          <w:bCs/>
          <w:sz w:val="22"/>
          <w:szCs w:val="22"/>
          <w:lang w:val="es-ES_tradnl"/>
        </w:rPr>
        <w:t>medio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de impugnación que nos ocupa</w:t>
      </w:r>
      <w:r w:rsidR="000B0C2A">
        <w:rPr>
          <w:rFonts w:ascii="Palatino Linotype" w:eastAsia="Batang" w:hAnsi="Palatino Linotype" w:cs="Tahoma"/>
          <w:bCs/>
          <w:sz w:val="22"/>
          <w:szCs w:val="22"/>
          <w:lang w:val="es-ES_tradnl"/>
        </w:rPr>
        <w:t>n</w:t>
      </w:r>
      <w:r w:rsidRPr="000B7ED7">
        <w:rPr>
          <w:rFonts w:ascii="Palatino Linotype" w:eastAsia="Batang" w:hAnsi="Palatino Linotype" w:cs="Tahoma"/>
          <w:bCs/>
          <w:sz w:val="22"/>
          <w:szCs w:val="22"/>
          <w:lang w:val="es-ES_tradnl"/>
        </w:rPr>
        <w:t>,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3A64D196" w14:textId="5D1E18F6" w:rsidR="00836192" w:rsidRDefault="00836192" w:rsidP="00836192">
      <w:pPr>
        <w:spacing w:line="360" w:lineRule="auto"/>
        <w:jc w:val="both"/>
        <w:rPr>
          <w:rFonts w:ascii="Palatino Linotype" w:eastAsia="Batang" w:hAnsi="Palatino Linotype" w:cs="Tahoma"/>
          <w:bCs/>
          <w:sz w:val="22"/>
          <w:szCs w:val="22"/>
          <w:lang w:val="es-ES_tradnl"/>
        </w:rPr>
      </w:pPr>
      <w:r w:rsidRPr="000B7ED7">
        <w:rPr>
          <w:rFonts w:ascii="Palatino Linotype" w:eastAsia="Batang" w:hAnsi="Palatino Linotype"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eastAsia="Batang" w:hAnsi="Palatino Linotype" w:cs="Tahoma"/>
          <w:b/>
          <w:bCs/>
          <w:sz w:val="22"/>
          <w:szCs w:val="22"/>
          <w:lang w:val="es-ES_tradnl"/>
        </w:rPr>
        <w:t xml:space="preserve">. </w:t>
      </w:r>
      <w:r w:rsidRPr="000B7ED7">
        <w:rPr>
          <w:rFonts w:ascii="Palatino Linotype" w:eastAsia="Batang" w:hAnsi="Palatino Linotype" w:cs="Tahoma"/>
          <w:bCs/>
          <w:sz w:val="22"/>
          <w:szCs w:val="22"/>
          <w:lang w:val="es-ES_tradnl"/>
        </w:rPr>
        <w:t xml:space="preserve">El </w:t>
      </w:r>
      <w:r w:rsidR="000B0C2A">
        <w:rPr>
          <w:rFonts w:ascii="Palatino Linotype" w:eastAsia="Batang" w:hAnsi="Palatino Linotype" w:cs="Tahoma"/>
          <w:bCs/>
          <w:sz w:val="22"/>
          <w:szCs w:val="22"/>
          <w:lang w:val="es-ES_tradnl"/>
        </w:rPr>
        <w:t xml:space="preserve">veintiocho de febrero </w:t>
      </w:r>
      <w:r w:rsidRPr="000B7ED7">
        <w:rPr>
          <w:rFonts w:ascii="Palatino Linotype" w:eastAsia="Batang" w:hAnsi="Palatino Linotype" w:cs="Tahoma"/>
          <w:bCs/>
          <w:sz w:val="22"/>
          <w:szCs w:val="22"/>
          <w:lang w:val="es-ES_tradnl"/>
        </w:rPr>
        <w:t xml:space="preserve"> de dos mil veinti</w:t>
      </w:r>
      <w:r w:rsidR="00A828B7">
        <w:rPr>
          <w:rFonts w:ascii="Palatino Linotype" w:eastAsia="Batang" w:hAnsi="Palatino Linotype" w:cs="Tahoma"/>
          <w:bCs/>
          <w:sz w:val="22"/>
          <w:szCs w:val="22"/>
          <w:lang w:val="es-ES_tradnl"/>
        </w:rPr>
        <w:t>dós</w:t>
      </w:r>
      <w:r w:rsidR="000B0C2A">
        <w:rPr>
          <w:rFonts w:ascii="Palatino Linotype" w:eastAsia="Batang" w:hAnsi="Palatino Linotype" w:cs="Tahoma"/>
          <w:bCs/>
          <w:sz w:val="22"/>
          <w:szCs w:val="22"/>
          <w:lang w:val="es-ES_tradnl"/>
        </w:rPr>
        <w:t xml:space="preserve">, se acordó la admisión de los </w:t>
      </w:r>
      <w:r w:rsidRPr="000B7ED7">
        <w:rPr>
          <w:rFonts w:ascii="Palatino Linotype" w:eastAsia="Batang" w:hAnsi="Palatino Linotype" w:cs="Tahoma"/>
          <w:bCs/>
          <w:sz w:val="22"/>
          <w:szCs w:val="22"/>
          <w:lang w:val="es-ES_tradnl"/>
        </w:rPr>
        <w:t>Recurso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de Revisión, interpuesto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w:t>
      </w:r>
      <w:r w:rsidR="000B0C2A">
        <w:rPr>
          <w:rFonts w:ascii="Palatino Linotype" w:eastAsia="Batang" w:hAnsi="Palatino Linotype" w:cs="Tahoma"/>
          <w:bCs/>
          <w:sz w:val="22"/>
          <w:szCs w:val="22"/>
          <w:lang w:val="es-ES_tradnl"/>
        </w:rPr>
        <w:t>tado de México y Municipios, lo</w:t>
      </w:r>
      <w:r w:rsidRPr="000B7ED7">
        <w:rPr>
          <w:rFonts w:ascii="Palatino Linotype" w:eastAsia="Batang" w:hAnsi="Palatino Linotype" w:cs="Tahoma"/>
          <w:bCs/>
          <w:sz w:val="22"/>
          <w:szCs w:val="22"/>
          <w:lang w:val="es-ES_tradnl"/>
        </w:rPr>
        <w:t xml:space="preserve"> cual fue notificado a las partes, a través del Sistema de Acceso a la Información Mexiquense (SAIMEX), en el que se les otorgó un plazo de siete días hábiles posteriores a la misma, para que manifestaran lo que a su derecho conviniera y formularan alegatos.</w:t>
      </w:r>
    </w:p>
    <w:p w14:paraId="5B82883C" w14:textId="77777777" w:rsidR="000B0C2A" w:rsidRDefault="000B0C2A" w:rsidP="00836192">
      <w:pPr>
        <w:spacing w:line="360" w:lineRule="auto"/>
        <w:jc w:val="both"/>
        <w:rPr>
          <w:rFonts w:ascii="Palatino Linotype" w:eastAsia="Batang" w:hAnsi="Palatino Linotype" w:cs="Tahoma"/>
          <w:bCs/>
          <w:sz w:val="22"/>
          <w:szCs w:val="22"/>
          <w:lang w:val="es-ES_tradnl"/>
        </w:rPr>
      </w:pPr>
    </w:p>
    <w:p w14:paraId="62DFBF7C" w14:textId="2F03C290" w:rsidR="000B0C2A" w:rsidRPr="000B4DAA" w:rsidRDefault="000B0C2A" w:rsidP="000B0C2A">
      <w:pPr>
        <w:spacing w:line="360" w:lineRule="auto"/>
        <w:contextualSpacing/>
        <w:jc w:val="both"/>
        <w:rPr>
          <w:rFonts w:ascii="Palatino Linotype" w:hAnsi="Palatino Linotype" w:cs="Tahoma"/>
          <w:b/>
          <w:sz w:val="22"/>
          <w:szCs w:val="22"/>
        </w:rPr>
      </w:pPr>
      <w:r w:rsidRPr="000B4DAA">
        <w:rPr>
          <w:rFonts w:ascii="Palatino Linotype" w:hAnsi="Palatino Linotype" w:cs="Tahoma"/>
          <w:b/>
          <w:sz w:val="22"/>
          <w:szCs w:val="22"/>
        </w:rPr>
        <w:t xml:space="preserve">c) Acumulación de los Recursos de Revisión. </w:t>
      </w:r>
      <w:r w:rsidRPr="000B4DAA">
        <w:rPr>
          <w:rFonts w:ascii="Palatino Linotype" w:hAnsi="Palatino Linotype"/>
          <w:color w:val="000000"/>
          <w:sz w:val="22"/>
          <w:szCs w:val="22"/>
        </w:rPr>
        <w:t xml:space="preserve">El </w:t>
      </w:r>
      <w:r w:rsidR="00D8045B">
        <w:rPr>
          <w:rFonts w:ascii="Palatino Linotype" w:hAnsi="Palatino Linotype"/>
          <w:color w:val="000000"/>
          <w:sz w:val="22"/>
          <w:szCs w:val="22"/>
        </w:rPr>
        <w:t>nueve</w:t>
      </w:r>
      <w:r w:rsidRPr="000B4DAA">
        <w:rPr>
          <w:rFonts w:ascii="Palatino Linotype" w:hAnsi="Palatino Linotype"/>
          <w:color w:val="000000"/>
          <w:sz w:val="22"/>
          <w:szCs w:val="22"/>
        </w:rPr>
        <w:t xml:space="preserve"> de marzo de dos mil veintidós, el Pleno del Instituto de Transparencia, Acceso a la Información Pública y Protección de Datos Personales del Estado de México y Municipios, durante su </w:t>
      </w:r>
      <w:r w:rsidR="00D8045B">
        <w:rPr>
          <w:rFonts w:ascii="Palatino Linotype" w:hAnsi="Palatino Linotype"/>
          <w:color w:val="000000"/>
          <w:sz w:val="22"/>
          <w:szCs w:val="22"/>
        </w:rPr>
        <w:t>Novena</w:t>
      </w:r>
      <w:r w:rsidRPr="000B4DAA">
        <w:rPr>
          <w:rFonts w:ascii="Palatino Linotype" w:hAnsi="Palatino Linotype"/>
          <w:color w:val="000000"/>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0B4DAA">
        <w:rPr>
          <w:rFonts w:ascii="Palatino Linotype" w:hAnsi="Palatino Linotype"/>
          <w:b/>
          <w:bCs/>
          <w:color w:val="000000"/>
          <w:sz w:val="22"/>
          <w:szCs w:val="22"/>
        </w:rPr>
        <w:t>acordó</w:t>
      </w:r>
      <w:r w:rsidRPr="000B4DAA">
        <w:rPr>
          <w:rFonts w:ascii="Palatino Linotype" w:hAnsi="Palatino Linotype"/>
          <w:color w:val="000000"/>
          <w:sz w:val="22"/>
          <w:szCs w:val="22"/>
        </w:rPr>
        <w:t xml:space="preserve"> la acumulación de los Recursos de Revisión</w:t>
      </w:r>
      <w:r w:rsidRPr="000B4DAA">
        <w:rPr>
          <w:rFonts w:ascii="Palatino Linotype" w:hAnsi="Palatino Linotype"/>
          <w:b/>
          <w:bCs/>
          <w:color w:val="000000"/>
          <w:sz w:val="22"/>
          <w:szCs w:val="22"/>
        </w:rPr>
        <w:t xml:space="preserve"> </w:t>
      </w:r>
      <w:r w:rsidR="00D8045B">
        <w:rPr>
          <w:rFonts w:ascii="Palatino Linotype" w:hAnsi="Palatino Linotype"/>
          <w:b/>
          <w:bCs/>
          <w:color w:val="000000"/>
          <w:sz w:val="22"/>
          <w:szCs w:val="22"/>
        </w:rPr>
        <w:t>01723</w:t>
      </w:r>
      <w:r w:rsidR="00D8045B" w:rsidRPr="00D8045B">
        <w:rPr>
          <w:rFonts w:ascii="Palatino Linotype" w:hAnsi="Palatino Linotype"/>
          <w:b/>
          <w:bCs/>
          <w:color w:val="000000"/>
          <w:sz w:val="22"/>
          <w:szCs w:val="22"/>
        </w:rPr>
        <w:t xml:space="preserve">/INFOEM/IP/RR/2022  </w:t>
      </w:r>
      <w:r w:rsidR="00D8045B">
        <w:rPr>
          <w:rFonts w:ascii="Palatino Linotype" w:hAnsi="Palatino Linotype"/>
          <w:b/>
          <w:bCs/>
          <w:color w:val="000000"/>
          <w:sz w:val="22"/>
          <w:szCs w:val="22"/>
        </w:rPr>
        <w:t xml:space="preserve"> y 01725</w:t>
      </w:r>
      <w:r w:rsidRPr="000B4DAA">
        <w:rPr>
          <w:rFonts w:ascii="Palatino Linotype" w:hAnsi="Palatino Linotype"/>
          <w:b/>
          <w:bCs/>
          <w:color w:val="000000"/>
          <w:sz w:val="22"/>
          <w:szCs w:val="22"/>
        </w:rPr>
        <w:t xml:space="preserve">/INFOEM/IP/RR/2022 </w:t>
      </w:r>
      <w:r w:rsidRPr="000B4DAA">
        <w:rPr>
          <w:rFonts w:ascii="Palatino Linotype" w:hAnsi="Palatino Linotype"/>
          <w:b/>
          <w:bCs/>
          <w:color w:val="0D0D0D"/>
          <w:sz w:val="22"/>
          <w:szCs w:val="22"/>
        </w:rPr>
        <w:t xml:space="preserve"> </w:t>
      </w:r>
      <w:r w:rsidRPr="000B4DAA">
        <w:rPr>
          <w:rFonts w:ascii="Palatino Linotype" w:hAnsi="Palatino Linotype"/>
          <w:color w:val="000000"/>
          <w:sz w:val="22"/>
          <w:szCs w:val="22"/>
        </w:rPr>
        <w:t xml:space="preserve">al diverso </w:t>
      </w:r>
      <w:r w:rsidRPr="000B4DAA">
        <w:rPr>
          <w:rFonts w:ascii="Palatino Linotype" w:hAnsi="Palatino Linotype"/>
          <w:b/>
          <w:bCs/>
          <w:color w:val="000000"/>
          <w:sz w:val="22"/>
          <w:szCs w:val="22"/>
        </w:rPr>
        <w:t>0</w:t>
      </w:r>
      <w:r w:rsidR="00D8045B">
        <w:rPr>
          <w:rFonts w:ascii="Palatino Linotype" w:hAnsi="Palatino Linotype"/>
          <w:b/>
          <w:bCs/>
          <w:color w:val="000000"/>
          <w:sz w:val="22"/>
          <w:szCs w:val="22"/>
        </w:rPr>
        <w:t>1606</w:t>
      </w:r>
      <w:r w:rsidRPr="000B4DAA">
        <w:rPr>
          <w:rFonts w:ascii="Palatino Linotype" w:hAnsi="Palatino Linotype"/>
          <w:b/>
          <w:bCs/>
          <w:color w:val="000000"/>
          <w:sz w:val="22"/>
          <w:szCs w:val="22"/>
        </w:rPr>
        <w:t xml:space="preserve">/INFOEM/IP/RR/2022, </w:t>
      </w:r>
      <w:r w:rsidRPr="000B4DAA">
        <w:rPr>
          <w:rFonts w:ascii="Palatino Linotype" w:hAnsi="Palatino Linotype"/>
          <w:color w:val="000000"/>
          <w:sz w:val="22"/>
          <w:szCs w:val="22"/>
        </w:rPr>
        <w:t xml:space="preserve">por ser este último el más antiguo, sustanciado bajo el índice de esta Ponencia, al advertir conexidad entre estos, </w:t>
      </w:r>
      <w:r w:rsidRPr="000B4DAA">
        <w:rPr>
          <w:rFonts w:ascii="Palatino Linotype" w:hAnsi="Palatino Linotype"/>
          <w:color w:val="000000"/>
          <w:sz w:val="22"/>
          <w:szCs w:val="22"/>
        </w:rPr>
        <w:lastRenderedPageBreak/>
        <w:t xml:space="preserve">ya que fueron promovidos por la misma persona, en los que se señaló como Sujeto Obligado recurrido al  </w:t>
      </w:r>
      <w:r w:rsidR="00D8045B" w:rsidRPr="00D8045B">
        <w:rPr>
          <w:rFonts w:ascii="Palatino Linotype" w:hAnsi="Palatino Linotype"/>
          <w:color w:val="000000"/>
          <w:sz w:val="22"/>
          <w:szCs w:val="22"/>
        </w:rPr>
        <w:t>Sistema Municipal para el Desarrollo Integral de la Familia de Metepec</w:t>
      </w:r>
      <w:r w:rsidRPr="000B4DAA">
        <w:rPr>
          <w:rFonts w:ascii="Palatino Linotype" w:eastAsia="Calibri" w:hAnsi="Palatino Linotype" w:cs="Tahoma"/>
          <w:b/>
          <w:sz w:val="22"/>
          <w:szCs w:val="22"/>
          <w:lang w:eastAsia="en-US"/>
        </w:rPr>
        <w:t>.</w:t>
      </w:r>
    </w:p>
    <w:p w14:paraId="39B15391" w14:textId="77777777" w:rsidR="000B0C2A" w:rsidRPr="000B7ED7" w:rsidRDefault="000B0C2A" w:rsidP="00836192">
      <w:pPr>
        <w:spacing w:line="360" w:lineRule="auto"/>
        <w:jc w:val="both"/>
        <w:rPr>
          <w:rFonts w:ascii="Palatino Linotype" w:eastAsia="Batang" w:hAnsi="Palatino Linotype" w:cs="Tahoma"/>
          <w:bCs/>
          <w:sz w:val="22"/>
          <w:szCs w:val="22"/>
          <w:lang w:val="es-ES_tradnl"/>
        </w:rPr>
      </w:pPr>
    </w:p>
    <w:p w14:paraId="59513187" w14:textId="1B05AFCF" w:rsidR="00392421" w:rsidRDefault="00836192" w:rsidP="00392421">
      <w:pPr>
        <w:widowControl w:val="0"/>
        <w:spacing w:line="360" w:lineRule="auto"/>
        <w:jc w:val="both"/>
        <w:rPr>
          <w:rFonts w:ascii="Palatino Linotype" w:hAnsi="Palatino Linotype"/>
          <w:bCs/>
          <w:sz w:val="22"/>
          <w:szCs w:val="22"/>
          <w:lang w:val="es-ES_tradnl"/>
        </w:rPr>
      </w:pPr>
      <w:r w:rsidRPr="00392421">
        <w:rPr>
          <w:rFonts w:ascii="Palatino Linotype" w:hAnsi="Palatino Linotype" w:cs="Tahoma"/>
          <w:b/>
          <w:sz w:val="22"/>
          <w:szCs w:val="22"/>
        </w:rPr>
        <w:t>c)</w:t>
      </w:r>
      <w:r w:rsidRPr="000B7ED7">
        <w:rPr>
          <w:rFonts w:ascii="Palatino Linotype" w:hAnsi="Palatino Linotype" w:cs="Tahoma"/>
          <w:b/>
          <w:sz w:val="22"/>
          <w:szCs w:val="22"/>
        </w:rPr>
        <w:t xml:space="preserve"> </w:t>
      </w:r>
      <w:r w:rsidR="00BB3D12" w:rsidRPr="000B7ED7">
        <w:rPr>
          <w:rFonts w:ascii="Palatino Linotype" w:hAnsi="Palatino Linotype" w:cs="Tahoma"/>
          <w:b/>
          <w:sz w:val="22"/>
          <w:szCs w:val="22"/>
        </w:rPr>
        <w:t>Informe Justificado</w:t>
      </w:r>
      <w:r w:rsidR="00392421">
        <w:rPr>
          <w:rFonts w:ascii="Palatino Linotype" w:hAnsi="Palatino Linotype" w:cs="Tahoma"/>
          <w:b/>
          <w:sz w:val="22"/>
          <w:szCs w:val="22"/>
        </w:rPr>
        <w:t xml:space="preserve"> o Manifestaciones</w:t>
      </w:r>
      <w:r w:rsidRPr="000B7ED7">
        <w:rPr>
          <w:rFonts w:ascii="Palatino Linotype" w:hAnsi="Palatino Linotype" w:cs="Tahoma"/>
          <w:b/>
          <w:sz w:val="22"/>
          <w:szCs w:val="22"/>
        </w:rPr>
        <w:t>.</w:t>
      </w:r>
      <w:r w:rsidRPr="000B7ED7">
        <w:rPr>
          <w:rFonts w:ascii="Palatino Linotype" w:hAnsi="Palatino Linotype" w:cs="Tahoma"/>
          <w:sz w:val="22"/>
          <w:szCs w:val="22"/>
        </w:rPr>
        <w:t xml:space="preserve"> </w:t>
      </w:r>
      <w:r w:rsidR="00392421" w:rsidRPr="00392421">
        <w:rPr>
          <w:rFonts w:ascii="Palatino Linotype" w:hAnsi="Palatino Linotype"/>
          <w:bCs/>
          <w:sz w:val="22"/>
          <w:szCs w:val="22"/>
          <w:lang w:val="es-ES_tradnl"/>
        </w:rPr>
        <w:t>Las partes fueron omisas en emitir manifestaciones o alegatos.</w:t>
      </w:r>
    </w:p>
    <w:p w14:paraId="3BFE7816" w14:textId="77777777" w:rsidR="00495118" w:rsidRDefault="00495118" w:rsidP="00392421">
      <w:pPr>
        <w:widowControl w:val="0"/>
        <w:spacing w:line="360" w:lineRule="auto"/>
        <w:jc w:val="both"/>
        <w:rPr>
          <w:rFonts w:ascii="Palatino Linotype" w:hAnsi="Palatino Linotype"/>
          <w:bCs/>
          <w:sz w:val="22"/>
          <w:szCs w:val="22"/>
          <w:lang w:val="es-ES_tradnl"/>
        </w:rPr>
      </w:pPr>
    </w:p>
    <w:p w14:paraId="4D9F875F" w14:textId="01B6EA9A" w:rsidR="00836192" w:rsidRDefault="004D6299" w:rsidP="00D86214">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2F21F7">
        <w:rPr>
          <w:rFonts w:ascii="Palatino Linotype" w:hAnsi="Palatino Linotype" w:cs="Tahoma"/>
          <w:b/>
          <w:sz w:val="22"/>
          <w:szCs w:val="22"/>
        </w:rPr>
        <w:t>) Ampliación de plazo para resolver.</w:t>
      </w:r>
      <w:r w:rsidRPr="002F21F7">
        <w:rPr>
          <w:rFonts w:ascii="Palatino Linotype" w:hAnsi="Palatino Linotype" w:cs="Tahoma"/>
          <w:bCs/>
          <w:sz w:val="22"/>
          <w:szCs w:val="22"/>
        </w:rPr>
        <w:t xml:space="preserve"> El </w:t>
      </w:r>
      <w:r w:rsidR="00D8045B">
        <w:rPr>
          <w:rFonts w:ascii="Palatino Linotype" w:hAnsi="Palatino Linotype" w:cs="Tahoma"/>
          <w:bCs/>
          <w:sz w:val="22"/>
          <w:szCs w:val="22"/>
        </w:rPr>
        <w:t>veintinueve</w:t>
      </w:r>
      <w:r w:rsidRPr="002F21F7">
        <w:rPr>
          <w:rFonts w:ascii="Palatino Linotype" w:hAnsi="Palatino Linotype" w:cs="Tahoma"/>
          <w:bCs/>
          <w:sz w:val="22"/>
          <w:szCs w:val="22"/>
        </w:rPr>
        <w:t xml:space="preserve"> de abril de dos mil veintidós, el</w:t>
      </w:r>
      <w:r>
        <w:rPr>
          <w:rFonts w:ascii="Palatino Linotype" w:hAnsi="Palatino Linotype" w:cs="Tahoma"/>
          <w:bCs/>
          <w:sz w:val="22"/>
          <w:szCs w:val="22"/>
        </w:rPr>
        <w:t xml:space="preserve"> </w:t>
      </w:r>
      <w:r w:rsidRPr="002F21F7">
        <w:rPr>
          <w:rFonts w:ascii="Palatino Linotype" w:hAnsi="Palatino Linotype" w:cs="Tahoma"/>
          <w:bCs/>
          <w:sz w:val="22"/>
          <w:szCs w:val="22"/>
        </w:rPr>
        <w:t>Comisionado Ponente, con fundamento en lo dispuesto por el artículo 181, párrafo tercero,</w:t>
      </w:r>
      <w:r>
        <w:rPr>
          <w:rFonts w:ascii="Palatino Linotype" w:hAnsi="Palatino Linotype" w:cs="Tahoma"/>
          <w:bCs/>
          <w:sz w:val="22"/>
          <w:szCs w:val="22"/>
        </w:rPr>
        <w:t xml:space="preserve"> </w:t>
      </w:r>
      <w:r w:rsidRPr="002F21F7">
        <w:rPr>
          <w:rFonts w:ascii="Palatino Linotype" w:hAnsi="Palatino Linotype" w:cs="Tahoma"/>
          <w:bCs/>
          <w:sz w:val="22"/>
          <w:szCs w:val="22"/>
        </w:rPr>
        <w:t>de la Ley de Transparencia y Acceso a la Información Pública del Estado de México y</w:t>
      </w:r>
      <w:r>
        <w:rPr>
          <w:rFonts w:ascii="Palatino Linotype" w:hAnsi="Palatino Linotype" w:cs="Tahoma"/>
          <w:bCs/>
          <w:sz w:val="22"/>
          <w:szCs w:val="22"/>
        </w:rPr>
        <w:t xml:space="preserve"> </w:t>
      </w:r>
      <w:r w:rsidRPr="002F21F7">
        <w:rPr>
          <w:rFonts w:ascii="Palatino Linotype" w:hAnsi="Palatino Linotype" w:cs="Tahoma"/>
          <w:bCs/>
          <w:sz w:val="22"/>
          <w:szCs w:val="22"/>
        </w:rPr>
        <w:t>Municipios, acordó ampliar por un periodo de quince días hábiles, el plazo para resolver el</w:t>
      </w:r>
      <w:r>
        <w:rPr>
          <w:rFonts w:ascii="Palatino Linotype" w:hAnsi="Palatino Linotype" w:cs="Tahoma"/>
          <w:bCs/>
          <w:sz w:val="22"/>
          <w:szCs w:val="22"/>
        </w:rPr>
        <w:t xml:space="preserve"> </w:t>
      </w:r>
      <w:r w:rsidRPr="002F21F7">
        <w:rPr>
          <w:rFonts w:ascii="Palatino Linotype" w:hAnsi="Palatino Linotype" w:cs="Tahoma"/>
          <w:bCs/>
          <w:sz w:val="22"/>
          <w:szCs w:val="22"/>
        </w:rPr>
        <w:t>Recurso de Revisión que nos ocupa; acto que fue notificado a las partes, mediante el</w:t>
      </w:r>
      <w:r>
        <w:rPr>
          <w:rFonts w:ascii="Palatino Linotype" w:hAnsi="Palatino Linotype" w:cs="Tahoma"/>
          <w:bCs/>
          <w:sz w:val="22"/>
          <w:szCs w:val="22"/>
        </w:rPr>
        <w:t xml:space="preserve"> </w:t>
      </w:r>
      <w:r w:rsidRPr="002F21F7">
        <w:rPr>
          <w:rFonts w:ascii="Palatino Linotype" w:hAnsi="Palatino Linotype" w:cs="Tahoma"/>
          <w:bCs/>
          <w:sz w:val="22"/>
          <w:szCs w:val="22"/>
        </w:rPr>
        <w:t>Sistema de Acceso a la Información Mexiquense (SAIMEX).</w:t>
      </w:r>
    </w:p>
    <w:p w14:paraId="61477C3C" w14:textId="77777777" w:rsidR="005864BF" w:rsidRPr="00D86214" w:rsidRDefault="005864BF" w:rsidP="00D86214">
      <w:pPr>
        <w:spacing w:line="360" w:lineRule="auto"/>
        <w:jc w:val="both"/>
        <w:rPr>
          <w:rFonts w:ascii="Palatino Linotype" w:hAnsi="Palatino Linotype" w:cs="Tahoma"/>
          <w:bCs/>
          <w:sz w:val="22"/>
          <w:szCs w:val="22"/>
        </w:rPr>
      </w:pPr>
    </w:p>
    <w:p w14:paraId="7C191B6E" w14:textId="3FDDC7B8" w:rsidR="00836192" w:rsidRPr="000B7ED7" w:rsidRDefault="004D6299" w:rsidP="0083619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836192" w:rsidRPr="000B7ED7">
        <w:rPr>
          <w:rFonts w:ascii="Palatino Linotype" w:hAnsi="Palatino Linotype" w:cs="Tahoma"/>
          <w:b/>
          <w:sz w:val="22"/>
          <w:szCs w:val="22"/>
        </w:rPr>
        <w:t>) Cierre de instrucción.</w:t>
      </w:r>
      <w:r w:rsidR="00836192" w:rsidRPr="000B7ED7">
        <w:rPr>
          <w:rFonts w:ascii="Palatino Linotype" w:hAnsi="Palatino Linotype" w:cs="Tahoma"/>
          <w:sz w:val="22"/>
          <w:szCs w:val="22"/>
        </w:rPr>
        <w:t xml:space="preserve"> El </w:t>
      </w:r>
      <w:r w:rsidR="00D8045B">
        <w:rPr>
          <w:rFonts w:ascii="Palatino Linotype" w:hAnsi="Palatino Linotype" w:cs="Tahoma"/>
          <w:sz w:val="22"/>
          <w:szCs w:val="22"/>
        </w:rPr>
        <w:t xml:space="preserve">seis de mayo </w:t>
      </w:r>
      <w:r w:rsidR="00D86214" w:rsidRPr="00D86214">
        <w:rPr>
          <w:rFonts w:ascii="Palatino Linotype" w:hAnsi="Palatino Linotype" w:cs="Tahoma"/>
          <w:sz w:val="22"/>
          <w:szCs w:val="22"/>
        </w:rPr>
        <w:t xml:space="preserve"> de dos mil veintidós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836192">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836192">
      <w:pPr>
        <w:spacing w:line="360" w:lineRule="auto"/>
        <w:jc w:val="center"/>
        <w:rPr>
          <w:rFonts w:ascii="Palatino Linotype" w:hAnsi="Palatino Linotype" w:cs="Tahoma"/>
          <w:b/>
          <w:sz w:val="22"/>
          <w:szCs w:val="22"/>
        </w:rPr>
      </w:pPr>
    </w:p>
    <w:p w14:paraId="3827B311" w14:textId="77777777" w:rsidR="00836192" w:rsidRPr="000B7ED7" w:rsidRDefault="00836192" w:rsidP="00836192">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660D57A9" w14:textId="77777777" w:rsidR="00836192" w:rsidRPr="000B7ED7" w:rsidRDefault="00836192" w:rsidP="0083619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0573362E"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2FF232E4" w14:textId="27C0371D" w:rsidR="00836192" w:rsidRPr="000B7ED7" w:rsidRDefault="00836192" w:rsidP="00836192">
      <w:pPr>
        <w:spacing w:line="360" w:lineRule="auto"/>
        <w:jc w:val="both"/>
        <w:rPr>
          <w:rFonts w:ascii="Palatino Linotype" w:hAnsi="Palatino Linotype" w:cs="Tahoma"/>
          <w:bCs/>
          <w:sz w:val="22"/>
          <w:szCs w:val="22"/>
        </w:rPr>
      </w:pPr>
      <w:bookmarkStart w:id="0"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14:paraId="799726CC" w14:textId="77777777" w:rsidR="00836192" w:rsidRPr="000B7ED7" w:rsidRDefault="00836192" w:rsidP="00836192">
      <w:pPr>
        <w:spacing w:line="360" w:lineRule="auto"/>
        <w:jc w:val="both"/>
        <w:rPr>
          <w:rFonts w:ascii="Palatino Linotype" w:hAnsi="Palatino Linotype" w:cs="Tahoma"/>
          <w:sz w:val="22"/>
          <w:szCs w:val="22"/>
          <w:shd w:val="clear" w:color="auto" w:fill="FFFFFF"/>
        </w:rPr>
      </w:pPr>
    </w:p>
    <w:p w14:paraId="36B85560"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58B001B1"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0B7ED7" w:rsidRDefault="00836192" w:rsidP="00836192">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F796DF7" w14:textId="77777777" w:rsidR="00836192" w:rsidRPr="000B7ED7" w:rsidRDefault="00836192" w:rsidP="00836192">
      <w:pPr>
        <w:spacing w:line="360" w:lineRule="auto"/>
        <w:jc w:val="both"/>
        <w:rPr>
          <w:rFonts w:ascii="Palatino Linotype" w:hAnsi="Palatino Linotype"/>
          <w:sz w:val="22"/>
          <w:szCs w:val="22"/>
        </w:rPr>
      </w:pPr>
    </w:p>
    <w:p w14:paraId="207C864F" w14:textId="77777777"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w:t>
      </w:r>
      <w:r w:rsidRPr="000B7ED7">
        <w:rPr>
          <w:rFonts w:ascii="Palatino Linotype" w:hAnsi="Palatino Linotype" w:cs="Tahoma"/>
          <w:bCs/>
          <w:color w:val="000000"/>
          <w:sz w:val="22"/>
          <w:szCs w:val="22"/>
        </w:rPr>
        <w:lastRenderedPageBreak/>
        <w:t>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0B7ED7" w:rsidRDefault="00836192" w:rsidP="00836192">
      <w:pPr>
        <w:spacing w:line="360" w:lineRule="auto"/>
        <w:jc w:val="both"/>
        <w:rPr>
          <w:rFonts w:ascii="Palatino Linotype" w:hAnsi="Palatino Linotype" w:cs="Tahoma"/>
          <w:bCs/>
          <w:color w:val="000000"/>
          <w:sz w:val="22"/>
          <w:szCs w:val="22"/>
        </w:rPr>
      </w:pPr>
    </w:p>
    <w:p w14:paraId="01CB2C6C" w14:textId="50DE4530"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6A73D0EC" w14:textId="77777777" w:rsidR="00836192" w:rsidRPr="000B7ED7" w:rsidRDefault="00836192" w:rsidP="00836192">
      <w:pPr>
        <w:spacing w:line="360" w:lineRule="auto"/>
        <w:jc w:val="both"/>
        <w:rPr>
          <w:rFonts w:ascii="Palatino Linotype" w:hAnsi="Palatino Linotype"/>
          <w:color w:val="222222"/>
          <w:sz w:val="22"/>
          <w:szCs w:val="22"/>
          <w:lang w:val="es-ES"/>
        </w:rPr>
      </w:pPr>
    </w:p>
    <w:p w14:paraId="7822D596" w14:textId="4F2F23E9" w:rsidR="00836192" w:rsidRPr="000B7ED7" w:rsidRDefault="00836192" w:rsidP="00836192">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 xml:space="preserve">Asimismo, se actualiza la causal de procedencia del Recurso de Revisión señalada en el artículo 179, </w:t>
      </w:r>
      <w:r w:rsidR="00B867F6">
        <w:rPr>
          <w:rFonts w:ascii="Palatino Linotype" w:hAnsi="Palatino Linotype" w:cs="Tahoma"/>
          <w:sz w:val="22"/>
          <w:szCs w:val="22"/>
        </w:rPr>
        <w:t>VI</w:t>
      </w:r>
      <w:r w:rsidRPr="000B7ED7">
        <w:rPr>
          <w:rFonts w:ascii="Palatino Linotype" w:hAnsi="Palatino Linotype" w:cs="Tahoma"/>
          <w:sz w:val="22"/>
          <w:szCs w:val="22"/>
        </w:rPr>
        <w:t xml:space="preserve">, de la Ley en cita, </w:t>
      </w:r>
      <w:r w:rsidRPr="000B7ED7">
        <w:rPr>
          <w:rFonts w:ascii="Palatino Linotype" w:eastAsia="Calibri" w:hAnsi="Palatino Linotype" w:cs="Tahoma"/>
          <w:color w:val="000000"/>
          <w:sz w:val="22"/>
          <w:szCs w:val="22"/>
          <w:lang w:eastAsia="es-MX"/>
        </w:rPr>
        <w:t xml:space="preserve">pues </w:t>
      </w:r>
      <w:r w:rsidR="00161E09">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sidR="00B867F6">
        <w:rPr>
          <w:rFonts w:ascii="Palatino Linotype" w:hAnsi="Palatino Linotype" w:cs="Tahoma"/>
          <w:sz w:val="22"/>
          <w:szCs w:val="22"/>
          <w:lang w:val="es-ES"/>
        </w:rPr>
        <w:t>de la entrega de información que no corresponde con lo solicitado.</w:t>
      </w:r>
    </w:p>
    <w:p w14:paraId="6B68C2E4" w14:textId="77777777" w:rsidR="00836192" w:rsidRPr="000B7ED7" w:rsidRDefault="00836192" w:rsidP="00836192">
      <w:pPr>
        <w:spacing w:line="360" w:lineRule="auto"/>
        <w:jc w:val="both"/>
        <w:rPr>
          <w:rFonts w:ascii="Palatino Linotype" w:hAnsi="Palatino Linotype" w:cs="Tahoma"/>
          <w:bCs/>
          <w:sz w:val="22"/>
          <w:szCs w:val="22"/>
          <w:lang w:val="es-ES"/>
        </w:rPr>
      </w:pPr>
    </w:p>
    <w:p w14:paraId="2D099825" w14:textId="77777777" w:rsidR="00836192" w:rsidRPr="000B7ED7" w:rsidRDefault="00836192" w:rsidP="00836192">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14:paraId="68A19E27"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1B3D3DEC"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177D54F6"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3E312D1F"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w:t>
      </w:r>
      <w:r w:rsidRPr="00993A49">
        <w:rPr>
          <w:rFonts w:ascii="Palatino Linotype" w:hAnsi="Palatino Linotype" w:cs="Tahoma"/>
          <w:color w:val="0D0D0D" w:themeColor="text1" w:themeTint="F2"/>
          <w:sz w:val="22"/>
          <w:szCs w:val="22"/>
        </w:rPr>
        <w:lastRenderedPageBreak/>
        <w:t>Obligado hubiese modificado o revocado el acto impugnado o bien, haya quedado sin materia.</w:t>
      </w:r>
    </w:p>
    <w:p w14:paraId="7F9CCA3C"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1CA5BCE1" w14:textId="6008E597" w:rsidR="00836192"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14:paraId="505CAE77" w14:textId="77777777" w:rsidR="00993A49" w:rsidRPr="000B7ED7" w:rsidRDefault="00993A49" w:rsidP="00993A49">
      <w:pPr>
        <w:spacing w:line="360" w:lineRule="auto"/>
        <w:jc w:val="both"/>
        <w:rPr>
          <w:rFonts w:ascii="Palatino Linotype" w:hAnsi="Palatino Linotype" w:cs="Tahoma"/>
          <w:sz w:val="22"/>
          <w:szCs w:val="22"/>
          <w:lang w:val="es-ES"/>
        </w:rPr>
      </w:pPr>
    </w:p>
    <w:p w14:paraId="1D4BC467" w14:textId="5E81811A" w:rsidR="00836192" w:rsidRDefault="00836192" w:rsidP="00836192">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t xml:space="preserve">TERCERO. Determinación de la Controversia. </w:t>
      </w:r>
    </w:p>
    <w:p w14:paraId="2942AC05" w14:textId="77777777" w:rsidR="00B867F6" w:rsidRPr="000B7ED7" w:rsidRDefault="00B867F6" w:rsidP="00836192">
      <w:pPr>
        <w:tabs>
          <w:tab w:val="left" w:pos="4962"/>
        </w:tabs>
        <w:spacing w:line="360" w:lineRule="auto"/>
        <w:jc w:val="both"/>
        <w:rPr>
          <w:rFonts w:ascii="Palatino Linotype" w:eastAsia="Calibri" w:hAnsi="Palatino Linotype" w:cs="Tahoma"/>
          <w:b/>
          <w:iCs/>
          <w:sz w:val="22"/>
          <w:szCs w:val="22"/>
          <w:lang w:val="es-ES" w:eastAsia="es-ES_tradnl"/>
        </w:rPr>
      </w:pPr>
    </w:p>
    <w:p w14:paraId="46D67B72" w14:textId="4BC644CF" w:rsidR="00D8045B" w:rsidRPr="00B867F6" w:rsidRDefault="00E438B3" w:rsidP="00B867F6">
      <w:pPr>
        <w:spacing w:line="360" w:lineRule="auto"/>
        <w:jc w:val="both"/>
        <w:rPr>
          <w:rFonts w:ascii="Palatino Linotype" w:hAnsi="Palatino Linotype" w:cs="Tahoma"/>
          <w:sz w:val="22"/>
          <w:szCs w:val="22"/>
        </w:rPr>
      </w:pPr>
      <w:r w:rsidRPr="000B7ED7">
        <w:rPr>
          <w:rFonts w:ascii="Palatino Linotype" w:hAnsi="Palatino Linotype" w:cs="Tahoma"/>
          <w:sz w:val="22"/>
          <w:szCs w:val="22"/>
        </w:rPr>
        <w:t>Con el objetivo de ilustrar la controversia planteada</w:t>
      </w:r>
      <w:r w:rsidR="006F29FC" w:rsidRPr="000B7ED7">
        <w:rPr>
          <w:rFonts w:ascii="Palatino Linotype" w:hAnsi="Palatino Linotype" w:cs="Tahoma"/>
          <w:sz w:val="22"/>
          <w:szCs w:val="22"/>
        </w:rPr>
        <w:t xml:space="preserve">, resulta conveniente precisar, que una vez realizado el estudio de </w:t>
      </w:r>
      <w:r w:rsidR="00361539" w:rsidRPr="000B7ED7">
        <w:rPr>
          <w:rFonts w:ascii="Palatino Linotype" w:hAnsi="Palatino Linotype" w:cs="Tahoma"/>
          <w:sz w:val="22"/>
          <w:szCs w:val="22"/>
        </w:rPr>
        <w:t xml:space="preserve">las </w:t>
      </w:r>
      <w:r w:rsidR="00121F26" w:rsidRPr="000B7ED7">
        <w:rPr>
          <w:rFonts w:ascii="Palatino Linotype" w:hAnsi="Palatino Linotype" w:cs="Tahoma"/>
          <w:sz w:val="22"/>
          <w:szCs w:val="22"/>
        </w:rPr>
        <w:t xml:space="preserve">constancias </w:t>
      </w:r>
      <w:r w:rsidR="00E82D16" w:rsidRPr="000B7ED7">
        <w:rPr>
          <w:rFonts w:ascii="Palatino Linotype" w:hAnsi="Palatino Linotype" w:cs="Tahoma"/>
          <w:sz w:val="22"/>
          <w:szCs w:val="22"/>
        </w:rPr>
        <w:t xml:space="preserve">que integran el expediente </w:t>
      </w:r>
      <w:r w:rsidR="00DE25AA" w:rsidRPr="000B7ED7">
        <w:rPr>
          <w:rFonts w:ascii="Palatino Linotype" w:hAnsi="Palatino Linotype" w:cs="Tahoma"/>
          <w:sz w:val="22"/>
          <w:szCs w:val="22"/>
        </w:rPr>
        <w:t xml:space="preserve">en el que se actúa, se desprende que el Particular </w:t>
      </w:r>
      <w:r w:rsidR="009D0B60" w:rsidRPr="000B7ED7">
        <w:rPr>
          <w:rFonts w:ascii="Palatino Linotype" w:hAnsi="Palatino Linotype" w:cs="Tahoma"/>
          <w:sz w:val="22"/>
          <w:szCs w:val="22"/>
        </w:rPr>
        <w:t>requirió</w:t>
      </w:r>
      <w:r w:rsidR="00B867F6">
        <w:rPr>
          <w:rFonts w:ascii="Palatino Linotype" w:hAnsi="Palatino Linotype" w:cs="Tahoma"/>
          <w:sz w:val="22"/>
          <w:szCs w:val="22"/>
        </w:rPr>
        <w:t xml:space="preserve">, a través de tres solicitudes de acceso a la información pública, requirió </w:t>
      </w:r>
      <w:r w:rsidR="00B60565">
        <w:rPr>
          <w:rFonts w:ascii="Palatino Linotype" w:hAnsi="Palatino Linotype" w:cs="Tahoma"/>
          <w:sz w:val="22"/>
          <w:szCs w:val="22"/>
        </w:rPr>
        <w:t>el</w:t>
      </w:r>
      <w:r w:rsidR="00B867F6" w:rsidRPr="00B867F6">
        <w:rPr>
          <w:rFonts w:ascii="Palatino Linotype" w:hAnsi="Palatino Linotype" w:cs="Tahoma"/>
          <w:sz w:val="22"/>
          <w:szCs w:val="22"/>
        </w:rPr>
        <w:t xml:space="preserve"> </w:t>
      </w:r>
      <w:r w:rsidR="00D8045B" w:rsidRPr="00B867F6">
        <w:rPr>
          <w:rFonts w:ascii="Palatino Linotype" w:hAnsi="Palatino Linotype" w:cs="Tahoma"/>
          <w:i/>
          <w:iCs/>
          <w:sz w:val="22"/>
          <w:szCs w:val="22"/>
        </w:rPr>
        <w:t>curr</w:t>
      </w:r>
      <w:r w:rsidR="00B867F6">
        <w:rPr>
          <w:rFonts w:ascii="Palatino Linotype" w:hAnsi="Palatino Linotype" w:cs="Tahoma"/>
          <w:i/>
          <w:iCs/>
          <w:sz w:val="22"/>
          <w:szCs w:val="22"/>
        </w:rPr>
        <w:t>í</w:t>
      </w:r>
      <w:r w:rsidR="00D8045B" w:rsidRPr="00B867F6">
        <w:rPr>
          <w:rFonts w:ascii="Palatino Linotype" w:hAnsi="Palatino Linotype" w:cs="Tahoma"/>
          <w:i/>
          <w:iCs/>
          <w:sz w:val="22"/>
          <w:szCs w:val="22"/>
        </w:rPr>
        <w:t>culum vitae</w:t>
      </w:r>
      <w:r w:rsidR="00D8045B" w:rsidRPr="00B867F6">
        <w:rPr>
          <w:rFonts w:ascii="Palatino Linotype" w:hAnsi="Palatino Linotype" w:cs="Tahoma"/>
          <w:sz w:val="22"/>
          <w:szCs w:val="22"/>
        </w:rPr>
        <w:t xml:space="preserve"> de María Elisa Quijada Badillo, la Titular del Órgano Interno de Control</w:t>
      </w:r>
      <w:r w:rsidR="00D8045B" w:rsidRPr="00B867F6">
        <w:rPr>
          <w:sz w:val="22"/>
          <w:szCs w:val="22"/>
        </w:rPr>
        <w:t xml:space="preserve"> </w:t>
      </w:r>
      <w:r w:rsidR="00D8045B" w:rsidRPr="00B867F6">
        <w:rPr>
          <w:rFonts w:ascii="Palatino Linotype" w:hAnsi="Palatino Linotype" w:cs="Tahoma"/>
          <w:sz w:val="22"/>
          <w:szCs w:val="22"/>
        </w:rPr>
        <w:t>y de Diana Mireya Sandoval Pérez</w:t>
      </w:r>
      <w:r w:rsidR="00B43DA9" w:rsidRPr="00B867F6">
        <w:rPr>
          <w:rFonts w:ascii="Palatino Linotype" w:hAnsi="Palatino Linotype" w:cs="Tahoma"/>
          <w:sz w:val="22"/>
          <w:szCs w:val="22"/>
        </w:rPr>
        <w:t>.</w:t>
      </w:r>
    </w:p>
    <w:p w14:paraId="2D4A9710" w14:textId="77777777" w:rsidR="00D8045B" w:rsidRPr="00D8045B" w:rsidRDefault="00D8045B" w:rsidP="00D8045B">
      <w:pPr>
        <w:spacing w:line="360" w:lineRule="auto"/>
        <w:jc w:val="both"/>
        <w:rPr>
          <w:rFonts w:ascii="Palatino Linotype" w:hAnsi="Palatino Linotype" w:cs="Tahoma"/>
          <w:sz w:val="22"/>
          <w:szCs w:val="22"/>
        </w:rPr>
      </w:pPr>
    </w:p>
    <w:p w14:paraId="568C868C" w14:textId="06EF9B29" w:rsidR="00281696" w:rsidRPr="006B45B2" w:rsidRDefault="00130F94" w:rsidP="006B45B2">
      <w:pPr>
        <w:spacing w:line="360" w:lineRule="auto"/>
        <w:jc w:val="both"/>
        <w:rPr>
          <w:rFonts w:ascii="Palatino Linotype" w:eastAsia="Calibri" w:hAnsi="Palatino Linotype" w:cs="Tahoma"/>
          <w:bCs/>
          <w:iCs/>
          <w:color w:val="000000"/>
          <w:sz w:val="22"/>
          <w:lang w:val="es-ES_tradnl"/>
        </w:rPr>
      </w:pPr>
      <w:r w:rsidRPr="00FC2A43">
        <w:rPr>
          <w:rFonts w:ascii="Palatino Linotype" w:hAnsi="Palatino Linotype"/>
          <w:sz w:val="22"/>
          <w:szCs w:val="22"/>
        </w:rPr>
        <w:t>En respuesta, el Sujeto Obligado,</w:t>
      </w:r>
      <w:r w:rsidR="00504814" w:rsidRPr="00FC2A43">
        <w:rPr>
          <w:rFonts w:ascii="Palatino Linotype" w:hAnsi="Palatino Linotype"/>
          <w:sz w:val="22"/>
          <w:szCs w:val="22"/>
        </w:rPr>
        <w:t xml:space="preserve"> </w:t>
      </w:r>
      <w:r w:rsidR="00B60565" w:rsidRPr="00FC2A43">
        <w:rPr>
          <w:rFonts w:ascii="Palatino Linotype" w:hAnsi="Palatino Linotype"/>
          <w:sz w:val="22"/>
          <w:szCs w:val="22"/>
        </w:rPr>
        <w:t xml:space="preserve">proporcionó el </w:t>
      </w:r>
      <w:r w:rsidR="00FC2A43">
        <w:rPr>
          <w:rFonts w:ascii="Palatino Linotype" w:hAnsi="Palatino Linotype" w:cs="Tahoma"/>
          <w:i/>
          <w:iCs/>
          <w:sz w:val="22"/>
          <w:szCs w:val="22"/>
        </w:rPr>
        <w:t>c</w:t>
      </w:r>
      <w:r w:rsidR="00B60565" w:rsidRPr="00FC2A43">
        <w:rPr>
          <w:rFonts w:ascii="Palatino Linotype" w:hAnsi="Palatino Linotype" w:cs="Tahoma"/>
          <w:i/>
          <w:iCs/>
          <w:sz w:val="22"/>
          <w:szCs w:val="22"/>
        </w:rPr>
        <w:t>urr</w:t>
      </w:r>
      <w:r w:rsidR="00FC2A43">
        <w:rPr>
          <w:rFonts w:ascii="Palatino Linotype" w:hAnsi="Palatino Linotype" w:cs="Tahoma"/>
          <w:i/>
          <w:iCs/>
          <w:sz w:val="22"/>
          <w:szCs w:val="22"/>
        </w:rPr>
        <w:t>í</w:t>
      </w:r>
      <w:r w:rsidR="00B60565" w:rsidRPr="00FC2A43">
        <w:rPr>
          <w:rFonts w:ascii="Palatino Linotype" w:hAnsi="Palatino Linotype" w:cs="Tahoma"/>
          <w:i/>
          <w:iCs/>
          <w:sz w:val="22"/>
          <w:szCs w:val="22"/>
        </w:rPr>
        <w:t xml:space="preserve">culum vitae </w:t>
      </w:r>
      <w:r w:rsidR="00B60565" w:rsidRPr="00FC2A43">
        <w:rPr>
          <w:rFonts w:ascii="Palatino Linotype" w:hAnsi="Palatino Linotype" w:cs="Tahoma"/>
          <w:sz w:val="22"/>
          <w:szCs w:val="22"/>
        </w:rPr>
        <w:t>Diana Mireya Sandoval Pérez y Elisa Quijada</w:t>
      </w:r>
      <w:r w:rsidRPr="00FC2A43">
        <w:rPr>
          <w:rFonts w:ascii="Palatino Linotype" w:hAnsi="Palatino Linotype"/>
          <w:sz w:val="22"/>
          <w:szCs w:val="22"/>
        </w:rPr>
        <w:t xml:space="preserve">; ante dicha circunstancia, la parte Recurrente se inconformó </w:t>
      </w:r>
      <w:r w:rsidR="0044419C" w:rsidRPr="00FC2A43">
        <w:rPr>
          <w:rFonts w:ascii="Palatino Linotype" w:hAnsi="Palatino Linotype"/>
          <w:sz w:val="22"/>
          <w:szCs w:val="22"/>
        </w:rPr>
        <w:t xml:space="preserve">de la </w:t>
      </w:r>
      <w:r w:rsidR="00B60565" w:rsidRPr="00FC2A43">
        <w:rPr>
          <w:rFonts w:ascii="Palatino Linotype" w:hAnsi="Palatino Linotype"/>
          <w:sz w:val="22"/>
          <w:szCs w:val="22"/>
        </w:rPr>
        <w:t>entrega de información que no corresponde con lo solicitado</w:t>
      </w:r>
      <w:r w:rsidR="00281696" w:rsidRPr="00FC2A43">
        <w:rPr>
          <w:rFonts w:ascii="Palatino Linotype" w:hAnsi="Palatino Linotype"/>
          <w:sz w:val="22"/>
          <w:szCs w:val="22"/>
        </w:rPr>
        <w:t xml:space="preserve">, </w:t>
      </w:r>
      <w:r w:rsidR="006B45B2" w:rsidRPr="00FC2A43">
        <w:rPr>
          <w:rFonts w:ascii="Palatino Linotype" w:eastAsia="Calibri" w:hAnsi="Palatino Linotype" w:cs="Tahoma"/>
          <w:bCs/>
          <w:iCs/>
          <w:color w:val="000000"/>
          <w:sz w:val="22"/>
          <w:szCs w:val="22"/>
          <w:lang w:val="es-ES"/>
        </w:rPr>
        <w:t>toda vez que si bien, en el acto reclamado y los motivos de inconformidad, van tendientes a realizar diversas manifestaciones genéricas respecto a la respuesta proporcionada, lo cual actualiza el supuesto previsto en el artículo 179, fracción VI, de la Ley de Transparencia y Acceso a la Información Pública del Estado de México y Municipios</w:t>
      </w:r>
      <w:r w:rsidR="006B45B2" w:rsidRPr="00FC2A43">
        <w:rPr>
          <w:rFonts w:ascii="Palatino Linotype" w:eastAsia="Calibri" w:hAnsi="Palatino Linotype" w:cs="Tahoma"/>
          <w:bCs/>
          <w:iCs/>
          <w:color w:val="000000"/>
          <w:sz w:val="22"/>
          <w:szCs w:val="22"/>
        </w:rPr>
        <w:t>;</w:t>
      </w:r>
      <w:r w:rsidR="006B45B2" w:rsidRPr="00FC2A43">
        <w:rPr>
          <w:rFonts w:ascii="Palatino Linotype" w:eastAsia="Calibri" w:hAnsi="Palatino Linotype" w:cs="Tahoma"/>
          <w:color w:val="000000"/>
          <w:sz w:val="22"/>
          <w:szCs w:val="22"/>
        </w:rPr>
        <w:t xml:space="preserve"> </w:t>
      </w:r>
      <w:r w:rsidR="006B45B2" w:rsidRPr="00FC2A43">
        <w:rPr>
          <w:rFonts w:ascii="Palatino Linotype" w:eastAsia="Calibri" w:hAnsi="Palatino Linotype" w:cs="Tahoma"/>
          <w:bCs/>
          <w:iCs/>
          <w:color w:val="000000"/>
          <w:sz w:val="22"/>
          <w:szCs w:val="22"/>
          <w:lang w:val="es-ES_tradnl"/>
        </w:rPr>
        <w:t>dicha situación, al aplicar la suplencia de la queja a favor de la Solicitante, en términos de los diversos 13 y, penúltimo párrafo, del 181 del ordenamiento señalado, relacionados con el último párrafo, del 146 de la Ley</w:t>
      </w:r>
      <w:r w:rsidR="006B45B2" w:rsidRPr="00A10E56">
        <w:rPr>
          <w:rFonts w:ascii="Palatino Linotype" w:eastAsia="Calibri" w:hAnsi="Palatino Linotype" w:cs="Tahoma"/>
          <w:bCs/>
          <w:iCs/>
          <w:color w:val="000000"/>
          <w:sz w:val="22"/>
          <w:lang w:val="es-ES_tradnl"/>
        </w:rPr>
        <w:t xml:space="preserve"> General de Transparencia y Acceso a la Información Pública.</w:t>
      </w:r>
      <w:r w:rsidR="00281696">
        <w:rPr>
          <w:rFonts w:ascii="Palatino Linotype" w:eastAsia="Calibri" w:hAnsi="Palatino Linotype" w:cs="Tahoma"/>
          <w:bCs/>
          <w:iCs/>
          <w:color w:val="000000"/>
          <w:sz w:val="22"/>
          <w:szCs w:val="22"/>
          <w:lang w:val="es-ES_tradnl" w:eastAsia="en-US"/>
        </w:rPr>
        <w:t xml:space="preserve"> </w:t>
      </w:r>
      <w:r w:rsidR="00281696">
        <w:rPr>
          <w:rFonts w:ascii="Palatino Linotype" w:eastAsiaTheme="minorHAnsi" w:hAnsi="Palatino Linotype" w:cs="Tahoma"/>
          <w:color w:val="000000" w:themeColor="text1"/>
          <w:sz w:val="22"/>
          <w:szCs w:val="22"/>
          <w:lang w:val="es-ES" w:eastAsia="en-US"/>
        </w:rPr>
        <w:t>Así las cosas, una vez admitido y notificado los Recursos de Revisión a las partes, estas</w:t>
      </w:r>
      <w:r w:rsidR="00281696">
        <w:rPr>
          <w:rFonts w:ascii="Palatino Linotype" w:eastAsiaTheme="minorHAnsi" w:hAnsi="Palatino Linotype" w:cs="Tahoma"/>
          <w:bCs/>
          <w:iCs/>
          <w:color w:val="000000" w:themeColor="text1"/>
          <w:sz w:val="22"/>
          <w:szCs w:val="22"/>
          <w:lang w:val="es-ES"/>
        </w:rPr>
        <w:t xml:space="preserve"> fueron omisas en realizar manifestaciones o alegatos.</w:t>
      </w:r>
    </w:p>
    <w:p w14:paraId="51C4D1F4" w14:textId="77777777" w:rsidR="00AE38E0" w:rsidRPr="000B7ED7" w:rsidRDefault="00AE38E0" w:rsidP="00AE38E0">
      <w:pPr>
        <w:spacing w:line="360" w:lineRule="auto"/>
        <w:jc w:val="both"/>
        <w:rPr>
          <w:rFonts w:ascii="Palatino Linotype" w:hAnsi="Palatino Linotype" w:cs="Tahoma"/>
          <w:iCs/>
          <w:sz w:val="22"/>
          <w:szCs w:val="22"/>
          <w:shd w:val="clear" w:color="auto" w:fill="FFFFFF"/>
          <w:lang w:val="es-ES"/>
        </w:rPr>
      </w:pPr>
    </w:p>
    <w:p w14:paraId="06B761E6" w14:textId="2BA2CF12" w:rsidR="00AE38E0" w:rsidRPr="000B7ED7" w:rsidRDefault="00AE38E0" w:rsidP="00213A5A">
      <w:pPr>
        <w:spacing w:line="360" w:lineRule="auto"/>
        <w:jc w:val="both"/>
        <w:rPr>
          <w:rFonts w:ascii="Palatino Linotype" w:hAnsi="Palatino Linotype"/>
          <w:sz w:val="22"/>
          <w:szCs w:val="22"/>
        </w:rPr>
      </w:pPr>
      <w:r w:rsidRPr="000B7ED7">
        <w:rPr>
          <w:rFonts w:ascii="Palatino Linotype" w:hAnsi="Palatino Linotype"/>
          <w:sz w:val="22"/>
          <w:szCs w:val="22"/>
        </w:rPr>
        <w:lastRenderedPageBreak/>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B43DA9" w:rsidRPr="00B43DA9">
        <w:rPr>
          <w:rFonts w:ascii="Palatino Linotype" w:hAnsi="Palatino Linotype"/>
          <w:sz w:val="22"/>
          <w:szCs w:val="22"/>
        </w:rPr>
        <w:t xml:space="preserve">Sistema Municipal para el Desarrollo Integral de la Familia de Metepec </w:t>
      </w:r>
      <w:r w:rsidR="00B86CB4">
        <w:rPr>
          <w:rFonts w:ascii="Palatino Linotype" w:hAnsi="Palatino Linotype"/>
          <w:sz w:val="22"/>
          <w:szCs w:val="22"/>
        </w:rPr>
        <w:t xml:space="preserve">y </w:t>
      </w:r>
      <w:r w:rsidRPr="000B7ED7">
        <w:rPr>
          <w:rFonts w:ascii="Palatino Linotype" w:hAnsi="Palatino Linotype"/>
          <w:sz w:val="22"/>
          <w:szCs w:val="22"/>
        </w:rPr>
        <w:t xml:space="preserve">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0B7ED7" w:rsidRDefault="00836192" w:rsidP="00836192">
      <w:pPr>
        <w:spacing w:line="360" w:lineRule="auto"/>
        <w:jc w:val="both"/>
        <w:rPr>
          <w:rFonts w:ascii="Palatino Linotype" w:hAnsi="Palatino Linotype" w:cs="Tahoma"/>
          <w:sz w:val="22"/>
          <w:szCs w:val="22"/>
        </w:rPr>
      </w:pPr>
    </w:p>
    <w:p w14:paraId="179F8367" w14:textId="68BC9A7B" w:rsidR="00836192" w:rsidRDefault="00836192" w:rsidP="00836192">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14:paraId="267F57E5" w14:textId="77777777" w:rsidR="00B86CB4" w:rsidRPr="000B7ED7" w:rsidRDefault="00B86CB4" w:rsidP="00836192">
      <w:pPr>
        <w:spacing w:line="360" w:lineRule="auto"/>
        <w:jc w:val="both"/>
        <w:rPr>
          <w:rFonts w:ascii="Palatino Linotype" w:hAnsi="Palatino Linotype" w:cs="Tahoma"/>
          <w:b/>
          <w:sz w:val="22"/>
          <w:szCs w:val="22"/>
        </w:rPr>
      </w:pPr>
    </w:p>
    <w:p w14:paraId="2F768BB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DA7465" w14:textId="77777777" w:rsidR="00836192" w:rsidRPr="000B7ED7" w:rsidRDefault="00836192" w:rsidP="00836192">
      <w:pPr>
        <w:spacing w:line="360" w:lineRule="auto"/>
        <w:jc w:val="both"/>
        <w:rPr>
          <w:rFonts w:ascii="Palatino Linotype" w:hAnsi="Palatino Linotype" w:cs="Tahoma"/>
          <w:sz w:val="22"/>
          <w:szCs w:val="22"/>
        </w:rPr>
      </w:pPr>
    </w:p>
    <w:p w14:paraId="64B03822"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0B7ED7" w:rsidRDefault="00836192" w:rsidP="00836192">
      <w:pPr>
        <w:spacing w:line="360" w:lineRule="auto"/>
        <w:jc w:val="both"/>
        <w:rPr>
          <w:rFonts w:ascii="Palatino Linotype" w:hAnsi="Palatino Linotype" w:cs="Tahoma"/>
          <w:sz w:val="22"/>
          <w:szCs w:val="22"/>
        </w:rPr>
      </w:pPr>
    </w:p>
    <w:p w14:paraId="0A448AF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3A1EA" w14:textId="77777777" w:rsidR="00836192" w:rsidRPr="000B7ED7" w:rsidRDefault="00836192" w:rsidP="00836192">
      <w:pPr>
        <w:spacing w:line="360" w:lineRule="auto"/>
        <w:jc w:val="both"/>
        <w:rPr>
          <w:rFonts w:ascii="Palatino Linotype" w:hAnsi="Palatino Linotype" w:cs="Tahoma"/>
          <w:sz w:val="22"/>
          <w:szCs w:val="22"/>
        </w:rPr>
      </w:pPr>
    </w:p>
    <w:p w14:paraId="74B7375E"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33D3F52E" w14:textId="77777777" w:rsidR="00836192" w:rsidRPr="000B7ED7" w:rsidRDefault="00836192" w:rsidP="00836192">
      <w:pPr>
        <w:spacing w:line="360" w:lineRule="auto"/>
        <w:jc w:val="both"/>
        <w:rPr>
          <w:rFonts w:ascii="Palatino Linotype" w:hAnsi="Palatino Linotype" w:cs="Tahoma"/>
          <w:sz w:val="22"/>
          <w:szCs w:val="22"/>
        </w:rPr>
      </w:pPr>
    </w:p>
    <w:p w14:paraId="6571C2FF"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0B7ED7" w:rsidRDefault="00836192" w:rsidP="00836192">
      <w:pPr>
        <w:spacing w:line="360" w:lineRule="auto"/>
        <w:jc w:val="both"/>
        <w:rPr>
          <w:rFonts w:ascii="Palatino Linotype" w:hAnsi="Palatino Linotype" w:cs="Tahoma"/>
          <w:sz w:val="22"/>
          <w:szCs w:val="22"/>
        </w:rPr>
      </w:pPr>
    </w:p>
    <w:p w14:paraId="7269128C"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0B7ED7" w:rsidRDefault="00130F94" w:rsidP="00836192">
      <w:pPr>
        <w:spacing w:line="360" w:lineRule="auto"/>
        <w:jc w:val="both"/>
        <w:rPr>
          <w:rFonts w:ascii="Palatino Linotype" w:hAnsi="Palatino Linotype" w:cs="Tahoma"/>
          <w:sz w:val="22"/>
          <w:szCs w:val="22"/>
        </w:rPr>
      </w:pPr>
    </w:p>
    <w:p w14:paraId="574A1EEF" w14:textId="6B682CE2" w:rsidR="00836192"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68EB9DD" w14:textId="7C7D0C27" w:rsidR="007B1E8E" w:rsidRDefault="007B1E8E" w:rsidP="00836192">
      <w:pPr>
        <w:spacing w:line="360" w:lineRule="auto"/>
        <w:jc w:val="both"/>
        <w:rPr>
          <w:rFonts w:ascii="Palatino Linotype" w:hAnsi="Palatino Linotype" w:cs="Tahoma"/>
          <w:sz w:val="22"/>
          <w:szCs w:val="22"/>
        </w:rPr>
      </w:pPr>
    </w:p>
    <w:p w14:paraId="5DC0E698" w14:textId="77777777" w:rsidR="006B45B2" w:rsidRDefault="006B45B2" w:rsidP="006B45B2">
      <w:pPr>
        <w:spacing w:line="360" w:lineRule="auto"/>
        <w:jc w:val="both"/>
        <w:rPr>
          <w:rFonts w:ascii="Palatino Linotype" w:hAnsi="Palatino Linotype" w:cs="Tahoma"/>
          <w:bCs/>
          <w:sz w:val="22"/>
          <w:szCs w:val="22"/>
        </w:rPr>
      </w:pPr>
      <w:r w:rsidRPr="00907831">
        <w:rPr>
          <w:rFonts w:ascii="Palatino Linotype" w:hAnsi="Palatino Linotype" w:cs="Tahoma"/>
          <w:bCs/>
          <w:sz w:val="22"/>
          <w:szCs w:val="22"/>
        </w:rPr>
        <w:t xml:space="preserve">El artículo 92, detalla la información que corresponde a las Obligaciones Comunes de Transparencia, de las que destaca la contenida en la fracción XXI, </w:t>
      </w:r>
      <w:r w:rsidRPr="00907831">
        <w:rPr>
          <w:rFonts w:ascii="Palatino Linotype" w:eastAsia="Calibri" w:hAnsi="Palatino Linotype" w:cs="Arial"/>
          <w:sz w:val="22"/>
          <w:szCs w:val="22"/>
          <w:lang w:val="es-ES" w:eastAsia="en-US"/>
        </w:rPr>
        <w:t>que establece que la información curricular es información que deben de poner a disposición del público</w:t>
      </w:r>
      <w:r w:rsidRPr="00907831">
        <w:rPr>
          <w:rFonts w:ascii="Palatino Linotype" w:hAnsi="Palatino Linotype" w:cs="Tahoma"/>
          <w:bCs/>
          <w:sz w:val="22"/>
          <w:szCs w:val="22"/>
        </w:rPr>
        <w:t>.</w:t>
      </w:r>
    </w:p>
    <w:p w14:paraId="6B8F6154" w14:textId="77777777" w:rsidR="00C8221B" w:rsidRDefault="00C8221B" w:rsidP="00C8221B">
      <w:pPr>
        <w:spacing w:line="360" w:lineRule="auto"/>
        <w:jc w:val="both"/>
        <w:rPr>
          <w:rFonts w:ascii="Palatino Linotype" w:hAnsi="Palatino Linotype" w:cs="Tahoma"/>
          <w:b/>
          <w:sz w:val="22"/>
          <w:szCs w:val="22"/>
          <w:lang w:val="es-ES"/>
        </w:rPr>
      </w:pPr>
    </w:p>
    <w:p w14:paraId="5EBE0E74" w14:textId="77777777" w:rsidR="00C8221B" w:rsidRDefault="00C8221B" w:rsidP="00C8221B">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14:paraId="3C3D64A3" w14:textId="3D63D5D6" w:rsidR="00C8221B" w:rsidRDefault="00C8221B" w:rsidP="00C8221B">
      <w:pPr>
        <w:spacing w:line="360" w:lineRule="auto"/>
        <w:jc w:val="both"/>
        <w:rPr>
          <w:rFonts w:ascii="Palatino Linotype" w:hAnsi="Palatino Linotype" w:cs="Tahoma"/>
          <w:bCs/>
          <w:iCs/>
          <w:sz w:val="22"/>
          <w:szCs w:val="22"/>
        </w:rPr>
      </w:pPr>
    </w:p>
    <w:p w14:paraId="4259CCCF" w14:textId="77777777" w:rsidR="006B45B2" w:rsidRPr="00B867F6" w:rsidRDefault="006B45B2" w:rsidP="006B45B2">
      <w:pPr>
        <w:spacing w:line="360" w:lineRule="auto"/>
        <w:jc w:val="both"/>
        <w:rPr>
          <w:rFonts w:ascii="Palatino Linotype" w:hAnsi="Palatino Linotype" w:cs="Tahoma"/>
          <w:sz w:val="22"/>
          <w:szCs w:val="22"/>
        </w:rPr>
      </w:pPr>
      <w:r>
        <w:rPr>
          <w:rFonts w:ascii="Palatino Linotype" w:hAnsi="Palatino Linotype" w:cs="Tahoma"/>
          <w:bCs/>
          <w:iCs/>
          <w:sz w:val="22"/>
          <w:szCs w:val="22"/>
        </w:rPr>
        <w:t>Expuestas las posturas de las partes, se procede al análisis del agravio hecho valer por el ahora Recurrente</w:t>
      </w:r>
      <w:r w:rsidRPr="00266D81">
        <w:rPr>
          <w:rFonts w:ascii="Palatino Linotype" w:hAnsi="Palatino Linotype" w:cs="Tahoma"/>
          <w:bCs/>
          <w:iCs/>
          <w:sz w:val="22"/>
          <w:szCs w:val="22"/>
        </w:rPr>
        <w:t xml:space="preserve">, concerniente a la clasificación de la información; en ese contexto, cabe </w:t>
      </w:r>
      <w:r>
        <w:rPr>
          <w:rFonts w:ascii="Palatino Linotype" w:hAnsi="Palatino Linotype" w:cs="Tahoma"/>
          <w:bCs/>
          <w:iCs/>
          <w:sz w:val="22"/>
          <w:szCs w:val="22"/>
        </w:rPr>
        <w:t xml:space="preserve">recordar que la pretensión del ahora Recurrente es obtener el </w:t>
      </w:r>
      <w:r w:rsidRPr="0067428C">
        <w:rPr>
          <w:rFonts w:ascii="Palatino Linotype" w:hAnsi="Palatino Linotype" w:cs="Tahoma"/>
          <w:bCs/>
          <w:i/>
          <w:iCs/>
          <w:sz w:val="22"/>
          <w:szCs w:val="22"/>
        </w:rPr>
        <w:t>currículum vitae</w:t>
      </w:r>
      <w:r>
        <w:rPr>
          <w:rFonts w:ascii="Palatino Linotype" w:hAnsi="Palatino Linotype" w:cs="Tahoma"/>
          <w:bCs/>
          <w:i/>
          <w:iCs/>
          <w:sz w:val="22"/>
          <w:szCs w:val="22"/>
        </w:rPr>
        <w:t xml:space="preserve"> </w:t>
      </w:r>
      <w:r>
        <w:rPr>
          <w:rFonts w:ascii="Palatino Linotype" w:hAnsi="Palatino Linotype" w:cs="Tahoma"/>
          <w:bCs/>
          <w:sz w:val="22"/>
          <w:szCs w:val="22"/>
        </w:rPr>
        <w:t xml:space="preserve">de </w:t>
      </w:r>
      <w:r w:rsidRPr="00B867F6">
        <w:rPr>
          <w:rFonts w:ascii="Palatino Linotype" w:hAnsi="Palatino Linotype" w:cs="Tahoma"/>
          <w:sz w:val="22"/>
          <w:szCs w:val="22"/>
        </w:rPr>
        <w:t>María Elisa Quijada Badillo, la Titular del Órgano Interno de Control</w:t>
      </w:r>
      <w:r w:rsidRPr="00B867F6">
        <w:rPr>
          <w:sz w:val="22"/>
          <w:szCs w:val="22"/>
        </w:rPr>
        <w:t xml:space="preserve"> </w:t>
      </w:r>
      <w:r w:rsidRPr="00B867F6">
        <w:rPr>
          <w:rFonts w:ascii="Palatino Linotype" w:hAnsi="Palatino Linotype" w:cs="Tahoma"/>
          <w:sz w:val="22"/>
          <w:szCs w:val="22"/>
        </w:rPr>
        <w:t>y de Diana Mireya Sandoval Pérez.</w:t>
      </w:r>
    </w:p>
    <w:p w14:paraId="3A0F4B88" w14:textId="0A12EF5A" w:rsidR="006B45B2" w:rsidRPr="006B45B2" w:rsidRDefault="006B45B2" w:rsidP="00C8221B">
      <w:pPr>
        <w:spacing w:line="360" w:lineRule="auto"/>
        <w:jc w:val="both"/>
        <w:rPr>
          <w:rFonts w:ascii="Palatino Linotype" w:hAnsi="Palatino Linotype" w:cs="Tahoma"/>
          <w:bCs/>
          <w:sz w:val="22"/>
          <w:szCs w:val="22"/>
        </w:rPr>
      </w:pPr>
    </w:p>
    <w:p w14:paraId="3BB2E465" w14:textId="04E109F2" w:rsidR="006B45B2" w:rsidRDefault="006B45B2" w:rsidP="00C8221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ese contexto, este Instituto realizó una búsqueda en la fracción VII “Directorio de todos los servidores públicos”, del artículo 92, del Portal de Información Pública de Oficio Mexiquense (IPOMEX) del Sujeto Obligado, (consultado </w:t>
      </w:r>
      <w:r w:rsidR="00A63A85">
        <w:rPr>
          <w:rFonts w:ascii="Palatino Linotype" w:hAnsi="Palatino Linotype" w:cs="Tahoma"/>
          <w:bCs/>
          <w:iCs/>
          <w:sz w:val="22"/>
          <w:szCs w:val="22"/>
        </w:rPr>
        <w:t>a las trece horas, en la liga</w:t>
      </w:r>
      <w:r>
        <w:rPr>
          <w:rFonts w:ascii="Palatino Linotype" w:hAnsi="Palatino Linotype" w:cs="Tahoma"/>
          <w:bCs/>
          <w:iCs/>
          <w:sz w:val="22"/>
          <w:szCs w:val="22"/>
        </w:rPr>
        <w:t xml:space="preserve"> </w:t>
      </w:r>
      <w:hyperlink r:id="rId8" w:history="1">
        <w:r w:rsidR="00A63A85" w:rsidRPr="00296F75">
          <w:rPr>
            <w:rStyle w:val="Hipervnculo"/>
            <w:rFonts w:ascii="Palatino Linotype" w:hAnsi="Palatino Linotype" w:cs="Tahoma"/>
            <w:bCs/>
            <w:iCs/>
            <w:sz w:val="22"/>
            <w:szCs w:val="22"/>
          </w:rPr>
          <w:t>https://www.ipomex.org.mx/ipo3/lgt/infoExcel/DIFMETEPEC/art_92_vii/4.web</w:t>
        </w:r>
      </w:hyperlink>
      <w:r w:rsidR="00A63A85">
        <w:rPr>
          <w:rFonts w:ascii="Palatino Linotype" w:hAnsi="Palatino Linotype" w:cs="Tahoma"/>
          <w:bCs/>
          <w:iCs/>
          <w:sz w:val="22"/>
          <w:szCs w:val="22"/>
        </w:rPr>
        <w:t>, el dos de mayo del dos mil veintidós</w:t>
      </w:r>
      <w:r>
        <w:rPr>
          <w:rFonts w:ascii="Palatino Linotype" w:hAnsi="Palatino Linotype" w:cs="Tahoma"/>
          <w:bCs/>
          <w:iCs/>
          <w:sz w:val="22"/>
          <w:szCs w:val="22"/>
        </w:rPr>
        <w:t>)</w:t>
      </w:r>
      <w:r w:rsidR="00A63A85">
        <w:rPr>
          <w:rFonts w:ascii="Palatino Linotype" w:hAnsi="Palatino Linotype" w:cs="Tahoma"/>
          <w:bCs/>
          <w:iCs/>
          <w:sz w:val="22"/>
          <w:szCs w:val="22"/>
        </w:rPr>
        <w:t>, del cual se logra advertir que la Directora General, es María Elisa Quijada Badillo y la Titular del Órgano Interno de Control, es Diana Mireya Sandoval Pérez, tal como se muestra a continuación:</w:t>
      </w:r>
    </w:p>
    <w:p w14:paraId="48472A68" w14:textId="6D32B909" w:rsidR="00A63A85" w:rsidRDefault="00A63A85" w:rsidP="00C8221B">
      <w:pPr>
        <w:spacing w:line="360" w:lineRule="auto"/>
        <w:jc w:val="both"/>
        <w:rPr>
          <w:rFonts w:ascii="Palatino Linotype" w:hAnsi="Palatino Linotype" w:cs="Tahoma"/>
          <w:bCs/>
          <w:iCs/>
          <w:sz w:val="22"/>
          <w:szCs w:val="22"/>
        </w:rPr>
      </w:pPr>
    </w:p>
    <w:p w14:paraId="4DF185A1" w14:textId="25A86376" w:rsidR="00A63A85" w:rsidRDefault="00A63A85" w:rsidP="00C8221B">
      <w:pPr>
        <w:spacing w:line="360" w:lineRule="auto"/>
        <w:jc w:val="both"/>
        <w:rPr>
          <w:rFonts w:ascii="Palatino Linotype" w:hAnsi="Palatino Linotype" w:cs="Tahoma"/>
          <w:bCs/>
          <w:iCs/>
          <w:sz w:val="22"/>
          <w:szCs w:val="22"/>
        </w:rPr>
      </w:pPr>
      <w:r>
        <w:rPr>
          <w:noProof/>
          <w:lang w:eastAsia="es-MX"/>
        </w:rPr>
        <w:drawing>
          <wp:inline distT="0" distB="0" distL="0" distR="0" wp14:anchorId="47FC5B38" wp14:editId="037386EF">
            <wp:extent cx="5612130" cy="125793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57935"/>
                    </a:xfrm>
                    <a:prstGeom prst="rect">
                      <a:avLst/>
                    </a:prstGeom>
                  </pic:spPr>
                </pic:pic>
              </a:graphicData>
            </a:graphic>
          </wp:inline>
        </w:drawing>
      </w:r>
    </w:p>
    <w:p w14:paraId="26F8E00D" w14:textId="77777777" w:rsidR="006B45B2" w:rsidRDefault="006B45B2" w:rsidP="00C8221B">
      <w:pPr>
        <w:spacing w:line="360" w:lineRule="auto"/>
        <w:jc w:val="both"/>
        <w:rPr>
          <w:rFonts w:ascii="Palatino Linotype" w:hAnsi="Palatino Linotype" w:cs="Tahoma"/>
          <w:bCs/>
          <w:iCs/>
          <w:sz w:val="22"/>
          <w:szCs w:val="22"/>
        </w:rPr>
      </w:pPr>
    </w:p>
    <w:p w14:paraId="0EC708DD" w14:textId="5367E2B8" w:rsidR="00FC2A43" w:rsidRPr="00FC2A43" w:rsidRDefault="00A63A85" w:rsidP="00FC2A43">
      <w:pPr>
        <w:spacing w:line="360" w:lineRule="auto"/>
        <w:jc w:val="both"/>
        <w:rPr>
          <w:rFonts w:ascii="Palatino Linotype" w:eastAsia="Calibri" w:hAnsi="Palatino Linotype" w:cs="Tahoma"/>
          <w:bCs/>
          <w:sz w:val="22"/>
          <w:szCs w:val="22"/>
          <w:lang w:eastAsia="en-US"/>
        </w:rPr>
      </w:pPr>
      <w:r>
        <w:rPr>
          <w:rFonts w:ascii="Palatino Linotype" w:hAnsi="Palatino Linotype" w:cs="Tahoma"/>
          <w:bCs/>
          <w:iCs/>
          <w:sz w:val="22"/>
          <w:szCs w:val="22"/>
        </w:rPr>
        <w:t xml:space="preserve">Ahora bien, respecto </w:t>
      </w:r>
      <w:r w:rsidR="00FC2A43">
        <w:rPr>
          <w:rFonts w:ascii="Palatino Linotype" w:hAnsi="Palatino Linotype" w:cs="Tahoma"/>
          <w:bCs/>
          <w:iCs/>
          <w:sz w:val="22"/>
          <w:szCs w:val="22"/>
        </w:rPr>
        <w:t xml:space="preserve">al </w:t>
      </w:r>
      <w:r w:rsidR="00FC2A43">
        <w:rPr>
          <w:rFonts w:ascii="Palatino Linotype" w:hAnsi="Palatino Linotype" w:cs="Tahoma"/>
          <w:bCs/>
          <w:i/>
          <w:sz w:val="22"/>
          <w:szCs w:val="22"/>
        </w:rPr>
        <w:t>currículum vitae</w:t>
      </w:r>
      <w:r w:rsidR="00FC2A43">
        <w:rPr>
          <w:rFonts w:ascii="Palatino Linotype" w:hAnsi="Palatino Linotype" w:cs="Tahoma"/>
          <w:bCs/>
          <w:iCs/>
          <w:sz w:val="22"/>
          <w:szCs w:val="22"/>
        </w:rPr>
        <w:t>, corresponde aquel documento q</w:t>
      </w:r>
      <w:proofErr w:type="spellStart"/>
      <w:r w:rsidR="00FC2A43" w:rsidRPr="00FC2A43">
        <w:rPr>
          <w:rFonts w:ascii="Palatino Linotype" w:eastAsia="Calibri" w:hAnsi="Palatino Linotype" w:cs="Arial"/>
          <w:sz w:val="22"/>
          <w:szCs w:val="22"/>
          <w:lang w:val="es-ES" w:eastAsia="en-US"/>
        </w:rPr>
        <w:t>ue</w:t>
      </w:r>
      <w:proofErr w:type="spellEnd"/>
      <w:r w:rsidR="00FC2A43" w:rsidRPr="00FC2A43">
        <w:rPr>
          <w:rFonts w:ascii="Palatino Linotype" w:eastAsia="Calibri" w:hAnsi="Palatino Linotype" w:cs="Arial"/>
          <w:sz w:val="22"/>
          <w:szCs w:val="22"/>
          <w:lang w:val="es-ES" w:eastAsia="en-US"/>
        </w:rPr>
        <w:t xml:space="preserve"> las personas elaboran con los datos de identificación y contacto, preparación académica y experiencia profesional, para presentarse ante un posible empleador. </w:t>
      </w:r>
      <w:r w:rsidR="00FC2A43" w:rsidRPr="00FC2A43">
        <w:rPr>
          <w:rFonts w:ascii="Palatino Linotype" w:eastAsia="Calibri" w:hAnsi="Palatino Linotype"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14:paraId="04ABB50B" w14:textId="77777777" w:rsidR="00FC2A43" w:rsidRPr="00FC2A43" w:rsidRDefault="00FC2A43" w:rsidP="00FC2A43">
      <w:pPr>
        <w:spacing w:line="360" w:lineRule="auto"/>
        <w:jc w:val="both"/>
        <w:rPr>
          <w:rFonts w:ascii="Palatino Linotype" w:hAnsi="Palatino Linotype" w:cs="Tahoma"/>
          <w:bCs/>
          <w:sz w:val="22"/>
          <w:szCs w:val="22"/>
        </w:rPr>
      </w:pPr>
    </w:p>
    <w:p w14:paraId="4A4D27A9" w14:textId="77777777" w:rsidR="00FC2A43" w:rsidRPr="00FC2A43" w:rsidRDefault="00FC2A43" w:rsidP="00FC2A43">
      <w:pPr>
        <w:spacing w:after="160" w:line="360" w:lineRule="auto"/>
        <w:contextualSpacing/>
        <w:jc w:val="both"/>
        <w:rPr>
          <w:rFonts w:ascii="Palatino Linotype" w:eastAsia="Calibri" w:hAnsi="Palatino Linotype" w:cs="Arial"/>
          <w:sz w:val="22"/>
          <w:szCs w:val="22"/>
          <w:lang w:val="es-ES" w:eastAsia="en-US"/>
        </w:rPr>
      </w:pPr>
      <w:r w:rsidRPr="00FC2A43">
        <w:rPr>
          <w:rFonts w:ascii="Palatino Linotype" w:eastAsia="Calibri" w:hAnsi="Palatino Linotype" w:cs="Tahoma"/>
          <w:bCs/>
          <w:sz w:val="22"/>
          <w:szCs w:val="22"/>
          <w:lang w:eastAsia="en-US"/>
        </w:rPr>
        <w:t>En ese orden de ideas, el documento en comento</w:t>
      </w:r>
      <w:r w:rsidRPr="00FC2A43">
        <w:rPr>
          <w:rFonts w:ascii="Palatino Linotype" w:eastAsia="Calibri" w:hAnsi="Palatino Linotype" w:cs="Arial"/>
          <w:sz w:val="22"/>
          <w:szCs w:val="22"/>
          <w:lang w:val="es-ES" w:eastAsia="en-U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0CF74EDF" w14:textId="77777777" w:rsidR="00FC2A43" w:rsidRPr="00FC2A43" w:rsidRDefault="00FC2A43" w:rsidP="00FC2A43">
      <w:pPr>
        <w:spacing w:line="360" w:lineRule="auto"/>
        <w:jc w:val="both"/>
        <w:rPr>
          <w:rFonts w:ascii="Palatino Linotype" w:eastAsia="Calibri" w:hAnsi="Palatino Linotype" w:cs="Tahoma"/>
          <w:bCs/>
          <w:sz w:val="22"/>
          <w:szCs w:val="22"/>
          <w:lang w:eastAsia="en-US"/>
        </w:rPr>
      </w:pPr>
    </w:p>
    <w:p w14:paraId="069977A3" w14:textId="77777777" w:rsidR="00FC2A43" w:rsidRPr="00FC2A43" w:rsidRDefault="00FC2A43" w:rsidP="00FC2A43">
      <w:pPr>
        <w:spacing w:line="360" w:lineRule="auto"/>
        <w:jc w:val="both"/>
        <w:rPr>
          <w:rFonts w:ascii="Palatino Linotype" w:eastAsia="Calibri" w:hAnsi="Palatino Linotype" w:cs="Tahoma"/>
          <w:bCs/>
          <w:sz w:val="22"/>
          <w:szCs w:val="22"/>
          <w:lang w:val="es-ES" w:eastAsia="en-US"/>
        </w:rPr>
      </w:pPr>
      <w:r w:rsidRPr="00FC2A43">
        <w:rPr>
          <w:rFonts w:ascii="Palatino Linotype" w:eastAsia="Calibri" w:hAnsi="Palatino Linotype" w:cs="Tahoma"/>
          <w:bCs/>
          <w:sz w:val="22"/>
          <w:szCs w:val="22"/>
          <w:lang w:val="es-ES" w:eastAsia="en-US"/>
        </w:rPr>
        <w:lastRenderedPageBreak/>
        <w:t xml:space="preserve">Lo anterior, se robustece con la fracción XXI, del artículo 92 de la Ley de Transparencia y Acceso a la Información Pública del Estado de México y Municipios, que establece que la </w:t>
      </w:r>
      <w:r w:rsidRPr="00FC2A43">
        <w:rPr>
          <w:rFonts w:ascii="Palatino Linotype" w:eastAsia="Calibri" w:hAnsi="Palatino Linotype" w:cs="Tahoma"/>
          <w:b/>
          <w:bCs/>
          <w:sz w:val="22"/>
          <w:szCs w:val="22"/>
          <w:lang w:val="es-ES" w:eastAsia="en-US"/>
        </w:rPr>
        <w:t>información curricular</w:t>
      </w:r>
      <w:r w:rsidRPr="00FC2A43">
        <w:rPr>
          <w:rFonts w:ascii="Palatino Linotype" w:eastAsia="Calibri" w:hAnsi="Palatino Linotype" w:cs="Tahoma"/>
          <w:bCs/>
          <w:sz w:val="22"/>
          <w:szCs w:val="22"/>
          <w:lang w:val="es-ES" w:eastAsia="en-US"/>
        </w:rPr>
        <w:t xml:space="preserve"> es información que deben de poner a disposición del público los sujetos obligados, en el presente caso, el </w:t>
      </w:r>
      <w:r w:rsidRPr="00FC2A43">
        <w:rPr>
          <w:rFonts w:ascii="Palatino Linotype" w:eastAsia="Calibri" w:hAnsi="Palatino Linotype" w:cs="Tahoma"/>
          <w:bCs/>
          <w:sz w:val="22"/>
          <w:szCs w:val="22"/>
          <w:lang w:eastAsia="en-US"/>
        </w:rPr>
        <w:t>Ayuntamiento de Amecameca</w:t>
      </w:r>
      <w:r w:rsidRPr="00FC2A43">
        <w:rPr>
          <w:rFonts w:ascii="Palatino Linotype" w:eastAsia="Calibri" w:hAnsi="Palatino Linotype" w:cs="Tahoma"/>
          <w:bCs/>
          <w:sz w:val="22"/>
          <w:szCs w:val="22"/>
          <w:lang w:val="es-ES" w:eastAsia="en-US"/>
        </w:rPr>
        <w:t>.</w:t>
      </w:r>
    </w:p>
    <w:p w14:paraId="488F6BA6" w14:textId="77777777" w:rsidR="00FC2A43" w:rsidRPr="00FC2A43" w:rsidRDefault="00FC2A43" w:rsidP="00FC2A43">
      <w:pPr>
        <w:spacing w:line="360" w:lineRule="auto"/>
        <w:jc w:val="both"/>
        <w:rPr>
          <w:rFonts w:ascii="Palatino Linotype" w:hAnsi="Palatino Linotype" w:cs="Tahoma"/>
          <w:bCs/>
          <w:sz w:val="22"/>
          <w:szCs w:val="22"/>
        </w:rPr>
      </w:pPr>
    </w:p>
    <w:p w14:paraId="4121AB6D" w14:textId="6101639D" w:rsidR="00FC2A43" w:rsidRPr="00FC2A43" w:rsidRDefault="00FC2A43" w:rsidP="00FC2A43">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 xml:space="preserve">Situación que </w:t>
      </w:r>
      <w:r w:rsidRPr="00FC2A43">
        <w:rPr>
          <w:rFonts w:ascii="Palatino Linotype" w:hAnsi="Palatino Linotype" w:cs="Tahoma"/>
          <w:bCs/>
          <w:sz w:val="22"/>
          <w:szCs w:val="22"/>
          <w:lang w:val="es-ES"/>
        </w:rPr>
        <w:t xml:space="preserve">toma relevancia, pues conforme al formato 17 LGT_Art_70_Fr_XVII (Información curricular y las sanciones administrativas definitivas de los(as) servidores(as) públicas(os) y/o personas que desempeñen un empleo, cargo o comisión) de los </w:t>
      </w:r>
      <w:r w:rsidRPr="00FC2A43">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43BA528F" w14:textId="77777777" w:rsidR="00FC2A43" w:rsidRPr="00FC2A43" w:rsidRDefault="00FC2A43" w:rsidP="00FC2A43">
      <w:pPr>
        <w:spacing w:line="360" w:lineRule="auto"/>
        <w:jc w:val="both"/>
        <w:rPr>
          <w:rFonts w:ascii="Palatino Linotype" w:hAnsi="Palatino Linotype" w:cs="Tahoma"/>
          <w:bCs/>
          <w:iCs/>
          <w:sz w:val="22"/>
          <w:szCs w:val="22"/>
        </w:rPr>
      </w:pPr>
    </w:p>
    <w:p w14:paraId="5DFE093F" w14:textId="77777777" w:rsidR="00FC2A43" w:rsidRPr="00FC2A43" w:rsidRDefault="00FC2A43" w:rsidP="00FC2A43">
      <w:pPr>
        <w:spacing w:after="160" w:line="360" w:lineRule="auto"/>
        <w:contextualSpacing/>
        <w:jc w:val="both"/>
        <w:rPr>
          <w:rFonts w:ascii="Palatino Linotype" w:eastAsia="Calibri" w:hAnsi="Palatino Linotype" w:cs="Arial"/>
          <w:sz w:val="22"/>
          <w:szCs w:val="22"/>
          <w:lang w:eastAsia="en-US"/>
        </w:rPr>
      </w:pPr>
      <w:r w:rsidRPr="00FC2A43">
        <w:rPr>
          <w:noProof/>
          <w:sz w:val="22"/>
          <w:szCs w:val="22"/>
          <w:lang w:eastAsia="es-MX"/>
        </w:rPr>
        <w:drawing>
          <wp:inline distT="0" distB="0" distL="0" distR="0" wp14:anchorId="205A439C" wp14:editId="41E07FC1">
            <wp:extent cx="5743575" cy="20478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2047875"/>
                    </a:xfrm>
                    <a:prstGeom prst="rect">
                      <a:avLst/>
                    </a:prstGeom>
                    <a:noFill/>
                    <a:ln>
                      <a:noFill/>
                    </a:ln>
                  </pic:spPr>
                </pic:pic>
              </a:graphicData>
            </a:graphic>
          </wp:inline>
        </w:drawing>
      </w:r>
    </w:p>
    <w:p w14:paraId="75B592CB" w14:textId="77777777" w:rsidR="00FC2A43" w:rsidRPr="00FC2A43" w:rsidRDefault="00FC2A43" w:rsidP="00FC2A43">
      <w:pPr>
        <w:spacing w:after="160" w:line="360" w:lineRule="auto"/>
        <w:contextualSpacing/>
        <w:jc w:val="both"/>
        <w:rPr>
          <w:rFonts w:ascii="Palatino Linotype" w:eastAsia="Calibri" w:hAnsi="Palatino Linotype" w:cs="Arial"/>
          <w:sz w:val="22"/>
          <w:szCs w:val="22"/>
          <w:lang w:eastAsia="en-US"/>
        </w:rPr>
      </w:pPr>
    </w:p>
    <w:p w14:paraId="51CD7EF0" w14:textId="77777777" w:rsidR="00FC2A43" w:rsidRPr="00FC2A43" w:rsidRDefault="00FC2A43" w:rsidP="00FC2A43">
      <w:pPr>
        <w:spacing w:after="160" w:line="360" w:lineRule="auto"/>
        <w:contextualSpacing/>
        <w:jc w:val="both"/>
        <w:rPr>
          <w:rFonts w:ascii="Palatino Linotype" w:eastAsia="Calibri" w:hAnsi="Palatino Linotype" w:cs="Arial"/>
          <w:sz w:val="22"/>
          <w:szCs w:val="22"/>
          <w:lang w:eastAsia="en-US"/>
        </w:rPr>
      </w:pPr>
      <w:r w:rsidRPr="00FC2A43">
        <w:rPr>
          <w:rFonts w:ascii="Palatino Linotype" w:eastAsia="Calibri" w:hAnsi="Palatino Linotype" w:cs="Arial"/>
          <w:bCs/>
          <w:sz w:val="22"/>
          <w:szCs w:val="22"/>
          <w:lang w:eastAsia="en-US"/>
        </w:rPr>
        <w:lastRenderedPageBreak/>
        <w:t xml:space="preserve">En ese contexto, según Islas, Jorge (2016), en la “Ley General de Transparencia y Acceso a la Información Pública Comentada” (p. 244), refirió que el </w:t>
      </w:r>
      <w:r w:rsidRPr="00FC2A43">
        <w:rPr>
          <w:rFonts w:ascii="Palatino Linotype" w:eastAsia="Calibri" w:hAnsi="Palatino Linotype" w:cs="Arial"/>
          <w:b/>
          <w:bCs/>
          <w:i/>
          <w:sz w:val="22"/>
          <w:szCs w:val="22"/>
          <w:lang w:eastAsia="en-US"/>
        </w:rPr>
        <w:t>currículum vitae</w:t>
      </w:r>
      <w:r w:rsidRPr="00FC2A43">
        <w:rPr>
          <w:rFonts w:ascii="Palatino Linotype" w:eastAsia="Calibri" w:hAnsi="Palatino Linotype" w:cs="Arial"/>
          <w:b/>
          <w:bCs/>
          <w:sz w:val="22"/>
          <w:szCs w:val="22"/>
          <w:lang w:eastAsia="en-US"/>
        </w:rPr>
        <w:t xml:space="preserve"> </w:t>
      </w:r>
      <w:r w:rsidRPr="00FC2A43">
        <w:rPr>
          <w:rFonts w:ascii="Palatino Linotype" w:eastAsia="Calibri" w:hAnsi="Palatino Linotype" w:cs="Arial"/>
          <w:b/>
          <w:sz w:val="22"/>
          <w:szCs w:val="22"/>
          <w:lang w:eastAsia="en-US"/>
        </w:rPr>
        <w:t>de</w:t>
      </w:r>
      <w:r w:rsidRPr="00FC2A43">
        <w:rPr>
          <w:rFonts w:ascii="Palatino Linotype" w:eastAsia="Calibri" w:hAnsi="Palatino Linotype" w:cs="Arial"/>
          <w:b/>
          <w:bCs/>
          <w:sz w:val="22"/>
          <w:szCs w:val="22"/>
          <w:lang w:eastAsia="en-US"/>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14:paraId="538BAD81" w14:textId="77777777" w:rsidR="00FC2A43" w:rsidRPr="00FC2A43" w:rsidRDefault="00FC2A43" w:rsidP="00FC2A43">
      <w:pPr>
        <w:spacing w:after="160" w:line="360" w:lineRule="auto"/>
        <w:contextualSpacing/>
        <w:jc w:val="both"/>
        <w:rPr>
          <w:rFonts w:ascii="Palatino Linotype" w:eastAsia="Calibri" w:hAnsi="Palatino Linotype" w:cs="Arial"/>
          <w:sz w:val="22"/>
          <w:szCs w:val="22"/>
          <w:lang w:eastAsia="en-US"/>
        </w:rPr>
      </w:pPr>
    </w:p>
    <w:p w14:paraId="308C126B" w14:textId="77777777" w:rsidR="00FC2A43" w:rsidRPr="00FC2A43" w:rsidRDefault="00FC2A43" w:rsidP="00FC2A43">
      <w:pPr>
        <w:spacing w:line="360" w:lineRule="auto"/>
        <w:jc w:val="both"/>
        <w:rPr>
          <w:rFonts w:ascii="Palatino Linotype" w:eastAsia="Calibri" w:hAnsi="Palatino Linotype" w:cs="Tahoma"/>
          <w:bCs/>
          <w:sz w:val="22"/>
          <w:szCs w:val="22"/>
          <w:lang w:eastAsia="en-US"/>
        </w:rPr>
      </w:pPr>
      <w:r w:rsidRPr="00FC2A43">
        <w:rPr>
          <w:rFonts w:ascii="Palatino Linotype" w:eastAsia="Calibri" w:hAnsi="Palatino Linotype" w:cs="Arial"/>
          <w:sz w:val="22"/>
          <w:szCs w:val="22"/>
          <w:lang w:eastAsia="en-US"/>
        </w:rPr>
        <w:t>En el mismo sentido, lo señala el</w:t>
      </w:r>
      <w:r w:rsidRPr="00FC2A43">
        <w:rPr>
          <w:rFonts w:ascii="Palatino Linotype" w:eastAsia="Calibri" w:hAnsi="Palatino Linotype" w:cs="Tahoma"/>
          <w:bCs/>
          <w:sz w:val="22"/>
          <w:szCs w:val="22"/>
          <w:lang w:eastAsia="en-US"/>
        </w:rPr>
        <w:t xml:space="preserve"> </w:t>
      </w:r>
      <w:r w:rsidRPr="00FC2A43">
        <w:rPr>
          <w:rFonts w:ascii="Palatino Linotype" w:eastAsia="Calibri" w:hAnsi="Palatino Linotype" w:cs="Tahoma"/>
          <w:sz w:val="22"/>
          <w:szCs w:val="22"/>
          <w:lang w:eastAsia="en-US"/>
        </w:rPr>
        <w:t>Criterio 03/09</w:t>
      </w:r>
      <w:r w:rsidRPr="00FC2A43">
        <w:rPr>
          <w:rFonts w:ascii="Palatino Linotype" w:eastAsia="Calibri" w:hAnsi="Palatino Linotype" w:cs="Arial"/>
          <w:sz w:val="22"/>
          <w:szCs w:val="22"/>
          <w:lang w:eastAsia="en-US"/>
        </w:rPr>
        <w:t xml:space="preserve">, emitido por el Pleno del </w:t>
      </w:r>
      <w:r w:rsidRPr="00FC2A43">
        <w:rPr>
          <w:rFonts w:ascii="Palatino Linotype" w:eastAsia="Calibri" w:hAnsi="Palatino Linotype" w:cs="Tahoma"/>
          <w:bCs/>
          <w:sz w:val="22"/>
          <w:szCs w:val="22"/>
          <w:lang w:eastAsia="en-US"/>
        </w:rPr>
        <w:t>entonces Instituto Federal de Acceso a la Información y Protección de Datos, tal como se muestra a continuación:</w:t>
      </w:r>
    </w:p>
    <w:p w14:paraId="08AB6393" w14:textId="77777777" w:rsidR="00FC2A43" w:rsidRPr="00FC2A43" w:rsidRDefault="00FC2A43" w:rsidP="00FC2A43">
      <w:pPr>
        <w:spacing w:after="160" w:line="360" w:lineRule="auto"/>
        <w:contextualSpacing/>
        <w:jc w:val="both"/>
        <w:rPr>
          <w:rFonts w:ascii="Palatino Linotype" w:hAnsi="Palatino Linotype" w:cs="Tahoma"/>
          <w:bCs/>
          <w:sz w:val="22"/>
          <w:szCs w:val="22"/>
        </w:rPr>
      </w:pPr>
    </w:p>
    <w:p w14:paraId="3217A391" w14:textId="77777777" w:rsidR="00FC2A43" w:rsidRPr="00FC2A43" w:rsidRDefault="00FC2A43" w:rsidP="00FC2A43">
      <w:pPr>
        <w:spacing w:line="360" w:lineRule="auto"/>
        <w:ind w:left="567" w:right="567"/>
        <w:contextualSpacing/>
        <w:jc w:val="both"/>
        <w:rPr>
          <w:rFonts w:ascii="Palatino Linotype" w:hAnsi="Palatino Linotype" w:cs="Tahoma"/>
          <w:bCs/>
          <w:i/>
        </w:rPr>
      </w:pPr>
      <w:r w:rsidRPr="00FC2A43">
        <w:rPr>
          <w:rFonts w:ascii="Palatino Linotype" w:hAnsi="Palatino Linotype" w:cs="Tahoma"/>
          <w:b/>
          <w:bCs/>
          <w:i/>
        </w:rPr>
        <w:t>“Curriculum Vitae de servidores públicos. Es obligación de los sujetos obligados otorgar acceso a versiones públicas de los mismos ante una solicitud de acceso.</w:t>
      </w:r>
      <w:r w:rsidRPr="00FC2A43">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E18526A" w14:textId="77777777" w:rsidR="00FC2A43" w:rsidRPr="00FC2A43" w:rsidRDefault="00FC2A43" w:rsidP="00FC2A43">
      <w:pPr>
        <w:spacing w:after="160" w:line="360" w:lineRule="auto"/>
        <w:contextualSpacing/>
        <w:jc w:val="both"/>
        <w:rPr>
          <w:rFonts w:ascii="Palatino Linotype" w:eastAsia="Calibri" w:hAnsi="Palatino Linotype" w:cs="Arial"/>
          <w:sz w:val="22"/>
          <w:szCs w:val="22"/>
          <w:lang w:eastAsia="en-US"/>
        </w:rPr>
      </w:pPr>
      <w:r w:rsidRPr="00FC2A43">
        <w:rPr>
          <w:rFonts w:ascii="Palatino Linotype" w:eastAsia="Calibri" w:hAnsi="Palatino Linotype" w:cs="Arial"/>
          <w:sz w:val="22"/>
          <w:szCs w:val="22"/>
          <w:lang w:eastAsia="en-US"/>
        </w:rPr>
        <w:lastRenderedPageBreak/>
        <w:t xml:space="preserve">Del citado criterio, se desprende que una de las formas en que los ciudadanos pueden evaluar las aptitudes para desempeñar un cargo público determinado, es mediante la </w:t>
      </w:r>
      <w:r w:rsidRPr="00FC2A43">
        <w:rPr>
          <w:rFonts w:ascii="Palatino Linotype" w:eastAsia="Calibri" w:hAnsi="Palatino Linotype" w:cs="Arial"/>
          <w:bCs/>
          <w:sz w:val="22"/>
          <w:szCs w:val="22"/>
          <w:lang w:eastAsia="en-US"/>
        </w:rPr>
        <w:t xml:space="preserve">publicidad de ciertos datos contenidos en el </w:t>
      </w:r>
      <w:r w:rsidRPr="00FC2A43">
        <w:rPr>
          <w:rFonts w:ascii="Palatino Linotype" w:eastAsia="Calibri" w:hAnsi="Palatino Linotype" w:cs="Arial"/>
          <w:bCs/>
          <w:i/>
          <w:sz w:val="22"/>
          <w:szCs w:val="22"/>
          <w:lang w:eastAsia="en-US"/>
        </w:rPr>
        <w:t xml:space="preserve">currículum vitae, </w:t>
      </w:r>
      <w:r w:rsidRPr="00FC2A43">
        <w:rPr>
          <w:rFonts w:ascii="Palatino Linotype" w:eastAsia="Calibri" w:hAnsi="Palatino Linotype" w:cs="Arial"/>
          <w:bCs/>
          <w:sz w:val="22"/>
          <w:szCs w:val="22"/>
          <w:lang w:eastAsia="en-US"/>
        </w:rPr>
        <w:t>tales como, la trayectoria académica, profesional, laboral, así como todos aquellos que acrediten su capacidad, habilidades pericia para ocupar el puesto público.</w:t>
      </w:r>
      <w:r w:rsidRPr="00FC2A43">
        <w:rPr>
          <w:rFonts w:ascii="Palatino Linotype" w:eastAsia="Calibri" w:hAnsi="Palatino Linotype" w:cs="Arial"/>
          <w:b/>
          <w:sz w:val="22"/>
          <w:szCs w:val="22"/>
          <w:lang w:eastAsia="en-US"/>
        </w:rPr>
        <w:t xml:space="preserve"> </w:t>
      </w:r>
      <w:r w:rsidRPr="00FC2A43">
        <w:rPr>
          <w:rFonts w:ascii="Palatino Linotype" w:eastAsia="Calibri" w:hAnsi="Palatino Linotype" w:cs="Arial"/>
          <w:sz w:val="22"/>
          <w:szCs w:val="22"/>
          <w:lang w:eastAsia="en-US"/>
        </w:rPr>
        <w:t>Lo anterior, para favorecer la rendición de cuentas, pues la publicidad de lo anterior, tiene como fin verificar el correcto desempeño de los sujetos obligados.</w:t>
      </w:r>
    </w:p>
    <w:p w14:paraId="061EA645" w14:textId="77777777" w:rsidR="00FC2A43" w:rsidRPr="00FC2A43" w:rsidRDefault="00FC2A43" w:rsidP="00FC2A43">
      <w:pPr>
        <w:spacing w:line="360" w:lineRule="auto"/>
        <w:jc w:val="both"/>
        <w:rPr>
          <w:rFonts w:ascii="Palatino Linotype" w:hAnsi="Palatino Linotype" w:cs="Tahoma"/>
          <w:bCs/>
          <w:iCs/>
          <w:sz w:val="22"/>
          <w:szCs w:val="22"/>
        </w:rPr>
      </w:pPr>
    </w:p>
    <w:p w14:paraId="60DD5EFC" w14:textId="68F4851C" w:rsidR="00FC2A43" w:rsidRPr="00FC2A43" w:rsidRDefault="00FC2A43" w:rsidP="00FC2A43">
      <w:pPr>
        <w:spacing w:line="360" w:lineRule="auto"/>
        <w:jc w:val="both"/>
        <w:rPr>
          <w:rFonts w:ascii="Palatino Linotype" w:hAnsi="Palatino Linotype" w:cs="Tahoma"/>
          <w:bCs/>
          <w:iCs/>
          <w:sz w:val="22"/>
          <w:szCs w:val="22"/>
        </w:rPr>
      </w:pPr>
      <w:r w:rsidRPr="00FC2A43">
        <w:rPr>
          <w:rFonts w:ascii="Palatino Linotype" w:hAnsi="Palatino Linotype" w:cs="Tahoma"/>
          <w:bCs/>
          <w:iCs/>
          <w:sz w:val="22"/>
          <w:szCs w:val="22"/>
        </w:rPr>
        <w:t xml:space="preserve">Conforme a lo anterior, se considera que la pretensión del ahora Recurrente, es obtener el documento que contenga la información curricular </w:t>
      </w:r>
      <w:r>
        <w:rPr>
          <w:rFonts w:ascii="Palatino Linotype" w:hAnsi="Palatino Linotype" w:cs="Tahoma"/>
          <w:bCs/>
          <w:iCs/>
          <w:sz w:val="22"/>
          <w:szCs w:val="22"/>
        </w:rPr>
        <w:t>de la Directora General del Sistema Municipal para el Desarrollo Integral de la Familia de Metepec y de la Titular del Órgano Interno de Control.</w:t>
      </w:r>
    </w:p>
    <w:p w14:paraId="2A8AB348" w14:textId="2791D30C" w:rsidR="00A63A85" w:rsidRPr="00A63A85" w:rsidRDefault="00A63A85" w:rsidP="00A63A85">
      <w:pPr>
        <w:spacing w:line="360" w:lineRule="auto"/>
        <w:jc w:val="both"/>
        <w:rPr>
          <w:rFonts w:ascii="Palatino Linotype" w:hAnsi="Palatino Linotype" w:cs="Tahoma"/>
          <w:bCs/>
          <w:iCs/>
          <w:sz w:val="22"/>
          <w:szCs w:val="22"/>
        </w:rPr>
      </w:pPr>
    </w:p>
    <w:p w14:paraId="44972A6B" w14:textId="6053A9D0" w:rsidR="00B3415C" w:rsidRPr="00FC2A43" w:rsidRDefault="00FC2A43" w:rsidP="00C8221B">
      <w:pPr>
        <w:tabs>
          <w:tab w:val="left" w:pos="2325"/>
        </w:tabs>
        <w:spacing w:line="360" w:lineRule="auto"/>
        <w:jc w:val="both"/>
        <w:rPr>
          <w:rFonts w:ascii="Palatino Linotype" w:hAnsi="Palatino Linotype" w:cs="Tahoma"/>
          <w:bCs/>
          <w:sz w:val="22"/>
          <w:szCs w:val="22"/>
        </w:rPr>
      </w:pPr>
      <w:r>
        <w:rPr>
          <w:rFonts w:ascii="Palatino Linotype" w:hAnsi="Palatino Linotype" w:cs="Tahoma"/>
          <w:bCs/>
          <w:iCs/>
          <w:sz w:val="22"/>
          <w:szCs w:val="22"/>
        </w:rPr>
        <w:t xml:space="preserve">Ahora bien, en respuesta el Sujeto Obligado proporcionó el </w:t>
      </w:r>
      <w:r>
        <w:rPr>
          <w:rFonts w:ascii="Palatino Linotype" w:hAnsi="Palatino Linotype" w:cs="Tahoma"/>
          <w:i/>
          <w:iCs/>
          <w:sz w:val="22"/>
          <w:szCs w:val="22"/>
        </w:rPr>
        <w:t>c</w:t>
      </w:r>
      <w:r w:rsidRPr="00FC2A43">
        <w:rPr>
          <w:rFonts w:ascii="Palatino Linotype" w:hAnsi="Palatino Linotype" w:cs="Tahoma"/>
          <w:i/>
          <w:iCs/>
          <w:sz w:val="22"/>
          <w:szCs w:val="22"/>
        </w:rPr>
        <w:t>urr</w:t>
      </w:r>
      <w:r>
        <w:rPr>
          <w:rFonts w:ascii="Palatino Linotype" w:hAnsi="Palatino Linotype" w:cs="Tahoma"/>
          <w:i/>
          <w:iCs/>
          <w:sz w:val="22"/>
          <w:szCs w:val="22"/>
        </w:rPr>
        <w:t>í</w:t>
      </w:r>
      <w:r w:rsidRPr="00FC2A43">
        <w:rPr>
          <w:rFonts w:ascii="Palatino Linotype" w:hAnsi="Palatino Linotype" w:cs="Tahoma"/>
          <w:i/>
          <w:iCs/>
          <w:sz w:val="22"/>
          <w:szCs w:val="22"/>
        </w:rPr>
        <w:t xml:space="preserve">culum vitae </w:t>
      </w:r>
      <w:r w:rsidRPr="00FC2A43">
        <w:rPr>
          <w:rFonts w:ascii="Palatino Linotype" w:hAnsi="Palatino Linotype" w:cs="Tahoma"/>
          <w:sz w:val="22"/>
          <w:szCs w:val="22"/>
        </w:rPr>
        <w:t>Diana Mireya Sandoval Pérez y Elisa Quijada</w:t>
      </w:r>
      <w:r>
        <w:rPr>
          <w:rFonts w:ascii="Palatino Linotype" w:hAnsi="Palatino Linotype" w:cs="Tahoma"/>
          <w:sz w:val="22"/>
          <w:szCs w:val="22"/>
        </w:rPr>
        <w:t xml:space="preserve">, es decir, de las dos personas requeridas; por lo que, se logra vislumbrar que el Sujeto Obligado proporcionó las expresiones documentales, en </w:t>
      </w:r>
      <w:r w:rsidR="003A3346">
        <w:rPr>
          <w:rFonts w:ascii="Palatino Linotype" w:hAnsi="Palatino Linotype" w:cs="Tahoma"/>
          <w:sz w:val="22"/>
          <w:szCs w:val="22"/>
        </w:rPr>
        <w:t xml:space="preserve">formato </w:t>
      </w:r>
      <w:r w:rsidR="003A3346" w:rsidRPr="00FC2A43">
        <w:rPr>
          <w:rFonts w:ascii="Palatino Linotype" w:hAnsi="Palatino Linotype" w:cs="Tahoma"/>
          <w:i/>
          <w:iCs/>
          <w:sz w:val="22"/>
          <w:szCs w:val="22"/>
        </w:rPr>
        <w:t>“</w:t>
      </w:r>
      <w:r w:rsidRPr="00FC2A43">
        <w:rPr>
          <w:rFonts w:ascii="Palatino Linotype" w:hAnsi="Palatino Linotype" w:cs="Tahoma"/>
          <w:i/>
          <w:iCs/>
          <w:sz w:val="22"/>
          <w:szCs w:val="22"/>
        </w:rPr>
        <w:t>PDF”</w:t>
      </w:r>
      <w:r w:rsidR="003A3346">
        <w:rPr>
          <w:rFonts w:ascii="Palatino Linotype" w:hAnsi="Palatino Linotype" w:cs="Tahoma"/>
          <w:sz w:val="22"/>
          <w:szCs w:val="22"/>
        </w:rPr>
        <w:t>, es decir, en aquel solicitado, que obraban en sus archivos y dan cuenta de lo peticionado.</w:t>
      </w:r>
    </w:p>
    <w:p w14:paraId="23170380" w14:textId="44EE1513" w:rsidR="00FC2A43" w:rsidRDefault="00FC2A43" w:rsidP="00C8221B">
      <w:pPr>
        <w:tabs>
          <w:tab w:val="left" w:pos="2325"/>
        </w:tabs>
        <w:spacing w:line="360" w:lineRule="auto"/>
        <w:jc w:val="both"/>
        <w:rPr>
          <w:rFonts w:ascii="Palatino Linotype" w:hAnsi="Palatino Linotype" w:cs="Tahoma"/>
          <w:bCs/>
          <w:iCs/>
          <w:sz w:val="22"/>
          <w:szCs w:val="22"/>
        </w:rPr>
      </w:pPr>
    </w:p>
    <w:p w14:paraId="0B3A44EE" w14:textId="643F409B" w:rsidR="003A3346" w:rsidRPr="003A3346" w:rsidRDefault="003A3346" w:rsidP="003A3346">
      <w:pPr>
        <w:spacing w:line="360" w:lineRule="auto"/>
        <w:jc w:val="both"/>
        <w:rPr>
          <w:rFonts w:ascii="Palatino Linotype" w:hAnsi="Palatino Linotype" w:cs="Tahoma"/>
          <w:sz w:val="22"/>
          <w:szCs w:val="24"/>
          <w:lang w:val="es-ES"/>
        </w:rPr>
      </w:pPr>
      <w:r>
        <w:rPr>
          <w:rFonts w:ascii="Palatino Linotype" w:eastAsiaTheme="minorHAnsi" w:hAnsi="Palatino Linotype" w:cs="Tahoma"/>
          <w:bCs/>
          <w:color w:val="000000" w:themeColor="text1"/>
          <w:sz w:val="22"/>
          <w:szCs w:val="22"/>
          <w:lang w:eastAsia="es-MX"/>
        </w:rPr>
        <w:t>D</w:t>
      </w:r>
      <w:proofErr w:type="spellStart"/>
      <w:r w:rsidRPr="003A3346">
        <w:rPr>
          <w:rFonts w:ascii="Palatino Linotype" w:hAnsi="Palatino Linotype" w:cs="Tahoma"/>
          <w:sz w:val="22"/>
          <w:szCs w:val="24"/>
          <w:lang w:val="es-ES"/>
        </w:rPr>
        <w:t>icha</w:t>
      </w:r>
      <w:proofErr w:type="spellEnd"/>
      <w:r w:rsidRPr="003A3346">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57323B2" w14:textId="77777777" w:rsidR="003A3346" w:rsidRPr="003A3346" w:rsidRDefault="003A3346" w:rsidP="003A3346">
      <w:pPr>
        <w:spacing w:line="360" w:lineRule="auto"/>
        <w:jc w:val="both"/>
        <w:rPr>
          <w:rFonts w:ascii="Palatino Linotype" w:hAnsi="Palatino Linotype" w:cs="Tahoma"/>
          <w:sz w:val="22"/>
          <w:szCs w:val="24"/>
          <w:lang w:val="es-ES"/>
        </w:rPr>
      </w:pPr>
    </w:p>
    <w:p w14:paraId="3D2D3736" w14:textId="77777777" w:rsidR="003A3346" w:rsidRPr="003A3346" w:rsidRDefault="003A3346" w:rsidP="003A3346">
      <w:pPr>
        <w:spacing w:line="360" w:lineRule="auto"/>
        <w:jc w:val="both"/>
        <w:rPr>
          <w:rFonts w:ascii="Palatino Linotype" w:hAnsi="Palatino Linotype" w:cs="Tahoma"/>
          <w:i/>
          <w:iCs/>
          <w:lang w:val="es-ES"/>
        </w:rPr>
      </w:pPr>
      <w:r w:rsidRPr="003A3346">
        <w:rPr>
          <w:rFonts w:ascii="Palatino Linotype" w:hAnsi="Palatino Linotype" w:cs="Tahoma"/>
          <w:sz w:val="22"/>
          <w:szCs w:val="24"/>
          <w:lang w:val="es-ES"/>
        </w:rPr>
        <w:lastRenderedPageBreak/>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0AABDA67" w14:textId="77777777" w:rsidR="003A3346" w:rsidRPr="003A3346" w:rsidRDefault="003A3346" w:rsidP="003A3346">
      <w:pPr>
        <w:spacing w:line="360" w:lineRule="auto"/>
        <w:jc w:val="both"/>
        <w:rPr>
          <w:rFonts w:ascii="Palatino Linotype" w:hAnsi="Palatino Linotype" w:cs="Tahoma"/>
          <w:sz w:val="22"/>
          <w:szCs w:val="24"/>
          <w:lang w:val="es-ES"/>
        </w:rPr>
      </w:pPr>
    </w:p>
    <w:p w14:paraId="7CAB4FFE" w14:textId="36DA7471" w:rsidR="00FC2A43" w:rsidRPr="003A3346" w:rsidRDefault="003A3346" w:rsidP="003A3346">
      <w:pPr>
        <w:spacing w:line="360" w:lineRule="auto"/>
        <w:jc w:val="both"/>
        <w:rPr>
          <w:rFonts w:ascii="Palatino Linotype" w:hAnsi="Palatino Linotype" w:cs="Tahoma"/>
          <w:bCs/>
          <w:sz w:val="22"/>
          <w:szCs w:val="22"/>
        </w:rPr>
      </w:pPr>
      <w:r w:rsidRPr="003A3346">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w:t>
      </w:r>
      <w:r>
        <w:rPr>
          <w:rFonts w:ascii="Palatino Linotype" w:hAnsi="Palatino Linotype" w:cs="Tahoma"/>
          <w:sz w:val="22"/>
          <w:szCs w:val="24"/>
          <w:lang w:val="es-ES"/>
        </w:rPr>
        <w:t xml:space="preserve">los </w:t>
      </w:r>
      <w:r>
        <w:rPr>
          <w:rFonts w:ascii="Palatino Linotype" w:hAnsi="Palatino Linotype" w:cs="Tahoma"/>
          <w:i/>
          <w:iCs/>
          <w:sz w:val="22"/>
          <w:szCs w:val="24"/>
          <w:lang w:val="es-ES"/>
        </w:rPr>
        <w:t>currículums vitae</w:t>
      </w:r>
      <w:r>
        <w:rPr>
          <w:rFonts w:ascii="Palatino Linotype" w:hAnsi="Palatino Linotype" w:cs="Tahoma"/>
          <w:sz w:val="22"/>
          <w:szCs w:val="24"/>
          <w:lang w:val="es-ES"/>
        </w:rPr>
        <w:t xml:space="preserve"> solicitados.</w:t>
      </w:r>
    </w:p>
    <w:p w14:paraId="5C2DE485" w14:textId="75B1F714" w:rsidR="00FC2A43" w:rsidRDefault="00FC2A43" w:rsidP="00C8221B">
      <w:pPr>
        <w:tabs>
          <w:tab w:val="left" w:pos="2325"/>
        </w:tabs>
        <w:spacing w:line="360" w:lineRule="auto"/>
        <w:jc w:val="both"/>
        <w:rPr>
          <w:rFonts w:ascii="Palatino Linotype" w:hAnsi="Palatino Linotype" w:cs="Tahoma"/>
          <w:bCs/>
          <w:iCs/>
          <w:sz w:val="22"/>
          <w:szCs w:val="22"/>
        </w:rPr>
      </w:pPr>
    </w:p>
    <w:p w14:paraId="4760A6E9" w14:textId="150FAB0B" w:rsidR="003A3346" w:rsidRDefault="003A3346" w:rsidP="00C8221B">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si bien el Sujeto Obligado proporcionó los documentos que dan cuenta de la información pública, lo cierto es que los entregó en versión pública, en donde clasificó los siguientes datos:</w:t>
      </w:r>
    </w:p>
    <w:p w14:paraId="15217A5A" w14:textId="6E92EF77" w:rsidR="003A3346" w:rsidRDefault="003A3346" w:rsidP="00C8221B">
      <w:pPr>
        <w:tabs>
          <w:tab w:val="left" w:pos="2325"/>
        </w:tabs>
        <w:spacing w:line="360" w:lineRule="auto"/>
        <w:jc w:val="both"/>
        <w:rPr>
          <w:rFonts w:ascii="Palatino Linotype" w:hAnsi="Palatino Linotype" w:cs="Tahoma"/>
          <w:bCs/>
          <w:iCs/>
          <w:sz w:val="22"/>
          <w:szCs w:val="22"/>
        </w:rPr>
      </w:pPr>
    </w:p>
    <w:p w14:paraId="15F98EF6" w14:textId="04C941E7" w:rsidR="003A3346" w:rsidRDefault="003A3346" w:rsidP="003A3346">
      <w:pPr>
        <w:pStyle w:val="Prrafodelista"/>
        <w:numPr>
          <w:ilvl w:val="0"/>
          <w:numId w:val="32"/>
        </w:numPr>
        <w:tabs>
          <w:tab w:val="left" w:pos="2325"/>
        </w:tabs>
        <w:spacing w:line="360" w:lineRule="auto"/>
        <w:jc w:val="both"/>
        <w:rPr>
          <w:rFonts w:ascii="Palatino Linotype" w:hAnsi="Palatino Linotype" w:cs="Tahoma"/>
          <w:bCs/>
          <w:iCs/>
          <w:szCs w:val="22"/>
        </w:rPr>
      </w:pPr>
      <w:r>
        <w:rPr>
          <w:rFonts w:ascii="Palatino Linotype" w:hAnsi="Palatino Linotype" w:cs="Tahoma"/>
          <w:bCs/>
          <w:iCs/>
          <w:szCs w:val="22"/>
        </w:rPr>
        <w:t>Número de teléfono particular;</w:t>
      </w:r>
    </w:p>
    <w:p w14:paraId="77FDFB0C" w14:textId="0D33CE7C" w:rsidR="003A3346" w:rsidRDefault="003A3346" w:rsidP="003A3346">
      <w:pPr>
        <w:pStyle w:val="Prrafodelista"/>
        <w:numPr>
          <w:ilvl w:val="0"/>
          <w:numId w:val="32"/>
        </w:numPr>
        <w:tabs>
          <w:tab w:val="left" w:pos="2325"/>
        </w:tabs>
        <w:spacing w:line="360" w:lineRule="auto"/>
        <w:jc w:val="both"/>
        <w:rPr>
          <w:rFonts w:ascii="Palatino Linotype" w:hAnsi="Palatino Linotype" w:cs="Tahoma"/>
          <w:bCs/>
          <w:iCs/>
          <w:szCs w:val="22"/>
        </w:rPr>
      </w:pPr>
      <w:r>
        <w:rPr>
          <w:rFonts w:ascii="Palatino Linotype" w:hAnsi="Palatino Linotype" w:cs="Tahoma"/>
          <w:bCs/>
          <w:iCs/>
          <w:szCs w:val="22"/>
        </w:rPr>
        <w:t>Correo electrónico particular;</w:t>
      </w:r>
    </w:p>
    <w:p w14:paraId="1785221F" w14:textId="0B50EDEC" w:rsidR="003A3346" w:rsidRDefault="003A3346" w:rsidP="003A3346">
      <w:pPr>
        <w:pStyle w:val="Prrafodelista"/>
        <w:numPr>
          <w:ilvl w:val="0"/>
          <w:numId w:val="32"/>
        </w:numPr>
        <w:tabs>
          <w:tab w:val="left" w:pos="2325"/>
        </w:tabs>
        <w:spacing w:line="360" w:lineRule="auto"/>
        <w:jc w:val="both"/>
        <w:rPr>
          <w:rFonts w:ascii="Palatino Linotype" w:hAnsi="Palatino Linotype" w:cs="Tahoma"/>
          <w:bCs/>
          <w:iCs/>
          <w:szCs w:val="22"/>
        </w:rPr>
      </w:pPr>
      <w:r>
        <w:rPr>
          <w:rFonts w:ascii="Palatino Linotype" w:hAnsi="Palatino Linotype" w:cs="Tahoma"/>
          <w:bCs/>
          <w:iCs/>
          <w:szCs w:val="22"/>
        </w:rPr>
        <w:t>Domicilio:</w:t>
      </w:r>
    </w:p>
    <w:p w14:paraId="3AC42989" w14:textId="68734BD3" w:rsidR="003A3346" w:rsidRDefault="003A3346" w:rsidP="003A3346">
      <w:pPr>
        <w:pStyle w:val="Prrafodelista"/>
        <w:numPr>
          <w:ilvl w:val="0"/>
          <w:numId w:val="32"/>
        </w:numPr>
        <w:tabs>
          <w:tab w:val="left" w:pos="2325"/>
        </w:tabs>
        <w:spacing w:line="360" w:lineRule="auto"/>
        <w:jc w:val="both"/>
        <w:rPr>
          <w:rFonts w:ascii="Palatino Linotype" w:hAnsi="Palatino Linotype" w:cs="Tahoma"/>
          <w:bCs/>
          <w:iCs/>
          <w:szCs w:val="22"/>
        </w:rPr>
      </w:pPr>
      <w:r>
        <w:rPr>
          <w:rFonts w:ascii="Palatino Linotype" w:hAnsi="Palatino Linotype" w:cs="Tahoma"/>
          <w:bCs/>
          <w:iCs/>
          <w:szCs w:val="22"/>
        </w:rPr>
        <w:t>Cuentas de redes sociales particulares;</w:t>
      </w:r>
    </w:p>
    <w:p w14:paraId="2A30B95E" w14:textId="11862267" w:rsidR="00924DE1" w:rsidRDefault="00924DE1" w:rsidP="003A3346">
      <w:pPr>
        <w:pStyle w:val="Prrafodelista"/>
        <w:numPr>
          <w:ilvl w:val="0"/>
          <w:numId w:val="32"/>
        </w:numPr>
        <w:tabs>
          <w:tab w:val="left" w:pos="2325"/>
        </w:tabs>
        <w:spacing w:line="360" w:lineRule="auto"/>
        <w:jc w:val="both"/>
        <w:rPr>
          <w:rFonts w:ascii="Palatino Linotype" w:hAnsi="Palatino Linotype" w:cs="Tahoma"/>
          <w:bCs/>
          <w:iCs/>
          <w:szCs w:val="22"/>
        </w:rPr>
      </w:pPr>
      <w:r>
        <w:rPr>
          <w:rFonts w:ascii="Palatino Linotype" w:hAnsi="Palatino Linotype" w:cs="Tahoma"/>
          <w:bCs/>
          <w:iCs/>
          <w:szCs w:val="22"/>
        </w:rPr>
        <w:t>Fecha de nacimiento, y</w:t>
      </w:r>
    </w:p>
    <w:p w14:paraId="61E28595" w14:textId="20B0F1C4" w:rsidR="00924DE1" w:rsidRPr="003A3346" w:rsidRDefault="00924DE1" w:rsidP="003A3346">
      <w:pPr>
        <w:pStyle w:val="Prrafodelista"/>
        <w:numPr>
          <w:ilvl w:val="0"/>
          <w:numId w:val="32"/>
        </w:numPr>
        <w:tabs>
          <w:tab w:val="left" w:pos="2325"/>
        </w:tabs>
        <w:spacing w:line="360" w:lineRule="auto"/>
        <w:jc w:val="both"/>
        <w:rPr>
          <w:rFonts w:ascii="Palatino Linotype" w:hAnsi="Palatino Linotype" w:cs="Tahoma"/>
          <w:bCs/>
          <w:iCs/>
          <w:szCs w:val="22"/>
        </w:rPr>
      </w:pPr>
      <w:r>
        <w:rPr>
          <w:rFonts w:ascii="Palatino Linotype" w:hAnsi="Palatino Linotype" w:cs="Tahoma"/>
          <w:bCs/>
          <w:iCs/>
          <w:szCs w:val="22"/>
        </w:rPr>
        <w:t>Estado civil.</w:t>
      </w:r>
    </w:p>
    <w:p w14:paraId="2AA74871" w14:textId="77777777" w:rsidR="003A3346" w:rsidRDefault="003A3346" w:rsidP="00C8221B">
      <w:pPr>
        <w:tabs>
          <w:tab w:val="left" w:pos="2325"/>
        </w:tabs>
        <w:spacing w:line="360" w:lineRule="auto"/>
        <w:jc w:val="both"/>
        <w:rPr>
          <w:rFonts w:ascii="Palatino Linotype" w:hAnsi="Palatino Linotype" w:cs="Tahoma"/>
          <w:bCs/>
          <w:iCs/>
          <w:sz w:val="22"/>
          <w:szCs w:val="22"/>
        </w:rPr>
      </w:pPr>
    </w:p>
    <w:p w14:paraId="2091AC5B" w14:textId="7EA30062" w:rsidR="00924DE1" w:rsidRPr="00924DE1" w:rsidRDefault="00924DE1" w:rsidP="00924DE1">
      <w:pPr>
        <w:spacing w:line="360" w:lineRule="auto"/>
        <w:jc w:val="both"/>
        <w:rPr>
          <w:rFonts w:ascii="Palatino Linotype" w:eastAsia="Calibri" w:hAnsi="Palatino Linotype" w:cs="Tahoma"/>
          <w:bCs/>
          <w:color w:val="000000" w:themeColor="text1"/>
          <w:sz w:val="22"/>
          <w:szCs w:val="22"/>
          <w:lang w:eastAsia="en-US"/>
        </w:rPr>
      </w:pPr>
      <w:r>
        <w:rPr>
          <w:rFonts w:ascii="Palatino Linotype" w:hAnsi="Palatino Linotype" w:cs="Tahoma"/>
          <w:bCs/>
          <w:iCs/>
          <w:sz w:val="22"/>
          <w:szCs w:val="22"/>
        </w:rPr>
        <w:t>Conforme a lo anterior, se procede analizar dichos datos, con el fin de determinar si son públicos o privados; e</w:t>
      </w:r>
      <w:r w:rsidRPr="00924DE1">
        <w:rPr>
          <w:rFonts w:ascii="Palatino Linotype" w:eastAsia="Calibri" w:hAnsi="Palatino Linotype" w:cs="Tahoma"/>
          <w:bCs/>
          <w:color w:val="000000" w:themeColor="text1"/>
          <w:sz w:val="22"/>
          <w:szCs w:val="22"/>
          <w:lang w:eastAsia="en-US"/>
        </w:rPr>
        <w:t xml:space="preserve">n principio, cabe mencionar que el artículo 6°, Apartado A), fracción II, de la Constitución Política de los Estados Unidos Mexicanos, prevé que la información que se refiere a la vida privada y los datos personales será protegida en los términos y con </w:t>
      </w:r>
      <w:r w:rsidRPr="00924DE1">
        <w:rPr>
          <w:rFonts w:ascii="Palatino Linotype" w:eastAsia="Calibri" w:hAnsi="Palatino Linotype" w:cs="Tahoma"/>
          <w:bCs/>
          <w:color w:val="000000" w:themeColor="text1"/>
          <w:sz w:val="22"/>
          <w:szCs w:val="22"/>
          <w:lang w:eastAsia="en-US"/>
        </w:rPr>
        <w:lastRenderedPageBreak/>
        <w:t>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F8DD263"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4ECCE3B3"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5482BA9"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5CBFBFDE"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330A0CF"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3B95F406"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2BF6752"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03EB5FC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7C6F8F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274AF79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20A1A61"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58A2B4A2"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4F889EF"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7DD099EB" w14:textId="77777777" w:rsidR="00924DE1" w:rsidRPr="00924DE1" w:rsidRDefault="00924DE1" w:rsidP="00924DE1">
      <w:pPr>
        <w:numPr>
          <w:ilvl w:val="0"/>
          <w:numId w:val="33"/>
        </w:numPr>
        <w:spacing w:after="160" w:line="360" w:lineRule="auto"/>
        <w:contextualSpacing/>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 xml:space="preserve">Se trate de datos personales o información privada; esto es, información concerniente a una persona física o jurídico colectiva y que esta sea identificada o identificable. </w:t>
      </w:r>
    </w:p>
    <w:p w14:paraId="46ADD591" w14:textId="77777777" w:rsidR="00924DE1" w:rsidRPr="00924DE1" w:rsidRDefault="00924DE1" w:rsidP="00924DE1">
      <w:pPr>
        <w:spacing w:line="360" w:lineRule="auto"/>
        <w:ind w:left="720"/>
        <w:contextualSpacing/>
        <w:jc w:val="both"/>
        <w:rPr>
          <w:rFonts w:ascii="Palatino Linotype" w:eastAsia="Calibri" w:hAnsi="Palatino Linotype" w:cs="Tahoma"/>
          <w:bCs/>
          <w:sz w:val="22"/>
          <w:szCs w:val="22"/>
          <w:lang w:eastAsia="en-US"/>
        </w:rPr>
      </w:pPr>
    </w:p>
    <w:p w14:paraId="15E6E5A2" w14:textId="77777777" w:rsidR="00924DE1" w:rsidRPr="00924DE1" w:rsidRDefault="00924DE1" w:rsidP="00924DE1">
      <w:pPr>
        <w:numPr>
          <w:ilvl w:val="0"/>
          <w:numId w:val="33"/>
        </w:numPr>
        <w:spacing w:after="160" w:line="360" w:lineRule="auto"/>
        <w:contextualSpacing/>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 xml:space="preserve">Para la difusión de los datos, se requiera el consentimiento del titular. </w:t>
      </w:r>
    </w:p>
    <w:p w14:paraId="5604360B"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7A9A14B1"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418BC32"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43F8813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2F82C80B"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47412164"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8AAD98A"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3D683F4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3514157"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3F4494A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508842B"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72C33EDC"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14:paraId="474F6493"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4BD22F8C"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976E706"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4189B0DD"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A52E666"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p>
    <w:p w14:paraId="395DC846" w14:textId="77777777" w:rsidR="00924DE1" w:rsidRPr="00924DE1" w:rsidRDefault="00924DE1" w:rsidP="00924DE1">
      <w:pPr>
        <w:spacing w:line="360" w:lineRule="auto"/>
        <w:jc w:val="both"/>
        <w:rPr>
          <w:rFonts w:ascii="Palatino Linotype" w:eastAsia="Calibri" w:hAnsi="Palatino Linotype" w:cs="Tahoma"/>
          <w:bCs/>
          <w:sz w:val="22"/>
          <w:szCs w:val="22"/>
          <w:lang w:eastAsia="en-US"/>
        </w:rPr>
      </w:pPr>
      <w:r w:rsidRPr="00924DE1">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w:t>
      </w:r>
      <w:r w:rsidRPr="00924DE1">
        <w:rPr>
          <w:rFonts w:ascii="Palatino Linotype" w:eastAsia="Calibri" w:hAnsi="Palatino Linotype" w:cs="Tahoma"/>
          <w:bCs/>
          <w:sz w:val="22"/>
          <w:szCs w:val="22"/>
          <w:lang w:eastAsia="en-US"/>
        </w:rPr>
        <w:lastRenderedPageBreak/>
        <w:t>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DD8EA83" w14:textId="77777777" w:rsidR="00924DE1" w:rsidRPr="00924DE1" w:rsidRDefault="00924DE1" w:rsidP="00924DE1">
      <w:pPr>
        <w:spacing w:line="360" w:lineRule="auto"/>
        <w:jc w:val="both"/>
        <w:rPr>
          <w:rFonts w:ascii="Palatino Linotype" w:hAnsi="Palatino Linotype" w:cs="Tahoma"/>
          <w:sz w:val="22"/>
          <w:szCs w:val="22"/>
        </w:rPr>
      </w:pPr>
    </w:p>
    <w:p w14:paraId="65A98F8F" w14:textId="3A5BCF04" w:rsidR="00924DE1" w:rsidRPr="00924DE1" w:rsidRDefault="00924DE1" w:rsidP="00924DE1">
      <w:pPr>
        <w:spacing w:line="360" w:lineRule="auto"/>
        <w:jc w:val="both"/>
        <w:rPr>
          <w:rFonts w:ascii="Palatino Linotype" w:hAnsi="Palatino Linotype" w:cs="Tahoma"/>
          <w:sz w:val="22"/>
          <w:szCs w:val="22"/>
        </w:rPr>
      </w:pPr>
      <w:r w:rsidRPr="00924DE1">
        <w:rPr>
          <w:rFonts w:ascii="Palatino Linotype" w:hAnsi="Palatino Linotype" w:cs="Tahoma"/>
          <w:sz w:val="22"/>
          <w:szCs w:val="22"/>
        </w:rPr>
        <w:t xml:space="preserve">Bajo ese contexto, se analizarán si los </w:t>
      </w:r>
      <w:r w:rsidR="007E3F9F">
        <w:rPr>
          <w:rFonts w:ascii="Palatino Linotype" w:hAnsi="Palatino Linotype" w:cs="Tahoma"/>
          <w:sz w:val="22"/>
          <w:szCs w:val="22"/>
        </w:rPr>
        <w:t>datos testados en los documentos entregados en respuesta,</w:t>
      </w:r>
      <w:r w:rsidRPr="00924DE1">
        <w:rPr>
          <w:rFonts w:ascii="Palatino Linotype" w:hAnsi="Palatino Linotype" w:cs="Tahoma"/>
          <w:sz w:val="22"/>
          <w:szCs w:val="22"/>
        </w:rPr>
        <w:t xml:space="preserve"> son de naturaleza pública o privada; esto, es verificar si actualizan la causal de clasificación, establecida en el artículo 143, fracción I, de la Ley de Transparencia y Acceso a la Información Pública del Estado de México y Municipios.</w:t>
      </w:r>
    </w:p>
    <w:p w14:paraId="5435575F" w14:textId="4D46D6FD" w:rsidR="003A3346" w:rsidRDefault="003A3346" w:rsidP="00C8221B">
      <w:pPr>
        <w:tabs>
          <w:tab w:val="left" w:pos="2325"/>
        </w:tabs>
        <w:spacing w:line="360" w:lineRule="auto"/>
        <w:jc w:val="both"/>
        <w:rPr>
          <w:rFonts w:ascii="Palatino Linotype" w:hAnsi="Palatino Linotype" w:cs="Tahoma"/>
          <w:bCs/>
          <w:iCs/>
          <w:sz w:val="22"/>
          <w:szCs w:val="22"/>
        </w:rPr>
      </w:pPr>
    </w:p>
    <w:p w14:paraId="157B17E5" w14:textId="77777777" w:rsidR="007E3F9F" w:rsidRPr="007E3F9F" w:rsidRDefault="007E3F9F" w:rsidP="007E3F9F">
      <w:pPr>
        <w:numPr>
          <w:ilvl w:val="0"/>
          <w:numId w:val="6"/>
        </w:numPr>
        <w:spacing w:after="160" w:line="360" w:lineRule="auto"/>
        <w:contextualSpacing/>
        <w:jc w:val="both"/>
        <w:rPr>
          <w:rFonts w:ascii="Palatino Linotype" w:hAnsi="Palatino Linotype" w:cs="Tahoma"/>
          <w:sz w:val="22"/>
          <w:szCs w:val="22"/>
        </w:rPr>
      </w:pPr>
      <w:r w:rsidRPr="007E3F9F">
        <w:rPr>
          <w:rFonts w:ascii="Palatino Linotype" w:hAnsi="Palatino Linotype" w:cs="Tahoma"/>
          <w:b/>
          <w:sz w:val="22"/>
          <w:szCs w:val="22"/>
        </w:rPr>
        <w:t>Correo electrónico particular.</w:t>
      </w:r>
    </w:p>
    <w:p w14:paraId="2E507480" w14:textId="77777777" w:rsidR="007E3F9F" w:rsidRPr="007E3F9F" w:rsidRDefault="007E3F9F" w:rsidP="007E3F9F">
      <w:pPr>
        <w:spacing w:line="360" w:lineRule="auto"/>
        <w:jc w:val="both"/>
        <w:rPr>
          <w:rFonts w:ascii="Palatino Linotype" w:eastAsia="Calibri" w:hAnsi="Palatino Linotype" w:cs="Tahoma"/>
          <w:bCs/>
          <w:sz w:val="22"/>
          <w:szCs w:val="22"/>
          <w:lang w:val="es-ES" w:eastAsia="en-US"/>
        </w:rPr>
      </w:pPr>
    </w:p>
    <w:p w14:paraId="5F9210D7" w14:textId="77777777" w:rsidR="007E3F9F" w:rsidRPr="007E3F9F" w:rsidRDefault="007E3F9F" w:rsidP="007E3F9F">
      <w:pPr>
        <w:spacing w:line="360" w:lineRule="auto"/>
        <w:jc w:val="both"/>
        <w:rPr>
          <w:rFonts w:ascii="Palatino Linotype" w:eastAsia="Calibri" w:hAnsi="Palatino Linotype" w:cs="Tahoma"/>
          <w:bCs/>
          <w:sz w:val="22"/>
          <w:szCs w:val="22"/>
          <w:lang w:val="es-ES" w:eastAsia="en-US"/>
        </w:rPr>
      </w:pPr>
      <w:r w:rsidRPr="007E3F9F">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019CE6BE" w14:textId="77777777" w:rsidR="007E3F9F" w:rsidRPr="007E3F9F" w:rsidRDefault="007E3F9F" w:rsidP="007E3F9F">
      <w:pPr>
        <w:spacing w:line="360" w:lineRule="auto"/>
        <w:jc w:val="both"/>
        <w:rPr>
          <w:rFonts w:ascii="Palatino Linotype" w:eastAsia="Calibri" w:hAnsi="Palatino Linotype" w:cs="Tahoma"/>
          <w:bCs/>
          <w:sz w:val="22"/>
          <w:szCs w:val="22"/>
          <w:lang w:val="es-ES" w:eastAsia="en-US"/>
        </w:rPr>
      </w:pPr>
    </w:p>
    <w:p w14:paraId="7B4CCA4E" w14:textId="2F66363B" w:rsidR="007E3F9F" w:rsidRPr="007E3F9F" w:rsidRDefault="007E3F9F" w:rsidP="007E3F9F">
      <w:pPr>
        <w:spacing w:line="360" w:lineRule="auto"/>
        <w:jc w:val="both"/>
        <w:rPr>
          <w:rFonts w:ascii="Palatino Linotype" w:eastAsia="Calibri" w:hAnsi="Palatino Linotype" w:cs="Tahoma"/>
          <w:b/>
          <w:sz w:val="22"/>
          <w:szCs w:val="22"/>
          <w:lang w:val="es-ES" w:eastAsia="en-US"/>
        </w:rPr>
      </w:pPr>
      <w:r w:rsidRPr="007E3F9F">
        <w:rPr>
          <w:rFonts w:ascii="Palatino Linotype" w:eastAsia="Calibri" w:hAnsi="Palatino Linotype" w:cs="Tahoma"/>
          <w:bCs/>
          <w:sz w:val="22"/>
          <w:szCs w:val="22"/>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r w:rsidR="00EF4936">
        <w:rPr>
          <w:rFonts w:ascii="Palatino Linotype" w:eastAsia="Calibri" w:hAnsi="Palatino Linotype" w:cs="Tahoma"/>
          <w:bCs/>
          <w:sz w:val="22"/>
          <w:szCs w:val="22"/>
          <w:lang w:val="es-ES" w:eastAsia="en-US"/>
        </w:rPr>
        <w:t xml:space="preserve"> </w:t>
      </w:r>
      <w:r w:rsidR="00EF4936">
        <w:rPr>
          <w:rFonts w:ascii="Palatino Linotype" w:eastAsia="Calibri" w:hAnsi="Palatino Linotype" w:cs="Tahoma"/>
          <w:b/>
          <w:sz w:val="22"/>
          <w:szCs w:val="22"/>
          <w:lang w:val="es-ES" w:eastAsia="en-US"/>
        </w:rPr>
        <w:t>Cabe señalar que dicho dato es visible para el caso de la Titular del Órgano Interno de Control.</w:t>
      </w:r>
    </w:p>
    <w:p w14:paraId="4BFA16E3" w14:textId="44145C5B" w:rsidR="007E3F9F" w:rsidRDefault="007E3F9F" w:rsidP="007E3F9F">
      <w:pPr>
        <w:spacing w:line="360" w:lineRule="auto"/>
        <w:jc w:val="both"/>
        <w:rPr>
          <w:rFonts w:ascii="Palatino Linotype" w:eastAsia="Calibri" w:hAnsi="Palatino Linotype" w:cs="Tahoma"/>
          <w:bCs/>
          <w:sz w:val="22"/>
          <w:szCs w:val="22"/>
          <w:lang w:val="es-ES" w:eastAsia="en-US"/>
        </w:rPr>
      </w:pPr>
    </w:p>
    <w:p w14:paraId="5C27FB2E" w14:textId="04DBF1AD" w:rsidR="00BD4AC9" w:rsidRDefault="00BD4AC9" w:rsidP="007E3F9F">
      <w:pPr>
        <w:spacing w:line="360" w:lineRule="auto"/>
        <w:jc w:val="both"/>
        <w:rPr>
          <w:rFonts w:ascii="Palatino Linotype" w:eastAsia="Calibri" w:hAnsi="Palatino Linotype" w:cs="Tahoma"/>
          <w:bCs/>
          <w:sz w:val="22"/>
          <w:szCs w:val="22"/>
          <w:lang w:val="es-ES" w:eastAsia="en-US"/>
        </w:rPr>
      </w:pPr>
    </w:p>
    <w:p w14:paraId="04D324C9" w14:textId="77777777" w:rsidR="00BD4AC9" w:rsidRPr="007E3F9F" w:rsidRDefault="00BD4AC9" w:rsidP="007E3F9F">
      <w:pPr>
        <w:spacing w:line="360" w:lineRule="auto"/>
        <w:jc w:val="both"/>
        <w:rPr>
          <w:rFonts w:ascii="Palatino Linotype" w:eastAsia="Calibri" w:hAnsi="Palatino Linotype" w:cs="Tahoma"/>
          <w:bCs/>
          <w:sz w:val="22"/>
          <w:szCs w:val="22"/>
          <w:lang w:val="es-ES" w:eastAsia="en-US"/>
        </w:rPr>
      </w:pPr>
    </w:p>
    <w:p w14:paraId="544CCDEB" w14:textId="77777777" w:rsidR="007E3F9F" w:rsidRPr="007E3F9F" w:rsidRDefault="007E3F9F" w:rsidP="007E3F9F">
      <w:pPr>
        <w:numPr>
          <w:ilvl w:val="0"/>
          <w:numId w:val="6"/>
        </w:numPr>
        <w:spacing w:after="160" w:line="360" w:lineRule="auto"/>
        <w:contextualSpacing/>
        <w:jc w:val="both"/>
        <w:rPr>
          <w:rFonts w:ascii="Palatino Linotype" w:hAnsi="Palatino Linotype" w:cs="Tahoma"/>
          <w:sz w:val="22"/>
          <w:szCs w:val="22"/>
        </w:rPr>
      </w:pPr>
      <w:r w:rsidRPr="007E3F9F">
        <w:rPr>
          <w:rFonts w:ascii="Palatino Linotype" w:hAnsi="Palatino Linotype" w:cs="Tahoma"/>
          <w:b/>
          <w:sz w:val="22"/>
          <w:szCs w:val="22"/>
        </w:rPr>
        <w:t>Teléfono y celular particular.</w:t>
      </w:r>
    </w:p>
    <w:p w14:paraId="218486D7" w14:textId="77777777" w:rsidR="007E3F9F" w:rsidRPr="007E3F9F" w:rsidRDefault="007E3F9F" w:rsidP="007E3F9F">
      <w:pPr>
        <w:spacing w:line="360" w:lineRule="auto"/>
        <w:jc w:val="both"/>
        <w:rPr>
          <w:rFonts w:ascii="Palatino Linotype" w:hAnsi="Palatino Linotype" w:cs="Tahoma"/>
          <w:sz w:val="22"/>
          <w:szCs w:val="22"/>
        </w:rPr>
      </w:pPr>
    </w:p>
    <w:p w14:paraId="7435B11B" w14:textId="77777777" w:rsidR="007E3F9F" w:rsidRPr="007E3F9F" w:rsidRDefault="007E3F9F" w:rsidP="007E3F9F">
      <w:pPr>
        <w:spacing w:line="360" w:lineRule="auto"/>
        <w:jc w:val="both"/>
        <w:rPr>
          <w:rFonts w:ascii="Palatino Linotype" w:hAnsi="Palatino Linotype" w:cs="Tahoma"/>
          <w:sz w:val="22"/>
          <w:szCs w:val="22"/>
        </w:rPr>
      </w:pPr>
      <w:r w:rsidRPr="007E3F9F">
        <w:rPr>
          <w:rFonts w:ascii="Palatino Linotype" w:hAnsi="Palatino Linotype" w:cs="Tahoma"/>
          <w:sz w:val="22"/>
          <w:szCs w:val="22"/>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4AD85231" w14:textId="77777777" w:rsidR="007E3F9F" w:rsidRPr="007E3F9F" w:rsidRDefault="007E3F9F" w:rsidP="007E3F9F">
      <w:pPr>
        <w:spacing w:line="360" w:lineRule="auto"/>
        <w:jc w:val="both"/>
        <w:rPr>
          <w:rFonts w:ascii="Palatino Linotype" w:hAnsi="Palatino Linotype" w:cs="Tahoma"/>
          <w:sz w:val="22"/>
          <w:szCs w:val="22"/>
        </w:rPr>
      </w:pPr>
    </w:p>
    <w:p w14:paraId="67D60587" w14:textId="374CE0CD" w:rsidR="007E3F9F" w:rsidRPr="007E3F9F" w:rsidRDefault="007E3F9F" w:rsidP="007E3F9F">
      <w:pPr>
        <w:spacing w:line="360" w:lineRule="auto"/>
        <w:jc w:val="both"/>
        <w:rPr>
          <w:rFonts w:ascii="Palatino Linotype" w:hAnsi="Palatino Linotype" w:cs="Tahoma"/>
          <w:sz w:val="22"/>
          <w:szCs w:val="22"/>
        </w:rPr>
      </w:pPr>
      <w:r w:rsidRPr="007E3F9F">
        <w:rPr>
          <w:rFonts w:ascii="Palatino Linotype" w:hAnsi="Palatino Linotype" w:cs="Tahoma"/>
          <w:sz w:val="22"/>
          <w:szCs w:val="22"/>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189F032F" w14:textId="77777777" w:rsidR="007E3F9F" w:rsidRPr="007E3F9F" w:rsidRDefault="007E3F9F" w:rsidP="007E3F9F">
      <w:pPr>
        <w:spacing w:line="360" w:lineRule="auto"/>
        <w:jc w:val="both"/>
        <w:rPr>
          <w:rFonts w:ascii="Palatino Linotype" w:hAnsi="Palatino Linotype" w:cs="Tahoma"/>
          <w:sz w:val="22"/>
          <w:szCs w:val="22"/>
        </w:rPr>
      </w:pPr>
    </w:p>
    <w:p w14:paraId="2749CE35" w14:textId="74C438F3" w:rsidR="007E3F9F" w:rsidRPr="007E3F9F" w:rsidRDefault="007E3F9F" w:rsidP="007E3F9F">
      <w:pPr>
        <w:spacing w:line="360" w:lineRule="auto"/>
        <w:jc w:val="both"/>
        <w:rPr>
          <w:rFonts w:ascii="Palatino Linotype" w:hAnsi="Palatino Linotype" w:cs="Tahoma"/>
          <w:sz w:val="22"/>
          <w:szCs w:val="22"/>
        </w:rPr>
      </w:pPr>
      <w:r w:rsidRPr="007E3F9F">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r w:rsidR="00EF4936">
        <w:rPr>
          <w:rFonts w:ascii="Palatino Linotype" w:hAnsi="Palatino Linotype" w:cs="Tahoma"/>
          <w:sz w:val="22"/>
          <w:szCs w:val="22"/>
        </w:rPr>
        <w:t xml:space="preserve"> </w:t>
      </w:r>
      <w:r w:rsidR="00EF4936">
        <w:rPr>
          <w:rFonts w:ascii="Palatino Linotype" w:eastAsia="Calibri" w:hAnsi="Palatino Linotype" w:cs="Tahoma"/>
          <w:b/>
          <w:sz w:val="22"/>
          <w:szCs w:val="22"/>
          <w:lang w:val="es-ES" w:eastAsia="en-US"/>
        </w:rPr>
        <w:t>Cabe señalar que dicho dato es visible para el caso de la Titular del Órgano Interno de Control.</w:t>
      </w:r>
    </w:p>
    <w:p w14:paraId="31B27CA8" w14:textId="1B58F071" w:rsidR="007E3F9F" w:rsidRDefault="007E3F9F" w:rsidP="00C8221B">
      <w:pPr>
        <w:tabs>
          <w:tab w:val="left" w:pos="2325"/>
        </w:tabs>
        <w:spacing w:line="360" w:lineRule="auto"/>
        <w:jc w:val="both"/>
        <w:rPr>
          <w:rFonts w:ascii="Palatino Linotype" w:hAnsi="Palatino Linotype" w:cs="Tahoma"/>
          <w:bCs/>
          <w:iCs/>
          <w:sz w:val="22"/>
          <w:szCs w:val="22"/>
        </w:rPr>
      </w:pPr>
    </w:p>
    <w:p w14:paraId="710A8068" w14:textId="0DC1433B" w:rsidR="007E3F9F" w:rsidRPr="007E3F9F" w:rsidRDefault="007E3F9F" w:rsidP="007E3F9F">
      <w:pPr>
        <w:numPr>
          <w:ilvl w:val="0"/>
          <w:numId w:val="6"/>
        </w:numPr>
        <w:spacing w:after="160" w:line="360" w:lineRule="auto"/>
        <w:contextualSpacing/>
        <w:jc w:val="both"/>
        <w:rPr>
          <w:rFonts w:ascii="Palatino Linotype" w:hAnsi="Palatino Linotype" w:cs="Tahoma"/>
          <w:sz w:val="22"/>
          <w:szCs w:val="22"/>
        </w:rPr>
      </w:pPr>
      <w:r>
        <w:rPr>
          <w:rFonts w:ascii="Palatino Linotype" w:hAnsi="Palatino Linotype" w:cs="Tahoma"/>
          <w:b/>
          <w:sz w:val="22"/>
          <w:szCs w:val="22"/>
        </w:rPr>
        <w:t>Cuenta de redes sociales particulares</w:t>
      </w:r>
      <w:r w:rsidRPr="007E3F9F">
        <w:rPr>
          <w:rFonts w:ascii="Palatino Linotype" w:hAnsi="Palatino Linotype" w:cs="Tahoma"/>
          <w:b/>
          <w:sz w:val="22"/>
          <w:szCs w:val="22"/>
        </w:rPr>
        <w:t>.</w:t>
      </w:r>
    </w:p>
    <w:p w14:paraId="68530C0E" w14:textId="4A3CF4A4" w:rsidR="007E3F9F" w:rsidRDefault="007E3F9F" w:rsidP="00C8221B">
      <w:pPr>
        <w:tabs>
          <w:tab w:val="left" w:pos="2325"/>
        </w:tabs>
        <w:spacing w:line="360" w:lineRule="auto"/>
        <w:jc w:val="both"/>
        <w:rPr>
          <w:rFonts w:ascii="Palatino Linotype" w:hAnsi="Palatino Linotype" w:cs="Tahoma"/>
          <w:bCs/>
          <w:iCs/>
          <w:sz w:val="22"/>
          <w:szCs w:val="22"/>
        </w:rPr>
      </w:pPr>
    </w:p>
    <w:p w14:paraId="1F8218FD" w14:textId="56149D28" w:rsidR="007E3F9F" w:rsidRDefault="0063471E" w:rsidP="00C8221B">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Al respecto, conforme a la presentación del entonces Coordinador de Protección de Datos Personales del Instituto Nacional de Transparencia, Acceso a la Información y Protección de Datos Personales (consultada en </w:t>
      </w:r>
      <w:hyperlink r:id="rId11" w:history="1">
        <w:r w:rsidRPr="00296F75">
          <w:rPr>
            <w:rStyle w:val="Hipervnculo"/>
            <w:rFonts w:ascii="Palatino Linotype" w:hAnsi="Palatino Linotype" w:cs="Tahoma"/>
            <w:bCs/>
            <w:iCs/>
            <w:sz w:val="22"/>
            <w:szCs w:val="22"/>
          </w:rPr>
          <w:t>https://www.redipd.org/sites/default/files/inline-files/Panel_9_Redes_Sociales_y_PDP_ok-INAI.pdf</w:t>
        </w:r>
      </w:hyperlink>
      <w:r>
        <w:rPr>
          <w:rFonts w:ascii="Palatino Linotype" w:hAnsi="Palatino Linotype" w:cs="Tahoma"/>
          <w:bCs/>
          <w:iCs/>
          <w:sz w:val="22"/>
          <w:szCs w:val="22"/>
        </w:rPr>
        <w:t>), una red social es una estructura social formada por personas o entidades conectadas y unidas entre sí por algún tipo de relación o interés común.</w:t>
      </w:r>
    </w:p>
    <w:p w14:paraId="6FDDFD6E" w14:textId="3336E992" w:rsidR="00C808F2" w:rsidRDefault="00C808F2" w:rsidP="00C8221B">
      <w:pPr>
        <w:tabs>
          <w:tab w:val="left" w:pos="2325"/>
        </w:tabs>
        <w:spacing w:line="360" w:lineRule="auto"/>
        <w:jc w:val="both"/>
        <w:rPr>
          <w:rFonts w:ascii="Palatino Linotype" w:hAnsi="Palatino Linotype" w:cs="Tahoma"/>
          <w:bCs/>
          <w:iCs/>
          <w:sz w:val="22"/>
          <w:szCs w:val="22"/>
        </w:rPr>
      </w:pPr>
    </w:p>
    <w:p w14:paraId="5CAB4281" w14:textId="77777777" w:rsidR="00BD4AC9" w:rsidRDefault="00BD4AC9" w:rsidP="00C8221B">
      <w:pPr>
        <w:tabs>
          <w:tab w:val="left" w:pos="2325"/>
        </w:tabs>
        <w:spacing w:line="360" w:lineRule="auto"/>
        <w:jc w:val="both"/>
        <w:rPr>
          <w:rFonts w:ascii="Palatino Linotype" w:hAnsi="Palatino Linotype" w:cs="Tahoma"/>
          <w:bCs/>
          <w:iCs/>
          <w:sz w:val="22"/>
          <w:szCs w:val="22"/>
        </w:rPr>
      </w:pPr>
    </w:p>
    <w:p w14:paraId="7026B624" w14:textId="5756A30A" w:rsidR="00C808F2" w:rsidRDefault="00C808F2" w:rsidP="00C8221B">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 para poder utilizar una red social, una persona debe de generar un usuario, el cual lo realiza en su carácter de particular, con el fin de acceder al contenido de dichas redes; por lo que, se considera que las cuentas de red social destinadas a cuestiones particulares, corresponde a la vida privada de las personas.</w:t>
      </w:r>
    </w:p>
    <w:p w14:paraId="31B99113" w14:textId="77777777" w:rsidR="00EF4936" w:rsidRDefault="00EF4936" w:rsidP="00C8221B">
      <w:pPr>
        <w:tabs>
          <w:tab w:val="left" w:pos="2325"/>
        </w:tabs>
        <w:spacing w:line="360" w:lineRule="auto"/>
        <w:jc w:val="both"/>
        <w:rPr>
          <w:rFonts w:ascii="Palatino Linotype" w:hAnsi="Palatino Linotype" w:cs="Tahoma"/>
          <w:bCs/>
          <w:iCs/>
          <w:sz w:val="22"/>
          <w:szCs w:val="22"/>
        </w:rPr>
      </w:pPr>
    </w:p>
    <w:p w14:paraId="4D4F1BBB" w14:textId="1F560DA6" w:rsidR="00C808F2" w:rsidRPr="0063471E" w:rsidRDefault="00C808F2" w:rsidP="00C8221B">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Situación que toma relevancia, pues generar </w:t>
      </w:r>
      <w:r w:rsidR="000C553C">
        <w:rPr>
          <w:rFonts w:ascii="Palatino Linotype" w:hAnsi="Palatino Linotype" w:cs="Tahoma"/>
          <w:bCs/>
          <w:iCs/>
          <w:sz w:val="22"/>
          <w:szCs w:val="22"/>
        </w:rPr>
        <w:t xml:space="preserve">los usuarios en dichas plataformas, corresponde una un acto voluntario de las personas, para acceder a estas, lo cual corresponde a la vida íntima de las personas, pues dan cuenta de la decisión personal de pertenecer o formar parte de una red social, y, por lo tanto, actualiza la causal de clasificación establecida en el artículo 143, fracción I, de la Ley de Transparencia y Acceso a la Información Pública del Estado de México y Municipios. </w:t>
      </w:r>
    </w:p>
    <w:p w14:paraId="316CFFD8" w14:textId="77777777" w:rsidR="007E3F9F" w:rsidRDefault="007E3F9F" w:rsidP="00C8221B">
      <w:pPr>
        <w:tabs>
          <w:tab w:val="left" w:pos="2325"/>
        </w:tabs>
        <w:spacing w:line="360" w:lineRule="auto"/>
        <w:jc w:val="both"/>
        <w:rPr>
          <w:rFonts w:ascii="Palatino Linotype" w:hAnsi="Palatino Linotype" w:cs="Tahoma"/>
          <w:bCs/>
          <w:iCs/>
          <w:sz w:val="22"/>
          <w:szCs w:val="22"/>
        </w:rPr>
      </w:pPr>
    </w:p>
    <w:p w14:paraId="217F1260" w14:textId="77777777" w:rsidR="007E3F9F" w:rsidRPr="007E3F9F" w:rsidRDefault="007E3F9F" w:rsidP="007E3F9F">
      <w:pPr>
        <w:numPr>
          <w:ilvl w:val="0"/>
          <w:numId w:val="6"/>
        </w:numPr>
        <w:spacing w:after="160" w:line="360" w:lineRule="auto"/>
        <w:contextualSpacing/>
        <w:jc w:val="both"/>
        <w:rPr>
          <w:rFonts w:ascii="Palatino Linotype" w:eastAsia="Calibri" w:hAnsi="Palatino Linotype" w:cs="Tahoma"/>
          <w:b/>
          <w:bCs/>
          <w:sz w:val="22"/>
          <w:szCs w:val="22"/>
          <w:lang w:eastAsia="en-US"/>
        </w:rPr>
      </w:pPr>
      <w:r w:rsidRPr="007E3F9F">
        <w:rPr>
          <w:rFonts w:ascii="Palatino Linotype" w:eastAsia="Calibri" w:hAnsi="Palatino Linotype" w:cs="Tahoma"/>
          <w:b/>
          <w:bCs/>
          <w:sz w:val="22"/>
          <w:szCs w:val="22"/>
          <w:lang w:eastAsia="en-US"/>
        </w:rPr>
        <w:t>Domicilio particular y comprobante de domicilio.</w:t>
      </w:r>
    </w:p>
    <w:p w14:paraId="22F0BEB3" w14:textId="77777777" w:rsidR="007E3F9F" w:rsidRPr="007E3F9F" w:rsidRDefault="007E3F9F" w:rsidP="007E3F9F">
      <w:pPr>
        <w:spacing w:line="360" w:lineRule="auto"/>
        <w:ind w:left="720"/>
        <w:contextualSpacing/>
        <w:rPr>
          <w:rFonts w:ascii="Palatino Linotype" w:eastAsia="Calibri" w:hAnsi="Palatino Linotype" w:cs="Tahoma"/>
          <w:b/>
          <w:bCs/>
          <w:sz w:val="22"/>
          <w:szCs w:val="22"/>
          <w:lang w:eastAsia="en-US"/>
        </w:rPr>
      </w:pPr>
    </w:p>
    <w:p w14:paraId="08D099FE" w14:textId="77777777" w:rsidR="007E3F9F" w:rsidRPr="007E3F9F" w:rsidRDefault="007E3F9F" w:rsidP="007E3F9F">
      <w:pPr>
        <w:spacing w:line="360" w:lineRule="auto"/>
        <w:ind w:right="-93"/>
        <w:jc w:val="both"/>
        <w:rPr>
          <w:rFonts w:ascii="Palatino Linotype" w:hAnsi="Palatino Linotype" w:cs="Tahoma"/>
          <w:sz w:val="22"/>
          <w:szCs w:val="22"/>
          <w:lang w:val="es-ES"/>
        </w:rPr>
      </w:pPr>
      <w:r w:rsidRPr="007E3F9F">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5B06B42" w14:textId="77777777" w:rsidR="007E3F9F" w:rsidRPr="007E3F9F" w:rsidRDefault="007E3F9F" w:rsidP="007E3F9F">
      <w:pPr>
        <w:spacing w:line="360" w:lineRule="auto"/>
        <w:ind w:right="-93"/>
        <w:jc w:val="both"/>
        <w:rPr>
          <w:rFonts w:ascii="Palatino Linotype" w:hAnsi="Palatino Linotype" w:cs="Tahoma"/>
          <w:sz w:val="22"/>
          <w:szCs w:val="22"/>
          <w:lang w:val="es-ES"/>
        </w:rPr>
      </w:pPr>
    </w:p>
    <w:p w14:paraId="1C0F8F7B" w14:textId="77777777" w:rsidR="007E3F9F" w:rsidRPr="007E3F9F" w:rsidRDefault="007E3F9F" w:rsidP="007E3F9F">
      <w:pPr>
        <w:spacing w:line="360" w:lineRule="auto"/>
        <w:ind w:right="-93"/>
        <w:jc w:val="both"/>
        <w:rPr>
          <w:rFonts w:ascii="Palatino Linotype" w:hAnsi="Palatino Linotype" w:cs="Tahoma"/>
          <w:b/>
          <w:sz w:val="22"/>
          <w:szCs w:val="22"/>
          <w:lang w:val="es-ES"/>
        </w:rPr>
      </w:pPr>
      <w:r w:rsidRPr="007E3F9F">
        <w:rPr>
          <w:rFonts w:ascii="Palatino Linotype" w:hAnsi="Palatino Linotype" w:cs="Tahoma"/>
          <w:sz w:val="22"/>
          <w:szCs w:val="22"/>
          <w:lang w:val="es-ES"/>
        </w:rPr>
        <w:t>De la misma manera, lo establece el artículo 29 del Código Civil Federal, al precisar que el domicilio de personas físicas</w:t>
      </w:r>
      <w:r w:rsidRPr="007E3F9F">
        <w:rPr>
          <w:rFonts w:ascii="Palatino Linotype" w:hAnsi="Palatino Linotype" w:cs="Tahoma"/>
          <w:b/>
          <w:sz w:val="22"/>
          <w:szCs w:val="22"/>
          <w:lang w:val="es-ES"/>
        </w:rPr>
        <w:t>, es el lugar donde residen habitualmente, el lugar del centro principal de sus negocios, donde residan o el lugar donde se encuentren.</w:t>
      </w:r>
    </w:p>
    <w:p w14:paraId="1C00269F" w14:textId="77777777" w:rsidR="007E3F9F" w:rsidRPr="007E3F9F" w:rsidRDefault="007E3F9F" w:rsidP="007E3F9F">
      <w:pPr>
        <w:spacing w:line="360" w:lineRule="auto"/>
        <w:jc w:val="both"/>
        <w:rPr>
          <w:rFonts w:ascii="Palatino Linotype" w:eastAsia="Calibri" w:hAnsi="Palatino Linotype" w:cs="Tahoma"/>
          <w:b/>
          <w:bCs/>
          <w:szCs w:val="22"/>
          <w:lang w:eastAsia="en-US"/>
        </w:rPr>
      </w:pPr>
    </w:p>
    <w:p w14:paraId="4CD6596F" w14:textId="77777777" w:rsidR="007E3F9F" w:rsidRPr="007E3F9F" w:rsidRDefault="007E3F9F" w:rsidP="007E3F9F">
      <w:pPr>
        <w:spacing w:line="360" w:lineRule="auto"/>
        <w:ind w:right="-93"/>
        <w:jc w:val="both"/>
        <w:rPr>
          <w:rFonts w:ascii="Palatino Linotype" w:hAnsi="Palatino Linotype" w:cs="Tahoma"/>
          <w:sz w:val="22"/>
          <w:szCs w:val="22"/>
          <w:lang w:val="es-ES"/>
        </w:rPr>
      </w:pPr>
      <w:r w:rsidRPr="007E3F9F">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w:t>
      </w:r>
      <w:r w:rsidRPr="007E3F9F">
        <w:rPr>
          <w:rFonts w:ascii="Palatino Linotype" w:hAnsi="Palatino Linotype" w:cs="Tahoma"/>
          <w:sz w:val="22"/>
          <w:szCs w:val="22"/>
          <w:lang w:val="es-ES"/>
        </w:rPr>
        <w:lastRenderedPageBreak/>
        <w:t xml:space="preserve">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631CF97" w14:textId="77777777" w:rsidR="007E3F9F" w:rsidRPr="007E3F9F" w:rsidRDefault="007E3F9F" w:rsidP="007E3F9F">
      <w:pPr>
        <w:spacing w:line="360" w:lineRule="auto"/>
        <w:ind w:right="-93"/>
        <w:jc w:val="both"/>
        <w:rPr>
          <w:rFonts w:ascii="Palatino Linotype" w:hAnsi="Palatino Linotype" w:cs="Tahoma"/>
          <w:sz w:val="22"/>
          <w:szCs w:val="22"/>
          <w:lang w:val="es-ES"/>
        </w:rPr>
      </w:pPr>
    </w:p>
    <w:p w14:paraId="08EA8D2B" w14:textId="2457310B" w:rsidR="007E3F9F" w:rsidRPr="007E3F9F" w:rsidRDefault="007E3F9F" w:rsidP="007E3F9F">
      <w:pPr>
        <w:spacing w:line="360" w:lineRule="auto"/>
        <w:ind w:right="-93"/>
        <w:jc w:val="both"/>
        <w:rPr>
          <w:rFonts w:ascii="Palatino Linotype" w:hAnsi="Palatino Linotype" w:cs="Tahoma"/>
          <w:sz w:val="22"/>
          <w:szCs w:val="22"/>
          <w:lang w:val="es-ES"/>
        </w:rPr>
      </w:pPr>
      <w:r w:rsidRPr="007E3F9F">
        <w:rPr>
          <w:rFonts w:ascii="Palatino Linotype" w:hAnsi="Palatino Linotype" w:cs="Tahoma"/>
          <w:sz w:val="22"/>
          <w:szCs w:val="22"/>
          <w:lang w:val="es-ES"/>
        </w:rPr>
        <w:t xml:space="preserve">Por lo tanto, se actualiza la clasificación del domicilio </w:t>
      </w:r>
      <w:r>
        <w:rPr>
          <w:rFonts w:ascii="Palatino Linotype" w:hAnsi="Palatino Linotype" w:cs="Tahoma"/>
          <w:sz w:val="22"/>
          <w:szCs w:val="22"/>
          <w:lang w:val="es-ES"/>
        </w:rPr>
        <w:t>de la servidora pública</w:t>
      </w:r>
      <w:r w:rsidRPr="007E3F9F">
        <w:rPr>
          <w:rFonts w:ascii="Palatino Linotype" w:hAnsi="Palatino Linotype" w:cs="Tahoma"/>
          <w:sz w:val="22"/>
          <w:szCs w:val="22"/>
          <w:lang w:val="es-ES"/>
        </w:rPr>
        <w:t>, de conformidad con la fracción I, del artículo 143 de la Ley de Transparencia y Acceso a la Información Pública del Estado de México y Municipios.</w:t>
      </w:r>
    </w:p>
    <w:p w14:paraId="67AA5C7B" w14:textId="1B04B943" w:rsidR="007E3F9F" w:rsidRDefault="007E3F9F" w:rsidP="00C8221B">
      <w:pPr>
        <w:tabs>
          <w:tab w:val="left" w:pos="2325"/>
        </w:tabs>
        <w:spacing w:line="360" w:lineRule="auto"/>
        <w:jc w:val="both"/>
        <w:rPr>
          <w:rFonts w:ascii="Palatino Linotype" w:hAnsi="Palatino Linotype" w:cs="Tahoma"/>
          <w:bCs/>
          <w:iCs/>
          <w:sz w:val="22"/>
          <w:szCs w:val="22"/>
        </w:rPr>
      </w:pPr>
    </w:p>
    <w:p w14:paraId="6354F203" w14:textId="77777777" w:rsidR="007E3F9F" w:rsidRPr="007E3F9F" w:rsidRDefault="007E3F9F" w:rsidP="007E3F9F">
      <w:pPr>
        <w:numPr>
          <w:ilvl w:val="0"/>
          <w:numId w:val="6"/>
        </w:numPr>
        <w:spacing w:after="160" w:line="360" w:lineRule="auto"/>
        <w:contextualSpacing/>
        <w:jc w:val="both"/>
        <w:rPr>
          <w:rFonts w:ascii="Palatino Linotype" w:eastAsia="Calibri" w:hAnsi="Palatino Linotype" w:cs="Tahoma"/>
          <w:b/>
          <w:bCs/>
          <w:sz w:val="22"/>
          <w:szCs w:val="22"/>
          <w:lang w:eastAsia="en-US"/>
        </w:rPr>
      </w:pPr>
      <w:r w:rsidRPr="007E3F9F">
        <w:rPr>
          <w:rFonts w:ascii="Palatino Linotype" w:eastAsia="Calibri" w:hAnsi="Palatino Linotype" w:cs="Tahoma"/>
          <w:b/>
          <w:bCs/>
          <w:sz w:val="22"/>
          <w:szCs w:val="22"/>
          <w:lang w:eastAsia="en-US"/>
        </w:rPr>
        <w:t>Fecha de nacimiento.</w:t>
      </w:r>
    </w:p>
    <w:p w14:paraId="4CD53C2D" w14:textId="77777777" w:rsidR="007E3F9F" w:rsidRPr="007E3F9F" w:rsidRDefault="007E3F9F" w:rsidP="007E3F9F">
      <w:pPr>
        <w:spacing w:line="360" w:lineRule="auto"/>
        <w:jc w:val="both"/>
        <w:rPr>
          <w:rFonts w:ascii="Palatino Linotype" w:eastAsia="Calibri" w:hAnsi="Palatino Linotype" w:cs="Tahoma"/>
          <w:b/>
          <w:bCs/>
          <w:sz w:val="22"/>
          <w:szCs w:val="22"/>
          <w:lang w:eastAsia="en-US"/>
        </w:rPr>
      </w:pPr>
    </w:p>
    <w:p w14:paraId="2B726816" w14:textId="50E4F8FB" w:rsidR="007E3F9F" w:rsidRPr="007E3F9F" w:rsidRDefault="007E3F9F" w:rsidP="007E3F9F">
      <w:pPr>
        <w:spacing w:line="360" w:lineRule="auto"/>
        <w:jc w:val="both"/>
        <w:rPr>
          <w:rFonts w:ascii="Palatino Linotype" w:eastAsia="Calibri" w:hAnsi="Palatino Linotype" w:cs="Tahoma"/>
          <w:bCs/>
          <w:sz w:val="22"/>
          <w:szCs w:val="22"/>
          <w:lang w:val="es-ES_tradnl" w:eastAsia="en-US"/>
        </w:rPr>
      </w:pPr>
      <w:r w:rsidRPr="007E3F9F">
        <w:rPr>
          <w:rFonts w:ascii="Palatino Linotype" w:eastAsia="Calibri" w:hAnsi="Palatino Linotype" w:cs="Tahoma"/>
          <w:bCs/>
          <w:sz w:val="22"/>
          <w:szCs w:val="22"/>
          <w:lang w:val="es-ES_tradnl" w:eastAsia="en-US"/>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5F0FD062" w14:textId="77777777" w:rsidR="007E3F9F" w:rsidRPr="007E3F9F" w:rsidRDefault="007E3F9F" w:rsidP="007E3F9F">
      <w:pPr>
        <w:spacing w:line="360" w:lineRule="auto"/>
        <w:jc w:val="both"/>
        <w:rPr>
          <w:rFonts w:ascii="Palatino Linotype" w:eastAsia="Calibri" w:hAnsi="Palatino Linotype" w:cs="Tahoma"/>
          <w:bCs/>
          <w:sz w:val="22"/>
          <w:szCs w:val="22"/>
          <w:lang w:val="es-ES_tradnl" w:eastAsia="en-US"/>
        </w:rPr>
      </w:pPr>
    </w:p>
    <w:p w14:paraId="7CBA28DF" w14:textId="77777777" w:rsidR="007E3F9F" w:rsidRPr="007E3F9F" w:rsidRDefault="007E3F9F" w:rsidP="007E3F9F">
      <w:pPr>
        <w:spacing w:line="360" w:lineRule="auto"/>
        <w:jc w:val="both"/>
        <w:rPr>
          <w:rFonts w:ascii="Palatino Linotype" w:eastAsia="Calibri" w:hAnsi="Palatino Linotype" w:cs="Tahoma"/>
          <w:bCs/>
          <w:sz w:val="22"/>
          <w:szCs w:val="22"/>
          <w:lang w:val="es-ES_tradnl" w:eastAsia="en-US"/>
        </w:rPr>
      </w:pPr>
      <w:r w:rsidRPr="007E3F9F">
        <w:rPr>
          <w:rFonts w:ascii="Palatino Linotype" w:eastAsia="Calibri" w:hAnsi="Palatino Linotype" w:cs="Tahoma"/>
          <w:bCs/>
          <w:sz w:val="22"/>
          <w:szCs w:val="22"/>
          <w:lang w:val="es-ES_tradnl" w:eastAsia="en-US"/>
        </w:rPr>
        <w:t xml:space="preserve"> 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1F43FCC9" w14:textId="0CC0AE0F" w:rsidR="007E3F9F" w:rsidRDefault="007E3F9F" w:rsidP="00C8221B">
      <w:pPr>
        <w:tabs>
          <w:tab w:val="left" w:pos="2325"/>
        </w:tabs>
        <w:spacing w:line="360" w:lineRule="auto"/>
        <w:jc w:val="both"/>
        <w:rPr>
          <w:rFonts w:ascii="Palatino Linotype" w:hAnsi="Palatino Linotype" w:cs="Tahoma"/>
          <w:bCs/>
          <w:iCs/>
          <w:sz w:val="22"/>
          <w:szCs w:val="22"/>
        </w:rPr>
      </w:pPr>
    </w:p>
    <w:p w14:paraId="7028730D" w14:textId="77777777" w:rsidR="007E3F9F" w:rsidRPr="007E3F9F" w:rsidRDefault="007E3F9F" w:rsidP="007E3F9F">
      <w:pPr>
        <w:numPr>
          <w:ilvl w:val="0"/>
          <w:numId w:val="6"/>
        </w:numPr>
        <w:tabs>
          <w:tab w:val="left" w:pos="2325"/>
        </w:tabs>
        <w:spacing w:line="360" w:lineRule="auto"/>
        <w:jc w:val="both"/>
        <w:rPr>
          <w:rFonts w:ascii="Palatino Linotype" w:hAnsi="Palatino Linotype" w:cs="Tahoma"/>
          <w:b/>
          <w:bCs/>
          <w:iCs/>
          <w:sz w:val="22"/>
          <w:szCs w:val="22"/>
        </w:rPr>
      </w:pPr>
      <w:r w:rsidRPr="007E3F9F">
        <w:rPr>
          <w:rFonts w:ascii="Palatino Linotype" w:hAnsi="Palatino Linotype" w:cs="Tahoma"/>
          <w:b/>
          <w:bCs/>
          <w:iCs/>
          <w:sz w:val="22"/>
          <w:szCs w:val="22"/>
        </w:rPr>
        <w:t>Estado civil.</w:t>
      </w:r>
    </w:p>
    <w:p w14:paraId="5AD2AE76" w14:textId="77777777" w:rsidR="007E3F9F" w:rsidRPr="007E3F9F" w:rsidRDefault="007E3F9F" w:rsidP="007E3F9F">
      <w:pPr>
        <w:tabs>
          <w:tab w:val="left" w:pos="2325"/>
        </w:tabs>
        <w:spacing w:line="360" w:lineRule="auto"/>
        <w:jc w:val="both"/>
        <w:rPr>
          <w:rFonts w:ascii="Palatino Linotype" w:hAnsi="Palatino Linotype" w:cs="Tahoma"/>
          <w:b/>
          <w:bCs/>
          <w:iCs/>
          <w:sz w:val="22"/>
          <w:szCs w:val="22"/>
        </w:rPr>
      </w:pPr>
    </w:p>
    <w:p w14:paraId="5F7BBEB4" w14:textId="77777777" w:rsidR="007E3F9F" w:rsidRPr="007E3F9F" w:rsidRDefault="007E3F9F" w:rsidP="007E3F9F">
      <w:pPr>
        <w:tabs>
          <w:tab w:val="left" w:pos="2325"/>
        </w:tabs>
        <w:spacing w:line="360" w:lineRule="auto"/>
        <w:jc w:val="both"/>
        <w:rPr>
          <w:rFonts w:ascii="Palatino Linotype" w:hAnsi="Palatino Linotype" w:cs="Tahoma"/>
          <w:bCs/>
          <w:iCs/>
          <w:sz w:val="22"/>
          <w:szCs w:val="22"/>
          <w:lang w:val="es-ES"/>
        </w:rPr>
      </w:pPr>
      <w:r w:rsidRPr="007E3F9F">
        <w:rPr>
          <w:rFonts w:ascii="Palatino Linotype" w:hAnsi="Palatino Linotype" w:cs="Tahoma"/>
          <w:bCs/>
          <w:iCs/>
          <w:sz w:val="22"/>
          <w:szCs w:val="22"/>
          <w:lang w:val="es-ES"/>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w:t>
      </w:r>
      <w:r w:rsidRPr="007E3F9F">
        <w:rPr>
          <w:rFonts w:ascii="Palatino Linotype" w:hAnsi="Palatino Linotype" w:cs="Tahoma"/>
          <w:bCs/>
          <w:iCs/>
          <w:sz w:val="22"/>
          <w:szCs w:val="22"/>
          <w:lang w:val="es-ES"/>
        </w:rPr>
        <w:lastRenderedPageBreak/>
        <w:t>la vida privada, ya que, para acceder a un cargo público, el estado civil de las personas es irrelevante, ya que tener uno u otro no influye en el mejor o menor desempeño de un cargo público.</w:t>
      </w:r>
    </w:p>
    <w:p w14:paraId="294FF76D" w14:textId="77777777" w:rsidR="007E3F9F" w:rsidRPr="007E3F9F" w:rsidRDefault="007E3F9F" w:rsidP="007E3F9F">
      <w:pPr>
        <w:tabs>
          <w:tab w:val="left" w:pos="2325"/>
        </w:tabs>
        <w:spacing w:line="360" w:lineRule="auto"/>
        <w:jc w:val="both"/>
        <w:rPr>
          <w:rFonts w:ascii="Palatino Linotype" w:hAnsi="Palatino Linotype" w:cs="Tahoma"/>
          <w:bCs/>
          <w:iCs/>
          <w:sz w:val="22"/>
          <w:szCs w:val="22"/>
          <w:lang w:val="es-ES"/>
        </w:rPr>
      </w:pPr>
    </w:p>
    <w:p w14:paraId="7BD3E9FC" w14:textId="77777777" w:rsidR="007E3F9F" w:rsidRPr="007E3F9F" w:rsidRDefault="007E3F9F" w:rsidP="007E3F9F">
      <w:pPr>
        <w:tabs>
          <w:tab w:val="left" w:pos="2325"/>
        </w:tabs>
        <w:spacing w:line="360" w:lineRule="auto"/>
        <w:jc w:val="both"/>
        <w:rPr>
          <w:rFonts w:ascii="Palatino Linotype" w:hAnsi="Palatino Linotype" w:cs="Tahoma"/>
          <w:bCs/>
          <w:iCs/>
          <w:sz w:val="22"/>
          <w:szCs w:val="22"/>
          <w:lang w:val="es-ES"/>
        </w:rPr>
      </w:pPr>
      <w:r w:rsidRPr="007E3F9F">
        <w:rPr>
          <w:rFonts w:ascii="Palatino Linotype" w:hAnsi="Palatino Linotype" w:cs="Tahoma"/>
          <w:bCs/>
          <w:iCs/>
          <w:sz w:val="22"/>
          <w:szCs w:val="22"/>
          <w:lang w:val="es-E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56E21E5C" w14:textId="77777777" w:rsidR="007E3F9F" w:rsidRDefault="007E3F9F" w:rsidP="00C8221B">
      <w:pPr>
        <w:tabs>
          <w:tab w:val="left" w:pos="2325"/>
        </w:tabs>
        <w:spacing w:line="360" w:lineRule="auto"/>
        <w:jc w:val="both"/>
        <w:rPr>
          <w:rFonts w:ascii="Palatino Linotype" w:hAnsi="Palatino Linotype" w:cs="Tahoma"/>
          <w:bCs/>
          <w:iCs/>
          <w:sz w:val="22"/>
          <w:szCs w:val="22"/>
        </w:rPr>
      </w:pPr>
    </w:p>
    <w:p w14:paraId="30F203C8" w14:textId="7C072B09" w:rsidR="00EF4936" w:rsidRPr="001552E2" w:rsidRDefault="00EF4936" w:rsidP="00EF4936">
      <w:pPr>
        <w:tabs>
          <w:tab w:val="left" w:pos="3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resulta procedente la clasificación de los datos testados en los </w:t>
      </w:r>
      <w:r>
        <w:rPr>
          <w:rFonts w:ascii="Palatino Linotype" w:eastAsia="Calibri" w:hAnsi="Palatino Linotype" w:cs="Tahoma"/>
          <w:bCs/>
          <w:i/>
          <w:iCs/>
          <w:sz w:val="22"/>
          <w:szCs w:val="22"/>
          <w:lang w:eastAsia="en-US"/>
        </w:rPr>
        <w:t xml:space="preserve">currículums vitae </w:t>
      </w:r>
      <w:r>
        <w:rPr>
          <w:rFonts w:ascii="Palatino Linotype" w:eastAsia="Calibri" w:hAnsi="Palatino Linotype" w:cs="Tahoma"/>
          <w:bCs/>
          <w:sz w:val="22"/>
          <w:szCs w:val="22"/>
          <w:lang w:eastAsia="en-US"/>
        </w:rPr>
        <w:t>entregados; sobre dicha situación</w:t>
      </w:r>
      <w:r w:rsidRPr="0038442A">
        <w:rPr>
          <w:rFonts w:ascii="Palatino Linotype" w:eastAsia="Calibri" w:hAnsi="Palatino Linotype" w:cs="Tahoma"/>
          <w:bCs/>
          <w:sz w:val="22"/>
          <w:szCs w:val="22"/>
          <w:lang w:eastAsia="en-US"/>
        </w:rPr>
        <w:t xml:space="preserve">, debe traerse a colación lo dispuesto en </w:t>
      </w:r>
      <w:r>
        <w:rPr>
          <w:rFonts w:ascii="Palatino Linotype" w:eastAsia="Calibri" w:hAnsi="Palatino Linotype" w:cs="Tahoma"/>
          <w:bCs/>
          <w:sz w:val="22"/>
          <w:szCs w:val="22"/>
          <w:lang w:eastAsia="en-US"/>
        </w:rPr>
        <w:t>el artículo 168 de la Ley de Transparencia y Acceso a la Información Pública del Estado de México y Municipios, que precisa que</w:t>
      </w:r>
      <w:r w:rsidRPr="001552E2">
        <w:rPr>
          <w:rFonts w:ascii="Arial" w:eastAsiaTheme="minorHAnsi" w:hAnsi="Arial" w:cs="Arial"/>
          <w:sz w:val="24"/>
          <w:szCs w:val="24"/>
          <w:lang w:eastAsia="es-MX"/>
        </w:rPr>
        <w:t xml:space="preserve"> </w:t>
      </w:r>
      <w:r w:rsidRPr="001552E2">
        <w:rPr>
          <w:rFonts w:ascii="Palatino Linotype" w:eastAsia="Calibri" w:hAnsi="Palatino Linotype" w:cs="Tahoma"/>
          <w:bCs/>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4F87ED51" w14:textId="77777777" w:rsidR="00EF4936" w:rsidRPr="001552E2" w:rsidRDefault="00EF4936" w:rsidP="00EF4936">
      <w:pPr>
        <w:tabs>
          <w:tab w:val="left" w:pos="3962"/>
        </w:tabs>
        <w:spacing w:line="360" w:lineRule="auto"/>
        <w:jc w:val="both"/>
        <w:rPr>
          <w:rFonts w:ascii="Palatino Linotype" w:eastAsia="Calibri" w:hAnsi="Palatino Linotype" w:cs="Tahoma"/>
          <w:bCs/>
          <w:sz w:val="22"/>
          <w:szCs w:val="22"/>
          <w:lang w:eastAsia="en-US"/>
        </w:rPr>
      </w:pPr>
    </w:p>
    <w:p w14:paraId="2CA81837" w14:textId="77777777" w:rsidR="00EF4936" w:rsidRPr="001552E2" w:rsidRDefault="00EF4936" w:rsidP="00EF4936">
      <w:pPr>
        <w:pStyle w:val="Prrafodelista"/>
        <w:numPr>
          <w:ilvl w:val="0"/>
          <w:numId w:val="34"/>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Confirmar la clasificación;</w:t>
      </w:r>
    </w:p>
    <w:p w14:paraId="47B5BD03" w14:textId="77777777" w:rsidR="00EF4936" w:rsidRPr="001552E2" w:rsidRDefault="00EF4936" w:rsidP="00EF4936">
      <w:pPr>
        <w:tabs>
          <w:tab w:val="left" w:pos="3962"/>
        </w:tabs>
        <w:spacing w:line="360" w:lineRule="auto"/>
        <w:jc w:val="both"/>
        <w:rPr>
          <w:rFonts w:ascii="Palatino Linotype" w:eastAsia="Calibri" w:hAnsi="Palatino Linotype" w:cs="Tahoma"/>
          <w:bCs/>
          <w:sz w:val="22"/>
          <w:szCs w:val="22"/>
          <w:lang w:eastAsia="en-US"/>
        </w:rPr>
      </w:pPr>
    </w:p>
    <w:p w14:paraId="2220FD6D" w14:textId="77777777" w:rsidR="00EF4936" w:rsidRPr="001552E2" w:rsidRDefault="00EF4936" w:rsidP="00EF4936">
      <w:pPr>
        <w:pStyle w:val="Prrafodelista"/>
        <w:numPr>
          <w:ilvl w:val="0"/>
          <w:numId w:val="34"/>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Modificar la clasificación y, otorgar total o parcialmente el acceso a la información, o</w:t>
      </w:r>
    </w:p>
    <w:p w14:paraId="66A6F033" w14:textId="77777777" w:rsidR="00EF4936" w:rsidRPr="001552E2" w:rsidRDefault="00EF4936" w:rsidP="00EF4936">
      <w:pPr>
        <w:tabs>
          <w:tab w:val="left" w:pos="3962"/>
        </w:tabs>
        <w:spacing w:line="360" w:lineRule="auto"/>
        <w:jc w:val="both"/>
        <w:rPr>
          <w:rFonts w:ascii="Palatino Linotype" w:eastAsia="Calibri" w:hAnsi="Palatino Linotype" w:cs="Tahoma"/>
          <w:bCs/>
          <w:sz w:val="22"/>
          <w:szCs w:val="22"/>
          <w:lang w:eastAsia="en-US"/>
        </w:rPr>
      </w:pPr>
    </w:p>
    <w:p w14:paraId="2D59B7CF" w14:textId="77777777" w:rsidR="00EF4936" w:rsidRPr="001552E2" w:rsidRDefault="00EF4936" w:rsidP="00EF4936">
      <w:pPr>
        <w:pStyle w:val="Prrafodelista"/>
        <w:numPr>
          <w:ilvl w:val="0"/>
          <w:numId w:val="34"/>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Revocar la clasificación y conceder el acceso a la información.</w:t>
      </w:r>
    </w:p>
    <w:p w14:paraId="65ED4D86" w14:textId="77777777" w:rsidR="00EF4936" w:rsidRPr="001552E2" w:rsidRDefault="00EF4936" w:rsidP="00EF4936">
      <w:pPr>
        <w:tabs>
          <w:tab w:val="left" w:pos="3962"/>
        </w:tabs>
        <w:spacing w:line="360" w:lineRule="auto"/>
        <w:jc w:val="both"/>
        <w:rPr>
          <w:rFonts w:ascii="Palatino Linotype" w:eastAsia="Calibri" w:hAnsi="Palatino Linotype" w:cs="Tahoma"/>
          <w:bCs/>
          <w:sz w:val="22"/>
          <w:szCs w:val="22"/>
          <w:lang w:eastAsia="en-US"/>
        </w:rPr>
      </w:pPr>
    </w:p>
    <w:p w14:paraId="5BC3F8E7" w14:textId="4865586B" w:rsidR="00EF4936" w:rsidRPr="00EF4936" w:rsidRDefault="00EF4936" w:rsidP="00EF4936">
      <w:pPr>
        <w:tabs>
          <w:tab w:val="left" w:pos="3962"/>
        </w:tabs>
        <w:spacing w:line="360" w:lineRule="auto"/>
        <w:jc w:val="both"/>
        <w:rPr>
          <w:rFonts w:ascii="Palatino Linotype" w:eastAsia="Calibri" w:hAnsi="Palatino Linotype" w:cs="Tahoma"/>
          <w:b/>
          <w:sz w:val="22"/>
          <w:szCs w:val="22"/>
          <w:lang w:eastAsia="en-US"/>
        </w:rPr>
      </w:pPr>
      <w:r w:rsidRPr="001552E2">
        <w:rPr>
          <w:rFonts w:ascii="Palatino Linotype" w:eastAsia="Calibri" w:hAnsi="Palatino Linotype" w:cs="Tahoma"/>
          <w:bCs/>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w:t>
      </w:r>
      <w:r w:rsidRPr="001552E2">
        <w:rPr>
          <w:rFonts w:ascii="Palatino Linotype" w:eastAsia="Calibri" w:hAnsi="Palatino Linotype" w:cs="Tahoma"/>
          <w:bCs/>
          <w:sz w:val="22"/>
          <w:szCs w:val="22"/>
          <w:lang w:eastAsia="en-US"/>
        </w:rPr>
        <w:lastRenderedPageBreak/>
        <w:t>fundamento</w:t>
      </w:r>
      <w:r>
        <w:rPr>
          <w:rFonts w:ascii="Palatino Linotype" w:eastAsia="Calibri" w:hAnsi="Palatino Linotype" w:cs="Tahoma"/>
          <w:bCs/>
          <w:sz w:val="22"/>
          <w:szCs w:val="22"/>
          <w:lang w:eastAsia="en-US"/>
        </w:rPr>
        <w:t xml:space="preserve">; lo que en el presente caso no sucedió por no se entregó el Acuerdo de Clasificación respectivo, lo cual da como resultado que el agravio sea </w:t>
      </w:r>
      <w:r>
        <w:rPr>
          <w:rFonts w:ascii="Palatino Linotype" w:eastAsia="Calibri" w:hAnsi="Palatino Linotype" w:cs="Tahoma"/>
          <w:b/>
          <w:sz w:val="22"/>
          <w:szCs w:val="22"/>
          <w:lang w:eastAsia="en-US"/>
        </w:rPr>
        <w:t>PARCIALMENTE FUNDADO.</w:t>
      </w:r>
    </w:p>
    <w:p w14:paraId="08308CFD" w14:textId="77777777" w:rsidR="00EF4936" w:rsidRPr="001552E2" w:rsidRDefault="00EF4936" w:rsidP="00EF4936">
      <w:pPr>
        <w:tabs>
          <w:tab w:val="left" w:pos="3962"/>
        </w:tabs>
        <w:spacing w:line="360" w:lineRule="auto"/>
        <w:jc w:val="both"/>
        <w:rPr>
          <w:rFonts w:ascii="Palatino Linotype" w:eastAsia="Calibri" w:hAnsi="Palatino Linotype" w:cs="Tahoma"/>
          <w:bCs/>
          <w:sz w:val="22"/>
          <w:szCs w:val="22"/>
          <w:lang w:val="es-ES" w:eastAsia="en-US"/>
        </w:rPr>
      </w:pPr>
    </w:p>
    <w:p w14:paraId="499D7BEF" w14:textId="00A6699E" w:rsidR="00EF4936" w:rsidRPr="00EF4936" w:rsidRDefault="00EF4936" w:rsidP="00EF4936">
      <w:pPr>
        <w:tabs>
          <w:tab w:val="left" w:pos="3962"/>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Conforme a lo anterior, se considera que, para atender el requerimiento de información, el Sujeto Obligado deberá seguir el procedimiento establecido en el artículo 168 de la Ley </w:t>
      </w:r>
      <w:r w:rsidRPr="00FB0F48">
        <w:rPr>
          <w:rFonts w:ascii="Palatino Linotype" w:eastAsia="Calibri" w:hAnsi="Palatino Linotype" w:cs="Tahoma"/>
          <w:bCs/>
          <w:sz w:val="22"/>
          <w:szCs w:val="22"/>
          <w:lang w:eastAsia="en-US"/>
        </w:rPr>
        <w:t>de Transparencia y Acceso a la Información Pública del Estado de México y Municipios</w:t>
      </w:r>
      <w:r>
        <w:rPr>
          <w:rFonts w:ascii="Palatino Linotype" w:eastAsia="Calibri" w:hAnsi="Palatino Linotype" w:cs="Tahoma"/>
          <w:bCs/>
          <w:sz w:val="22"/>
          <w:szCs w:val="22"/>
          <w:lang w:eastAsia="en-US"/>
        </w:rPr>
        <w:t xml:space="preserve"> y proporcionar el Acuerdo emitido por el Comité de Transparencia, donde confirmé la clasificación de los datos testados en los </w:t>
      </w:r>
      <w:r>
        <w:rPr>
          <w:rFonts w:ascii="Palatino Linotype" w:eastAsia="Calibri" w:hAnsi="Palatino Linotype" w:cs="Tahoma"/>
          <w:bCs/>
          <w:i/>
          <w:iCs/>
          <w:sz w:val="22"/>
          <w:szCs w:val="22"/>
          <w:lang w:eastAsia="en-US"/>
        </w:rPr>
        <w:t xml:space="preserve">currículums vitae </w:t>
      </w:r>
      <w:r>
        <w:rPr>
          <w:rFonts w:ascii="Palatino Linotype" w:eastAsia="Calibri" w:hAnsi="Palatino Linotype" w:cs="Tahoma"/>
          <w:bCs/>
          <w:sz w:val="22"/>
          <w:szCs w:val="22"/>
          <w:lang w:eastAsia="en-US"/>
        </w:rPr>
        <w:t>entregados en respuesta.</w:t>
      </w:r>
    </w:p>
    <w:p w14:paraId="44223245" w14:textId="7F5F2758" w:rsidR="00C8221B" w:rsidRDefault="00C8221B" w:rsidP="00C8221B">
      <w:pPr>
        <w:spacing w:line="360" w:lineRule="auto"/>
        <w:jc w:val="both"/>
        <w:rPr>
          <w:rFonts w:ascii="Palatino Linotype" w:hAnsi="Palatino Linotype"/>
          <w:color w:val="000000" w:themeColor="text1"/>
          <w:sz w:val="22"/>
          <w:szCs w:val="22"/>
          <w:lang w:val="es-ES"/>
        </w:rPr>
      </w:pPr>
    </w:p>
    <w:p w14:paraId="3B5A733C" w14:textId="77777777" w:rsidR="00EF4936" w:rsidRPr="0050069E" w:rsidRDefault="00EF4936" w:rsidP="00EF4936">
      <w:pPr>
        <w:spacing w:line="360" w:lineRule="auto"/>
        <w:jc w:val="both"/>
        <w:rPr>
          <w:rFonts w:ascii="Palatino Linotype" w:hAnsi="Palatino Linotype" w:cs="Tahoma"/>
          <w:color w:val="000000" w:themeColor="text1"/>
          <w:sz w:val="22"/>
          <w:szCs w:val="22"/>
        </w:rPr>
      </w:pPr>
      <w:r w:rsidRPr="0050069E">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50069E">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18039B31" w14:textId="77777777" w:rsidR="00EF4936" w:rsidRPr="0050069E" w:rsidRDefault="00EF4936" w:rsidP="00EF4936">
      <w:pPr>
        <w:spacing w:line="360" w:lineRule="auto"/>
        <w:ind w:right="-93"/>
        <w:jc w:val="both"/>
        <w:rPr>
          <w:rFonts w:ascii="Palatino Linotype" w:hAnsi="Palatino Linotype" w:cs="Tahoma"/>
          <w:color w:val="000000" w:themeColor="text1"/>
          <w:sz w:val="22"/>
          <w:szCs w:val="22"/>
        </w:rPr>
      </w:pPr>
    </w:p>
    <w:p w14:paraId="5D656AD6" w14:textId="77777777" w:rsidR="00EF4936" w:rsidRPr="0050069E" w:rsidRDefault="00EF4936" w:rsidP="00EF4936">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 xml:space="preserve">En ese sentido, de conformidad con lo previsto en el artículo 222, fracción III, de dicho ordenamiento, son causas de sanción por incumplimiento de las obligaciones establecida en la Ley de la materia, entre otras conductas, el actuar con negligencia, dolo o mala fe en la </w:t>
      </w:r>
      <w:r>
        <w:rPr>
          <w:rFonts w:ascii="Palatino Linotype" w:eastAsia="Calibri" w:hAnsi="Palatino Linotype" w:cs="Tahoma"/>
          <w:bCs/>
          <w:color w:val="000000" w:themeColor="text1"/>
          <w:sz w:val="22"/>
          <w:szCs w:val="22"/>
          <w:lang w:eastAsia="en-US"/>
        </w:rPr>
        <w:t>clasificación y desclasificación de la información</w:t>
      </w:r>
      <w:r w:rsidRPr="0050069E">
        <w:rPr>
          <w:rFonts w:ascii="Palatino Linotype" w:eastAsia="Calibri" w:hAnsi="Palatino Linotype" w:cs="Tahoma"/>
          <w:bCs/>
          <w:color w:val="000000" w:themeColor="text1"/>
          <w:sz w:val="22"/>
          <w:szCs w:val="22"/>
          <w:lang w:eastAsia="en-US"/>
        </w:rPr>
        <w:t>.</w:t>
      </w:r>
    </w:p>
    <w:p w14:paraId="16C06AE3" w14:textId="77777777" w:rsidR="00EF4936" w:rsidRPr="0050069E" w:rsidRDefault="00EF4936" w:rsidP="00EF4936">
      <w:pPr>
        <w:spacing w:line="360" w:lineRule="auto"/>
        <w:ind w:right="-93"/>
        <w:jc w:val="both"/>
        <w:rPr>
          <w:rFonts w:ascii="Palatino Linotype" w:eastAsia="Calibri" w:hAnsi="Palatino Linotype" w:cs="Tahoma"/>
          <w:bCs/>
          <w:color w:val="000000" w:themeColor="text1"/>
          <w:sz w:val="22"/>
          <w:szCs w:val="22"/>
          <w:lang w:eastAsia="en-US"/>
        </w:rPr>
      </w:pPr>
    </w:p>
    <w:p w14:paraId="6ED14374" w14:textId="77777777" w:rsidR="00EF4936" w:rsidRPr="0050069E" w:rsidRDefault="00EF4936" w:rsidP="00EF4936">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D15B3CC" w14:textId="77777777" w:rsidR="00EF4936" w:rsidRPr="0050069E" w:rsidRDefault="00EF4936" w:rsidP="00EF4936">
      <w:pPr>
        <w:spacing w:line="360" w:lineRule="auto"/>
        <w:jc w:val="both"/>
        <w:rPr>
          <w:rFonts w:ascii="Palatino Linotype" w:hAnsi="Palatino Linotype"/>
          <w:color w:val="000000" w:themeColor="text1"/>
          <w:sz w:val="22"/>
          <w:szCs w:val="22"/>
          <w:lang w:val="es-ES"/>
        </w:rPr>
      </w:pPr>
    </w:p>
    <w:p w14:paraId="749F8048" w14:textId="6AD36E60" w:rsidR="00EF4936" w:rsidRPr="0050069E" w:rsidRDefault="00EF4936" w:rsidP="00EF4936">
      <w:pPr>
        <w:spacing w:line="360" w:lineRule="auto"/>
        <w:jc w:val="both"/>
        <w:rPr>
          <w:rFonts w:ascii="Palatino Linotype" w:hAnsi="Palatino Linotype"/>
          <w:color w:val="000000" w:themeColor="text1"/>
          <w:sz w:val="22"/>
          <w:szCs w:val="22"/>
          <w:lang w:val="es-ES"/>
        </w:rPr>
      </w:pPr>
      <w:r w:rsidRPr="0050069E">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w:t>
      </w:r>
      <w:r>
        <w:rPr>
          <w:rFonts w:ascii="Palatino Linotype" w:hAnsi="Palatino Linotype"/>
          <w:color w:val="000000" w:themeColor="text1"/>
          <w:sz w:val="22"/>
          <w:szCs w:val="22"/>
          <w:lang w:val="es-ES"/>
        </w:rPr>
        <w:t>al clasificar la información</w:t>
      </w:r>
      <w:r w:rsidRPr="0050069E">
        <w:rPr>
          <w:rFonts w:ascii="Palatino Linotype" w:hAnsi="Palatino Linotype"/>
          <w:color w:val="000000" w:themeColor="text1"/>
          <w:sz w:val="22"/>
          <w:szCs w:val="22"/>
          <w:lang w:val="es-ES"/>
        </w:rPr>
        <w:t xml:space="preserve">, pues </w:t>
      </w:r>
      <w:r>
        <w:rPr>
          <w:rFonts w:ascii="Palatino Linotype" w:hAnsi="Palatino Linotype"/>
          <w:color w:val="000000" w:themeColor="text1"/>
          <w:sz w:val="22"/>
          <w:szCs w:val="22"/>
          <w:lang w:val="es-ES"/>
        </w:rPr>
        <w:t>desde respuesta proporcionó la información que da cuenta de lo solicitado</w:t>
      </w:r>
      <w:r w:rsidRPr="0050069E">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w:t>
      </w:r>
      <w:r>
        <w:rPr>
          <w:rFonts w:ascii="Palatino Linotype" w:hAnsi="Palatino Linotype"/>
          <w:color w:val="000000" w:themeColor="text1"/>
          <w:sz w:val="22"/>
          <w:szCs w:val="22"/>
          <w:lang w:val="es-ES"/>
        </w:rPr>
        <w:t xml:space="preserve">el Órgano Interno de Control del </w:t>
      </w:r>
      <w:r w:rsidRPr="00512AF8">
        <w:rPr>
          <w:rFonts w:ascii="Palatino Linotype" w:hAnsi="Palatino Linotype"/>
          <w:color w:val="000000" w:themeColor="text1"/>
          <w:sz w:val="22"/>
          <w:szCs w:val="22"/>
        </w:rPr>
        <w:t>Sistema Municipal para el Desarrollo Integral de la Familia de Metepec</w:t>
      </w:r>
      <w:r w:rsidRPr="0050069E">
        <w:rPr>
          <w:rFonts w:ascii="Palatino Linotype" w:hAnsi="Palatino Linotype"/>
          <w:color w:val="000000" w:themeColor="text1"/>
          <w:sz w:val="22"/>
          <w:szCs w:val="22"/>
          <w:lang w:val="es-ES"/>
        </w:rPr>
        <w:t>.</w:t>
      </w:r>
    </w:p>
    <w:p w14:paraId="34B2F9C6" w14:textId="77777777" w:rsidR="000C553C" w:rsidRPr="0050069E" w:rsidRDefault="000C553C" w:rsidP="00C8221B">
      <w:pPr>
        <w:spacing w:line="360" w:lineRule="auto"/>
        <w:jc w:val="both"/>
        <w:rPr>
          <w:rFonts w:ascii="Palatino Linotype" w:hAnsi="Palatino Linotype"/>
          <w:color w:val="000000" w:themeColor="text1"/>
          <w:sz w:val="22"/>
          <w:szCs w:val="22"/>
          <w:lang w:val="es-ES"/>
        </w:rPr>
      </w:pPr>
    </w:p>
    <w:p w14:paraId="6EEF4998" w14:textId="77777777" w:rsidR="00C8221B" w:rsidRPr="00565340" w:rsidRDefault="00C8221B" w:rsidP="00C8221B">
      <w:pPr>
        <w:spacing w:line="360" w:lineRule="auto"/>
        <w:ind w:right="-28"/>
        <w:contextualSpacing/>
        <w:jc w:val="both"/>
        <w:rPr>
          <w:rFonts w:ascii="Palatino Linotype" w:eastAsia="Calibri" w:hAnsi="Palatino Linotype" w:cs="Tahoma"/>
          <w:bCs/>
          <w:lang w:eastAsia="en-US"/>
        </w:rPr>
      </w:pPr>
      <w:r w:rsidRPr="00565340">
        <w:rPr>
          <w:rFonts w:ascii="Palatino Linotype" w:hAnsi="Palatino Linotype" w:cs="Tahoma"/>
          <w:b/>
          <w:sz w:val="22"/>
          <w:szCs w:val="22"/>
          <w:lang w:val="es-ES"/>
        </w:rPr>
        <w:t>SEXTO. Decisión.</w:t>
      </w:r>
    </w:p>
    <w:p w14:paraId="6CE745D3" w14:textId="77777777" w:rsidR="00C8221B" w:rsidRPr="00565340" w:rsidRDefault="00C8221B" w:rsidP="00C8221B">
      <w:pPr>
        <w:autoSpaceDE w:val="0"/>
        <w:autoSpaceDN w:val="0"/>
        <w:adjustRightInd w:val="0"/>
        <w:spacing w:line="360" w:lineRule="auto"/>
        <w:jc w:val="both"/>
        <w:rPr>
          <w:rFonts w:ascii="Palatino Linotype" w:eastAsia="Calibri" w:hAnsi="Palatino Linotype" w:cs="Tahoma"/>
          <w:color w:val="000000" w:themeColor="text1"/>
          <w:lang w:eastAsia="en-US"/>
        </w:rPr>
      </w:pPr>
    </w:p>
    <w:p w14:paraId="533DC33D" w14:textId="2FC9EDAD" w:rsidR="00C8221B" w:rsidRPr="00A974DB" w:rsidRDefault="00C8221B" w:rsidP="00C8221B">
      <w:pPr>
        <w:spacing w:line="360" w:lineRule="auto"/>
        <w:jc w:val="both"/>
        <w:rPr>
          <w:rFonts w:ascii="Palatino Linotype" w:hAnsi="Palatino Linotype" w:cs="Tahoma"/>
          <w:iCs/>
          <w:sz w:val="22"/>
          <w:szCs w:val="22"/>
          <w:lang w:eastAsia="es-MX"/>
        </w:rPr>
      </w:pPr>
      <w:r w:rsidRPr="00A974DB">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A9311D">
        <w:rPr>
          <w:rFonts w:ascii="Palatino Linotype" w:hAnsi="Palatino Linotype" w:cs="Tahoma"/>
          <w:b/>
          <w:sz w:val="22"/>
          <w:szCs w:val="22"/>
          <w:lang w:eastAsia="es-MX"/>
        </w:rPr>
        <w:t>MODIFICAR</w:t>
      </w:r>
      <w:r w:rsidRPr="00A974DB">
        <w:rPr>
          <w:rFonts w:ascii="Palatino Linotype" w:hAnsi="Palatino Linotype" w:cs="Tahoma"/>
          <w:b/>
          <w:sz w:val="22"/>
          <w:szCs w:val="22"/>
          <w:lang w:eastAsia="es-MX"/>
        </w:rPr>
        <w:t xml:space="preserve"> </w:t>
      </w:r>
      <w:r w:rsidRPr="00A974DB">
        <w:rPr>
          <w:rFonts w:ascii="Palatino Linotype" w:hAnsi="Palatino Linotype" w:cs="Tahoma"/>
          <w:bCs/>
          <w:sz w:val="22"/>
          <w:szCs w:val="22"/>
          <w:lang w:eastAsia="es-MX"/>
        </w:rPr>
        <w:t xml:space="preserve">la repuesta otorgada </w:t>
      </w:r>
      <w:r w:rsidRPr="00A974DB">
        <w:rPr>
          <w:rFonts w:ascii="Palatino Linotype" w:hAnsi="Palatino Linotype" w:cs="Tahoma"/>
          <w:sz w:val="22"/>
          <w:szCs w:val="22"/>
          <w:lang w:eastAsia="es-MX"/>
        </w:rPr>
        <w:t xml:space="preserve">por el </w:t>
      </w:r>
      <w:r w:rsidR="00A9311D" w:rsidRPr="00A9311D">
        <w:rPr>
          <w:rFonts w:ascii="Palatino Linotype" w:hAnsi="Palatino Linotype" w:cs="Tahoma"/>
          <w:sz w:val="22"/>
          <w:szCs w:val="22"/>
          <w:lang w:eastAsia="es-MX"/>
        </w:rPr>
        <w:t>Sistema Municipal para el Desarrollo Integral de la Familia de Metepec</w:t>
      </w:r>
      <w:r w:rsidRPr="00A974DB">
        <w:rPr>
          <w:rFonts w:ascii="Palatino Linotype" w:hAnsi="Palatino Linotype" w:cs="Tahoma"/>
          <w:sz w:val="22"/>
          <w:szCs w:val="22"/>
          <w:lang w:eastAsia="es-MX"/>
        </w:rPr>
        <w:t>, a efecto de que,</w:t>
      </w:r>
      <w:r>
        <w:rPr>
          <w:rFonts w:ascii="Palatino Linotype" w:hAnsi="Palatino Linotype" w:cs="Tahoma"/>
          <w:sz w:val="22"/>
          <w:szCs w:val="22"/>
          <w:lang w:eastAsia="es-MX"/>
        </w:rPr>
        <w:t xml:space="preserve"> </w:t>
      </w:r>
      <w:r w:rsidRPr="00CB3B0B">
        <w:rPr>
          <w:rFonts w:ascii="Palatino Linotype" w:hAnsi="Palatino Linotype" w:cs="Tahoma"/>
          <w:iCs/>
          <w:sz w:val="22"/>
          <w:szCs w:val="22"/>
          <w:lang w:eastAsia="es-MX"/>
        </w:rPr>
        <w:t>entregue,</w:t>
      </w:r>
      <w:r w:rsidRPr="00A974DB">
        <w:rPr>
          <w:rFonts w:ascii="Palatino Linotype" w:hAnsi="Palatino Linotype" w:cs="Tahoma"/>
          <w:sz w:val="22"/>
          <w:szCs w:val="22"/>
          <w:lang w:eastAsia="es-MX"/>
        </w:rPr>
        <w:t xml:space="preserve"> </w:t>
      </w:r>
      <w:r w:rsidRPr="00A974DB">
        <w:rPr>
          <w:rFonts w:ascii="Palatino Linotype" w:hAnsi="Palatino Linotype" w:cs="Tahoma"/>
          <w:iCs/>
          <w:sz w:val="22"/>
          <w:szCs w:val="22"/>
          <w:lang w:eastAsia="es-MX"/>
        </w:rPr>
        <w:t>a través del Sistema de Acceso a la Información Mexiquense (SAIMEX),</w:t>
      </w:r>
      <w:r>
        <w:rPr>
          <w:rFonts w:ascii="Palatino Linotype" w:hAnsi="Palatino Linotype" w:cs="Tahoma"/>
          <w:iCs/>
          <w:sz w:val="22"/>
          <w:szCs w:val="22"/>
          <w:lang w:eastAsia="es-MX"/>
        </w:rPr>
        <w:t xml:space="preserve"> </w:t>
      </w:r>
      <w:r w:rsidR="00EF4936">
        <w:rPr>
          <w:rFonts w:ascii="Palatino Linotype" w:hAnsi="Palatino Linotype" w:cs="Tahoma"/>
          <w:iCs/>
          <w:sz w:val="22"/>
          <w:szCs w:val="22"/>
          <w:lang w:eastAsia="es-MX"/>
        </w:rPr>
        <w:t>e</w:t>
      </w:r>
      <w:r w:rsidR="00EF4936" w:rsidRPr="00EF4936">
        <w:rPr>
          <w:rFonts w:ascii="Palatino Linotype" w:hAnsi="Palatino Linotype" w:cs="Tahoma"/>
          <w:iCs/>
          <w:sz w:val="22"/>
          <w:szCs w:val="22"/>
          <w:lang w:eastAsia="es-MX"/>
        </w:rPr>
        <w:t xml:space="preserve">l Acuerdo emitido por el Comité de Transparencia, en donde de manera fundada y motivada, confirme la clasificación </w:t>
      </w:r>
      <w:r w:rsidR="00BD4AC9">
        <w:rPr>
          <w:rFonts w:ascii="Palatino Linotype" w:hAnsi="Palatino Linotype" w:cs="Tahoma"/>
          <w:iCs/>
          <w:sz w:val="22"/>
          <w:szCs w:val="22"/>
          <w:lang w:eastAsia="es-MX"/>
        </w:rPr>
        <w:t xml:space="preserve">de los datos testados en los </w:t>
      </w:r>
      <w:r w:rsidR="00BD4AC9">
        <w:rPr>
          <w:rFonts w:ascii="Palatino Linotype" w:hAnsi="Palatino Linotype" w:cs="Tahoma"/>
          <w:i/>
          <w:sz w:val="22"/>
          <w:szCs w:val="22"/>
          <w:lang w:eastAsia="es-MX"/>
        </w:rPr>
        <w:t>currículums vitae</w:t>
      </w:r>
      <w:r w:rsidR="00BD4AC9">
        <w:rPr>
          <w:rFonts w:ascii="Palatino Linotype" w:hAnsi="Palatino Linotype" w:cs="Tahoma"/>
          <w:iCs/>
          <w:sz w:val="22"/>
          <w:szCs w:val="22"/>
          <w:lang w:eastAsia="es-MX"/>
        </w:rPr>
        <w:t xml:space="preserve"> entregados</w:t>
      </w:r>
      <w:r w:rsidR="00EF4936" w:rsidRPr="00EF4936">
        <w:rPr>
          <w:rFonts w:ascii="Palatino Linotype" w:hAnsi="Palatino Linotype" w:cs="Tahoma"/>
          <w:iCs/>
          <w:sz w:val="22"/>
          <w:szCs w:val="22"/>
          <w:lang w:eastAsia="es-MX"/>
        </w:rPr>
        <w:t>, de conformidad con los artículos 49, fracción II, 132, fracción II, 143, fracción I, y 149 de la Ley de Transparencia y Acceso a la Información Pública del Estado de México y Municipios.</w:t>
      </w:r>
    </w:p>
    <w:p w14:paraId="36CDEDCA" w14:textId="77777777" w:rsidR="00C8221B" w:rsidRPr="00CB3B0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p>
    <w:p w14:paraId="15283A53" w14:textId="77777777" w:rsidR="00C8221B" w:rsidRPr="00565340" w:rsidRDefault="00C8221B" w:rsidP="00C8221B">
      <w:pPr>
        <w:autoSpaceDE w:val="0"/>
        <w:autoSpaceDN w:val="0"/>
        <w:adjustRightInd w:val="0"/>
        <w:spacing w:line="360" w:lineRule="auto"/>
        <w:jc w:val="both"/>
        <w:rPr>
          <w:rFonts w:ascii="Palatino Linotype" w:eastAsia="Calibri" w:hAnsi="Palatino Linotype" w:cs="Tahoma"/>
          <w:b/>
          <w:bCs/>
          <w:iCs/>
          <w:sz w:val="22"/>
          <w:lang w:val="es-ES"/>
        </w:rPr>
      </w:pPr>
      <w:r w:rsidRPr="00565340">
        <w:rPr>
          <w:rFonts w:ascii="Palatino Linotype" w:eastAsia="Calibri" w:hAnsi="Palatino Linotype" w:cs="Tahoma"/>
          <w:b/>
          <w:bCs/>
          <w:iCs/>
          <w:sz w:val="22"/>
          <w:lang w:val="es-ES"/>
        </w:rPr>
        <w:t>Términos de la Resolución para conocimiento del Particular.</w:t>
      </w:r>
    </w:p>
    <w:p w14:paraId="435230C2" w14:textId="77777777" w:rsidR="00C8221B" w:rsidRPr="00565340" w:rsidRDefault="00C8221B" w:rsidP="00C8221B">
      <w:pPr>
        <w:autoSpaceDE w:val="0"/>
        <w:autoSpaceDN w:val="0"/>
        <w:adjustRightInd w:val="0"/>
        <w:spacing w:line="360" w:lineRule="auto"/>
        <w:jc w:val="both"/>
        <w:rPr>
          <w:rFonts w:ascii="Palatino Linotype" w:eastAsia="Calibri" w:hAnsi="Palatino Linotype" w:cs="Tahoma"/>
          <w:b/>
          <w:bCs/>
          <w:iCs/>
          <w:sz w:val="22"/>
          <w:lang w:val="es-ES"/>
        </w:rPr>
      </w:pPr>
    </w:p>
    <w:p w14:paraId="43255B91" w14:textId="02C51CFD" w:rsidR="00C8221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 xml:space="preserve">Se le hace del conocimiento al ahora Recurrente, que, en el presente caso, se le da </w:t>
      </w:r>
      <w:r w:rsidR="00BD4AC9">
        <w:rPr>
          <w:rFonts w:ascii="Palatino Linotype" w:eastAsia="Calibri" w:hAnsi="Palatino Linotype" w:cs="Tahoma"/>
          <w:bCs/>
          <w:iCs/>
          <w:sz w:val="22"/>
          <w:lang w:val="es-ES"/>
        </w:rPr>
        <w:t xml:space="preserve">parcialmente la </w:t>
      </w:r>
      <w:r w:rsidRPr="00A974DB">
        <w:rPr>
          <w:rFonts w:ascii="Palatino Linotype" w:eastAsia="Calibri" w:hAnsi="Palatino Linotype" w:cs="Tahoma"/>
          <w:bCs/>
          <w:iCs/>
          <w:sz w:val="22"/>
          <w:lang w:val="es-ES"/>
        </w:rPr>
        <w:t>razón</w:t>
      </w:r>
      <w:r>
        <w:rPr>
          <w:rFonts w:ascii="Palatino Linotype" w:eastAsia="Calibri" w:hAnsi="Palatino Linotype" w:cs="Tahoma"/>
          <w:bCs/>
          <w:iCs/>
          <w:sz w:val="22"/>
          <w:lang w:val="es-ES"/>
        </w:rPr>
        <w:t xml:space="preserve"> </w:t>
      </w:r>
      <w:r w:rsidR="00BD4AC9">
        <w:rPr>
          <w:rFonts w:ascii="Palatino Linotype" w:eastAsia="Calibri" w:hAnsi="Palatino Linotype" w:cs="Tahoma"/>
          <w:bCs/>
          <w:iCs/>
          <w:sz w:val="22"/>
          <w:lang w:val="es-ES"/>
        </w:rPr>
        <w:t>pues si bien se entregó de manera correcta la versión pública de los documentos solicitados, fue omiso en proporcionar el Acuerdo emitido por el Comité de Transparencia, donde confirmará la clasificación de los datos testados.</w:t>
      </w:r>
    </w:p>
    <w:p w14:paraId="0B36A265" w14:textId="77777777" w:rsidR="00C8221B" w:rsidRPr="00A974D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p>
    <w:p w14:paraId="4A00B291" w14:textId="77777777" w:rsidR="00C8221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 xml:space="preserve">La labor </w:t>
      </w:r>
      <w:r>
        <w:rPr>
          <w:rFonts w:ascii="Palatino Linotype" w:eastAsia="Calibri" w:hAnsi="Palatino Linotype" w:cs="Tahoma"/>
          <w:bCs/>
          <w:iCs/>
          <w:sz w:val="22"/>
          <w:lang w:val="es-ES"/>
        </w:rPr>
        <w:t>del Instituto de Transparencia, Acceso a la Información Pública y Protección de Datos Persónales del Estado de México y Municipios</w:t>
      </w:r>
      <w:r w:rsidRPr="00A974DB">
        <w:rPr>
          <w:rFonts w:ascii="Palatino Linotype" w:eastAsia="Calibri" w:hAnsi="Palatino Linotype" w:cs="Tahoma"/>
          <w:bCs/>
          <w:iCs/>
          <w:sz w:val="22"/>
          <w:lang w:val="es-ES"/>
        </w:rPr>
        <w:t>, es apoyar a la población a acceder a la información pública y garantizar la protección de sus datos personales.</w:t>
      </w:r>
    </w:p>
    <w:p w14:paraId="17CF2F28" w14:textId="38CF20EE" w:rsidR="00C8221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p>
    <w:p w14:paraId="73986B2D" w14:textId="77777777" w:rsidR="00BD4AC9" w:rsidRPr="00BD4AC9" w:rsidRDefault="00BD4AC9" w:rsidP="00BD4AC9">
      <w:pPr>
        <w:spacing w:line="360" w:lineRule="auto"/>
        <w:jc w:val="both"/>
        <w:rPr>
          <w:rFonts w:ascii="Palatino Linotype" w:hAnsi="Palatino Linotype"/>
          <w:color w:val="000000"/>
          <w:sz w:val="22"/>
          <w:szCs w:val="22"/>
          <w:lang w:eastAsia="es-MX"/>
        </w:rPr>
      </w:pPr>
      <w:r w:rsidRPr="00BD4AC9">
        <w:rPr>
          <w:rFonts w:ascii="Palatino Linotype" w:hAnsi="Palatino Linotype"/>
          <w:b/>
          <w:bCs/>
          <w:color w:val="000000"/>
          <w:sz w:val="22"/>
          <w:szCs w:val="22"/>
          <w:lang w:eastAsia="es-MX"/>
        </w:rPr>
        <w:t xml:space="preserve">SÉPTIMO. Vista </w:t>
      </w:r>
      <w:r w:rsidRPr="00BD4AC9">
        <w:rPr>
          <w:rFonts w:ascii="Palatino Linotype" w:hAnsi="Palatino Linotype"/>
          <w:b/>
          <w:bCs/>
          <w:color w:val="000000"/>
          <w:sz w:val="22"/>
          <w:szCs w:val="22"/>
          <w:lang w:val="es-ES_tradnl" w:eastAsia="es-MX"/>
        </w:rPr>
        <w:t>la Dirección General de Protección de Datos Personales</w:t>
      </w:r>
      <w:r w:rsidRPr="00BD4AC9">
        <w:rPr>
          <w:rFonts w:ascii="Palatino Linotype" w:hAnsi="Palatino Linotype"/>
          <w:b/>
          <w:bCs/>
          <w:color w:val="000000"/>
          <w:sz w:val="22"/>
          <w:szCs w:val="22"/>
          <w:lang w:eastAsia="es-MX"/>
        </w:rPr>
        <w:t>.</w:t>
      </w:r>
    </w:p>
    <w:p w14:paraId="395482F3" w14:textId="77777777" w:rsidR="00BD4AC9" w:rsidRPr="00BD4AC9" w:rsidRDefault="00BD4AC9" w:rsidP="00BD4AC9">
      <w:pPr>
        <w:spacing w:line="360" w:lineRule="auto"/>
        <w:jc w:val="both"/>
        <w:rPr>
          <w:rFonts w:ascii="Palatino Linotype" w:eastAsia="Calibri" w:hAnsi="Palatino Linotype" w:cs="Tahoma"/>
          <w:bCs/>
          <w:color w:val="000000"/>
          <w:sz w:val="22"/>
          <w:szCs w:val="22"/>
          <w:lang w:eastAsia="en-US"/>
        </w:rPr>
      </w:pPr>
    </w:p>
    <w:p w14:paraId="33238266" w14:textId="5AF73E5D" w:rsidR="00BD4AC9" w:rsidRPr="00BD4AC9" w:rsidRDefault="00BD4AC9" w:rsidP="00BD4AC9">
      <w:pPr>
        <w:spacing w:line="360" w:lineRule="auto"/>
        <w:jc w:val="both"/>
        <w:rPr>
          <w:rFonts w:ascii="Palatino Linotype" w:eastAsia="Calibri" w:hAnsi="Palatino Linotype" w:cs="Tahoma"/>
          <w:bCs/>
          <w:color w:val="000000"/>
          <w:sz w:val="22"/>
          <w:szCs w:val="22"/>
          <w:lang w:eastAsia="en-US"/>
        </w:rPr>
      </w:pPr>
      <w:r w:rsidRPr="00BD4AC9">
        <w:rPr>
          <w:rFonts w:ascii="Palatino Linotype" w:eastAsia="Calibri" w:hAnsi="Palatino Linotype" w:cs="Tahoma"/>
          <w:bCs/>
          <w:color w:val="000000"/>
          <w:sz w:val="22"/>
          <w:szCs w:val="22"/>
          <w:lang w:eastAsia="en-US"/>
        </w:rPr>
        <w:t xml:space="preserve">Ahora bien, de la revisión </w:t>
      </w:r>
      <w:r>
        <w:rPr>
          <w:rFonts w:ascii="Palatino Linotype" w:eastAsia="Calibri" w:hAnsi="Palatino Linotype" w:cs="Tahoma"/>
          <w:bCs/>
          <w:color w:val="000000"/>
          <w:sz w:val="22"/>
          <w:szCs w:val="22"/>
          <w:lang w:eastAsia="en-US"/>
        </w:rPr>
        <w:t xml:space="preserve">de los </w:t>
      </w:r>
      <w:r>
        <w:rPr>
          <w:rFonts w:ascii="Palatino Linotype" w:eastAsia="Calibri" w:hAnsi="Palatino Linotype" w:cs="Tahoma"/>
          <w:bCs/>
          <w:i/>
          <w:iCs/>
          <w:color w:val="000000"/>
          <w:sz w:val="22"/>
          <w:szCs w:val="22"/>
          <w:lang w:eastAsia="en-US"/>
        </w:rPr>
        <w:t>currículums</w:t>
      </w:r>
      <w:r w:rsidRPr="00BD4AC9">
        <w:rPr>
          <w:rFonts w:ascii="Palatino Linotype" w:eastAsia="Calibri" w:hAnsi="Palatino Linotype" w:cs="Tahoma"/>
          <w:bCs/>
          <w:color w:val="000000"/>
          <w:sz w:val="22"/>
          <w:szCs w:val="22"/>
          <w:lang w:eastAsia="en-US"/>
        </w:rPr>
        <w:t xml:space="preserve">, se logró advertir que el Sujeto Obligado dejó visible </w:t>
      </w:r>
      <w:r>
        <w:rPr>
          <w:rFonts w:ascii="Palatino Linotype" w:hAnsi="Palatino Linotype" w:cs="Tahoma"/>
          <w:sz w:val="22"/>
          <w:szCs w:val="22"/>
        </w:rPr>
        <w:t>el correo electrónico y número de teléfono particular</w:t>
      </w:r>
      <w:r w:rsidRPr="00BD4AC9">
        <w:rPr>
          <w:rFonts w:ascii="Palatino Linotype" w:hAnsi="Palatino Linotype" w:cs="Tahoma"/>
          <w:sz w:val="22"/>
          <w:szCs w:val="22"/>
          <w:lang w:val="es-ES"/>
        </w:rPr>
        <w:t>,</w:t>
      </w:r>
      <w:r w:rsidRPr="00BD4AC9">
        <w:rPr>
          <w:rFonts w:ascii="Palatino Linotype" w:eastAsia="Calibri" w:hAnsi="Palatino Linotype" w:cs="Tahoma"/>
          <w:bCs/>
          <w:color w:val="000000"/>
          <w:sz w:val="22"/>
          <w:szCs w:val="22"/>
          <w:lang w:eastAsia="en-US"/>
        </w:rPr>
        <w:t xml:space="preserve">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w:t>
      </w:r>
    </w:p>
    <w:p w14:paraId="744E3F85" w14:textId="77777777" w:rsidR="00BD4AC9" w:rsidRPr="00BD4AC9" w:rsidRDefault="00BD4AC9" w:rsidP="00BD4AC9">
      <w:pPr>
        <w:spacing w:line="360" w:lineRule="auto"/>
        <w:jc w:val="both"/>
        <w:rPr>
          <w:rFonts w:ascii="Palatino Linotype" w:eastAsia="Calibri" w:hAnsi="Palatino Linotype" w:cs="Tahoma"/>
          <w:bCs/>
          <w:color w:val="000000"/>
          <w:sz w:val="22"/>
          <w:szCs w:val="22"/>
          <w:lang w:eastAsia="en-US"/>
        </w:rPr>
      </w:pPr>
    </w:p>
    <w:p w14:paraId="78E7C18E" w14:textId="77777777" w:rsidR="00BD4AC9" w:rsidRPr="00BD4AC9" w:rsidRDefault="00BD4AC9" w:rsidP="00BD4AC9">
      <w:pPr>
        <w:spacing w:line="360" w:lineRule="auto"/>
        <w:jc w:val="both"/>
        <w:rPr>
          <w:rFonts w:ascii="Palatino Linotype" w:eastAsia="Calibri" w:hAnsi="Palatino Linotype" w:cs="Tahoma"/>
          <w:bCs/>
          <w:color w:val="000000"/>
          <w:sz w:val="22"/>
          <w:szCs w:val="22"/>
          <w:lang w:eastAsia="en-US"/>
        </w:rPr>
      </w:pPr>
      <w:r w:rsidRPr="00BD4AC9">
        <w:rPr>
          <w:rFonts w:ascii="Palatino Linotype" w:eastAsia="Calibri" w:hAnsi="Palatino Linotype" w:cs="Tahoma"/>
          <w:bCs/>
          <w:color w:val="000000"/>
          <w:sz w:val="22"/>
          <w:szCs w:val="22"/>
          <w:lang w:eastAsia="en-US"/>
        </w:rPr>
        <w:t>Sobre el particular, si bien, la presente resolución no tiene por objetivo investigar y determinar posibles violaciones al derecho de acceso a la información; toda vez que este Organismo Autónomo, advirtió la publicación de información susceptible de clasificarse como confidencial,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w:t>
      </w:r>
    </w:p>
    <w:p w14:paraId="6DF968AF" w14:textId="77777777" w:rsidR="00BD4AC9" w:rsidRPr="00BD4AC9" w:rsidRDefault="00BD4AC9" w:rsidP="00BD4AC9">
      <w:pPr>
        <w:spacing w:line="360" w:lineRule="auto"/>
        <w:jc w:val="both"/>
        <w:rPr>
          <w:rFonts w:ascii="Palatino Linotype" w:hAnsi="Palatino Linotype" w:cs="Tahoma"/>
          <w:b/>
          <w:bCs/>
          <w:iCs/>
          <w:color w:val="000000" w:themeColor="text1"/>
          <w:sz w:val="22"/>
          <w:szCs w:val="22"/>
        </w:rPr>
      </w:pPr>
    </w:p>
    <w:p w14:paraId="0250DA24" w14:textId="77777777" w:rsidR="00C8221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Por lo expuesto y fundado, este Pleno:</w:t>
      </w:r>
    </w:p>
    <w:p w14:paraId="72CD4AED" w14:textId="77777777" w:rsidR="00C8221B" w:rsidRDefault="00C8221B" w:rsidP="00C8221B">
      <w:pPr>
        <w:autoSpaceDE w:val="0"/>
        <w:autoSpaceDN w:val="0"/>
        <w:adjustRightInd w:val="0"/>
        <w:spacing w:line="360" w:lineRule="auto"/>
        <w:jc w:val="both"/>
        <w:rPr>
          <w:rFonts w:ascii="Palatino Linotype" w:eastAsia="Calibri" w:hAnsi="Palatino Linotype" w:cs="Tahoma"/>
          <w:bCs/>
          <w:iCs/>
          <w:sz w:val="22"/>
          <w:szCs w:val="22"/>
          <w:lang w:eastAsia="en-US"/>
        </w:rPr>
      </w:pPr>
    </w:p>
    <w:p w14:paraId="48C05A9D" w14:textId="77777777" w:rsidR="00C8221B" w:rsidRPr="001011AB" w:rsidRDefault="00C8221B" w:rsidP="00C8221B">
      <w:pPr>
        <w:spacing w:line="360" w:lineRule="auto"/>
        <w:jc w:val="center"/>
        <w:rPr>
          <w:rFonts w:ascii="Palatino Linotype" w:hAnsi="Palatino Linotype" w:cs="Tahoma"/>
          <w:b/>
          <w:bCs/>
          <w:sz w:val="22"/>
          <w:szCs w:val="22"/>
        </w:rPr>
      </w:pPr>
      <w:r w:rsidRPr="001011AB">
        <w:rPr>
          <w:rFonts w:ascii="Palatino Linotype" w:hAnsi="Palatino Linotype" w:cs="Tahoma"/>
          <w:b/>
          <w:bCs/>
          <w:sz w:val="22"/>
          <w:szCs w:val="22"/>
        </w:rPr>
        <w:t xml:space="preserve">R E S U E L V E: </w:t>
      </w:r>
    </w:p>
    <w:p w14:paraId="166114D3" w14:textId="6014B014" w:rsidR="00C8221B" w:rsidRDefault="00C8221B" w:rsidP="00C8221B">
      <w:pPr>
        <w:spacing w:line="360" w:lineRule="auto"/>
        <w:jc w:val="center"/>
        <w:rPr>
          <w:rFonts w:ascii="Palatino Linotype" w:hAnsi="Palatino Linotype" w:cs="Tahoma"/>
          <w:b/>
          <w:bCs/>
          <w:sz w:val="22"/>
          <w:szCs w:val="22"/>
        </w:rPr>
      </w:pPr>
    </w:p>
    <w:p w14:paraId="14B3E80E" w14:textId="54DA0D11" w:rsidR="00C31A94" w:rsidRDefault="00C31A94" w:rsidP="00C8221B">
      <w:pPr>
        <w:spacing w:line="360" w:lineRule="auto"/>
        <w:jc w:val="center"/>
        <w:rPr>
          <w:rFonts w:ascii="Palatino Linotype" w:hAnsi="Palatino Linotype" w:cs="Tahoma"/>
          <w:b/>
          <w:bCs/>
          <w:sz w:val="22"/>
          <w:szCs w:val="22"/>
        </w:rPr>
      </w:pPr>
    </w:p>
    <w:p w14:paraId="4C3436EB" w14:textId="77777777" w:rsidR="00C31A94" w:rsidRPr="00565340" w:rsidRDefault="00C31A94" w:rsidP="00C8221B">
      <w:pPr>
        <w:spacing w:line="360" w:lineRule="auto"/>
        <w:jc w:val="center"/>
        <w:rPr>
          <w:rFonts w:ascii="Palatino Linotype" w:hAnsi="Palatino Linotype" w:cs="Tahoma"/>
          <w:b/>
          <w:bCs/>
          <w:sz w:val="22"/>
          <w:szCs w:val="22"/>
        </w:rPr>
      </w:pPr>
    </w:p>
    <w:p w14:paraId="2568A9B0" w14:textId="65E37928" w:rsidR="00C8221B" w:rsidRDefault="00C8221B" w:rsidP="00C8221B">
      <w:pPr>
        <w:widowControl w:val="0"/>
        <w:spacing w:line="360" w:lineRule="auto"/>
        <w:jc w:val="both"/>
        <w:rPr>
          <w:rFonts w:ascii="Palatino Linotype" w:eastAsia="Calibri" w:hAnsi="Palatino Linotype"/>
          <w:sz w:val="22"/>
          <w:szCs w:val="22"/>
        </w:rPr>
      </w:pPr>
      <w:r w:rsidRPr="00E70AC4">
        <w:rPr>
          <w:rFonts w:ascii="Palatino Linotype" w:eastAsia="Calibri" w:hAnsi="Palatino Linotype" w:cs="Tahoma"/>
          <w:b/>
          <w:bCs/>
          <w:iCs/>
          <w:sz w:val="22"/>
          <w:szCs w:val="22"/>
          <w:lang w:eastAsia="en-US"/>
        </w:rPr>
        <w:t xml:space="preserve">PRIMERO. </w:t>
      </w:r>
      <w:r w:rsidRPr="00E70AC4">
        <w:rPr>
          <w:rFonts w:ascii="Palatino Linotype" w:eastAsia="Calibri" w:hAnsi="Palatino Linotype"/>
          <w:sz w:val="22"/>
          <w:szCs w:val="22"/>
        </w:rPr>
        <w:t xml:space="preserve">Se </w:t>
      </w:r>
      <w:r w:rsidRPr="00E70AC4">
        <w:rPr>
          <w:rFonts w:ascii="Palatino Linotype" w:eastAsia="Calibri" w:hAnsi="Palatino Linotype"/>
          <w:b/>
          <w:bCs/>
          <w:sz w:val="22"/>
          <w:szCs w:val="22"/>
        </w:rPr>
        <w:t>MODIFICA</w:t>
      </w:r>
      <w:r w:rsidRPr="00E70AC4">
        <w:rPr>
          <w:rFonts w:ascii="Palatino Linotype" w:eastAsia="Calibri" w:hAnsi="Palatino Linotype"/>
          <w:sz w:val="22"/>
          <w:szCs w:val="22"/>
        </w:rPr>
        <w:t xml:space="preserve"> la respuesta entregada por el Sujeto Obligado a la</w:t>
      </w:r>
      <w:r w:rsidR="00256752">
        <w:rPr>
          <w:rFonts w:ascii="Palatino Linotype" w:eastAsia="Calibri" w:hAnsi="Palatino Linotype"/>
          <w:sz w:val="22"/>
          <w:szCs w:val="22"/>
        </w:rPr>
        <w:t>s</w:t>
      </w:r>
      <w:r w:rsidRPr="00E70AC4">
        <w:rPr>
          <w:rFonts w:ascii="Palatino Linotype" w:eastAsia="Calibri" w:hAnsi="Palatino Linotype"/>
          <w:sz w:val="22"/>
          <w:szCs w:val="22"/>
        </w:rPr>
        <w:t xml:space="preserve"> solicitud</w:t>
      </w:r>
      <w:r w:rsidR="00256752">
        <w:rPr>
          <w:rFonts w:ascii="Palatino Linotype" w:eastAsia="Calibri" w:hAnsi="Palatino Linotype"/>
          <w:sz w:val="22"/>
          <w:szCs w:val="22"/>
        </w:rPr>
        <w:t>es</w:t>
      </w:r>
      <w:r w:rsidRPr="00E70AC4">
        <w:rPr>
          <w:rFonts w:ascii="Palatino Linotype" w:eastAsia="Calibri" w:hAnsi="Palatino Linotype"/>
          <w:sz w:val="22"/>
          <w:szCs w:val="22"/>
        </w:rPr>
        <w:t xml:space="preserve"> de información con número </w:t>
      </w:r>
      <w:r w:rsidR="00256752" w:rsidRPr="00256752">
        <w:rPr>
          <w:rFonts w:ascii="Palatino Linotype" w:eastAsia="Calibri" w:hAnsi="Palatino Linotype"/>
          <w:sz w:val="22"/>
          <w:szCs w:val="22"/>
        </w:rPr>
        <w:t>00066/DIFMETEPEC/IP/2022, 00068/DIFMETEPEC/IP/2022 y 00630/DIFMETEPEC/IP/2022</w:t>
      </w:r>
      <w:r w:rsidR="00256752">
        <w:rPr>
          <w:rFonts w:ascii="Palatino Linotype" w:eastAsia="Calibri" w:hAnsi="Palatino Linotype"/>
          <w:sz w:val="22"/>
          <w:szCs w:val="22"/>
        </w:rPr>
        <w:t xml:space="preserve">, </w:t>
      </w:r>
      <w:r w:rsidRPr="00E70AC4">
        <w:rPr>
          <w:rFonts w:ascii="Palatino Linotype" w:eastAsia="Calibri" w:hAnsi="Palatino Linotype"/>
          <w:sz w:val="22"/>
          <w:szCs w:val="22"/>
        </w:rPr>
        <w:t xml:space="preserve">por resultar </w:t>
      </w:r>
      <w:r>
        <w:rPr>
          <w:rFonts w:ascii="Palatino Linotype" w:eastAsia="Calibri" w:hAnsi="Palatino Linotype"/>
          <w:sz w:val="22"/>
          <w:szCs w:val="22"/>
        </w:rPr>
        <w:t xml:space="preserve"> </w:t>
      </w:r>
      <w:r w:rsidRPr="00E70AC4">
        <w:rPr>
          <w:rFonts w:ascii="Palatino Linotype" w:eastAsia="Calibri" w:hAnsi="Palatino Linotype"/>
          <w:b/>
          <w:bCs/>
          <w:sz w:val="22"/>
          <w:szCs w:val="22"/>
        </w:rPr>
        <w:t>FUNDADOS</w:t>
      </w:r>
      <w:r w:rsidRPr="00E70AC4">
        <w:rPr>
          <w:rFonts w:ascii="Palatino Linotype" w:eastAsia="Calibri" w:hAnsi="Palatino Linotype"/>
          <w:sz w:val="22"/>
          <w:szCs w:val="22"/>
        </w:rPr>
        <w:t xml:space="preserve"> los moti</w:t>
      </w:r>
      <w:r w:rsidR="00256752">
        <w:rPr>
          <w:rFonts w:ascii="Palatino Linotype" w:eastAsia="Calibri" w:hAnsi="Palatino Linotype"/>
          <w:sz w:val="22"/>
          <w:szCs w:val="22"/>
        </w:rPr>
        <w:t>v</w:t>
      </w:r>
      <w:r w:rsidRPr="00E70AC4">
        <w:rPr>
          <w:rFonts w:ascii="Palatino Linotype" w:eastAsia="Calibri" w:hAnsi="Palatino Linotype"/>
          <w:sz w:val="22"/>
          <w:szCs w:val="22"/>
        </w:rPr>
        <w:t xml:space="preserve">os de inconformidad vertidos por el Recurrente, en términos de los Considerandos </w:t>
      </w:r>
      <w:r w:rsidRPr="00E70AC4">
        <w:rPr>
          <w:rFonts w:ascii="Palatino Linotype" w:eastAsia="Calibri" w:hAnsi="Palatino Linotype"/>
          <w:b/>
          <w:bCs/>
          <w:sz w:val="22"/>
          <w:szCs w:val="22"/>
        </w:rPr>
        <w:t>QUINTO</w:t>
      </w:r>
      <w:r w:rsidRPr="00E70AC4">
        <w:rPr>
          <w:rFonts w:ascii="Palatino Linotype" w:eastAsia="Calibri" w:hAnsi="Palatino Linotype"/>
          <w:sz w:val="22"/>
          <w:szCs w:val="22"/>
        </w:rPr>
        <w:t xml:space="preserve"> y </w:t>
      </w:r>
      <w:r w:rsidRPr="00E70AC4">
        <w:rPr>
          <w:rFonts w:ascii="Palatino Linotype" w:eastAsia="Calibri" w:hAnsi="Palatino Linotype"/>
          <w:b/>
          <w:bCs/>
          <w:sz w:val="22"/>
          <w:szCs w:val="22"/>
        </w:rPr>
        <w:t xml:space="preserve">SEXTO </w:t>
      </w:r>
      <w:r w:rsidRPr="00E70AC4">
        <w:rPr>
          <w:rFonts w:ascii="Palatino Linotype" w:eastAsia="Calibri" w:hAnsi="Palatino Linotype"/>
          <w:sz w:val="22"/>
          <w:szCs w:val="22"/>
        </w:rPr>
        <w:t>de la presente Resolución.</w:t>
      </w:r>
    </w:p>
    <w:p w14:paraId="3B427FE8" w14:textId="77777777" w:rsidR="00C8221B" w:rsidRDefault="00C8221B" w:rsidP="00C8221B">
      <w:pPr>
        <w:widowControl w:val="0"/>
        <w:spacing w:line="360" w:lineRule="auto"/>
        <w:jc w:val="both"/>
        <w:rPr>
          <w:rFonts w:ascii="Palatino Linotype" w:eastAsia="Calibri" w:hAnsi="Palatino Linotype"/>
          <w:sz w:val="22"/>
          <w:szCs w:val="22"/>
        </w:rPr>
      </w:pPr>
    </w:p>
    <w:p w14:paraId="6DB9B9F2" w14:textId="0E69BAD1" w:rsidR="00C8221B" w:rsidRPr="00E62AE3" w:rsidRDefault="00C8221B" w:rsidP="00C8221B">
      <w:pPr>
        <w:widowControl w:val="0"/>
        <w:spacing w:line="360" w:lineRule="auto"/>
        <w:jc w:val="both"/>
        <w:rPr>
          <w:rFonts w:ascii="Palatino Linotype" w:hAnsi="Palatino Linotype"/>
          <w:iCs/>
          <w:sz w:val="22"/>
          <w:szCs w:val="22"/>
        </w:rPr>
      </w:pPr>
      <w:r>
        <w:rPr>
          <w:rFonts w:ascii="Palatino Linotype" w:hAnsi="Palatino Linotype"/>
          <w:b/>
          <w:bCs/>
          <w:sz w:val="22"/>
          <w:szCs w:val="22"/>
        </w:rPr>
        <w:t xml:space="preserve">SEGUNDO. </w:t>
      </w:r>
      <w:r w:rsidRPr="004225E1">
        <w:rPr>
          <w:rFonts w:ascii="Palatino Linotype" w:hAnsi="Palatino Linotype"/>
          <w:sz w:val="22"/>
          <w:szCs w:val="22"/>
        </w:rPr>
        <w:t xml:space="preserve">Se </w:t>
      </w:r>
      <w:r w:rsidRPr="004225E1">
        <w:rPr>
          <w:rFonts w:ascii="Palatino Linotype" w:hAnsi="Palatino Linotype"/>
          <w:b/>
          <w:bCs/>
          <w:sz w:val="22"/>
          <w:szCs w:val="22"/>
        </w:rPr>
        <w:t>ORDENA</w:t>
      </w:r>
      <w:r>
        <w:rPr>
          <w:rFonts w:ascii="Palatino Linotype" w:hAnsi="Palatino Linotype"/>
          <w:sz w:val="22"/>
          <w:szCs w:val="22"/>
        </w:rPr>
        <w:t xml:space="preserve"> al </w:t>
      </w:r>
      <w:r w:rsidR="00256752" w:rsidRPr="00256752">
        <w:rPr>
          <w:rFonts w:ascii="Palatino Linotype" w:hAnsi="Palatino Linotype"/>
          <w:sz w:val="22"/>
          <w:szCs w:val="22"/>
        </w:rPr>
        <w:t>Sistema Municipal para el Desarrollo Integral de la Familia de Metepec</w:t>
      </w:r>
      <w:r w:rsidRPr="004225E1">
        <w:rPr>
          <w:rFonts w:ascii="Palatino Linotype" w:hAnsi="Palatino Linotype"/>
          <w:sz w:val="22"/>
          <w:szCs w:val="22"/>
        </w:rPr>
        <w:t xml:space="preserve">, </w:t>
      </w:r>
      <w:r w:rsidRPr="00E62AE3">
        <w:rPr>
          <w:rFonts w:ascii="Palatino Linotype" w:hAnsi="Palatino Linotype"/>
          <w:sz w:val="22"/>
          <w:szCs w:val="22"/>
        </w:rPr>
        <w:t xml:space="preserve">a efecto de que, </w:t>
      </w:r>
      <w:r w:rsidRPr="00E62AE3">
        <w:rPr>
          <w:rFonts w:ascii="Palatino Linotype" w:hAnsi="Palatino Linotype"/>
          <w:iCs/>
          <w:sz w:val="22"/>
          <w:szCs w:val="22"/>
        </w:rPr>
        <w:t>entregue,</w:t>
      </w:r>
      <w:r w:rsidRPr="00E62AE3">
        <w:rPr>
          <w:rFonts w:ascii="Palatino Linotype" w:hAnsi="Palatino Linotype"/>
          <w:sz w:val="22"/>
          <w:szCs w:val="22"/>
        </w:rPr>
        <w:t xml:space="preserve"> </w:t>
      </w:r>
      <w:r w:rsidRPr="00E62AE3">
        <w:rPr>
          <w:rFonts w:ascii="Palatino Linotype" w:hAnsi="Palatino Linotype"/>
          <w:iCs/>
          <w:sz w:val="22"/>
          <w:szCs w:val="22"/>
        </w:rPr>
        <w:t>a través del Sistema de Acceso a la Información Mexiquense (SAIMEX)</w:t>
      </w:r>
      <w:r w:rsidR="00256752">
        <w:rPr>
          <w:rFonts w:ascii="Palatino Linotype" w:hAnsi="Palatino Linotype"/>
          <w:iCs/>
          <w:sz w:val="22"/>
          <w:szCs w:val="22"/>
        </w:rPr>
        <w:t xml:space="preserve">, </w:t>
      </w:r>
      <w:r w:rsidRPr="00E62AE3">
        <w:rPr>
          <w:rFonts w:ascii="Palatino Linotype" w:hAnsi="Palatino Linotype"/>
          <w:iCs/>
          <w:sz w:val="22"/>
          <w:szCs w:val="22"/>
        </w:rPr>
        <w:t>lo siguiente:</w:t>
      </w:r>
    </w:p>
    <w:p w14:paraId="091F6FAE" w14:textId="77777777" w:rsidR="00C8221B" w:rsidRPr="00E62AE3" w:rsidRDefault="00C8221B" w:rsidP="00C8221B">
      <w:pPr>
        <w:widowControl w:val="0"/>
        <w:spacing w:line="360" w:lineRule="auto"/>
        <w:jc w:val="both"/>
        <w:rPr>
          <w:rFonts w:ascii="Palatino Linotype" w:hAnsi="Palatino Linotype"/>
          <w:iCs/>
          <w:sz w:val="22"/>
          <w:szCs w:val="22"/>
        </w:rPr>
      </w:pPr>
    </w:p>
    <w:p w14:paraId="7FA391E5" w14:textId="7F38C1BA" w:rsidR="00C8221B" w:rsidRPr="00BD4AC9" w:rsidRDefault="00BD4AC9" w:rsidP="00BD4AC9">
      <w:pPr>
        <w:pStyle w:val="Prrafodelista"/>
        <w:widowControl w:val="0"/>
        <w:numPr>
          <w:ilvl w:val="0"/>
          <w:numId w:val="36"/>
        </w:numPr>
        <w:spacing w:line="360" w:lineRule="auto"/>
        <w:jc w:val="both"/>
        <w:rPr>
          <w:rFonts w:ascii="Palatino Linotype" w:hAnsi="Palatino Linotype"/>
          <w:b/>
          <w:bCs/>
          <w:iCs/>
          <w:szCs w:val="22"/>
          <w:lang w:val="es-ES"/>
        </w:rPr>
      </w:pPr>
      <w:r>
        <w:rPr>
          <w:rFonts w:ascii="Palatino Linotype" w:hAnsi="Palatino Linotype" w:cs="Tahoma"/>
          <w:iCs/>
          <w:szCs w:val="22"/>
          <w:lang w:eastAsia="es-MX"/>
        </w:rPr>
        <w:t xml:space="preserve">El </w:t>
      </w:r>
      <w:r w:rsidRPr="00BD4AC9">
        <w:rPr>
          <w:rFonts w:ascii="Palatino Linotype" w:hAnsi="Palatino Linotype" w:cs="Tahoma"/>
          <w:iCs/>
          <w:szCs w:val="22"/>
          <w:lang w:eastAsia="es-MX"/>
        </w:rPr>
        <w:t xml:space="preserve">Acuerdo emitido por el Comité de Transparencia, en donde de manera fundada y motivada, confirme la clasificación de los datos testados en los </w:t>
      </w:r>
      <w:r w:rsidRPr="00BD4AC9">
        <w:rPr>
          <w:rFonts w:ascii="Palatino Linotype" w:hAnsi="Palatino Linotype" w:cs="Tahoma"/>
          <w:i/>
          <w:szCs w:val="22"/>
          <w:lang w:eastAsia="es-MX"/>
        </w:rPr>
        <w:t>currículums vitae</w:t>
      </w:r>
      <w:r w:rsidRPr="00BD4AC9">
        <w:rPr>
          <w:rFonts w:ascii="Palatino Linotype" w:hAnsi="Palatino Linotype" w:cs="Tahoma"/>
          <w:iCs/>
          <w:szCs w:val="22"/>
          <w:lang w:eastAsia="es-MX"/>
        </w:rPr>
        <w:t xml:space="preserve"> </w:t>
      </w:r>
      <w:r>
        <w:rPr>
          <w:rFonts w:ascii="Palatino Linotype" w:hAnsi="Palatino Linotype" w:cs="Tahoma"/>
          <w:iCs/>
          <w:szCs w:val="22"/>
          <w:lang w:eastAsia="es-MX"/>
        </w:rPr>
        <w:t>proporcionados en respuesta</w:t>
      </w:r>
      <w:r w:rsidRPr="00BD4AC9">
        <w:rPr>
          <w:rFonts w:ascii="Palatino Linotype" w:hAnsi="Palatino Linotype" w:cs="Tahoma"/>
          <w:iCs/>
          <w:szCs w:val="22"/>
          <w:lang w:eastAsia="es-MX"/>
        </w:rPr>
        <w:t>, de conformidad con los artículos 49, fracción II, 132, fracción II, 143, fracción I, y 149 de la Ley de Transparencia y Acceso a la Información Pública del Estado de México y Municipios.</w:t>
      </w:r>
    </w:p>
    <w:p w14:paraId="34772DBE" w14:textId="77777777" w:rsidR="00BD4AC9" w:rsidRPr="00BD4AC9" w:rsidRDefault="00BD4AC9" w:rsidP="00BD4AC9">
      <w:pPr>
        <w:pStyle w:val="Prrafodelista"/>
        <w:widowControl w:val="0"/>
        <w:spacing w:line="360" w:lineRule="auto"/>
        <w:jc w:val="both"/>
        <w:rPr>
          <w:rFonts w:ascii="Palatino Linotype" w:hAnsi="Palatino Linotype"/>
          <w:b/>
          <w:bCs/>
          <w:iCs/>
          <w:szCs w:val="22"/>
          <w:lang w:val="es-ES"/>
        </w:rPr>
      </w:pPr>
    </w:p>
    <w:p w14:paraId="3645E295" w14:textId="75B8E77E" w:rsidR="00C8221B" w:rsidRPr="00E70AC4" w:rsidRDefault="00C8221B" w:rsidP="00C8221B">
      <w:pPr>
        <w:spacing w:line="360" w:lineRule="auto"/>
        <w:jc w:val="both"/>
        <w:rPr>
          <w:rFonts w:ascii="Palatino Linotype" w:hAnsi="Palatino Linotype" w:cs="Tahoma"/>
          <w:i/>
          <w:sz w:val="22"/>
          <w:szCs w:val="22"/>
        </w:rPr>
      </w:pPr>
      <w:r w:rsidRPr="00E70AC4">
        <w:rPr>
          <w:rFonts w:ascii="Palatino Linotype" w:eastAsia="Calibri" w:hAnsi="Palatino Linotype" w:cs="Tahoma"/>
          <w:b/>
          <w:bCs/>
          <w:sz w:val="22"/>
          <w:szCs w:val="22"/>
          <w:lang w:eastAsia="en-US"/>
        </w:rPr>
        <w:t>TERCERO.</w:t>
      </w:r>
      <w:r w:rsidRPr="00E70AC4">
        <w:rPr>
          <w:rFonts w:ascii="Palatino Linotype" w:hAnsi="Palatino Linotype" w:cs="Tahoma"/>
          <w:color w:val="000000" w:themeColor="text1"/>
          <w:sz w:val="22"/>
          <w:szCs w:val="22"/>
        </w:rPr>
        <w:t xml:space="preserve"> </w:t>
      </w:r>
      <w:r w:rsidRPr="00E70AC4">
        <w:rPr>
          <w:rFonts w:ascii="Palatino Linotype" w:hAnsi="Palatino Linotype" w:cs="Tahoma"/>
          <w:b/>
          <w:sz w:val="22"/>
          <w:szCs w:val="22"/>
        </w:rPr>
        <w:t xml:space="preserve">NOTIFÍQUESE </w:t>
      </w:r>
      <w:r w:rsidRPr="00E70AC4">
        <w:rPr>
          <w:rFonts w:ascii="Palatino Linotype" w:hAnsi="Palatino Linotype" w:cs="Tahoma"/>
          <w:sz w:val="22"/>
          <w:szCs w:val="22"/>
        </w:rPr>
        <w:t xml:space="preserve">la presente resolución al Titular de la Unidad de Transparencia del </w:t>
      </w:r>
      <w:r w:rsidR="00256752" w:rsidRPr="00256752">
        <w:rPr>
          <w:rFonts w:ascii="Palatino Linotype" w:hAnsi="Palatino Linotype" w:cs="Tahoma"/>
          <w:sz w:val="22"/>
          <w:szCs w:val="22"/>
        </w:rPr>
        <w:t>Sistema Municipal para el Desarrollo Integral de la Familia de Metepec</w:t>
      </w:r>
      <w:r w:rsidRPr="00E70AC4">
        <w:rPr>
          <w:rFonts w:ascii="Palatino Linotype" w:hAnsi="Palatino Linotype" w:cs="Tahoma"/>
          <w:sz w:val="22"/>
          <w:szCs w:val="22"/>
        </w:rPr>
        <w:t xml:space="preserve">, para que conforme al artículo 186, último párrafo, 189, segundo párrafo y 194 de la Ley de la materia, dé cumplimiento a lo ordenado dentro del plazo de </w:t>
      </w:r>
      <w:r>
        <w:rPr>
          <w:rFonts w:ascii="Palatino Linotype" w:hAnsi="Palatino Linotype" w:cs="Tahoma"/>
          <w:sz w:val="22"/>
          <w:szCs w:val="22"/>
        </w:rPr>
        <w:t>diez</w:t>
      </w:r>
      <w:r w:rsidRPr="00E70AC4">
        <w:rPr>
          <w:rFonts w:ascii="Palatino Linotype" w:hAnsi="Palatino Linotype" w:cs="Tahoma"/>
          <w:sz w:val="22"/>
          <w:szCs w:val="22"/>
        </w:rPr>
        <w:t xml:space="preserve"> días hábiles, e informe a este Instituto en un plazo de tres días hábiles siguientes sobre el cumplimiento dado a la presente.</w:t>
      </w:r>
    </w:p>
    <w:p w14:paraId="32123C94" w14:textId="77777777" w:rsidR="00C8221B" w:rsidRPr="00E70AC4" w:rsidRDefault="00C8221B" w:rsidP="00C8221B">
      <w:pPr>
        <w:spacing w:line="360" w:lineRule="auto"/>
        <w:jc w:val="both"/>
        <w:rPr>
          <w:rFonts w:ascii="Palatino Linotype" w:eastAsia="Calibri" w:hAnsi="Palatino Linotype" w:cs="Tahoma"/>
          <w:sz w:val="22"/>
          <w:szCs w:val="22"/>
          <w:lang w:eastAsia="es-MX"/>
        </w:rPr>
      </w:pPr>
    </w:p>
    <w:p w14:paraId="00AADA6D" w14:textId="77777777" w:rsidR="00C8221B" w:rsidRPr="00E70AC4" w:rsidRDefault="00C8221B" w:rsidP="00C8221B">
      <w:pPr>
        <w:spacing w:line="360" w:lineRule="auto"/>
        <w:jc w:val="both"/>
        <w:rPr>
          <w:rFonts w:ascii="Palatino Linotype" w:eastAsia="Calibri" w:hAnsi="Palatino Linotype" w:cs="Tahoma"/>
          <w:iCs/>
          <w:color w:val="000000"/>
          <w:sz w:val="22"/>
          <w:szCs w:val="22"/>
          <w:lang w:eastAsia="en-US"/>
        </w:rPr>
      </w:pPr>
      <w:r w:rsidRPr="00E70AC4">
        <w:rPr>
          <w:rFonts w:ascii="Palatino Linotype" w:eastAsia="Calibri" w:hAnsi="Palatino Linotype" w:cs="Tahoma"/>
          <w:iCs/>
          <w:color w:val="000000"/>
          <w:sz w:val="22"/>
          <w:szCs w:val="22"/>
          <w:lang w:eastAsia="en-US"/>
        </w:rPr>
        <w:t xml:space="preserve">De conformidad con el artículo 198 de la Ley de Transparencia y Acceso a la Información Pública del Estado de México y Municipios, de considerarlo procedente, el Sujeto Obligado </w:t>
      </w:r>
      <w:r w:rsidRPr="00E70AC4">
        <w:rPr>
          <w:rFonts w:ascii="Palatino Linotype" w:eastAsia="Calibri" w:hAnsi="Palatino Linotype" w:cs="Tahoma"/>
          <w:iCs/>
          <w:color w:val="000000"/>
          <w:sz w:val="22"/>
          <w:szCs w:val="22"/>
          <w:lang w:eastAsia="en-US"/>
        </w:rPr>
        <w:lastRenderedPageBreak/>
        <w:t>de manera fundada y motivada, podrá solicitar una ampliación de plazo para el cumplimiento de la presente Resolución.</w:t>
      </w:r>
    </w:p>
    <w:p w14:paraId="358A4736" w14:textId="77777777" w:rsidR="00C8221B" w:rsidRPr="00E70AC4" w:rsidRDefault="00C8221B" w:rsidP="00C8221B">
      <w:pPr>
        <w:spacing w:line="360" w:lineRule="auto"/>
        <w:jc w:val="both"/>
        <w:rPr>
          <w:rFonts w:ascii="Palatino Linotype" w:eastAsia="Calibri" w:hAnsi="Palatino Linotype" w:cs="Tahoma"/>
          <w:sz w:val="22"/>
          <w:szCs w:val="22"/>
          <w:lang w:eastAsia="es-MX"/>
        </w:rPr>
      </w:pPr>
    </w:p>
    <w:p w14:paraId="14DAC4A1" w14:textId="77777777" w:rsidR="00C8221B" w:rsidRPr="001263E7" w:rsidRDefault="00C8221B" w:rsidP="00C8221B">
      <w:pPr>
        <w:spacing w:line="360" w:lineRule="auto"/>
        <w:ind w:right="-93"/>
        <w:jc w:val="both"/>
        <w:rPr>
          <w:rFonts w:ascii="Palatino Linotype" w:hAnsi="Palatino Linotype" w:cs="Tahoma"/>
          <w:sz w:val="22"/>
          <w:szCs w:val="22"/>
        </w:rPr>
      </w:pPr>
      <w:r w:rsidRPr="001263E7">
        <w:rPr>
          <w:rFonts w:ascii="Palatino Linotype" w:eastAsia="Calibri" w:hAnsi="Palatino Linotype" w:cs="Tahoma"/>
          <w:b/>
          <w:sz w:val="22"/>
          <w:szCs w:val="22"/>
          <w:lang w:eastAsia="es-MX"/>
        </w:rPr>
        <w:t>CUARTO</w:t>
      </w:r>
      <w:r w:rsidRPr="001263E7">
        <w:rPr>
          <w:rFonts w:ascii="Palatino Linotype" w:eastAsia="Calibri" w:hAnsi="Palatino Linotype" w:cs="Tahoma"/>
          <w:b/>
          <w:bCs/>
          <w:sz w:val="22"/>
          <w:szCs w:val="22"/>
          <w:lang w:eastAsia="en-US"/>
        </w:rPr>
        <w:t>.</w:t>
      </w:r>
      <w:r w:rsidRPr="001263E7">
        <w:rPr>
          <w:rFonts w:ascii="Palatino Linotype" w:eastAsia="Calibri" w:hAnsi="Palatino Linotype" w:cs="Tahoma"/>
          <w:sz w:val="22"/>
          <w:szCs w:val="22"/>
          <w:lang w:eastAsia="es-MX"/>
        </w:rPr>
        <w:t xml:space="preserve"> </w:t>
      </w:r>
      <w:r w:rsidRPr="001263E7">
        <w:rPr>
          <w:rFonts w:ascii="Palatino Linotype" w:hAnsi="Palatino Linotype" w:cs="Tahoma"/>
          <w:b/>
          <w:sz w:val="22"/>
          <w:szCs w:val="22"/>
        </w:rPr>
        <w:t>NOTIFÍQUESE</w:t>
      </w:r>
      <w:r w:rsidRPr="001263E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14:paraId="27B6038C" w14:textId="5A204C1A" w:rsidR="00C8221B" w:rsidRDefault="00C8221B" w:rsidP="00C8221B">
      <w:pPr>
        <w:spacing w:line="360" w:lineRule="auto"/>
        <w:ind w:right="-93"/>
        <w:jc w:val="both"/>
        <w:rPr>
          <w:rFonts w:ascii="Palatino Linotype" w:hAnsi="Palatino Linotype" w:cs="Tahoma"/>
          <w:sz w:val="22"/>
          <w:szCs w:val="22"/>
        </w:rPr>
      </w:pPr>
    </w:p>
    <w:p w14:paraId="5964E1BF" w14:textId="77777777" w:rsidR="00BD4AC9" w:rsidRPr="00BD4AC9" w:rsidRDefault="00BD4AC9" w:rsidP="00BD4AC9">
      <w:pPr>
        <w:spacing w:line="360" w:lineRule="auto"/>
        <w:jc w:val="both"/>
        <w:rPr>
          <w:rFonts w:ascii="Palatino Linotype" w:hAnsi="Palatino Linotype" w:cs="Tahoma"/>
          <w:bCs/>
          <w:sz w:val="22"/>
          <w:szCs w:val="22"/>
        </w:rPr>
      </w:pPr>
      <w:r w:rsidRPr="00BD4AC9">
        <w:rPr>
          <w:rFonts w:ascii="Palatino Linotype" w:hAnsi="Palatino Linotype" w:cs="Tahoma"/>
          <w:b/>
          <w:bCs/>
          <w:sz w:val="22"/>
          <w:szCs w:val="22"/>
        </w:rPr>
        <w:t xml:space="preserve">SEXTO. </w:t>
      </w:r>
      <w:r w:rsidRPr="00BD4AC9">
        <w:rPr>
          <w:rFonts w:ascii="Palatino Linotype" w:hAnsi="Palatino Linotype" w:cs="Tahoma"/>
          <w:bCs/>
          <w:sz w:val="22"/>
          <w:szCs w:val="22"/>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DF3B6F">
        <w:rPr>
          <w:rFonts w:ascii="Palatino Linotype" w:hAnsi="Palatino Linotype" w:cs="Tahoma"/>
          <w:bCs/>
          <w:sz w:val="22"/>
          <w:szCs w:val="22"/>
        </w:rPr>
        <w:t>SÉPTIMO</w:t>
      </w:r>
      <w:r w:rsidRPr="00BD4AC9">
        <w:rPr>
          <w:rFonts w:ascii="Palatino Linotype" w:hAnsi="Palatino Linotype" w:cs="Tahoma"/>
          <w:bCs/>
          <w:sz w:val="22"/>
          <w:szCs w:val="22"/>
        </w:rPr>
        <w:t xml:space="preserve"> de la presente Resolución.</w:t>
      </w:r>
    </w:p>
    <w:p w14:paraId="5CE11032" w14:textId="77777777" w:rsidR="00BD4AC9" w:rsidRPr="00E70AC4" w:rsidRDefault="00BD4AC9" w:rsidP="00C8221B">
      <w:pPr>
        <w:spacing w:line="360" w:lineRule="auto"/>
        <w:ind w:right="-93"/>
        <w:jc w:val="both"/>
        <w:rPr>
          <w:rFonts w:ascii="Palatino Linotype" w:hAnsi="Palatino Linotype" w:cs="Tahoma"/>
          <w:sz w:val="22"/>
          <w:szCs w:val="22"/>
        </w:rPr>
      </w:pPr>
    </w:p>
    <w:p w14:paraId="0CB2C809" w14:textId="1809C5E6" w:rsidR="00C8221B" w:rsidRPr="00E70AC4" w:rsidRDefault="00C8221B" w:rsidP="00C8221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256752">
        <w:rPr>
          <w:rFonts w:ascii="Palatino Linotype" w:eastAsia="Calibri" w:hAnsi="Palatino Linotype" w:cs="Tahoma"/>
          <w:sz w:val="22"/>
          <w:szCs w:val="22"/>
          <w:lang w:val="es-ES" w:eastAsia="es-ES_tradnl"/>
        </w:rPr>
        <w:t>SÉPTIMA</w:t>
      </w:r>
      <w:r>
        <w:rPr>
          <w:rFonts w:ascii="Palatino Linotype" w:eastAsia="Calibri" w:hAnsi="Palatino Linotype" w:cs="Tahoma"/>
          <w:sz w:val="22"/>
          <w:szCs w:val="22"/>
          <w:lang w:val="es-ES" w:eastAsia="es-ES_tradnl"/>
        </w:rPr>
        <w:t xml:space="preserve"> SESIÓN ORDINARIA, CELEBRADA EL </w:t>
      </w:r>
      <w:r w:rsidR="00256752">
        <w:rPr>
          <w:rFonts w:ascii="Palatino Linotype" w:eastAsia="Calibri" w:hAnsi="Palatino Linotype" w:cs="Tahoma"/>
          <w:sz w:val="22"/>
          <w:szCs w:val="22"/>
          <w:lang w:val="es-ES" w:eastAsia="es-ES_tradnl"/>
        </w:rPr>
        <w:t>ONCE</w:t>
      </w:r>
      <w:r>
        <w:rPr>
          <w:rFonts w:ascii="Palatino Linotype" w:eastAsia="Calibri" w:hAnsi="Palatino Linotype" w:cs="Tahoma"/>
          <w:sz w:val="22"/>
          <w:szCs w:val="22"/>
          <w:lang w:val="es-ES" w:eastAsia="es-ES_tradnl"/>
        </w:rPr>
        <w:t xml:space="preserve"> DE MAYO DE DOS MIL VEINTIDÓS, ANTE EL SECRETARIO TÉCNICO DEL PLENO, ALEXIS TAPIA RAMÍREZ</w:t>
      </w:r>
      <w:r>
        <w:rPr>
          <w:rFonts w:ascii="Palatino Linotype" w:eastAsia="Calibri" w:hAnsi="Palatino Linotype" w:cs="Tahoma"/>
          <w:bCs/>
          <w:sz w:val="22"/>
          <w:szCs w:val="22"/>
          <w:lang w:eastAsia="en-US"/>
        </w:rPr>
        <w:t>.</w:t>
      </w:r>
    </w:p>
    <w:p w14:paraId="254B19D8" w14:textId="13F06C38" w:rsidR="009A6920" w:rsidRDefault="009A6920">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09745193" w14:textId="77777777" w:rsidR="00836192" w:rsidRPr="000B7ED7" w:rsidRDefault="00836192" w:rsidP="00836192">
      <w:pPr>
        <w:spacing w:line="360" w:lineRule="auto"/>
        <w:jc w:val="both"/>
        <w:rPr>
          <w:rFonts w:ascii="Palatino Linotype" w:hAnsi="Palatino Linotype" w:cs="Tahoma"/>
          <w:iCs/>
          <w:sz w:val="22"/>
          <w:szCs w:val="22"/>
        </w:rPr>
      </w:pPr>
    </w:p>
    <w:sectPr w:rsidR="00836192" w:rsidRPr="000B7ED7" w:rsidSect="00495118">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7549" w14:textId="77777777" w:rsidR="00142915" w:rsidRDefault="00142915" w:rsidP="0095634C">
      <w:r>
        <w:separator/>
      </w:r>
    </w:p>
  </w:endnote>
  <w:endnote w:type="continuationSeparator" w:id="0">
    <w:p w14:paraId="43429DDC" w14:textId="77777777" w:rsidR="00142915" w:rsidRDefault="00142915"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495118" w:rsidRDefault="0049511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495118" w:rsidRDefault="004951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495118" w:rsidRDefault="0049511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F3B6F">
              <w:rPr>
                <w:rFonts w:ascii="Palatino Linotype" w:hAnsi="Palatino Linotype"/>
                <w:b/>
                <w:bCs/>
                <w:noProof/>
                <w:sz w:val="22"/>
                <w:szCs w:val="22"/>
              </w:rPr>
              <w:t>31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F3B6F">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2F0605D7" w14:textId="77777777" w:rsidR="00495118" w:rsidRDefault="004951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495118" w:rsidRPr="00AA25BA" w:rsidRDefault="00495118">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F3B6F">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F3B6F">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3B988A6A" w14:textId="77777777" w:rsidR="00495118" w:rsidRDefault="004951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A560" w14:textId="77777777" w:rsidR="00142915" w:rsidRDefault="00142915" w:rsidP="0095634C">
      <w:r>
        <w:separator/>
      </w:r>
    </w:p>
  </w:footnote>
  <w:footnote w:type="continuationSeparator" w:id="0">
    <w:p w14:paraId="0103179E" w14:textId="77777777" w:rsidR="00142915" w:rsidRDefault="00142915"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495118" w14:paraId="79D54291" w14:textId="77777777" w:rsidTr="00495118">
      <w:trPr>
        <w:trHeight w:val="1435"/>
      </w:trPr>
      <w:tc>
        <w:tcPr>
          <w:tcW w:w="2972" w:type="dxa"/>
        </w:tcPr>
        <w:p w14:paraId="09131A3E" w14:textId="77777777" w:rsidR="00495118" w:rsidRDefault="00495118"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95118" w14:paraId="3B03FB1C" w14:textId="77777777" w:rsidTr="00495118">
            <w:trPr>
              <w:trHeight w:val="144"/>
            </w:trPr>
            <w:tc>
              <w:tcPr>
                <w:tcW w:w="2447" w:type="dxa"/>
                <w:hideMark/>
              </w:tcPr>
              <w:p w14:paraId="3CE26B04" w14:textId="77777777" w:rsidR="00495118" w:rsidRPr="008A245E" w:rsidRDefault="00495118"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95118" w:rsidRPr="008A245E" w:rsidRDefault="00495118" w:rsidP="00495118">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95118" w14:paraId="15071BA1" w14:textId="77777777" w:rsidTr="00495118">
            <w:trPr>
              <w:trHeight w:val="283"/>
            </w:trPr>
            <w:tc>
              <w:tcPr>
                <w:tcW w:w="2447" w:type="dxa"/>
                <w:hideMark/>
              </w:tcPr>
              <w:p w14:paraId="22C5262F" w14:textId="77777777"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95118" w:rsidRPr="008A245E" w:rsidRDefault="00495118" w:rsidP="00495118">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95118" w14:paraId="4E4D191A" w14:textId="77777777" w:rsidTr="00495118">
            <w:trPr>
              <w:trHeight w:val="283"/>
            </w:trPr>
            <w:tc>
              <w:tcPr>
                <w:tcW w:w="2447" w:type="dxa"/>
                <w:hideMark/>
              </w:tcPr>
              <w:p w14:paraId="4CBBA24A" w14:textId="77777777"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95118" w:rsidRPr="008A245E" w:rsidRDefault="00495118" w:rsidP="00495118">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95118" w:rsidRPr="008A245E" w:rsidRDefault="00495118" w:rsidP="00495118">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495118" w:rsidRDefault="00495118" w:rsidP="00495118">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495118" w:rsidRDefault="00495118">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8" w:type="dxa"/>
      <w:tblLayout w:type="fixed"/>
      <w:tblLook w:val="04A0" w:firstRow="1" w:lastRow="0" w:firstColumn="1" w:lastColumn="0" w:noHBand="0" w:noVBand="1"/>
    </w:tblPr>
    <w:tblGrid>
      <w:gridCol w:w="1985"/>
      <w:gridCol w:w="6733"/>
    </w:tblGrid>
    <w:tr w:rsidR="00495118" w14:paraId="6E062579" w14:textId="77777777" w:rsidTr="004B52AC">
      <w:trPr>
        <w:trHeight w:val="1435"/>
      </w:trPr>
      <w:tc>
        <w:tcPr>
          <w:tcW w:w="1985" w:type="dxa"/>
        </w:tcPr>
        <w:p w14:paraId="0B7A3F48" w14:textId="72A6E07E" w:rsidR="00495118" w:rsidRDefault="00495118" w:rsidP="00495118">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5784AF6C">
                <wp:simplePos x="0" y="0"/>
                <wp:positionH relativeFrom="margin">
                  <wp:posOffset>-1212215</wp:posOffset>
                </wp:positionH>
                <wp:positionV relativeFrom="margin">
                  <wp:posOffset>-386715</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4A35EA01" w14:textId="77777777" w:rsidR="00495118" w:rsidRPr="007D2BD0" w:rsidRDefault="00495118">
          <w:pPr>
            <w:rPr>
              <w:sz w:val="28"/>
              <w:szCs w:val="28"/>
            </w:rPr>
          </w:pPr>
        </w:p>
        <w:tbl>
          <w:tblPr>
            <w:tblStyle w:val="Tablaconcuadrcula"/>
            <w:tblW w:w="6645" w:type="dxa"/>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4226"/>
          </w:tblGrid>
          <w:tr w:rsidR="00495118" w14:paraId="391D395B" w14:textId="77777777" w:rsidTr="004B52AC">
            <w:trPr>
              <w:trHeight w:val="168"/>
            </w:trPr>
            <w:tc>
              <w:tcPr>
                <w:tcW w:w="2419" w:type="dxa"/>
                <w:hideMark/>
              </w:tcPr>
              <w:p w14:paraId="6BDA7469" w14:textId="77777777" w:rsidR="00495118" w:rsidRPr="008A245E" w:rsidRDefault="00495118"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4226" w:type="dxa"/>
                <w:hideMark/>
              </w:tcPr>
              <w:p w14:paraId="36B0D662" w14:textId="1DEE5F55" w:rsidR="00495118" w:rsidRPr="008A245E" w:rsidRDefault="00495118" w:rsidP="004B52AC">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01606</w:t>
                </w:r>
                <w:r w:rsidRPr="00F86B39">
                  <w:rPr>
                    <w:rFonts w:ascii="Palatino Linotype" w:eastAsia="Calibri" w:hAnsi="Palatino Linotype" w:cs="Tahoma"/>
                    <w:bCs/>
                    <w:sz w:val="22"/>
                    <w:szCs w:val="22"/>
                    <w:lang w:val="es-MX" w:eastAsia="en-US"/>
                  </w:rPr>
                  <w:t>/INFOEM/IP/RR/2022</w:t>
                </w:r>
                <w:r>
                  <w:rPr>
                    <w:rFonts w:ascii="Palatino Linotype" w:eastAsia="Calibri" w:hAnsi="Palatino Linotype" w:cs="Tahoma"/>
                    <w:bCs/>
                    <w:sz w:val="22"/>
                    <w:szCs w:val="22"/>
                    <w:lang w:val="es-MX" w:eastAsia="en-US"/>
                  </w:rPr>
                  <w:t xml:space="preserve"> y acumulados</w:t>
                </w:r>
              </w:p>
            </w:tc>
          </w:tr>
          <w:tr w:rsidR="00495118" w14:paraId="15A802B1" w14:textId="77777777" w:rsidTr="004B52AC">
            <w:trPr>
              <w:trHeight w:val="331"/>
            </w:trPr>
            <w:tc>
              <w:tcPr>
                <w:tcW w:w="2419" w:type="dxa"/>
                <w:hideMark/>
              </w:tcPr>
              <w:p w14:paraId="312E240A" w14:textId="1DA7AB79"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4226" w:type="dxa"/>
                <w:hideMark/>
              </w:tcPr>
              <w:p w14:paraId="52294E27" w14:textId="750AE9C5" w:rsidR="00495118" w:rsidRPr="008A245E" w:rsidRDefault="00495118" w:rsidP="004B52AC">
                <w:pPr>
                  <w:tabs>
                    <w:tab w:val="left" w:pos="2834"/>
                    <w:tab w:val="right" w:pos="8838"/>
                  </w:tabs>
                  <w:ind w:left="-74"/>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Sistema Municipal p</w:t>
                </w:r>
                <w:r w:rsidRPr="00FE7D5E">
                  <w:rPr>
                    <w:rFonts w:ascii="Palatino Linotype" w:eastAsia="Calibri" w:hAnsi="Palatino Linotype" w:cs="Tahoma"/>
                    <w:sz w:val="22"/>
                    <w:szCs w:val="22"/>
                    <w:lang w:val="es-MX" w:eastAsia="en-US"/>
                  </w:rPr>
                  <w:t>ara el Desarrollo Integral de la Familia de Metepec</w:t>
                </w:r>
              </w:p>
            </w:tc>
          </w:tr>
          <w:tr w:rsidR="00495118" w14:paraId="445FEB22" w14:textId="77777777" w:rsidTr="004B52AC">
            <w:trPr>
              <w:trHeight w:val="331"/>
            </w:trPr>
            <w:tc>
              <w:tcPr>
                <w:tcW w:w="2419" w:type="dxa"/>
                <w:hideMark/>
              </w:tcPr>
              <w:p w14:paraId="697BEF94" w14:textId="77777777"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4226" w:type="dxa"/>
              </w:tcPr>
              <w:p w14:paraId="5032B53E" w14:textId="3D883E2B" w:rsidR="00495118" w:rsidRPr="007D2BD0" w:rsidRDefault="00495118"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495118" w:rsidRDefault="00495118" w:rsidP="00495118">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495118" w:rsidRDefault="004951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1" w:type="dxa"/>
      <w:tblLayout w:type="fixed"/>
      <w:tblLook w:val="04A0" w:firstRow="1" w:lastRow="0" w:firstColumn="1" w:lastColumn="0" w:noHBand="0" w:noVBand="1"/>
    </w:tblPr>
    <w:tblGrid>
      <w:gridCol w:w="2268"/>
      <w:gridCol w:w="6733"/>
    </w:tblGrid>
    <w:tr w:rsidR="00495118" w14:paraId="3DF2FA98" w14:textId="77777777" w:rsidTr="0057023C">
      <w:trPr>
        <w:trHeight w:val="1435"/>
      </w:trPr>
      <w:tc>
        <w:tcPr>
          <w:tcW w:w="2268" w:type="dxa"/>
        </w:tcPr>
        <w:p w14:paraId="41C68381" w14:textId="77777777" w:rsidR="00495118" w:rsidRDefault="00495118"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6662"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4215"/>
          </w:tblGrid>
          <w:tr w:rsidR="00495118" w:rsidRPr="0095634C" w14:paraId="37156598" w14:textId="77777777" w:rsidTr="0057023C">
            <w:trPr>
              <w:trHeight w:val="144"/>
            </w:trPr>
            <w:tc>
              <w:tcPr>
                <w:tcW w:w="2447" w:type="dxa"/>
                <w:hideMark/>
              </w:tcPr>
              <w:p w14:paraId="77AFB3B7" w14:textId="77777777" w:rsidR="00495118" w:rsidRPr="0095634C" w:rsidRDefault="00495118" w:rsidP="00495118">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4215" w:type="dxa"/>
                <w:hideMark/>
              </w:tcPr>
              <w:p w14:paraId="2A8E7B1A" w14:textId="3B2AC423" w:rsidR="00495118" w:rsidRPr="0095634C" w:rsidRDefault="00495118" w:rsidP="0057023C">
                <w:pPr>
                  <w:tabs>
                    <w:tab w:val="right" w:pos="8838"/>
                  </w:tabs>
                  <w:ind w:left="-74" w:right="-105"/>
                  <w:jc w:val="both"/>
                  <w:rPr>
                    <w:rFonts w:ascii="Palatino Linotype" w:eastAsia="Calibri" w:hAnsi="Palatino Linotype" w:cs="Tahoma"/>
                    <w:sz w:val="22"/>
                    <w:szCs w:val="22"/>
                    <w:lang w:eastAsia="en-US"/>
                  </w:rPr>
                </w:pPr>
                <w:r w:rsidRPr="00C43D9A">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1606</w:t>
                </w:r>
                <w:r w:rsidRPr="00C43D9A">
                  <w:rPr>
                    <w:rFonts w:ascii="Palatino Linotype" w:eastAsia="Calibri" w:hAnsi="Palatino Linotype" w:cs="Tahoma"/>
                    <w:sz w:val="22"/>
                    <w:szCs w:val="22"/>
                    <w:lang w:val="es-MX" w:eastAsia="en-US"/>
                  </w:rPr>
                  <w:t>/INFOEM/IP/RR/2022</w:t>
                </w:r>
                <w:r w:rsidR="0057023C">
                  <w:rPr>
                    <w:rFonts w:ascii="Palatino Linotype" w:eastAsia="Calibri" w:hAnsi="Palatino Linotype" w:cs="Tahoma"/>
                    <w:sz w:val="22"/>
                    <w:szCs w:val="22"/>
                    <w:lang w:val="es-MX" w:eastAsia="en-US"/>
                  </w:rPr>
                  <w:t xml:space="preserve"> </w:t>
                </w:r>
                <w:r>
                  <w:rPr>
                    <w:rFonts w:ascii="Palatino Linotype" w:eastAsia="Calibri" w:hAnsi="Palatino Linotype" w:cs="Tahoma"/>
                    <w:sz w:val="22"/>
                    <w:szCs w:val="22"/>
                    <w:lang w:val="es-MX" w:eastAsia="en-US"/>
                  </w:rPr>
                  <w:t>y acumulados</w:t>
                </w:r>
              </w:p>
            </w:tc>
          </w:tr>
          <w:tr w:rsidR="00495118" w:rsidRPr="0095634C" w14:paraId="7B581380" w14:textId="77777777" w:rsidTr="0057023C">
            <w:trPr>
              <w:trHeight w:val="144"/>
            </w:trPr>
            <w:tc>
              <w:tcPr>
                <w:tcW w:w="2447" w:type="dxa"/>
                <w:hideMark/>
              </w:tcPr>
              <w:p w14:paraId="4AE74731" w14:textId="77777777" w:rsidR="00495118" w:rsidRPr="0095634C" w:rsidRDefault="00495118"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4215" w:type="dxa"/>
              </w:tcPr>
              <w:p w14:paraId="25A30DE0" w14:textId="6031015E" w:rsidR="00495118" w:rsidRPr="0095634C" w:rsidRDefault="00495118" w:rsidP="00495118">
                <w:pPr>
                  <w:tabs>
                    <w:tab w:val="left" w:pos="3122"/>
                    <w:tab w:val="right" w:pos="8838"/>
                  </w:tabs>
                  <w:ind w:left="-74" w:right="-105"/>
                  <w:jc w:val="both"/>
                  <w:rPr>
                    <w:rFonts w:ascii="Palatino Linotype" w:eastAsia="Calibri" w:hAnsi="Palatino Linotype" w:cs="Tahoma"/>
                    <w:sz w:val="22"/>
                    <w:szCs w:val="22"/>
                    <w:lang w:eastAsia="en-US"/>
                  </w:rPr>
                </w:pPr>
              </w:p>
            </w:tc>
          </w:tr>
          <w:tr w:rsidR="00495118" w:rsidRPr="0095634C" w14:paraId="290EEB68" w14:textId="77777777" w:rsidTr="0057023C">
            <w:trPr>
              <w:trHeight w:val="283"/>
            </w:trPr>
            <w:tc>
              <w:tcPr>
                <w:tcW w:w="2447" w:type="dxa"/>
                <w:hideMark/>
              </w:tcPr>
              <w:p w14:paraId="7CF1207D" w14:textId="77777777" w:rsidR="00495118" w:rsidRPr="0095634C" w:rsidRDefault="00495118"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4215" w:type="dxa"/>
                <w:hideMark/>
              </w:tcPr>
              <w:p w14:paraId="49785984" w14:textId="02001ED4" w:rsidR="00495118" w:rsidRPr="0095634C" w:rsidRDefault="00495118" w:rsidP="0057023C">
                <w:pPr>
                  <w:tabs>
                    <w:tab w:val="left" w:pos="2834"/>
                    <w:tab w:val="right" w:pos="8838"/>
                  </w:tabs>
                  <w:ind w:left="-74"/>
                  <w:jc w:val="both"/>
                  <w:rPr>
                    <w:rFonts w:ascii="Palatino Linotype" w:eastAsia="Calibri" w:hAnsi="Palatino Linotype" w:cs="Tahoma"/>
                    <w:sz w:val="22"/>
                    <w:szCs w:val="22"/>
                    <w:lang w:eastAsia="en-US"/>
                  </w:rPr>
                </w:pPr>
                <w:r w:rsidRPr="008C4879">
                  <w:rPr>
                    <w:rFonts w:ascii="Palatino Linotype" w:eastAsia="Calibri" w:hAnsi="Palatino Linotype" w:cs="Tahoma"/>
                    <w:sz w:val="22"/>
                    <w:szCs w:val="22"/>
                    <w:lang w:val="es-MX" w:eastAsia="en-US"/>
                  </w:rPr>
                  <w:t>Sistema Municipal Para el Desarrollo Integral de la Familia de Metepec</w:t>
                </w:r>
              </w:p>
            </w:tc>
          </w:tr>
          <w:tr w:rsidR="00495118" w:rsidRPr="0095634C" w14:paraId="02379758" w14:textId="77777777" w:rsidTr="0057023C">
            <w:trPr>
              <w:trHeight w:val="283"/>
            </w:trPr>
            <w:tc>
              <w:tcPr>
                <w:tcW w:w="2447" w:type="dxa"/>
                <w:hideMark/>
              </w:tcPr>
              <w:p w14:paraId="3C69AF13" w14:textId="77777777" w:rsidR="00495118" w:rsidRPr="0095634C" w:rsidRDefault="00495118"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4215" w:type="dxa"/>
              </w:tcPr>
              <w:p w14:paraId="4C4806BE" w14:textId="09F87BEB" w:rsidR="00495118" w:rsidRPr="0057023C" w:rsidRDefault="00495118" w:rsidP="0057023C">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9B5C929" w14:textId="77777777" w:rsidR="00495118" w:rsidRDefault="00495118" w:rsidP="00495118">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495118" w:rsidRDefault="009A6920" w:rsidP="0057023C">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5pt;margin-top:-136.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00648"/>
    <w:multiLevelType w:val="hybridMultilevel"/>
    <w:tmpl w:val="5D06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005391"/>
    <w:multiLevelType w:val="hybridMultilevel"/>
    <w:tmpl w:val="2D7691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FF4E58"/>
    <w:multiLevelType w:val="hybridMultilevel"/>
    <w:tmpl w:val="92681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B5EE6"/>
    <w:multiLevelType w:val="hybridMultilevel"/>
    <w:tmpl w:val="00808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D9460B7"/>
    <w:multiLevelType w:val="hybridMultilevel"/>
    <w:tmpl w:val="4BAC5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76001E"/>
    <w:multiLevelType w:val="hybridMultilevel"/>
    <w:tmpl w:val="41B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B8B7853"/>
    <w:multiLevelType w:val="hybridMultilevel"/>
    <w:tmpl w:val="1F42819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7" w15:restartNumberingAfterBreak="0">
    <w:nsid w:val="6D437203"/>
    <w:multiLevelType w:val="hybridMultilevel"/>
    <w:tmpl w:val="50F41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4469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846041">
    <w:abstractNumId w:val="17"/>
  </w:num>
  <w:num w:numId="3" w16cid:durableId="1054349127">
    <w:abstractNumId w:val="1"/>
  </w:num>
  <w:num w:numId="4" w16cid:durableId="573130106">
    <w:abstractNumId w:val="14"/>
  </w:num>
  <w:num w:numId="5" w16cid:durableId="1467045331">
    <w:abstractNumId w:val="13"/>
  </w:num>
  <w:num w:numId="6" w16cid:durableId="1288583240">
    <w:abstractNumId w:val="8"/>
  </w:num>
  <w:num w:numId="7" w16cid:durableId="342585007">
    <w:abstractNumId w:val="31"/>
  </w:num>
  <w:num w:numId="8" w16cid:durableId="1357119973">
    <w:abstractNumId w:val="0"/>
  </w:num>
  <w:num w:numId="9" w16cid:durableId="1134058273">
    <w:abstractNumId w:val="23"/>
  </w:num>
  <w:num w:numId="10" w16cid:durableId="897940277">
    <w:abstractNumId w:val="24"/>
  </w:num>
  <w:num w:numId="11" w16cid:durableId="1987708352">
    <w:abstractNumId w:val="7"/>
  </w:num>
  <w:num w:numId="12" w16cid:durableId="160972176">
    <w:abstractNumId w:val="20"/>
  </w:num>
  <w:num w:numId="13" w16cid:durableId="1007755953">
    <w:abstractNumId w:val="29"/>
  </w:num>
  <w:num w:numId="14" w16cid:durableId="613287883">
    <w:abstractNumId w:val="10"/>
  </w:num>
  <w:num w:numId="15" w16cid:durableId="1243953383">
    <w:abstractNumId w:val="25"/>
  </w:num>
  <w:num w:numId="16" w16cid:durableId="1300576485">
    <w:abstractNumId w:val="32"/>
  </w:num>
  <w:num w:numId="17" w16cid:durableId="774523605">
    <w:abstractNumId w:val="3"/>
  </w:num>
  <w:num w:numId="18" w16cid:durableId="1751269524">
    <w:abstractNumId w:val="22"/>
  </w:num>
  <w:num w:numId="19" w16cid:durableId="1367173046">
    <w:abstractNumId w:val="9"/>
  </w:num>
  <w:num w:numId="20" w16cid:durableId="1664314493">
    <w:abstractNumId w:val="30"/>
  </w:num>
  <w:num w:numId="21" w16cid:durableId="1295714348">
    <w:abstractNumId w:val="12"/>
  </w:num>
  <w:num w:numId="22" w16cid:durableId="13218868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256577">
    <w:abstractNumId w:val="15"/>
  </w:num>
  <w:num w:numId="24" w16cid:durableId="257955987">
    <w:abstractNumId w:val="19"/>
  </w:num>
  <w:num w:numId="25" w16cid:durableId="1474443173">
    <w:abstractNumId w:val="33"/>
  </w:num>
  <w:num w:numId="26" w16cid:durableId="1226988746">
    <w:abstractNumId w:val="5"/>
  </w:num>
  <w:num w:numId="27" w16cid:durableId="1151754264">
    <w:abstractNumId w:val="4"/>
  </w:num>
  <w:num w:numId="28" w16cid:durableId="1040782872">
    <w:abstractNumId w:val="11"/>
  </w:num>
  <w:num w:numId="29" w16cid:durableId="2106417680">
    <w:abstractNumId w:val="2"/>
  </w:num>
  <w:num w:numId="30" w16cid:durableId="930817114">
    <w:abstractNumId w:val="26"/>
  </w:num>
  <w:num w:numId="31" w16cid:durableId="979071083">
    <w:abstractNumId w:val="16"/>
  </w:num>
  <w:num w:numId="32" w16cid:durableId="660960675">
    <w:abstractNumId w:val="27"/>
  </w:num>
  <w:num w:numId="33" w16cid:durableId="723024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2922225">
    <w:abstractNumId w:val="6"/>
  </w:num>
  <w:num w:numId="35" w16cid:durableId="1326282380">
    <w:abstractNumId w:val="21"/>
  </w:num>
  <w:num w:numId="36" w16cid:durableId="4027990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47219"/>
    <w:rsid w:val="000506E9"/>
    <w:rsid w:val="000565F2"/>
    <w:rsid w:val="000608EB"/>
    <w:rsid w:val="000626F3"/>
    <w:rsid w:val="00066610"/>
    <w:rsid w:val="000A3F89"/>
    <w:rsid w:val="000A4F1B"/>
    <w:rsid w:val="000A6377"/>
    <w:rsid w:val="000B0C2A"/>
    <w:rsid w:val="000B3087"/>
    <w:rsid w:val="000B3A22"/>
    <w:rsid w:val="000B7ED7"/>
    <w:rsid w:val="000C553C"/>
    <w:rsid w:val="000C6A5E"/>
    <w:rsid w:val="000D1272"/>
    <w:rsid w:val="000D42FE"/>
    <w:rsid w:val="000D77EA"/>
    <w:rsid w:val="000E0240"/>
    <w:rsid w:val="000F2857"/>
    <w:rsid w:val="00104D7E"/>
    <w:rsid w:val="00121F26"/>
    <w:rsid w:val="00130F94"/>
    <w:rsid w:val="0013794C"/>
    <w:rsid w:val="00141242"/>
    <w:rsid w:val="00142915"/>
    <w:rsid w:val="00160192"/>
    <w:rsid w:val="00160BED"/>
    <w:rsid w:val="00161E09"/>
    <w:rsid w:val="00185DBF"/>
    <w:rsid w:val="001A2DD6"/>
    <w:rsid w:val="001A6B7A"/>
    <w:rsid w:val="001A75F6"/>
    <w:rsid w:val="001B6873"/>
    <w:rsid w:val="001D7603"/>
    <w:rsid w:val="001F4A4B"/>
    <w:rsid w:val="001F5C48"/>
    <w:rsid w:val="00211B95"/>
    <w:rsid w:val="00213A5A"/>
    <w:rsid w:val="00230E40"/>
    <w:rsid w:val="00230F62"/>
    <w:rsid w:val="00231A8C"/>
    <w:rsid w:val="00235CE7"/>
    <w:rsid w:val="0024466A"/>
    <w:rsid w:val="002476E5"/>
    <w:rsid w:val="00256752"/>
    <w:rsid w:val="00257CC5"/>
    <w:rsid w:val="002637CE"/>
    <w:rsid w:val="002747DD"/>
    <w:rsid w:val="00276C92"/>
    <w:rsid w:val="00281696"/>
    <w:rsid w:val="002907E0"/>
    <w:rsid w:val="002A1427"/>
    <w:rsid w:val="002A4913"/>
    <w:rsid w:val="002D2338"/>
    <w:rsid w:val="002E75CA"/>
    <w:rsid w:val="002F4964"/>
    <w:rsid w:val="0030752D"/>
    <w:rsid w:val="00307A43"/>
    <w:rsid w:val="00310DE3"/>
    <w:rsid w:val="00316110"/>
    <w:rsid w:val="00351FB0"/>
    <w:rsid w:val="003542E5"/>
    <w:rsid w:val="00361539"/>
    <w:rsid w:val="00375D3D"/>
    <w:rsid w:val="00383E91"/>
    <w:rsid w:val="003843D7"/>
    <w:rsid w:val="00392421"/>
    <w:rsid w:val="00394135"/>
    <w:rsid w:val="00396CB6"/>
    <w:rsid w:val="003A1940"/>
    <w:rsid w:val="003A3252"/>
    <w:rsid w:val="003A3346"/>
    <w:rsid w:val="003A3625"/>
    <w:rsid w:val="003D0DA5"/>
    <w:rsid w:val="003D1134"/>
    <w:rsid w:val="003D1F3F"/>
    <w:rsid w:val="003D4E7B"/>
    <w:rsid w:val="003D6308"/>
    <w:rsid w:val="003E1986"/>
    <w:rsid w:val="003F04D2"/>
    <w:rsid w:val="003F735A"/>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95118"/>
    <w:rsid w:val="004A0BF6"/>
    <w:rsid w:val="004A6B19"/>
    <w:rsid w:val="004B218A"/>
    <w:rsid w:val="004B4916"/>
    <w:rsid w:val="004B5166"/>
    <w:rsid w:val="004B52AC"/>
    <w:rsid w:val="004C3562"/>
    <w:rsid w:val="004D6299"/>
    <w:rsid w:val="004E02C5"/>
    <w:rsid w:val="004F07FB"/>
    <w:rsid w:val="00502E9F"/>
    <w:rsid w:val="00504814"/>
    <w:rsid w:val="00507592"/>
    <w:rsid w:val="00514206"/>
    <w:rsid w:val="005153DD"/>
    <w:rsid w:val="0051795D"/>
    <w:rsid w:val="00522842"/>
    <w:rsid w:val="00523125"/>
    <w:rsid w:val="00530E2A"/>
    <w:rsid w:val="00534797"/>
    <w:rsid w:val="00545AC9"/>
    <w:rsid w:val="00546555"/>
    <w:rsid w:val="00557323"/>
    <w:rsid w:val="00557E2C"/>
    <w:rsid w:val="005626A1"/>
    <w:rsid w:val="0057023C"/>
    <w:rsid w:val="005726A2"/>
    <w:rsid w:val="00585616"/>
    <w:rsid w:val="005864BF"/>
    <w:rsid w:val="005914CC"/>
    <w:rsid w:val="00596B4A"/>
    <w:rsid w:val="00597A7F"/>
    <w:rsid w:val="005A1F35"/>
    <w:rsid w:val="005A79E2"/>
    <w:rsid w:val="005C07B0"/>
    <w:rsid w:val="005D2E5D"/>
    <w:rsid w:val="005E073D"/>
    <w:rsid w:val="005E3569"/>
    <w:rsid w:val="005E4A8A"/>
    <w:rsid w:val="005E4EE4"/>
    <w:rsid w:val="005F4A06"/>
    <w:rsid w:val="006046B1"/>
    <w:rsid w:val="006157BB"/>
    <w:rsid w:val="006208B0"/>
    <w:rsid w:val="00621704"/>
    <w:rsid w:val="006248CB"/>
    <w:rsid w:val="00630EB5"/>
    <w:rsid w:val="0063471E"/>
    <w:rsid w:val="00647F54"/>
    <w:rsid w:val="00650F54"/>
    <w:rsid w:val="00651A66"/>
    <w:rsid w:val="0066126D"/>
    <w:rsid w:val="00672ADC"/>
    <w:rsid w:val="00675A95"/>
    <w:rsid w:val="0069089F"/>
    <w:rsid w:val="006950C7"/>
    <w:rsid w:val="006B45B2"/>
    <w:rsid w:val="006B5A03"/>
    <w:rsid w:val="006B5DC1"/>
    <w:rsid w:val="006C59AB"/>
    <w:rsid w:val="006D4281"/>
    <w:rsid w:val="006E69F4"/>
    <w:rsid w:val="006F1504"/>
    <w:rsid w:val="006F1A32"/>
    <w:rsid w:val="006F29FC"/>
    <w:rsid w:val="00713AA7"/>
    <w:rsid w:val="00715A13"/>
    <w:rsid w:val="0071724E"/>
    <w:rsid w:val="00746888"/>
    <w:rsid w:val="007563E0"/>
    <w:rsid w:val="00765BA5"/>
    <w:rsid w:val="00775120"/>
    <w:rsid w:val="007A7DE9"/>
    <w:rsid w:val="007B1E8E"/>
    <w:rsid w:val="007B4264"/>
    <w:rsid w:val="007B7200"/>
    <w:rsid w:val="007B7A1E"/>
    <w:rsid w:val="007D06F3"/>
    <w:rsid w:val="007D2BD0"/>
    <w:rsid w:val="007D3EE1"/>
    <w:rsid w:val="007E3F9F"/>
    <w:rsid w:val="007E611F"/>
    <w:rsid w:val="007F7D7B"/>
    <w:rsid w:val="008110DA"/>
    <w:rsid w:val="00831399"/>
    <w:rsid w:val="00836192"/>
    <w:rsid w:val="00836CE5"/>
    <w:rsid w:val="008455E3"/>
    <w:rsid w:val="0086262C"/>
    <w:rsid w:val="00871DE3"/>
    <w:rsid w:val="008912D9"/>
    <w:rsid w:val="008A30AE"/>
    <w:rsid w:val="008B0751"/>
    <w:rsid w:val="008B0ADF"/>
    <w:rsid w:val="008B5B2C"/>
    <w:rsid w:val="008C4879"/>
    <w:rsid w:val="008D065B"/>
    <w:rsid w:val="00901698"/>
    <w:rsid w:val="00917F65"/>
    <w:rsid w:val="00920B51"/>
    <w:rsid w:val="009219A8"/>
    <w:rsid w:val="009220A2"/>
    <w:rsid w:val="00924DE1"/>
    <w:rsid w:val="00926AED"/>
    <w:rsid w:val="009303E9"/>
    <w:rsid w:val="00932E46"/>
    <w:rsid w:val="0093476C"/>
    <w:rsid w:val="00940F71"/>
    <w:rsid w:val="00942E82"/>
    <w:rsid w:val="009447E4"/>
    <w:rsid w:val="009473E5"/>
    <w:rsid w:val="00954786"/>
    <w:rsid w:val="0095634C"/>
    <w:rsid w:val="00971DE8"/>
    <w:rsid w:val="00985BD9"/>
    <w:rsid w:val="00987E45"/>
    <w:rsid w:val="009914FC"/>
    <w:rsid w:val="0099190D"/>
    <w:rsid w:val="00993A49"/>
    <w:rsid w:val="009A6920"/>
    <w:rsid w:val="009A6A7F"/>
    <w:rsid w:val="009D0B60"/>
    <w:rsid w:val="009D0EAF"/>
    <w:rsid w:val="009E36CA"/>
    <w:rsid w:val="009E7D9C"/>
    <w:rsid w:val="009F3053"/>
    <w:rsid w:val="00A047C2"/>
    <w:rsid w:val="00A10051"/>
    <w:rsid w:val="00A12F9C"/>
    <w:rsid w:val="00A264D5"/>
    <w:rsid w:val="00A317C4"/>
    <w:rsid w:val="00A6038A"/>
    <w:rsid w:val="00A6169C"/>
    <w:rsid w:val="00A61B02"/>
    <w:rsid w:val="00A63A85"/>
    <w:rsid w:val="00A828B7"/>
    <w:rsid w:val="00A84C18"/>
    <w:rsid w:val="00A8545A"/>
    <w:rsid w:val="00A8670F"/>
    <w:rsid w:val="00A9311D"/>
    <w:rsid w:val="00AB0CC4"/>
    <w:rsid w:val="00AB1859"/>
    <w:rsid w:val="00AB1DB6"/>
    <w:rsid w:val="00AE38E0"/>
    <w:rsid w:val="00AE5D0C"/>
    <w:rsid w:val="00AE6491"/>
    <w:rsid w:val="00AF1BE3"/>
    <w:rsid w:val="00AF331C"/>
    <w:rsid w:val="00B00F8E"/>
    <w:rsid w:val="00B16987"/>
    <w:rsid w:val="00B204C6"/>
    <w:rsid w:val="00B312A0"/>
    <w:rsid w:val="00B3415C"/>
    <w:rsid w:val="00B350F7"/>
    <w:rsid w:val="00B43DA9"/>
    <w:rsid w:val="00B5029F"/>
    <w:rsid w:val="00B51BBC"/>
    <w:rsid w:val="00B60565"/>
    <w:rsid w:val="00B61001"/>
    <w:rsid w:val="00B62828"/>
    <w:rsid w:val="00B633C1"/>
    <w:rsid w:val="00B6391B"/>
    <w:rsid w:val="00B64B2F"/>
    <w:rsid w:val="00B725E2"/>
    <w:rsid w:val="00B867F6"/>
    <w:rsid w:val="00B86CB4"/>
    <w:rsid w:val="00BB3D12"/>
    <w:rsid w:val="00BB6DA1"/>
    <w:rsid w:val="00BC1956"/>
    <w:rsid w:val="00BD402D"/>
    <w:rsid w:val="00BD4AC9"/>
    <w:rsid w:val="00BE3FD4"/>
    <w:rsid w:val="00BE6B4C"/>
    <w:rsid w:val="00BF1A54"/>
    <w:rsid w:val="00BF2061"/>
    <w:rsid w:val="00BF2B49"/>
    <w:rsid w:val="00C108A7"/>
    <w:rsid w:val="00C31A94"/>
    <w:rsid w:val="00C43D9A"/>
    <w:rsid w:val="00C45523"/>
    <w:rsid w:val="00C54A2A"/>
    <w:rsid w:val="00C550BF"/>
    <w:rsid w:val="00C63B22"/>
    <w:rsid w:val="00C808F2"/>
    <w:rsid w:val="00C80901"/>
    <w:rsid w:val="00C8221B"/>
    <w:rsid w:val="00CB7549"/>
    <w:rsid w:val="00CC409B"/>
    <w:rsid w:val="00CD4DB4"/>
    <w:rsid w:val="00CD7D3C"/>
    <w:rsid w:val="00CF2A60"/>
    <w:rsid w:val="00CF6D4F"/>
    <w:rsid w:val="00D06AB1"/>
    <w:rsid w:val="00D251D1"/>
    <w:rsid w:val="00D33435"/>
    <w:rsid w:val="00D33CDC"/>
    <w:rsid w:val="00D37132"/>
    <w:rsid w:val="00D41CFA"/>
    <w:rsid w:val="00D42E58"/>
    <w:rsid w:val="00D4637F"/>
    <w:rsid w:val="00D5551D"/>
    <w:rsid w:val="00D618BD"/>
    <w:rsid w:val="00D772FA"/>
    <w:rsid w:val="00D8045B"/>
    <w:rsid w:val="00D86214"/>
    <w:rsid w:val="00D9643B"/>
    <w:rsid w:val="00DA15E4"/>
    <w:rsid w:val="00DB299F"/>
    <w:rsid w:val="00DB3B13"/>
    <w:rsid w:val="00DC23F9"/>
    <w:rsid w:val="00DD5B01"/>
    <w:rsid w:val="00DD6F15"/>
    <w:rsid w:val="00DE25AA"/>
    <w:rsid w:val="00DF3B6F"/>
    <w:rsid w:val="00DF4C52"/>
    <w:rsid w:val="00E03B6C"/>
    <w:rsid w:val="00E102F7"/>
    <w:rsid w:val="00E10784"/>
    <w:rsid w:val="00E12FF2"/>
    <w:rsid w:val="00E40B0B"/>
    <w:rsid w:val="00E40D83"/>
    <w:rsid w:val="00E4176B"/>
    <w:rsid w:val="00E438B3"/>
    <w:rsid w:val="00E4516B"/>
    <w:rsid w:val="00E66FD9"/>
    <w:rsid w:val="00E749CF"/>
    <w:rsid w:val="00E82D16"/>
    <w:rsid w:val="00E87C5B"/>
    <w:rsid w:val="00EB70C4"/>
    <w:rsid w:val="00EE1986"/>
    <w:rsid w:val="00EE21F3"/>
    <w:rsid w:val="00EF4936"/>
    <w:rsid w:val="00F17764"/>
    <w:rsid w:val="00F245A5"/>
    <w:rsid w:val="00F316A7"/>
    <w:rsid w:val="00F50AD9"/>
    <w:rsid w:val="00F52199"/>
    <w:rsid w:val="00F55277"/>
    <w:rsid w:val="00F56BE6"/>
    <w:rsid w:val="00F57945"/>
    <w:rsid w:val="00F642A7"/>
    <w:rsid w:val="00F67994"/>
    <w:rsid w:val="00F70958"/>
    <w:rsid w:val="00F83F45"/>
    <w:rsid w:val="00F8437C"/>
    <w:rsid w:val="00F846C1"/>
    <w:rsid w:val="00F86B39"/>
    <w:rsid w:val="00F95318"/>
    <w:rsid w:val="00FA2832"/>
    <w:rsid w:val="00FA367F"/>
    <w:rsid w:val="00FB4630"/>
    <w:rsid w:val="00FC2A43"/>
    <w:rsid w:val="00FD238F"/>
    <w:rsid w:val="00FD3144"/>
    <w:rsid w:val="00FD6DF3"/>
    <w:rsid w:val="00FE0DFB"/>
    <w:rsid w:val="00FE7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9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 w:type="character" w:customStyle="1" w:styleId="Mencinsinresolver2">
    <w:name w:val="Mención sin resolver2"/>
    <w:basedOn w:val="Fuentedeprrafopredeter"/>
    <w:uiPriority w:val="99"/>
    <w:semiHidden/>
    <w:unhideWhenUsed/>
    <w:rsid w:val="00A6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foExcel/DIFMETEPEC/art_92_vii/4.we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ipd.org/sites/default/files/inline-files/Panel_9_Redes_Sociales_y_PDP_ok-INAI.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44F6-2C9B-4317-85DA-97FA56A5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7827</Words>
  <Characters>43054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2022-05-05T23:47:00Z</dcterms:created>
  <dcterms:modified xsi:type="dcterms:W3CDTF">2022-05-13T03:10:00Z</dcterms:modified>
</cp:coreProperties>
</file>