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80" w:rsidRPr="00CB45F6" w:rsidRDefault="00516180" w:rsidP="00516180">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93952">
        <w:rPr>
          <w:rFonts w:ascii="Palatino Linotype" w:eastAsia="Times New Roman" w:hAnsi="Palatino Linotype" w:cs="Arial"/>
          <w:color w:val="000000"/>
          <w:sz w:val="24"/>
          <w:szCs w:val="24"/>
          <w:lang w:eastAsia="es-MX"/>
        </w:rPr>
        <w:t>veinticuatro de agosto</w:t>
      </w:r>
      <w:r>
        <w:rPr>
          <w:rFonts w:ascii="Palatino Linotype" w:eastAsia="Times New Roman" w:hAnsi="Palatino Linotype" w:cs="Arial"/>
          <w:color w:val="000000"/>
          <w:sz w:val="24"/>
          <w:szCs w:val="24"/>
          <w:lang w:eastAsia="es-MX"/>
        </w:rPr>
        <w:t xml:space="preserve"> </w:t>
      </w:r>
      <w:r w:rsidRPr="00CB45F6">
        <w:rPr>
          <w:rFonts w:ascii="Palatino Linotype" w:eastAsia="Times New Roman" w:hAnsi="Palatino Linotype" w:cs="Arial"/>
          <w:color w:val="000000"/>
          <w:sz w:val="24"/>
          <w:szCs w:val="24"/>
          <w:lang w:eastAsia="es-MX"/>
        </w:rPr>
        <w:t>de dos mil veintidós.</w:t>
      </w:r>
    </w:p>
    <w:p w:rsidR="00516180" w:rsidRPr="00CB45F6" w:rsidRDefault="00516180" w:rsidP="005161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16180" w:rsidRPr="009E3B15" w:rsidRDefault="00516180" w:rsidP="00516180">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6635</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 </w:t>
      </w:r>
      <w:r w:rsidRPr="009E3B15">
        <w:rPr>
          <w:rFonts w:ascii="Palatino Linotype" w:hAnsi="Palatino Linotype"/>
          <w:sz w:val="24"/>
          <w:szCs w:val="24"/>
        </w:rPr>
        <w:t>por</w:t>
      </w:r>
      <w:r w:rsidRPr="009E3B15">
        <w:rPr>
          <w:rFonts w:ascii="Palatino Linotype" w:hAnsi="Palatino Linotype"/>
          <w:sz w:val="24"/>
          <w:szCs w:val="24"/>
          <w:lang w:val="es-ES_tradnl"/>
        </w:rPr>
        <w:t xml:space="preserve"> </w:t>
      </w:r>
      <w:r w:rsidR="00660E36">
        <w:rPr>
          <w:rFonts w:ascii="Palatino Linotype" w:hAnsi="Palatino Linotype"/>
          <w:b/>
          <w:sz w:val="24"/>
          <w:szCs w:val="24"/>
          <w:lang w:val="es-ES_tradnl"/>
        </w:rPr>
        <w:t>XXXXXXXXXXXXXXXXXXX</w:t>
      </w:r>
      <w:bookmarkStart w:id="0" w:name="_GoBack"/>
      <w:bookmarkEnd w:id="0"/>
      <w:r w:rsidRPr="009E3B15">
        <w:rPr>
          <w:rFonts w:ascii="Palatino Linotype" w:hAnsi="Palatino Linotype"/>
          <w:sz w:val="24"/>
          <w:szCs w:val="24"/>
        </w:rPr>
        <w:t xml:space="preserve">, quien en lo sucesivo se le denominara como </w:t>
      </w:r>
      <w:r>
        <w:rPr>
          <w:rFonts w:ascii="Palatino Linotype" w:hAnsi="Palatino Linotype"/>
          <w:b/>
          <w:sz w:val="24"/>
          <w:szCs w:val="24"/>
        </w:rPr>
        <w:t>la</w:t>
      </w:r>
      <w:r w:rsidRPr="009E3B15">
        <w:rPr>
          <w:rFonts w:ascii="Palatino Linotype" w:hAnsi="Palatino Linotype"/>
          <w:b/>
          <w:sz w:val="24"/>
          <w:szCs w:val="24"/>
        </w:rPr>
        <w:t xml:space="preserve">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w:t>
      </w:r>
      <w:r w:rsidRPr="009E3B15">
        <w:rPr>
          <w:rFonts w:ascii="Palatino Linotype" w:hAnsi="Palatino Linotype" w:cs="Arial"/>
          <w:sz w:val="24"/>
          <w:szCs w:val="24"/>
        </w:rPr>
        <w:t xml:space="preserve">l </w:t>
      </w:r>
      <w:r w:rsidRPr="00516180">
        <w:rPr>
          <w:rFonts w:ascii="Palatino Linotype" w:hAnsi="Palatino Linotype" w:cs="Arial"/>
          <w:b/>
          <w:sz w:val="24"/>
          <w:szCs w:val="24"/>
        </w:rPr>
        <w:t>Ayuntamiento de Atizapán de Zaragoza</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516180" w:rsidRPr="00CB45F6" w:rsidRDefault="00516180" w:rsidP="00516180">
      <w:pPr>
        <w:tabs>
          <w:tab w:val="left" w:pos="6960"/>
        </w:tabs>
        <w:spacing w:after="0" w:line="360" w:lineRule="auto"/>
        <w:jc w:val="both"/>
        <w:rPr>
          <w:rFonts w:ascii="Palatino Linotype" w:hAnsi="Palatino Linotype" w:cs="Arial"/>
          <w:sz w:val="24"/>
          <w:szCs w:val="24"/>
        </w:rPr>
      </w:pPr>
    </w:p>
    <w:p w:rsidR="00516180" w:rsidRPr="00CB45F6" w:rsidRDefault="00516180" w:rsidP="00516180">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516180" w:rsidRPr="00CB45F6" w:rsidRDefault="00516180" w:rsidP="00516180">
      <w:pPr>
        <w:spacing w:after="0" w:line="360" w:lineRule="auto"/>
        <w:rPr>
          <w:rFonts w:ascii="Palatino Linotype" w:hAnsi="Palatino Linotype" w:cs="Arial"/>
          <w:b/>
          <w:sz w:val="24"/>
          <w:szCs w:val="24"/>
        </w:rPr>
      </w:pP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17 (diecisiete) de marzo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xml:space="preserve">, </w:t>
      </w:r>
      <w:r>
        <w:rPr>
          <w:rFonts w:ascii="Palatino Linotype" w:hAnsi="Palatino Linotype" w:cs="Arial"/>
          <w:sz w:val="24"/>
          <w:szCs w:val="24"/>
        </w:rPr>
        <w:t>la</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 de expediente</w:t>
      </w:r>
      <w:r w:rsidRPr="00CB45F6">
        <w:rPr>
          <w:rFonts w:ascii="Palatino Linotype" w:hAnsi="Palatino Linotype" w:cs="Arial"/>
          <w:b/>
          <w:sz w:val="24"/>
          <w:szCs w:val="24"/>
        </w:rPr>
        <w:t xml:space="preserve"> </w:t>
      </w:r>
      <w:r w:rsidRPr="00516180">
        <w:rPr>
          <w:rFonts w:ascii="Palatino Linotype" w:hAnsi="Palatino Linotype" w:cs="Arial"/>
          <w:b/>
          <w:sz w:val="24"/>
          <w:szCs w:val="24"/>
        </w:rPr>
        <w:t>00160/ATIZARA/IP/2022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Pr>
          <w:rFonts w:ascii="Palatino Linotype" w:hAnsi="Palatino Linotype" w:cs="Arial"/>
          <w:sz w:val="24"/>
          <w:szCs w:val="24"/>
        </w:rPr>
        <w:t>mediante la</w:t>
      </w:r>
      <w:r w:rsidRPr="00CB45F6">
        <w:rPr>
          <w:rFonts w:ascii="Palatino Linotype" w:hAnsi="Palatino Linotype" w:cs="Arial"/>
          <w:sz w:val="24"/>
          <w:szCs w:val="24"/>
        </w:rPr>
        <w:t xml:space="preserve"> cual solicitó información en el tenor siguiente:</w:t>
      </w:r>
    </w:p>
    <w:p w:rsidR="00516180" w:rsidRPr="00CB45F6" w:rsidRDefault="00516180" w:rsidP="00516180">
      <w:pPr>
        <w:spacing w:after="0" w:line="360" w:lineRule="auto"/>
        <w:jc w:val="both"/>
        <w:rPr>
          <w:rFonts w:ascii="Palatino Linotype" w:hAnsi="Palatino Linotype" w:cs="Arial"/>
          <w:sz w:val="24"/>
          <w:szCs w:val="24"/>
        </w:rPr>
      </w:pPr>
    </w:p>
    <w:p w:rsidR="00516180" w:rsidRPr="00CB45F6" w:rsidRDefault="00516180" w:rsidP="005161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516180">
        <w:t xml:space="preserve"> </w:t>
      </w:r>
      <w:r w:rsidRPr="00516180">
        <w:rPr>
          <w:rFonts w:ascii="Palatino Linotype" w:eastAsia="Times New Roman" w:hAnsi="Palatino Linotype" w:cs="Times New Roman"/>
          <w:i/>
          <w:szCs w:val="24"/>
          <w:lang w:val="es-ES_tradnl" w:eastAsia="es-ES"/>
        </w:rPr>
        <w:t xml:space="preserve">Solicito a la Dirección de Ordenamiento Territorial y Desarrollo Urbano del Municipio de Atizapán de Zaragoza me informe cuales son los requisitos establecidos en sus formatos de solicitud y en que Código o Legislación se encuentran fundamentados, toda vez que, en la ventanilla única de dicha dependencia se solicita además de los previstos por la ley, los siguientes : 1.- Archivo </w:t>
      </w:r>
      <w:proofErr w:type="spellStart"/>
      <w:r w:rsidRPr="00516180">
        <w:rPr>
          <w:rFonts w:ascii="Palatino Linotype" w:eastAsia="Times New Roman" w:hAnsi="Palatino Linotype" w:cs="Times New Roman"/>
          <w:i/>
          <w:szCs w:val="24"/>
          <w:lang w:val="es-ES_tradnl" w:eastAsia="es-ES"/>
        </w:rPr>
        <w:t>kml</w:t>
      </w:r>
      <w:proofErr w:type="spellEnd"/>
      <w:r w:rsidRPr="00516180">
        <w:rPr>
          <w:rFonts w:ascii="Palatino Linotype" w:eastAsia="Times New Roman" w:hAnsi="Palatino Linotype" w:cs="Times New Roman"/>
          <w:i/>
          <w:szCs w:val="24"/>
          <w:lang w:val="es-ES_tradnl" w:eastAsia="es-ES"/>
        </w:rPr>
        <w:t xml:space="preserve"> (GOOGLE EARTH) del predio donde se habrán de llevar a cabo los trabajos; 2.- Proyecto Ejecutivo: planos arquitectónicos, estructurales y de instalaciones en archivo digital, formato DWG (AUTOCAD); 3.- Modelo 3D o maqueta virtual en </w:t>
      </w:r>
      <w:proofErr w:type="spellStart"/>
      <w:r w:rsidRPr="00516180">
        <w:rPr>
          <w:rFonts w:ascii="Palatino Linotype" w:eastAsia="Times New Roman" w:hAnsi="Palatino Linotype" w:cs="Times New Roman"/>
          <w:i/>
          <w:szCs w:val="24"/>
          <w:lang w:val="es-ES_tradnl" w:eastAsia="es-ES"/>
        </w:rPr>
        <w:t>sketchup</w:t>
      </w:r>
      <w:proofErr w:type="spellEnd"/>
      <w:r w:rsidRPr="00516180">
        <w:rPr>
          <w:rFonts w:ascii="Palatino Linotype" w:eastAsia="Times New Roman" w:hAnsi="Palatino Linotype" w:cs="Times New Roman"/>
          <w:i/>
          <w:szCs w:val="24"/>
          <w:lang w:val="es-ES_tradnl" w:eastAsia="es-ES"/>
        </w:rPr>
        <w:t xml:space="preserve"> o </w:t>
      </w:r>
      <w:proofErr w:type="spellStart"/>
      <w:r w:rsidRPr="00516180">
        <w:rPr>
          <w:rFonts w:ascii="Palatino Linotype" w:eastAsia="Times New Roman" w:hAnsi="Palatino Linotype" w:cs="Times New Roman"/>
          <w:i/>
          <w:szCs w:val="24"/>
          <w:lang w:val="es-ES_tradnl" w:eastAsia="es-ES"/>
        </w:rPr>
        <w:t>revit</w:t>
      </w:r>
      <w:proofErr w:type="spellEnd"/>
      <w:r w:rsidRPr="00516180">
        <w:rPr>
          <w:rFonts w:ascii="Palatino Linotype" w:eastAsia="Times New Roman" w:hAnsi="Palatino Linotype" w:cs="Times New Roman"/>
          <w:i/>
          <w:szCs w:val="24"/>
          <w:lang w:val="es-ES_tradnl" w:eastAsia="es-ES"/>
        </w:rPr>
        <w:t xml:space="preserve"> con loa acabados y dimensiones finales; y, 4.- 4 </w:t>
      </w:r>
      <w:proofErr w:type="spellStart"/>
      <w:r w:rsidRPr="00516180">
        <w:rPr>
          <w:rFonts w:ascii="Palatino Linotype" w:eastAsia="Times New Roman" w:hAnsi="Palatino Linotype" w:cs="Times New Roman"/>
          <w:i/>
          <w:szCs w:val="24"/>
          <w:lang w:val="es-ES_tradnl" w:eastAsia="es-ES"/>
        </w:rPr>
        <w:t>Renders</w:t>
      </w:r>
      <w:proofErr w:type="spellEnd"/>
      <w:r w:rsidRPr="00516180">
        <w:rPr>
          <w:rFonts w:ascii="Palatino Linotype" w:eastAsia="Times New Roman" w:hAnsi="Palatino Linotype" w:cs="Times New Roman"/>
          <w:i/>
          <w:szCs w:val="24"/>
          <w:lang w:val="es-ES_tradnl" w:eastAsia="es-ES"/>
        </w:rPr>
        <w:t xml:space="preserve">: 2 de fachada principal, 2 de fachada posterior, todos los </w:t>
      </w:r>
      <w:proofErr w:type="spellStart"/>
      <w:r w:rsidRPr="00516180">
        <w:rPr>
          <w:rFonts w:ascii="Palatino Linotype" w:eastAsia="Times New Roman" w:hAnsi="Palatino Linotype" w:cs="Times New Roman"/>
          <w:i/>
          <w:szCs w:val="24"/>
          <w:lang w:val="es-ES_tradnl" w:eastAsia="es-ES"/>
        </w:rPr>
        <w:t>renders</w:t>
      </w:r>
      <w:proofErr w:type="spellEnd"/>
      <w:r w:rsidRPr="00516180">
        <w:rPr>
          <w:rFonts w:ascii="Palatino Linotype" w:eastAsia="Times New Roman" w:hAnsi="Palatino Linotype" w:cs="Times New Roman"/>
          <w:i/>
          <w:szCs w:val="24"/>
          <w:lang w:val="es-ES_tradnl" w:eastAsia="es-ES"/>
        </w:rPr>
        <w:t xml:space="preserve"> deberán mostrar los acabados </w:t>
      </w:r>
      <w:r w:rsidRPr="00516180">
        <w:rPr>
          <w:rFonts w:ascii="Palatino Linotype" w:eastAsia="Times New Roman" w:hAnsi="Palatino Linotype" w:cs="Times New Roman"/>
          <w:i/>
          <w:szCs w:val="24"/>
          <w:lang w:val="es-ES_tradnl" w:eastAsia="es-ES"/>
        </w:rPr>
        <w:lastRenderedPageBreak/>
        <w:t xml:space="preserve">proyectados de la manera más realista posible, además de incluir una figura humana al menos. Los cuales nunca se habían pedido y no se encuentran establecidos en el Código Administrativo del Estado de México en </w:t>
      </w:r>
      <w:proofErr w:type="spellStart"/>
      <w:r w:rsidRPr="00516180">
        <w:rPr>
          <w:rFonts w:ascii="Palatino Linotype" w:eastAsia="Times New Roman" w:hAnsi="Palatino Linotype" w:cs="Times New Roman"/>
          <w:i/>
          <w:szCs w:val="24"/>
          <w:lang w:val="es-ES_tradnl" w:eastAsia="es-ES"/>
        </w:rPr>
        <w:t>especifico</w:t>
      </w:r>
      <w:proofErr w:type="spellEnd"/>
      <w:r w:rsidRPr="00516180">
        <w:rPr>
          <w:rFonts w:ascii="Palatino Linotype" w:eastAsia="Times New Roman" w:hAnsi="Palatino Linotype" w:cs="Times New Roman"/>
          <w:i/>
          <w:szCs w:val="24"/>
          <w:lang w:val="es-ES_tradnl" w:eastAsia="es-ES"/>
        </w:rPr>
        <w:t xml:space="preserve"> en el artículo </w:t>
      </w:r>
      <w:proofErr w:type="gramStart"/>
      <w:r w:rsidRPr="00516180">
        <w:rPr>
          <w:rFonts w:ascii="Palatino Linotype" w:eastAsia="Times New Roman" w:hAnsi="Palatino Linotype" w:cs="Times New Roman"/>
          <w:i/>
          <w:szCs w:val="24"/>
          <w:lang w:val="es-ES_tradnl" w:eastAsia="es-ES"/>
        </w:rPr>
        <w:t>18.20 .</w:t>
      </w:r>
      <w:proofErr w:type="gramEnd"/>
      <w:r w:rsidRPr="00516180">
        <w:rPr>
          <w:rFonts w:ascii="Palatino Linotype" w:eastAsia="Times New Roman" w:hAnsi="Palatino Linotype" w:cs="Times New Roman"/>
          <w:i/>
          <w:szCs w:val="24"/>
          <w:lang w:val="es-ES_tradnl" w:eastAsia="es-ES"/>
        </w:rPr>
        <w:t xml:space="preserve"> Motivo por el cual requiero copia simple del fundamento legal en el que versa su modificación a lo establecido por la norma en la materia.</w:t>
      </w:r>
      <w:r w:rsidRPr="005508BB">
        <w:rPr>
          <w:rFonts w:ascii="Palatino Linotype" w:eastAsia="Times New Roman" w:hAnsi="Palatino Linotype" w:cs="Times New Roman"/>
          <w:i/>
          <w:szCs w:val="24"/>
          <w:lang w:val="es-ES_tradnl" w:eastAsia="es-ES"/>
        </w:rPr>
        <w:t>"</w:t>
      </w:r>
    </w:p>
    <w:p w:rsidR="00516180" w:rsidRPr="00CB45F6" w:rsidRDefault="00516180" w:rsidP="005161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16180" w:rsidRPr="00CB45F6" w:rsidRDefault="00516180" w:rsidP="00516180">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516180" w:rsidRDefault="00516180" w:rsidP="00516180">
      <w:pPr>
        <w:tabs>
          <w:tab w:val="left" w:pos="5647"/>
        </w:tabs>
        <w:spacing w:after="0" w:line="360" w:lineRule="auto"/>
        <w:ind w:right="850"/>
        <w:jc w:val="both"/>
        <w:rPr>
          <w:rFonts w:ascii="Palatino Linotype" w:hAnsi="Palatino Linotype"/>
          <w:color w:val="000000"/>
          <w:sz w:val="24"/>
          <w:szCs w:val="24"/>
        </w:rPr>
      </w:pPr>
    </w:p>
    <w:p w:rsidR="00516180" w:rsidRPr="00516180" w:rsidRDefault="00516180" w:rsidP="00516180">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Se hace constar que la </w:t>
      </w:r>
      <w:r>
        <w:rPr>
          <w:rFonts w:ascii="Palatino Linotype" w:hAnsi="Palatino Linotype"/>
          <w:b/>
          <w:color w:val="000000"/>
          <w:sz w:val="24"/>
          <w:szCs w:val="24"/>
        </w:rPr>
        <w:t>Recurrente</w:t>
      </w:r>
      <w:r>
        <w:rPr>
          <w:rFonts w:ascii="Palatino Linotype" w:hAnsi="Palatino Linotype"/>
          <w:color w:val="000000"/>
          <w:sz w:val="24"/>
          <w:szCs w:val="24"/>
        </w:rPr>
        <w:t xml:space="preserve"> adjuntó el documento electrónico “</w:t>
      </w:r>
      <w:r w:rsidRPr="00516180">
        <w:rPr>
          <w:rFonts w:ascii="Palatino Linotype" w:hAnsi="Palatino Linotype"/>
          <w:color w:val="000000"/>
          <w:sz w:val="24"/>
          <w:szCs w:val="24"/>
        </w:rPr>
        <w:t xml:space="preserve">requisitos </w:t>
      </w:r>
      <w:proofErr w:type="spellStart"/>
      <w:r w:rsidRPr="00516180">
        <w:rPr>
          <w:rFonts w:ascii="Palatino Linotype" w:hAnsi="Palatino Linotype"/>
          <w:color w:val="000000"/>
          <w:sz w:val="24"/>
          <w:szCs w:val="24"/>
        </w:rPr>
        <w:t>atizapan</w:t>
      </w:r>
      <w:proofErr w:type="spellEnd"/>
      <w:r w:rsidRPr="00516180">
        <w:rPr>
          <w:rFonts w:ascii="Palatino Linotype" w:hAnsi="Palatino Linotype"/>
          <w:color w:val="000000"/>
          <w:sz w:val="24"/>
          <w:szCs w:val="24"/>
        </w:rPr>
        <w:t xml:space="preserve"> 2022.pdf</w:t>
      </w:r>
      <w:r>
        <w:rPr>
          <w:rFonts w:ascii="Palatino Linotype" w:hAnsi="Palatino Linotype"/>
          <w:color w:val="000000"/>
          <w:sz w:val="24"/>
          <w:szCs w:val="24"/>
        </w:rPr>
        <w:t>”, del que se omite su inserción en este apartado, en obvio de repeticiones innecesarias, máxime que será objeto de estudio en líneas posteriores.</w:t>
      </w:r>
    </w:p>
    <w:p w:rsidR="00516180" w:rsidRDefault="00516180" w:rsidP="00516180">
      <w:pPr>
        <w:tabs>
          <w:tab w:val="left" w:pos="5647"/>
        </w:tabs>
        <w:spacing w:after="0" w:line="360" w:lineRule="auto"/>
        <w:ind w:right="850"/>
        <w:jc w:val="both"/>
        <w:rPr>
          <w:rFonts w:ascii="Palatino Linotype" w:hAnsi="Palatino Linotype"/>
          <w:color w:val="000000"/>
          <w:sz w:val="24"/>
          <w:szCs w:val="24"/>
        </w:rPr>
      </w:pPr>
    </w:p>
    <w:p w:rsidR="00516180" w:rsidRDefault="00516180" w:rsidP="00516180">
      <w:pPr>
        <w:tabs>
          <w:tab w:val="left" w:pos="5647"/>
        </w:tabs>
        <w:spacing w:after="0" w:line="360" w:lineRule="auto"/>
        <w:ind w:right="850"/>
        <w:jc w:val="both"/>
        <w:rPr>
          <w:rFonts w:ascii="Palatino Linotype" w:hAnsi="Palatino Linotype"/>
          <w:color w:val="000000"/>
          <w:sz w:val="24"/>
          <w:szCs w:val="24"/>
        </w:rPr>
      </w:pPr>
    </w:p>
    <w:p w:rsidR="00516180" w:rsidRPr="00453ABC" w:rsidRDefault="00516180" w:rsidP="00516180">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453ABC">
        <w:rPr>
          <w:rFonts w:ascii="Palatino Linotype" w:eastAsia="Times New Roman" w:hAnsi="Palatino Linotype" w:cs="Times New Roman"/>
          <w:sz w:val="24"/>
          <w:szCs w:val="24"/>
          <w:lang w:val="es-ES" w:eastAsia="es-ES"/>
        </w:rPr>
        <w:t xml:space="preserve"> expediente electrónico, aperturado con motivo del ingreso de la solicitud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06</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seis</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abril</w:t>
      </w:r>
      <w:r w:rsidRPr="00453ABC">
        <w:rPr>
          <w:rFonts w:ascii="Palatino Linotype" w:eastAsia="Times New Roman" w:hAnsi="Palatino Linotype" w:cs="Times New Roman"/>
          <w:sz w:val="24"/>
          <w:szCs w:val="24"/>
          <w:lang w:val="es-ES" w:eastAsia="es-ES"/>
        </w:rPr>
        <w:t xml:space="preserve"> de 2022 (dos mil veintidós), en los términos siguientes:</w:t>
      </w:r>
    </w:p>
    <w:p w:rsidR="00516180" w:rsidRPr="00453ABC" w:rsidRDefault="00516180" w:rsidP="00516180">
      <w:pPr>
        <w:spacing w:after="0" w:line="360" w:lineRule="auto"/>
        <w:jc w:val="both"/>
        <w:rPr>
          <w:rFonts w:ascii="Palatino Linotype" w:eastAsia="Times New Roman" w:hAnsi="Palatino Linotype" w:cs="Times New Roman"/>
          <w:sz w:val="24"/>
          <w:szCs w:val="24"/>
          <w:lang w:val="es-ES" w:eastAsia="es-ES"/>
        </w:rPr>
      </w:pPr>
    </w:p>
    <w:p w:rsidR="00516180" w:rsidRDefault="00516180" w:rsidP="005161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51618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46BCC" w:rsidRPr="00516180" w:rsidRDefault="00646BCC" w:rsidP="005161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16180" w:rsidRPr="00453ABC" w:rsidRDefault="00516180" w:rsidP="0051618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16180">
        <w:rPr>
          <w:rFonts w:ascii="Palatino Linotype" w:eastAsia="Times New Roman" w:hAnsi="Palatino Linotype" w:cs="Times New Roman"/>
          <w:i/>
          <w:szCs w:val="24"/>
          <w:lang w:val="es-ES_tradnl" w:eastAsia="es-ES"/>
        </w:rPr>
        <w:t xml:space="preserve">En atención a su solicitud número de folio 00160/ATIZARA/IP/2022, al respecto me permito informar lo siguiente: Los requisitos del formato único de solicitud para el trámite de las Licencias de construcción, son los establecidos en los artículos 18.21, 18.22 y 18.23 del Libro Décimo Octavo del Código Administrativo del Estado de México, en los que se detallan los requisitos mínimos que deberá cumplir al formular su solicitud. Aunado a lo anterior, en virtud de que la Dirección General de Ordenamiento Territorial y Desarrollo Urbano, es la dependencia municipal encargada de garantizar que las construcciones privadas que se realicen en el territorio municipal satisfagan condiciones de seguridad, habitabilidad, funcionalidad, calidad, higiene, sustentabilidad y de integración armónica al contexto urbano y natural, ha determinado complementar dichos requisitos agregando los </w:t>
      </w:r>
      <w:r w:rsidRPr="00516180">
        <w:rPr>
          <w:rFonts w:ascii="Palatino Linotype" w:eastAsia="Times New Roman" w:hAnsi="Palatino Linotype" w:cs="Times New Roman"/>
          <w:i/>
          <w:szCs w:val="24"/>
          <w:lang w:val="es-ES_tradnl" w:eastAsia="es-ES"/>
        </w:rPr>
        <w:lastRenderedPageBreak/>
        <w:t xml:space="preserve">que se mencionan en la solicitud de información antes referida. Ello, con fundamento en los artículos 5.2 primer párrafo fracción III, inciso h), 18.1primer párrafo, 18.19 Quáter, primer párrafo, fracción II, inciso c), 18.36 y 18.37 del Código Administrativo del Estado de México, y 59 del Bando Municipal de Atizapán de Zaragoza, vigente publicado en Gaceta Municipal número 0008, año 01 de fecha cinco de febrero del año dos mil veintidós, que a la letra establecen: Libro Quinto “Artículo 5.2. En el ordenamiento territorial de los asentamientos humanos y el desarrollo urbano de los centros de población, se deberán observar los principios generales de política pública siguientes: derecho a la ciudad, equidad e inclusión, derecho a la propiedad urbana, coherencia y racionalidad, participación democrática y transparencia, productividad y eficiencia, protección y progresividad del espacio público, resiliencia, seguridad urbana y riesgos, sustentabilidad ambiental y accesibilidad universal y movilidad, previstos en la Ley General de Asentamientos Humanos, Ordenamiento Territorial y Desarrollo Urbano. Para tal efecto: … III. El ordenamiento territorial de los asentamientos humanos y el desarrollo urbano de los centros de población, tendrán una orientación estratégica que contribuya a mejorar la calidad de vida de la población urbana y rural, así como a establecer condiciones para la competitividad económica y social de los centros de población, mediante: h) El derecho de todas las personas sin distinción de sexo, raza, etnia, edad, limitación física u orientación sexual, a vivir y disfrutar ciudades y asentamientos humanos en condiciones sustentables, </w:t>
      </w:r>
      <w:proofErr w:type="spellStart"/>
      <w:r w:rsidRPr="00516180">
        <w:rPr>
          <w:rFonts w:ascii="Palatino Linotype" w:eastAsia="Times New Roman" w:hAnsi="Palatino Linotype" w:cs="Times New Roman"/>
          <w:i/>
          <w:szCs w:val="24"/>
          <w:lang w:val="es-ES_tradnl" w:eastAsia="es-ES"/>
        </w:rPr>
        <w:t>resilientes</w:t>
      </w:r>
      <w:proofErr w:type="spellEnd"/>
      <w:r w:rsidRPr="00516180">
        <w:rPr>
          <w:rFonts w:ascii="Palatino Linotype" w:eastAsia="Times New Roman" w:hAnsi="Palatino Linotype" w:cs="Times New Roman"/>
          <w:i/>
          <w:szCs w:val="24"/>
          <w:lang w:val="es-ES_tradnl" w:eastAsia="es-ES"/>
        </w:rPr>
        <w:t xml:space="preserve">, saludables, productivos, equitativos, justos, incluyentes, democráticos y seguros, así como al suelo urbano, a la vivienda, a la calidad de vida, a la infraestructura y movilidad urbana, al transporte, a los servicios públicos, al patrimonio natural y cultural, al espacio público, al esparcimiento y a la imagen urbana.” Libro Décimo Octavo “Artículo 18.1.- Las disposiciones de este Libro son de orden público e interés general y tienen por objeto regular las construcciones privadas que se realicen en el territorio estatal, con el fin de que satisfagan condiciones de seguridad, habitabilidad, calidad, higiene, funcionalidad, sustentabilidad e integración al contexto e imagen urbana.” “Articulo 18.19 Quáter. El Corresponsable de Obra tendrá las obligaciones siguientes: … II. Del Corresponsable en Diseño Urbano y Arquitectónico: … c) Verificar que el proyecto cumpla con las disposiciones relativas al Plan de Desarrollo Urbano Estatal, Municipal y/o parcial respectivo, los planos de zonificación para anuncios y las declaratorias de usos, destinos y reservas, con los requisitos de habitabilidad, accesibilidad, funcionamiento, higiene, servicios, acondicionamiento ambiental, comunicaciones, prevención de emergencias e integración al contexto e imagen urbana y con las disposiciones legales y reglamentarias en materia de prevención del patrimonio, tratándose de edificios y conjuntos catalogados como monumentos, o que estén ubicados en áreas de conservación patrimonial. …” “Artículo 18.36.- Para garantizar las condiciones de habitabilidad, accesibilidad, funcionamiento, higiene, sustentabilidad, comunicación, seguridad en emergencias, seguridad estructural, integración al contexto e imagen urbana de las edificaciones en el Estado de México, los proyectos arquitectónicos deberán cumplir con los lineamientos establecidos en este Libro, las Normas Técnicas y demás disposiciones jurídicas aplicables.” </w:t>
      </w:r>
      <w:r w:rsidRPr="00516180">
        <w:rPr>
          <w:rFonts w:ascii="Palatino Linotype" w:eastAsia="Times New Roman" w:hAnsi="Palatino Linotype" w:cs="Times New Roman"/>
          <w:i/>
          <w:szCs w:val="24"/>
          <w:lang w:val="es-ES_tradnl" w:eastAsia="es-ES"/>
        </w:rPr>
        <w:lastRenderedPageBreak/>
        <w:t xml:space="preserve">“Artículo 18.37.- Las edificaciones e instalaciones deberán respetar el alineamiento que les señalen los Municipios, así como integrarse al contexto arquitectónico en que se ubiquen. Las que se proyecten en áreas sujetas a reglamentos de imagen urbana deberán ajustarse a sus lineamientos y las que se proyecten en zonas del patrimonio histórico, artístico y arqueológico y sus áreas de influencia, deben sujetarse a las restricciones que señalen el Instituto Nacional de Antropología e Historia o el Instituto Nacional de Bellas Artes y Literatura, según sea el caso.” Bando Municipal Publicado en la Gaceta Municipal Número 08 año 01, de fecha 05 de febrero de 2022 “ARTÍCULO 59.- La Dirección de Ordenamiento Territorial y Desarrollo Urbano tendrá como objetivo regular, autorizar, controlar, vigilar, inspeccionar, y en su caso, imponer las medidas de seguridad y sanciones por infracciones a las disposiciones aplicables en materia de utilización del suelo y de las construcciones. En ese sentido, para garantizar la incorporación ordenada y armónicas de las nuevas construcciones o modificaciones de las preexistentes al contexto urbano y natural, en las solicitudes que formulen los particulares para la autorización de las construcciones, podrá solicitar la representación gráfica en tercera dimensión del respectivo proyecto arquitectónico y/o estructural, así como de requerir la ejecución de acciones tendientes a restituir, y en su caso, mejorar la infraestructura urbana, la vía y los espacios públicos que sean afectados por cualquier obra privada. Asimismo, participará en la definición de la localización de las áreas de donación y de las obras de equipamiento derivadas de las obligaciones por autorizaciones de conjuntos urbanos, subdivisiones, condominios y las demás previstas en la ley, que se encuentren en el territorio municipal.” En virtud de lo anterior, para contar con la referencia especial de donde se habrán de llevar a cabo la construcción y contar con un banco de datos que permita la consulta de las autorizaciones emitidas por esta dependencia, es que se solicita el archivo </w:t>
      </w:r>
      <w:proofErr w:type="spellStart"/>
      <w:r w:rsidRPr="00516180">
        <w:rPr>
          <w:rFonts w:ascii="Palatino Linotype" w:eastAsia="Times New Roman" w:hAnsi="Palatino Linotype" w:cs="Times New Roman"/>
          <w:i/>
          <w:szCs w:val="24"/>
          <w:lang w:val="es-ES_tradnl" w:eastAsia="es-ES"/>
        </w:rPr>
        <w:t>kml</w:t>
      </w:r>
      <w:proofErr w:type="spellEnd"/>
      <w:r w:rsidRPr="00516180">
        <w:rPr>
          <w:rFonts w:ascii="Palatino Linotype" w:eastAsia="Times New Roman" w:hAnsi="Palatino Linotype" w:cs="Times New Roman"/>
          <w:i/>
          <w:szCs w:val="24"/>
          <w:lang w:val="es-ES_tradnl" w:eastAsia="es-ES"/>
        </w:rPr>
        <w:t xml:space="preserve"> del predio. Asimismo, para eficientar las actividades revisión del expediente para la autorización de licencias de construcción, se solicita el archivo del proyecto ejecutivo en formato DWG para que los revisores realicen la cuantificación de éste de una manera más rápida y precisa. De igual manera para efectuar la revisión de la construcción concluida y expedir la constancia de terminación de obra respectiva, es necesario que los notificadores, verificadores, inspectores y ejecutores adscritos a esta Dirección y facultados para llevar a cabo esta actividad tengan una conceptualización gráfica más detallada del proyecto autorizado y contrastarlo con la obra realmente ejecutada; es por ello que se solicita el modelo 3D o marqueta virtual, así como los </w:t>
      </w:r>
      <w:proofErr w:type="spellStart"/>
      <w:r w:rsidRPr="00516180">
        <w:rPr>
          <w:rFonts w:ascii="Palatino Linotype" w:eastAsia="Times New Roman" w:hAnsi="Palatino Linotype" w:cs="Times New Roman"/>
          <w:i/>
          <w:szCs w:val="24"/>
          <w:lang w:val="es-ES_tradnl" w:eastAsia="es-ES"/>
        </w:rPr>
        <w:t>renders</w:t>
      </w:r>
      <w:proofErr w:type="spellEnd"/>
      <w:r w:rsidRPr="00516180">
        <w:rPr>
          <w:rFonts w:ascii="Palatino Linotype" w:eastAsia="Times New Roman" w:hAnsi="Palatino Linotype" w:cs="Times New Roman"/>
          <w:i/>
          <w:szCs w:val="24"/>
          <w:lang w:val="es-ES_tradnl" w:eastAsia="es-ES"/>
        </w:rPr>
        <w:t>, pues con esto, se evita que las obras concluidas disten de los proyecto autorizados. Así mismo se garantizará que la imagen urbana que proyectará la construcción será acorde al entorno donde se desarrollará. En suma, con la finalidad de garantizar el desarrollo urbano ordenado y el cuidado de la imagen urbana de nuestro Municipio, es que se incorporaron dichos requisitos a la solicitud del trámite de Licencias de Construcción haciendo más eficiente su expedición. Sin más por el momento, me reitero de usted. A T E N T A M E N T E MTRO. JOSÉ RAMÓN JARQUÍN RODRÍGUEZ DIRECTOR GENERAL DE ORDENAMIENTO TERRITORIAL Y DESARROLLO URBANO</w:t>
      </w:r>
      <w:r w:rsidRPr="00453ABC">
        <w:rPr>
          <w:rFonts w:ascii="Palatino Linotype" w:eastAsia="Times New Roman" w:hAnsi="Palatino Linotype" w:cs="Times New Roman"/>
          <w:i/>
          <w:szCs w:val="24"/>
          <w:lang w:val="es-ES_tradnl" w:eastAsia="es-ES"/>
        </w:rPr>
        <w:t>"</w:t>
      </w:r>
    </w:p>
    <w:p w:rsidR="00516180" w:rsidRPr="00453ABC" w:rsidRDefault="00516180" w:rsidP="00516180">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453ABC">
        <w:rPr>
          <w:rFonts w:ascii="Palatino Linotype" w:eastAsia="Times New Roman" w:hAnsi="Palatino Linotype" w:cs="Times New Roman"/>
          <w:szCs w:val="24"/>
          <w:lang w:val="es-ES_tradnl" w:eastAsia="es-ES"/>
        </w:rPr>
        <w:lastRenderedPageBreak/>
        <w:t>(Énfasis añadido)</w:t>
      </w:r>
    </w:p>
    <w:p w:rsidR="00D113A5" w:rsidRDefault="00D113A5" w:rsidP="00516180">
      <w:pPr>
        <w:spacing w:after="0" w:line="360" w:lineRule="auto"/>
        <w:jc w:val="both"/>
        <w:rPr>
          <w:rFonts w:ascii="Palatino Linotype" w:hAnsi="Palatino Linotype" w:cs="Arial"/>
          <w:sz w:val="24"/>
          <w:szCs w:val="24"/>
        </w:rPr>
      </w:pPr>
    </w:p>
    <w:p w:rsidR="00516180" w:rsidRDefault="00516180" w:rsidP="00516180">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w:t>
      </w:r>
      <w:r w:rsidRPr="00516180">
        <w:rPr>
          <w:rFonts w:ascii="Palatino Linotype" w:hAnsi="Palatino Linotype" w:cs="Arial"/>
          <w:b/>
          <w:sz w:val="24"/>
          <w:szCs w:val="24"/>
        </w:rPr>
        <w:t>Sujeto Obligado</w:t>
      </w:r>
      <w:r w:rsidRPr="000239D9">
        <w:rPr>
          <w:rFonts w:ascii="Palatino Linotype" w:hAnsi="Palatino Linotype" w:cs="Arial"/>
          <w:sz w:val="24"/>
          <w:szCs w:val="24"/>
        </w:rPr>
        <w:t xml:space="preserve"> adjunto </w:t>
      </w:r>
      <w:r>
        <w:rPr>
          <w:rFonts w:ascii="Palatino Linotype" w:hAnsi="Palatino Linotype" w:cs="Arial"/>
          <w:sz w:val="24"/>
          <w:szCs w:val="24"/>
        </w:rPr>
        <w:t>el</w:t>
      </w:r>
      <w:r w:rsidRPr="000239D9">
        <w:rPr>
          <w:rFonts w:ascii="Palatino Linotype" w:hAnsi="Palatino Linotype" w:cs="Arial"/>
          <w:sz w:val="24"/>
          <w:szCs w:val="24"/>
        </w:rPr>
        <w:t xml:space="preserve"> archivo “</w:t>
      </w:r>
      <w:r w:rsidR="00D77A4D">
        <w:rPr>
          <w:rFonts w:ascii="Palatino Linotype" w:hAnsi="Palatino Linotype" w:cs="Arial"/>
          <w:sz w:val="24"/>
          <w:szCs w:val="24"/>
        </w:rPr>
        <w:t>S</w:t>
      </w:r>
      <w:r w:rsidRPr="00516180">
        <w:rPr>
          <w:rFonts w:ascii="Palatino Linotype" w:hAnsi="Palatino Linotype" w:cs="Arial"/>
          <w:sz w:val="24"/>
          <w:szCs w:val="24"/>
        </w:rPr>
        <w:t>OL. 00160-ATIZ-OFICIO.pdf</w:t>
      </w:r>
      <w:r w:rsidRPr="000239D9">
        <w:rPr>
          <w:rFonts w:ascii="Palatino Linotype" w:hAnsi="Palatino Linotype" w:cs="Arial"/>
          <w:sz w:val="24"/>
          <w:szCs w:val="24"/>
        </w:rPr>
        <w:t xml:space="preserve">”, </w:t>
      </w:r>
      <w:r>
        <w:rPr>
          <w:rFonts w:ascii="Palatino Linotype" w:hAnsi="Palatino Linotype" w:cs="Arial"/>
          <w:sz w:val="24"/>
          <w:szCs w:val="24"/>
        </w:rPr>
        <w:t xml:space="preserve">que </w:t>
      </w:r>
      <w:r w:rsidRPr="000239D9">
        <w:rPr>
          <w:rFonts w:ascii="Palatino Linotype" w:hAnsi="Palatino Linotype" w:cs="Arial"/>
          <w:sz w:val="24"/>
          <w:szCs w:val="24"/>
        </w:rPr>
        <w:t xml:space="preserve">al ser del conocimiento de las partes, se omite su inserción en este apartado, </w:t>
      </w:r>
      <w:r w:rsidR="00646BCC">
        <w:rPr>
          <w:rFonts w:ascii="Palatino Linotype" w:hAnsi="Palatino Linotype" w:cs="Arial"/>
          <w:sz w:val="24"/>
          <w:szCs w:val="24"/>
        </w:rPr>
        <w:t>atendiendo que</w:t>
      </w:r>
      <w:r w:rsidRPr="000239D9">
        <w:rPr>
          <w:rFonts w:ascii="Palatino Linotype" w:hAnsi="Palatino Linotype" w:cs="Arial"/>
          <w:sz w:val="24"/>
          <w:szCs w:val="24"/>
        </w:rPr>
        <w:t xml:space="preserve"> será objeto de estudio en párrafos posteriores.</w:t>
      </w:r>
    </w:p>
    <w:p w:rsidR="00516180" w:rsidRDefault="00516180" w:rsidP="00516180">
      <w:pPr>
        <w:spacing w:after="0" w:line="360" w:lineRule="auto"/>
        <w:jc w:val="both"/>
        <w:rPr>
          <w:rFonts w:ascii="Palatino Linotype" w:hAnsi="Palatino Linotype" w:cs="Arial"/>
          <w:sz w:val="24"/>
          <w:szCs w:val="24"/>
        </w:rPr>
      </w:pPr>
    </w:p>
    <w:p w:rsidR="00646BCC" w:rsidRDefault="00646BCC" w:rsidP="00516180">
      <w:pPr>
        <w:spacing w:after="0" w:line="360" w:lineRule="auto"/>
        <w:jc w:val="both"/>
        <w:rPr>
          <w:rFonts w:ascii="Palatino Linotype" w:hAnsi="Palatino Linotype" w:cs="Arial"/>
          <w:sz w:val="24"/>
          <w:szCs w:val="24"/>
        </w:rPr>
      </w:pPr>
    </w:p>
    <w:p w:rsidR="00516180" w:rsidRPr="00CB45F6" w:rsidRDefault="00516180" w:rsidP="00516180">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las respuestas proporcionadas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el día </w:t>
      </w:r>
      <w:r w:rsidR="00646BCC">
        <w:rPr>
          <w:rFonts w:ascii="Palatino Linotype" w:eastAsia="Times New Roman" w:hAnsi="Palatino Linotype" w:cs="Arial"/>
          <w:sz w:val="24"/>
          <w:szCs w:val="24"/>
          <w:lang w:val="es-ES" w:eastAsia="es-ES"/>
        </w:rPr>
        <w:t>25</w:t>
      </w:r>
      <w:r>
        <w:rPr>
          <w:rFonts w:ascii="Palatino Linotype" w:eastAsia="Times New Roman" w:hAnsi="Palatino Linotype" w:cs="Arial"/>
          <w:sz w:val="24"/>
          <w:szCs w:val="24"/>
          <w:lang w:val="es-ES" w:eastAsia="es-ES"/>
        </w:rPr>
        <w:t xml:space="preserve"> (veint</w:t>
      </w:r>
      <w:r w:rsidR="00646BCC">
        <w:rPr>
          <w:rFonts w:ascii="Palatino Linotype" w:eastAsia="Times New Roman" w:hAnsi="Palatino Linotype" w:cs="Arial"/>
          <w:sz w:val="24"/>
          <w:szCs w:val="24"/>
          <w:lang w:val="es-ES" w:eastAsia="es-ES"/>
        </w:rPr>
        <w:t>icinco</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w:t>
      </w:r>
      <w:r w:rsidR="00646BCC">
        <w:rPr>
          <w:rFonts w:ascii="Palatino Linotype" w:eastAsia="Times New Roman" w:hAnsi="Palatino Linotype" w:cs="Arial"/>
          <w:sz w:val="24"/>
          <w:szCs w:val="24"/>
          <w:lang w:val="es-ES" w:eastAsia="es-ES"/>
        </w:rPr>
        <w:t>la</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 xml:space="preserve">interpuso </w:t>
      </w:r>
      <w:r w:rsidR="00646BCC">
        <w:rPr>
          <w:rFonts w:ascii="Palatino Linotype" w:eastAsia="Times New Roman" w:hAnsi="Palatino Linotype" w:cs="Arial"/>
          <w:sz w:val="24"/>
          <w:szCs w:val="24"/>
          <w:lang w:val="es-ES" w:eastAsia="es-ES"/>
        </w:rPr>
        <w:t xml:space="preserve">el </w:t>
      </w:r>
      <w:r w:rsidRPr="00CB45F6">
        <w:rPr>
          <w:rFonts w:ascii="Palatino Linotype" w:eastAsia="Times New Roman" w:hAnsi="Palatino Linotype" w:cs="Arial"/>
          <w:sz w:val="24"/>
          <w:szCs w:val="24"/>
          <w:lang w:val="es-ES" w:eastAsia="es-ES"/>
        </w:rPr>
        <w:t>presente recurso de revisión, quedando registrado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w:t>
      </w:r>
      <w:r w:rsidR="00646BCC">
        <w:rPr>
          <w:rFonts w:ascii="Palatino Linotype" w:eastAsia="Arial Unicode MS" w:hAnsi="Palatino Linotype" w:cs="Arial"/>
          <w:sz w:val="24"/>
          <w:szCs w:val="24"/>
          <w:lang w:val="es-ES" w:eastAsia="es-ES"/>
        </w:rPr>
        <w:t>el</w:t>
      </w:r>
      <w:r w:rsidRPr="00CB45F6">
        <w:rPr>
          <w:rFonts w:ascii="Palatino Linotype" w:eastAsia="Arial Unicode MS" w:hAnsi="Palatino Linotype" w:cs="Arial"/>
          <w:sz w:val="24"/>
          <w:szCs w:val="24"/>
          <w:lang w:val="es-ES" w:eastAsia="es-ES"/>
        </w:rPr>
        <w:t xml:space="preserve"> número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6</w:t>
      </w:r>
      <w:r w:rsidR="00646BCC">
        <w:rPr>
          <w:rFonts w:ascii="Palatino Linotype" w:eastAsia="Times New Roman" w:hAnsi="Palatino Linotype" w:cs="Times New Roman"/>
          <w:b/>
          <w:sz w:val="24"/>
          <w:szCs w:val="24"/>
          <w:lang w:val="es-ES" w:eastAsia="es-ES"/>
        </w:rPr>
        <w:t>635</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rsidR="00516180" w:rsidRDefault="00516180" w:rsidP="00516180">
      <w:pPr>
        <w:spacing w:after="0" w:line="360" w:lineRule="auto"/>
        <w:ind w:right="51"/>
        <w:jc w:val="both"/>
        <w:rPr>
          <w:rFonts w:ascii="Palatino Linotype" w:eastAsia="Times New Roman" w:hAnsi="Palatino Linotype" w:cs="Arial"/>
          <w:sz w:val="24"/>
          <w:szCs w:val="24"/>
          <w:lang w:val="es-ES" w:eastAsia="es-ES"/>
        </w:rPr>
      </w:pPr>
    </w:p>
    <w:p w:rsidR="00516180" w:rsidRPr="00CB45F6" w:rsidRDefault="00516180" w:rsidP="00516180">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516180" w:rsidRPr="00CB45F6" w:rsidRDefault="00516180" w:rsidP="00516180">
      <w:pPr>
        <w:spacing w:after="0" w:line="276" w:lineRule="auto"/>
        <w:ind w:right="616"/>
        <w:jc w:val="both"/>
        <w:rPr>
          <w:rFonts w:ascii="Palatino Linotype" w:eastAsia="Times New Roman" w:hAnsi="Palatino Linotype" w:cs="Times New Roman"/>
          <w:sz w:val="24"/>
          <w:szCs w:val="24"/>
          <w:lang w:val="es-ES" w:eastAsia="es-ES"/>
        </w:rPr>
      </w:pPr>
    </w:p>
    <w:p w:rsidR="00516180" w:rsidRPr="00CB45F6" w:rsidRDefault="00516180" w:rsidP="00516180">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646BCC" w:rsidRPr="00646BCC">
        <w:rPr>
          <w:rFonts w:ascii="Palatino Linotype" w:eastAsia="Times New Roman" w:hAnsi="Palatino Linotype" w:cs="Times New Roman"/>
          <w:i/>
          <w:sz w:val="24"/>
          <w:szCs w:val="24"/>
          <w:lang w:val="es-ES" w:eastAsia="es-ES"/>
        </w:rPr>
        <w:t>Respuesta del Folio de Solicitud 00160/ATIZARA/IP/2022</w:t>
      </w:r>
      <w:r w:rsidRPr="00CB45F6">
        <w:rPr>
          <w:rFonts w:ascii="Palatino Linotype" w:eastAsia="Times New Roman" w:hAnsi="Palatino Linotype" w:cs="Times New Roman"/>
          <w:i/>
          <w:sz w:val="24"/>
          <w:szCs w:val="24"/>
          <w:lang w:val="es-ES" w:eastAsia="es-ES"/>
        </w:rPr>
        <w:t>” (sic)</w:t>
      </w:r>
    </w:p>
    <w:p w:rsidR="00516180" w:rsidRDefault="00516180" w:rsidP="00516180">
      <w:pPr>
        <w:spacing w:after="0" w:line="360" w:lineRule="auto"/>
        <w:jc w:val="both"/>
        <w:rPr>
          <w:rFonts w:ascii="Palatino Linotype" w:hAnsi="Palatino Linotype" w:cs="Arial"/>
          <w:sz w:val="24"/>
          <w:szCs w:val="24"/>
        </w:rPr>
      </w:pPr>
    </w:p>
    <w:p w:rsidR="00516180" w:rsidRPr="00CB45F6" w:rsidRDefault="00516180" w:rsidP="00516180">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516180" w:rsidRPr="00CB45F6" w:rsidRDefault="00516180" w:rsidP="00516180">
      <w:pPr>
        <w:spacing w:after="0" w:line="276" w:lineRule="auto"/>
        <w:ind w:right="616"/>
        <w:jc w:val="both"/>
        <w:rPr>
          <w:rFonts w:ascii="Palatino Linotype" w:eastAsia="Times New Roman" w:hAnsi="Palatino Linotype" w:cs="Times New Roman"/>
          <w:sz w:val="24"/>
          <w:szCs w:val="24"/>
          <w:lang w:val="es-ES" w:eastAsia="es-ES"/>
        </w:rPr>
      </w:pPr>
    </w:p>
    <w:p w:rsidR="00516180" w:rsidRPr="00CB45F6" w:rsidRDefault="00516180" w:rsidP="00516180">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646BCC" w:rsidRPr="00646BCC">
        <w:rPr>
          <w:rFonts w:ascii="Palatino Linotype" w:eastAsia="Times New Roman" w:hAnsi="Palatino Linotype" w:cs="Times New Roman"/>
          <w:i/>
          <w:sz w:val="24"/>
          <w:szCs w:val="24"/>
          <w:lang w:val="es-ES" w:eastAsia="es-ES"/>
        </w:rPr>
        <w:t xml:space="preserve">En la solicitud de información número folio 00160/ATIZARA/IP/2022 se SOLICITO EN ESPECIFICO el fundamento legal en el que se sustentan los requisitos señalados por la Dirección de Ordenamiento Territorial y Desarrollo Urbano del Municipio de Atizapán de Zaragoza en sus formatos de solicitud y en que Código o Legislación se encuentran fundamentados, toda vez que, en la ventanilla única de dicha dependencia se solicita además de los previstos por la Ley, los siguientes: 1.- Archivo km (GOOGLE EARTH) del predio donde se habrán de llevar a cabo los trabajos; 2.- Proyecto Ejecutivo: planos arquitectónicos, estructurales y de instalaciones en archivo digital, formato DWG (AUTOCAD); 3.- Modelo 3D o maqueta virtual en </w:t>
      </w:r>
      <w:proofErr w:type="spellStart"/>
      <w:r w:rsidR="00646BCC" w:rsidRPr="00646BCC">
        <w:rPr>
          <w:rFonts w:ascii="Palatino Linotype" w:eastAsia="Times New Roman" w:hAnsi="Palatino Linotype" w:cs="Times New Roman"/>
          <w:i/>
          <w:sz w:val="24"/>
          <w:szCs w:val="24"/>
          <w:lang w:val="es-ES" w:eastAsia="es-ES"/>
        </w:rPr>
        <w:t>sketchup</w:t>
      </w:r>
      <w:proofErr w:type="spellEnd"/>
      <w:r w:rsidR="00646BCC" w:rsidRPr="00646BCC">
        <w:rPr>
          <w:rFonts w:ascii="Palatino Linotype" w:eastAsia="Times New Roman" w:hAnsi="Palatino Linotype" w:cs="Times New Roman"/>
          <w:i/>
          <w:sz w:val="24"/>
          <w:szCs w:val="24"/>
          <w:lang w:val="es-ES" w:eastAsia="es-ES"/>
        </w:rPr>
        <w:t xml:space="preserve"> o </w:t>
      </w:r>
      <w:proofErr w:type="spellStart"/>
      <w:r w:rsidR="00646BCC" w:rsidRPr="00646BCC">
        <w:rPr>
          <w:rFonts w:ascii="Palatino Linotype" w:eastAsia="Times New Roman" w:hAnsi="Palatino Linotype" w:cs="Times New Roman"/>
          <w:i/>
          <w:sz w:val="24"/>
          <w:szCs w:val="24"/>
          <w:lang w:val="es-ES" w:eastAsia="es-ES"/>
        </w:rPr>
        <w:t>revit</w:t>
      </w:r>
      <w:proofErr w:type="spellEnd"/>
      <w:r w:rsidR="00646BCC" w:rsidRPr="00646BCC">
        <w:rPr>
          <w:rFonts w:ascii="Palatino Linotype" w:eastAsia="Times New Roman" w:hAnsi="Palatino Linotype" w:cs="Times New Roman"/>
          <w:i/>
          <w:sz w:val="24"/>
          <w:szCs w:val="24"/>
          <w:lang w:val="es-ES" w:eastAsia="es-ES"/>
        </w:rPr>
        <w:t xml:space="preserve"> con loa acabados y dimensiones finales; y, 4.- 4 </w:t>
      </w:r>
      <w:proofErr w:type="spellStart"/>
      <w:r w:rsidR="00646BCC" w:rsidRPr="00646BCC">
        <w:rPr>
          <w:rFonts w:ascii="Palatino Linotype" w:eastAsia="Times New Roman" w:hAnsi="Palatino Linotype" w:cs="Times New Roman"/>
          <w:i/>
          <w:sz w:val="24"/>
          <w:szCs w:val="24"/>
          <w:lang w:val="es-ES" w:eastAsia="es-ES"/>
        </w:rPr>
        <w:t>Renders</w:t>
      </w:r>
      <w:proofErr w:type="spellEnd"/>
      <w:r w:rsidR="00646BCC" w:rsidRPr="00646BCC">
        <w:rPr>
          <w:rFonts w:ascii="Palatino Linotype" w:eastAsia="Times New Roman" w:hAnsi="Palatino Linotype" w:cs="Times New Roman"/>
          <w:i/>
          <w:sz w:val="24"/>
          <w:szCs w:val="24"/>
          <w:lang w:val="es-ES" w:eastAsia="es-ES"/>
        </w:rPr>
        <w:t xml:space="preserve">: 2 de fachada principal, 2 de fachada posterior, </w:t>
      </w:r>
      <w:r w:rsidR="00646BCC" w:rsidRPr="00646BCC">
        <w:rPr>
          <w:rFonts w:ascii="Palatino Linotype" w:eastAsia="Times New Roman" w:hAnsi="Palatino Linotype" w:cs="Times New Roman"/>
          <w:i/>
          <w:sz w:val="24"/>
          <w:szCs w:val="24"/>
          <w:lang w:val="es-ES" w:eastAsia="es-ES"/>
        </w:rPr>
        <w:lastRenderedPageBreak/>
        <w:t xml:space="preserve">todos los </w:t>
      </w:r>
      <w:proofErr w:type="spellStart"/>
      <w:r w:rsidR="00646BCC" w:rsidRPr="00646BCC">
        <w:rPr>
          <w:rFonts w:ascii="Palatino Linotype" w:eastAsia="Times New Roman" w:hAnsi="Palatino Linotype" w:cs="Times New Roman"/>
          <w:i/>
          <w:sz w:val="24"/>
          <w:szCs w:val="24"/>
          <w:lang w:val="es-ES" w:eastAsia="es-ES"/>
        </w:rPr>
        <w:t>renders</w:t>
      </w:r>
      <w:proofErr w:type="spellEnd"/>
      <w:r w:rsidR="00646BCC" w:rsidRPr="00646BCC">
        <w:rPr>
          <w:rFonts w:ascii="Palatino Linotype" w:eastAsia="Times New Roman" w:hAnsi="Palatino Linotype" w:cs="Times New Roman"/>
          <w:i/>
          <w:sz w:val="24"/>
          <w:szCs w:val="24"/>
          <w:lang w:val="es-ES" w:eastAsia="es-ES"/>
        </w:rPr>
        <w:t xml:space="preserve"> deberán mostrar los acabados proyectados de la manera más realista posible, además de incluir una figura humana al menos. Los cuales nunca se habían pedido y no se encuentran establecidos en el Código Administrativo del Estado de México en específico en el artículo 18.21, contestando dicha autoridad con artículos del Código Administrativo que enuncian los principios mediante los cuales se debe construirse "...seguridad, habitabilidad, funcionalidad, calidad, higiene, sustentabilidad y de integridad armónica al contexto urbano natural..." por lo que a criterio de dicha dirección "...ha determinado complementar dichos requisitos.."; situación que es contraria a la Ley ya que las autoridades sólo pueden requerir lo que la Ley les establezca. Lo cual implica que las autoridades administrativas actúan en el ámbito de sus atribuciones y competencias, Y SÓLO ESO, es decir su actuación se realiza atento a lo dispuesto por los artículos 14 y 16 constitucionales y no pueden ejercer atribuciones que no tienen expresamente reconocidas en la Ley. Pido se de vista a la Contraloría Municipal y a la Mejora Regulatoria y que en ámbito de sus atribuciones realicen las acciones necesarias para vigilar el cumplimiento de lo dispuesto en la Ley y no se permita el abuso de la Autoridad con los criterios que se utilizan por parte de dicha Dirección.</w:t>
      </w:r>
      <w:r w:rsidRPr="00CB45F6">
        <w:rPr>
          <w:rFonts w:ascii="Palatino Linotype" w:eastAsia="Times New Roman" w:hAnsi="Palatino Linotype" w:cs="Times New Roman"/>
          <w:i/>
          <w:sz w:val="24"/>
          <w:szCs w:val="24"/>
          <w:lang w:val="es-ES" w:eastAsia="es-ES"/>
        </w:rPr>
        <w:t>” (sic)</w:t>
      </w:r>
    </w:p>
    <w:p w:rsidR="00516180" w:rsidRDefault="00516180" w:rsidP="00516180">
      <w:pPr>
        <w:spacing w:after="0" w:line="360" w:lineRule="auto"/>
        <w:jc w:val="both"/>
        <w:rPr>
          <w:rFonts w:ascii="Palatino Linotype" w:hAnsi="Palatino Linotype" w:cs="Arial"/>
          <w:sz w:val="24"/>
          <w:szCs w:val="24"/>
          <w:lang w:val="es-ES"/>
        </w:rPr>
      </w:pPr>
    </w:p>
    <w:p w:rsidR="00646BCC" w:rsidRPr="00625C60" w:rsidRDefault="00646BCC" w:rsidP="00516180">
      <w:pPr>
        <w:spacing w:after="0" w:line="360" w:lineRule="auto"/>
        <w:jc w:val="both"/>
        <w:rPr>
          <w:rFonts w:ascii="Palatino Linotype" w:hAnsi="Palatino Linotype" w:cs="Arial"/>
          <w:sz w:val="24"/>
          <w:szCs w:val="24"/>
          <w:lang w:val="es-ES"/>
        </w:rPr>
      </w:pPr>
    </w:p>
    <w:p w:rsidR="00516180" w:rsidRDefault="00516180" w:rsidP="0051618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sidR="00646BCC">
        <w:rPr>
          <w:rFonts w:ascii="Palatino Linotype" w:eastAsia="Times New Roman" w:hAnsi="Palatino Linotype" w:cs="Arial"/>
          <w:sz w:val="24"/>
          <w:szCs w:val="24"/>
          <w:lang w:val="es-ES" w:eastAsia="es-ES"/>
        </w:rPr>
        <w:t>25</w:t>
      </w:r>
      <w:r>
        <w:rPr>
          <w:rFonts w:ascii="Palatino Linotype" w:eastAsia="Times New Roman" w:hAnsi="Palatino Linotype" w:cs="Arial"/>
          <w:sz w:val="24"/>
          <w:szCs w:val="24"/>
          <w:lang w:val="es-ES" w:eastAsia="es-ES"/>
        </w:rPr>
        <w:t xml:space="preserve"> (veint</w:t>
      </w:r>
      <w:r w:rsidR="00646BCC">
        <w:rPr>
          <w:rFonts w:ascii="Palatino Linotype" w:eastAsia="Times New Roman" w:hAnsi="Palatino Linotype" w:cs="Arial"/>
          <w:sz w:val="24"/>
          <w:szCs w:val="24"/>
          <w:lang w:val="es-ES" w:eastAsia="es-ES"/>
        </w:rPr>
        <w:t>icinco</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w:t>
      </w:r>
      <w:r w:rsidR="00646BCC">
        <w:rPr>
          <w:rFonts w:ascii="Palatino Linotype" w:eastAsia="Times New Roman" w:hAnsi="Palatino Linotype" w:cs="Arial"/>
          <w:sz w:val="24"/>
          <w:szCs w:val="24"/>
          <w:lang w:val="es-ES" w:eastAsia="es-ES"/>
        </w:rPr>
        <w:t>el</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_tradnl" w:eastAsia="es-ES"/>
        </w:rPr>
        <w:t>recurso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w:t>
      </w:r>
      <w:r w:rsidR="00646BCC">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00646BCC">
        <w:rPr>
          <w:rFonts w:ascii="Palatino Linotype" w:eastAsia="Times New Roman" w:hAnsi="Palatino Linotype" w:cs="Times New Roman"/>
          <w:sz w:val="24"/>
          <w:szCs w:val="24"/>
          <w:lang w:val="es-ES" w:eastAsia="es-ES"/>
        </w:rPr>
        <w:t xml:space="preserve"> a</w:t>
      </w:r>
      <w:r w:rsidRPr="00CB45F6">
        <w:rPr>
          <w:rFonts w:ascii="Palatino Linotype" w:eastAsia="Times New Roman" w:hAnsi="Palatino Linotype" w:cs="Times New Roman"/>
          <w:sz w:val="24"/>
          <w:szCs w:val="24"/>
          <w:lang w:val="es-ES" w:eastAsia="es-ES"/>
        </w:rPr>
        <w:t xml:space="preserve">l </w:t>
      </w:r>
      <w:r w:rsidR="00646BCC">
        <w:rPr>
          <w:rFonts w:ascii="Palatino Linotype" w:eastAsia="Times New Roman" w:hAnsi="Palatino Linotype" w:cs="Arial"/>
          <w:sz w:val="24"/>
          <w:szCs w:val="24"/>
          <w:lang w:val="es-ES_tradnl" w:eastAsia="es-ES"/>
        </w:rPr>
        <w:t>Comisionado Presidente</w:t>
      </w:r>
      <w:r w:rsidRPr="00CB45F6">
        <w:rPr>
          <w:rFonts w:ascii="Palatino Linotype" w:eastAsia="Times New Roman" w:hAnsi="Palatino Linotype" w:cs="Arial"/>
          <w:sz w:val="24"/>
          <w:szCs w:val="24"/>
          <w:lang w:val="es-ES_tradnl" w:eastAsia="es-ES"/>
        </w:rPr>
        <w:t xml:space="preserve"> </w:t>
      </w:r>
      <w:r w:rsidR="00646BCC">
        <w:rPr>
          <w:rFonts w:ascii="Palatino Linotype" w:eastAsia="Times New Roman" w:hAnsi="Palatino Linotype" w:cs="Arial"/>
          <w:b/>
          <w:sz w:val="24"/>
          <w:szCs w:val="24"/>
          <w:lang w:val="es-ES_tradnl" w:eastAsia="es-ES"/>
        </w:rPr>
        <w:t xml:space="preserve">JOSÉ MARTÍNEZ VILCHIS, </w:t>
      </w:r>
      <w:r w:rsidRPr="00CB45F6">
        <w:rPr>
          <w:rFonts w:ascii="Palatino Linotype" w:eastAsia="Times New Roman" w:hAnsi="Palatino Linotype" w:cs="Arial"/>
          <w:sz w:val="24"/>
          <w:szCs w:val="24"/>
          <w:lang w:val="es-ES_tradnl" w:eastAsia="es-ES"/>
        </w:rPr>
        <w:t>a efecto de que decretara su admisión o desechamiento.</w:t>
      </w:r>
    </w:p>
    <w:p w:rsidR="00516180" w:rsidRDefault="00516180" w:rsidP="00516180">
      <w:pPr>
        <w:spacing w:after="0" w:line="360" w:lineRule="auto"/>
        <w:ind w:right="49"/>
        <w:jc w:val="both"/>
        <w:rPr>
          <w:rFonts w:ascii="Palatino Linotype" w:eastAsia="Times New Roman" w:hAnsi="Palatino Linotype" w:cs="Arial"/>
          <w:sz w:val="24"/>
          <w:szCs w:val="24"/>
          <w:lang w:val="es-ES_tradnl" w:eastAsia="es-ES"/>
        </w:rPr>
      </w:pPr>
    </w:p>
    <w:p w:rsidR="00516180" w:rsidRDefault="00516180" w:rsidP="00516180">
      <w:pPr>
        <w:spacing w:after="0" w:line="360" w:lineRule="auto"/>
        <w:ind w:right="49"/>
        <w:jc w:val="both"/>
        <w:rPr>
          <w:rFonts w:ascii="Palatino Linotype" w:eastAsia="Times New Roman" w:hAnsi="Palatino Linotype" w:cs="Arial"/>
          <w:sz w:val="24"/>
          <w:szCs w:val="24"/>
          <w:lang w:val="es-ES_tradnl" w:eastAsia="es-ES"/>
        </w:rPr>
      </w:pPr>
    </w:p>
    <w:p w:rsidR="00646BCC" w:rsidRDefault="00516180" w:rsidP="00646BCC">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QUINTO</w:t>
      </w:r>
      <w:r w:rsidRPr="00CB45F6">
        <w:rPr>
          <w:rFonts w:ascii="Palatino Linotype" w:eastAsia="Times New Roman" w:hAnsi="Palatino Linotype" w:cs="Arial"/>
          <w:b/>
          <w:sz w:val="28"/>
          <w:szCs w:val="28"/>
          <w:lang w:val="es-ES_tradnl" w:eastAsia="es-ES"/>
        </w:rPr>
        <w:t xml:space="preserve">. </w:t>
      </w:r>
      <w:r w:rsidRPr="00CB45F6">
        <w:rPr>
          <w:rFonts w:ascii="Palatino Linotype" w:hAnsi="Palatino Linotype" w:cs="Arial"/>
          <w:sz w:val="24"/>
          <w:szCs w:val="24"/>
        </w:rPr>
        <w:t>Una vez abierta la etapa de instrucción, se advierte que</w:t>
      </w:r>
      <w:r w:rsidR="00646BCC" w:rsidRPr="00CB45F6">
        <w:rPr>
          <w:rFonts w:ascii="Palatino Linotype" w:hAnsi="Palatino Linotype" w:cs="Arial"/>
          <w:sz w:val="24"/>
          <w:szCs w:val="24"/>
        </w:rPr>
        <w:t xml:space="preserve"> el </w:t>
      </w:r>
      <w:r w:rsidR="00646BCC" w:rsidRPr="00CB45F6">
        <w:rPr>
          <w:rFonts w:ascii="Palatino Linotype" w:hAnsi="Palatino Linotype" w:cs="Arial"/>
          <w:b/>
          <w:sz w:val="24"/>
          <w:szCs w:val="24"/>
        </w:rPr>
        <w:t>Sujeto Obligado</w:t>
      </w:r>
      <w:r w:rsidR="00646BCC">
        <w:rPr>
          <w:rFonts w:ascii="Palatino Linotype" w:hAnsi="Palatino Linotype" w:cs="Arial"/>
          <w:sz w:val="24"/>
          <w:szCs w:val="24"/>
        </w:rPr>
        <w:t xml:space="preserve"> rindió su informe justificado por medio del documento electrónico </w:t>
      </w:r>
      <w:r w:rsidR="00646BCC">
        <w:rPr>
          <w:rFonts w:ascii="Palatino Linotype" w:hAnsi="Palatino Linotype" w:cs="Arial"/>
          <w:sz w:val="24"/>
          <w:szCs w:val="24"/>
        </w:rPr>
        <w:lastRenderedPageBreak/>
        <w:t>“</w:t>
      </w:r>
      <w:r w:rsidR="00646BCC" w:rsidRPr="00646BCC">
        <w:rPr>
          <w:rFonts w:ascii="Palatino Linotype" w:hAnsi="Palatino Linotype" w:cs="Arial"/>
          <w:sz w:val="24"/>
          <w:szCs w:val="24"/>
        </w:rPr>
        <w:t>DGOTyDU.1347.2022.pdf</w:t>
      </w:r>
      <w:r w:rsidR="00646BCC">
        <w:rPr>
          <w:rFonts w:ascii="Palatino Linotype" w:hAnsi="Palatino Linotype" w:cs="Arial"/>
          <w:sz w:val="24"/>
          <w:szCs w:val="24"/>
        </w:rPr>
        <w:t xml:space="preserve">”, el cual fue puesto a la vista de la </w:t>
      </w:r>
      <w:r w:rsidR="00646BCC" w:rsidRPr="00CB45F6">
        <w:rPr>
          <w:rFonts w:ascii="Palatino Linotype" w:hAnsi="Palatino Linotype" w:cs="Arial"/>
          <w:b/>
          <w:sz w:val="24"/>
          <w:szCs w:val="24"/>
        </w:rPr>
        <w:t>Recurrente,</w:t>
      </w:r>
      <w:r w:rsidR="00646BCC" w:rsidRPr="00CB45F6">
        <w:rPr>
          <w:rFonts w:ascii="Palatino Linotype" w:hAnsi="Palatino Linotype" w:cs="Arial"/>
          <w:sz w:val="24"/>
          <w:szCs w:val="24"/>
        </w:rPr>
        <w:t xml:space="preserve"> </w:t>
      </w:r>
      <w:r w:rsidR="00646BCC">
        <w:rPr>
          <w:rFonts w:ascii="Palatino Linotype" w:hAnsi="Palatino Linotype" w:cs="Arial"/>
          <w:sz w:val="24"/>
          <w:szCs w:val="24"/>
        </w:rPr>
        <w:t xml:space="preserve">a efecto que rindiera las </w:t>
      </w:r>
      <w:r w:rsidR="00646BCC" w:rsidRPr="00CB45F6">
        <w:rPr>
          <w:rFonts w:ascii="Palatino Linotype" w:hAnsi="Palatino Linotype" w:cs="Arial"/>
          <w:sz w:val="24"/>
          <w:szCs w:val="24"/>
        </w:rPr>
        <w:t xml:space="preserve">manifestaciones que a sus intereses conviniera, </w:t>
      </w:r>
      <w:r w:rsidR="00646BCC">
        <w:rPr>
          <w:rFonts w:ascii="Palatino Linotype" w:hAnsi="Palatino Linotype" w:cs="Arial"/>
          <w:sz w:val="24"/>
          <w:szCs w:val="24"/>
        </w:rPr>
        <w:t xml:space="preserve">circunstancia que no fue desahogada. </w:t>
      </w:r>
    </w:p>
    <w:p w:rsidR="00516180" w:rsidRDefault="00516180" w:rsidP="00646BCC">
      <w:pPr>
        <w:spacing w:after="0" w:line="360" w:lineRule="auto"/>
        <w:ind w:right="49"/>
        <w:jc w:val="both"/>
        <w:rPr>
          <w:rFonts w:ascii="Palatino Linotype" w:hAnsi="Palatino Linotype" w:cs="Arial"/>
          <w:sz w:val="24"/>
          <w:szCs w:val="24"/>
        </w:rPr>
      </w:pP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516180" w:rsidRDefault="00516180" w:rsidP="00516180">
      <w:pPr>
        <w:spacing w:after="0" w:line="360" w:lineRule="auto"/>
        <w:jc w:val="both"/>
        <w:rPr>
          <w:rFonts w:ascii="Palatino Linotype" w:hAnsi="Palatino Linotype" w:cs="Arial"/>
          <w:sz w:val="24"/>
          <w:szCs w:val="24"/>
        </w:rPr>
      </w:pPr>
    </w:p>
    <w:p w:rsidR="00646BCC" w:rsidRDefault="00646BCC" w:rsidP="00516180">
      <w:pPr>
        <w:spacing w:after="0" w:line="360" w:lineRule="auto"/>
        <w:jc w:val="both"/>
        <w:rPr>
          <w:rFonts w:ascii="Palatino Linotype" w:hAnsi="Palatino Linotype" w:cs="Arial"/>
          <w:sz w:val="24"/>
          <w:szCs w:val="24"/>
        </w:rPr>
      </w:pPr>
    </w:p>
    <w:p w:rsidR="00516180" w:rsidRPr="00CB45F6" w:rsidRDefault="00646BCC" w:rsidP="0051618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516180" w:rsidRPr="00CB45F6">
        <w:rPr>
          <w:rFonts w:ascii="Palatino Linotype" w:hAnsi="Palatino Linotype" w:cs="Arial"/>
          <w:b/>
          <w:sz w:val="28"/>
          <w:szCs w:val="28"/>
        </w:rPr>
        <w:t xml:space="preserve">. </w:t>
      </w:r>
      <w:r w:rsidR="00516180" w:rsidRPr="00CB45F6">
        <w:rPr>
          <w:rFonts w:ascii="Palatino Linotype" w:hAnsi="Palatino Linotype" w:cs="Arial"/>
          <w:sz w:val="24"/>
          <w:szCs w:val="24"/>
        </w:rPr>
        <w:t xml:space="preserve">Por lo que una vez transcurrido </w:t>
      </w:r>
      <w:r>
        <w:rPr>
          <w:rFonts w:ascii="Palatino Linotype" w:hAnsi="Palatino Linotype" w:cs="Arial"/>
          <w:sz w:val="24"/>
          <w:szCs w:val="24"/>
        </w:rPr>
        <w:t>el</w:t>
      </w:r>
      <w:r w:rsidR="00516180" w:rsidRPr="00CB45F6">
        <w:rPr>
          <w:rFonts w:ascii="Palatino Linotype" w:hAnsi="Palatino Linotype" w:cs="Arial"/>
          <w:sz w:val="24"/>
          <w:szCs w:val="24"/>
        </w:rPr>
        <w:t xml:space="preserve"> periodo otorgado a las partes de siete días hábiles para realizar sus manifestaciones en los acuerdos de admisión, y no habiendo prueba pendiente por desahogar, ni que documentos que integrar al expediente electrónico, se decret</w:t>
      </w:r>
      <w:r>
        <w:rPr>
          <w:rFonts w:ascii="Palatino Linotype" w:hAnsi="Palatino Linotype" w:cs="Arial"/>
          <w:sz w:val="24"/>
          <w:szCs w:val="24"/>
        </w:rPr>
        <w:t xml:space="preserve">ó el </w:t>
      </w:r>
      <w:r w:rsidR="00516180" w:rsidRPr="00CB45F6">
        <w:rPr>
          <w:rFonts w:ascii="Palatino Linotype" w:hAnsi="Palatino Linotype" w:cs="Arial"/>
          <w:sz w:val="24"/>
          <w:szCs w:val="24"/>
        </w:rPr>
        <w:t xml:space="preserve">cierre de instrucción en fecha </w:t>
      </w:r>
      <w:r>
        <w:rPr>
          <w:rFonts w:ascii="Palatino Linotype" w:hAnsi="Palatino Linotype" w:cs="Arial"/>
          <w:sz w:val="24"/>
          <w:szCs w:val="24"/>
        </w:rPr>
        <w:t>13</w:t>
      </w:r>
      <w:r w:rsidR="00516180">
        <w:rPr>
          <w:rFonts w:ascii="Palatino Linotype" w:hAnsi="Palatino Linotype" w:cs="Arial"/>
          <w:sz w:val="24"/>
          <w:szCs w:val="24"/>
        </w:rPr>
        <w:t xml:space="preserve"> (</w:t>
      </w:r>
      <w:r>
        <w:rPr>
          <w:rFonts w:ascii="Palatino Linotype" w:hAnsi="Palatino Linotype" w:cs="Arial"/>
          <w:sz w:val="24"/>
          <w:szCs w:val="24"/>
        </w:rPr>
        <w:t>trece</w:t>
      </w:r>
      <w:r w:rsidR="00516180">
        <w:rPr>
          <w:rFonts w:ascii="Palatino Linotype" w:hAnsi="Palatino Linotype" w:cs="Arial"/>
          <w:sz w:val="24"/>
          <w:szCs w:val="24"/>
        </w:rPr>
        <w:t xml:space="preserve">) de mayo </w:t>
      </w:r>
      <w:r w:rsidR="00516180" w:rsidRPr="00CB45F6">
        <w:rPr>
          <w:rFonts w:ascii="Palatino Linotype" w:hAnsi="Palatino Linotype" w:cs="Arial"/>
          <w:sz w:val="24"/>
          <w:szCs w:val="24"/>
        </w:rPr>
        <w:t xml:space="preserve">de </w:t>
      </w:r>
      <w:r w:rsidR="00516180">
        <w:rPr>
          <w:rFonts w:ascii="Palatino Linotype" w:hAnsi="Palatino Linotype" w:cs="Arial"/>
          <w:sz w:val="24"/>
          <w:szCs w:val="24"/>
        </w:rPr>
        <w:t>2022 (</w:t>
      </w:r>
      <w:r w:rsidR="00516180" w:rsidRPr="00CB45F6">
        <w:rPr>
          <w:rFonts w:ascii="Palatino Linotype" w:hAnsi="Palatino Linotype" w:cs="Arial"/>
          <w:sz w:val="24"/>
          <w:szCs w:val="24"/>
        </w:rPr>
        <w:t>dos mil veintidós</w:t>
      </w:r>
      <w:r w:rsidR="00516180">
        <w:rPr>
          <w:rFonts w:ascii="Palatino Linotype" w:hAnsi="Palatino Linotype" w:cs="Arial"/>
          <w:sz w:val="24"/>
          <w:szCs w:val="24"/>
        </w:rPr>
        <w:t>)</w:t>
      </w:r>
      <w:r w:rsidR="00516180" w:rsidRPr="00CB45F6">
        <w:rPr>
          <w:rFonts w:ascii="Palatino Linotype" w:hAnsi="Palatino Linotype" w:cs="Arial"/>
          <w:sz w:val="24"/>
          <w:szCs w:val="24"/>
        </w:rPr>
        <w:t>,</w:t>
      </w:r>
      <w:r w:rsidR="00516180">
        <w:rPr>
          <w:rFonts w:ascii="Palatino Linotype" w:hAnsi="Palatino Linotype" w:cs="Arial"/>
          <w:sz w:val="24"/>
          <w:szCs w:val="24"/>
        </w:rPr>
        <w:t xml:space="preserve"> </w:t>
      </w:r>
      <w:r w:rsidR="00516180"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rsidR="00516180" w:rsidRDefault="00516180" w:rsidP="00516180">
      <w:pPr>
        <w:spacing w:after="0" w:line="360" w:lineRule="auto"/>
        <w:jc w:val="both"/>
        <w:rPr>
          <w:rFonts w:ascii="Palatino Linotype" w:hAnsi="Palatino Linotype" w:cs="Arial"/>
          <w:sz w:val="24"/>
          <w:szCs w:val="24"/>
        </w:rPr>
      </w:pPr>
    </w:p>
    <w:p w:rsidR="00646BCC" w:rsidRDefault="00646BCC" w:rsidP="00516180">
      <w:pPr>
        <w:spacing w:after="0" w:line="360" w:lineRule="auto"/>
        <w:jc w:val="both"/>
        <w:rPr>
          <w:rFonts w:ascii="Palatino Linotype" w:hAnsi="Palatino Linotype" w:cs="Arial"/>
          <w:sz w:val="24"/>
          <w:szCs w:val="24"/>
        </w:rPr>
      </w:pPr>
    </w:p>
    <w:p w:rsidR="00516180" w:rsidRDefault="00646BCC" w:rsidP="00516180">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516180" w:rsidRPr="00CB45F6">
        <w:rPr>
          <w:rFonts w:ascii="Palatino Linotype" w:hAnsi="Palatino Linotype" w:cs="Arial"/>
          <w:b/>
          <w:sz w:val="28"/>
          <w:szCs w:val="28"/>
        </w:rPr>
        <w:t xml:space="preserve">. </w:t>
      </w:r>
      <w:r w:rsidR="00516180" w:rsidRPr="00CB45F6">
        <w:rPr>
          <w:rFonts w:ascii="Palatino Linotype" w:hAnsi="Palatino Linotype" w:cs="Arial"/>
          <w:sz w:val="24"/>
          <w:szCs w:val="24"/>
        </w:rPr>
        <w:t xml:space="preserve">De las constancias que integran el expediente virtual, se advierte que ha transcurrido </w:t>
      </w:r>
      <w:r>
        <w:rPr>
          <w:rFonts w:ascii="Palatino Linotype" w:hAnsi="Palatino Linotype" w:cs="Arial"/>
          <w:sz w:val="24"/>
          <w:szCs w:val="24"/>
        </w:rPr>
        <w:t>el</w:t>
      </w:r>
      <w:r w:rsidR="00516180" w:rsidRPr="00CB45F6">
        <w:rPr>
          <w:rFonts w:ascii="Palatino Linotype" w:hAnsi="Palatino Linotype" w:cs="Arial"/>
          <w:sz w:val="24"/>
          <w:szCs w:val="24"/>
        </w:rPr>
        <w:t xml:space="preserve"> término</w:t>
      </w:r>
      <w:r w:rsidR="00516180">
        <w:rPr>
          <w:rFonts w:ascii="Palatino Linotype" w:hAnsi="Palatino Linotype" w:cs="Arial"/>
          <w:sz w:val="24"/>
          <w:szCs w:val="24"/>
        </w:rPr>
        <w:t>s</w:t>
      </w:r>
      <w:r w:rsidR="00516180" w:rsidRPr="00CB45F6">
        <w:rPr>
          <w:rFonts w:ascii="Palatino Linotype" w:hAnsi="Palatino Linotype" w:cs="Arial"/>
          <w:sz w:val="24"/>
          <w:szCs w:val="24"/>
        </w:rPr>
        <w:t xml:space="preserve"> de Ley, para la emisión de la resolución en </w:t>
      </w:r>
      <w:r>
        <w:rPr>
          <w:rFonts w:ascii="Palatino Linotype" w:hAnsi="Palatino Linotype" w:cs="Arial"/>
          <w:sz w:val="24"/>
          <w:szCs w:val="24"/>
        </w:rPr>
        <w:t>el</w:t>
      </w:r>
      <w:r w:rsidR="00516180" w:rsidRPr="00CB45F6">
        <w:rPr>
          <w:rFonts w:ascii="Palatino Linotype" w:hAnsi="Palatino Linotype" w:cs="Arial"/>
          <w:sz w:val="24"/>
          <w:szCs w:val="24"/>
        </w:rPr>
        <w:t xml:space="preserve"> presente recurso de revisión, por lo que en fecha</w:t>
      </w:r>
      <w:r w:rsidR="00516180">
        <w:rPr>
          <w:rFonts w:ascii="Palatino Linotype" w:hAnsi="Palatino Linotype" w:cs="Arial"/>
          <w:sz w:val="24"/>
          <w:szCs w:val="24"/>
        </w:rPr>
        <w:t xml:space="preserve"> </w:t>
      </w:r>
      <w:r>
        <w:rPr>
          <w:rFonts w:ascii="Palatino Linotype" w:hAnsi="Palatino Linotype" w:cs="Arial"/>
          <w:sz w:val="24"/>
          <w:szCs w:val="24"/>
        </w:rPr>
        <w:t>13</w:t>
      </w:r>
      <w:r w:rsidR="00516180">
        <w:rPr>
          <w:rFonts w:ascii="Palatino Linotype" w:hAnsi="Palatino Linotype" w:cs="Arial"/>
          <w:sz w:val="24"/>
          <w:szCs w:val="24"/>
        </w:rPr>
        <w:t xml:space="preserve"> (</w:t>
      </w:r>
      <w:r>
        <w:rPr>
          <w:rFonts w:ascii="Palatino Linotype" w:hAnsi="Palatino Linotype" w:cs="Arial"/>
          <w:sz w:val="24"/>
          <w:szCs w:val="24"/>
        </w:rPr>
        <w:t>trece</w:t>
      </w:r>
      <w:r w:rsidR="00516180">
        <w:rPr>
          <w:rFonts w:ascii="Palatino Linotype" w:hAnsi="Palatino Linotype" w:cs="Arial"/>
          <w:sz w:val="24"/>
          <w:szCs w:val="24"/>
        </w:rPr>
        <w:t xml:space="preserve">) </w:t>
      </w:r>
      <w:r w:rsidR="00516180" w:rsidRPr="00CB45F6">
        <w:rPr>
          <w:rFonts w:ascii="Palatino Linotype" w:hAnsi="Palatino Linotype" w:cs="Arial"/>
          <w:sz w:val="24"/>
          <w:szCs w:val="24"/>
        </w:rPr>
        <w:t xml:space="preserve">de </w:t>
      </w:r>
      <w:r w:rsidR="00516180">
        <w:rPr>
          <w:rFonts w:ascii="Palatino Linotype" w:hAnsi="Palatino Linotype" w:cs="Arial"/>
          <w:sz w:val="24"/>
          <w:szCs w:val="24"/>
        </w:rPr>
        <w:t xml:space="preserve">junio </w:t>
      </w:r>
      <w:r w:rsidR="00516180" w:rsidRPr="00CB45F6">
        <w:rPr>
          <w:rFonts w:ascii="Palatino Linotype" w:hAnsi="Palatino Linotype" w:cs="Arial"/>
          <w:sz w:val="24"/>
          <w:szCs w:val="24"/>
        </w:rPr>
        <w:t>de</w:t>
      </w:r>
      <w:r w:rsidR="00516180">
        <w:rPr>
          <w:rFonts w:ascii="Palatino Linotype" w:hAnsi="Palatino Linotype" w:cs="Arial"/>
          <w:sz w:val="24"/>
          <w:szCs w:val="24"/>
        </w:rPr>
        <w:t xml:space="preserve"> 2022</w:t>
      </w:r>
      <w:r w:rsidR="00516180" w:rsidRPr="00CB45F6">
        <w:rPr>
          <w:rFonts w:ascii="Palatino Linotype" w:hAnsi="Palatino Linotype" w:cs="Arial"/>
          <w:sz w:val="24"/>
          <w:szCs w:val="24"/>
        </w:rPr>
        <w:t xml:space="preserve"> </w:t>
      </w:r>
      <w:r w:rsidR="00516180">
        <w:rPr>
          <w:rFonts w:ascii="Palatino Linotype" w:hAnsi="Palatino Linotype" w:cs="Arial"/>
          <w:sz w:val="24"/>
          <w:szCs w:val="24"/>
        </w:rPr>
        <w:t>(</w:t>
      </w:r>
      <w:r w:rsidR="00516180" w:rsidRPr="00CB45F6">
        <w:rPr>
          <w:rFonts w:ascii="Palatino Linotype" w:hAnsi="Palatino Linotype" w:cs="Arial"/>
          <w:sz w:val="24"/>
          <w:szCs w:val="24"/>
        </w:rPr>
        <w:t>dos mil veintidós</w:t>
      </w:r>
      <w:r w:rsidR="00516180">
        <w:rPr>
          <w:rFonts w:ascii="Palatino Linotype" w:hAnsi="Palatino Linotype" w:cs="Arial"/>
          <w:sz w:val="24"/>
          <w:szCs w:val="24"/>
        </w:rPr>
        <w:t>)</w:t>
      </w:r>
      <w:r w:rsidR="00516180" w:rsidRPr="00CB45F6">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w:t>
      </w:r>
      <w:r w:rsidR="00516180" w:rsidRPr="00CB45F6">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16180" w:rsidRPr="009E3B15" w:rsidRDefault="00516180" w:rsidP="00516180">
      <w:pPr>
        <w:spacing w:after="0" w:line="360" w:lineRule="auto"/>
        <w:jc w:val="both"/>
        <w:rPr>
          <w:rFonts w:ascii="Palatino Linotype" w:hAnsi="Palatino Linotype" w:cs="Arial"/>
          <w:sz w:val="24"/>
          <w:szCs w:val="24"/>
        </w:rPr>
      </w:pP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En ese sentido, el legislador fijó los términos procesales en las leyes, de manera general, sin que pudiera prever la variada gama de casos que son resueltos por los órganos </w:t>
      </w:r>
      <w:r w:rsidRPr="009E3B15">
        <w:rPr>
          <w:rFonts w:ascii="Palatino Linotype" w:hAnsi="Palatino Linotype" w:cs="Arial"/>
          <w:sz w:val="24"/>
          <w:szCs w:val="24"/>
        </w:rPr>
        <w:lastRenderedPageBreak/>
        <w:t>jurisdiccionales o cuasi jurisdiccionales, tanto por la complejidad de los hechos, como por el número de casos que conocen.</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516180" w:rsidRPr="009E3B15" w:rsidRDefault="00516180" w:rsidP="00516180">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a) </w:t>
      </w:r>
      <w:r w:rsidRPr="009E3B15">
        <w:rPr>
          <w:rFonts w:ascii="Palatino Linotype" w:hAnsi="Palatino Linotype" w:cs="Arial"/>
          <w:sz w:val="24"/>
          <w:szCs w:val="24"/>
        </w:rPr>
        <w:tab/>
      </w:r>
      <w:r w:rsidRPr="008F3175">
        <w:rPr>
          <w:rFonts w:ascii="Palatino Linotype" w:hAnsi="Palatino Linotype" w:cs="Arial"/>
          <w:b/>
          <w:sz w:val="24"/>
          <w:szCs w:val="24"/>
        </w:rPr>
        <w:t>Complejidad del asunto:</w:t>
      </w:r>
      <w:r w:rsidRPr="009E3B15">
        <w:rPr>
          <w:rFonts w:ascii="Palatino Linotype" w:hAnsi="Palatino Linotype" w:cs="Arial"/>
          <w:sz w:val="24"/>
          <w:szCs w:val="24"/>
        </w:rPr>
        <w:t xml:space="preserve"> La complejidad de la prueba, la pluralidad de sujetos procesales, el tiempo transcurrido, las características y contexto del recurso.</w:t>
      </w:r>
    </w:p>
    <w:p w:rsidR="00516180" w:rsidRPr="009E3B15" w:rsidRDefault="00516180" w:rsidP="00516180">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r>
      <w:r w:rsidRPr="008F3175">
        <w:rPr>
          <w:rFonts w:ascii="Palatino Linotype" w:hAnsi="Palatino Linotype" w:cs="Arial"/>
          <w:b/>
          <w:sz w:val="24"/>
          <w:szCs w:val="24"/>
        </w:rPr>
        <w:t>Actividad Procesal del interesado:</w:t>
      </w:r>
      <w:r w:rsidRPr="009E3B15">
        <w:rPr>
          <w:rFonts w:ascii="Palatino Linotype" w:hAnsi="Palatino Linotype" w:cs="Arial"/>
          <w:sz w:val="24"/>
          <w:szCs w:val="24"/>
        </w:rPr>
        <w:t xml:space="preserve"> Acciones u omisiones del interesado.</w:t>
      </w:r>
    </w:p>
    <w:p w:rsidR="00516180" w:rsidRPr="009E3B15" w:rsidRDefault="00516180" w:rsidP="00516180">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r>
      <w:r w:rsidRPr="008F3175">
        <w:rPr>
          <w:rFonts w:ascii="Palatino Linotype" w:hAnsi="Palatino Linotype" w:cs="Arial"/>
          <w:b/>
          <w:sz w:val="24"/>
          <w:szCs w:val="24"/>
        </w:rPr>
        <w:t>Conducta de la Autoridad:</w:t>
      </w:r>
      <w:r w:rsidRPr="009E3B15">
        <w:rPr>
          <w:rFonts w:ascii="Palatino Linotype" w:hAnsi="Palatino Linotype" w:cs="Arial"/>
          <w:sz w:val="24"/>
          <w:szCs w:val="24"/>
        </w:rPr>
        <w:t xml:space="preserve"> Las Acciones u omisiones realizadas en el procedimiento. Así como si la autoridad actuó con la debida diligencia.</w:t>
      </w:r>
    </w:p>
    <w:p w:rsidR="00516180" w:rsidRPr="009E3B15" w:rsidRDefault="00516180" w:rsidP="00516180">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r>
      <w:r w:rsidRPr="008F3175">
        <w:rPr>
          <w:rFonts w:ascii="Palatino Linotype" w:hAnsi="Palatino Linotype" w:cs="Arial"/>
          <w:b/>
          <w:sz w:val="24"/>
          <w:szCs w:val="24"/>
        </w:rPr>
        <w:t>La afectación generada en la situación jurídica de la persona involucrada en el proceso:</w:t>
      </w:r>
      <w:r w:rsidRPr="009E3B15">
        <w:rPr>
          <w:rFonts w:ascii="Palatino Linotype" w:hAnsi="Palatino Linotype" w:cs="Arial"/>
          <w:sz w:val="24"/>
          <w:szCs w:val="24"/>
        </w:rPr>
        <w:t xml:space="preserve"> Violación a sus derechos humanos.</w:t>
      </w:r>
    </w:p>
    <w:p w:rsidR="00516180" w:rsidRDefault="00516180" w:rsidP="00516180">
      <w:pPr>
        <w:spacing w:after="0" w:line="360" w:lineRule="auto"/>
        <w:jc w:val="both"/>
        <w:rPr>
          <w:rFonts w:ascii="Palatino Linotype" w:hAnsi="Palatino Linotype" w:cs="Arial"/>
          <w:sz w:val="24"/>
          <w:szCs w:val="24"/>
        </w:rPr>
      </w:pPr>
    </w:p>
    <w:p w:rsidR="00516180"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16180" w:rsidRPr="009E3B15" w:rsidRDefault="00516180" w:rsidP="00516180">
      <w:pPr>
        <w:spacing w:after="0" w:line="360" w:lineRule="auto"/>
        <w:jc w:val="both"/>
        <w:rPr>
          <w:rFonts w:ascii="Palatino Linotype" w:hAnsi="Palatino Linotype" w:cs="Arial"/>
          <w:sz w:val="24"/>
          <w:szCs w:val="24"/>
        </w:rPr>
      </w:pP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Argumento que encuentra sustento en la jurisprudencia P./J. 32/92 emitida por el Pleno de la Suprema Corte de Justicia de la Nación de rubro “TÉRMINOS PROCESALES. PARA DETERMINAR SI UN FUNCIONARIO JUDICIAL ACTUÓ </w:t>
      </w:r>
      <w:r w:rsidRPr="009E3B15">
        <w:rPr>
          <w:rFonts w:ascii="Palatino Linotype" w:hAnsi="Palatino Linotype" w:cs="Arial"/>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rsidR="00516180" w:rsidRPr="009E3B15" w:rsidRDefault="00516180" w:rsidP="00516180">
      <w:pPr>
        <w:spacing w:after="0" w:line="360" w:lineRule="auto"/>
        <w:jc w:val="both"/>
        <w:rPr>
          <w:rFonts w:ascii="Palatino Linotype" w:hAnsi="Palatino Linotype" w:cs="Arial"/>
          <w:sz w:val="24"/>
          <w:szCs w:val="24"/>
        </w:rPr>
      </w:pP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16180" w:rsidRDefault="00516180" w:rsidP="00516180">
      <w:pPr>
        <w:spacing w:after="0" w:line="360" w:lineRule="auto"/>
        <w:jc w:val="both"/>
        <w:rPr>
          <w:rFonts w:ascii="Palatino Linotype" w:hAnsi="Palatino Linotype" w:cs="Arial"/>
          <w:sz w:val="24"/>
          <w:szCs w:val="24"/>
        </w:rPr>
      </w:pP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516180" w:rsidRPr="009E3B15"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rsidR="00516180" w:rsidRPr="009E3B15" w:rsidRDefault="00516180" w:rsidP="00516180">
      <w:pPr>
        <w:spacing w:after="0" w:line="360" w:lineRule="auto"/>
        <w:jc w:val="both"/>
        <w:rPr>
          <w:rFonts w:ascii="Palatino Linotype" w:hAnsi="Palatino Linotype" w:cs="Arial"/>
          <w:sz w:val="24"/>
          <w:szCs w:val="24"/>
        </w:rPr>
      </w:pPr>
    </w:p>
    <w:p w:rsidR="00516180" w:rsidRDefault="00516180" w:rsidP="00516180">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516180" w:rsidRPr="00CB45F6" w:rsidRDefault="00516180" w:rsidP="00516180">
      <w:pPr>
        <w:spacing w:after="0" w:line="360" w:lineRule="auto"/>
        <w:jc w:val="both"/>
        <w:rPr>
          <w:rFonts w:ascii="Palatino Linotype" w:hAnsi="Palatino Linotype" w:cs="Arial"/>
          <w:sz w:val="24"/>
          <w:szCs w:val="24"/>
        </w:rPr>
      </w:pPr>
    </w:p>
    <w:p w:rsidR="00516180" w:rsidRPr="00CB45F6" w:rsidRDefault="00516180" w:rsidP="00516180">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516180" w:rsidRPr="00CB45F6" w:rsidRDefault="00516180" w:rsidP="00516180">
      <w:pPr>
        <w:spacing w:after="0" w:line="360" w:lineRule="auto"/>
        <w:jc w:val="center"/>
        <w:rPr>
          <w:rFonts w:ascii="Palatino Linotype" w:hAnsi="Palatino Linotype" w:cs="Arial"/>
          <w:sz w:val="24"/>
          <w:szCs w:val="24"/>
        </w:rPr>
      </w:pPr>
    </w:p>
    <w:p w:rsidR="00516180" w:rsidRPr="00CB45F6" w:rsidRDefault="00516180" w:rsidP="00516180">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16180" w:rsidRDefault="00516180" w:rsidP="00516180">
      <w:pPr>
        <w:spacing w:after="0" w:line="360" w:lineRule="auto"/>
        <w:jc w:val="both"/>
        <w:rPr>
          <w:rFonts w:ascii="Palatino Linotype" w:hAnsi="Palatino Linotype" w:cs="Arial"/>
          <w:sz w:val="24"/>
          <w:szCs w:val="24"/>
        </w:rPr>
      </w:pPr>
    </w:p>
    <w:p w:rsidR="00516180" w:rsidRPr="00CB45F6" w:rsidRDefault="00516180" w:rsidP="00516180">
      <w:pPr>
        <w:spacing w:after="0" w:line="360" w:lineRule="auto"/>
        <w:jc w:val="both"/>
        <w:rPr>
          <w:rFonts w:ascii="Palatino Linotype" w:hAnsi="Palatino Linotype" w:cs="Arial"/>
          <w:sz w:val="24"/>
          <w:szCs w:val="24"/>
        </w:rPr>
      </w:pPr>
    </w:p>
    <w:p w:rsidR="00516180" w:rsidRPr="00FF0E01" w:rsidRDefault="00516180" w:rsidP="00516180">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lastRenderedPageBreak/>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516180" w:rsidRDefault="00516180" w:rsidP="005161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16180" w:rsidRDefault="00516180" w:rsidP="005161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516180" w:rsidRPr="00673972" w:rsidRDefault="00516180" w:rsidP="005161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4431F" w:rsidRPr="00F4431F" w:rsidRDefault="00F4431F" w:rsidP="00F4431F">
      <w:pPr>
        <w:spacing w:after="0" w:line="360" w:lineRule="auto"/>
        <w:jc w:val="both"/>
        <w:rPr>
          <w:rFonts w:ascii="Palatino Linotype" w:eastAsiaTheme="minorEastAsia" w:hAnsi="Palatino Linotype" w:cs="Arial"/>
          <w:b/>
          <w:sz w:val="28"/>
          <w:szCs w:val="28"/>
          <w:lang w:val="es-ES_tradnl" w:eastAsia="es-ES"/>
        </w:rPr>
      </w:pPr>
      <w:r w:rsidRPr="00F4431F">
        <w:rPr>
          <w:rFonts w:ascii="Palatino Linotype" w:eastAsiaTheme="minorEastAsia" w:hAnsi="Palatino Linotype" w:cs="Arial"/>
          <w:b/>
          <w:sz w:val="28"/>
          <w:szCs w:val="28"/>
          <w:lang w:val="es-ES_tradnl" w:eastAsia="es-ES"/>
        </w:rPr>
        <w:t>TERCERO. Del estudio de las causas de improcedencia y sobreseimiento.</w:t>
      </w:r>
    </w:p>
    <w:p w:rsidR="00F4431F" w:rsidRPr="00F4431F" w:rsidRDefault="00F4431F" w:rsidP="00F443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4431F">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4431F" w:rsidRPr="00F4431F" w:rsidRDefault="00F4431F" w:rsidP="00F443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4431F" w:rsidRPr="00F4431F" w:rsidRDefault="00F4431F" w:rsidP="00F443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4431F">
        <w:rPr>
          <w:rFonts w:ascii="Palatino Linotype" w:eastAsiaTheme="minorEastAsia" w:hAnsi="Palatino Linotype" w:cs="Arial"/>
          <w:sz w:val="24"/>
          <w:szCs w:val="24"/>
          <w:lang w:val="es-ES_tradnl" w:eastAsia="es-ES"/>
        </w:rPr>
        <w:t xml:space="preserve">Correlativo a ello, como lo establece el artículo 62 de la Ley de Amparo, Reglamentaria de los Artículos 103 y 107 de la Constitución Política de los Estados Unidos Mexicanos, las causas de improcedencia se analizarán de oficio, lo aleguen o no las partes, por ser </w:t>
      </w:r>
      <w:r w:rsidRPr="00F4431F">
        <w:rPr>
          <w:rFonts w:ascii="Palatino Linotype" w:eastAsiaTheme="minorEastAsia" w:hAnsi="Palatino Linotype" w:cs="Arial"/>
          <w:sz w:val="24"/>
          <w:szCs w:val="24"/>
          <w:lang w:val="es-ES_tradnl" w:eastAsia="es-ES"/>
        </w:rPr>
        <w:lastRenderedPageBreak/>
        <w:t>una cuestión de orden público y estudio preferente; además, con base en la jurisprudencia por reiteración con número de registro digital 222780, de rubro y texto:</w:t>
      </w:r>
    </w:p>
    <w:p w:rsidR="00F4431F" w:rsidRPr="00F4431F" w:rsidRDefault="00F4431F" w:rsidP="00F443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4431F" w:rsidRPr="00F4431F" w:rsidRDefault="00F4431F" w:rsidP="00F4431F">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F4431F">
        <w:rPr>
          <w:rFonts w:ascii="Palatino Linotype" w:eastAsiaTheme="minorEastAsia" w:hAnsi="Palatino Linotype" w:cs="Arial"/>
          <w:i/>
          <w:sz w:val="24"/>
          <w:szCs w:val="24"/>
          <w:lang w:val="es-ES_tradnl" w:eastAsia="es-ES"/>
        </w:rPr>
        <w:t>“</w:t>
      </w:r>
      <w:r w:rsidRPr="00F4431F">
        <w:rPr>
          <w:rFonts w:ascii="Palatino Linotype" w:eastAsiaTheme="minorEastAsia" w:hAnsi="Palatino Linotype" w:cs="Arial"/>
          <w:b/>
          <w:i/>
          <w:sz w:val="24"/>
          <w:szCs w:val="24"/>
          <w:lang w:val="es-ES_tradnl" w:eastAsia="es-ES"/>
        </w:rPr>
        <w:t>IMPROCEDENCIA, CAUSALES DE. EN EL JUICIO DE AMPARO.</w:t>
      </w:r>
      <w:r w:rsidRPr="00F4431F">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F4431F" w:rsidRPr="00F4431F" w:rsidRDefault="00F4431F" w:rsidP="00F443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4431F" w:rsidRPr="00F4431F" w:rsidRDefault="00F4431F" w:rsidP="00F4431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4431F">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F4431F">
        <w:rPr>
          <w:rFonts w:ascii="Palatino Linotype" w:eastAsiaTheme="minorEastAsia" w:hAnsi="Palatino Linotype" w:cs="Arial"/>
          <w:sz w:val="24"/>
          <w:szCs w:val="24"/>
          <w:vertAlign w:val="superscript"/>
          <w:lang w:val="es-ES_tradnl" w:eastAsia="es-ES"/>
        </w:rPr>
        <w:footnoteReference w:id="1"/>
      </w:r>
      <w:r w:rsidRPr="00F4431F">
        <w:rPr>
          <w:rFonts w:ascii="Palatino Linotype" w:eastAsiaTheme="minorEastAsia" w:hAnsi="Palatino Linotype" w:cs="Arial"/>
          <w:sz w:val="24"/>
          <w:szCs w:val="24"/>
          <w:lang w:val="es-ES_tradnl" w:eastAsia="es-ES"/>
        </w:rPr>
        <w:t>.</w:t>
      </w:r>
    </w:p>
    <w:p w:rsidR="00F4431F" w:rsidRDefault="00F4431F" w:rsidP="00F4431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4431F">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F4431F">
        <w:rPr>
          <w:rFonts w:ascii="Palatino Linotype" w:eastAsiaTheme="minorEastAsia" w:hAnsi="Palatino Linotype" w:cs="Arial"/>
          <w:b/>
          <w:sz w:val="24"/>
          <w:szCs w:val="24"/>
          <w:lang w:val="es-ES_tradnl" w:eastAsia="es-ES"/>
        </w:rPr>
        <w:t>Sujeto Obligado</w:t>
      </w:r>
      <w:r w:rsidRPr="00F4431F">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F4431F">
        <w:rPr>
          <w:rFonts w:ascii="Palatino Linotype" w:eastAsiaTheme="minorEastAsia" w:hAnsi="Palatino Linotype" w:cs="Arial"/>
          <w:b/>
          <w:sz w:val="24"/>
          <w:szCs w:val="24"/>
          <w:lang w:val="es-ES_tradnl" w:eastAsia="es-ES"/>
        </w:rPr>
        <w:t>Sujeto Obligado</w:t>
      </w:r>
      <w:r w:rsidRPr="00F4431F">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F4431F" w:rsidRPr="00F4431F" w:rsidRDefault="00F4431F" w:rsidP="00F4431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4431F" w:rsidRPr="00F4431F" w:rsidRDefault="00F4431F" w:rsidP="00F4431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4431F">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 </w:t>
      </w:r>
      <w:r w:rsidRPr="00F4431F">
        <w:rPr>
          <w:rFonts w:ascii="Palatino Linotype" w:eastAsiaTheme="minorEastAsia" w:hAnsi="Palatino Linotype" w:cs="Arial"/>
          <w:b/>
          <w:sz w:val="24"/>
          <w:szCs w:val="24"/>
          <w:lang w:val="es-ES_tradnl" w:eastAsia="es-ES"/>
        </w:rPr>
        <w:t>la Recurrente</w:t>
      </w:r>
      <w:r w:rsidRPr="00F4431F">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F4431F">
        <w:rPr>
          <w:rFonts w:ascii="Palatino Linotype" w:eastAsiaTheme="minorEastAsia" w:hAnsi="Palatino Linotype" w:cs="Arial"/>
          <w:b/>
          <w:sz w:val="24"/>
          <w:szCs w:val="24"/>
          <w:lang w:val="es-ES_tradnl" w:eastAsia="es-ES"/>
        </w:rPr>
        <w:t>Sujeto Obligado</w:t>
      </w:r>
      <w:r w:rsidRPr="00F4431F">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516180" w:rsidRPr="00673972" w:rsidRDefault="00516180" w:rsidP="005161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516180" w:rsidRDefault="00516180" w:rsidP="005161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Atentos a la redacción de la solicitud de información</w:t>
      </w:r>
      <w:r w:rsidR="004A6F81">
        <w:rPr>
          <w:rFonts w:ascii="Palatino Linotype" w:eastAsia="Times New Roman" w:hAnsi="Palatino Linotype" w:cs="Arial"/>
          <w:sz w:val="24"/>
          <w:szCs w:val="24"/>
          <w:lang w:val="es-ES" w:eastAsia="es-ES"/>
        </w:rPr>
        <w:t xml:space="preserve"> concatenada con el documento electrónico adjuntado a la misma,</w:t>
      </w:r>
      <w:r w:rsidRPr="00CB45F6">
        <w:rPr>
          <w:rFonts w:ascii="Palatino Linotype" w:eastAsia="Times New Roman" w:hAnsi="Palatino Linotype" w:cs="Arial"/>
          <w:sz w:val="24"/>
          <w:szCs w:val="24"/>
          <w:lang w:val="es-ES" w:eastAsia="es-ES"/>
        </w:rPr>
        <w:t xml:space="preserve"> se puede apreciar que </w:t>
      </w:r>
      <w:r w:rsidR="004A6F81">
        <w:rPr>
          <w:rFonts w:ascii="Palatino Linotype" w:eastAsia="Times New Roman" w:hAnsi="Palatino Linotype" w:cs="Arial"/>
          <w:sz w:val="24"/>
          <w:szCs w:val="24"/>
          <w:lang w:val="es-ES" w:eastAsia="es-ES"/>
        </w:rPr>
        <w:t>la</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004A6F81">
        <w:rPr>
          <w:rFonts w:ascii="Palatino Linotype" w:eastAsia="Times New Roman" w:hAnsi="Palatino Linotype" w:cs="Arial"/>
          <w:sz w:val="24"/>
          <w:szCs w:val="24"/>
          <w:lang w:val="es-ES" w:eastAsia="es-ES"/>
        </w:rPr>
        <w:t>objetivamente de la Dirección de Ordenamiento Territorial y Desarrollo Urbano del Sujeto Obligado,</w:t>
      </w:r>
      <w:r w:rsidRPr="00CB45F6">
        <w:rPr>
          <w:rFonts w:ascii="Palatino Linotype" w:eastAsia="Times New Roman" w:hAnsi="Palatino Linotype" w:cs="Arial"/>
          <w:sz w:val="24"/>
          <w:szCs w:val="24"/>
          <w:lang w:val="es-ES" w:eastAsia="es-ES"/>
        </w:rPr>
        <w:t xml:space="preserve"> lo siguiente:</w:t>
      </w:r>
    </w:p>
    <w:p w:rsidR="00516180" w:rsidRPr="00CB45F6" w:rsidRDefault="00516180" w:rsidP="005161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16180" w:rsidRDefault="004A6F81" w:rsidP="004A6F81">
      <w:pPr>
        <w:numPr>
          <w:ilvl w:val="0"/>
          <w:numId w:val="2"/>
        </w:numPr>
        <w:spacing w:after="0" w:line="360" w:lineRule="auto"/>
        <w:jc w:val="both"/>
        <w:rPr>
          <w:rFonts w:ascii="Palatino Linotype" w:eastAsia="Times New Roman" w:hAnsi="Palatino Linotype" w:cs="Arial"/>
          <w:sz w:val="24"/>
          <w:szCs w:val="24"/>
          <w:lang w:val="es-ES" w:eastAsia="es-ES"/>
        </w:rPr>
      </w:pPr>
      <w:r w:rsidRPr="004A6F81">
        <w:rPr>
          <w:rFonts w:ascii="Palatino Linotype" w:eastAsia="Times New Roman" w:hAnsi="Palatino Linotype" w:cs="Arial"/>
          <w:sz w:val="24"/>
          <w:szCs w:val="24"/>
          <w:lang w:val="es-ES" w:eastAsia="es-ES"/>
        </w:rPr>
        <w:lastRenderedPageBreak/>
        <w:t>los requisitos establecidos en sus formatos de solicitud y en que Código o Legislación se encuentran fundamentados</w:t>
      </w:r>
      <w:r>
        <w:rPr>
          <w:rFonts w:ascii="Palatino Linotype" w:eastAsia="Times New Roman" w:hAnsi="Palatino Linotype" w:cs="Arial"/>
          <w:sz w:val="24"/>
          <w:szCs w:val="24"/>
          <w:lang w:val="es-ES" w:eastAsia="es-ES"/>
        </w:rPr>
        <w:t>;</w:t>
      </w:r>
    </w:p>
    <w:p w:rsidR="004A6F81" w:rsidRPr="00CB45F6" w:rsidRDefault="003058D5" w:rsidP="003058D5">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fundamento legal para que la ventanilla única requiera además de los requisitos previstos en la Ley, los siguientes: </w:t>
      </w:r>
      <w:r w:rsidRPr="003058D5">
        <w:rPr>
          <w:rFonts w:ascii="Palatino Linotype" w:eastAsia="Times New Roman" w:hAnsi="Palatino Linotype" w:cs="Arial"/>
          <w:sz w:val="24"/>
          <w:szCs w:val="24"/>
          <w:lang w:val="es-ES" w:eastAsia="es-ES"/>
        </w:rPr>
        <w:t xml:space="preserve">1.- Archivo </w:t>
      </w:r>
      <w:proofErr w:type="spellStart"/>
      <w:r w:rsidRPr="003058D5">
        <w:rPr>
          <w:rFonts w:ascii="Palatino Linotype" w:eastAsia="Times New Roman" w:hAnsi="Palatino Linotype" w:cs="Arial"/>
          <w:sz w:val="24"/>
          <w:szCs w:val="24"/>
          <w:lang w:val="es-ES" w:eastAsia="es-ES"/>
        </w:rPr>
        <w:t>kml</w:t>
      </w:r>
      <w:proofErr w:type="spellEnd"/>
      <w:r w:rsidRPr="003058D5">
        <w:rPr>
          <w:rFonts w:ascii="Palatino Linotype" w:eastAsia="Times New Roman" w:hAnsi="Palatino Linotype" w:cs="Arial"/>
          <w:sz w:val="24"/>
          <w:szCs w:val="24"/>
          <w:lang w:val="es-ES" w:eastAsia="es-ES"/>
        </w:rPr>
        <w:t xml:space="preserve"> (GOOGLE EARTH) del predio donde se habrán de llevar a cabo los trabajos; 2.- Proyecto Ejecutivo: planos arquitectónicos, estructurales y de instalaciones en archivo digital, formato DWG (AUTOCAD); 3.- Modelo 3D o maqueta virtual en </w:t>
      </w:r>
      <w:proofErr w:type="spellStart"/>
      <w:r w:rsidRPr="003058D5">
        <w:rPr>
          <w:rFonts w:ascii="Palatino Linotype" w:eastAsia="Times New Roman" w:hAnsi="Palatino Linotype" w:cs="Arial"/>
          <w:sz w:val="24"/>
          <w:szCs w:val="24"/>
          <w:lang w:val="es-ES" w:eastAsia="es-ES"/>
        </w:rPr>
        <w:t>sketchup</w:t>
      </w:r>
      <w:proofErr w:type="spellEnd"/>
      <w:r w:rsidRPr="003058D5">
        <w:rPr>
          <w:rFonts w:ascii="Palatino Linotype" w:eastAsia="Times New Roman" w:hAnsi="Palatino Linotype" w:cs="Arial"/>
          <w:sz w:val="24"/>
          <w:szCs w:val="24"/>
          <w:lang w:val="es-ES" w:eastAsia="es-ES"/>
        </w:rPr>
        <w:t xml:space="preserve"> o </w:t>
      </w:r>
      <w:proofErr w:type="spellStart"/>
      <w:r w:rsidRPr="003058D5">
        <w:rPr>
          <w:rFonts w:ascii="Palatino Linotype" w:eastAsia="Times New Roman" w:hAnsi="Palatino Linotype" w:cs="Arial"/>
          <w:sz w:val="24"/>
          <w:szCs w:val="24"/>
          <w:lang w:val="es-ES" w:eastAsia="es-ES"/>
        </w:rPr>
        <w:t>revit</w:t>
      </w:r>
      <w:proofErr w:type="spellEnd"/>
      <w:r w:rsidRPr="003058D5">
        <w:rPr>
          <w:rFonts w:ascii="Palatino Linotype" w:eastAsia="Times New Roman" w:hAnsi="Palatino Linotype" w:cs="Arial"/>
          <w:sz w:val="24"/>
          <w:szCs w:val="24"/>
          <w:lang w:val="es-ES" w:eastAsia="es-ES"/>
        </w:rPr>
        <w:t xml:space="preserve"> con loa acabados y dimensiones finales; y, 4.- 4 </w:t>
      </w:r>
      <w:proofErr w:type="spellStart"/>
      <w:r w:rsidRPr="003058D5">
        <w:rPr>
          <w:rFonts w:ascii="Palatino Linotype" w:eastAsia="Times New Roman" w:hAnsi="Palatino Linotype" w:cs="Arial"/>
          <w:sz w:val="24"/>
          <w:szCs w:val="24"/>
          <w:lang w:val="es-ES" w:eastAsia="es-ES"/>
        </w:rPr>
        <w:t>Renders</w:t>
      </w:r>
      <w:proofErr w:type="spellEnd"/>
      <w:r w:rsidRPr="003058D5">
        <w:rPr>
          <w:rFonts w:ascii="Palatino Linotype" w:eastAsia="Times New Roman" w:hAnsi="Palatino Linotype" w:cs="Arial"/>
          <w:sz w:val="24"/>
          <w:szCs w:val="24"/>
          <w:lang w:val="es-ES" w:eastAsia="es-ES"/>
        </w:rPr>
        <w:t xml:space="preserve">: 2 de fachada principal, 2 de fachada posterior, todos los </w:t>
      </w:r>
      <w:proofErr w:type="spellStart"/>
      <w:r w:rsidRPr="003058D5">
        <w:rPr>
          <w:rFonts w:ascii="Palatino Linotype" w:eastAsia="Times New Roman" w:hAnsi="Palatino Linotype" w:cs="Arial"/>
          <w:sz w:val="24"/>
          <w:szCs w:val="24"/>
          <w:lang w:val="es-ES" w:eastAsia="es-ES"/>
        </w:rPr>
        <w:t>renders</w:t>
      </w:r>
      <w:proofErr w:type="spellEnd"/>
      <w:r w:rsidRPr="003058D5">
        <w:rPr>
          <w:rFonts w:ascii="Palatino Linotype" w:eastAsia="Times New Roman" w:hAnsi="Palatino Linotype" w:cs="Arial"/>
          <w:sz w:val="24"/>
          <w:szCs w:val="24"/>
          <w:lang w:val="es-ES" w:eastAsia="es-ES"/>
        </w:rPr>
        <w:t xml:space="preserve"> deberán mostrar los acabados proyectados de la manera más realista posible, además de incluir una figura humana al menos.</w:t>
      </w:r>
    </w:p>
    <w:p w:rsidR="00516180" w:rsidRDefault="00516180" w:rsidP="00516180">
      <w:pPr>
        <w:spacing w:after="0" w:line="360" w:lineRule="auto"/>
        <w:jc w:val="both"/>
        <w:rPr>
          <w:rFonts w:ascii="Palatino Linotype" w:eastAsia="Times New Roman" w:hAnsi="Palatino Linotype" w:cs="Arial"/>
          <w:sz w:val="24"/>
          <w:szCs w:val="24"/>
          <w:lang w:val="es-ES" w:eastAsia="es-ES"/>
        </w:rPr>
      </w:pPr>
    </w:p>
    <w:p w:rsidR="00235686" w:rsidRDefault="00235686" w:rsidP="0051618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que la </w:t>
      </w:r>
      <w:r w:rsidRPr="00FD65C9">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adjunto a su solicitud de información el </w:t>
      </w:r>
      <w:r w:rsidR="00FD65C9">
        <w:rPr>
          <w:rFonts w:ascii="Palatino Linotype" w:eastAsia="Times New Roman" w:hAnsi="Palatino Linotype" w:cs="Arial"/>
          <w:sz w:val="24"/>
          <w:szCs w:val="24"/>
          <w:lang w:val="es-ES" w:eastAsia="es-ES"/>
        </w:rPr>
        <w:t>documento</w:t>
      </w:r>
      <w:r>
        <w:rPr>
          <w:rFonts w:ascii="Palatino Linotype" w:eastAsia="Times New Roman" w:hAnsi="Palatino Linotype" w:cs="Arial"/>
          <w:sz w:val="24"/>
          <w:szCs w:val="24"/>
          <w:lang w:val="es-ES" w:eastAsia="es-ES"/>
        </w:rPr>
        <w:t xml:space="preserve"> electrónico </w:t>
      </w:r>
      <w:r>
        <w:rPr>
          <w:rFonts w:ascii="Palatino Linotype" w:hAnsi="Palatino Linotype"/>
          <w:color w:val="000000"/>
          <w:sz w:val="24"/>
          <w:szCs w:val="24"/>
        </w:rPr>
        <w:t>“</w:t>
      </w:r>
      <w:r w:rsidRPr="00516180">
        <w:rPr>
          <w:rFonts w:ascii="Palatino Linotype" w:hAnsi="Palatino Linotype"/>
          <w:color w:val="000000"/>
          <w:sz w:val="24"/>
          <w:szCs w:val="24"/>
        </w:rPr>
        <w:t xml:space="preserve">requisitos </w:t>
      </w:r>
      <w:proofErr w:type="spellStart"/>
      <w:r w:rsidRPr="00516180">
        <w:rPr>
          <w:rFonts w:ascii="Palatino Linotype" w:hAnsi="Palatino Linotype"/>
          <w:color w:val="000000"/>
          <w:sz w:val="24"/>
          <w:szCs w:val="24"/>
        </w:rPr>
        <w:t>atizapan</w:t>
      </w:r>
      <w:proofErr w:type="spellEnd"/>
      <w:r w:rsidRPr="00516180">
        <w:rPr>
          <w:rFonts w:ascii="Palatino Linotype" w:hAnsi="Palatino Linotype"/>
          <w:color w:val="000000"/>
          <w:sz w:val="24"/>
          <w:szCs w:val="24"/>
        </w:rPr>
        <w:t xml:space="preserve"> 2022.pdf</w:t>
      </w:r>
      <w:r>
        <w:rPr>
          <w:rFonts w:ascii="Palatino Linotype" w:hAnsi="Palatino Linotype"/>
          <w:color w:val="000000"/>
          <w:sz w:val="24"/>
          <w:szCs w:val="24"/>
        </w:rPr>
        <w:t>”</w:t>
      </w:r>
      <w:r w:rsidR="00FD65C9">
        <w:rPr>
          <w:rFonts w:ascii="Palatino Linotype" w:hAnsi="Palatino Linotype"/>
          <w:color w:val="000000"/>
          <w:sz w:val="24"/>
          <w:szCs w:val="24"/>
        </w:rPr>
        <w:t xml:space="preserve">, consistente en la fotografía de un Aviso del </w:t>
      </w:r>
      <w:r w:rsidR="00FD65C9" w:rsidRPr="005E2291">
        <w:rPr>
          <w:rFonts w:ascii="Palatino Linotype" w:hAnsi="Palatino Linotype"/>
          <w:b/>
          <w:color w:val="000000"/>
          <w:sz w:val="24"/>
          <w:szCs w:val="24"/>
        </w:rPr>
        <w:t>Sujeto Obligado</w:t>
      </w:r>
      <w:r w:rsidR="00FD65C9">
        <w:rPr>
          <w:rFonts w:ascii="Palatino Linotype" w:hAnsi="Palatino Linotype"/>
          <w:color w:val="000000"/>
          <w:sz w:val="24"/>
          <w:szCs w:val="24"/>
        </w:rPr>
        <w:t xml:space="preserve">, </w:t>
      </w:r>
      <w:r w:rsidR="005E2291">
        <w:rPr>
          <w:rFonts w:ascii="Palatino Linotype" w:hAnsi="Palatino Linotype"/>
          <w:color w:val="000000"/>
          <w:sz w:val="24"/>
          <w:szCs w:val="24"/>
        </w:rPr>
        <w:t>mediante</w:t>
      </w:r>
      <w:r w:rsidR="00FD65C9">
        <w:rPr>
          <w:rFonts w:ascii="Palatino Linotype" w:hAnsi="Palatino Linotype"/>
          <w:color w:val="000000"/>
          <w:sz w:val="24"/>
          <w:szCs w:val="24"/>
        </w:rPr>
        <w:t xml:space="preserve"> el cual informa que a partir del día 01 (uno) de marzo, toda solicitud de obtención de licencia de construcción en cualquiera </w:t>
      </w:r>
      <w:r w:rsidR="005E2291">
        <w:rPr>
          <w:rFonts w:ascii="Palatino Linotype" w:hAnsi="Palatino Linotype"/>
          <w:color w:val="000000"/>
          <w:sz w:val="24"/>
          <w:szCs w:val="24"/>
        </w:rPr>
        <w:t xml:space="preserve">de sus modalidades, deberá acompañarse de los requisitos siguientes: </w:t>
      </w:r>
      <w:r w:rsidR="005E2291" w:rsidRPr="005E2291">
        <w:rPr>
          <w:rFonts w:ascii="Palatino Linotype" w:hAnsi="Palatino Linotype"/>
          <w:color w:val="000000"/>
          <w:sz w:val="24"/>
          <w:szCs w:val="24"/>
        </w:rPr>
        <w:t xml:space="preserve">1.- Archivo </w:t>
      </w:r>
      <w:proofErr w:type="spellStart"/>
      <w:r w:rsidR="005E2291" w:rsidRPr="005E2291">
        <w:rPr>
          <w:rFonts w:ascii="Palatino Linotype" w:hAnsi="Palatino Linotype"/>
          <w:color w:val="000000"/>
          <w:sz w:val="24"/>
          <w:szCs w:val="24"/>
        </w:rPr>
        <w:t>kml</w:t>
      </w:r>
      <w:proofErr w:type="spellEnd"/>
      <w:r w:rsidR="005E2291" w:rsidRPr="005E2291">
        <w:rPr>
          <w:rFonts w:ascii="Palatino Linotype" w:hAnsi="Palatino Linotype"/>
          <w:color w:val="000000"/>
          <w:sz w:val="24"/>
          <w:szCs w:val="24"/>
        </w:rPr>
        <w:t xml:space="preserve"> (GOOGLE EARTH) del predio donde se habrán de llevar a cabo los trabajos; 2.- Proyecto Ejecutivo: planos arquitectónicos, estructurales y de instalaciones en archivo digital, formato DWG (AUTOCAD); 3.- Modelo 3D o maqueta virtual en </w:t>
      </w:r>
      <w:proofErr w:type="spellStart"/>
      <w:r w:rsidR="005E2291" w:rsidRPr="005E2291">
        <w:rPr>
          <w:rFonts w:ascii="Palatino Linotype" w:hAnsi="Palatino Linotype"/>
          <w:color w:val="000000"/>
          <w:sz w:val="24"/>
          <w:szCs w:val="24"/>
        </w:rPr>
        <w:t>sketchup</w:t>
      </w:r>
      <w:proofErr w:type="spellEnd"/>
      <w:r w:rsidR="005E2291" w:rsidRPr="005E2291">
        <w:rPr>
          <w:rFonts w:ascii="Palatino Linotype" w:hAnsi="Palatino Linotype"/>
          <w:color w:val="000000"/>
          <w:sz w:val="24"/>
          <w:szCs w:val="24"/>
        </w:rPr>
        <w:t xml:space="preserve"> o </w:t>
      </w:r>
      <w:proofErr w:type="spellStart"/>
      <w:r w:rsidR="005E2291" w:rsidRPr="005E2291">
        <w:rPr>
          <w:rFonts w:ascii="Palatino Linotype" w:hAnsi="Palatino Linotype"/>
          <w:color w:val="000000"/>
          <w:sz w:val="24"/>
          <w:szCs w:val="24"/>
        </w:rPr>
        <w:t>revit</w:t>
      </w:r>
      <w:proofErr w:type="spellEnd"/>
      <w:r w:rsidR="005E2291" w:rsidRPr="005E2291">
        <w:rPr>
          <w:rFonts w:ascii="Palatino Linotype" w:hAnsi="Palatino Linotype"/>
          <w:color w:val="000000"/>
          <w:sz w:val="24"/>
          <w:szCs w:val="24"/>
        </w:rPr>
        <w:t xml:space="preserve"> con loa acabados y dimensiones finales; y, 4.- 4 </w:t>
      </w:r>
      <w:proofErr w:type="spellStart"/>
      <w:r w:rsidR="005E2291" w:rsidRPr="005E2291">
        <w:rPr>
          <w:rFonts w:ascii="Palatino Linotype" w:hAnsi="Palatino Linotype"/>
          <w:color w:val="000000"/>
          <w:sz w:val="24"/>
          <w:szCs w:val="24"/>
        </w:rPr>
        <w:t>Renders</w:t>
      </w:r>
      <w:proofErr w:type="spellEnd"/>
      <w:r w:rsidR="005E2291" w:rsidRPr="005E2291">
        <w:rPr>
          <w:rFonts w:ascii="Palatino Linotype" w:hAnsi="Palatino Linotype"/>
          <w:color w:val="000000"/>
          <w:sz w:val="24"/>
          <w:szCs w:val="24"/>
        </w:rPr>
        <w:t xml:space="preserve">: 2 de fachada principal, 2 de fachada posterior, todos los </w:t>
      </w:r>
      <w:proofErr w:type="spellStart"/>
      <w:r w:rsidR="005E2291" w:rsidRPr="005E2291">
        <w:rPr>
          <w:rFonts w:ascii="Palatino Linotype" w:hAnsi="Palatino Linotype"/>
          <w:color w:val="000000"/>
          <w:sz w:val="24"/>
          <w:szCs w:val="24"/>
        </w:rPr>
        <w:t>renders</w:t>
      </w:r>
      <w:proofErr w:type="spellEnd"/>
      <w:r w:rsidR="005E2291" w:rsidRPr="005E2291">
        <w:rPr>
          <w:rFonts w:ascii="Palatino Linotype" w:hAnsi="Palatino Linotype"/>
          <w:color w:val="000000"/>
          <w:sz w:val="24"/>
          <w:szCs w:val="24"/>
        </w:rPr>
        <w:t xml:space="preserve"> deberán mostrar los acabados proyectados de la manera más realista posible, además de incluir una figura humana al menos.</w:t>
      </w:r>
    </w:p>
    <w:p w:rsidR="00235686" w:rsidRDefault="00235686" w:rsidP="00516180">
      <w:pPr>
        <w:spacing w:after="0" w:line="360" w:lineRule="auto"/>
        <w:jc w:val="both"/>
        <w:rPr>
          <w:rFonts w:ascii="Palatino Linotype" w:eastAsia="Times New Roman" w:hAnsi="Palatino Linotype" w:cs="Arial"/>
          <w:sz w:val="24"/>
          <w:szCs w:val="24"/>
          <w:lang w:val="es-ES" w:eastAsia="es-ES"/>
        </w:rPr>
      </w:pPr>
    </w:p>
    <w:p w:rsidR="00516180" w:rsidRPr="00CB45F6" w:rsidRDefault="00516180" w:rsidP="005161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w:t>
      </w:r>
      <w:r w:rsidRPr="00CB45F6">
        <w:rPr>
          <w:rFonts w:ascii="Palatino Linotype" w:eastAsia="Times New Roman" w:hAnsi="Palatino Linotype" w:cs="Arial"/>
          <w:sz w:val="24"/>
          <w:szCs w:val="24"/>
          <w:lang w:val="es-ES" w:eastAsia="es-ES"/>
        </w:rPr>
        <w:t xml:space="preserv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se sirvió en dar respuesta a la solicitud de información</w:t>
      </w:r>
      <w:r>
        <w:rPr>
          <w:rFonts w:ascii="Palatino Linotype" w:eastAsia="Times New Roman" w:hAnsi="Palatino Linotype" w:cs="Arial"/>
          <w:sz w:val="24"/>
          <w:szCs w:val="24"/>
          <w:lang w:val="es-ES" w:eastAsia="es-ES"/>
        </w:rPr>
        <w:t xml:space="preserve">, </w:t>
      </w:r>
      <w:r w:rsidR="00D113A5">
        <w:rPr>
          <w:rFonts w:ascii="Palatino Linotype" w:eastAsia="Times New Roman" w:hAnsi="Palatino Linotype" w:cs="Arial"/>
          <w:sz w:val="24"/>
          <w:szCs w:val="24"/>
          <w:lang w:val="es-ES" w:eastAsia="es-ES"/>
        </w:rPr>
        <w:t>por medio de</w:t>
      </w:r>
      <w:r>
        <w:rPr>
          <w:rFonts w:ascii="Palatino Linotype" w:eastAsia="Times New Roman" w:hAnsi="Palatino Linotype" w:cs="Arial"/>
          <w:sz w:val="24"/>
          <w:szCs w:val="24"/>
          <w:lang w:val="es-ES" w:eastAsia="es-ES"/>
        </w:rPr>
        <w:t xml:space="preserve">l archivo </w:t>
      </w:r>
      <w:r w:rsidR="0028018B" w:rsidRPr="0028018B">
        <w:rPr>
          <w:rFonts w:ascii="Palatino Linotype" w:eastAsia="Times New Roman" w:hAnsi="Palatino Linotype" w:cs="Times New Roman"/>
          <w:sz w:val="24"/>
          <w:szCs w:val="24"/>
          <w:lang w:val="es-ES_tradnl" w:eastAsia="es-ES"/>
        </w:rPr>
        <w:t>“</w:t>
      </w:r>
      <w:r w:rsidR="00D77A4D">
        <w:rPr>
          <w:rFonts w:ascii="Palatino Linotype" w:eastAsia="Times New Roman" w:hAnsi="Palatino Linotype" w:cs="Times New Roman"/>
          <w:sz w:val="24"/>
          <w:szCs w:val="24"/>
          <w:lang w:val="es-ES_tradnl" w:eastAsia="es-ES"/>
        </w:rPr>
        <w:t>S</w:t>
      </w:r>
      <w:r w:rsidR="0028018B" w:rsidRPr="0028018B">
        <w:rPr>
          <w:rFonts w:ascii="Palatino Linotype" w:eastAsia="Times New Roman" w:hAnsi="Palatino Linotype" w:cs="Times New Roman"/>
          <w:sz w:val="24"/>
          <w:szCs w:val="24"/>
          <w:lang w:val="es-ES_tradnl" w:eastAsia="es-ES"/>
        </w:rPr>
        <w:t>OL. 00160-ATIZ-OFICIO.pdf”</w:t>
      </w:r>
      <w:r>
        <w:rPr>
          <w:rFonts w:ascii="Palatino Linotype" w:eastAsia="Times New Roman" w:hAnsi="Palatino Linotype" w:cs="Times New Roman"/>
          <w:sz w:val="24"/>
          <w:szCs w:val="24"/>
          <w:lang w:val="es-ES_tradnl" w:eastAsia="es-ES"/>
        </w:rPr>
        <w:t>, del que se procede a describir su contenido a continuación:</w:t>
      </w:r>
    </w:p>
    <w:p w:rsidR="00516180" w:rsidRPr="009D14C4" w:rsidRDefault="00516180" w:rsidP="00516180">
      <w:pPr>
        <w:spacing w:after="0" w:line="360" w:lineRule="auto"/>
        <w:jc w:val="both"/>
        <w:rPr>
          <w:rFonts w:ascii="Palatino Linotype" w:eastAsia="Calibri" w:hAnsi="Palatino Linotype"/>
          <w:sz w:val="24"/>
          <w:lang w:val="es-ES_tradnl"/>
        </w:rPr>
      </w:pPr>
    </w:p>
    <w:p w:rsidR="00516180" w:rsidRDefault="00D77A4D" w:rsidP="00516180">
      <w:pPr>
        <w:pStyle w:val="Prrafodelista"/>
        <w:numPr>
          <w:ilvl w:val="0"/>
          <w:numId w:val="6"/>
        </w:numPr>
        <w:spacing w:line="360" w:lineRule="auto"/>
        <w:ind w:left="567"/>
        <w:jc w:val="both"/>
        <w:rPr>
          <w:rFonts w:ascii="Palatino Linotype" w:eastAsia="Calibri" w:hAnsi="Palatino Linotype"/>
          <w:lang w:val="es-ES_tradnl"/>
        </w:rPr>
      </w:pPr>
      <w:r>
        <w:rPr>
          <w:rFonts w:ascii="Palatino Linotype" w:eastAsia="Calibri" w:hAnsi="Palatino Linotype"/>
          <w:lang w:val="es-ES_tradnl"/>
        </w:rPr>
        <w:t>O</w:t>
      </w:r>
      <w:r w:rsidR="00516180" w:rsidRPr="002B1F03">
        <w:rPr>
          <w:rFonts w:ascii="Palatino Linotype" w:eastAsia="Calibri" w:hAnsi="Palatino Linotype"/>
          <w:lang w:val="es-ES_tradnl"/>
        </w:rPr>
        <w:t xml:space="preserve">ficio número </w:t>
      </w:r>
      <w:proofErr w:type="spellStart"/>
      <w:r>
        <w:rPr>
          <w:rFonts w:ascii="Palatino Linotype" w:eastAsia="Calibri" w:hAnsi="Palatino Linotype"/>
          <w:lang w:val="es-ES_tradnl"/>
        </w:rPr>
        <w:t>DGOTyDU</w:t>
      </w:r>
      <w:proofErr w:type="spellEnd"/>
      <w:r>
        <w:rPr>
          <w:rFonts w:ascii="Palatino Linotype" w:eastAsia="Calibri" w:hAnsi="Palatino Linotype"/>
          <w:lang w:val="es-ES_tradnl"/>
        </w:rPr>
        <w:t>/941/2022</w:t>
      </w:r>
      <w:r w:rsidR="00516180" w:rsidRPr="002B1F03">
        <w:rPr>
          <w:rFonts w:ascii="Palatino Linotype" w:eastAsia="Calibri" w:hAnsi="Palatino Linotype"/>
          <w:lang w:val="es-ES_tradnl"/>
        </w:rPr>
        <w:t xml:space="preserve"> del </w:t>
      </w:r>
      <w:r>
        <w:rPr>
          <w:rFonts w:ascii="Palatino Linotype" w:eastAsia="Calibri" w:hAnsi="Palatino Linotype"/>
          <w:lang w:val="es-ES_tradnl"/>
        </w:rPr>
        <w:t>29</w:t>
      </w:r>
      <w:r w:rsidR="00516180">
        <w:rPr>
          <w:rFonts w:ascii="Palatino Linotype" w:eastAsia="Calibri" w:hAnsi="Palatino Linotype"/>
          <w:lang w:val="es-ES_tradnl"/>
        </w:rPr>
        <w:t xml:space="preserve"> (</w:t>
      </w:r>
      <w:r>
        <w:rPr>
          <w:rFonts w:ascii="Palatino Linotype" w:eastAsia="Calibri" w:hAnsi="Palatino Linotype"/>
          <w:lang w:val="es-ES_tradnl"/>
        </w:rPr>
        <w:t>veintinueve</w:t>
      </w:r>
      <w:r w:rsidR="00516180">
        <w:rPr>
          <w:rFonts w:ascii="Palatino Linotype" w:eastAsia="Calibri" w:hAnsi="Palatino Linotype"/>
          <w:lang w:val="es-ES_tradnl"/>
        </w:rPr>
        <w:t xml:space="preserve">) de </w:t>
      </w:r>
      <w:r>
        <w:rPr>
          <w:rFonts w:ascii="Palatino Linotype" w:eastAsia="Calibri" w:hAnsi="Palatino Linotype"/>
          <w:lang w:val="es-ES_tradnl"/>
        </w:rPr>
        <w:t>marzo</w:t>
      </w:r>
      <w:r w:rsidR="00516180">
        <w:rPr>
          <w:rFonts w:ascii="Palatino Linotype" w:eastAsia="Calibri" w:hAnsi="Palatino Linotype"/>
          <w:lang w:val="es-ES_tradnl"/>
        </w:rPr>
        <w:t xml:space="preserve"> </w:t>
      </w:r>
      <w:r w:rsidR="00516180" w:rsidRPr="002B1F03">
        <w:rPr>
          <w:rFonts w:ascii="Palatino Linotype" w:eastAsia="Calibri" w:hAnsi="Palatino Linotype"/>
          <w:lang w:val="es-ES_tradnl"/>
        </w:rPr>
        <w:t>de</w:t>
      </w:r>
      <w:r w:rsidR="00516180">
        <w:rPr>
          <w:rFonts w:ascii="Palatino Linotype" w:eastAsia="Calibri" w:hAnsi="Palatino Linotype"/>
          <w:lang w:val="es-ES_tradnl"/>
        </w:rPr>
        <w:t xml:space="preserve"> 2022</w:t>
      </w:r>
      <w:r w:rsidR="00516180" w:rsidRPr="002B1F03">
        <w:rPr>
          <w:rFonts w:ascii="Palatino Linotype" w:eastAsia="Calibri" w:hAnsi="Palatino Linotype"/>
          <w:lang w:val="es-ES_tradnl"/>
        </w:rPr>
        <w:t xml:space="preserve"> </w:t>
      </w:r>
      <w:r w:rsidR="00516180">
        <w:rPr>
          <w:rFonts w:ascii="Palatino Linotype" w:eastAsia="Calibri" w:hAnsi="Palatino Linotype"/>
          <w:lang w:val="es-ES_tradnl"/>
        </w:rPr>
        <w:t>(</w:t>
      </w:r>
      <w:r w:rsidR="00516180" w:rsidRPr="002B1F03">
        <w:rPr>
          <w:rFonts w:ascii="Palatino Linotype" w:eastAsia="Calibri" w:hAnsi="Palatino Linotype"/>
          <w:lang w:val="es-ES_tradnl"/>
        </w:rPr>
        <w:t>dos mil veintidós</w:t>
      </w:r>
      <w:r w:rsidR="00516180">
        <w:rPr>
          <w:rFonts w:ascii="Palatino Linotype" w:eastAsia="Calibri" w:hAnsi="Palatino Linotype"/>
          <w:lang w:val="es-ES_tradnl"/>
        </w:rPr>
        <w:t>)</w:t>
      </w:r>
      <w:r w:rsidR="00516180" w:rsidRPr="002B1F03">
        <w:rPr>
          <w:rFonts w:ascii="Palatino Linotype" w:eastAsia="Calibri" w:hAnsi="Palatino Linotype"/>
          <w:lang w:val="es-ES_tradnl"/>
        </w:rPr>
        <w:t xml:space="preserve">, remitido por el </w:t>
      </w:r>
      <w:r>
        <w:rPr>
          <w:rFonts w:ascii="Palatino Linotype" w:eastAsia="Calibri" w:hAnsi="Palatino Linotype"/>
          <w:lang w:val="es-ES_tradnl"/>
        </w:rPr>
        <w:t xml:space="preserve">Director General de Ordenamiento Territorial y Desarrollo Urbano </w:t>
      </w:r>
      <w:r w:rsidR="00516180">
        <w:rPr>
          <w:rFonts w:ascii="Palatino Linotype" w:eastAsia="Calibri" w:hAnsi="Palatino Linotype"/>
          <w:lang w:val="es-ES_tradnl"/>
        </w:rPr>
        <w:t>a</w:t>
      </w:r>
      <w:r>
        <w:rPr>
          <w:rFonts w:ascii="Palatino Linotype" w:eastAsia="Calibri" w:hAnsi="Palatino Linotype"/>
          <w:lang w:val="es-ES_tradnl"/>
        </w:rPr>
        <w:t xml:space="preserve"> </w:t>
      </w:r>
      <w:r w:rsidR="00516180">
        <w:rPr>
          <w:rFonts w:ascii="Palatino Linotype" w:eastAsia="Calibri" w:hAnsi="Palatino Linotype"/>
          <w:lang w:val="es-ES_tradnl"/>
        </w:rPr>
        <w:t>l</w:t>
      </w:r>
      <w:r>
        <w:rPr>
          <w:rFonts w:ascii="Palatino Linotype" w:eastAsia="Calibri" w:hAnsi="Palatino Linotype"/>
          <w:lang w:val="es-ES_tradnl"/>
        </w:rPr>
        <w:t xml:space="preserve">a Titular de la Unidad </w:t>
      </w:r>
      <w:proofErr w:type="spellStart"/>
      <w:r>
        <w:rPr>
          <w:rFonts w:ascii="Palatino Linotype" w:eastAsia="Calibri" w:hAnsi="Palatino Linotype"/>
          <w:lang w:val="es-ES_tradnl"/>
        </w:rPr>
        <w:t>de</w:t>
      </w:r>
      <w:r w:rsidR="00516180">
        <w:rPr>
          <w:rFonts w:ascii="Palatino Linotype" w:eastAsia="Calibri" w:hAnsi="Palatino Linotype"/>
          <w:lang w:val="es-ES_tradnl"/>
        </w:rPr>
        <w:t>Transparencia</w:t>
      </w:r>
      <w:proofErr w:type="spellEnd"/>
      <w:r w:rsidR="00516180">
        <w:rPr>
          <w:rFonts w:ascii="Palatino Linotype" w:eastAsia="Calibri" w:hAnsi="Palatino Linotype"/>
          <w:lang w:val="es-ES_tradnl"/>
        </w:rPr>
        <w:t xml:space="preserve"> y Acceso a la Información</w:t>
      </w:r>
      <w:r w:rsidR="00516180" w:rsidRPr="002B1F03">
        <w:rPr>
          <w:rFonts w:ascii="Palatino Linotype" w:eastAsia="Calibri" w:hAnsi="Palatino Linotype"/>
          <w:lang w:val="es-ES_tradnl"/>
        </w:rPr>
        <w:t xml:space="preserve">, ambos del </w:t>
      </w:r>
      <w:r w:rsidR="00516180" w:rsidRPr="002B1F03">
        <w:rPr>
          <w:rFonts w:ascii="Palatino Linotype" w:eastAsia="Calibri" w:hAnsi="Palatino Linotype"/>
          <w:b/>
          <w:lang w:val="es-ES_tradnl"/>
        </w:rPr>
        <w:t>Sujeto Obligado</w:t>
      </w:r>
      <w:r w:rsidR="00516180" w:rsidRPr="002B1F03">
        <w:rPr>
          <w:rFonts w:ascii="Palatino Linotype" w:eastAsia="Calibri" w:hAnsi="Palatino Linotype"/>
          <w:lang w:val="es-ES_tradnl"/>
        </w:rPr>
        <w:t>, informando sustancialmente lo siguiente:</w:t>
      </w:r>
    </w:p>
    <w:p w:rsidR="00516180" w:rsidRDefault="00516180" w:rsidP="00516180">
      <w:pPr>
        <w:pStyle w:val="Prrafodelista"/>
        <w:spacing w:line="360" w:lineRule="auto"/>
        <w:ind w:left="567" w:right="567"/>
        <w:jc w:val="both"/>
        <w:rPr>
          <w:rFonts w:ascii="Palatino Linotype" w:eastAsia="Calibri" w:hAnsi="Palatino Linotype"/>
          <w:b/>
          <w:lang w:val="es-ES_tradnl"/>
        </w:rPr>
      </w:pPr>
    </w:p>
    <w:p w:rsidR="00516180" w:rsidRPr="00D77A4D" w:rsidRDefault="00516180" w:rsidP="00516180">
      <w:pPr>
        <w:pStyle w:val="Prrafodelista"/>
        <w:ind w:left="567" w:right="567"/>
        <w:jc w:val="both"/>
        <w:rPr>
          <w:rFonts w:ascii="Palatino Linotype" w:eastAsia="Calibri" w:hAnsi="Palatino Linotype"/>
          <w:i/>
          <w:sz w:val="22"/>
          <w:lang w:val="es-ES_tradnl"/>
        </w:rPr>
      </w:pPr>
      <w:r w:rsidRPr="00571853">
        <w:rPr>
          <w:rFonts w:ascii="Palatino Linotype" w:eastAsia="Calibri" w:hAnsi="Palatino Linotype"/>
          <w:i/>
          <w:sz w:val="22"/>
          <w:lang w:val="es-ES_tradnl"/>
        </w:rPr>
        <w:t>“</w:t>
      </w:r>
      <w:r w:rsidR="00D77A4D">
        <w:rPr>
          <w:rFonts w:ascii="Palatino Linotype" w:eastAsia="Calibri" w:hAnsi="Palatino Linotype"/>
          <w:i/>
          <w:sz w:val="22"/>
          <w:lang w:val="es-ES_tradnl"/>
        </w:rPr>
        <w:t xml:space="preserve">Los requisitos de los formatos únicos de solicitud para el trámite de las licencias de construcción, son los establecidos en los artículos 18.21, 18.22, 18.23 del Libro Décimo Octavo del Código Administrativo del Estado de México, </w:t>
      </w:r>
      <w:r w:rsidR="00D77A4D">
        <w:rPr>
          <w:rFonts w:ascii="Palatino Linotype" w:eastAsia="Calibri" w:hAnsi="Palatino Linotype"/>
          <w:b/>
          <w:i/>
          <w:sz w:val="22"/>
          <w:u w:val="single"/>
          <w:lang w:val="es-ES_tradnl"/>
        </w:rPr>
        <w:t>en los que se detallan los requisitos mínimos que deberá cumplir al formular su solicitud.</w:t>
      </w:r>
    </w:p>
    <w:p w:rsidR="00516180" w:rsidRDefault="00516180" w:rsidP="00516180">
      <w:pPr>
        <w:pStyle w:val="Prrafodelista"/>
        <w:ind w:left="567" w:right="567"/>
        <w:jc w:val="both"/>
        <w:rPr>
          <w:rFonts w:ascii="Palatino Linotype" w:eastAsia="Calibri" w:hAnsi="Palatino Linotype"/>
          <w:i/>
          <w:sz w:val="22"/>
          <w:lang w:val="es-ES_tradnl"/>
        </w:rPr>
      </w:pPr>
    </w:p>
    <w:p w:rsidR="00D77A4D" w:rsidRPr="00D77A4D" w:rsidRDefault="00516180" w:rsidP="0051618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r w:rsidR="00D77A4D">
        <w:rPr>
          <w:rFonts w:ascii="Palatino Linotype" w:eastAsia="Calibri" w:hAnsi="Palatino Linotype"/>
          <w:i/>
          <w:sz w:val="22"/>
          <w:lang w:val="es-ES_tradnl"/>
        </w:rPr>
        <w:t xml:space="preserve">Aunado a lo anterior, en virtud de que la Dirección General de Ordenamiento Territorial y Desarrollo Urbano, es la dependencia municipal encargada de garantizar que las construcciones privadas que se realicen en el territorio municipal satisfagan condiciones de seguridad, habitabilidad, funcionalidad, calidad, higiene, sustentabilidad y de integración armónica al contexto urbano y natural, </w:t>
      </w:r>
      <w:r w:rsidR="00D77A4D">
        <w:rPr>
          <w:rFonts w:ascii="Palatino Linotype" w:eastAsia="Calibri" w:hAnsi="Palatino Linotype"/>
          <w:i/>
          <w:sz w:val="22"/>
          <w:u w:val="single"/>
          <w:lang w:val="es-ES_tradnl"/>
        </w:rPr>
        <w:t>ha determinado complementar dichos requisitos agregando los que se mencionan en la solicitud de información antes referida.</w:t>
      </w:r>
    </w:p>
    <w:p w:rsidR="00D77A4D" w:rsidRDefault="00D77A4D" w:rsidP="00516180">
      <w:pPr>
        <w:pStyle w:val="Prrafodelista"/>
        <w:ind w:left="567" w:right="567"/>
        <w:jc w:val="both"/>
        <w:rPr>
          <w:rFonts w:ascii="Palatino Linotype" w:eastAsia="Calibri" w:hAnsi="Palatino Linotype"/>
          <w:i/>
          <w:sz w:val="22"/>
          <w:lang w:val="es-ES_tradnl"/>
        </w:rPr>
      </w:pPr>
    </w:p>
    <w:p w:rsidR="00516180" w:rsidRDefault="00D77A4D" w:rsidP="00516180">
      <w:pPr>
        <w:pStyle w:val="Prrafodelista"/>
        <w:ind w:left="567" w:right="567"/>
        <w:jc w:val="both"/>
        <w:rPr>
          <w:rFonts w:ascii="Palatino Linotype" w:eastAsia="Calibri" w:hAnsi="Palatino Linotype"/>
          <w:sz w:val="22"/>
          <w:lang w:val="es-ES_tradnl"/>
        </w:rPr>
      </w:pPr>
      <w:r>
        <w:rPr>
          <w:rFonts w:ascii="Palatino Linotype" w:eastAsia="Calibri" w:hAnsi="Palatino Linotype"/>
          <w:i/>
          <w:sz w:val="22"/>
          <w:lang w:val="es-ES_tradnl"/>
        </w:rPr>
        <w:t xml:space="preserve">Ello, con fundamento en los artículos 5.2 </w:t>
      </w:r>
      <w:r w:rsidR="004B10D1">
        <w:rPr>
          <w:rFonts w:ascii="Palatino Linotype" w:eastAsia="Calibri" w:hAnsi="Palatino Linotype"/>
          <w:i/>
          <w:sz w:val="22"/>
          <w:lang w:val="es-ES_tradnl"/>
        </w:rPr>
        <w:t>primer</w:t>
      </w:r>
      <w:r>
        <w:rPr>
          <w:rFonts w:ascii="Palatino Linotype" w:eastAsia="Calibri" w:hAnsi="Palatino Linotype"/>
          <w:i/>
          <w:sz w:val="22"/>
          <w:lang w:val="es-ES_tradnl"/>
        </w:rPr>
        <w:t xml:space="preserve"> párrafo fracción III, inciso h), 18.1 primer párrafo, 18.19 </w:t>
      </w:r>
      <w:r w:rsidR="004B10D1">
        <w:rPr>
          <w:rFonts w:ascii="Palatino Linotype" w:eastAsia="Calibri" w:hAnsi="Palatino Linotype"/>
          <w:i/>
          <w:sz w:val="22"/>
          <w:lang w:val="es-ES_tradnl"/>
        </w:rPr>
        <w:t>Quáter</w:t>
      </w:r>
      <w:r>
        <w:rPr>
          <w:rFonts w:ascii="Palatino Linotype" w:eastAsia="Calibri" w:hAnsi="Palatino Linotype"/>
          <w:i/>
          <w:sz w:val="22"/>
          <w:lang w:val="es-ES_tradnl"/>
        </w:rPr>
        <w:t xml:space="preserve">, primer párrafo, fracción II, inciso c), 18.36 y 18.37 del </w:t>
      </w:r>
      <w:r w:rsidR="004B10D1">
        <w:rPr>
          <w:rFonts w:ascii="Palatino Linotype" w:eastAsia="Calibri" w:hAnsi="Palatino Linotype"/>
          <w:i/>
          <w:sz w:val="22"/>
          <w:lang w:val="es-ES_tradnl"/>
        </w:rPr>
        <w:t>Código</w:t>
      </w:r>
      <w:r>
        <w:rPr>
          <w:rFonts w:ascii="Palatino Linotype" w:eastAsia="Calibri" w:hAnsi="Palatino Linotype"/>
          <w:i/>
          <w:sz w:val="22"/>
          <w:lang w:val="es-ES_tradnl"/>
        </w:rPr>
        <w:t xml:space="preserve"> </w:t>
      </w:r>
      <w:r w:rsidR="004B10D1">
        <w:rPr>
          <w:rFonts w:ascii="Palatino Linotype" w:eastAsia="Calibri" w:hAnsi="Palatino Linotype"/>
          <w:i/>
          <w:sz w:val="22"/>
          <w:lang w:val="es-ES_tradnl"/>
        </w:rPr>
        <w:t>Administrativo</w:t>
      </w:r>
      <w:r>
        <w:rPr>
          <w:rFonts w:ascii="Palatino Linotype" w:eastAsia="Calibri" w:hAnsi="Palatino Linotype"/>
          <w:i/>
          <w:sz w:val="22"/>
          <w:lang w:val="es-ES_tradnl"/>
        </w:rPr>
        <w:t xml:space="preserve"> del Estado de </w:t>
      </w:r>
      <w:r w:rsidR="004B10D1">
        <w:rPr>
          <w:rFonts w:ascii="Palatino Linotype" w:eastAsia="Calibri" w:hAnsi="Palatino Linotype"/>
          <w:i/>
          <w:sz w:val="22"/>
          <w:lang w:val="es-ES_tradnl"/>
        </w:rPr>
        <w:t>México, y 59 de Bando Municipal de Atizapán de Zaragoza, vigente publicado en Gaceta Municipal número 0008, año 01 de fecha cinco de febrero del año dos mil veintidós que a la letra dicen:…</w:t>
      </w:r>
      <w:r w:rsidR="00516180">
        <w:rPr>
          <w:rFonts w:ascii="Palatino Linotype" w:eastAsia="Calibri" w:hAnsi="Palatino Linotype"/>
          <w:i/>
          <w:sz w:val="22"/>
          <w:lang w:val="es-ES_tradnl"/>
        </w:rPr>
        <w:t>”.</w:t>
      </w:r>
    </w:p>
    <w:p w:rsidR="00516180" w:rsidRDefault="00516180" w:rsidP="00516180">
      <w:pPr>
        <w:pStyle w:val="Prrafodelista"/>
        <w:ind w:left="567" w:right="567"/>
        <w:jc w:val="both"/>
        <w:rPr>
          <w:rFonts w:ascii="Palatino Linotype" w:eastAsia="Calibri" w:hAnsi="Palatino Linotype"/>
          <w:sz w:val="22"/>
          <w:lang w:val="es-ES_tradnl"/>
        </w:rPr>
      </w:pPr>
    </w:p>
    <w:p w:rsidR="00516180" w:rsidRDefault="00516180" w:rsidP="00516180">
      <w:pPr>
        <w:spacing w:after="0" w:line="360" w:lineRule="auto"/>
        <w:jc w:val="both"/>
        <w:rPr>
          <w:rFonts w:ascii="Palatino Linotype" w:eastAsia="Times New Roman" w:hAnsi="Palatino Linotype" w:cs="Times New Roman"/>
          <w:sz w:val="24"/>
          <w:szCs w:val="24"/>
          <w:lang w:val="es-ES_tradnl" w:eastAsia="es-ES"/>
        </w:rPr>
      </w:pPr>
    </w:p>
    <w:p w:rsidR="00661D65" w:rsidRDefault="00516180" w:rsidP="00516180">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t>Inconforme con la</w:t>
      </w:r>
      <w:r>
        <w:rPr>
          <w:rFonts w:ascii="Palatino Linotype" w:hAnsi="Palatino Linotype" w:cs="Arial"/>
          <w:sz w:val="24"/>
          <w:lang w:val="es-ES"/>
        </w:rPr>
        <w:t>s</w:t>
      </w:r>
      <w:r w:rsidRPr="00CB45F6">
        <w:rPr>
          <w:rFonts w:ascii="Palatino Linotype" w:hAnsi="Palatino Linotype" w:cs="Arial"/>
          <w:sz w:val="24"/>
          <w:lang w:val="es-ES"/>
        </w:rPr>
        <w:t xml:space="preserve"> respuesta</w:t>
      </w:r>
      <w:r>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interpone recurso de revisión </w:t>
      </w:r>
      <w:r>
        <w:rPr>
          <w:rFonts w:ascii="Palatino Linotype" w:hAnsi="Palatino Linotype" w:cs="Arial"/>
          <w:sz w:val="24"/>
          <w:lang w:val="es-ES"/>
        </w:rPr>
        <w:t>señalando como</w:t>
      </w:r>
      <w:r w:rsidRPr="00CB45F6">
        <w:rPr>
          <w:rFonts w:ascii="Palatino Linotype" w:hAnsi="Palatino Linotype" w:cs="Arial"/>
          <w:sz w:val="24"/>
          <w:lang w:val="es-ES"/>
        </w:rPr>
        <w:t xml:space="preserve"> </w:t>
      </w:r>
      <w:r>
        <w:rPr>
          <w:rFonts w:ascii="Palatino Linotype" w:hAnsi="Palatino Linotype" w:cs="Arial"/>
          <w:sz w:val="24"/>
          <w:lang w:val="es-ES"/>
        </w:rPr>
        <w:t xml:space="preserve">acto impugnado </w:t>
      </w:r>
      <w:r w:rsidRPr="0064337B">
        <w:rPr>
          <w:rFonts w:ascii="Palatino Linotype" w:hAnsi="Palatino Linotype" w:cs="Arial"/>
          <w:i/>
          <w:sz w:val="24"/>
          <w:lang w:val="es-ES"/>
        </w:rPr>
        <w:t>“</w:t>
      </w:r>
      <w:r w:rsidR="00661D65" w:rsidRPr="00661D65">
        <w:rPr>
          <w:rFonts w:ascii="Palatino Linotype" w:hAnsi="Palatino Linotype" w:cs="Arial"/>
          <w:i/>
          <w:sz w:val="24"/>
          <w:lang w:val="es-ES"/>
        </w:rPr>
        <w:t>Respuesta del Folio de Solicitud 00160/ATIZARA/IP/2022</w:t>
      </w:r>
      <w:r w:rsidRPr="0064337B">
        <w:rPr>
          <w:rFonts w:ascii="Palatino Linotype" w:hAnsi="Palatino Linotype" w:cs="Arial"/>
          <w:i/>
          <w:sz w:val="24"/>
          <w:lang w:val="es-ES"/>
        </w:rPr>
        <w:t>”</w:t>
      </w:r>
      <w:r>
        <w:rPr>
          <w:rFonts w:ascii="Palatino Linotype" w:hAnsi="Palatino Linotype" w:cs="Arial"/>
          <w:sz w:val="24"/>
          <w:lang w:val="es-ES"/>
        </w:rPr>
        <w:t xml:space="preserve">, y en </w:t>
      </w:r>
      <w:r>
        <w:rPr>
          <w:rFonts w:ascii="Palatino Linotype" w:hAnsi="Palatino Linotype" w:cs="Arial"/>
          <w:sz w:val="24"/>
          <w:lang w:val="es-ES"/>
        </w:rPr>
        <w:lastRenderedPageBreak/>
        <w:t xml:space="preserve">lo que corresponde a las </w:t>
      </w:r>
      <w:r w:rsidRPr="00CB45F6">
        <w:rPr>
          <w:rFonts w:ascii="Palatino Linotype" w:hAnsi="Palatino Linotype" w:cs="Arial"/>
          <w:sz w:val="24"/>
          <w:lang w:val="es-ES"/>
        </w:rPr>
        <w:t>razones o motivos de inconformidad</w:t>
      </w:r>
      <w:r w:rsidR="00661D65">
        <w:rPr>
          <w:rFonts w:ascii="Palatino Linotype" w:hAnsi="Palatino Linotype" w:cs="Arial"/>
          <w:sz w:val="24"/>
          <w:lang w:val="es-ES"/>
        </w:rPr>
        <w:t xml:space="preserve"> objetivamente los siguientes:</w:t>
      </w:r>
    </w:p>
    <w:p w:rsidR="00661D65" w:rsidRDefault="00661D65" w:rsidP="00516180">
      <w:pPr>
        <w:spacing w:after="0" w:line="360" w:lineRule="auto"/>
        <w:jc w:val="both"/>
        <w:rPr>
          <w:rFonts w:ascii="Palatino Linotype" w:hAnsi="Palatino Linotype" w:cs="Arial"/>
          <w:sz w:val="24"/>
          <w:lang w:val="es-ES"/>
        </w:rPr>
      </w:pPr>
    </w:p>
    <w:p w:rsidR="00661D65" w:rsidRPr="00661D65" w:rsidRDefault="00661D65" w:rsidP="00F4431F">
      <w:pPr>
        <w:pStyle w:val="Prrafodelista"/>
        <w:numPr>
          <w:ilvl w:val="0"/>
          <w:numId w:val="18"/>
        </w:numPr>
        <w:spacing w:line="360" w:lineRule="auto"/>
        <w:jc w:val="both"/>
        <w:rPr>
          <w:rFonts w:ascii="Palatino Linotype" w:hAnsi="Palatino Linotype" w:cs="Arial"/>
        </w:rPr>
      </w:pPr>
      <w:r>
        <w:rPr>
          <w:rFonts w:ascii="Palatino Linotype" w:hAnsi="Palatino Linotype" w:cs="Arial"/>
          <w:i/>
          <w:lang w:val="es-MX"/>
        </w:rPr>
        <w:t>“…</w:t>
      </w:r>
      <w:r w:rsidRPr="00661D65">
        <w:rPr>
          <w:rFonts w:ascii="Palatino Linotype" w:hAnsi="Palatino Linotype" w:cs="Arial"/>
          <w:i/>
          <w:lang w:val="es-MX"/>
        </w:rPr>
        <w:t xml:space="preserve">contestando dicha autoridad con artículos del Código Administrativo que enuncian los principios mediante los cuales se debe construirse "...seguridad, habitabilidad, funcionalidad, calidad, higiene, sustentabilidad y de integridad armónica al contexto urbano natural..." por lo que a criterio de dicha dirección "...ha determinado complementar dichos </w:t>
      </w:r>
      <w:proofErr w:type="gramStart"/>
      <w:r w:rsidRPr="00661D65">
        <w:rPr>
          <w:rFonts w:ascii="Palatino Linotype" w:hAnsi="Palatino Linotype" w:cs="Arial"/>
          <w:i/>
          <w:lang w:val="es-MX"/>
        </w:rPr>
        <w:t>requisitos..</w:t>
      </w:r>
      <w:proofErr w:type="gramEnd"/>
      <w:r w:rsidRPr="00661D65">
        <w:rPr>
          <w:rFonts w:ascii="Palatino Linotype" w:hAnsi="Palatino Linotype" w:cs="Arial"/>
          <w:i/>
          <w:lang w:val="es-MX"/>
        </w:rPr>
        <w:t>"; situación que es contraria a la Ley ya que las autoridades sólo pueden requerir lo que la Ley les establezca</w:t>
      </w:r>
      <w:r>
        <w:rPr>
          <w:rFonts w:ascii="Palatino Linotype" w:hAnsi="Palatino Linotype" w:cs="Arial"/>
          <w:i/>
          <w:lang w:val="es-MX"/>
        </w:rPr>
        <w:t>…”</w:t>
      </w:r>
    </w:p>
    <w:p w:rsidR="00661D65" w:rsidRPr="00661D65" w:rsidRDefault="00661D65" w:rsidP="00F4431F">
      <w:pPr>
        <w:pStyle w:val="Prrafodelista"/>
        <w:numPr>
          <w:ilvl w:val="0"/>
          <w:numId w:val="18"/>
        </w:numPr>
        <w:spacing w:line="360" w:lineRule="auto"/>
        <w:jc w:val="both"/>
        <w:rPr>
          <w:rFonts w:ascii="Palatino Linotype" w:hAnsi="Palatino Linotype" w:cs="Arial"/>
        </w:rPr>
      </w:pPr>
      <w:r>
        <w:rPr>
          <w:rFonts w:ascii="Palatino Linotype" w:hAnsi="Palatino Linotype" w:cs="Arial"/>
          <w:i/>
          <w:lang w:val="es-MX"/>
        </w:rPr>
        <w:t>“…</w:t>
      </w:r>
      <w:r w:rsidRPr="00661D65">
        <w:rPr>
          <w:rFonts w:ascii="Palatino Linotype" w:hAnsi="Palatino Linotype" w:cs="Arial"/>
          <w:i/>
          <w:lang w:val="es-MX"/>
        </w:rPr>
        <w:t>Lo cual implica que las autoridades administrativas actúan en el ámbito de sus atribuciones y competencias, Y SÓLO ESO, es decir su actuación se realiza atento a lo dispuesto por los artículos 14 y 16 constitucionales y no pueden ejercer atribuciones que no tienen expresamente reconocidas en la Ley</w:t>
      </w:r>
      <w:r>
        <w:rPr>
          <w:rFonts w:ascii="Palatino Linotype" w:hAnsi="Palatino Linotype" w:cs="Arial"/>
          <w:i/>
          <w:lang w:val="es-MX"/>
        </w:rPr>
        <w:t>…”</w:t>
      </w:r>
    </w:p>
    <w:p w:rsidR="00661D65" w:rsidRPr="00661D65" w:rsidRDefault="00661D65" w:rsidP="00F4431F">
      <w:pPr>
        <w:pStyle w:val="Prrafodelista"/>
        <w:numPr>
          <w:ilvl w:val="0"/>
          <w:numId w:val="18"/>
        </w:numPr>
        <w:spacing w:line="360" w:lineRule="auto"/>
        <w:jc w:val="both"/>
        <w:rPr>
          <w:rFonts w:ascii="Palatino Linotype" w:hAnsi="Palatino Linotype" w:cs="Arial"/>
        </w:rPr>
      </w:pPr>
      <w:r>
        <w:rPr>
          <w:rFonts w:ascii="Palatino Linotype" w:hAnsi="Palatino Linotype" w:cs="Arial"/>
          <w:i/>
        </w:rPr>
        <w:t>“…</w:t>
      </w:r>
      <w:r w:rsidRPr="00661D65">
        <w:rPr>
          <w:rFonts w:ascii="Palatino Linotype" w:hAnsi="Palatino Linotype" w:cs="Arial"/>
          <w:i/>
          <w:lang w:val="es-MX"/>
        </w:rPr>
        <w:t>Pido se de vista a la Contraloría Municipal y a la Mejora Regulatoria y que en ámbito de sus atribuciones realicen las acciones necesarias para vigilar el cumplimiento de lo dispuesto en la Ley y no se permita el abuso de la Autoridad con los criterios que se utilizan por parte de dicha Dirección.</w:t>
      </w:r>
      <w:r>
        <w:rPr>
          <w:rFonts w:ascii="Palatino Linotype" w:hAnsi="Palatino Linotype" w:cs="Arial"/>
          <w:i/>
          <w:lang w:val="es-MX"/>
        </w:rPr>
        <w:t>”</w:t>
      </w:r>
    </w:p>
    <w:p w:rsidR="00661D65" w:rsidRDefault="00661D65" w:rsidP="00516180">
      <w:pPr>
        <w:spacing w:after="0" w:line="360" w:lineRule="auto"/>
        <w:jc w:val="both"/>
        <w:rPr>
          <w:rFonts w:ascii="Palatino Linotype" w:hAnsi="Palatino Linotype" w:cs="Arial"/>
          <w:sz w:val="24"/>
          <w:lang w:val="es-ES"/>
        </w:rPr>
      </w:pPr>
    </w:p>
    <w:p w:rsidR="00F4431F" w:rsidRPr="00F4431F" w:rsidRDefault="00F4431F" w:rsidP="00F4431F">
      <w:pPr>
        <w:tabs>
          <w:tab w:val="left" w:pos="7938"/>
        </w:tabs>
        <w:spacing w:after="0" w:line="360" w:lineRule="auto"/>
        <w:jc w:val="both"/>
        <w:rPr>
          <w:rFonts w:ascii="Palatino Linotype" w:hAnsi="Palatino Linotype" w:cs="Arial"/>
          <w:sz w:val="24"/>
          <w:szCs w:val="24"/>
        </w:rPr>
      </w:pPr>
      <w:r>
        <w:rPr>
          <w:rFonts w:ascii="Palatino Linotype" w:hAnsi="Palatino Linotype" w:cs="Arial"/>
          <w:color w:val="000000" w:themeColor="text1"/>
          <w:sz w:val="24"/>
          <w:szCs w:val="24"/>
        </w:rPr>
        <w:t>En primer lugar,</w:t>
      </w:r>
      <w:r w:rsidRPr="00F4431F">
        <w:rPr>
          <w:rFonts w:ascii="Palatino Linotype" w:hAnsi="Palatino Linotype" w:cs="Arial"/>
          <w:color w:val="000000" w:themeColor="text1"/>
          <w:sz w:val="24"/>
          <w:szCs w:val="24"/>
        </w:rPr>
        <w:t xml:space="preserve"> </w:t>
      </w:r>
      <w:r w:rsidRPr="00F4431F">
        <w:rPr>
          <w:rFonts w:ascii="Palatino Linotype" w:eastAsia="Calibri" w:hAnsi="Palatino Linotype" w:cs="Arial"/>
          <w:color w:val="000000" w:themeColor="text1"/>
          <w:sz w:val="24"/>
          <w:szCs w:val="24"/>
        </w:rPr>
        <w:t>respecto de las manifestaciones</w:t>
      </w:r>
      <w:r>
        <w:rPr>
          <w:rFonts w:ascii="Palatino Linotype" w:eastAsia="Calibri" w:hAnsi="Palatino Linotype" w:cs="Arial"/>
          <w:color w:val="000000" w:themeColor="text1"/>
          <w:sz w:val="24"/>
          <w:szCs w:val="24"/>
        </w:rPr>
        <w:t xml:space="preserve"> del inciso </w:t>
      </w:r>
      <w:r w:rsidRPr="00F4431F">
        <w:rPr>
          <w:rFonts w:ascii="Palatino Linotype" w:eastAsia="Calibri" w:hAnsi="Palatino Linotype" w:cs="Arial"/>
          <w:b/>
          <w:color w:val="000000" w:themeColor="text1"/>
          <w:sz w:val="24"/>
          <w:szCs w:val="24"/>
        </w:rPr>
        <w:t>c)</w:t>
      </w:r>
      <w:r w:rsidRPr="00F4431F">
        <w:rPr>
          <w:rFonts w:ascii="Palatino Linotype" w:eastAsia="Arial Unicode MS" w:hAnsi="Palatino Linotype" w:cs="Arial"/>
          <w:color w:val="000000" w:themeColor="text1"/>
          <w:sz w:val="24"/>
          <w:szCs w:val="24"/>
        </w:rPr>
        <w:t xml:space="preserve"> consistentes en </w:t>
      </w:r>
      <w:r w:rsidRPr="00F4431F">
        <w:rPr>
          <w:rFonts w:ascii="Palatino Linotype" w:hAnsi="Palatino Linotype" w:cs="Arial"/>
          <w:i/>
          <w:color w:val="000000" w:themeColor="text1"/>
          <w:sz w:val="24"/>
          <w:szCs w:val="24"/>
          <w:lang w:eastAsia="es-MX"/>
        </w:rPr>
        <w:t xml:space="preserve">“Pido se de vista a la Contraloría Municipal y a la Mejora Regulatoria y que en ámbito de sus atribuciones realicen las acciones necesarias para vigilar el cumplimiento de lo dispuesto en la Ley y no se permita el abuso de la Autoridad con los criterios que se utilizan por parte de dicha Dirección.”; </w:t>
      </w:r>
      <w:r w:rsidRPr="00F4431F">
        <w:rPr>
          <w:rFonts w:ascii="Palatino Linotype" w:hAnsi="Palatino Linotype"/>
          <w:color w:val="000000" w:themeColor="text1"/>
          <w:sz w:val="24"/>
          <w:szCs w:val="24"/>
        </w:rPr>
        <w:t>y derivado que el recurso de revisión no es el medio para sancionar, este Órgano Garante</w:t>
      </w:r>
      <w:r w:rsidRPr="00F4431F">
        <w:rPr>
          <w:rFonts w:ascii="Palatino Linotype" w:hAnsi="Palatino Linotype" w:cs="Arial"/>
          <w:sz w:val="24"/>
          <w:szCs w:val="24"/>
        </w:rPr>
        <w:t xml:space="preserve"> sugiere al solicitante, interponer su queja o denuncia ante la autoridad competente</w:t>
      </w:r>
      <w:r w:rsidRPr="00F4431F">
        <w:rPr>
          <w:rFonts w:ascii="Palatino Linotype" w:hAnsi="Palatino Linotype" w:cs="Arial"/>
          <w:color w:val="000000" w:themeColor="text1"/>
          <w:sz w:val="24"/>
          <w:szCs w:val="24"/>
        </w:rPr>
        <w:t>.</w:t>
      </w:r>
    </w:p>
    <w:p w:rsidR="00516180" w:rsidRDefault="00F4431F" w:rsidP="008352D3">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Acotado lo anterior, en lo que corresponde a los a</w:t>
      </w:r>
      <w:r w:rsidR="008352D3">
        <w:rPr>
          <w:rFonts w:ascii="Palatino Linotype" w:hAnsi="Palatino Linotype" w:cs="Arial"/>
          <w:sz w:val="24"/>
          <w:lang w:val="es-ES"/>
        </w:rPr>
        <w:t>rgumentos y m</w:t>
      </w:r>
      <w:r w:rsidR="00516180">
        <w:rPr>
          <w:rFonts w:ascii="Palatino Linotype" w:hAnsi="Palatino Linotype" w:cs="Arial"/>
          <w:sz w:val="24"/>
          <w:lang w:val="es-ES"/>
        </w:rPr>
        <w:t xml:space="preserve">anifestaciones </w:t>
      </w:r>
      <w:r>
        <w:rPr>
          <w:rFonts w:ascii="Palatino Linotype" w:hAnsi="Palatino Linotype" w:cs="Arial"/>
          <w:sz w:val="24"/>
          <w:lang w:val="es-ES"/>
        </w:rPr>
        <w:t xml:space="preserve">relativas a los incisos </w:t>
      </w:r>
      <w:r w:rsidRPr="00F4431F">
        <w:rPr>
          <w:rFonts w:ascii="Palatino Linotype" w:hAnsi="Palatino Linotype" w:cs="Arial"/>
          <w:b/>
          <w:sz w:val="24"/>
          <w:lang w:val="es-ES"/>
        </w:rPr>
        <w:t>a)</w:t>
      </w:r>
      <w:r w:rsidRPr="00F4431F">
        <w:rPr>
          <w:rFonts w:ascii="Palatino Linotype" w:hAnsi="Palatino Linotype" w:cs="Arial"/>
          <w:sz w:val="24"/>
          <w:lang w:val="es-ES"/>
        </w:rPr>
        <w:t xml:space="preserve"> y </w:t>
      </w:r>
      <w:r w:rsidRPr="00F4431F">
        <w:rPr>
          <w:rFonts w:ascii="Palatino Linotype" w:hAnsi="Palatino Linotype" w:cs="Arial"/>
          <w:b/>
          <w:sz w:val="24"/>
          <w:lang w:val="es-ES"/>
        </w:rPr>
        <w:t>b),</w:t>
      </w:r>
      <w:r>
        <w:rPr>
          <w:rFonts w:ascii="Palatino Linotype" w:hAnsi="Palatino Linotype" w:cs="Arial"/>
          <w:sz w:val="24"/>
          <w:lang w:val="es-ES"/>
        </w:rPr>
        <w:t xml:space="preserve"> las mismas</w:t>
      </w:r>
      <w:r w:rsidR="008352D3">
        <w:rPr>
          <w:rFonts w:ascii="Palatino Linotype" w:hAnsi="Palatino Linotype" w:cs="Arial"/>
          <w:sz w:val="24"/>
          <w:lang w:val="es-ES"/>
        </w:rPr>
        <w:t xml:space="preserve"> </w:t>
      </w:r>
      <w:r w:rsidR="008352D3" w:rsidRPr="00F4431F">
        <w:rPr>
          <w:rFonts w:ascii="Palatino Linotype" w:hAnsi="Palatino Linotype" w:cs="Arial"/>
          <w:b/>
          <w:sz w:val="24"/>
          <w:lang w:val="es-ES"/>
        </w:rPr>
        <w:t>no encuadran</w:t>
      </w:r>
      <w:r w:rsidR="008352D3">
        <w:rPr>
          <w:rFonts w:ascii="Palatino Linotype" w:hAnsi="Palatino Linotype" w:cs="Arial"/>
          <w:sz w:val="24"/>
          <w:lang w:val="es-ES"/>
        </w:rPr>
        <w:t xml:space="preserve"> en alguno de los supuestos establecidos en e</w:t>
      </w:r>
      <w:r w:rsidR="00516180" w:rsidRPr="00CB45F6">
        <w:rPr>
          <w:rFonts w:ascii="Palatino Linotype" w:hAnsi="Palatino Linotype" w:cs="Arial"/>
          <w:sz w:val="24"/>
          <w:lang w:val="es-ES"/>
        </w:rPr>
        <w:t>l artículo 179 de la Ley de Transparencia</w:t>
      </w:r>
      <w:r w:rsidR="008352D3" w:rsidRPr="008352D3">
        <w:rPr>
          <w:rFonts w:ascii="Palatino Linotype" w:hAnsi="Palatino Linotype" w:cs="Arial"/>
          <w:sz w:val="24"/>
          <w:lang w:val="es-ES"/>
        </w:rPr>
        <w:t xml:space="preserve"> y Acceso a la Información</w:t>
      </w:r>
      <w:r w:rsidR="008352D3">
        <w:rPr>
          <w:rFonts w:ascii="Palatino Linotype" w:hAnsi="Palatino Linotype" w:cs="Arial"/>
          <w:sz w:val="24"/>
          <w:lang w:val="es-ES"/>
        </w:rPr>
        <w:t xml:space="preserve"> </w:t>
      </w:r>
      <w:r w:rsidR="008352D3" w:rsidRPr="008352D3">
        <w:rPr>
          <w:rFonts w:ascii="Palatino Linotype" w:hAnsi="Palatino Linotype" w:cs="Arial"/>
          <w:sz w:val="24"/>
          <w:lang w:val="es-ES"/>
        </w:rPr>
        <w:t>Pública de</w:t>
      </w:r>
      <w:r w:rsidR="008352D3">
        <w:rPr>
          <w:rFonts w:ascii="Palatino Linotype" w:hAnsi="Palatino Linotype" w:cs="Arial"/>
          <w:sz w:val="24"/>
          <w:lang w:val="es-ES"/>
        </w:rPr>
        <w:t>l Estado de México y Municipios</w:t>
      </w:r>
      <w:r w:rsidR="00516180">
        <w:rPr>
          <w:rFonts w:ascii="Palatino Linotype" w:hAnsi="Palatino Linotype" w:cs="Arial"/>
          <w:sz w:val="24"/>
          <w:lang w:val="es-ES"/>
        </w:rPr>
        <w:t xml:space="preserve">, </w:t>
      </w:r>
      <w:r w:rsidR="008352D3" w:rsidRPr="00F4431F">
        <w:rPr>
          <w:rFonts w:ascii="Palatino Linotype" w:hAnsi="Palatino Linotype" w:cs="Arial"/>
          <w:b/>
          <w:sz w:val="24"/>
          <w:lang w:val="es-ES"/>
        </w:rPr>
        <w:t>para la procedencia del recurso de revisión</w:t>
      </w:r>
      <w:r w:rsidR="008352D3">
        <w:rPr>
          <w:rFonts w:ascii="Palatino Linotype" w:hAnsi="Palatino Linotype" w:cs="Arial"/>
          <w:sz w:val="24"/>
          <w:lang w:val="es-ES"/>
        </w:rPr>
        <w:t>, se cita dicho ordenamiento para mayor referencia a continuación:</w:t>
      </w:r>
    </w:p>
    <w:p w:rsidR="008352D3" w:rsidRDefault="008352D3" w:rsidP="008352D3">
      <w:pPr>
        <w:spacing w:after="0" w:line="360" w:lineRule="auto"/>
        <w:jc w:val="both"/>
        <w:rPr>
          <w:rFonts w:ascii="Palatino Linotype" w:hAnsi="Palatino Linotype" w:cs="Arial"/>
          <w:sz w:val="24"/>
          <w:lang w:val="es-ES"/>
        </w:rPr>
      </w:pPr>
    </w:p>
    <w:p w:rsidR="008352D3" w:rsidRPr="008352D3" w:rsidRDefault="008352D3" w:rsidP="008352D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F4431F">
        <w:rPr>
          <w:rFonts w:ascii="Palatino Linotype" w:hAnsi="Palatino Linotype" w:cs="Arial"/>
          <w:b/>
          <w:i/>
          <w:lang w:val="es-ES"/>
        </w:rPr>
        <w:t xml:space="preserve">Artículo 179. </w:t>
      </w:r>
      <w:r w:rsidRPr="008352D3">
        <w:rPr>
          <w:rFonts w:ascii="Palatino Linotype" w:hAnsi="Palatino Linotype" w:cs="Arial"/>
          <w:i/>
          <w:lang w:val="es-ES"/>
        </w:rPr>
        <w:t>El recurso de revisión es un medio de protección que la Ley otorga a los particulares,</w:t>
      </w:r>
      <w:r>
        <w:rPr>
          <w:rFonts w:ascii="Palatino Linotype" w:hAnsi="Palatino Linotype" w:cs="Arial"/>
          <w:i/>
          <w:lang w:val="es-ES"/>
        </w:rPr>
        <w:t xml:space="preserve"> </w:t>
      </w:r>
      <w:r w:rsidRPr="008352D3">
        <w:rPr>
          <w:rFonts w:ascii="Palatino Linotype" w:hAnsi="Palatino Linotype" w:cs="Arial"/>
          <w:i/>
          <w:lang w:val="es-ES"/>
        </w:rPr>
        <w:t xml:space="preserve">para hacer valer su derecho de acceso a la información pública, y </w:t>
      </w:r>
      <w:r w:rsidRPr="00F4431F">
        <w:rPr>
          <w:rFonts w:ascii="Palatino Linotype" w:hAnsi="Palatino Linotype" w:cs="Arial"/>
          <w:i/>
          <w:u w:val="single"/>
          <w:lang w:val="es-ES"/>
        </w:rPr>
        <w:t>procederá en contra de las siguientes causas:</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I. La negativa a la información solicitada;</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II. La clasificación de la información;</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III. La declaración de inexistencia de la información;</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IV. La declaración de incompetencia por el sujeto obligado;</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V. La entrega de información incompleta;</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VI. La entrega de información que no corresponda con lo solicitado;</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VII. La falta de respuesta a una solicitud de acceso a la información;</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VIII. La notificación, entrega o puesta a disposición de información en una modalidad o formato distinto</w:t>
      </w:r>
      <w:r>
        <w:rPr>
          <w:rFonts w:ascii="Palatino Linotype" w:hAnsi="Palatino Linotype" w:cs="Arial"/>
          <w:i/>
          <w:lang w:val="es-ES"/>
        </w:rPr>
        <w:t xml:space="preserve"> </w:t>
      </w:r>
      <w:r w:rsidRPr="008352D3">
        <w:rPr>
          <w:rFonts w:ascii="Palatino Linotype" w:hAnsi="Palatino Linotype" w:cs="Arial"/>
          <w:i/>
          <w:lang w:val="es-ES"/>
        </w:rPr>
        <w:t>al solicitado;</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IX. La entrega o puesta a disposición de información en un formato incomprensible y/o no accesible</w:t>
      </w:r>
      <w:r>
        <w:rPr>
          <w:rFonts w:ascii="Palatino Linotype" w:hAnsi="Palatino Linotype" w:cs="Arial"/>
          <w:i/>
          <w:lang w:val="es-ES"/>
        </w:rPr>
        <w:t xml:space="preserve"> </w:t>
      </w:r>
      <w:r w:rsidRPr="008352D3">
        <w:rPr>
          <w:rFonts w:ascii="Palatino Linotype" w:hAnsi="Palatino Linotype" w:cs="Arial"/>
          <w:i/>
          <w:lang w:val="es-ES"/>
        </w:rPr>
        <w:t>para el solicitante;</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X. Los costos o tiempos de entrega de la información;</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XI. La falta de trámite a una solicitud;</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XII. La negativa a permitir la consulta directa de la información;</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XIII. La falta, deficiencia o insuficiencia de la fundamentación y/o motivación en la respuesta; y</w:t>
      </w:r>
    </w:p>
    <w:p w:rsidR="008352D3" w:rsidRPr="008352D3" w:rsidRDefault="008352D3" w:rsidP="008352D3">
      <w:pPr>
        <w:spacing w:after="0" w:line="240" w:lineRule="auto"/>
        <w:ind w:left="567" w:right="567"/>
        <w:jc w:val="both"/>
        <w:rPr>
          <w:rFonts w:ascii="Palatino Linotype" w:hAnsi="Palatino Linotype" w:cs="Arial"/>
          <w:i/>
          <w:lang w:val="es-ES"/>
        </w:rPr>
      </w:pPr>
      <w:r w:rsidRPr="008352D3">
        <w:rPr>
          <w:rFonts w:ascii="Palatino Linotype" w:hAnsi="Palatino Linotype" w:cs="Arial"/>
          <w:i/>
          <w:lang w:val="es-ES"/>
        </w:rPr>
        <w:t>XIV. La orientación a un trámite específico.</w:t>
      </w:r>
    </w:p>
    <w:p w:rsidR="008352D3" w:rsidRDefault="008352D3" w:rsidP="008352D3">
      <w:pPr>
        <w:spacing w:after="0" w:line="240" w:lineRule="auto"/>
        <w:ind w:left="567" w:right="567"/>
        <w:jc w:val="both"/>
        <w:rPr>
          <w:rFonts w:ascii="Palatino Linotype" w:hAnsi="Palatino Linotype" w:cs="Arial"/>
          <w:lang w:val="es-ES"/>
        </w:rPr>
      </w:pPr>
      <w:r w:rsidRPr="008352D3">
        <w:rPr>
          <w:rFonts w:ascii="Palatino Linotype" w:hAnsi="Palatino Linotype" w:cs="Arial"/>
          <w:i/>
          <w:lang w:val="es-ES"/>
        </w:rPr>
        <w:t>La respuesta que den los sujetos obligados derivada de la resolución a un recurso de revisión que</w:t>
      </w:r>
      <w:r>
        <w:rPr>
          <w:rFonts w:ascii="Palatino Linotype" w:hAnsi="Palatino Linotype" w:cs="Arial"/>
          <w:i/>
          <w:lang w:val="es-ES"/>
        </w:rPr>
        <w:t xml:space="preserve"> </w:t>
      </w:r>
      <w:r w:rsidRPr="008352D3">
        <w:rPr>
          <w:rFonts w:ascii="Palatino Linotype" w:hAnsi="Palatino Linotype" w:cs="Arial"/>
          <w:i/>
          <w:lang w:val="es-ES"/>
        </w:rPr>
        <w:t>proceda por las causales señaladas en las fracciones IV, VII, IX, X, XI y XII es susceptible de ser</w:t>
      </w:r>
      <w:r>
        <w:rPr>
          <w:rFonts w:ascii="Palatino Linotype" w:hAnsi="Palatino Linotype" w:cs="Arial"/>
          <w:i/>
          <w:lang w:val="es-ES"/>
        </w:rPr>
        <w:t xml:space="preserve"> </w:t>
      </w:r>
      <w:r w:rsidRPr="008352D3">
        <w:rPr>
          <w:rFonts w:ascii="Palatino Linotype" w:hAnsi="Palatino Linotype" w:cs="Arial"/>
          <w:i/>
          <w:lang w:val="es-ES"/>
        </w:rPr>
        <w:t>impugnada de nueva cuenta, mediante recurso de revisión, ante el Instituto.</w:t>
      </w:r>
      <w:r>
        <w:rPr>
          <w:rFonts w:ascii="Palatino Linotype" w:hAnsi="Palatino Linotype" w:cs="Arial"/>
          <w:i/>
          <w:lang w:val="es-ES"/>
        </w:rPr>
        <w:t>”</w:t>
      </w:r>
    </w:p>
    <w:p w:rsidR="00F4431F" w:rsidRPr="00F4431F" w:rsidRDefault="00F4431F" w:rsidP="00F4431F">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516180" w:rsidRDefault="00516180" w:rsidP="00516180">
      <w:pPr>
        <w:spacing w:after="0" w:line="360" w:lineRule="auto"/>
        <w:jc w:val="both"/>
        <w:rPr>
          <w:rFonts w:ascii="Palatino Linotype" w:eastAsia="Times New Roman" w:hAnsi="Palatino Linotype" w:cs="Arial"/>
          <w:sz w:val="24"/>
          <w:szCs w:val="24"/>
          <w:lang w:val="es-ES" w:eastAsia="es-ES"/>
        </w:rPr>
      </w:pPr>
    </w:p>
    <w:p w:rsidR="008352D3" w:rsidRDefault="008352D3" w:rsidP="0051618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Precepto legal que enlista las hipótesis normativas de procedencia para la interposición del recurso de revisión. Hipótesis que esencialmente no encuadran en las manifestaciones de la </w:t>
      </w:r>
      <w:r w:rsidRPr="00FB5D6C">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toda vez que, no se adolece por negativa de </w:t>
      </w:r>
      <w:r>
        <w:rPr>
          <w:rFonts w:ascii="Palatino Linotype" w:eastAsia="Times New Roman" w:hAnsi="Palatino Linotype" w:cs="Arial"/>
          <w:sz w:val="24"/>
          <w:szCs w:val="24"/>
          <w:lang w:val="es-ES" w:eastAsia="es-ES"/>
        </w:rPr>
        <w:lastRenderedPageBreak/>
        <w:t xml:space="preserve">información del Sujeto Obligado, la clasificación de la información, entrega incompleta, haya declarado la inexistencia de la información u entrega de información que no corresponde con lo solicitado. </w:t>
      </w:r>
    </w:p>
    <w:p w:rsidR="008352D3" w:rsidRDefault="008352D3" w:rsidP="00516180">
      <w:pPr>
        <w:spacing w:after="0" w:line="360" w:lineRule="auto"/>
        <w:jc w:val="both"/>
        <w:rPr>
          <w:rFonts w:ascii="Palatino Linotype" w:eastAsia="Times New Roman" w:hAnsi="Palatino Linotype" w:cs="Arial"/>
          <w:sz w:val="24"/>
          <w:szCs w:val="24"/>
          <w:lang w:val="es-ES" w:eastAsia="es-ES"/>
        </w:rPr>
      </w:pPr>
    </w:p>
    <w:p w:rsidR="008352D3" w:rsidRDefault="008352D3" w:rsidP="0051618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el contrario, las manifestaciones de la </w:t>
      </w:r>
      <w:r w:rsidRPr="008352D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versan objetivamente que el </w:t>
      </w:r>
      <w:r w:rsidRPr="008352D3">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no cuenta con facultad, función y/o atribución para peticionar requisitos extras a los establecidos en el Código Administrativo del Estado de México</w:t>
      </w:r>
      <w:r w:rsidR="00FD33A5">
        <w:rPr>
          <w:rFonts w:ascii="Palatino Linotype" w:eastAsia="Times New Roman" w:hAnsi="Palatino Linotype" w:cs="Arial"/>
          <w:sz w:val="24"/>
          <w:szCs w:val="24"/>
          <w:lang w:val="es-ES" w:eastAsia="es-ES"/>
        </w:rPr>
        <w:t xml:space="preserve">, y que debe sujetar su actuar de conformidad con los artículos 4 y 16 de la Constitución Política de los Estados Unidos Mexicanos, relativos al principio de legalidad; es decir, los entes de gobierno están facultados para actuar de conformidad con las facultades y atribuciones que le son conferidas, no pudiendo ir </w:t>
      </w:r>
      <w:r w:rsidR="00FB5D6C">
        <w:rPr>
          <w:rFonts w:ascii="Palatino Linotype" w:eastAsia="Times New Roman" w:hAnsi="Palatino Linotype" w:cs="Arial"/>
          <w:sz w:val="24"/>
          <w:szCs w:val="24"/>
          <w:lang w:val="es-ES" w:eastAsia="es-ES"/>
        </w:rPr>
        <w:t>más</w:t>
      </w:r>
      <w:r w:rsidR="00FD33A5">
        <w:rPr>
          <w:rFonts w:ascii="Palatino Linotype" w:eastAsia="Times New Roman" w:hAnsi="Palatino Linotype" w:cs="Arial"/>
          <w:sz w:val="24"/>
          <w:szCs w:val="24"/>
          <w:lang w:val="es-ES" w:eastAsia="es-ES"/>
        </w:rPr>
        <w:t xml:space="preserve"> allá de las mismas.</w:t>
      </w:r>
    </w:p>
    <w:p w:rsidR="008352D3" w:rsidRDefault="008352D3" w:rsidP="00516180">
      <w:pPr>
        <w:spacing w:after="0" w:line="360" w:lineRule="auto"/>
        <w:jc w:val="both"/>
        <w:rPr>
          <w:rFonts w:ascii="Palatino Linotype" w:eastAsia="Times New Roman" w:hAnsi="Palatino Linotype" w:cs="Arial"/>
          <w:sz w:val="24"/>
          <w:szCs w:val="24"/>
          <w:lang w:val="es-ES" w:eastAsia="es-ES"/>
        </w:rPr>
      </w:pPr>
    </w:p>
    <w:p w:rsidR="00BB53A0" w:rsidRPr="00BB53A0" w:rsidRDefault="00BB53A0" w:rsidP="00BB53A0">
      <w:pPr>
        <w:spacing w:after="0" w:line="360" w:lineRule="auto"/>
        <w:jc w:val="both"/>
        <w:rPr>
          <w:rFonts w:ascii="Palatino Linotype" w:eastAsia="Times New Roman" w:hAnsi="Palatino Linotype" w:cs="Times New Roman"/>
          <w:bCs/>
          <w:sz w:val="24"/>
          <w:szCs w:val="24"/>
          <w:lang w:val="es-ES" w:eastAsia="es-ES"/>
        </w:rPr>
      </w:pPr>
      <w:r w:rsidRPr="00BB53A0">
        <w:rPr>
          <w:rFonts w:ascii="Palatino Linotype" w:eastAsia="Times New Roman" w:hAnsi="Palatino Linotype" w:cs="Times New Roman"/>
          <w:bCs/>
          <w:sz w:val="24"/>
          <w:szCs w:val="24"/>
          <w:lang w:val="es-ES" w:eastAsia="es-ES"/>
        </w:rPr>
        <w:t xml:space="preserve">Por consiguiente, en estricto derecho las razones o motivos de inconformidad de </w:t>
      </w:r>
      <w:r w:rsidRPr="00BB53A0">
        <w:rPr>
          <w:rFonts w:ascii="Palatino Linotype" w:eastAsia="Times New Roman" w:hAnsi="Palatino Linotype" w:cs="Times New Roman"/>
          <w:b/>
          <w:bCs/>
          <w:sz w:val="24"/>
          <w:szCs w:val="24"/>
          <w:lang w:val="es-ES" w:eastAsia="es-ES"/>
        </w:rPr>
        <w:t>la Recurrente</w:t>
      </w:r>
      <w:r w:rsidRPr="00BB53A0">
        <w:rPr>
          <w:rFonts w:ascii="Palatino Linotype" w:eastAsia="Times New Roman" w:hAnsi="Palatino Linotype" w:cs="Times New Roman"/>
          <w:bCs/>
          <w:sz w:val="24"/>
          <w:szCs w:val="24"/>
          <w:lang w:val="es-ES" w:eastAsia="es-ES"/>
        </w:rPr>
        <w:t xml:space="preserve"> no encuentran sustento legal para la procedencia del recurso, por lo que se actualiza la causal de sobreseimiento prevista en la fracción IV del artículo 192, relacionada con la fracción </w:t>
      </w:r>
      <w:r w:rsidR="00F4431F">
        <w:rPr>
          <w:rFonts w:ascii="Palatino Linotype" w:eastAsia="Times New Roman" w:hAnsi="Palatino Linotype" w:cs="Times New Roman"/>
          <w:bCs/>
          <w:sz w:val="24"/>
          <w:szCs w:val="24"/>
          <w:lang w:val="es-ES" w:eastAsia="es-ES"/>
        </w:rPr>
        <w:t>III</w:t>
      </w:r>
      <w:r w:rsidRPr="00BB53A0">
        <w:rPr>
          <w:rFonts w:ascii="Palatino Linotype" w:eastAsia="Times New Roman" w:hAnsi="Palatino Linotype" w:cs="Times New Roman"/>
          <w:bCs/>
          <w:sz w:val="24"/>
          <w:szCs w:val="24"/>
          <w:lang w:val="es-ES" w:eastAsia="es-ES"/>
        </w:rPr>
        <w:t xml:space="preserve"> del citado artículo 191 de la Ley de Transparencia y Acceso a información Pública del Estado de México y Municipios, que disponen lo siguiente:</w:t>
      </w:r>
    </w:p>
    <w:p w:rsidR="00BB53A0" w:rsidRPr="00BB53A0" w:rsidRDefault="00BB53A0" w:rsidP="00BB53A0">
      <w:pPr>
        <w:spacing w:after="0" w:line="360" w:lineRule="auto"/>
        <w:jc w:val="both"/>
        <w:rPr>
          <w:rFonts w:ascii="Palatino Linotype" w:eastAsia="Times New Roman" w:hAnsi="Palatino Linotype" w:cs="Times New Roman"/>
          <w:bCs/>
          <w:sz w:val="24"/>
          <w:szCs w:val="24"/>
          <w:lang w:val="es-ES" w:eastAsia="es-ES"/>
        </w:rPr>
      </w:pPr>
    </w:p>
    <w:p w:rsidR="00F4431F" w:rsidRPr="00F4431F" w:rsidRDefault="00BB53A0" w:rsidP="00F4431F">
      <w:pPr>
        <w:spacing w:after="0" w:line="240" w:lineRule="auto"/>
        <w:ind w:left="567" w:right="567"/>
        <w:jc w:val="both"/>
        <w:rPr>
          <w:rFonts w:ascii="Palatino Linotype" w:hAnsi="Palatino Linotype" w:cs="Arial"/>
          <w:i/>
          <w:lang w:val="es-ES"/>
        </w:rPr>
      </w:pPr>
      <w:r w:rsidRPr="00BB53A0">
        <w:rPr>
          <w:rFonts w:ascii="Palatino Linotype" w:eastAsia="Times New Roman" w:hAnsi="Palatino Linotype" w:cs="Times New Roman"/>
          <w:bCs/>
          <w:i/>
          <w:szCs w:val="24"/>
          <w:lang w:val="es-ES" w:eastAsia="es-ES"/>
        </w:rPr>
        <w:t>“</w:t>
      </w:r>
      <w:r w:rsidR="00F4431F" w:rsidRPr="00F4431F">
        <w:rPr>
          <w:rFonts w:ascii="Palatino Linotype" w:hAnsi="Palatino Linotype" w:cs="Arial"/>
          <w:i/>
          <w:lang w:val="es-ES"/>
        </w:rPr>
        <w:t>“</w:t>
      </w:r>
      <w:r w:rsidR="00F4431F" w:rsidRPr="00F4431F">
        <w:rPr>
          <w:rFonts w:ascii="Palatino Linotype" w:hAnsi="Palatino Linotype" w:cs="Arial"/>
          <w:b/>
          <w:i/>
          <w:lang w:val="es-ES"/>
        </w:rPr>
        <w:t>Artículo 191.</w:t>
      </w:r>
      <w:r w:rsidR="00F4431F" w:rsidRPr="00F4431F">
        <w:rPr>
          <w:rFonts w:ascii="Palatino Linotype" w:hAnsi="Palatino Linotype" w:cs="Arial"/>
          <w:i/>
          <w:lang w:val="es-ES"/>
        </w:rPr>
        <w:t xml:space="preserve"> El recurso será </w:t>
      </w:r>
      <w:r w:rsidR="00F4431F" w:rsidRPr="00F4431F">
        <w:rPr>
          <w:rFonts w:ascii="Palatino Linotype" w:hAnsi="Palatino Linotype" w:cs="Arial"/>
          <w:i/>
          <w:u w:val="single"/>
          <w:lang w:val="es-ES"/>
        </w:rPr>
        <w:t>desechado por improcedente</w:t>
      </w:r>
      <w:r w:rsidR="00F4431F" w:rsidRPr="00F4431F">
        <w:rPr>
          <w:rFonts w:ascii="Palatino Linotype" w:hAnsi="Palatino Linotype" w:cs="Arial"/>
          <w:i/>
          <w:lang w:val="es-ES"/>
        </w:rPr>
        <w:t xml:space="preserve"> cuando:</w:t>
      </w:r>
    </w:p>
    <w:p w:rsidR="00F4431F" w:rsidRPr="00F4431F" w:rsidRDefault="00F4431F" w:rsidP="00F4431F">
      <w:pPr>
        <w:spacing w:after="0" w:line="240" w:lineRule="auto"/>
        <w:ind w:left="567" w:right="567"/>
        <w:jc w:val="both"/>
        <w:rPr>
          <w:rFonts w:ascii="Palatino Linotype" w:hAnsi="Palatino Linotype" w:cs="Arial"/>
          <w:i/>
          <w:lang w:val="es-ES"/>
        </w:rPr>
      </w:pPr>
      <w:r w:rsidRPr="00F4431F">
        <w:rPr>
          <w:rFonts w:ascii="Palatino Linotype" w:hAnsi="Palatino Linotype" w:cs="Arial"/>
          <w:i/>
          <w:lang w:val="es-ES"/>
        </w:rPr>
        <w:t>I. Sea extemporáneo por haber transcurrido el plazo establecido en la presente Ley, a partir de la respuesta;</w:t>
      </w:r>
    </w:p>
    <w:p w:rsidR="00F4431F" w:rsidRPr="00F4431F" w:rsidRDefault="00F4431F" w:rsidP="00F4431F">
      <w:pPr>
        <w:spacing w:after="0" w:line="240" w:lineRule="auto"/>
        <w:ind w:left="567" w:right="567"/>
        <w:jc w:val="both"/>
        <w:rPr>
          <w:rFonts w:ascii="Palatino Linotype" w:hAnsi="Palatino Linotype" w:cs="Arial"/>
          <w:i/>
          <w:lang w:val="es-ES"/>
        </w:rPr>
      </w:pPr>
      <w:r w:rsidRPr="00F4431F">
        <w:rPr>
          <w:rFonts w:ascii="Palatino Linotype" w:hAnsi="Palatino Linotype" w:cs="Arial"/>
          <w:i/>
          <w:lang w:val="es-ES"/>
        </w:rPr>
        <w:t>II. Se esté tramitando ante el Poder Judicial de la Federación algún recurso o medio de defensa interpuesto por el recurrente;</w:t>
      </w:r>
    </w:p>
    <w:p w:rsidR="00F4431F" w:rsidRPr="00F4431F" w:rsidRDefault="00F4431F" w:rsidP="00F4431F">
      <w:pPr>
        <w:spacing w:after="0" w:line="240" w:lineRule="auto"/>
        <w:ind w:left="567" w:right="567"/>
        <w:jc w:val="both"/>
        <w:rPr>
          <w:rFonts w:ascii="Palatino Linotype" w:hAnsi="Palatino Linotype" w:cs="Arial"/>
          <w:i/>
          <w:u w:val="single"/>
          <w:lang w:val="es-ES"/>
        </w:rPr>
      </w:pPr>
      <w:r w:rsidRPr="00F4431F">
        <w:rPr>
          <w:rFonts w:ascii="Palatino Linotype" w:hAnsi="Palatino Linotype" w:cs="Arial"/>
          <w:i/>
          <w:u w:val="single"/>
          <w:lang w:val="es-ES"/>
        </w:rPr>
        <w:t>III. No actualice alguno de los supuestos previstos en la presente Ley;</w:t>
      </w:r>
    </w:p>
    <w:p w:rsidR="00F4431F" w:rsidRPr="00F4431F" w:rsidRDefault="00F4431F" w:rsidP="00F4431F">
      <w:pPr>
        <w:spacing w:after="0" w:line="240" w:lineRule="auto"/>
        <w:ind w:left="567" w:right="567"/>
        <w:jc w:val="both"/>
        <w:rPr>
          <w:rFonts w:ascii="Palatino Linotype" w:hAnsi="Palatino Linotype" w:cs="Arial"/>
          <w:i/>
          <w:lang w:val="es-ES"/>
        </w:rPr>
      </w:pPr>
      <w:r w:rsidRPr="00F4431F">
        <w:rPr>
          <w:rFonts w:ascii="Palatino Linotype" w:hAnsi="Palatino Linotype" w:cs="Arial"/>
          <w:i/>
          <w:lang w:val="es-ES"/>
        </w:rPr>
        <w:t>IV. No se haya desahogado la prevención en los términos establecidos en la presente Ley;</w:t>
      </w:r>
    </w:p>
    <w:p w:rsidR="00F4431F" w:rsidRPr="00F4431F" w:rsidRDefault="00F4431F" w:rsidP="00F4431F">
      <w:pPr>
        <w:spacing w:after="0" w:line="240" w:lineRule="auto"/>
        <w:ind w:left="567" w:right="567"/>
        <w:jc w:val="both"/>
        <w:rPr>
          <w:rFonts w:ascii="Palatino Linotype" w:hAnsi="Palatino Linotype" w:cs="Arial"/>
          <w:i/>
          <w:lang w:val="es-ES"/>
        </w:rPr>
      </w:pPr>
      <w:r w:rsidRPr="00F4431F">
        <w:rPr>
          <w:rFonts w:ascii="Palatino Linotype" w:hAnsi="Palatino Linotype" w:cs="Arial"/>
          <w:b/>
          <w:i/>
          <w:lang w:val="es-ES"/>
        </w:rPr>
        <w:t>V.</w:t>
      </w:r>
      <w:r w:rsidRPr="00F4431F">
        <w:rPr>
          <w:rFonts w:ascii="Palatino Linotype" w:hAnsi="Palatino Linotype" w:cs="Arial"/>
          <w:i/>
          <w:lang w:val="es-ES"/>
        </w:rPr>
        <w:t xml:space="preserve"> Se impugne la veracidad de la información proporcionada;</w:t>
      </w:r>
    </w:p>
    <w:p w:rsidR="00F4431F" w:rsidRPr="00F4431F" w:rsidRDefault="00F4431F" w:rsidP="00F4431F">
      <w:pPr>
        <w:spacing w:after="0" w:line="240" w:lineRule="auto"/>
        <w:ind w:left="567" w:right="567"/>
        <w:jc w:val="both"/>
        <w:rPr>
          <w:rFonts w:ascii="Palatino Linotype" w:hAnsi="Palatino Linotype" w:cs="Arial"/>
          <w:i/>
          <w:lang w:val="es-ES"/>
        </w:rPr>
      </w:pPr>
      <w:r w:rsidRPr="00F4431F">
        <w:rPr>
          <w:rFonts w:ascii="Palatino Linotype" w:hAnsi="Palatino Linotype" w:cs="Arial"/>
          <w:i/>
          <w:lang w:val="es-ES"/>
        </w:rPr>
        <w:t>VI. Se trate de una consulta, o trámite en específico; y</w:t>
      </w:r>
    </w:p>
    <w:p w:rsidR="00F4431F" w:rsidRPr="00F4431F" w:rsidRDefault="00F4431F" w:rsidP="00F4431F">
      <w:pPr>
        <w:spacing w:after="0" w:line="240" w:lineRule="auto"/>
        <w:ind w:left="567" w:right="567"/>
        <w:jc w:val="both"/>
        <w:rPr>
          <w:rFonts w:ascii="Palatino Linotype" w:hAnsi="Palatino Linotype" w:cs="Arial"/>
          <w:lang w:val="es-ES"/>
        </w:rPr>
      </w:pPr>
      <w:r w:rsidRPr="00F4431F">
        <w:rPr>
          <w:rFonts w:ascii="Palatino Linotype" w:hAnsi="Palatino Linotype" w:cs="Arial"/>
          <w:i/>
          <w:lang w:val="es-ES"/>
        </w:rPr>
        <w:lastRenderedPageBreak/>
        <w:t>VII. El recurrente amplíe su solicitud en el recurso de revisión, únicamente respecto de los nuevos contenidos”</w:t>
      </w:r>
    </w:p>
    <w:p w:rsidR="00F4431F" w:rsidRPr="00F4431F" w:rsidRDefault="00F4431F" w:rsidP="00F4431F">
      <w:pPr>
        <w:spacing w:after="0" w:line="240" w:lineRule="auto"/>
        <w:ind w:left="567" w:right="567"/>
        <w:jc w:val="both"/>
        <w:rPr>
          <w:rFonts w:ascii="Palatino Linotype" w:hAnsi="Palatino Linotype" w:cs="Arial"/>
          <w:lang w:val="es-ES"/>
        </w:rPr>
      </w:pPr>
    </w:p>
    <w:p w:rsidR="00BB53A0" w:rsidRPr="00BB53A0" w:rsidRDefault="00BB53A0" w:rsidP="00BB53A0">
      <w:pPr>
        <w:spacing w:after="0" w:line="240" w:lineRule="auto"/>
        <w:ind w:left="567" w:right="616"/>
        <w:jc w:val="both"/>
        <w:rPr>
          <w:rFonts w:ascii="Palatino Linotype" w:eastAsia="Times New Roman" w:hAnsi="Palatino Linotype" w:cs="Times New Roman"/>
          <w:bCs/>
          <w:i/>
          <w:szCs w:val="24"/>
          <w:lang w:val="es-ES" w:eastAsia="es-ES"/>
        </w:rPr>
      </w:pPr>
      <w:r w:rsidRPr="00BB53A0">
        <w:rPr>
          <w:rFonts w:ascii="Palatino Linotype" w:eastAsia="Times New Roman" w:hAnsi="Palatino Linotype" w:cs="Times New Roman"/>
          <w:b/>
          <w:bCs/>
          <w:i/>
          <w:szCs w:val="24"/>
          <w:lang w:val="es-ES" w:eastAsia="es-ES"/>
        </w:rPr>
        <w:t>Artículo 192.</w:t>
      </w:r>
      <w:r w:rsidRPr="00BB53A0">
        <w:rPr>
          <w:rFonts w:ascii="Palatino Linotype" w:eastAsia="Times New Roman" w:hAnsi="Palatino Linotype" w:cs="Times New Roman"/>
          <w:bCs/>
          <w:i/>
          <w:szCs w:val="24"/>
          <w:lang w:val="es-ES" w:eastAsia="es-ES"/>
        </w:rPr>
        <w:t xml:space="preserve"> El recurso será </w:t>
      </w:r>
      <w:r w:rsidRPr="00BB53A0">
        <w:rPr>
          <w:rFonts w:ascii="Palatino Linotype" w:eastAsia="Times New Roman" w:hAnsi="Palatino Linotype" w:cs="Times New Roman"/>
          <w:bCs/>
          <w:i/>
          <w:szCs w:val="24"/>
          <w:u w:val="single"/>
          <w:lang w:val="es-ES" w:eastAsia="es-ES"/>
        </w:rPr>
        <w:t>sobreseído</w:t>
      </w:r>
      <w:r w:rsidRPr="00BB53A0">
        <w:rPr>
          <w:rFonts w:ascii="Palatino Linotype" w:eastAsia="Times New Roman" w:hAnsi="Palatino Linotype" w:cs="Times New Roman"/>
          <w:bCs/>
          <w:i/>
          <w:szCs w:val="24"/>
          <w:lang w:val="es-ES" w:eastAsia="es-ES"/>
        </w:rPr>
        <w:t>, en todo o en parte, cuando una vez admitido, se actualicen alguno de los siguientes supuestos:</w:t>
      </w:r>
    </w:p>
    <w:p w:rsidR="00BB53A0" w:rsidRPr="00BB53A0" w:rsidRDefault="00BB53A0" w:rsidP="00BB53A0">
      <w:pPr>
        <w:spacing w:after="0" w:line="240" w:lineRule="auto"/>
        <w:ind w:left="567" w:right="616"/>
        <w:jc w:val="both"/>
        <w:rPr>
          <w:rFonts w:ascii="Palatino Linotype" w:eastAsia="Times New Roman" w:hAnsi="Palatino Linotype" w:cs="Times New Roman"/>
          <w:bCs/>
          <w:i/>
          <w:szCs w:val="24"/>
          <w:lang w:val="es-ES" w:eastAsia="es-ES"/>
        </w:rPr>
      </w:pPr>
      <w:r w:rsidRPr="00BB53A0">
        <w:rPr>
          <w:rFonts w:ascii="Palatino Linotype" w:eastAsia="Times New Roman" w:hAnsi="Palatino Linotype" w:cs="Times New Roman"/>
          <w:bCs/>
          <w:i/>
          <w:szCs w:val="24"/>
          <w:lang w:val="es-ES" w:eastAsia="es-ES"/>
        </w:rPr>
        <w:t>(…)</w:t>
      </w:r>
    </w:p>
    <w:p w:rsidR="00BB53A0" w:rsidRPr="00BB53A0" w:rsidRDefault="00BB53A0" w:rsidP="00BB53A0">
      <w:pPr>
        <w:spacing w:after="0" w:line="240" w:lineRule="auto"/>
        <w:ind w:left="567" w:right="616"/>
        <w:jc w:val="both"/>
        <w:rPr>
          <w:rFonts w:ascii="Palatino Linotype" w:eastAsia="Times New Roman" w:hAnsi="Palatino Linotype" w:cs="Times New Roman"/>
          <w:bCs/>
          <w:szCs w:val="24"/>
          <w:lang w:val="es-ES" w:eastAsia="es-ES"/>
        </w:rPr>
      </w:pPr>
      <w:r w:rsidRPr="00BB53A0">
        <w:rPr>
          <w:rFonts w:ascii="Palatino Linotype" w:eastAsia="Times New Roman" w:hAnsi="Palatino Linotype" w:cs="Times New Roman"/>
          <w:b/>
          <w:bCs/>
          <w:i/>
          <w:szCs w:val="24"/>
          <w:lang w:val="es-ES" w:eastAsia="es-ES"/>
        </w:rPr>
        <w:t xml:space="preserve">IV. </w:t>
      </w:r>
      <w:r w:rsidRPr="00BB53A0">
        <w:rPr>
          <w:rFonts w:ascii="Palatino Linotype" w:eastAsia="Times New Roman" w:hAnsi="Palatino Linotype" w:cs="Times New Roman"/>
          <w:bCs/>
          <w:i/>
          <w:szCs w:val="24"/>
          <w:lang w:val="es-ES" w:eastAsia="es-ES"/>
        </w:rPr>
        <w:t xml:space="preserve">Admitido el recurso de revisión, </w:t>
      </w:r>
      <w:r w:rsidRPr="00BB53A0">
        <w:rPr>
          <w:rFonts w:ascii="Palatino Linotype" w:eastAsia="Times New Roman" w:hAnsi="Palatino Linotype" w:cs="Times New Roman"/>
          <w:bCs/>
          <w:i/>
          <w:szCs w:val="24"/>
          <w:u w:val="single"/>
          <w:lang w:val="es-ES" w:eastAsia="es-ES"/>
        </w:rPr>
        <w:t>aparezca alguna causal de improcedencia</w:t>
      </w:r>
      <w:r w:rsidRPr="00BB53A0">
        <w:rPr>
          <w:rFonts w:ascii="Palatino Linotype" w:eastAsia="Times New Roman" w:hAnsi="Palatino Linotype" w:cs="Times New Roman"/>
          <w:bCs/>
          <w:i/>
          <w:szCs w:val="24"/>
          <w:lang w:val="es-ES" w:eastAsia="es-ES"/>
        </w:rPr>
        <w:t xml:space="preserve"> en los términos de la presente Ley; y</w:t>
      </w:r>
      <w:r w:rsidRPr="00BB53A0">
        <w:rPr>
          <w:rFonts w:ascii="Palatino Linotype" w:eastAsia="Times New Roman" w:hAnsi="Palatino Linotype" w:cs="Times New Roman"/>
          <w:bCs/>
          <w:i/>
          <w:szCs w:val="24"/>
          <w:lang w:val="es-ES" w:eastAsia="es-ES"/>
        </w:rPr>
        <w:cr/>
      </w:r>
    </w:p>
    <w:p w:rsidR="00BB53A0" w:rsidRPr="00BB53A0" w:rsidRDefault="00BB53A0" w:rsidP="00BB53A0">
      <w:pPr>
        <w:spacing w:after="0" w:line="240" w:lineRule="auto"/>
        <w:ind w:left="567" w:right="616"/>
        <w:jc w:val="right"/>
        <w:rPr>
          <w:rFonts w:ascii="Palatino Linotype" w:eastAsia="Times New Roman" w:hAnsi="Palatino Linotype" w:cs="Times New Roman"/>
          <w:bCs/>
          <w:szCs w:val="24"/>
          <w:lang w:val="es-ES" w:eastAsia="es-ES"/>
        </w:rPr>
      </w:pPr>
      <w:r w:rsidRPr="00BB53A0">
        <w:rPr>
          <w:rFonts w:ascii="Palatino Linotype" w:eastAsia="Times New Roman" w:hAnsi="Palatino Linotype" w:cs="Times New Roman"/>
          <w:bCs/>
          <w:szCs w:val="24"/>
          <w:lang w:val="es-ES" w:eastAsia="es-ES"/>
        </w:rPr>
        <w:t>(Énfasis añadido)</w:t>
      </w:r>
    </w:p>
    <w:p w:rsidR="00073CC4" w:rsidRDefault="00073CC4" w:rsidP="00BB53A0">
      <w:pPr>
        <w:spacing w:after="0" w:line="360" w:lineRule="auto"/>
        <w:jc w:val="both"/>
        <w:rPr>
          <w:rFonts w:ascii="Palatino Linotype" w:eastAsia="Times New Roman" w:hAnsi="Palatino Linotype" w:cs="Times New Roman"/>
          <w:bCs/>
          <w:sz w:val="24"/>
          <w:szCs w:val="24"/>
          <w:lang w:val="es-ES" w:eastAsia="es-ES"/>
        </w:rPr>
      </w:pPr>
    </w:p>
    <w:p w:rsidR="00BB53A0" w:rsidRPr="00BB53A0" w:rsidRDefault="00BB53A0" w:rsidP="00BB53A0">
      <w:pPr>
        <w:spacing w:after="0" w:line="360" w:lineRule="auto"/>
        <w:jc w:val="both"/>
        <w:rPr>
          <w:rFonts w:ascii="Palatino Linotype" w:eastAsiaTheme="minorEastAsia" w:hAnsi="Palatino Linotype" w:cs="Times New Roman"/>
          <w:sz w:val="24"/>
          <w:szCs w:val="24"/>
          <w:lang w:val="es-ES_tradnl" w:eastAsia="es-ES"/>
        </w:rPr>
      </w:pPr>
      <w:r w:rsidRPr="00BB53A0">
        <w:rPr>
          <w:rFonts w:ascii="Palatino Linotype" w:eastAsia="Times New Roman" w:hAnsi="Palatino Linotype" w:cs="Times New Roman"/>
          <w:bCs/>
          <w:sz w:val="24"/>
          <w:szCs w:val="24"/>
          <w:lang w:val="es-ES" w:eastAsia="es-ES"/>
        </w:rPr>
        <w:t xml:space="preserve">Por lo que </w:t>
      </w:r>
      <w:r w:rsidRPr="00BB53A0">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BB53A0">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BB53A0">
        <w:rPr>
          <w:rFonts w:ascii="Palatino Linotype" w:eastAsiaTheme="minorEastAsia" w:hAnsi="Palatino Linotype" w:cs="Arial"/>
          <w:b/>
          <w:sz w:val="24"/>
          <w:szCs w:val="24"/>
          <w:lang w:val="es-ES_tradnl" w:eastAsia="es-ES"/>
        </w:rPr>
        <w:t xml:space="preserve">SOBRESEE </w:t>
      </w:r>
      <w:r w:rsidRPr="00BB53A0">
        <w:rPr>
          <w:rFonts w:ascii="Palatino Linotype" w:eastAsiaTheme="minorEastAsia" w:hAnsi="Palatino Linotype" w:cs="Arial"/>
          <w:sz w:val="24"/>
          <w:szCs w:val="24"/>
          <w:lang w:val="es-ES_tradnl" w:eastAsia="es-ES"/>
        </w:rPr>
        <w:t xml:space="preserve">el recurso de revisión </w:t>
      </w:r>
      <w:r w:rsidRPr="00BB53A0">
        <w:rPr>
          <w:rFonts w:ascii="Palatino Linotype" w:eastAsia="Times New Roman" w:hAnsi="Palatino Linotype" w:cs="Times New Roman"/>
          <w:b/>
          <w:bCs/>
          <w:sz w:val="24"/>
          <w:szCs w:val="24"/>
          <w:lang w:val="es-ES" w:eastAsia="es-ES"/>
        </w:rPr>
        <w:t>0</w:t>
      </w:r>
      <w:r w:rsidR="00F4431F">
        <w:rPr>
          <w:rFonts w:ascii="Palatino Linotype" w:eastAsia="Times New Roman" w:hAnsi="Palatino Linotype" w:cs="Times New Roman"/>
          <w:b/>
          <w:bCs/>
          <w:sz w:val="24"/>
          <w:szCs w:val="24"/>
          <w:lang w:val="es-ES" w:eastAsia="es-ES"/>
        </w:rPr>
        <w:t>6635</w:t>
      </w:r>
      <w:r w:rsidRPr="00BB53A0">
        <w:rPr>
          <w:rFonts w:ascii="Palatino Linotype" w:eastAsia="Times New Roman" w:hAnsi="Palatino Linotype" w:cs="Times New Roman"/>
          <w:b/>
          <w:bCs/>
          <w:sz w:val="24"/>
          <w:szCs w:val="24"/>
          <w:lang w:val="es-ES" w:eastAsia="es-ES"/>
        </w:rPr>
        <w:t>/INFOEM/IP/RR/2022</w:t>
      </w:r>
      <w:r w:rsidRPr="00BB53A0">
        <w:rPr>
          <w:rFonts w:ascii="Palatino Linotype" w:eastAsiaTheme="minorEastAsia" w:hAnsi="Palatino Linotype" w:cs="Arial"/>
          <w:sz w:val="24"/>
          <w:szCs w:val="24"/>
          <w:lang w:val="es-ES_tradnl" w:eastAsia="es-ES"/>
        </w:rPr>
        <w:t>,</w:t>
      </w:r>
      <w:r w:rsidRPr="00BB53A0">
        <w:rPr>
          <w:rFonts w:ascii="Palatino Linotype" w:eastAsiaTheme="minorEastAsia" w:hAnsi="Palatino Linotype" w:cs="Times New Roman"/>
          <w:sz w:val="24"/>
          <w:szCs w:val="24"/>
          <w:lang w:val="es-ES_tradnl" w:eastAsia="es-ES"/>
        </w:rPr>
        <w:t xml:space="preserve"> que ha sido materia del presente fallo.</w:t>
      </w:r>
    </w:p>
    <w:p w:rsidR="00BB53A0" w:rsidRPr="00BB53A0" w:rsidRDefault="00BB53A0" w:rsidP="00BB53A0">
      <w:pPr>
        <w:spacing w:after="0" w:line="360" w:lineRule="auto"/>
        <w:jc w:val="both"/>
        <w:rPr>
          <w:rFonts w:ascii="Palatino Linotype" w:eastAsia="Times New Roman" w:hAnsi="Palatino Linotype" w:cs="Times New Roman"/>
          <w:sz w:val="24"/>
          <w:szCs w:val="24"/>
          <w:lang w:val="es-ES_tradnl" w:eastAsia="es-ES"/>
        </w:rPr>
      </w:pPr>
    </w:p>
    <w:p w:rsidR="00BB53A0" w:rsidRPr="00BB53A0" w:rsidRDefault="00BB53A0" w:rsidP="00BB53A0">
      <w:pPr>
        <w:spacing w:after="0" w:line="360" w:lineRule="auto"/>
        <w:jc w:val="both"/>
        <w:rPr>
          <w:rFonts w:ascii="Palatino Linotype" w:eastAsia="Times New Roman" w:hAnsi="Palatino Linotype" w:cs="Times New Roman"/>
          <w:sz w:val="24"/>
          <w:szCs w:val="24"/>
          <w:lang w:val="es-ES" w:eastAsia="es-ES"/>
        </w:rPr>
      </w:pPr>
      <w:r w:rsidRPr="00BB53A0">
        <w:rPr>
          <w:rFonts w:ascii="Palatino Linotype" w:eastAsia="Times New Roman" w:hAnsi="Palatino Linotype" w:cs="Times New Roman"/>
          <w:sz w:val="24"/>
          <w:szCs w:val="24"/>
          <w:lang w:val="es-ES" w:eastAsia="es-ES"/>
        </w:rPr>
        <w:t>Por lo antes expuesto y fundado es de resolverse y,</w:t>
      </w:r>
    </w:p>
    <w:p w:rsidR="00BB53A0" w:rsidRPr="00BB53A0" w:rsidRDefault="00BB53A0" w:rsidP="00BB53A0">
      <w:pPr>
        <w:spacing w:after="0" w:line="360" w:lineRule="auto"/>
        <w:jc w:val="both"/>
        <w:rPr>
          <w:rFonts w:ascii="Palatino Linotype" w:eastAsia="Times New Roman" w:hAnsi="Palatino Linotype" w:cs="Times New Roman"/>
          <w:sz w:val="24"/>
          <w:szCs w:val="24"/>
          <w:lang w:val="es-ES" w:eastAsia="es-ES"/>
        </w:rPr>
      </w:pPr>
    </w:p>
    <w:p w:rsidR="00BB53A0" w:rsidRPr="00BB53A0" w:rsidRDefault="00BB53A0" w:rsidP="00BB53A0">
      <w:pPr>
        <w:spacing w:after="0" w:line="360" w:lineRule="auto"/>
        <w:jc w:val="center"/>
        <w:rPr>
          <w:rFonts w:ascii="Palatino Linotype" w:eastAsia="Times New Roman" w:hAnsi="Palatino Linotype" w:cs="Times New Roman"/>
          <w:b/>
          <w:bCs/>
          <w:spacing w:val="60"/>
          <w:sz w:val="28"/>
          <w:szCs w:val="24"/>
          <w:lang w:val="es-ES_tradnl" w:eastAsia="es-ES"/>
        </w:rPr>
      </w:pPr>
      <w:r w:rsidRPr="00BB53A0">
        <w:rPr>
          <w:rFonts w:ascii="Palatino Linotype" w:eastAsia="Times New Roman" w:hAnsi="Palatino Linotype" w:cs="Times New Roman"/>
          <w:b/>
          <w:bCs/>
          <w:spacing w:val="60"/>
          <w:sz w:val="28"/>
          <w:szCs w:val="24"/>
          <w:lang w:val="es-ES_tradnl" w:eastAsia="es-ES"/>
        </w:rPr>
        <w:t>SE    RESUELVE</w:t>
      </w:r>
    </w:p>
    <w:p w:rsidR="00BB53A0" w:rsidRPr="00BB53A0" w:rsidRDefault="00BB53A0" w:rsidP="00BB53A0">
      <w:pPr>
        <w:spacing w:after="0" w:line="360" w:lineRule="auto"/>
        <w:jc w:val="center"/>
        <w:rPr>
          <w:rFonts w:ascii="Palatino Linotype" w:eastAsia="Times New Roman" w:hAnsi="Palatino Linotype" w:cs="Times New Roman"/>
          <w:bCs/>
          <w:spacing w:val="60"/>
          <w:sz w:val="24"/>
          <w:szCs w:val="24"/>
          <w:lang w:val="es-ES_tradnl" w:eastAsia="es-ES"/>
        </w:rPr>
      </w:pPr>
    </w:p>
    <w:p w:rsidR="00BB53A0" w:rsidRPr="00BB53A0" w:rsidRDefault="00BB53A0" w:rsidP="00A93952">
      <w:pPr>
        <w:tabs>
          <w:tab w:val="left" w:pos="8647"/>
        </w:tabs>
        <w:spacing w:after="0" w:line="360" w:lineRule="auto"/>
        <w:ind w:right="51"/>
        <w:jc w:val="both"/>
        <w:rPr>
          <w:rFonts w:ascii="Palatino Linotype" w:eastAsiaTheme="minorEastAsia" w:hAnsi="Palatino Linotype" w:cs="Arial"/>
          <w:sz w:val="24"/>
          <w:szCs w:val="24"/>
          <w:lang w:eastAsia="es-ES"/>
        </w:rPr>
      </w:pPr>
      <w:r w:rsidRPr="00BB53A0">
        <w:rPr>
          <w:rFonts w:ascii="Palatino Linotype" w:eastAsiaTheme="minorEastAsia" w:hAnsi="Palatino Linotype" w:cs="Arial"/>
          <w:b/>
          <w:sz w:val="28"/>
          <w:szCs w:val="24"/>
          <w:lang w:val="es-ES_tradnl" w:eastAsia="es-ES"/>
        </w:rPr>
        <w:t>PRIMERO.</w:t>
      </w:r>
      <w:r w:rsidRPr="00BB53A0">
        <w:rPr>
          <w:rFonts w:ascii="Palatino Linotype" w:eastAsiaTheme="minorEastAsia" w:hAnsi="Palatino Linotype" w:cs="Arial"/>
          <w:sz w:val="24"/>
          <w:szCs w:val="24"/>
          <w:lang w:val="es-ES_tradnl" w:eastAsia="es-ES"/>
        </w:rPr>
        <w:t xml:space="preserve"> Se </w:t>
      </w:r>
      <w:r w:rsidRPr="00BB53A0">
        <w:rPr>
          <w:rFonts w:ascii="Palatino Linotype" w:eastAsiaTheme="minorEastAsia" w:hAnsi="Palatino Linotype" w:cs="Arial"/>
          <w:b/>
          <w:sz w:val="24"/>
          <w:szCs w:val="24"/>
          <w:lang w:val="es-ES_tradnl" w:eastAsia="es-ES"/>
        </w:rPr>
        <w:t>SOBRESEE</w:t>
      </w:r>
      <w:r w:rsidRPr="00BB53A0">
        <w:rPr>
          <w:rFonts w:ascii="Palatino Linotype" w:eastAsiaTheme="minorEastAsia" w:hAnsi="Palatino Linotype" w:cs="Arial"/>
          <w:sz w:val="24"/>
          <w:szCs w:val="24"/>
          <w:lang w:val="es-ES_tradnl" w:eastAsia="es-ES"/>
        </w:rPr>
        <w:t xml:space="preserve"> el recurso de revisión </w:t>
      </w:r>
      <w:r w:rsidRPr="00BB53A0">
        <w:rPr>
          <w:rFonts w:ascii="Palatino Linotype" w:eastAsiaTheme="minorEastAsia" w:hAnsi="Palatino Linotype" w:cs="Arial"/>
          <w:b/>
          <w:sz w:val="24"/>
          <w:szCs w:val="24"/>
          <w:lang w:val="es-ES_tradnl" w:eastAsia="es-ES"/>
        </w:rPr>
        <w:t>0</w:t>
      </w:r>
      <w:r w:rsidR="00F4431F">
        <w:rPr>
          <w:rFonts w:ascii="Palatino Linotype" w:eastAsiaTheme="minorEastAsia" w:hAnsi="Palatino Linotype" w:cs="Arial"/>
          <w:b/>
          <w:sz w:val="24"/>
          <w:szCs w:val="24"/>
          <w:lang w:val="es-ES_tradnl" w:eastAsia="es-ES"/>
        </w:rPr>
        <w:t>6635</w:t>
      </w:r>
      <w:r w:rsidRPr="00BB53A0">
        <w:rPr>
          <w:rFonts w:ascii="Palatino Linotype" w:eastAsiaTheme="minorEastAsia" w:hAnsi="Palatino Linotype" w:cs="Arial"/>
          <w:b/>
          <w:sz w:val="24"/>
          <w:szCs w:val="24"/>
          <w:lang w:val="es-ES_tradnl" w:eastAsia="es-ES"/>
        </w:rPr>
        <w:t>/INFOEM/IP/RR/2022</w:t>
      </w:r>
      <w:r w:rsidRPr="00BB53A0">
        <w:rPr>
          <w:rFonts w:ascii="Palatino Linotype" w:eastAsiaTheme="minorEastAsia" w:hAnsi="Palatino Linotype" w:cs="Arial"/>
          <w:sz w:val="24"/>
          <w:szCs w:val="24"/>
          <w:lang w:val="es-ES_tradnl" w:eastAsia="es-ES"/>
        </w:rPr>
        <w:t xml:space="preserve">, por actualizarse la fracción </w:t>
      </w:r>
      <w:r w:rsidR="00491D27">
        <w:rPr>
          <w:rFonts w:ascii="Palatino Linotype" w:eastAsiaTheme="minorEastAsia" w:hAnsi="Palatino Linotype" w:cs="Arial"/>
          <w:sz w:val="24"/>
          <w:szCs w:val="24"/>
          <w:lang w:val="es-ES_tradnl" w:eastAsia="es-ES"/>
        </w:rPr>
        <w:t>IV</w:t>
      </w:r>
      <w:r w:rsidRPr="00BB53A0">
        <w:rPr>
          <w:rFonts w:ascii="Palatino Linotype" w:eastAsiaTheme="minorEastAsia" w:hAnsi="Palatino Linotype" w:cs="Arial"/>
          <w:sz w:val="24"/>
          <w:szCs w:val="24"/>
          <w:lang w:val="es-ES_tradnl" w:eastAsia="es-ES"/>
        </w:rPr>
        <w:t xml:space="preserve"> del artículo 19</w:t>
      </w:r>
      <w:r w:rsidR="00491D27">
        <w:rPr>
          <w:rFonts w:ascii="Palatino Linotype" w:eastAsiaTheme="minorEastAsia" w:hAnsi="Palatino Linotype" w:cs="Arial"/>
          <w:sz w:val="24"/>
          <w:szCs w:val="24"/>
          <w:lang w:val="es-ES_tradnl" w:eastAsia="es-ES"/>
        </w:rPr>
        <w:t>2</w:t>
      </w:r>
      <w:r w:rsidRPr="00BB53A0">
        <w:rPr>
          <w:rFonts w:ascii="Palatino Linotype" w:eastAsiaTheme="minorEastAsia" w:hAnsi="Palatino Linotype" w:cs="Arial"/>
          <w:sz w:val="24"/>
          <w:szCs w:val="24"/>
          <w:lang w:val="es-ES_tradnl" w:eastAsia="es-ES"/>
        </w:rPr>
        <w:t xml:space="preserve">, de </w:t>
      </w:r>
      <w:r w:rsidR="00A93952" w:rsidRPr="00BB53A0">
        <w:rPr>
          <w:rFonts w:ascii="Palatino Linotype" w:eastAsiaTheme="minorEastAsia" w:hAnsi="Palatino Linotype" w:cs="Arial"/>
          <w:sz w:val="24"/>
          <w:szCs w:val="24"/>
          <w:lang w:val="es-ES_tradnl" w:eastAsia="es-ES"/>
        </w:rPr>
        <w:t xml:space="preserve">la </w:t>
      </w:r>
      <w:r w:rsidR="00A93952" w:rsidRPr="00A93952">
        <w:rPr>
          <w:rFonts w:ascii="Palatino Linotype" w:eastAsiaTheme="minorEastAsia" w:hAnsi="Palatino Linotype" w:cs="Arial"/>
          <w:sz w:val="24"/>
          <w:szCs w:val="24"/>
          <w:lang w:val="es-ES_tradnl" w:eastAsia="es-ES"/>
        </w:rPr>
        <w:t>Ley de Transparencia y Acceso a la Información</w:t>
      </w:r>
      <w:r w:rsidR="00A93952">
        <w:rPr>
          <w:rFonts w:ascii="Palatino Linotype" w:eastAsiaTheme="minorEastAsia" w:hAnsi="Palatino Linotype" w:cs="Arial"/>
          <w:sz w:val="24"/>
          <w:szCs w:val="24"/>
          <w:lang w:val="es-ES_tradnl" w:eastAsia="es-ES"/>
        </w:rPr>
        <w:t xml:space="preserve"> </w:t>
      </w:r>
      <w:r w:rsidR="00A93952" w:rsidRPr="00A93952">
        <w:rPr>
          <w:rFonts w:ascii="Palatino Linotype" w:eastAsiaTheme="minorEastAsia" w:hAnsi="Palatino Linotype" w:cs="Arial"/>
          <w:sz w:val="24"/>
          <w:szCs w:val="24"/>
          <w:lang w:val="es-ES_tradnl" w:eastAsia="es-ES"/>
        </w:rPr>
        <w:t>Pública del Estado de México y Municipios</w:t>
      </w:r>
      <w:r w:rsidRPr="00BB53A0">
        <w:rPr>
          <w:rFonts w:ascii="Palatino Linotype" w:eastAsiaTheme="minorEastAsia" w:hAnsi="Palatino Linotype" w:cs="Arial"/>
          <w:sz w:val="24"/>
          <w:szCs w:val="24"/>
          <w:lang w:val="es-ES_tradnl" w:eastAsia="es-ES"/>
        </w:rPr>
        <w:t xml:space="preserve">, en términos del Considerando </w:t>
      </w:r>
      <w:r w:rsidRPr="00A93952">
        <w:rPr>
          <w:rFonts w:ascii="Palatino Linotype" w:eastAsiaTheme="minorEastAsia" w:hAnsi="Palatino Linotype" w:cs="Arial"/>
          <w:b/>
          <w:sz w:val="24"/>
          <w:szCs w:val="24"/>
          <w:lang w:val="es-ES_tradnl" w:eastAsia="es-ES"/>
        </w:rPr>
        <w:t>TERCERO</w:t>
      </w:r>
      <w:r w:rsidRPr="00BB53A0">
        <w:rPr>
          <w:rFonts w:ascii="Palatino Linotype" w:eastAsiaTheme="minorEastAsia" w:hAnsi="Palatino Linotype" w:cs="Arial"/>
          <w:sz w:val="24"/>
          <w:szCs w:val="24"/>
          <w:lang w:val="es-ES_tradnl" w:eastAsia="es-ES"/>
        </w:rPr>
        <w:t xml:space="preserve"> de la presente resolución.</w:t>
      </w:r>
    </w:p>
    <w:p w:rsidR="00BB53A0" w:rsidRPr="00BB53A0" w:rsidRDefault="00BB53A0" w:rsidP="00BB53A0">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BB53A0" w:rsidRPr="00BB53A0" w:rsidRDefault="00BB53A0" w:rsidP="00BB53A0">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BB53A0">
        <w:rPr>
          <w:rFonts w:ascii="Palatino Linotype" w:eastAsiaTheme="minorEastAsia" w:hAnsi="Palatino Linotype" w:cs="Arial"/>
          <w:b/>
          <w:sz w:val="28"/>
          <w:szCs w:val="24"/>
          <w:lang w:val="es-ES_tradnl" w:eastAsia="es-ES"/>
        </w:rPr>
        <w:t>SEGUNDO</w:t>
      </w:r>
      <w:r w:rsidRPr="00BB53A0">
        <w:rPr>
          <w:rFonts w:ascii="Palatino Linotype" w:eastAsiaTheme="minorEastAsia" w:hAnsi="Palatino Linotype" w:cs="Arial"/>
          <w:b/>
          <w:sz w:val="24"/>
          <w:szCs w:val="24"/>
          <w:lang w:val="es-ES_tradnl" w:eastAsia="es-ES"/>
        </w:rPr>
        <w:t>.</w:t>
      </w:r>
      <w:r w:rsidRPr="00BB53A0">
        <w:rPr>
          <w:rFonts w:ascii="Palatino Linotype" w:eastAsiaTheme="minorEastAsia" w:hAnsi="Palatino Linotype" w:cs="Arial"/>
          <w:sz w:val="24"/>
          <w:szCs w:val="24"/>
          <w:lang w:val="es-ES_tradnl" w:eastAsia="es-ES"/>
        </w:rPr>
        <w:t xml:space="preserve"> </w:t>
      </w:r>
      <w:r w:rsidRPr="00BB53A0">
        <w:rPr>
          <w:rFonts w:ascii="Palatino Linotype" w:eastAsiaTheme="minorEastAsia" w:hAnsi="Palatino Linotype" w:cs="Arial"/>
          <w:b/>
          <w:sz w:val="24"/>
          <w:szCs w:val="24"/>
          <w:lang w:val="es-ES_tradnl" w:eastAsia="es-ES"/>
        </w:rPr>
        <w:t>Notifíquese</w:t>
      </w:r>
      <w:r w:rsidRPr="00BB53A0">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BB53A0">
        <w:rPr>
          <w:rFonts w:ascii="Palatino Linotype" w:eastAsiaTheme="minorEastAsia" w:hAnsi="Palatino Linotype" w:cs="Arial"/>
          <w:b/>
          <w:sz w:val="24"/>
          <w:szCs w:val="24"/>
          <w:lang w:val="es-ES_tradnl" w:eastAsia="es-ES"/>
        </w:rPr>
        <w:t>Sujeto Obligado</w:t>
      </w:r>
      <w:r w:rsidRPr="00BB53A0">
        <w:rPr>
          <w:rFonts w:ascii="Palatino Linotype" w:eastAsiaTheme="minorEastAsia" w:hAnsi="Palatino Linotype" w:cs="Arial"/>
          <w:sz w:val="24"/>
          <w:szCs w:val="24"/>
          <w:lang w:val="es-ES_tradnl" w:eastAsia="es-ES"/>
        </w:rPr>
        <w:t>.</w:t>
      </w:r>
    </w:p>
    <w:p w:rsidR="00BB53A0" w:rsidRPr="00BB53A0" w:rsidRDefault="00BB53A0" w:rsidP="00BB53A0">
      <w:pPr>
        <w:spacing w:after="0" w:line="360" w:lineRule="auto"/>
        <w:jc w:val="both"/>
        <w:rPr>
          <w:rFonts w:ascii="Palatino Linotype" w:eastAsia="Times New Roman" w:hAnsi="Palatino Linotype" w:cs="Arial"/>
          <w:b/>
          <w:sz w:val="28"/>
          <w:szCs w:val="24"/>
          <w:lang w:val="es-ES" w:eastAsia="es-ES"/>
        </w:rPr>
      </w:pPr>
    </w:p>
    <w:p w:rsidR="00BB53A0" w:rsidRPr="00BB53A0" w:rsidRDefault="00BB53A0" w:rsidP="00BB53A0">
      <w:pPr>
        <w:spacing w:after="0" w:line="360" w:lineRule="auto"/>
        <w:jc w:val="both"/>
        <w:rPr>
          <w:rFonts w:ascii="Palatino Linotype" w:eastAsia="Times New Roman" w:hAnsi="Palatino Linotype" w:cs="Arial"/>
          <w:sz w:val="24"/>
          <w:szCs w:val="24"/>
          <w:lang w:val="es-ES" w:eastAsia="es-ES"/>
        </w:rPr>
      </w:pPr>
      <w:r w:rsidRPr="00BB53A0">
        <w:rPr>
          <w:rFonts w:ascii="Palatino Linotype" w:eastAsia="Times New Roman" w:hAnsi="Palatino Linotype" w:cs="Arial"/>
          <w:b/>
          <w:sz w:val="28"/>
          <w:szCs w:val="24"/>
          <w:lang w:val="es-ES" w:eastAsia="es-ES"/>
        </w:rPr>
        <w:lastRenderedPageBreak/>
        <w:t>TERCERO</w:t>
      </w:r>
      <w:r w:rsidRPr="00BB53A0">
        <w:rPr>
          <w:rFonts w:ascii="Palatino Linotype" w:eastAsia="Times New Roman" w:hAnsi="Palatino Linotype" w:cs="Arial"/>
          <w:b/>
          <w:sz w:val="24"/>
          <w:szCs w:val="24"/>
          <w:lang w:val="es-ES" w:eastAsia="es-ES"/>
        </w:rPr>
        <w:t>.</w:t>
      </w:r>
      <w:r w:rsidRPr="00BB53A0">
        <w:rPr>
          <w:rFonts w:ascii="Palatino Linotype" w:eastAsia="Times New Roman" w:hAnsi="Palatino Linotype" w:cs="Arial"/>
          <w:sz w:val="24"/>
          <w:szCs w:val="24"/>
          <w:lang w:val="es-ES" w:eastAsia="es-ES"/>
        </w:rPr>
        <w:t xml:space="preserve"> </w:t>
      </w:r>
      <w:r w:rsidRPr="00BB53A0">
        <w:rPr>
          <w:rFonts w:ascii="Palatino Linotype" w:eastAsia="Times New Roman" w:hAnsi="Palatino Linotype" w:cs="Arial"/>
          <w:b/>
          <w:sz w:val="24"/>
          <w:szCs w:val="24"/>
          <w:lang w:val="es-ES" w:eastAsia="es-ES"/>
        </w:rPr>
        <w:t>NOTIFÍQUESE</w:t>
      </w:r>
      <w:r w:rsidRPr="00BB53A0">
        <w:rPr>
          <w:rFonts w:ascii="Palatino Linotype" w:eastAsia="Times New Roman" w:hAnsi="Palatino Linotype" w:cs="Arial"/>
          <w:sz w:val="24"/>
          <w:szCs w:val="24"/>
          <w:lang w:val="es-ES" w:eastAsia="es-ES"/>
        </w:rPr>
        <w:t xml:space="preserve"> a través del</w:t>
      </w:r>
      <w:r w:rsidRPr="00BB53A0">
        <w:rPr>
          <w:rFonts w:ascii="Palatino Linotype" w:eastAsia="Times New Roman" w:hAnsi="Palatino Linotype" w:cs="Times New Roman"/>
          <w:sz w:val="24"/>
          <w:szCs w:val="24"/>
          <w:lang w:val="es-ES" w:eastAsia="es-ES"/>
        </w:rPr>
        <w:t xml:space="preserve"> Sistema de Acceso a la Información Mexiquense (SAIMEX)</w:t>
      </w:r>
      <w:r w:rsidRPr="00BB53A0">
        <w:rPr>
          <w:rFonts w:ascii="Palatino Linotype" w:eastAsia="Times New Roman" w:hAnsi="Palatino Linotype" w:cs="Arial"/>
          <w:sz w:val="24"/>
          <w:szCs w:val="24"/>
          <w:lang w:val="es-ES" w:eastAsia="es-ES"/>
        </w:rPr>
        <w:t xml:space="preserve">, a la </w:t>
      </w:r>
      <w:r w:rsidRPr="00BB53A0">
        <w:rPr>
          <w:rFonts w:ascii="Palatino Linotype" w:eastAsia="Times New Roman" w:hAnsi="Palatino Linotype" w:cs="Arial"/>
          <w:b/>
          <w:sz w:val="24"/>
          <w:szCs w:val="24"/>
          <w:lang w:val="es-ES" w:eastAsia="es-ES"/>
        </w:rPr>
        <w:t xml:space="preserve">Recurrente </w:t>
      </w:r>
      <w:r w:rsidRPr="00BB53A0">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516180" w:rsidRPr="00BB53A0" w:rsidRDefault="00516180" w:rsidP="00516180">
      <w:pPr>
        <w:spacing w:after="0" w:line="360" w:lineRule="auto"/>
        <w:jc w:val="both"/>
        <w:rPr>
          <w:rFonts w:ascii="Palatino Linotype" w:eastAsia="Times New Roman" w:hAnsi="Palatino Linotype" w:cs="Arial"/>
          <w:sz w:val="24"/>
          <w:szCs w:val="24"/>
          <w:lang w:val="es-ES" w:eastAsia="es-ES"/>
        </w:rPr>
      </w:pPr>
    </w:p>
    <w:p w:rsidR="00516180" w:rsidRDefault="00516180" w:rsidP="00516180">
      <w:pPr>
        <w:spacing w:after="0" w:line="360" w:lineRule="auto"/>
        <w:jc w:val="both"/>
        <w:rPr>
          <w:rFonts w:ascii="Palatino Linotype" w:eastAsia="Times New Roman" w:hAnsi="Palatino Linotype" w:cs="Arial"/>
          <w:sz w:val="24"/>
          <w:szCs w:val="24"/>
          <w:lang w:eastAsia="es-ES"/>
        </w:rPr>
      </w:pP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491D27">
        <w:rPr>
          <w:rFonts w:ascii="Palatino Linotype" w:hAnsi="Palatino Linotype" w:cs="Arial"/>
          <w:sz w:val="24"/>
          <w:szCs w:val="24"/>
        </w:rPr>
        <w:t xml:space="preserve">TRIGÉSIMA </w:t>
      </w:r>
      <w:r w:rsidRPr="00CB45F6">
        <w:rPr>
          <w:rFonts w:ascii="Palatino Linotype" w:hAnsi="Palatino Linotype" w:cs="Arial"/>
          <w:sz w:val="24"/>
          <w:szCs w:val="24"/>
        </w:rPr>
        <w:t xml:space="preserve">SESIÓN ORDINARIA CELEBRADA EL </w:t>
      </w:r>
      <w:r w:rsidR="00491D27">
        <w:rPr>
          <w:rFonts w:ascii="Palatino Linotype" w:hAnsi="Palatino Linotype" w:cs="Arial"/>
          <w:sz w:val="24"/>
          <w:szCs w:val="24"/>
        </w:rPr>
        <w:t xml:space="preserve">VEINTICUATRO DE AGOSTO </w:t>
      </w:r>
      <w:r w:rsidRPr="00CB45F6">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CB45F6">
        <w:rPr>
          <w:rFonts w:ascii="Palatino Linotype" w:hAnsi="Palatino Linotype" w:cs="Arial"/>
          <w:sz w:val="24"/>
          <w:szCs w:val="24"/>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Pr="00CB45F6" w:rsidRDefault="00516180" w:rsidP="005161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516180" w:rsidRPr="00434661" w:rsidRDefault="00516180" w:rsidP="00516180">
      <w:pPr>
        <w:spacing w:after="0" w:line="360" w:lineRule="auto"/>
        <w:jc w:val="both"/>
        <w:rPr>
          <w:rFonts w:ascii="Palatino Linotype" w:hAnsi="Palatino Linotype" w:cs="Arial"/>
          <w:sz w:val="20"/>
        </w:rPr>
      </w:pPr>
      <w:r>
        <w:rPr>
          <w:rFonts w:ascii="Palatino Linotype" w:hAnsi="Palatino Linotype" w:cs="Arial"/>
          <w:sz w:val="20"/>
        </w:rPr>
        <w:t>CCR/</w:t>
      </w:r>
    </w:p>
    <w:p w:rsidR="00516180" w:rsidRPr="00434661" w:rsidRDefault="00516180" w:rsidP="00516180">
      <w:pPr>
        <w:spacing w:after="0" w:line="360" w:lineRule="auto"/>
        <w:jc w:val="both"/>
        <w:rPr>
          <w:rFonts w:ascii="Palatino Linotype" w:hAnsi="Palatino Linotype" w:cs="Arial"/>
          <w:sz w:val="24"/>
          <w:szCs w:val="24"/>
        </w:rPr>
      </w:pPr>
    </w:p>
    <w:p w:rsidR="00516180" w:rsidRPr="00434661" w:rsidRDefault="00516180" w:rsidP="00516180">
      <w:pPr>
        <w:spacing w:after="0" w:line="360" w:lineRule="auto"/>
        <w:jc w:val="both"/>
        <w:rPr>
          <w:rFonts w:ascii="Palatino Linotype" w:hAnsi="Palatino Linotype" w:cs="Arial"/>
          <w:sz w:val="24"/>
          <w:szCs w:val="24"/>
        </w:rPr>
      </w:pPr>
    </w:p>
    <w:p w:rsidR="00516180" w:rsidRPr="00434661" w:rsidRDefault="00516180" w:rsidP="00516180">
      <w:pPr>
        <w:spacing w:after="0" w:line="360" w:lineRule="auto"/>
        <w:jc w:val="both"/>
        <w:rPr>
          <w:rFonts w:ascii="Palatino Linotype" w:hAnsi="Palatino Linotype" w:cs="Arial"/>
          <w:sz w:val="24"/>
          <w:szCs w:val="24"/>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Pr="00434661" w:rsidRDefault="00516180" w:rsidP="00516180">
      <w:pPr>
        <w:spacing w:after="0"/>
        <w:rPr>
          <w:rFonts w:ascii="Palatino Linotype" w:hAnsi="Palatino Linotype"/>
        </w:rPr>
      </w:pPr>
    </w:p>
    <w:p w:rsidR="00516180" w:rsidRDefault="00516180" w:rsidP="00516180">
      <w:pPr>
        <w:spacing w:after="0"/>
      </w:pPr>
    </w:p>
    <w:p w:rsidR="00516180" w:rsidRDefault="00516180" w:rsidP="00516180">
      <w:pPr>
        <w:spacing w:after="0"/>
      </w:pPr>
    </w:p>
    <w:p w:rsidR="00516180" w:rsidRDefault="00516180" w:rsidP="00516180">
      <w:pPr>
        <w:spacing w:after="0"/>
      </w:pPr>
    </w:p>
    <w:p w:rsidR="00EF5006" w:rsidRDefault="00A7675D"/>
    <w:sectPr w:rsidR="00EF5006" w:rsidSect="000770A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5D" w:rsidRDefault="00A7675D" w:rsidP="00516180">
      <w:pPr>
        <w:spacing w:after="0" w:line="240" w:lineRule="auto"/>
      </w:pPr>
      <w:r>
        <w:separator/>
      </w:r>
    </w:p>
  </w:endnote>
  <w:endnote w:type="continuationSeparator" w:id="0">
    <w:p w:rsidR="00A7675D" w:rsidRDefault="00A7675D" w:rsidP="0051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A0971" w:rsidRPr="002D6DD8" w:rsidRDefault="007F6156" w:rsidP="000770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0E3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0E36">
              <w:rPr>
                <w:rFonts w:ascii="Palatino Linotype" w:hAnsi="Palatino Linotype"/>
                <w:bCs/>
                <w:noProof/>
                <w:sz w:val="20"/>
              </w:rPr>
              <w:t>22</w:t>
            </w:r>
            <w:r>
              <w:rPr>
                <w:rFonts w:ascii="Palatino Linotype" w:hAnsi="Palatino Linotype"/>
                <w:bCs/>
                <w:noProof/>
                <w:sz w:val="20"/>
              </w:rPr>
              <w:fldChar w:fldCharType="end"/>
            </w:r>
          </w:p>
        </w:sdtContent>
      </w:sdt>
    </w:sdtContent>
  </w:sdt>
  <w:p w:rsidR="004A0971" w:rsidRDefault="00A7675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71" w:rsidRPr="000B69FA" w:rsidRDefault="007F6156" w:rsidP="000770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0E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0E36">
      <w:rPr>
        <w:rFonts w:ascii="Palatino Linotype" w:hAnsi="Palatino Linotype"/>
        <w:bCs/>
        <w:noProof/>
        <w:sz w:val="20"/>
      </w:rPr>
      <w:t>22</w:t>
    </w:r>
    <w:r>
      <w:rPr>
        <w:rFonts w:ascii="Palatino Linotype" w:hAnsi="Palatino Linotype"/>
        <w:bCs/>
        <w:noProof/>
        <w:sz w:val="20"/>
      </w:rPr>
      <w:fldChar w:fldCharType="end"/>
    </w:r>
  </w:p>
  <w:p w:rsidR="004A0971" w:rsidRDefault="00A767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5D" w:rsidRDefault="00A7675D" w:rsidP="00516180">
      <w:pPr>
        <w:spacing w:after="0" w:line="240" w:lineRule="auto"/>
      </w:pPr>
      <w:r>
        <w:separator/>
      </w:r>
    </w:p>
  </w:footnote>
  <w:footnote w:type="continuationSeparator" w:id="0">
    <w:p w:rsidR="00A7675D" w:rsidRDefault="00A7675D" w:rsidP="00516180">
      <w:pPr>
        <w:spacing w:after="0" w:line="240" w:lineRule="auto"/>
      </w:pPr>
      <w:r>
        <w:continuationSeparator/>
      </w:r>
    </w:p>
  </w:footnote>
  <w:footnote w:id="1">
    <w:p w:rsidR="00F4431F" w:rsidRPr="009535FD" w:rsidRDefault="00F4431F" w:rsidP="00F4431F">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F4431F" w:rsidRPr="009535FD" w:rsidRDefault="00F4431F" w:rsidP="00F4431F">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A0971" w:rsidTr="000770A7">
      <w:trPr>
        <w:trHeight w:val="227"/>
      </w:trPr>
      <w:tc>
        <w:tcPr>
          <w:tcW w:w="5246" w:type="dxa"/>
          <w:hideMark/>
        </w:tcPr>
        <w:p w:rsidR="004A0971" w:rsidRPr="00641471" w:rsidRDefault="007F6156" w:rsidP="000770A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4A0971" w:rsidRPr="00641471" w:rsidRDefault="007F6156" w:rsidP="0051618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w:t>
          </w:r>
          <w:r w:rsidR="00516180">
            <w:rPr>
              <w:rFonts w:ascii="Palatino Linotype" w:hAnsi="Palatino Linotype" w:cs="Arial"/>
              <w:b/>
              <w:bCs/>
              <w:sz w:val="24"/>
              <w:lang w:eastAsia="es-MX"/>
            </w:rPr>
            <w:t>635/INFOEM/IP/RR/2022</w:t>
          </w:r>
        </w:p>
      </w:tc>
    </w:tr>
    <w:tr w:rsidR="004A0971" w:rsidTr="000770A7">
      <w:trPr>
        <w:trHeight w:val="242"/>
      </w:trPr>
      <w:tc>
        <w:tcPr>
          <w:tcW w:w="5246" w:type="dxa"/>
          <w:hideMark/>
        </w:tcPr>
        <w:p w:rsidR="004A0971" w:rsidRPr="00641471" w:rsidRDefault="007F6156" w:rsidP="000770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4A0971" w:rsidRPr="00641471" w:rsidRDefault="00516180" w:rsidP="000770A7">
          <w:pPr>
            <w:spacing w:after="120" w:line="256" w:lineRule="auto"/>
            <w:ind w:left="-486" w:right="214" w:firstLine="284"/>
            <w:jc w:val="right"/>
            <w:rPr>
              <w:rFonts w:ascii="Palatino Linotype" w:hAnsi="Palatino Linotype" w:cs="Arial"/>
              <w:b/>
              <w:szCs w:val="20"/>
            </w:rPr>
          </w:pPr>
          <w:r w:rsidRPr="00516180">
            <w:rPr>
              <w:rFonts w:ascii="Palatino Linotype" w:hAnsi="Palatino Linotype" w:cs="Arial"/>
              <w:b/>
              <w:szCs w:val="20"/>
            </w:rPr>
            <w:t>Ayuntamiento de Atizapán de Zaragoza</w:t>
          </w:r>
        </w:p>
      </w:tc>
    </w:tr>
    <w:tr w:rsidR="004A0971" w:rsidTr="000770A7">
      <w:trPr>
        <w:trHeight w:val="342"/>
      </w:trPr>
      <w:tc>
        <w:tcPr>
          <w:tcW w:w="5246" w:type="dxa"/>
          <w:hideMark/>
        </w:tcPr>
        <w:p w:rsidR="004A0971" w:rsidRPr="00641471" w:rsidRDefault="007F6156" w:rsidP="000770A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4A0971" w:rsidRPr="00641471" w:rsidRDefault="007F6156" w:rsidP="000770A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4A0971" w:rsidRPr="00AE046A" w:rsidRDefault="007F6156" w:rsidP="000770A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2C41864" wp14:editId="07E87C7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A0971" w:rsidTr="000770A7">
      <w:trPr>
        <w:trHeight w:val="227"/>
      </w:trPr>
      <w:tc>
        <w:tcPr>
          <w:tcW w:w="5104" w:type="dxa"/>
          <w:hideMark/>
        </w:tcPr>
        <w:p w:rsidR="004A0971" w:rsidRPr="00641471" w:rsidRDefault="007F6156" w:rsidP="000770A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4A0971" w:rsidRPr="00641471" w:rsidRDefault="007F6156" w:rsidP="0051618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w:t>
          </w:r>
          <w:r w:rsidR="00516180">
            <w:rPr>
              <w:rFonts w:ascii="Palatino Linotype" w:hAnsi="Palatino Linotype" w:cs="Arial"/>
              <w:b/>
              <w:bCs/>
              <w:sz w:val="24"/>
              <w:lang w:eastAsia="es-MX"/>
            </w:rPr>
            <w:t>63</w:t>
          </w:r>
          <w:r>
            <w:rPr>
              <w:rFonts w:ascii="Palatino Linotype" w:hAnsi="Palatino Linotype" w:cs="Arial"/>
              <w:b/>
              <w:bCs/>
              <w:sz w:val="24"/>
              <w:lang w:eastAsia="es-MX"/>
            </w:rPr>
            <w:t>5/INFOEM/IP/RR/2022</w:t>
          </w:r>
        </w:p>
      </w:tc>
    </w:tr>
    <w:tr w:rsidR="004A0971" w:rsidTr="000770A7">
      <w:trPr>
        <w:trHeight w:val="242"/>
      </w:trPr>
      <w:tc>
        <w:tcPr>
          <w:tcW w:w="5104" w:type="dxa"/>
          <w:hideMark/>
        </w:tcPr>
        <w:p w:rsidR="004A0971" w:rsidRPr="00641471" w:rsidRDefault="007F6156" w:rsidP="000770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4A0971" w:rsidRPr="00641471" w:rsidRDefault="00516180" w:rsidP="000770A7">
          <w:pPr>
            <w:spacing w:after="120" w:line="256" w:lineRule="auto"/>
            <w:ind w:left="-486" w:right="214" w:firstLine="284"/>
            <w:jc w:val="right"/>
            <w:rPr>
              <w:rFonts w:ascii="Palatino Linotype" w:hAnsi="Palatino Linotype" w:cs="Arial"/>
              <w:b/>
              <w:szCs w:val="20"/>
            </w:rPr>
          </w:pPr>
          <w:r w:rsidRPr="00516180">
            <w:rPr>
              <w:rFonts w:ascii="Palatino Linotype" w:hAnsi="Palatino Linotype" w:cs="Arial"/>
              <w:b/>
              <w:szCs w:val="20"/>
            </w:rPr>
            <w:t>Ayuntamiento de Atizapán de Zaragoza</w:t>
          </w:r>
        </w:p>
      </w:tc>
    </w:tr>
    <w:tr w:rsidR="004A0971" w:rsidTr="000770A7">
      <w:trPr>
        <w:trHeight w:val="342"/>
      </w:trPr>
      <w:tc>
        <w:tcPr>
          <w:tcW w:w="5104" w:type="dxa"/>
        </w:tcPr>
        <w:p w:rsidR="004A0971" w:rsidRPr="00641471" w:rsidRDefault="007F6156" w:rsidP="000770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4A0971" w:rsidRPr="00641471" w:rsidRDefault="007F6156" w:rsidP="000770A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F1892C6" wp14:editId="0CC3853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60E36">
            <w:rPr>
              <w:rFonts w:ascii="Palatino Linotype" w:hAnsi="Palatino Linotype" w:cs="Arial"/>
              <w:b/>
            </w:rPr>
            <w:t>XXXXXXXXXXXXXXXXXXXX</w:t>
          </w:r>
        </w:p>
      </w:tc>
    </w:tr>
    <w:tr w:rsidR="004A0971" w:rsidTr="000770A7">
      <w:trPr>
        <w:trHeight w:val="342"/>
      </w:trPr>
      <w:tc>
        <w:tcPr>
          <w:tcW w:w="5104" w:type="dxa"/>
        </w:tcPr>
        <w:p w:rsidR="004A0971" w:rsidRPr="00641471" w:rsidRDefault="007F6156" w:rsidP="000770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4A0971" w:rsidRPr="00641471" w:rsidRDefault="007F6156" w:rsidP="000770A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4A0971" w:rsidRPr="00C222C0" w:rsidRDefault="00A7675D">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7"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900B59"/>
    <w:multiLevelType w:val="hybridMultilevel"/>
    <w:tmpl w:val="4C523F3E"/>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18A71E3"/>
    <w:multiLevelType w:val="hybridMultilevel"/>
    <w:tmpl w:val="4C523F3E"/>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11"/>
  </w:num>
  <w:num w:numId="5">
    <w:abstractNumId w:val="17"/>
  </w:num>
  <w:num w:numId="6">
    <w:abstractNumId w:val="8"/>
  </w:num>
  <w:num w:numId="7">
    <w:abstractNumId w:val="1"/>
  </w:num>
  <w:num w:numId="8">
    <w:abstractNumId w:val="3"/>
  </w:num>
  <w:num w:numId="9">
    <w:abstractNumId w:val="2"/>
  </w:num>
  <w:num w:numId="10">
    <w:abstractNumId w:val="15"/>
  </w:num>
  <w:num w:numId="11">
    <w:abstractNumId w:val="13"/>
  </w:num>
  <w:num w:numId="12">
    <w:abstractNumId w:val="6"/>
  </w:num>
  <w:num w:numId="13">
    <w:abstractNumId w:val="4"/>
  </w:num>
  <w:num w:numId="14">
    <w:abstractNumId w:val="0"/>
  </w:num>
  <w:num w:numId="15">
    <w:abstractNumId w:val="16"/>
  </w:num>
  <w:num w:numId="16">
    <w:abstractNumId w:val="1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80"/>
    <w:rsid w:val="00036F8B"/>
    <w:rsid w:val="0005540D"/>
    <w:rsid w:val="00073CC4"/>
    <w:rsid w:val="00123996"/>
    <w:rsid w:val="00235686"/>
    <w:rsid w:val="0028018B"/>
    <w:rsid w:val="003058D5"/>
    <w:rsid w:val="00375028"/>
    <w:rsid w:val="00491D27"/>
    <w:rsid w:val="004A6F81"/>
    <w:rsid w:val="004B10D1"/>
    <w:rsid w:val="00516180"/>
    <w:rsid w:val="005E2291"/>
    <w:rsid w:val="005F2E8B"/>
    <w:rsid w:val="00646BCC"/>
    <w:rsid w:val="00660E36"/>
    <w:rsid w:val="00661D65"/>
    <w:rsid w:val="00764336"/>
    <w:rsid w:val="007F6156"/>
    <w:rsid w:val="008352D3"/>
    <w:rsid w:val="00A7675D"/>
    <w:rsid w:val="00A93952"/>
    <w:rsid w:val="00AF3D45"/>
    <w:rsid w:val="00BB53A0"/>
    <w:rsid w:val="00CB1445"/>
    <w:rsid w:val="00D113A5"/>
    <w:rsid w:val="00D77A4D"/>
    <w:rsid w:val="00DF2E24"/>
    <w:rsid w:val="00F4431F"/>
    <w:rsid w:val="00FB5D6C"/>
    <w:rsid w:val="00FD33A5"/>
    <w:rsid w:val="00FD6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961AB"/>
  <w15:chartTrackingRefBased/>
  <w15:docId w15:val="{B18247A8-D55B-44DD-91F0-013DD3EF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61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161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161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161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61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61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16180"/>
  </w:style>
  <w:style w:type="character" w:styleId="Hipervnculo">
    <w:name w:val="Hyperlink"/>
    <w:basedOn w:val="Fuentedeprrafopredeter"/>
    <w:uiPriority w:val="99"/>
    <w:unhideWhenUsed/>
    <w:rsid w:val="0051618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16180"/>
    <w:rPr>
      <w:vertAlign w:val="superscript"/>
    </w:rPr>
  </w:style>
  <w:style w:type="paragraph" w:styleId="Textonotapie">
    <w:name w:val="footnote text"/>
    <w:basedOn w:val="Normal"/>
    <w:link w:val="TextonotapieCar"/>
    <w:uiPriority w:val="99"/>
    <w:unhideWhenUsed/>
    <w:rsid w:val="00516180"/>
    <w:pPr>
      <w:spacing w:after="0" w:line="240" w:lineRule="auto"/>
    </w:pPr>
    <w:rPr>
      <w:sz w:val="20"/>
      <w:szCs w:val="20"/>
    </w:rPr>
  </w:style>
  <w:style w:type="character" w:customStyle="1" w:styleId="TextonotapieCar">
    <w:name w:val="Texto nota pie Car"/>
    <w:basedOn w:val="Fuentedeprrafopredeter"/>
    <w:link w:val="Textonotapie"/>
    <w:uiPriority w:val="99"/>
    <w:rsid w:val="00516180"/>
    <w:rPr>
      <w:sz w:val="20"/>
      <w:szCs w:val="20"/>
    </w:rPr>
  </w:style>
  <w:style w:type="table" w:styleId="Tablaconcuadrcula">
    <w:name w:val="Table Grid"/>
    <w:basedOn w:val="Tablanormal"/>
    <w:uiPriority w:val="39"/>
    <w:rsid w:val="0051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62988">
      <w:bodyDiv w:val="1"/>
      <w:marLeft w:val="0"/>
      <w:marRight w:val="0"/>
      <w:marTop w:val="0"/>
      <w:marBottom w:val="0"/>
      <w:divBdr>
        <w:top w:val="none" w:sz="0" w:space="0" w:color="auto"/>
        <w:left w:val="none" w:sz="0" w:space="0" w:color="auto"/>
        <w:bottom w:val="none" w:sz="0" w:space="0" w:color="auto"/>
        <w:right w:val="none" w:sz="0" w:space="0" w:color="auto"/>
      </w:divBdr>
    </w:div>
    <w:div w:id="510336635">
      <w:bodyDiv w:val="1"/>
      <w:marLeft w:val="0"/>
      <w:marRight w:val="0"/>
      <w:marTop w:val="0"/>
      <w:marBottom w:val="0"/>
      <w:divBdr>
        <w:top w:val="none" w:sz="0" w:space="0" w:color="auto"/>
        <w:left w:val="none" w:sz="0" w:space="0" w:color="auto"/>
        <w:bottom w:val="none" w:sz="0" w:space="0" w:color="auto"/>
        <w:right w:val="none" w:sz="0" w:space="0" w:color="auto"/>
      </w:divBdr>
    </w:div>
    <w:div w:id="7468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22</Pages>
  <Words>5926</Words>
  <Characters>32599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21</cp:revision>
  <dcterms:created xsi:type="dcterms:W3CDTF">2022-07-12T20:45:00Z</dcterms:created>
  <dcterms:modified xsi:type="dcterms:W3CDTF">2022-09-11T06:04:00Z</dcterms:modified>
</cp:coreProperties>
</file>