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Pr="00CF1D3C" w:rsidRDefault="009F09BC" w:rsidP="000D0DB4">
      <w:pPr>
        <w:tabs>
          <w:tab w:val="left" w:pos="3465"/>
        </w:tabs>
        <w:spacing w:line="360" w:lineRule="auto"/>
        <w:jc w:val="both"/>
        <w:rPr>
          <w:rFonts w:ascii="Palatino Linotype" w:hAnsi="Palatino Linotype"/>
        </w:rPr>
      </w:pPr>
      <w:r w:rsidRPr="00CF1D3C">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8A2152" w:rsidRPr="00CF1D3C">
        <w:rPr>
          <w:rFonts w:ascii="Palatino Linotype" w:hAnsi="Palatino Linotype"/>
        </w:rPr>
        <w:t>veint</w:t>
      </w:r>
      <w:r w:rsidR="00185B89" w:rsidRPr="00CF1D3C">
        <w:rPr>
          <w:rFonts w:ascii="Palatino Linotype" w:hAnsi="Palatino Linotype"/>
        </w:rPr>
        <w:t>iocho</w:t>
      </w:r>
      <w:r w:rsidR="005324B7" w:rsidRPr="00CF1D3C">
        <w:rPr>
          <w:rFonts w:ascii="Palatino Linotype" w:hAnsi="Palatino Linotype"/>
        </w:rPr>
        <w:t xml:space="preserve"> (</w:t>
      </w:r>
      <w:r w:rsidR="008A2152" w:rsidRPr="00CF1D3C">
        <w:rPr>
          <w:rFonts w:ascii="Palatino Linotype" w:hAnsi="Palatino Linotype"/>
        </w:rPr>
        <w:t>2</w:t>
      </w:r>
      <w:r w:rsidR="00185B89" w:rsidRPr="00CF1D3C">
        <w:rPr>
          <w:rFonts w:ascii="Palatino Linotype" w:hAnsi="Palatino Linotype"/>
        </w:rPr>
        <w:t>8</w:t>
      </w:r>
      <w:r w:rsidRPr="00CF1D3C">
        <w:rPr>
          <w:rFonts w:ascii="Palatino Linotype" w:hAnsi="Palatino Linotype"/>
        </w:rPr>
        <w:t xml:space="preserve">) de </w:t>
      </w:r>
      <w:r w:rsidR="00185B89" w:rsidRPr="00CF1D3C">
        <w:rPr>
          <w:rFonts w:ascii="Palatino Linotype" w:hAnsi="Palatino Linotype"/>
        </w:rPr>
        <w:t>septiembre</w:t>
      </w:r>
      <w:r w:rsidR="00DD5A5A" w:rsidRPr="00CF1D3C">
        <w:rPr>
          <w:rFonts w:ascii="Palatino Linotype" w:hAnsi="Palatino Linotype"/>
        </w:rPr>
        <w:t xml:space="preserve"> de dos mil </w:t>
      </w:r>
      <w:r w:rsidR="006E78B2" w:rsidRPr="00CF1D3C">
        <w:rPr>
          <w:rFonts w:ascii="Palatino Linotype" w:hAnsi="Palatino Linotype"/>
        </w:rPr>
        <w:t>veintidós</w:t>
      </w:r>
      <w:r w:rsidRPr="00CF1D3C">
        <w:rPr>
          <w:rFonts w:ascii="Palatino Linotype" w:hAnsi="Palatino Linotype"/>
        </w:rPr>
        <w:t>.</w:t>
      </w:r>
    </w:p>
    <w:p w:rsidR="00325454" w:rsidRPr="00CF1D3C" w:rsidRDefault="00325454" w:rsidP="000D0DB4">
      <w:pPr>
        <w:tabs>
          <w:tab w:val="left" w:pos="3465"/>
        </w:tabs>
        <w:spacing w:line="360" w:lineRule="auto"/>
        <w:jc w:val="both"/>
        <w:rPr>
          <w:rFonts w:ascii="Palatino Linotype" w:hAnsi="Palatino Linotype"/>
        </w:rPr>
      </w:pPr>
    </w:p>
    <w:p w:rsidR="009F09BC" w:rsidRPr="00CF1D3C" w:rsidRDefault="009F09BC" w:rsidP="000D0DB4">
      <w:pPr>
        <w:spacing w:line="360" w:lineRule="auto"/>
        <w:jc w:val="both"/>
        <w:rPr>
          <w:rFonts w:ascii="Palatino Linotype" w:hAnsi="Palatino Linotype"/>
        </w:rPr>
      </w:pPr>
      <w:r w:rsidRPr="00CF1D3C">
        <w:rPr>
          <w:rFonts w:ascii="Palatino Linotype" w:hAnsi="Palatino Linotype"/>
          <w:b/>
        </w:rPr>
        <w:t>VISTOS</w:t>
      </w:r>
      <w:r w:rsidRPr="00CF1D3C">
        <w:rPr>
          <w:rFonts w:ascii="Palatino Linotype" w:hAnsi="Palatino Linotype"/>
        </w:rPr>
        <w:t xml:space="preserve"> los expedientes electrónicos formados con motivo de los recursos de revisión acumulados</w:t>
      </w:r>
      <w:r w:rsidR="00511AE7" w:rsidRPr="00CF1D3C">
        <w:rPr>
          <w:rFonts w:ascii="Palatino Linotype" w:hAnsi="Palatino Linotype"/>
        </w:rPr>
        <w:t xml:space="preserve"> </w:t>
      </w:r>
      <w:r w:rsidR="00185B89" w:rsidRPr="00CF1D3C">
        <w:rPr>
          <w:rFonts w:ascii="Palatino Linotype" w:hAnsi="Palatino Linotype"/>
          <w:b/>
        </w:rPr>
        <w:t>12308/INFOEM/IP/RR/2022, 1230</w:t>
      </w:r>
      <w:r w:rsidR="00AB09F8" w:rsidRPr="00CF1D3C">
        <w:rPr>
          <w:rFonts w:ascii="Palatino Linotype" w:hAnsi="Palatino Linotype"/>
          <w:b/>
        </w:rPr>
        <w:t xml:space="preserve">9/INFOEM/IP/RR/2022, </w:t>
      </w:r>
      <w:r w:rsidR="00185B89" w:rsidRPr="00CF1D3C">
        <w:rPr>
          <w:rFonts w:ascii="Palatino Linotype" w:hAnsi="Palatino Linotype"/>
          <w:b/>
        </w:rPr>
        <w:t>12310</w:t>
      </w:r>
      <w:r w:rsidR="00AB09F8" w:rsidRPr="00CF1D3C">
        <w:rPr>
          <w:rFonts w:ascii="Palatino Linotype" w:hAnsi="Palatino Linotype"/>
          <w:b/>
        </w:rPr>
        <w:t>/INFOEM/IP/RR</w:t>
      </w:r>
      <w:r w:rsidR="00025299" w:rsidRPr="00CF1D3C">
        <w:rPr>
          <w:rFonts w:ascii="Palatino Linotype" w:hAnsi="Palatino Linotype"/>
          <w:b/>
        </w:rPr>
        <w:t>/2022</w:t>
      </w:r>
      <w:r w:rsidRPr="00CF1D3C">
        <w:rPr>
          <w:rFonts w:ascii="Palatino Linotype" w:hAnsi="Palatino Linotype" w:cs="Arial"/>
          <w:b/>
          <w:bCs/>
        </w:rPr>
        <w:t xml:space="preserve"> </w:t>
      </w:r>
      <w:r w:rsidR="00025299" w:rsidRPr="00CF1D3C">
        <w:rPr>
          <w:rFonts w:ascii="Palatino Linotype" w:hAnsi="Palatino Linotype" w:cs="Arial"/>
          <w:bCs/>
        </w:rPr>
        <w:t>y</w:t>
      </w:r>
      <w:r w:rsidR="00025299" w:rsidRPr="00CF1D3C">
        <w:rPr>
          <w:rFonts w:ascii="Palatino Linotype" w:hAnsi="Palatino Linotype" w:cs="Arial"/>
          <w:b/>
          <w:bCs/>
        </w:rPr>
        <w:t xml:space="preserve"> </w:t>
      </w:r>
      <w:r w:rsidR="00185B89" w:rsidRPr="00CF1D3C">
        <w:rPr>
          <w:rFonts w:ascii="Palatino Linotype" w:hAnsi="Palatino Linotype"/>
          <w:b/>
        </w:rPr>
        <w:t>12311</w:t>
      </w:r>
      <w:r w:rsidR="00025299" w:rsidRPr="00CF1D3C">
        <w:rPr>
          <w:rFonts w:ascii="Palatino Linotype" w:hAnsi="Palatino Linotype"/>
          <w:b/>
        </w:rPr>
        <w:t>/INFOEM/IP/RR/2022</w:t>
      </w:r>
      <w:r w:rsidR="00025299" w:rsidRPr="00CF1D3C">
        <w:rPr>
          <w:rFonts w:ascii="Palatino Linotype" w:hAnsi="Palatino Linotype" w:cs="Arial"/>
          <w:b/>
          <w:bCs/>
        </w:rPr>
        <w:t xml:space="preserve"> </w:t>
      </w:r>
      <w:r w:rsidRPr="00CF1D3C">
        <w:rPr>
          <w:rFonts w:ascii="Palatino Linotype" w:hAnsi="Palatino Linotype"/>
        </w:rPr>
        <w:t xml:space="preserve">promovidos por </w:t>
      </w:r>
      <w:r w:rsidR="00CF1D3C" w:rsidRPr="00CF1D3C">
        <w:rPr>
          <w:rFonts w:ascii="Palatino Linotype" w:hAnsi="Palatino Linotype"/>
          <w:b/>
        </w:rPr>
        <w:t>XXXXX XXXX XXXXXX</w:t>
      </w:r>
      <w:r w:rsidRPr="00CF1D3C">
        <w:rPr>
          <w:rFonts w:ascii="Palatino Linotype" w:hAnsi="Palatino Linotype"/>
        </w:rPr>
        <w:t xml:space="preserve">, a quien en lo sucesivo se le identificará como </w:t>
      </w:r>
      <w:r w:rsidR="00E12D42" w:rsidRPr="00CF1D3C">
        <w:rPr>
          <w:rFonts w:ascii="Palatino Linotype" w:hAnsi="Palatino Linotype"/>
          <w:b/>
        </w:rPr>
        <w:t>EL RECURRENTE</w:t>
      </w:r>
      <w:r w:rsidRPr="00CF1D3C">
        <w:rPr>
          <w:rFonts w:ascii="Palatino Linotype" w:hAnsi="Palatino Linotype" w:cs="Arial"/>
        </w:rPr>
        <w:t>, en contra de las respuestas de</w:t>
      </w:r>
      <w:r w:rsidR="00185B89" w:rsidRPr="00CF1D3C">
        <w:rPr>
          <w:rFonts w:ascii="Palatino Linotype" w:hAnsi="Palatino Linotype" w:cs="Arial"/>
        </w:rPr>
        <w:t xml:space="preserve"> </w:t>
      </w:r>
      <w:r w:rsidR="00AA2C54" w:rsidRPr="00CF1D3C">
        <w:rPr>
          <w:rFonts w:ascii="Palatino Linotype" w:hAnsi="Palatino Linotype" w:cs="Arial"/>
        </w:rPr>
        <w:t>l</w:t>
      </w:r>
      <w:r w:rsidR="00185B89" w:rsidRPr="00CF1D3C">
        <w:rPr>
          <w:rFonts w:ascii="Palatino Linotype" w:hAnsi="Palatino Linotype" w:cs="Arial"/>
        </w:rPr>
        <w:t>a</w:t>
      </w:r>
      <w:r w:rsidRPr="00CF1D3C">
        <w:rPr>
          <w:rFonts w:ascii="Palatino Linotype" w:hAnsi="Palatino Linotype" w:cs="Arial"/>
        </w:rPr>
        <w:t xml:space="preserve"> </w:t>
      </w:r>
      <w:r w:rsidR="00185B89" w:rsidRPr="00CF1D3C">
        <w:rPr>
          <w:rFonts w:ascii="Palatino Linotype" w:hAnsi="Palatino Linotype" w:cs="Arial"/>
          <w:b/>
        </w:rPr>
        <w:t>Secretaría de Movilidad</w:t>
      </w:r>
      <w:r w:rsidRPr="00CF1D3C">
        <w:rPr>
          <w:rFonts w:ascii="Palatino Linotype" w:hAnsi="Palatino Linotype" w:cs="Arial"/>
          <w:b/>
        </w:rPr>
        <w:t>,</w:t>
      </w:r>
      <w:r w:rsidRPr="00CF1D3C">
        <w:rPr>
          <w:rFonts w:ascii="Palatino Linotype" w:hAnsi="Palatino Linotype"/>
          <w:b/>
        </w:rPr>
        <w:t xml:space="preserve"> </w:t>
      </w:r>
      <w:r w:rsidRPr="00CF1D3C">
        <w:rPr>
          <w:rFonts w:ascii="Palatino Linotype" w:hAnsi="Palatino Linotype"/>
        </w:rPr>
        <w:t>en lo sucesivo el</w:t>
      </w:r>
      <w:r w:rsidRPr="00CF1D3C">
        <w:rPr>
          <w:rFonts w:ascii="Palatino Linotype" w:hAnsi="Palatino Linotype"/>
          <w:b/>
        </w:rPr>
        <w:t xml:space="preserve"> SUJETO OBLIGADO</w:t>
      </w:r>
      <w:r w:rsidRPr="00CF1D3C">
        <w:rPr>
          <w:rFonts w:ascii="Palatino Linotype" w:hAnsi="Palatino Linotype"/>
        </w:rPr>
        <w:t xml:space="preserve">, </w:t>
      </w:r>
      <w:r w:rsidR="004A0952" w:rsidRPr="00CF1D3C">
        <w:rPr>
          <w:rFonts w:ascii="Palatino Linotype" w:hAnsi="Palatino Linotype"/>
        </w:rPr>
        <w:t xml:space="preserve">por lo que </w:t>
      </w:r>
      <w:r w:rsidRPr="00CF1D3C">
        <w:rPr>
          <w:rFonts w:ascii="Palatino Linotype" w:hAnsi="Palatino Linotype"/>
        </w:rPr>
        <w:t>se procede a dictar la presente resolución, con base en los siguientes:</w:t>
      </w:r>
    </w:p>
    <w:p w:rsidR="00F22511" w:rsidRPr="00CF1D3C" w:rsidRDefault="00F22511" w:rsidP="000D0DB4">
      <w:pPr>
        <w:spacing w:line="360" w:lineRule="auto"/>
        <w:jc w:val="both"/>
        <w:rPr>
          <w:rFonts w:ascii="Palatino Linotype" w:hAnsi="Palatino Linotype"/>
          <w:b/>
        </w:rPr>
      </w:pPr>
    </w:p>
    <w:p w:rsidR="009F09BC" w:rsidRPr="00CF1D3C" w:rsidRDefault="009F09BC" w:rsidP="000D0DB4">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2611032"/>
      <w:r w:rsidRPr="00CF1D3C">
        <w:rPr>
          <w:rFonts w:ascii="Palatino Linotype" w:hAnsi="Palatino Linotype"/>
          <w:b/>
          <w:color w:val="000000" w:themeColor="text1"/>
          <w:sz w:val="24"/>
          <w:szCs w:val="24"/>
        </w:rPr>
        <w:t>ANTECEDENTES</w:t>
      </w:r>
      <w:bookmarkEnd w:id="0"/>
      <w:bookmarkEnd w:id="1"/>
      <w:bookmarkEnd w:id="2"/>
    </w:p>
    <w:p w:rsidR="00F22511" w:rsidRPr="00CF1D3C" w:rsidRDefault="00F22511" w:rsidP="000D0DB4">
      <w:pPr>
        <w:spacing w:line="360" w:lineRule="auto"/>
        <w:rPr>
          <w:rFonts w:ascii="Palatino Linotype" w:hAnsi="Palatino Linotype"/>
        </w:rPr>
      </w:pPr>
    </w:p>
    <w:p w:rsidR="009F09BC" w:rsidRPr="00CF1D3C" w:rsidRDefault="00185B89" w:rsidP="00A307A0">
      <w:pPr>
        <w:pStyle w:val="Prrafodelista"/>
        <w:numPr>
          <w:ilvl w:val="0"/>
          <w:numId w:val="1"/>
        </w:numPr>
        <w:spacing w:line="360" w:lineRule="auto"/>
        <w:ind w:left="0" w:firstLine="0"/>
        <w:jc w:val="both"/>
        <w:rPr>
          <w:rFonts w:ascii="Palatino Linotype" w:eastAsia="Calibri" w:hAnsi="Palatino Linotype" w:cs="Arial"/>
          <w:lang w:val="es-ES"/>
        </w:rPr>
      </w:pPr>
      <w:r w:rsidRPr="00CF1D3C">
        <w:rPr>
          <w:rFonts w:ascii="Palatino Linotype" w:eastAsia="Calibri" w:hAnsi="Palatino Linotype" w:cs="Arial"/>
          <w:lang w:val="es-ES"/>
        </w:rPr>
        <w:t>El día veintiocho</w:t>
      </w:r>
      <w:r w:rsidR="001726CA" w:rsidRPr="00CF1D3C">
        <w:rPr>
          <w:rFonts w:ascii="Palatino Linotype" w:eastAsia="Calibri" w:hAnsi="Palatino Linotype" w:cs="Arial"/>
          <w:lang w:val="es-ES"/>
        </w:rPr>
        <w:t xml:space="preserve"> (</w:t>
      </w:r>
      <w:r w:rsidRPr="00CF1D3C">
        <w:rPr>
          <w:rFonts w:ascii="Palatino Linotype" w:eastAsia="Calibri" w:hAnsi="Palatino Linotype" w:cs="Arial"/>
          <w:lang w:val="es-ES"/>
        </w:rPr>
        <w:t>28</w:t>
      </w:r>
      <w:r w:rsidR="001726CA" w:rsidRPr="00CF1D3C">
        <w:rPr>
          <w:rFonts w:ascii="Palatino Linotype" w:eastAsia="Calibri" w:hAnsi="Palatino Linotype" w:cs="Arial"/>
          <w:lang w:val="es-ES"/>
        </w:rPr>
        <w:t>)</w:t>
      </w:r>
      <w:r w:rsidR="009F09BC" w:rsidRPr="00CF1D3C">
        <w:rPr>
          <w:rFonts w:ascii="Palatino Linotype" w:eastAsia="Calibri" w:hAnsi="Palatino Linotype" w:cs="Arial"/>
          <w:lang w:val="es-ES"/>
        </w:rPr>
        <w:t xml:space="preserve"> de </w:t>
      </w:r>
      <w:r w:rsidRPr="00CF1D3C">
        <w:rPr>
          <w:rFonts w:ascii="Palatino Linotype" w:eastAsia="Calibri" w:hAnsi="Palatino Linotype" w:cs="Arial"/>
          <w:lang w:val="es-ES"/>
        </w:rPr>
        <w:t>mayo</w:t>
      </w:r>
      <w:r w:rsidR="00AB09F8" w:rsidRPr="00CF1D3C">
        <w:rPr>
          <w:rFonts w:ascii="Palatino Linotype" w:eastAsia="Calibri" w:hAnsi="Palatino Linotype" w:cs="Arial"/>
          <w:lang w:val="es-ES"/>
        </w:rPr>
        <w:t xml:space="preserve"> </w:t>
      </w:r>
      <w:r w:rsidRPr="00CF1D3C">
        <w:rPr>
          <w:rFonts w:ascii="Palatino Linotype" w:eastAsia="Calibri" w:hAnsi="Palatino Linotype" w:cs="Arial"/>
          <w:lang w:val="es-ES"/>
        </w:rPr>
        <w:t xml:space="preserve">de dos mil </w:t>
      </w:r>
      <w:r w:rsidR="00511AE7" w:rsidRPr="00CF1D3C">
        <w:rPr>
          <w:rFonts w:ascii="Palatino Linotype" w:eastAsia="Calibri" w:hAnsi="Palatino Linotype" w:cs="Arial"/>
          <w:lang w:val="es-ES"/>
        </w:rPr>
        <w:t>veintidós</w:t>
      </w:r>
      <w:r w:rsidR="009F09BC" w:rsidRPr="00CF1D3C">
        <w:rPr>
          <w:rFonts w:ascii="Palatino Linotype" w:hAnsi="Palatino Linotype"/>
          <w:b/>
        </w:rPr>
        <w:t xml:space="preserve">, </w:t>
      </w:r>
      <w:r w:rsidR="009F09BC" w:rsidRPr="00CF1D3C">
        <w:rPr>
          <w:rFonts w:ascii="Palatino Linotype" w:eastAsia="Calibri" w:hAnsi="Palatino Linotype" w:cs="Arial"/>
          <w:lang w:val="es-ES"/>
        </w:rPr>
        <w:t xml:space="preserve">se presentó ante el </w:t>
      </w:r>
      <w:r w:rsidR="009F09BC" w:rsidRPr="00CF1D3C">
        <w:rPr>
          <w:rFonts w:ascii="Palatino Linotype" w:eastAsia="Calibri" w:hAnsi="Palatino Linotype" w:cs="Arial"/>
          <w:b/>
          <w:lang w:val="es-ES"/>
        </w:rPr>
        <w:t>SUJETO OBLIGADO</w:t>
      </w:r>
      <w:r w:rsidR="009F09BC" w:rsidRPr="00CF1D3C">
        <w:rPr>
          <w:rFonts w:ascii="Palatino Linotype" w:eastAsia="Calibri" w:hAnsi="Palatino Linotype" w:cs="Arial"/>
        </w:rPr>
        <w:t xml:space="preserve"> vía </w:t>
      </w:r>
      <w:r w:rsidR="009F09BC" w:rsidRPr="00CF1D3C">
        <w:rPr>
          <w:rFonts w:ascii="Palatino Linotype" w:eastAsia="Calibri" w:hAnsi="Palatino Linotype" w:cs="Arial"/>
          <w:lang w:val="es-ES"/>
        </w:rPr>
        <w:t xml:space="preserve">SAIMEX, las solicitudes de información públicas registradas con </w:t>
      </w:r>
      <w:r w:rsidR="00573064" w:rsidRPr="00CF1D3C">
        <w:rPr>
          <w:rFonts w:ascii="Palatino Linotype" w:eastAsia="Calibri" w:hAnsi="Palatino Linotype" w:cs="Arial"/>
          <w:lang w:val="es-ES"/>
        </w:rPr>
        <w:t xml:space="preserve">los </w:t>
      </w:r>
      <w:r w:rsidR="009F09BC" w:rsidRPr="00CF1D3C">
        <w:rPr>
          <w:rFonts w:ascii="Palatino Linotype" w:eastAsia="Calibri" w:hAnsi="Palatino Linotype" w:cs="Arial"/>
          <w:lang w:val="es-ES"/>
        </w:rPr>
        <w:t>números</w:t>
      </w:r>
      <w:r w:rsidR="009F09BC" w:rsidRPr="00CF1D3C">
        <w:rPr>
          <w:rFonts w:ascii="Palatino Linotype" w:hAnsi="Palatino Linotype"/>
          <w:b/>
          <w:bCs/>
          <w:color w:val="000000" w:themeColor="text1"/>
        </w:rPr>
        <w:t xml:space="preserve"> </w:t>
      </w:r>
      <w:r w:rsidRPr="00CF1D3C">
        <w:rPr>
          <w:rFonts w:ascii="Palatino Linotype" w:hAnsi="Palatino Linotype"/>
          <w:b/>
        </w:rPr>
        <w:t>00262/SMOV/IP/2022, 00263/SMOV/IP/2022, 00265/SMOV/IP/2022 y 00266/SMOV/IP/2022</w:t>
      </w:r>
      <w:r w:rsidR="009F09BC" w:rsidRPr="00CF1D3C">
        <w:rPr>
          <w:rFonts w:ascii="Palatino Linotype" w:hAnsi="Palatino Linotype"/>
          <w:b/>
          <w:bCs/>
          <w:color w:val="000000" w:themeColor="text1"/>
        </w:rPr>
        <w:t xml:space="preserve">; </w:t>
      </w:r>
      <w:r w:rsidR="009F09BC" w:rsidRPr="00CF1D3C">
        <w:rPr>
          <w:rFonts w:ascii="Palatino Linotype" w:eastAsia="Calibri" w:hAnsi="Palatino Linotype" w:cs="Arial"/>
          <w:lang w:val="es-ES"/>
        </w:rPr>
        <w:t>mediante las cuales se solicitó la siguiente información:</w:t>
      </w:r>
    </w:p>
    <w:p w:rsidR="00325454" w:rsidRPr="00CF1D3C" w:rsidRDefault="00325454" w:rsidP="000D0DB4">
      <w:pPr>
        <w:pStyle w:val="Prrafodelista"/>
        <w:spacing w:line="360" w:lineRule="auto"/>
        <w:ind w:left="0"/>
        <w:jc w:val="both"/>
        <w:rPr>
          <w:rFonts w:ascii="Palatino Linotype" w:eastAsia="Calibri" w:hAnsi="Palatino Linotype" w:cs="Arial"/>
          <w:lang w:val="es-ES"/>
        </w:rPr>
      </w:pPr>
    </w:p>
    <w:tbl>
      <w:tblPr>
        <w:tblStyle w:val="Tablaconcuadrcula1"/>
        <w:tblW w:w="8946" w:type="dxa"/>
        <w:tblInd w:w="108" w:type="dxa"/>
        <w:tblLayout w:type="fixed"/>
        <w:tblLook w:val="04A0" w:firstRow="1" w:lastRow="0" w:firstColumn="1" w:lastColumn="0" w:noHBand="0" w:noVBand="1"/>
      </w:tblPr>
      <w:tblGrid>
        <w:gridCol w:w="3402"/>
        <w:gridCol w:w="5544"/>
      </w:tblGrid>
      <w:tr w:rsidR="009F09BC" w:rsidRPr="00CF1D3C" w:rsidTr="005324B7">
        <w:tc>
          <w:tcPr>
            <w:tcW w:w="3402" w:type="dxa"/>
          </w:tcPr>
          <w:p w:rsidR="009F09BC" w:rsidRPr="00CF1D3C" w:rsidRDefault="009F09BC" w:rsidP="000D0DB4">
            <w:pPr>
              <w:spacing w:line="360" w:lineRule="auto"/>
              <w:ind w:right="333"/>
              <w:jc w:val="center"/>
              <w:rPr>
                <w:rFonts w:ascii="Palatino Linotype" w:hAnsi="Palatino Linotype"/>
                <w:b/>
                <w:color w:val="000000"/>
                <w:lang w:val="es-ES"/>
              </w:rPr>
            </w:pPr>
            <w:r w:rsidRPr="00CF1D3C">
              <w:rPr>
                <w:rFonts w:ascii="Palatino Linotype" w:hAnsi="Palatino Linotype"/>
                <w:b/>
                <w:color w:val="000000"/>
                <w:lang w:val="es-ES"/>
              </w:rPr>
              <w:t>Solicitud de información</w:t>
            </w:r>
          </w:p>
        </w:tc>
        <w:tc>
          <w:tcPr>
            <w:tcW w:w="5544" w:type="dxa"/>
          </w:tcPr>
          <w:p w:rsidR="009F09BC" w:rsidRPr="00CF1D3C" w:rsidRDefault="009F09BC" w:rsidP="000D0DB4">
            <w:pPr>
              <w:spacing w:line="360" w:lineRule="auto"/>
              <w:ind w:right="333"/>
              <w:jc w:val="center"/>
              <w:rPr>
                <w:rFonts w:ascii="Palatino Linotype" w:hAnsi="Palatino Linotype"/>
                <w:b/>
                <w:color w:val="000000"/>
                <w:lang w:val="es-ES"/>
              </w:rPr>
            </w:pPr>
            <w:r w:rsidRPr="00CF1D3C">
              <w:rPr>
                <w:rFonts w:ascii="Palatino Linotype" w:hAnsi="Palatino Linotype"/>
                <w:b/>
                <w:color w:val="000000"/>
                <w:lang w:val="es-ES"/>
              </w:rPr>
              <w:t>Información solicitada</w:t>
            </w:r>
          </w:p>
        </w:tc>
      </w:tr>
      <w:tr w:rsidR="009F09BC" w:rsidRPr="00CF1D3C" w:rsidTr="005324B7">
        <w:tc>
          <w:tcPr>
            <w:tcW w:w="3402" w:type="dxa"/>
          </w:tcPr>
          <w:p w:rsidR="009F09BC" w:rsidRPr="00CF1D3C" w:rsidRDefault="00185B89" w:rsidP="000D0DB4">
            <w:pPr>
              <w:spacing w:line="360" w:lineRule="auto"/>
              <w:ind w:right="333"/>
              <w:jc w:val="both"/>
              <w:rPr>
                <w:rFonts w:ascii="Palatino Linotype" w:hAnsi="Palatino Linotype"/>
                <w:b/>
                <w:color w:val="000000"/>
                <w:lang w:val="es-ES"/>
              </w:rPr>
            </w:pPr>
            <w:r w:rsidRPr="00CF1D3C">
              <w:rPr>
                <w:rFonts w:ascii="Palatino Linotype" w:hAnsi="Palatino Linotype"/>
                <w:b/>
              </w:rPr>
              <w:lastRenderedPageBreak/>
              <w:t>00262/SMOV/IP/2022</w:t>
            </w:r>
          </w:p>
        </w:tc>
        <w:tc>
          <w:tcPr>
            <w:tcW w:w="5544" w:type="dxa"/>
          </w:tcPr>
          <w:p w:rsidR="007F786B" w:rsidRPr="00CF1D3C" w:rsidRDefault="00185B89" w:rsidP="000D0DB4">
            <w:pPr>
              <w:pStyle w:val="Prrafodelista"/>
              <w:spacing w:line="360" w:lineRule="auto"/>
              <w:ind w:left="0"/>
              <w:jc w:val="both"/>
              <w:rPr>
                <w:rFonts w:ascii="Palatino Linotype" w:hAnsi="Palatino Linotype"/>
                <w:i/>
                <w:color w:val="000000"/>
              </w:rPr>
            </w:pPr>
            <w:r w:rsidRPr="00CF1D3C">
              <w:rPr>
                <w:rFonts w:ascii="Palatino Linotype" w:hAnsi="Palatino Linotype"/>
                <w:i/>
                <w:color w:val="000000"/>
              </w:rPr>
              <w:t>Solicito Todos los oficios firmados por el Director de zona. 1 de enero 2021 a mayo 2022</w:t>
            </w:r>
          </w:p>
        </w:tc>
      </w:tr>
      <w:tr w:rsidR="009F09BC" w:rsidRPr="00CF1D3C" w:rsidTr="005324B7">
        <w:tc>
          <w:tcPr>
            <w:tcW w:w="3402" w:type="dxa"/>
          </w:tcPr>
          <w:p w:rsidR="009F09BC" w:rsidRPr="00CF1D3C" w:rsidRDefault="00185B89" w:rsidP="00185B89">
            <w:pPr>
              <w:spacing w:line="360" w:lineRule="auto"/>
              <w:ind w:right="333"/>
              <w:rPr>
                <w:rFonts w:ascii="Palatino Linotype" w:hAnsi="Palatino Linotype"/>
                <w:b/>
                <w:color w:val="000000"/>
                <w:lang w:val="es-ES"/>
              </w:rPr>
            </w:pPr>
            <w:r w:rsidRPr="00CF1D3C">
              <w:rPr>
                <w:rFonts w:ascii="Palatino Linotype" w:hAnsi="Palatino Linotype"/>
                <w:b/>
              </w:rPr>
              <w:t>00263/SMOV/IP/2022</w:t>
            </w:r>
          </w:p>
        </w:tc>
        <w:tc>
          <w:tcPr>
            <w:tcW w:w="5544" w:type="dxa"/>
          </w:tcPr>
          <w:p w:rsidR="005324B7" w:rsidRPr="00CF1D3C" w:rsidRDefault="00185B89" w:rsidP="000D0DB4">
            <w:pPr>
              <w:spacing w:line="360" w:lineRule="auto"/>
              <w:jc w:val="both"/>
              <w:rPr>
                <w:rFonts w:ascii="Palatino Linotype" w:hAnsi="Palatino Linotype"/>
                <w:i/>
                <w:color w:val="000000"/>
                <w:lang w:val="es-ES"/>
              </w:rPr>
            </w:pPr>
            <w:r w:rsidRPr="00CF1D3C">
              <w:rPr>
                <w:rFonts w:ascii="Palatino Linotype" w:hAnsi="Palatino Linotype"/>
                <w:i/>
                <w:color w:val="000000"/>
                <w:lang w:val="es-ES"/>
              </w:rPr>
              <w:t>Solicito los. Oficios por el. Director de. Zona 2 de enero 2021 a mayo 2022.</w:t>
            </w:r>
          </w:p>
        </w:tc>
      </w:tr>
      <w:tr w:rsidR="00AA2C54" w:rsidRPr="00CF1D3C" w:rsidTr="005324B7">
        <w:tc>
          <w:tcPr>
            <w:tcW w:w="3402" w:type="dxa"/>
          </w:tcPr>
          <w:p w:rsidR="00AA2C54" w:rsidRPr="00CF1D3C" w:rsidRDefault="00185B89" w:rsidP="00185B89">
            <w:pPr>
              <w:spacing w:line="360" w:lineRule="auto"/>
              <w:ind w:right="333"/>
              <w:rPr>
                <w:rFonts w:ascii="Palatino Linotype" w:hAnsi="Palatino Linotype"/>
                <w:b/>
                <w:bCs/>
                <w:color w:val="000000" w:themeColor="text1"/>
              </w:rPr>
            </w:pPr>
            <w:r w:rsidRPr="00CF1D3C">
              <w:rPr>
                <w:rFonts w:ascii="Palatino Linotype" w:hAnsi="Palatino Linotype"/>
                <w:b/>
              </w:rPr>
              <w:t>00265/SMOV/IP/2022</w:t>
            </w:r>
          </w:p>
        </w:tc>
        <w:tc>
          <w:tcPr>
            <w:tcW w:w="5544" w:type="dxa"/>
          </w:tcPr>
          <w:p w:rsidR="00AA2C54" w:rsidRPr="00CF1D3C" w:rsidRDefault="00185B89" w:rsidP="000D0DB4">
            <w:pPr>
              <w:spacing w:line="360" w:lineRule="auto"/>
              <w:jc w:val="both"/>
              <w:rPr>
                <w:rFonts w:ascii="Palatino Linotype" w:hAnsi="Palatino Linotype"/>
                <w:i/>
                <w:color w:val="000000"/>
                <w:lang w:val="es-ES"/>
              </w:rPr>
            </w:pPr>
            <w:r w:rsidRPr="00CF1D3C">
              <w:rPr>
                <w:rFonts w:ascii="Palatino Linotype" w:hAnsi="Palatino Linotype"/>
                <w:i/>
                <w:color w:val="000000"/>
                <w:lang w:val="es-ES"/>
              </w:rPr>
              <w:t>Solicito Todos los oficios firmados por el subsecretario de Movilidad de enero 2021 a mayo 2022</w:t>
            </w:r>
          </w:p>
        </w:tc>
      </w:tr>
      <w:tr w:rsidR="00AA2C54" w:rsidRPr="00CF1D3C" w:rsidTr="005324B7">
        <w:tc>
          <w:tcPr>
            <w:tcW w:w="3402" w:type="dxa"/>
          </w:tcPr>
          <w:p w:rsidR="00AA2C54" w:rsidRPr="00CF1D3C" w:rsidRDefault="00185B89" w:rsidP="00185B89">
            <w:pPr>
              <w:spacing w:line="360" w:lineRule="auto"/>
              <w:ind w:right="333"/>
              <w:rPr>
                <w:rFonts w:ascii="Palatino Linotype" w:hAnsi="Palatino Linotype"/>
                <w:b/>
                <w:bCs/>
                <w:color w:val="000000" w:themeColor="text1"/>
              </w:rPr>
            </w:pPr>
            <w:r w:rsidRPr="00CF1D3C">
              <w:rPr>
                <w:rFonts w:ascii="Palatino Linotype" w:hAnsi="Palatino Linotype"/>
                <w:b/>
              </w:rPr>
              <w:t>00266/SMOV/IP/2022</w:t>
            </w:r>
          </w:p>
        </w:tc>
        <w:tc>
          <w:tcPr>
            <w:tcW w:w="5544" w:type="dxa"/>
          </w:tcPr>
          <w:p w:rsidR="00AA2C54" w:rsidRPr="00CF1D3C" w:rsidRDefault="00185B89" w:rsidP="000D0DB4">
            <w:pPr>
              <w:spacing w:line="360" w:lineRule="auto"/>
              <w:jc w:val="both"/>
              <w:rPr>
                <w:rFonts w:ascii="Palatino Linotype" w:hAnsi="Palatino Linotype"/>
                <w:i/>
                <w:color w:val="000000"/>
                <w:lang w:val="es-ES"/>
              </w:rPr>
            </w:pPr>
            <w:r w:rsidRPr="00CF1D3C">
              <w:rPr>
                <w:rFonts w:ascii="Palatino Linotype" w:hAnsi="Palatino Linotype"/>
                <w:i/>
                <w:color w:val="000000"/>
                <w:lang w:val="es-ES"/>
              </w:rPr>
              <w:t>Solicito Todos los oficios firmados por el Director de zona 4 de enero 2021 a mayo 2022</w:t>
            </w:r>
          </w:p>
        </w:tc>
      </w:tr>
    </w:tbl>
    <w:p w:rsidR="00185B89" w:rsidRPr="00CF1D3C" w:rsidRDefault="00185B89" w:rsidP="00185B89">
      <w:pPr>
        <w:pStyle w:val="Prrafodelista"/>
        <w:spacing w:line="360" w:lineRule="auto"/>
        <w:ind w:left="851" w:right="34"/>
        <w:jc w:val="both"/>
        <w:rPr>
          <w:rFonts w:ascii="Palatino Linotype" w:hAnsi="Palatino Linotype"/>
        </w:rPr>
      </w:pPr>
    </w:p>
    <w:p w:rsidR="009F09BC" w:rsidRPr="00CF1D3C" w:rsidRDefault="009F09BC" w:rsidP="00A307A0">
      <w:pPr>
        <w:pStyle w:val="Prrafodelista"/>
        <w:numPr>
          <w:ilvl w:val="0"/>
          <w:numId w:val="2"/>
        </w:numPr>
        <w:spacing w:line="360" w:lineRule="auto"/>
        <w:ind w:left="851" w:right="34"/>
        <w:jc w:val="both"/>
        <w:rPr>
          <w:rFonts w:ascii="Palatino Linotype" w:hAnsi="Palatino Linotype"/>
        </w:rPr>
      </w:pPr>
      <w:r w:rsidRPr="00CF1D3C">
        <w:rPr>
          <w:rFonts w:ascii="Palatino Linotype" w:eastAsia="Times New Roman" w:hAnsi="Palatino Linotype" w:cs="Arial"/>
          <w:lang w:val="es-ES"/>
        </w:rPr>
        <w:t>Se eligió como modalidad de entrega de la información</w:t>
      </w:r>
      <w:r w:rsidRPr="00CF1D3C">
        <w:rPr>
          <w:rFonts w:ascii="Palatino Linotype" w:hAnsi="Palatino Linotype"/>
        </w:rPr>
        <w:t xml:space="preserve">: A través del </w:t>
      </w:r>
      <w:r w:rsidRPr="00CF1D3C">
        <w:rPr>
          <w:rFonts w:ascii="Palatino Linotype" w:hAnsi="Palatino Linotype"/>
          <w:b/>
        </w:rPr>
        <w:t>SAIMEX</w:t>
      </w:r>
    </w:p>
    <w:p w:rsidR="00F22511" w:rsidRPr="00CF1D3C" w:rsidRDefault="00F22511" w:rsidP="000D0DB4">
      <w:pPr>
        <w:pStyle w:val="Prrafodelista"/>
        <w:spacing w:line="360" w:lineRule="auto"/>
        <w:ind w:left="851" w:right="34"/>
        <w:jc w:val="both"/>
        <w:rPr>
          <w:rFonts w:ascii="Palatino Linotype" w:hAnsi="Palatino Linotype"/>
        </w:rPr>
      </w:pPr>
    </w:p>
    <w:p w:rsidR="002729B9" w:rsidRPr="00CF1D3C" w:rsidRDefault="002729B9" w:rsidP="00A307A0">
      <w:pPr>
        <w:numPr>
          <w:ilvl w:val="0"/>
          <w:numId w:val="1"/>
        </w:numPr>
        <w:spacing w:line="360" w:lineRule="auto"/>
        <w:ind w:left="0" w:firstLine="0"/>
        <w:contextualSpacing/>
        <w:jc w:val="both"/>
        <w:rPr>
          <w:rFonts w:ascii="Palatino Linotype" w:hAnsi="Palatino Linotype" w:cs="Arial"/>
          <w:i/>
        </w:rPr>
      </w:pPr>
      <w:r w:rsidRPr="00CF1D3C">
        <w:rPr>
          <w:rFonts w:ascii="Palatino Linotype" w:hAnsi="Palatino Linotype" w:cs="Arial"/>
        </w:rPr>
        <w:t xml:space="preserve">Los días diecisiete (17) y veinte (20) de junio de dos mil veintidós, el </w:t>
      </w:r>
      <w:r w:rsidRPr="00CF1D3C">
        <w:rPr>
          <w:rFonts w:ascii="Palatino Linotype" w:hAnsi="Palatino Linotype" w:cs="Arial"/>
          <w:b/>
        </w:rPr>
        <w:t>SUJETO OBLIGADO</w:t>
      </w:r>
      <w:r w:rsidRPr="00CF1D3C">
        <w:rPr>
          <w:rFonts w:ascii="Palatino Linotype" w:hAnsi="Palatino Linotype" w:cs="Arial"/>
        </w:rPr>
        <w:t xml:space="preserve"> solicitó prorrogas para dar contestación a las solicitudes de información, argumentando que se estaba en proceso de recopilación de la información.</w:t>
      </w:r>
    </w:p>
    <w:p w:rsidR="002729B9" w:rsidRPr="00CF1D3C" w:rsidRDefault="002729B9" w:rsidP="002729B9">
      <w:pPr>
        <w:spacing w:line="360" w:lineRule="auto"/>
        <w:contextualSpacing/>
        <w:jc w:val="both"/>
        <w:rPr>
          <w:rFonts w:ascii="Palatino Linotype" w:hAnsi="Palatino Linotype" w:cs="Arial"/>
          <w:i/>
        </w:rPr>
      </w:pPr>
    </w:p>
    <w:p w:rsidR="002729B9" w:rsidRPr="00CF1D3C" w:rsidRDefault="002729B9" w:rsidP="00A307A0">
      <w:pPr>
        <w:numPr>
          <w:ilvl w:val="0"/>
          <w:numId w:val="1"/>
        </w:numPr>
        <w:spacing w:line="360" w:lineRule="auto"/>
        <w:ind w:left="0" w:firstLine="0"/>
        <w:contextualSpacing/>
        <w:jc w:val="both"/>
        <w:rPr>
          <w:rFonts w:ascii="Palatino Linotype" w:hAnsi="Palatino Linotype" w:cs="Arial"/>
          <w:i/>
        </w:rPr>
      </w:pPr>
      <w:r w:rsidRPr="00CF1D3C">
        <w:rPr>
          <w:rFonts w:ascii="Palatino Linotype" w:hAnsi="Palatino Linotype" w:cs="Arial"/>
        </w:rPr>
        <w:t xml:space="preserve">El día veintinueve (29) de junio de dos mil veintidós, el </w:t>
      </w:r>
      <w:r w:rsidRPr="00CF1D3C">
        <w:rPr>
          <w:rFonts w:ascii="Palatino Linotype" w:hAnsi="Palatino Linotype" w:cs="Arial"/>
          <w:b/>
        </w:rPr>
        <w:t>SUJETO OBLIGADO</w:t>
      </w:r>
      <w:r w:rsidRPr="00CF1D3C">
        <w:rPr>
          <w:rFonts w:ascii="Palatino Linotype" w:hAnsi="Palatino Linotype" w:cs="Arial"/>
        </w:rPr>
        <w:t xml:space="preserve"> emitió sus respuestas a las solicitudes de información objeto del presente proveído, </w:t>
      </w:r>
      <w:r w:rsidR="00CC3D7D" w:rsidRPr="00CF1D3C">
        <w:rPr>
          <w:rFonts w:ascii="Palatino Linotype" w:hAnsi="Palatino Linotype" w:cs="Arial"/>
        </w:rPr>
        <w:t xml:space="preserve">toralmente </w:t>
      </w:r>
      <w:r w:rsidRPr="00CF1D3C">
        <w:rPr>
          <w:rFonts w:ascii="Palatino Linotype" w:hAnsi="Palatino Linotype" w:cs="Arial"/>
        </w:rPr>
        <w:t>de la siguiente manera:</w:t>
      </w:r>
    </w:p>
    <w:p w:rsidR="002729B9" w:rsidRPr="00CF1D3C" w:rsidRDefault="002729B9" w:rsidP="002729B9">
      <w:pPr>
        <w:pStyle w:val="Prrafodelista"/>
        <w:rPr>
          <w:rFonts w:ascii="Palatino Linotype" w:eastAsia="Calibri" w:hAnsi="Palatino Linotype" w:cs="Arial"/>
          <w:lang w:val="es-AR"/>
        </w:rPr>
      </w:pPr>
    </w:p>
    <w:p w:rsidR="002729B9" w:rsidRPr="00CF1D3C" w:rsidRDefault="002729B9" w:rsidP="002729B9">
      <w:pPr>
        <w:pStyle w:val="Prrafodelista"/>
        <w:numPr>
          <w:ilvl w:val="0"/>
          <w:numId w:val="2"/>
        </w:numPr>
        <w:rPr>
          <w:rFonts w:ascii="Palatino Linotype" w:eastAsia="Calibri" w:hAnsi="Palatino Linotype" w:cs="Arial"/>
          <w:b/>
          <w:lang w:val="es-AR"/>
        </w:rPr>
      </w:pPr>
      <w:r w:rsidRPr="00CF1D3C">
        <w:rPr>
          <w:rFonts w:ascii="Palatino Linotype" w:eastAsia="Calibri" w:hAnsi="Palatino Linotype" w:cs="Arial"/>
          <w:b/>
          <w:lang w:val="es-AR"/>
        </w:rPr>
        <w:t>Folio de la solicitud: 00266/SMOV/IP/2022</w:t>
      </w:r>
    </w:p>
    <w:p w:rsidR="002729B9" w:rsidRPr="00CF1D3C" w:rsidRDefault="002729B9" w:rsidP="002729B9">
      <w:pPr>
        <w:rPr>
          <w:rFonts w:ascii="Palatino Linotype" w:eastAsia="Calibri" w:hAnsi="Palatino Linotype" w:cs="Arial"/>
          <w:b/>
          <w:lang w:val="es-AR"/>
        </w:rPr>
      </w:pPr>
    </w:p>
    <w:p w:rsidR="00CC3D7D" w:rsidRPr="00CF1D3C" w:rsidRDefault="00CC3D7D" w:rsidP="00CC3D7D">
      <w:pPr>
        <w:jc w:val="center"/>
        <w:rPr>
          <w:rFonts w:ascii="Palatino Linotype" w:eastAsia="Calibri" w:hAnsi="Palatino Linotype" w:cs="Arial"/>
          <w:b/>
          <w:lang w:val="es-AR"/>
        </w:rPr>
      </w:pPr>
      <w:r w:rsidRPr="00CF1D3C">
        <w:rPr>
          <w:rFonts w:ascii="Palatino Linotype" w:eastAsia="Calibri" w:hAnsi="Palatino Linotype" w:cs="Arial"/>
          <w:b/>
          <w:noProof/>
          <w:lang w:val="es-MX" w:eastAsia="es-MX"/>
        </w:rPr>
        <w:lastRenderedPageBreak/>
        <w:drawing>
          <wp:inline distT="0" distB="0" distL="0" distR="0">
            <wp:extent cx="4885899" cy="2348085"/>
            <wp:effectExtent l="19050" t="19050" r="10160" b="146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8863" cy="2359121"/>
                    </a:xfrm>
                    <a:prstGeom prst="rect">
                      <a:avLst/>
                    </a:prstGeom>
                    <a:noFill/>
                    <a:ln>
                      <a:solidFill>
                        <a:schemeClr val="tx1"/>
                      </a:solidFill>
                    </a:ln>
                  </pic:spPr>
                </pic:pic>
              </a:graphicData>
            </a:graphic>
          </wp:inline>
        </w:drawing>
      </w:r>
    </w:p>
    <w:p w:rsidR="00CC3D7D" w:rsidRPr="00CF1D3C" w:rsidRDefault="00CC3D7D" w:rsidP="00CC3D7D">
      <w:pPr>
        <w:jc w:val="center"/>
        <w:rPr>
          <w:rFonts w:ascii="Palatino Linotype" w:eastAsia="Calibri" w:hAnsi="Palatino Linotype" w:cs="Arial"/>
          <w:b/>
          <w:lang w:val="es-AR"/>
        </w:rPr>
      </w:pPr>
    </w:p>
    <w:p w:rsidR="00CC3D7D" w:rsidRPr="00CF1D3C" w:rsidRDefault="00CC3D7D" w:rsidP="00CC3D7D">
      <w:pPr>
        <w:pStyle w:val="Prrafodelista"/>
        <w:numPr>
          <w:ilvl w:val="0"/>
          <w:numId w:val="2"/>
        </w:numPr>
        <w:rPr>
          <w:rFonts w:ascii="Palatino Linotype" w:eastAsia="Calibri" w:hAnsi="Palatino Linotype" w:cs="Arial"/>
          <w:b/>
          <w:lang w:val="es-AR"/>
        </w:rPr>
      </w:pPr>
      <w:r w:rsidRPr="00CF1D3C">
        <w:rPr>
          <w:rFonts w:ascii="Palatino Linotype" w:eastAsia="Calibri" w:hAnsi="Palatino Linotype" w:cs="Arial"/>
          <w:b/>
          <w:lang w:val="es-AR"/>
        </w:rPr>
        <w:t>Folio de la solicitud: 00263/SMOV/IP/2022</w:t>
      </w:r>
    </w:p>
    <w:p w:rsidR="00CC3D7D" w:rsidRPr="00CF1D3C" w:rsidRDefault="00CC3D7D" w:rsidP="00CC3D7D">
      <w:pPr>
        <w:pStyle w:val="Prrafodelista"/>
        <w:ind w:left="1004"/>
        <w:rPr>
          <w:rFonts w:ascii="Palatino Linotype" w:eastAsia="Calibri" w:hAnsi="Palatino Linotype" w:cs="Arial"/>
          <w:b/>
          <w:lang w:val="es-AR"/>
        </w:rPr>
      </w:pPr>
    </w:p>
    <w:p w:rsidR="00CC3D7D" w:rsidRPr="00CF1D3C" w:rsidRDefault="00CC3D7D" w:rsidP="00CC3D7D">
      <w:pPr>
        <w:jc w:val="center"/>
        <w:rPr>
          <w:rFonts w:ascii="Palatino Linotype" w:eastAsia="Calibri" w:hAnsi="Palatino Linotype" w:cs="Arial"/>
          <w:b/>
          <w:lang w:val="es-AR"/>
        </w:rPr>
      </w:pPr>
      <w:r w:rsidRPr="00CF1D3C">
        <w:rPr>
          <w:rFonts w:ascii="Palatino Linotype" w:eastAsia="Calibri" w:hAnsi="Palatino Linotype" w:cs="Arial"/>
          <w:b/>
          <w:noProof/>
          <w:lang w:val="es-MX" w:eastAsia="es-MX"/>
        </w:rPr>
        <w:drawing>
          <wp:inline distT="0" distB="0" distL="0" distR="0">
            <wp:extent cx="4932781" cy="3719015"/>
            <wp:effectExtent l="19050" t="19050" r="20320" b="152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4685" cy="3735529"/>
                    </a:xfrm>
                    <a:prstGeom prst="rect">
                      <a:avLst/>
                    </a:prstGeom>
                    <a:noFill/>
                    <a:ln>
                      <a:solidFill>
                        <a:schemeClr val="tx1"/>
                      </a:solidFill>
                    </a:ln>
                  </pic:spPr>
                </pic:pic>
              </a:graphicData>
            </a:graphic>
          </wp:inline>
        </w:drawing>
      </w:r>
    </w:p>
    <w:p w:rsidR="00CC3D7D" w:rsidRPr="00CF1D3C" w:rsidRDefault="00CC3D7D" w:rsidP="00CC3D7D">
      <w:pPr>
        <w:pStyle w:val="Prrafodelista"/>
        <w:numPr>
          <w:ilvl w:val="0"/>
          <w:numId w:val="2"/>
        </w:numPr>
        <w:rPr>
          <w:rFonts w:ascii="Palatino Linotype" w:eastAsia="Calibri" w:hAnsi="Palatino Linotype" w:cs="Arial"/>
          <w:b/>
          <w:lang w:val="es-AR"/>
        </w:rPr>
      </w:pPr>
      <w:r w:rsidRPr="00CF1D3C">
        <w:rPr>
          <w:rFonts w:ascii="Palatino Linotype" w:eastAsia="Calibri" w:hAnsi="Palatino Linotype" w:cs="Arial"/>
          <w:b/>
          <w:lang w:val="es-AR"/>
        </w:rPr>
        <w:lastRenderedPageBreak/>
        <w:t>Folio de la solicitud: 00262/SMOV/IP/2022</w:t>
      </w:r>
    </w:p>
    <w:p w:rsidR="00CC3D7D" w:rsidRPr="00CF1D3C" w:rsidRDefault="00CC3D7D" w:rsidP="00CC3D7D">
      <w:pPr>
        <w:jc w:val="center"/>
        <w:rPr>
          <w:rFonts w:ascii="Palatino Linotype" w:eastAsia="Calibri" w:hAnsi="Palatino Linotype" w:cs="Arial"/>
          <w:b/>
          <w:lang w:val="es-AR"/>
        </w:rPr>
      </w:pPr>
    </w:p>
    <w:p w:rsidR="00CC3D7D" w:rsidRPr="00CF1D3C" w:rsidRDefault="00CC3D7D" w:rsidP="00CC3D7D">
      <w:pPr>
        <w:jc w:val="center"/>
        <w:rPr>
          <w:rFonts w:ascii="Palatino Linotype" w:eastAsia="Calibri" w:hAnsi="Palatino Linotype" w:cs="Arial"/>
          <w:b/>
          <w:lang w:val="es-AR"/>
        </w:rPr>
      </w:pPr>
      <w:r w:rsidRPr="00CF1D3C">
        <w:rPr>
          <w:rFonts w:ascii="Palatino Linotype" w:eastAsia="Calibri" w:hAnsi="Palatino Linotype" w:cs="Arial"/>
          <w:b/>
          <w:noProof/>
          <w:lang w:val="es-MX" w:eastAsia="es-MX"/>
        </w:rPr>
        <w:drawing>
          <wp:inline distT="0" distB="0" distL="0" distR="0">
            <wp:extent cx="5213444" cy="3887802"/>
            <wp:effectExtent l="19050" t="19050" r="25400" b="177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0958" cy="3893405"/>
                    </a:xfrm>
                    <a:prstGeom prst="rect">
                      <a:avLst/>
                    </a:prstGeom>
                    <a:noFill/>
                    <a:ln>
                      <a:solidFill>
                        <a:schemeClr val="tx1"/>
                      </a:solidFill>
                    </a:ln>
                  </pic:spPr>
                </pic:pic>
              </a:graphicData>
            </a:graphic>
          </wp:inline>
        </w:drawing>
      </w:r>
    </w:p>
    <w:p w:rsidR="00CC3D7D" w:rsidRPr="00CF1D3C" w:rsidRDefault="00CC3D7D" w:rsidP="00CC3D7D">
      <w:pPr>
        <w:jc w:val="center"/>
        <w:rPr>
          <w:rFonts w:ascii="Palatino Linotype" w:eastAsia="Calibri" w:hAnsi="Palatino Linotype" w:cs="Arial"/>
          <w:b/>
          <w:lang w:val="es-AR"/>
        </w:rPr>
      </w:pPr>
      <w:r w:rsidRPr="00CF1D3C">
        <w:rPr>
          <w:rFonts w:ascii="Palatino Linotype" w:eastAsia="Calibri" w:hAnsi="Palatino Linotype" w:cs="Arial"/>
          <w:b/>
          <w:noProof/>
          <w:lang w:val="es-MX" w:eastAsia="es-MX"/>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464146</wp:posOffset>
                </wp:positionV>
                <wp:extent cx="5588758" cy="2210937"/>
                <wp:effectExtent l="0" t="0" r="31115" b="37465"/>
                <wp:wrapNone/>
                <wp:docPr id="7" name="Conector recto 7"/>
                <wp:cNvGraphicFramePr/>
                <a:graphic xmlns:a="http://schemas.openxmlformats.org/drawingml/2006/main">
                  <a:graphicData uri="http://schemas.microsoft.com/office/word/2010/wordprocessingShape">
                    <wps:wsp>
                      <wps:cNvCnPr/>
                      <wps:spPr>
                        <a:xfrm>
                          <a:off x="0" y="0"/>
                          <a:ext cx="5588758" cy="22109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5DAF0F6C" id="Conector recto 7" o:spid="_x0000_s1026" style="position:absolute;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8.85pt,36.55pt" to="828.9pt,2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" strokecolor="black [3200]" strokeweight=".5pt">
                <v:stroke joinstyle="miter"/>
                <w10:wrap anchorx="margin"/>
              </v:line>
            </w:pict>
          </mc:Fallback>
        </mc:AlternateContent>
      </w:r>
    </w:p>
    <w:p w:rsidR="00CC3D7D" w:rsidRPr="00CF1D3C" w:rsidRDefault="00CC3D7D" w:rsidP="00CC3D7D">
      <w:pPr>
        <w:jc w:val="center"/>
        <w:rPr>
          <w:rFonts w:ascii="Palatino Linotype" w:eastAsia="Calibri" w:hAnsi="Palatino Linotype" w:cs="Arial"/>
          <w:b/>
          <w:lang w:val="es-AR"/>
        </w:rPr>
      </w:pPr>
      <w:r w:rsidRPr="00CF1D3C">
        <w:rPr>
          <w:rFonts w:ascii="Palatino Linotype" w:eastAsia="Calibri" w:hAnsi="Palatino Linotype" w:cs="Arial"/>
          <w:b/>
          <w:noProof/>
          <w:lang w:val="es-MX" w:eastAsia="es-MX"/>
        </w:rPr>
        <w:lastRenderedPageBreak/>
        <w:drawing>
          <wp:inline distT="0" distB="0" distL="0" distR="0">
            <wp:extent cx="5377218" cy="678469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8527" cy="6786341"/>
                    </a:xfrm>
                    <a:prstGeom prst="rect">
                      <a:avLst/>
                    </a:prstGeom>
                    <a:noFill/>
                    <a:ln>
                      <a:noFill/>
                    </a:ln>
                  </pic:spPr>
                </pic:pic>
              </a:graphicData>
            </a:graphic>
          </wp:inline>
        </w:drawing>
      </w:r>
    </w:p>
    <w:p w:rsidR="00CC3D7D" w:rsidRPr="00CF1D3C" w:rsidRDefault="00CC3D7D" w:rsidP="00CC3D7D">
      <w:pPr>
        <w:jc w:val="center"/>
        <w:rPr>
          <w:rFonts w:ascii="Palatino Linotype" w:eastAsia="Calibri" w:hAnsi="Palatino Linotype" w:cs="Arial"/>
          <w:b/>
          <w:lang w:val="es-AR"/>
        </w:rPr>
      </w:pPr>
      <w:r w:rsidRPr="00CF1D3C">
        <w:rPr>
          <w:rFonts w:ascii="Palatino Linotype" w:eastAsia="Calibri" w:hAnsi="Palatino Linotype" w:cs="Arial"/>
          <w:b/>
          <w:noProof/>
          <w:lang w:val="es-MX" w:eastAsia="es-MX"/>
        </w:rPr>
        <w:lastRenderedPageBreak/>
        <w:drawing>
          <wp:inline distT="0" distB="0" distL="0" distR="0">
            <wp:extent cx="5315803" cy="6715771"/>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7364" cy="6717743"/>
                    </a:xfrm>
                    <a:prstGeom prst="rect">
                      <a:avLst/>
                    </a:prstGeom>
                    <a:noFill/>
                    <a:ln>
                      <a:noFill/>
                    </a:ln>
                  </pic:spPr>
                </pic:pic>
              </a:graphicData>
            </a:graphic>
          </wp:inline>
        </w:drawing>
      </w:r>
    </w:p>
    <w:p w:rsidR="00CC3D7D" w:rsidRPr="00CF1D3C" w:rsidRDefault="00E32E51" w:rsidP="00CC3D7D">
      <w:pPr>
        <w:pStyle w:val="Prrafodelista"/>
        <w:numPr>
          <w:ilvl w:val="0"/>
          <w:numId w:val="2"/>
        </w:numPr>
        <w:rPr>
          <w:rFonts w:ascii="Palatino Linotype" w:eastAsia="Calibri" w:hAnsi="Palatino Linotype" w:cs="Arial"/>
          <w:b/>
          <w:lang w:val="es-AR"/>
        </w:rPr>
      </w:pPr>
      <w:r w:rsidRPr="00CF1D3C">
        <w:rPr>
          <w:rFonts w:ascii="Palatino Linotype" w:eastAsia="Calibri" w:hAnsi="Palatino Linotype" w:cs="Arial"/>
          <w:b/>
          <w:lang w:val="es-AR"/>
        </w:rPr>
        <w:lastRenderedPageBreak/>
        <w:t>Folio de la solicitud: 00265</w:t>
      </w:r>
      <w:r w:rsidR="00CC3D7D" w:rsidRPr="00CF1D3C">
        <w:rPr>
          <w:rFonts w:ascii="Palatino Linotype" w:eastAsia="Calibri" w:hAnsi="Palatino Linotype" w:cs="Arial"/>
          <w:b/>
          <w:lang w:val="es-AR"/>
        </w:rPr>
        <w:t>/SMOV/IP/2022</w:t>
      </w:r>
    </w:p>
    <w:p w:rsidR="00E32E51" w:rsidRPr="00CF1D3C" w:rsidRDefault="00E32E51" w:rsidP="00E32E51">
      <w:pPr>
        <w:rPr>
          <w:rFonts w:ascii="Palatino Linotype" w:eastAsia="Calibri" w:hAnsi="Palatino Linotype" w:cs="Arial"/>
          <w:b/>
          <w:lang w:val="es-AR"/>
        </w:rPr>
      </w:pPr>
    </w:p>
    <w:p w:rsidR="00E32E51" w:rsidRPr="00CF1D3C" w:rsidRDefault="00E32E51" w:rsidP="00E32E51">
      <w:pPr>
        <w:jc w:val="center"/>
        <w:rPr>
          <w:rFonts w:ascii="Palatino Linotype" w:eastAsia="Calibri" w:hAnsi="Palatino Linotype" w:cs="Arial"/>
          <w:b/>
          <w:lang w:val="es-AR"/>
        </w:rPr>
      </w:pPr>
      <w:r w:rsidRPr="00CF1D3C">
        <w:rPr>
          <w:rFonts w:ascii="Palatino Linotype" w:eastAsia="Calibri" w:hAnsi="Palatino Linotype" w:cs="Arial"/>
          <w:b/>
          <w:noProof/>
          <w:lang w:val="es-MX" w:eastAsia="es-MX"/>
        </w:rPr>
        <w:drawing>
          <wp:inline distT="0" distB="0" distL="0" distR="0">
            <wp:extent cx="4251277" cy="6459779"/>
            <wp:effectExtent l="19050" t="19050" r="16510" b="177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2914" cy="6462267"/>
                    </a:xfrm>
                    <a:prstGeom prst="rect">
                      <a:avLst/>
                    </a:prstGeom>
                    <a:noFill/>
                    <a:ln>
                      <a:solidFill>
                        <a:schemeClr val="tx1"/>
                      </a:solidFill>
                    </a:ln>
                  </pic:spPr>
                </pic:pic>
              </a:graphicData>
            </a:graphic>
          </wp:inline>
        </w:drawing>
      </w:r>
    </w:p>
    <w:p w:rsidR="00451985" w:rsidRPr="00CF1D3C" w:rsidRDefault="00451985" w:rsidP="00A307A0">
      <w:pPr>
        <w:numPr>
          <w:ilvl w:val="0"/>
          <w:numId w:val="1"/>
        </w:numPr>
        <w:spacing w:line="360" w:lineRule="auto"/>
        <w:ind w:left="0" w:firstLine="0"/>
        <w:contextualSpacing/>
        <w:jc w:val="both"/>
        <w:rPr>
          <w:rFonts w:ascii="Palatino Linotype" w:hAnsi="Palatino Linotype" w:cs="Arial"/>
          <w:i/>
        </w:rPr>
      </w:pPr>
      <w:r w:rsidRPr="00CF1D3C">
        <w:rPr>
          <w:rFonts w:ascii="Palatino Linotype" w:eastAsia="Calibri" w:hAnsi="Palatino Linotype" w:cs="Arial"/>
          <w:lang w:val="es-AR"/>
        </w:rPr>
        <w:lastRenderedPageBreak/>
        <w:t xml:space="preserve">El día </w:t>
      </w:r>
      <w:r w:rsidR="000B3CDC" w:rsidRPr="00CF1D3C">
        <w:rPr>
          <w:rFonts w:ascii="Palatino Linotype" w:eastAsia="Calibri" w:hAnsi="Palatino Linotype" w:cs="Arial"/>
          <w:lang w:val="es-AR"/>
        </w:rPr>
        <w:t>treinta</w:t>
      </w:r>
      <w:r w:rsidR="00E85212" w:rsidRPr="00CF1D3C">
        <w:rPr>
          <w:rFonts w:ascii="Palatino Linotype" w:hAnsi="Palatino Linotype" w:cs="Arial"/>
          <w:lang w:val="es-ES"/>
        </w:rPr>
        <w:t xml:space="preserve"> (</w:t>
      </w:r>
      <w:r w:rsidR="000B3CDC" w:rsidRPr="00CF1D3C">
        <w:rPr>
          <w:rFonts w:ascii="Palatino Linotype" w:hAnsi="Palatino Linotype" w:cs="Arial"/>
          <w:lang w:val="es-ES"/>
        </w:rPr>
        <w:t>30</w:t>
      </w:r>
      <w:r w:rsidR="00E85212" w:rsidRPr="00CF1D3C">
        <w:rPr>
          <w:rFonts w:ascii="Palatino Linotype" w:hAnsi="Palatino Linotype" w:cs="Arial"/>
          <w:lang w:val="es-ES"/>
        </w:rPr>
        <w:t xml:space="preserve">) de </w:t>
      </w:r>
      <w:r w:rsidR="000B3CDC" w:rsidRPr="00CF1D3C">
        <w:rPr>
          <w:rFonts w:ascii="Palatino Linotype" w:hAnsi="Palatino Linotype" w:cs="Arial"/>
          <w:lang w:val="es-ES"/>
        </w:rPr>
        <w:t>juni</w:t>
      </w:r>
      <w:r w:rsidR="00E85212" w:rsidRPr="00CF1D3C">
        <w:rPr>
          <w:rFonts w:ascii="Palatino Linotype" w:hAnsi="Palatino Linotype" w:cs="Arial"/>
          <w:lang w:val="es-ES"/>
        </w:rPr>
        <w:t>o de dos mil veintidós</w:t>
      </w:r>
      <w:r w:rsidRPr="00CF1D3C">
        <w:rPr>
          <w:rFonts w:ascii="Palatino Linotype" w:hAnsi="Palatino Linotype" w:cs="Arial"/>
          <w:lang w:val="es-ES"/>
        </w:rPr>
        <w:t>, el particular interpuso los recursos de revisión, en contra de la</w:t>
      </w:r>
      <w:r w:rsidR="000B3CDC" w:rsidRPr="00CF1D3C">
        <w:rPr>
          <w:rFonts w:ascii="Palatino Linotype" w:hAnsi="Palatino Linotype" w:cs="Arial"/>
          <w:lang w:val="es-ES"/>
        </w:rPr>
        <w:t>s</w:t>
      </w:r>
      <w:r w:rsidRPr="00CF1D3C">
        <w:rPr>
          <w:rFonts w:ascii="Palatino Linotype" w:hAnsi="Palatino Linotype" w:cs="Arial"/>
          <w:lang w:val="es-ES"/>
        </w:rPr>
        <w:t xml:space="preserve"> respuestas, señalando como actos impugnados y como motivos de inconformidad, los siguientes:</w:t>
      </w:r>
      <w:bookmarkStart w:id="3" w:name="_Toc462307683"/>
      <w:bookmarkStart w:id="4" w:name="_Toc472427085"/>
      <w:bookmarkStart w:id="5" w:name="_Toc472500652"/>
    </w:p>
    <w:p w:rsidR="00451985" w:rsidRPr="00CF1D3C" w:rsidRDefault="00451985" w:rsidP="00451985">
      <w:pPr>
        <w:pStyle w:val="Prrafodelista"/>
        <w:rPr>
          <w:rFonts w:ascii="Palatino Linotype" w:hAnsi="Palatino Linotype" w:cs="Arial"/>
          <w:i/>
        </w:rPr>
      </w:pPr>
    </w:p>
    <w:p w:rsidR="000B3CDC" w:rsidRPr="00CF1D3C" w:rsidRDefault="000B3CDC" w:rsidP="009C5463">
      <w:pPr>
        <w:pStyle w:val="Prrafodelista"/>
        <w:spacing w:line="360" w:lineRule="auto"/>
        <w:ind w:left="284" w:right="333"/>
        <w:rPr>
          <w:rFonts w:ascii="Palatino Linotype" w:hAnsi="Palatino Linotype" w:cs="Arial"/>
          <w:b/>
        </w:rPr>
      </w:pPr>
      <w:r w:rsidRPr="00CF1D3C">
        <w:rPr>
          <w:rFonts w:ascii="Palatino Linotype" w:hAnsi="Palatino Linotype" w:cs="Arial"/>
          <w:b/>
        </w:rPr>
        <w:t>00266/SMOV/IP/2022</w:t>
      </w:r>
    </w:p>
    <w:p w:rsidR="00095FEA" w:rsidRPr="00CF1D3C" w:rsidRDefault="00095FEA" w:rsidP="009C5463">
      <w:pPr>
        <w:pStyle w:val="Prrafodelista"/>
        <w:spacing w:line="360" w:lineRule="auto"/>
        <w:ind w:left="284" w:right="333"/>
        <w:rPr>
          <w:rFonts w:ascii="Palatino Linotype" w:hAnsi="Palatino Linotype" w:cs="Arial"/>
          <w:b/>
        </w:rPr>
      </w:pPr>
      <w:r w:rsidRPr="00CF1D3C">
        <w:rPr>
          <w:rFonts w:ascii="Palatino Linotype" w:hAnsi="Palatino Linotype" w:cs="Arial"/>
          <w:b/>
        </w:rPr>
        <w:t>ACTO IMPUGNADO</w:t>
      </w:r>
      <w:r w:rsidRPr="00CF1D3C">
        <w:rPr>
          <w:rFonts w:ascii="Palatino Linotype" w:hAnsi="Palatino Linotype" w:cs="Arial"/>
          <w:b/>
        </w:rPr>
        <w:tab/>
      </w:r>
    </w:p>
    <w:p w:rsidR="00095FEA" w:rsidRPr="00CF1D3C" w:rsidRDefault="00E32E51" w:rsidP="009C5463">
      <w:pPr>
        <w:pStyle w:val="Prrafodelista"/>
        <w:spacing w:line="360" w:lineRule="auto"/>
        <w:ind w:left="284" w:right="333"/>
        <w:jc w:val="both"/>
        <w:rPr>
          <w:rFonts w:ascii="Palatino Linotype" w:hAnsi="Palatino Linotype" w:cs="Arial"/>
          <w:i/>
        </w:rPr>
      </w:pPr>
      <w:r w:rsidRPr="00CF1D3C">
        <w:rPr>
          <w:rFonts w:ascii="Palatino Linotype" w:hAnsi="Palatino Linotype" w:cs="Arial"/>
          <w:i/>
        </w:rPr>
        <w:t>“</w:t>
      </w:r>
      <w:r w:rsidR="000B3CDC" w:rsidRPr="00CF1D3C">
        <w:rPr>
          <w:rFonts w:ascii="Palatino Linotype" w:hAnsi="Palatino Linotype" w:cs="Arial"/>
          <w:i/>
        </w:rPr>
        <w:t>Negativa de la información</w:t>
      </w:r>
      <w:r w:rsidRPr="00CF1D3C">
        <w:rPr>
          <w:rFonts w:ascii="Palatino Linotype" w:hAnsi="Palatino Linotype" w:cs="Arial"/>
          <w:i/>
        </w:rPr>
        <w:t>”</w:t>
      </w:r>
    </w:p>
    <w:p w:rsidR="00095FEA" w:rsidRPr="00CF1D3C" w:rsidRDefault="00095FEA" w:rsidP="009C5463">
      <w:pPr>
        <w:pStyle w:val="Prrafodelista"/>
        <w:spacing w:line="360" w:lineRule="auto"/>
        <w:ind w:left="284" w:right="333"/>
        <w:rPr>
          <w:rFonts w:ascii="Palatino Linotype" w:hAnsi="Palatino Linotype" w:cs="Arial"/>
          <w:b/>
        </w:rPr>
      </w:pPr>
    </w:p>
    <w:p w:rsidR="00095FEA" w:rsidRPr="00CF1D3C" w:rsidRDefault="00095FEA" w:rsidP="009C5463">
      <w:pPr>
        <w:pStyle w:val="Prrafodelista"/>
        <w:spacing w:line="360" w:lineRule="auto"/>
        <w:ind w:left="284" w:right="333"/>
        <w:rPr>
          <w:rFonts w:ascii="Palatino Linotype" w:hAnsi="Palatino Linotype" w:cs="Arial"/>
          <w:b/>
        </w:rPr>
      </w:pPr>
      <w:r w:rsidRPr="00CF1D3C">
        <w:rPr>
          <w:rFonts w:ascii="Palatino Linotype" w:hAnsi="Palatino Linotype" w:cs="Arial"/>
          <w:b/>
        </w:rPr>
        <w:t>RAZONES O MOTIVOS DE LA INCONFORMIDAD</w:t>
      </w:r>
      <w:r w:rsidRPr="00CF1D3C">
        <w:rPr>
          <w:rFonts w:ascii="Palatino Linotype" w:hAnsi="Palatino Linotype" w:cs="Arial"/>
          <w:b/>
        </w:rPr>
        <w:tab/>
      </w:r>
    </w:p>
    <w:p w:rsidR="00095FEA" w:rsidRPr="00CF1D3C" w:rsidRDefault="00E32E51" w:rsidP="009C5463">
      <w:pPr>
        <w:pStyle w:val="Prrafodelista"/>
        <w:spacing w:line="360" w:lineRule="auto"/>
        <w:ind w:left="284" w:right="333"/>
        <w:jc w:val="both"/>
        <w:rPr>
          <w:rFonts w:ascii="Palatino Linotype" w:hAnsi="Palatino Linotype" w:cs="Arial"/>
          <w:i/>
        </w:rPr>
      </w:pPr>
      <w:r w:rsidRPr="00CF1D3C">
        <w:rPr>
          <w:rFonts w:ascii="Palatino Linotype" w:hAnsi="Palatino Linotype" w:cs="Arial"/>
          <w:i/>
        </w:rPr>
        <w:t>“</w:t>
      </w:r>
      <w:r w:rsidR="000B3CDC" w:rsidRPr="00CF1D3C">
        <w:rPr>
          <w:rFonts w:ascii="Palatino Linotype" w:hAnsi="Palatino Linotype" w:cs="Arial"/>
          <w:i/>
        </w:rPr>
        <w:t>No se hace entrega de los oficios solicitados a pesar de ser publicos.</w:t>
      </w:r>
      <w:r w:rsidRPr="00CF1D3C">
        <w:rPr>
          <w:rFonts w:ascii="Palatino Linotype" w:hAnsi="Palatino Linotype" w:cs="Arial"/>
          <w:i/>
        </w:rPr>
        <w:t>”</w:t>
      </w:r>
    </w:p>
    <w:p w:rsidR="00E32E51" w:rsidRPr="00CF1D3C" w:rsidRDefault="00E32E51" w:rsidP="009C5463">
      <w:pPr>
        <w:pStyle w:val="Prrafodelista"/>
        <w:spacing w:line="360" w:lineRule="auto"/>
        <w:ind w:left="284" w:right="333"/>
        <w:jc w:val="both"/>
        <w:rPr>
          <w:rFonts w:ascii="Palatino Linotype" w:hAnsi="Palatino Linotype" w:cs="Arial"/>
          <w:i/>
        </w:rPr>
      </w:pPr>
    </w:p>
    <w:p w:rsidR="000B3CDC" w:rsidRPr="00CF1D3C" w:rsidRDefault="000B3CDC" w:rsidP="009C5463">
      <w:pPr>
        <w:pStyle w:val="Prrafodelista"/>
        <w:spacing w:line="360" w:lineRule="auto"/>
        <w:ind w:left="284" w:right="333"/>
        <w:rPr>
          <w:rFonts w:ascii="Palatino Linotype" w:hAnsi="Palatino Linotype" w:cs="Arial"/>
          <w:b/>
        </w:rPr>
      </w:pPr>
      <w:r w:rsidRPr="00CF1D3C">
        <w:rPr>
          <w:rFonts w:ascii="Palatino Linotype" w:hAnsi="Palatino Linotype" w:cs="Arial"/>
          <w:b/>
        </w:rPr>
        <w:t>00265/SMOV/IP/2022</w:t>
      </w:r>
    </w:p>
    <w:p w:rsidR="00095FEA" w:rsidRPr="00CF1D3C" w:rsidRDefault="00095FEA" w:rsidP="009C5463">
      <w:pPr>
        <w:pStyle w:val="Prrafodelista"/>
        <w:spacing w:line="360" w:lineRule="auto"/>
        <w:ind w:left="284" w:right="333"/>
        <w:rPr>
          <w:rFonts w:ascii="Palatino Linotype" w:hAnsi="Palatino Linotype" w:cs="Arial"/>
          <w:b/>
        </w:rPr>
      </w:pPr>
      <w:r w:rsidRPr="00CF1D3C">
        <w:rPr>
          <w:rFonts w:ascii="Palatino Linotype" w:hAnsi="Palatino Linotype" w:cs="Arial"/>
          <w:b/>
        </w:rPr>
        <w:t>ACTO IMPUGNADO</w:t>
      </w:r>
      <w:r w:rsidRPr="00CF1D3C">
        <w:rPr>
          <w:rFonts w:ascii="Palatino Linotype" w:hAnsi="Palatino Linotype" w:cs="Arial"/>
          <w:b/>
        </w:rPr>
        <w:tab/>
      </w:r>
    </w:p>
    <w:p w:rsidR="00095FEA" w:rsidRPr="00CF1D3C" w:rsidRDefault="00E32E51" w:rsidP="009C5463">
      <w:pPr>
        <w:pStyle w:val="Prrafodelista"/>
        <w:spacing w:line="360" w:lineRule="auto"/>
        <w:ind w:left="284" w:right="333"/>
        <w:jc w:val="both"/>
        <w:rPr>
          <w:rFonts w:ascii="Palatino Linotype" w:hAnsi="Palatino Linotype" w:cs="Arial"/>
          <w:i/>
        </w:rPr>
      </w:pPr>
      <w:r w:rsidRPr="00CF1D3C">
        <w:rPr>
          <w:rFonts w:ascii="Palatino Linotype" w:hAnsi="Palatino Linotype" w:cs="Arial"/>
          <w:i/>
        </w:rPr>
        <w:t>“</w:t>
      </w:r>
      <w:r w:rsidR="000B3CDC" w:rsidRPr="00CF1D3C">
        <w:rPr>
          <w:rFonts w:ascii="Palatino Linotype" w:hAnsi="Palatino Linotype" w:cs="Arial"/>
          <w:i/>
        </w:rPr>
        <w:t>Este sujeto obligado violenta los derechos humanos</w:t>
      </w:r>
      <w:r w:rsidRPr="00CF1D3C">
        <w:rPr>
          <w:rFonts w:ascii="Palatino Linotype" w:hAnsi="Palatino Linotype" w:cs="Arial"/>
          <w:i/>
        </w:rPr>
        <w:t>”</w:t>
      </w:r>
    </w:p>
    <w:p w:rsidR="009C5463" w:rsidRPr="00CF1D3C" w:rsidRDefault="009C5463" w:rsidP="009C5463">
      <w:pPr>
        <w:pStyle w:val="Prrafodelista"/>
        <w:spacing w:line="360" w:lineRule="auto"/>
        <w:ind w:left="284" w:right="333"/>
        <w:jc w:val="both"/>
        <w:rPr>
          <w:rFonts w:ascii="Palatino Linotype" w:hAnsi="Palatino Linotype" w:cs="Arial"/>
          <w:i/>
        </w:rPr>
      </w:pPr>
    </w:p>
    <w:p w:rsidR="00095FEA" w:rsidRPr="00CF1D3C" w:rsidRDefault="00095FEA" w:rsidP="009C5463">
      <w:pPr>
        <w:pStyle w:val="Prrafodelista"/>
        <w:spacing w:line="360" w:lineRule="auto"/>
        <w:ind w:left="284" w:right="333"/>
        <w:rPr>
          <w:rFonts w:ascii="Palatino Linotype" w:hAnsi="Palatino Linotype" w:cs="Arial"/>
          <w:b/>
        </w:rPr>
      </w:pPr>
      <w:r w:rsidRPr="00CF1D3C">
        <w:rPr>
          <w:rFonts w:ascii="Palatino Linotype" w:hAnsi="Palatino Linotype" w:cs="Arial"/>
          <w:b/>
        </w:rPr>
        <w:t>RAZONES O MOTIVOS DE LA INCONFORMIDAD</w:t>
      </w:r>
      <w:r w:rsidRPr="00CF1D3C">
        <w:rPr>
          <w:rFonts w:ascii="Palatino Linotype" w:hAnsi="Palatino Linotype" w:cs="Arial"/>
          <w:b/>
        </w:rPr>
        <w:tab/>
      </w:r>
    </w:p>
    <w:p w:rsidR="00095FEA" w:rsidRPr="00CF1D3C" w:rsidRDefault="00E32E51" w:rsidP="009C5463">
      <w:pPr>
        <w:pStyle w:val="Prrafodelista"/>
        <w:spacing w:line="360" w:lineRule="auto"/>
        <w:ind w:left="284" w:right="333"/>
        <w:rPr>
          <w:rFonts w:ascii="Palatino Linotype" w:hAnsi="Palatino Linotype" w:cs="Arial"/>
          <w:i/>
        </w:rPr>
      </w:pPr>
      <w:r w:rsidRPr="00CF1D3C">
        <w:rPr>
          <w:rFonts w:ascii="Palatino Linotype" w:hAnsi="Palatino Linotype" w:cs="Arial"/>
          <w:i/>
        </w:rPr>
        <w:t>“</w:t>
      </w:r>
      <w:r w:rsidR="000B3CDC" w:rsidRPr="00CF1D3C">
        <w:rPr>
          <w:rFonts w:ascii="Palatino Linotype" w:hAnsi="Palatino Linotype" w:cs="Arial"/>
          <w:i/>
        </w:rPr>
        <w:t>se solicita los oficios firmados y me entregan una relación, solicito la intervención del INFOEM para que me entreguen lo que solicite</w:t>
      </w:r>
      <w:r w:rsidRPr="00CF1D3C">
        <w:rPr>
          <w:rFonts w:ascii="Palatino Linotype" w:hAnsi="Palatino Linotype" w:cs="Arial"/>
          <w:i/>
        </w:rPr>
        <w:t>”</w:t>
      </w:r>
    </w:p>
    <w:p w:rsidR="00095FEA" w:rsidRPr="00CF1D3C" w:rsidRDefault="00095FEA" w:rsidP="009C5463">
      <w:pPr>
        <w:pStyle w:val="Prrafodelista"/>
        <w:spacing w:line="360" w:lineRule="auto"/>
        <w:ind w:left="284" w:right="333"/>
        <w:rPr>
          <w:rFonts w:ascii="Palatino Linotype" w:hAnsi="Palatino Linotype" w:cs="Arial"/>
        </w:rPr>
      </w:pPr>
    </w:p>
    <w:p w:rsidR="000B3CDC" w:rsidRPr="00CF1D3C" w:rsidRDefault="000B3CDC" w:rsidP="009C5463">
      <w:pPr>
        <w:pStyle w:val="Prrafodelista"/>
        <w:spacing w:line="360" w:lineRule="auto"/>
        <w:ind w:left="284" w:right="333"/>
        <w:rPr>
          <w:rFonts w:ascii="Palatino Linotype" w:hAnsi="Palatino Linotype" w:cs="Arial"/>
          <w:b/>
        </w:rPr>
      </w:pPr>
      <w:r w:rsidRPr="00CF1D3C">
        <w:rPr>
          <w:rFonts w:ascii="Palatino Linotype" w:hAnsi="Palatino Linotype" w:cs="Arial"/>
          <w:b/>
        </w:rPr>
        <w:t>00263/SMOV/IP/2022</w:t>
      </w:r>
    </w:p>
    <w:p w:rsidR="00095FEA" w:rsidRPr="00CF1D3C" w:rsidRDefault="00095FEA" w:rsidP="009C5463">
      <w:pPr>
        <w:pStyle w:val="Prrafodelista"/>
        <w:spacing w:line="360" w:lineRule="auto"/>
        <w:ind w:left="284" w:right="333"/>
        <w:rPr>
          <w:rFonts w:ascii="Palatino Linotype" w:hAnsi="Palatino Linotype" w:cs="Arial"/>
          <w:b/>
        </w:rPr>
      </w:pPr>
      <w:r w:rsidRPr="00CF1D3C">
        <w:rPr>
          <w:rFonts w:ascii="Palatino Linotype" w:hAnsi="Palatino Linotype" w:cs="Arial"/>
          <w:b/>
        </w:rPr>
        <w:t>ACTO IMPUGNADO</w:t>
      </w:r>
      <w:r w:rsidRPr="00CF1D3C">
        <w:rPr>
          <w:rFonts w:ascii="Palatino Linotype" w:hAnsi="Palatino Linotype" w:cs="Arial"/>
          <w:b/>
        </w:rPr>
        <w:tab/>
      </w:r>
    </w:p>
    <w:p w:rsidR="00095FEA" w:rsidRPr="00CF1D3C" w:rsidRDefault="00E32E51" w:rsidP="009C5463">
      <w:pPr>
        <w:pStyle w:val="Prrafodelista"/>
        <w:spacing w:line="360" w:lineRule="auto"/>
        <w:ind w:left="284" w:right="333"/>
        <w:jc w:val="both"/>
        <w:rPr>
          <w:rFonts w:ascii="Palatino Linotype" w:hAnsi="Palatino Linotype" w:cs="Arial"/>
          <w:i/>
        </w:rPr>
      </w:pPr>
      <w:r w:rsidRPr="00CF1D3C">
        <w:rPr>
          <w:rFonts w:ascii="Palatino Linotype" w:hAnsi="Palatino Linotype" w:cs="Arial"/>
          <w:i/>
        </w:rPr>
        <w:t>“</w:t>
      </w:r>
      <w:r w:rsidR="000B3CDC" w:rsidRPr="00CF1D3C">
        <w:rPr>
          <w:rFonts w:ascii="Palatino Linotype" w:hAnsi="Palatino Linotype" w:cs="Arial"/>
          <w:i/>
        </w:rPr>
        <w:t>el Sujeto Obligado violenta los derechos humanos</w:t>
      </w:r>
      <w:r w:rsidRPr="00CF1D3C">
        <w:rPr>
          <w:rFonts w:ascii="Palatino Linotype" w:hAnsi="Palatino Linotype" w:cs="Arial"/>
          <w:i/>
        </w:rPr>
        <w:t>”</w:t>
      </w:r>
    </w:p>
    <w:p w:rsidR="00095FEA" w:rsidRPr="00CF1D3C" w:rsidRDefault="00095FEA" w:rsidP="009C5463">
      <w:pPr>
        <w:pStyle w:val="Prrafodelista"/>
        <w:spacing w:line="360" w:lineRule="auto"/>
        <w:ind w:left="284" w:right="333"/>
        <w:rPr>
          <w:rFonts w:ascii="Palatino Linotype" w:hAnsi="Palatino Linotype" w:cs="Arial"/>
          <w:b/>
        </w:rPr>
      </w:pPr>
    </w:p>
    <w:p w:rsidR="00095FEA" w:rsidRPr="00CF1D3C" w:rsidRDefault="00095FEA" w:rsidP="009C5463">
      <w:pPr>
        <w:pStyle w:val="Prrafodelista"/>
        <w:spacing w:line="360" w:lineRule="auto"/>
        <w:ind w:left="284" w:right="333"/>
        <w:rPr>
          <w:rFonts w:ascii="Palatino Linotype" w:hAnsi="Palatino Linotype" w:cs="Arial"/>
          <w:b/>
        </w:rPr>
      </w:pPr>
      <w:r w:rsidRPr="00CF1D3C">
        <w:rPr>
          <w:rFonts w:ascii="Palatino Linotype" w:hAnsi="Palatino Linotype" w:cs="Arial"/>
          <w:b/>
        </w:rPr>
        <w:lastRenderedPageBreak/>
        <w:t>RAZONES O MOTIVOS DE LA INCONFORMIDAD</w:t>
      </w:r>
      <w:r w:rsidRPr="00CF1D3C">
        <w:rPr>
          <w:rFonts w:ascii="Palatino Linotype" w:hAnsi="Palatino Linotype" w:cs="Arial"/>
          <w:b/>
        </w:rPr>
        <w:tab/>
      </w:r>
    </w:p>
    <w:p w:rsidR="00095FEA" w:rsidRPr="00CF1D3C" w:rsidRDefault="00E32E51" w:rsidP="009C5463">
      <w:pPr>
        <w:pStyle w:val="Prrafodelista"/>
        <w:spacing w:line="360" w:lineRule="auto"/>
        <w:ind w:left="284" w:right="333"/>
        <w:rPr>
          <w:rFonts w:ascii="Palatino Linotype" w:hAnsi="Palatino Linotype" w:cs="Arial"/>
          <w:i/>
        </w:rPr>
      </w:pPr>
      <w:r w:rsidRPr="00CF1D3C">
        <w:rPr>
          <w:rFonts w:ascii="Palatino Linotype" w:hAnsi="Palatino Linotype" w:cs="Arial"/>
          <w:i/>
        </w:rPr>
        <w:t>“</w:t>
      </w:r>
      <w:r w:rsidR="000B3CDC" w:rsidRPr="00CF1D3C">
        <w:rPr>
          <w:rFonts w:ascii="Palatino Linotype" w:hAnsi="Palatino Linotype" w:cs="Arial"/>
          <w:i/>
        </w:rPr>
        <w:t>No entrega la informaciión diciendo que no tiene las herramientas.</w:t>
      </w:r>
      <w:r w:rsidRPr="00CF1D3C">
        <w:rPr>
          <w:rFonts w:ascii="Palatino Linotype" w:hAnsi="Palatino Linotype" w:cs="Arial"/>
          <w:i/>
        </w:rPr>
        <w:t>”</w:t>
      </w:r>
    </w:p>
    <w:p w:rsidR="00095FEA" w:rsidRPr="00CF1D3C" w:rsidRDefault="00095FEA" w:rsidP="009C5463">
      <w:pPr>
        <w:pStyle w:val="Prrafodelista"/>
        <w:spacing w:line="360" w:lineRule="auto"/>
        <w:ind w:left="284" w:right="333"/>
        <w:rPr>
          <w:rFonts w:ascii="Palatino Linotype" w:hAnsi="Palatino Linotype" w:cs="Arial"/>
        </w:rPr>
      </w:pPr>
    </w:p>
    <w:p w:rsidR="000B3CDC" w:rsidRPr="00CF1D3C" w:rsidRDefault="000B3CDC" w:rsidP="009C5463">
      <w:pPr>
        <w:pStyle w:val="Prrafodelista"/>
        <w:spacing w:line="360" w:lineRule="auto"/>
        <w:ind w:left="284" w:right="333"/>
        <w:rPr>
          <w:rFonts w:ascii="Palatino Linotype" w:hAnsi="Palatino Linotype" w:cs="Arial"/>
          <w:b/>
        </w:rPr>
      </w:pPr>
      <w:r w:rsidRPr="00CF1D3C">
        <w:rPr>
          <w:rFonts w:ascii="Palatino Linotype" w:hAnsi="Palatino Linotype" w:cs="Arial"/>
          <w:b/>
        </w:rPr>
        <w:t>00262/SMOV/IP/2022</w:t>
      </w:r>
    </w:p>
    <w:p w:rsidR="00095FEA" w:rsidRPr="00CF1D3C" w:rsidRDefault="00095FEA" w:rsidP="009C5463">
      <w:pPr>
        <w:pStyle w:val="Prrafodelista"/>
        <w:spacing w:line="360" w:lineRule="auto"/>
        <w:ind w:left="284" w:right="333"/>
        <w:rPr>
          <w:rFonts w:ascii="Palatino Linotype" w:hAnsi="Palatino Linotype" w:cs="Arial"/>
          <w:b/>
        </w:rPr>
      </w:pPr>
      <w:r w:rsidRPr="00CF1D3C">
        <w:rPr>
          <w:rFonts w:ascii="Palatino Linotype" w:hAnsi="Palatino Linotype" w:cs="Arial"/>
          <w:b/>
        </w:rPr>
        <w:t>ACTO IMPUGNADO</w:t>
      </w:r>
      <w:r w:rsidRPr="00CF1D3C">
        <w:rPr>
          <w:rFonts w:ascii="Palatino Linotype" w:hAnsi="Palatino Linotype" w:cs="Arial"/>
          <w:b/>
        </w:rPr>
        <w:tab/>
      </w:r>
    </w:p>
    <w:p w:rsidR="00095FEA" w:rsidRPr="00CF1D3C" w:rsidRDefault="00E32E51" w:rsidP="009C5463">
      <w:pPr>
        <w:pStyle w:val="Prrafodelista"/>
        <w:spacing w:line="360" w:lineRule="auto"/>
        <w:ind w:left="284" w:right="333"/>
        <w:rPr>
          <w:rFonts w:ascii="Palatino Linotype" w:hAnsi="Palatino Linotype" w:cs="Arial"/>
          <w:i/>
        </w:rPr>
      </w:pPr>
      <w:r w:rsidRPr="00CF1D3C">
        <w:rPr>
          <w:rFonts w:ascii="Palatino Linotype" w:hAnsi="Palatino Linotype" w:cs="Arial"/>
          <w:i/>
        </w:rPr>
        <w:t>“</w:t>
      </w:r>
      <w:r w:rsidR="000B3CDC" w:rsidRPr="00CF1D3C">
        <w:rPr>
          <w:rFonts w:ascii="Palatino Linotype" w:hAnsi="Palatino Linotype" w:cs="Arial"/>
          <w:i/>
        </w:rPr>
        <w:t>Me niega la información a pesar de ser publica</w:t>
      </w:r>
      <w:r w:rsidRPr="00CF1D3C">
        <w:rPr>
          <w:rFonts w:ascii="Palatino Linotype" w:hAnsi="Palatino Linotype" w:cs="Arial"/>
          <w:i/>
        </w:rPr>
        <w:t>”</w:t>
      </w:r>
    </w:p>
    <w:p w:rsidR="000B3CDC" w:rsidRPr="00CF1D3C" w:rsidRDefault="000B3CDC" w:rsidP="009C5463">
      <w:pPr>
        <w:pStyle w:val="Prrafodelista"/>
        <w:spacing w:line="360" w:lineRule="auto"/>
        <w:ind w:left="284" w:right="333"/>
        <w:rPr>
          <w:rFonts w:ascii="Palatino Linotype" w:hAnsi="Palatino Linotype" w:cs="Arial"/>
          <w:b/>
        </w:rPr>
      </w:pPr>
    </w:p>
    <w:p w:rsidR="00095FEA" w:rsidRPr="00CF1D3C" w:rsidRDefault="00095FEA" w:rsidP="009C5463">
      <w:pPr>
        <w:pStyle w:val="Prrafodelista"/>
        <w:spacing w:line="360" w:lineRule="auto"/>
        <w:ind w:left="284" w:right="333"/>
        <w:rPr>
          <w:rFonts w:ascii="Palatino Linotype" w:hAnsi="Palatino Linotype" w:cs="Arial"/>
          <w:b/>
        </w:rPr>
      </w:pPr>
      <w:r w:rsidRPr="00CF1D3C">
        <w:rPr>
          <w:rFonts w:ascii="Palatino Linotype" w:hAnsi="Palatino Linotype" w:cs="Arial"/>
          <w:b/>
        </w:rPr>
        <w:t>RAZONES O MOTIVOS DE LA INCONFORMIDAD</w:t>
      </w:r>
      <w:r w:rsidRPr="00CF1D3C">
        <w:rPr>
          <w:rFonts w:ascii="Palatino Linotype" w:hAnsi="Palatino Linotype" w:cs="Arial"/>
          <w:b/>
        </w:rPr>
        <w:tab/>
      </w:r>
    </w:p>
    <w:p w:rsidR="00095FEA" w:rsidRPr="00CF1D3C" w:rsidRDefault="00E32E51" w:rsidP="009C5463">
      <w:pPr>
        <w:pStyle w:val="Prrafodelista"/>
        <w:spacing w:line="360" w:lineRule="auto"/>
        <w:ind w:left="284" w:right="333"/>
        <w:rPr>
          <w:rFonts w:ascii="Palatino Linotype" w:hAnsi="Palatino Linotype" w:cs="Arial"/>
          <w:i/>
        </w:rPr>
      </w:pPr>
      <w:r w:rsidRPr="00CF1D3C">
        <w:rPr>
          <w:rFonts w:ascii="Palatino Linotype" w:hAnsi="Palatino Linotype" w:cs="Arial"/>
          <w:i/>
        </w:rPr>
        <w:t>“</w:t>
      </w:r>
      <w:r w:rsidR="000B3CDC" w:rsidRPr="00CF1D3C">
        <w:rPr>
          <w:rFonts w:ascii="Palatino Linotype" w:hAnsi="Palatino Linotype" w:cs="Arial"/>
          <w:i/>
        </w:rPr>
        <w:t>No entregan la informacion cuando debe ser publica.</w:t>
      </w:r>
      <w:r w:rsidRPr="00CF1D3C">
        <w:rPr>
          <w:rFonts w:ascii="Palatino Linotype" w:hAnsi="Palatino Linotype" w:cs="Arial"/>
          <w:i/>
        </w:rPr>
        <w:t>”</w:t>
      </w:r>
    </w:p>
    <w:p w:rsidR="00095FEA" w:rsidRPr="00CF1D3C" w:rsidRDefault="00095FEA" w:rsidP="009C5463">
      <w:pPr>
        <w:pStyle w:val="Prrafodelista"/>
        <w:spacing w:line="360" w:lineRule="auto"/>
        <w:ind w:left="284" w:right="333"/>
        <w:rPr>
          <w:rFonts w:ascii="Palatino Linotype" w:hAnsi="Palatino Linotype" w:cs="Arial"/>
        </w:rPr>
      </w:pPr>
    </w:p>
    <w:bookmarkEnd w:id="3"/>
    <w:bookmarkEnd w:id="4"/>
    <w:bookmarkEnd w:id="5"/>
    <w:p w:rsidR="00451985" w:rsidRPr="00CF1D3C" w:rsidRDefault="00451985" w:rsidP="00A307A0">
      <w:pPr>
        <w:pStyle w:val="Prrafodelista"/>
        <w:numPr>
          <w:ilvl w:val="0"/>
          <w:numId w:val="1"/>
        </w:numPr>
        <w:tabs>
          <w:tab w:val="left" w:pos="0"/>
        </w:tabs>
        <w:spacing w:line="360" w:lineRule="auto"/>
        <w:ind w:left="0" w:right="49" w:firstLine="0"/>
        <w:jc w:val="both"/>
        <w:rPr>
          <w:rFonts w:ascii="Palatino Linotype" w:hAnsi="Palatino Linotype"/>
        </w:rPr>
      </w:pPr>
      <w:r w:rsidRPr="00CF1D3C">
        <w:rPr>
          <w:rFonts w:ascii="Palatino Linotype" w:hAnsi="Palatino Linotype"/>
        </w:rPr>
        <w:t>Consecutivamente</w:t>
      </w:r>
      <w:r w:rsidRPr="00CF1D3C">
        <w:rPr>
          <w:rFonts w:ascii="Palatino Linotype" w:hAnsi="Palatino Linotype"/>
          <w:i/>
        </w:rPr>
        <w:t xml:space="preserve">, </w:t>
      </w:r>
      <w:r w:rsidRPr="00CF1D3C">
        <w:rPr>
          <w:rFonts w:ascii="Palatino Linotype" w:hAnsi="Palatino Linotype"/>
        </w:rPr>
        <w:t xml:space="preserve">con fundamento en lo dispuesto por el artículo 185 fracción I de la Ley de Transparencia y Acceso a la Información Pública del Estado de </w:t>
      </w:r>
      <w:r w:rsidRPr="00CF1D3C">
        <w:rPr>
          <w:rFonts w:ascii="Palatino Linotype" w:hAnsi="Palatino Linotype"/>
          <w:lang w:val="es-ES"/>
        </w:rPr>
        <w:t xml:space="preserve">México y Municipios, </w:t>
      </w:r>
      <w:r w:rsidRPr="00CF1D3C">
        <w:rPr>
          <w:rFonts w:ascii="Palatino Linotype" w:hAnsi="Palatino Linotype"/>
        </w:rPr>
        <w:t>los recursos de referencia, fueron turnados</w:t>
      </w:r>
      <w:r w:rsidRPr="00CF1D3C">
        <w:rPr>
          <w:rFonts w:ascii="Palatino Linotype" w:hAnsi="Palatino Linotype"/>
          <w:b/>
          <w:lang w:val="es-ES"/>
        </w:rPr>
        <w:t xml:space="preserve"> </w:t>
      </w:r>
      <w:r w:rsidRPr="00CF1D3C">
        <w:rPr>
          <w:rFonts w:ascii="Palatino Linotype" w:hAnsi="Palatino Linotype"/>
          <w:lang w:val="es-ES"/>
        </w:rPr>
        <w:t xml:space="preserve">a los </w:t>
      </w:r>
      <w:r w:rsidRPr="00CF1D3C">
        <w:rPr>
          <w:rFonts w:ascii="Palatino Linotype" w:hAnsi="Palatino Linotype"/>
          <w:b/>
          <w:lang w:val="es-ES"/>
        </w:rPr>
        <w:t>Comisionados José Martínez Vilchis, María del Rosario Mejía Ayala, Luis Gustavo Parra Noriega</w:t>
      </w:r>
      <w:r w:rsidRPr="00CF1D3C">
        <w:rPr>
          <w:rFonts w:ascii="Palatino Linotype" w:hAnsi="Palatino Linotype"/>
          <w:lang w:val="es-ES"/>
        </w:rPr>
        <w:t xml:space="preserve"> y</w:t>
      </w:r>
      <w:r w:rsidRPr="00CF1D3C">
        <w:rPr>
          <w:rFonts w:ascii="Palatino Linotype" w:hAnsi="Palatino Linotype"/>
          <w:b/>
          <w:lang w:val="es-ES"/>
        </w:rPr>
        <w:t xml:space="preserve"> Guadalupe Ramírez Peña</w:t>
      </w:r>
      <w:r w:rsidRPr="00CF1D3C">
        <w:rPr>
          <w:rFonts w:ascii="Palatino Linotype" w:hAnsi="Palatino Linotype"/>
          <w:lang w:val="es-ES"/>
        </w:rPr>
        <w:t xml:space="preserve"> respectivamente,</w:t>
      </w:r>
      <w:r w:rsidRPr="00CF1D3C">
        <w:rPr>
          <w:rFonts w:ascii="Palatino Linotype" w:hAnsi="Palatino Linotype"/>
          <w:b/>
          <w:lang w:val="es-ES"/>
        </w:rPr>
        <w:t xml:space="preserve"> </w:t>
      </w:r>
      <w:r w:rsidRPr="00CF1D3C">
        <w:rPr>
          <w:rFonts w:ascii="Palatino Linotype" w:hAnsi="Palatino Linotype"/>
          <w:lang w:val="es-ES"/>
        </w:rPr>
        <w:t xml:space="preserve">con el objeto de su análisis; </w:t>
      </w:r>
      <w:r w:rsidRPr="00CF1D3C">
        <w:rPr>
          <w:rFonts w:ascii="Palatino Linotype" w:hAnsi="Palatino Linotype"/>
        </w:rPr>
        <w:t>posteriormente el Pleno de este Órgano Autónomo, en la</w:t>
      </w:r>
      <w:r w:rsidRPr="00CF1D3C">
        <w:rPr>
          <w:rFonts w:ascii="Palatino Linotype" w:hAnsi="Palatino Linotype"/>
          <w:b/>
        </w:rPr>
        <w:t xml:space="preserve"> </w:t>
      </w:r>
      <w:r w:rsidR="000B3CDC" w:rsidRPr="00CF1D3C">
        <w:rPr>
          <w:rFonts w:ascii="Palatino Linotype" w:hAnsi="Palatino Linotype"/>
          <w:b/>
        </w:rPr>
        <w:t>Vigésima Sexta</w:t>
      </w:r>
      <w:r w:rsidRPr="00CF1D3C">
        <w:rPr>
          <w:rFonts w:ascii="Palatino Linotype" w:hAnsi="Palatino Linotype"/>
          <w:b/>
        </w:rPr>
        <w:t xml:space="preserve"> Sesión Ordinaria </w:t>
      </w:r>
      <w:r w:rsidRPr="00CF1D3C">
        <w:rPr>
          <w:rFonts w:ascii="Palatino Linotype" w:hAnsi="Palatino Linotype"/>
        </w:rPr>
        <w:t>de fecha</w:t>
      </w:r>
      <w:r w:rsidRPr="00CF1D3C">
        <w:rPr>
          <w:rFonts w:ascii="Palatino Linotype" w:hAnsi="Palatino Linotype"/>
          <w:b/>
        </w:rPr>
        <w:t xml:space="preserve"> </w:t>
      </w:r>
      <w:r w:rsidR="000B3CDC" w:rsidRPr="00CF1D3C">
        <w:rPr>
          <w:rFonts w:ascii="Palatino Linotype" w:hAnsi="Palatino Linotype"/>
          <w:b/>
        </w:rPr>
        <w:t>trece</w:t>
      </w:r>
      <w:r w:rsidRPr="00CF1D3C">
        <w:rPr>
          <w:rFonts w:ascii="Palatino Linotype" w:hAnsi="Palatino Linotype"/>
          <w:b/>
        </w:rPr>
        <w:t xml:space="preserve"> (</w:t>
      </w:r>
      <w:r w:rsidR="000B3CDC" w:rsidRPr="00CF1D3C">
        <w:rPr>
          <w:rFonts w:ascii="Palatino Linotype" w:hAnsi="Palatino Linotype"/>
          <w:b/>
        </w:rPr>
        <w:t>13</w:t>
      </w:r>
      <w:r w:rsidRPr="00CF1D3C">
        <w:rPr>
          <w:rFonts w:ascii="Palatino Linotype" w:hAnsi="Palatino Linotype"/>
          <w:b/>
        </w:rPr>
        <w:t xml:space="preserve">) de </w:t>
      </w:r>
      <w:r w:rsidR="000B3CDC" w:rsidRPr="00CF1D3C">
        <w:rPr>
          <w:rFonts w:ascii="Palatino Linotype" w:hAnsi="Palatino Linotype"/>
          <w:b/>
        </w:rPr>
        <w:t>juli</w:t>
      </w:r>
      <w:r w:rsidR="00095FEA" w:rsidRPr="00CF1D3C">
        <w:rPr>
          <w:rFonts w:ascii="Palatino Linotype" w:hAnsi="Palatino Linotype"/>
          <w:b/>
        </w:rPr>
        <w:t>o</w:t>
      </w:r>
      <w:r w:rsidRPr="00CF1D3C">
        <w:rPr>
          <w:rFonts w:ascii="Palatino Linotype" w:hAnsi="Palatino Linotype"/>
        </w:rPr>
        <w:t xml:space="preserve"> </w:t>
      </w:r>
      <w:r w:rsidRPr="00CF1D3C">
        <w:rPr>
          <w:rFonts w:ascii="Palatino Linotype" w:hAnsi="Palatino Linotype"/>
          <w:b/>
        </w:rPr>
        <w:t xml:space="preserve">de </w:t>
      </w:r>
      <w:r w:rsidR="00095FEA" w:rsidRPr="00CF1D3C">
        <w:rPr>
          <w:rFonts w:ascii="Palatino Linotype" w:hAnsi="Palatino Linotype"/>
          <w:b/>
        </w:rPr>
        <w:t>dos mil veintidós</w:t>
      </w:r>
      <w:r w:rsidRPr="00CF1D3C">
        <w:rPr>
          <w:rFonts w:ascii="Palatino Linotype" w:hAnsi="Palatino Linotype"/>
        </w:rPr>
        <w:t xml:space="preserve">; ordenó la acumulación de los recursos de revisión ya descritos, a efecto de que la Ponencia de la </w:t>
      </w:r>
      <w:r w:rsidRPr="00CF1D3C">
        <w:rPr>
          <w:rFonts w:ascii="Palatino Linotype" w:hAnsi="Palatino Linotype"/>
          <w:b/>
        </w:rPr>
        <w:t xml:space="preserve">Comisionada María del Rosario Mejía Ayala </w:t>
      </w:r>
      <w:r w:rsidRPr="00CF1D3C">
        <w:rPr>
          <w:rFonts w:ascii="Palatino Linotype" w:hAnsi="Palatino Linotype"/>
        </w:rPr>
        <w:t xml:space="preserve">formulara y presentara el proyecto de resolución correspondiente, de conformidad con el numeral ONCE incisos b) y c) de los Lineamientos para la Recepción, Trámite y Resolución de las Solicitudes de </w:t>
      </w:r>
      <w:r w:rsidRPr="00CF1D3C">
        <w:rPr>
          <w:rFonts w:ascii="Palatino Linotype" w:hAnsi="Palatino Linotype"/>
        </w:rPr>
        <w:lastRenderedPageBreak/>
        <w:t>Acceso a la Información Pública, así como de los Recursos de Revisión que deberán observar los Sujetos Obligados por la Ley de Transparencia Estatal</w:t>
      </w:r>
      <w:r w:rsidRPr="00CF1D3C">
        <w:rPr>
          <w:rFonts w:ascii="Palatino Linotype" w:hAnsi="Palatino Linotype"/>
          <w:i/>
          <w:vertAlign w:val="superscript"/>
        </w:rPr>
        <w:footnoteReference w:id="1"/>
      </w:r>
      <w:r w:rsidRPr="00CF1D3C">
        <w:rPr>
          <w:rFonts w:ascii="Palatino Linotype" w:hAnsi="Palatino Linotype"/>
        </w:rPr>
        <w:t>, que señala:</w:t>
      </w:r>
    </w:p>
    <w:p w:rsidR="00451985" w:rsidRPr="00CF1D3C" w:rsidRDefault="00451985" w:rsidP="00451985">
      <w:pPr>
        <w:pStyle w:val="Prrafodelista"/>
        <w:tabs>
          <w:tab w:val="left" w:pos="0"/>
        </w:tabs>
        <w:spacing w:line="360" w:lineRule="auto"/>
        <w:ind w:left="0" w:right="49"/>
        <w:jc w:val="both"/>
        <w:rPr>
          <w:rFonts w:ascii="Palatino Linotype" w:hAnsi="Palatino Linotype"/>
        </w:rPr>
      </w:pPr>
    </w:p>
    <w:p w:rsidR="00451985" w:rsidRPr="00CF1D3C" w:rsidRDefault="00451985" w:rsidP="00451985">
      <w:pPr>
        <w:pStyle w:val="Prrafodelista"/>
        <w:tabs>
          <w:tab w:val="left" w:pos="426"/>
        </w:tabs>
        <w:spacing w:line="360" w:lineRule="auto"/>
        <w:ind w:left="567" w:right="616"/>
        <w:jc w:val="both"/>
        <w:rPr>
          <w:rFonts w:ascii="Palatino Linotype" w:hAnsi="Palatino Linotype"/>
          <w:i/>
          <w:lang w:val="es-ES"/>
        </w:rPr>
      </w:pPr>
      <w:r w:rsidRPr="00CF1D3C">
        <w:rPr>
          <w:rFonts w:ascii="Palatino Linotype" w:hAnsi="Palatino Linotype"/>
          <w:b/>
          <w:i/>
          <w:lang w:val="es-ES"/>
        </w:rPr>
        <w:t>“ONCE.</w:t>
      </w:r>
      <w:r w:rsidRPr="00CF1D3C">
        <w:rPr>
          <w:rFonts w:ascii="Palatino Linotype" w:hAnsi="Palatino Linotype"/>
          <w:i/>
          <w:lang w:val="es-ES"/>
        </w:rPr>
        <w:t xml:space="preserve"> El Instituto, para mejor resolver y evitar la emisión de resoluciones contradictorias, podrá acordar la acumulación de los expedientes de recursos de revisión, de oficio o a petición de parte cuando:</w:t>
      </w:r>
    </w:p>
    <w:p w:rsidR="00451985" w:rsidRPr="00CF1D3C" w:rsidRDefault="00451985" w:rsidP="00451985">
      <w:pPr>
        <w:pStyle w:val="Prrafodelista"/>
        <w:tabs>
          <w:tab w:val="left" w:pos="426"/>
        </w:tabs>
        <w:spacing w:line="360" w:lineRule="auto"/>
        <w:ind w:left="567" w:right="616"/>
        <w:jc w:val="both"/>
        <w:rPr>
          <w:rFonts w:ascii="Palatino Linotype" w:hAnsi="Palatino Linotype"/>
          <w:i/>
          <w:lang w:val="es-ES"/>
        </w:rPr>
      </w:pPr>
      <w:r w:rsidRPr="00CF1D3C">
        <w:rPr>
          <w:rFonts w:ascii="Palatino Linotype" w:hAnsi="Palatino Linotype"/>
          <w:i/>
          <w:lang w:val="es-ES"/>
        </w:rPr>
        <w:t>…</w:t>
      </w:r>
      <w:r w:rsidRPr="00CF1D3C">
        <w:rPr>
          <w:rFonts w:ascii="Palatino Linotype" w:hAnsi="Palatino Linotype"/>
          <w:i/>
          <w:lang w:val="es-ES"/>
        </w:rPr>
        <w:tab/>
      </w:r>
    </w:p>
    <w:p w:rsidR="00451985" w:rsidRPr="00CF1D3C" w:rsidRDefault="00451985" w:rsidP="00451985">
      <w:pPr>
        <w:pStyle w:val="Prrafodelista"/>
        <w:tabs>
          <w:tab w:val="left" w:pos="426"/>
        </w:tabs>
        <w:spacing w:line="360" w:lineRule="auto"/>
        <w:ind w:left="567" w:right="616"/>
        <w:jc w:val="both"/>
        <w:rPr>
          <w:rFonts w:ascii="Palatino Linotype" w:hAnsi="Palatino Linotype"/>
          <w:i/>
          <w:lang w:val="es-ES"/>
        </w:rPr>
      </w:pPr>
      <w:r w:rsidRPr="00CF1D3C">
        <w:rPr>
          <w:rFonts w:ascii="Palatino Linotype" w:hAnsi="Palatino Linotype"/>
          <w:i/>
          <w:lang w:val="es-ES"/>
        </w:rPr>
        <w:t>b) Las partes o los actos impugnados sean iguales</w:t>
      </w:r>
    </w:p>
    <w:p w:rsidR="00451985" w:rsidRPr="00CF1D3C" w:rsidRDefault="00451985" w:rsidP="00451985">
      <w:pPr>
        <w:pStyle w:val="Prrafodelista"/>
        <w:tabs>
          <w:tab w:val="left" w:pos="426"/>
        </w:tabs>
        <w:spacing w:line="360" w:lineRule="auto"/>
        <w:ind w:left="567" w:right="616"/>
        <w:jc w:val="both"/>
        <w:rPr>
          <w:rFonts w:ascii="Palatino Linotype" w:hAnsi="Palatino Linotype"/>
          <w:i/>
          <w:lang w:val="es-ES"/>
        </w:rPr>
      </w:pPr>
      <w:r w:rsidRPr="00CF1D3C">
        <w:rPr>
          <w:rFonts w:ascii="Palatino Linotype" w:hAnsi="Palatino Linotype"/>
          <w:i/>
          <w:lang w:val="es-ES"/>
        </w:rPr>
        <w:t>c) Cuando se trate del mismo solicitante, el mismo SUJETO OBLIGADO, aunque se trate de solicitudes diversas;</w:t>
      </w:r>
    </w:p>
    <w:p w:rsidR="00451985" w:rsidRPr="00CF1D3C" w:rsidRDefault="00451985" w:rsidP="00451985">
      <w:pPr>
        <w:pStyle w:val="Prrafodelista"/>
        <w:tabs>
          <w:tab w:val="left" w:pos="426"/>
        </w:tabs>
        <w:spacing w:line="360" w:lineRule="auto"/>
        <w:ind w:left="567" w:right="616"/>
        <w:jc w:val="both"/>
        <w:rPr>
          <w:rFonts w:ascii="Palatino Linotype" w:hAnsi="Palatino Linotype"/>
          <w:i/>
          <w:lang w:val="es-ES"/>
        </w:rPr>
      </w:pPr>
      <w:r w:rsidRPr="00CF1D3C">
        <w:rPr>
          <w:rFonts w:ascii="Palatino Linotype" w:hAnsi="Palatino Linotype"/>
          <w:i/>
          <w:lang w:val="es-ES"/>
        </w:rPr>
        <w:t>(…)”</w:t>
      </w:r>
    </w:p>
    <w:p w:rsidR="00451985" w:rsidRPr="00CF1D3C" w:rsidRDefault="00451985" w:rsidP="00451985">
      <w:pPr>
        <w:pStyle w:val="Prrafodelista"/>
        <w:tabs>
          <w:tab w:val="left" w:pos="426"/>
        </w:tabs>
        <w:spacing w:line="360" w:lineRule="auto"/>
        <w:ind w:left="567" w:right="616"/>
        <w:jc w:val="both"/>
        <w:rPr>
          <w:rFonts w:ascii="Palatino Linotype" w:hAnsi="Palatino Linotype"/>
          <w:lang w:val="es-ES"/>
        </w:rPr>
      </w:pPr>
      <w:r w:rsidRPr="00CF1D3C">
        <w:rPr>
          <w:rFonts w:ascii="Palatino Linotype" w:hAnsi="Palatino Linotype"/>
          <w:lang w:val="es-ES"/>
        </w:rPr>
        <w:t>(Énfasis añadido)</w:t>
      </w:r>
    </w:p>
    <w:p w:rsidR="00BC3A1C" w:rsidRPr="00CF1D3C" w:rsidRDefault="00BC3A1C" w:rsidP="00451985">
      <w:pPr>
        <w:pStyle w:val="Prrafodelista"/>
        <w:tabs>
          <w:tab w:val="left" w:pos="426"/>
        </w:tabs>
        <w:spacing w:line="360" w:lineRule="auto"/>
        <w:ind w:left="567" w:right="616"/>
        <w:jc w:val="both"/>
        <w:rPr>
          <w:rFonts w:ascii="Palatino Linotype" w:hAnsi="Palatino Linotype"/>
          <w:lang w:val="es-ES"/>
        </w:rPr>
      </w:pPr>
    </w:p>
    <w:p w:rsidR="00451985" w:rsidRPr="00CF1D3C" w:rsidRDefault="00451985" w:rsidP="00A307A0">
      <w:pPr>
        <w:pStyle w:val="Prrafodelista"/>
        <w:numPr>
          <w:ilvl w:val="0"/>
          <w:numId w:val="1"/>
        </w:numPr>
        <w:tabs>
          <w:tab w:val="left" w:pos="0"/>
        </w:tabs>
        <w:spacing w:line="360" w:lineRule="auto"/>
        <w:ind w:left="0" w:right="49" w:firstLine="0"/>
        <w:jc w:val="both"/>
        <w:rPr>
          <w:rFonts w:ascii="Palatino Linotype" w:hAnsi="Palatino Linotype"/>
        </w:rPr>
      </w:pPr>
      <w:r w:rsidRPr="00CF1D3C">
        <w:rPr>
          <w:rFonts w:ascii="Palatino Linotype" w:hAnsi="Palatino Linotype"/>
        </w:rPr>
        <w:t>Es así que,</w:t>
      </w:r>
      <w:r w:rsidRPr="00CF1D3C">
        <w:rPr>
          <w:rFonts w:ascii="Palatino Linotype" w:hAnsi="Palatino Linotype"/>
          <w:i/>
        </w:rPr>
        <w:t xml:space="preserve"> </w:t>
      </w:r>
      <w:r w:rsidRPr="00CF1D3C">
        <w:rPr>
          <w:rFonts w:ascii="Palatino Linotype" w:hAnsi="Palatino Linotype"/>
        </w:rPr>
        <w:t>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451985" w:rsidRPr="00CF1D3C" w:rsidRDefault="00451985" w:rsidP="00095FEA">
      <w:pPr>
        <w:tabs>
          <w:tab w:val="left" w:pos="567"/>
        </w:tabs>
        <w:spacing w:line="360" w:lineRule="auto"/>
        <w:ind w:left="567" w:right="616"/>
        <w:jc w:val="center"/>
        <w:rPr>
          <w:rFonts w:ascii="Palatino Linotype" w:hAnsi="Palatino Linotype"/>
          <w:b/>
          <w:i/>
        </w:rPr>
      </w:pPr>
      <w:r w:rsidRPr="00CF1D3C">
        <w:rPr>
          <w:rFonts w:ascii="Palatino Linotype" w:hAnsi="Palatino Linotype"/>
          <w:b/>
          <w:i/>
        </w:rPr>
        <w:lastRenderedPageBreak/>
        <w:t>Código de Procedimientos Administrativos del Estado de México.</w:t>
      </w:r>
    </w:p>
    <w:p w:rsidR="00451985" w:rsidRPr="00CF1D3C" w:rsidRDefault="00451985" w:rsidP="00095FEA">
      <w:pPr>
        <w:tabs>
          <w:tab w:val="left" w:pos="567"/>
          <w:tab w:val="left" w:pos="851"/>
        </w:tabs>
        <w:spacing w:line="276" w:lineRule="auto"/>
        <w:ind w:left="851" w:right="616"/>
        <w:jc w:val="both"/>
        <w:rPr>
          <w:rFonts w:ascii="Palatino Linotype" w:hAnsi="Palatino Linotype"/>
          <w:i/>
        </w:rPr>
      </w:pPr>
      <w:r w:rsidRPr="00CF1D3C">
        <w:rPr>
          <w:rFonts w:ascii="Palatino Linotype" w:hAnsi="Palatino Linotype"/>
          <w:b/>
          <w:i/>
        </w:rPr>
        <w:t>“Artículo 18.-</w:t>
      </w:r>
      <w:r w:rsidRPr="00CF1D3C">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387C55" w:rsidRPr="00CF1D3C" w:rsidRDefault="00387C55" w:rsidP="00095FEA">
      <w:pPr>
        <w:tabs>
          <w:tab w:val="left" w:pos="567"/>
          <w:tab w:val="left" w:pos="851"/>
        </w:tabs>
        <w:spacing w:line="276" w:lineRule="auto"/>
        <w:ind w:left="851" w:right="616"/>
        <w:jc w:val="both"/>
        <w:rPr>
          <w:rFonts w:ascii="Palatino Linotype" w:hAnsi="Palatino Linotype"/>
          <w:i/>
        </w:rPr>
      </w:pPr>
    </w:p>
    <w:p w:rsidR="00451985" w:rsidRPr="00CF1D3C" w:rsidRDefault="00451985" w:rsidP="00095FEA">
      <w:pPr>
        <w:tabs>
          <w:tab w:val="left" w:pos="567"/>
        </w:tabs>
        <w:spacing w:line="360" w:lineRule="auto"/>
        <w:ind w:left="851" w:right="618"/>
        <w:jc w:val="both"/>
        <w:rPr>
          <w:rFonts w:ascii="Palatino Linotype" w:hAnsi="Palatino Linotype"/>
          <w:b/>
          <w:i/>
        </w:rPr>
      </w:pPr>
      <w:r w:rsidRPr="00CF1D3C">
        <w:rPr>
          <w:rFonts w:ascii="Palatino Linotype" w:hAnsi="Palatino Linotype"/>
          <w:b/>
          <w:i/>
        </w:rPr>
        <w:t>Ley de Transparencia y Acceso a la Información Pública del Estado de México y Municipios</w:t>
      </w:r>
    </w:p>
    <w:p w:rsidR="00451985" w:rsidRPr="00CF1D3C" w:rsidRDefault="00451985" w:rsidP="00095FEA">
      <w:pPr>
        <w:tabs>
          <w:tab w:val="left" w:pos="567"/>
        </w:tabs>
        <w:spacing w:line="360" w:lineRule="auto"/>
        <w:ind w:left="851" w:right="618"/>
        <w:jc w:val="both"/>
        <w:rPr>
          <w:rFonts w:ascii="Palatino Linotype" w:hAnsi="Palatino Linotype"/>
          <w:i/>
        </w:rPr>
      </w:pPr>
      <w:r w:rsidRPr="00CF1D3C">
        <w:rPr>
          <w:rFonts w:ascii="Palatino Linotype" w:hAnsi="Palatino Linotype"/>
          <w:b/>
          <w:i/>
        </w:rPr>
        <w:t>“Artículo 195.</w:t>
      </w:r>
      <w:r w:rsidRPr="00CF1D3C">
        <w:rPr>
          <w:rFonts w:ascii="Palatino Linotype" w:hAnsi="Palatino Linotype"/>
          <w:i/>
        </w:rPr>
        <w:t xml:space="preserve"> En la tramitación del recurso de revisión se aplicarán supletoriamente las disposiciones contenidas en el Código de Procedimientos Administrativos del Estado de México.”</w:t>
      </w:r>
    </w:p>
    <w:p w:rsidR="00451985" w:rsidRPr="00CF1D3C" w:rsidRDefault="00451985" w:rsidP="00095FEA">
      <w:pPr>
        <w:tabs>
          <w:tab w:val="left" w:pos="567"/>
        </w:tabs>
        <w:spacing w:before="240" w:after="240" w:line="360" w:lineRule="auto"/>
        <w:ind w:left="851" w:right="-142"/>
        <w:contextualSpacing/>
        <w:jc w:val="both"/>
        <w:rPr>
          <w:rFonts w:ascii="Palatino Linotype" w:hAnsi="Palatino Linotype"/>
        </w:rPr>
      </w:pPr>
      <w:r w:rsidRPr="00CF1D3C">
        <w:rPr>
          <w:rFonts w:ascii="Palatino Linotype" w:hAnsi="Palatino Linotype"/>
        </w:rPr>
        <w:t xml:space="preserve"> (Énfasis añadido)</w:t>
      </w:r>
    </w:p>
    <w:p w:rsidR="00BC3A1C" w:rsidRPr="00CF1D3C" w:rsidRDefault="00BC3A1C" w:rsidP="00095FEA">
      <w:pPr>
        <w:tabs>
          <w:tab w:val="left" w:pos="567"/>
        </w:tabs>
        <w:spacing w:before="240" w:after="240" w:line="360" w:lineRule="auto"/>
        <w:ind w:left="851" w:right="-142"/>
        <w:contextualSpacing/>
        <w:jc w:val="both"/>
        <w:rPr>
          <w:rFonts w:ascii="Palatino Linotype" w:hAnsi="Palatino Linotype"/>
        </w:rPr>
      </w:pPr>
    </w:p>
    <w:p w:rsidR="00451985" w:rsidRPr="00CF1D3C" w:rsidRDefault="00451985" w:rsidP="00A307A0">
      <w:pPr>
        <w:numPr>
          <w:ilvl w:val="0"/>
          <w:numId w:val="1"/>
        </w:numPr>
        <w:spacing w:line="360" w:lineRule="auto"/>
        <w:ind w:left="0" w:firstLine="0"/>
        <w:contextualSpacing/>
        <w:jc w:val="both"/>
        <w:rPr>
          <w:rFonts w:ascii="Palatino Linotype" w:hAnsi="Palatino Linotype"/>
          <w:i/>
        </w:rPr>
      </w:pPr>
      <w:r w:rsidRPr="00CF1D3C">
        <w:rPr>
          <w:rFonts w:ascii="Palatino Linotype" w:eastAsia="Calibri" w:hAnsi="Palatino Linotype" w:cs="Arial"/>
          <w:lang w:val="es-ES"/>
        </w:rPr>
        <w:t xml:space="preserve">Los Comisionados Ponentes de origen con fundamento en lo dispuesto por el artículo 185 fracción II de la ley de la materia, a través de los acuerdos de admisión de fechas </w:t>
      </w:r>
      <w:r w:rsidR="00511AE7" w:rsidRPr="00CF1D3C">
        <w:rPr>
          <w:rFonts w:ascii="Palatino Linotype" w:eastAsia="Calibri" w:hAnsi="Palatino Linotype" w:cs="Arial"/>
          <w:lang w:val="es-ES"/>
        </w:rPr>
        <w:t xml:space="preserve">cinco (05) y seis (06) </w:t>
      </w:r>
      <w:r w:rsidR="007F0E16" w:rsidRPr="00CF1D3C">
        <w:rPr>
          <w:rFonts w:ascii="Palatino Linotype" w:eastAsia="Calibri" w:hAnsi="Palatino Linotype" w:cs="Arial"/>
          <w:lang w:val="es-ES"/>
        </w:rPr>
        <w:t xml:space="preserve"> de </w:t>
      </w:r>
      <w:r w:rsidR="00511AE7" w:rsidRPr="00CF1D3C">
        <w:rPr>
          <w:rFonts w:ascii="Palatino Linotype" w:eastAsia="Calibri" w:hAnsi="Palatino Linotype" w:cs="Arial"/>
          <w:lang w:val="es-ES"/>
        </w:rPr>
        <w:t>juli</w:t>
      </w:r>
      <w:r w:rsidR="007F0E16" w:rsidRPr="00CF1D3C">
        <w:rPr>
          <w:rFonts w:ascii="Palatino Linotype" w:eastAsia="Calibri" w:hAnsi="Palatino Linotype" w:cs="Arial"/>
          <w:lang w:val="es-ES"/>
        </w:rPr>
        <w:t xml:space="preserve">o </w:t>
      </w:r>
      <w:r w:rsidR="00FF3F39" w:rsidRPr="00CF1D3C">
        <w:rPr>
          <w:rFonts w:ascii="Palatino Linotype" w:eastAsia="Calibri" w:hAnsi="Palatino Linotype" w:cs="Arial"/>
          <w:lang w:val="es-ES"/>
        </w:rPr>
        <w:t>de dos mil veintidós</w:t>
      </w:r>
      <w:r w:rsidRPr="00CF1D3C">
        <w:rPr>
          <w:rFonts w:ascii="Palatino Linotype" w:eastAsia="Calibri" w:hAnsi="Palatino Linotype" w:cs="Arial"/>
          <w:lang w:val="es-ES"/>
        </w:rPr>
        <w:t xml:space="preserve">, pusieron a disposición de las partes los expedientes electrónicos </w:t>
      </w:r>
      <w:r w:rsidRPr="00CF1D3C">
        <w:rPr>
          <w:rFonts w:ascii="Palatino Linotype" w:eastAsia="Calibri" w:hAnsi="Palatino Linotype" w:cs="Arial"/>
        </w:rPr>
        <w:t xml:space="preserve">vía </w:t>
      </w:r>
      <w:r w:rsidRPr="00CF1D3C">
        <w:rPr>
          <w:rFonts w:ascii="Palatino Linotype" w:eastAsia="Calibri" w:hAnsi="Palatino Linotype" w:cs="Arial"/>
          <w:lang w:val="es-ES"/>
        </w:rPr>
        <w:t>Sistema de Acceso a la Información Mexiquense (</w:t>
      </w:r>
      <w:r w:rsidRPr="00CF1D3C">
        <w:rPr>
          <w:rFonts w:ascii="Palatino Linotype" w:eastAsia="Calibri" w:hAnsi="Palatino Linotype" w:cs="Arial"/>
          <w:b/>
          <w:lang w:val="es-ES"/>
        </w:rPr>
        <w:t xml:space="preserve">SAIMEX) </w:t>
      </w:r>
      <w:r w:rsidRPr="00CF1D3C">
        <w:rPr>
          <w:rFonts w:ascii="Palatino Linotype" w:eastAsia="Calibri" w:hAnsi="Palatino Linotype" w:cs="Arial"/>
          <w:lang w:val="es-ES"/>
        </w:rPr>
        <w:t xml:space="preserve">a efecto de que en un plazo máximo de siete (07) días manifestaran lo que a derecho convinieran, ofrecieran pruebas y alegatos según corresponda al caso concreto, de esta forma para que el </w:t>
      </w:r>
      <w:r w:rsidRPr="00CF1D3C">
        <w:rPr>
          <w:rFonts w:ascii="Palatino Linotype" w:eastAsia="Calibri" w:hAnsi="Palatino Linotype" w:cs="Arial"/>
          <w:b/>
          <w:lang w:val="es-ES"/>
        </w:rPr>
        <w:t>SUJETO OBLIGADO</w:t>
      </w:r>
      <w:r w:rsidRPr="00CF1D3C">
        <w:rPr>
          <w:rFonts w:ascii="Palatino Linotype" w:eastAsia="Calibri" w:hAnsi="Palatino Linotype" w:cs="Arial"/>
          <w:lang w:val="es-ES"/>
        </w:rPr>
        <w:t xml:space="preserve"> presentará el Informe Justificado correspondiente.</w:t>
      </w:r>
    </w:p>
    <w:p w:rsidR="00451985" w:rsidRPr="00CF1D3C" w:rsidRDefault="00451985" w:rsidP="00A307A0">
      <w:pPr>
        <w:numPr>
          <w:ilvl w:val="0"/>
          <w:numId w:val="1"/>
        </w:numPr>
        <w:spacing w:line="360" w:lineRule="auto"/>
        <w:ind w:left="0" w:firstLine="0"/>
        <w:contextualSpacing/>
        <w:jc w:val="both"/>
        <w:rPr>
          <w:rFonts w:ascii="Palatino Linotype" w:hAnsi="Palatino Linotype"/>
          <w:i/>
        </w:rPr>
      </w:pPr>
      <w:r w:rsidRPr="00CF1D3C">
        <w:rPr>
          <w:rFonts w:ascii="Palatino Linotype" w:hAnsi="Palatino Linotype"/>
        </w:rPr>
        <w:lastRenderedPageBreak/>
        <w:t xml:space="preserve">El </w:t>
      </w:r>
      <w:r w:rsidR="00FF3F39" w:rsidRPr="00CF1D3C">
        <w:rPr>
          <w:rFonts w:ascii="Palatino Linotype" w:hAnsi="Palatino Linotype"/>
          <w:b/>
        </w:rPr>
        <w:t>SUJETO OBLIGADO</w:t>
      </w:r>
      <w:r w:rsidR="00FF3F39" w:rsidRPr="00CF1D3C">
        <w:rPr>
          <w:rFonts w:ascii="Palatino Linotype" w:hAnsi="Palatino Linotype"/>
        </w:rPr>
        <w:t xml:space="preserve">, </w:t>
      </w:r>
      <w:r w:rsidR="00B3303E" w:rsidRPr="00CF1D3C">
        <w:rPr>
          <w:rFonts w:ascii="Palatino Linotype" w:hAnsi="Palatino Linotype"/>
        </w:rPr>
        <w:t>los días trece (13),</w:t>
      </w:r>
      <w:r w:rsidR="00FF3F39" w:rsidRPr="00CF1D3C">
        <w:rPr>
          <w:rFonts w:ascii="Palatino Linotype" w:hAnsi="Palatino Linotype"/>
        </w:rPr>
        <w:t xml:space="preserve"> </w:t>
      </w:r>
      <w:r w:rsidR="00B3303E" w:rsidRPr="00CF1D3C">
        <w:rPr>
          <w:rFonts w:ascii="Palatino Linotype" w:hAnsi="Palatino Linotype"/>
        </w:rPr>
        <w:t>diecinueve (19) y veintinueve</w:t>
      </w:r>
      <w:r w:rsidR="00FF3F39" w:rsidRPr="00CF1D3C">
        <w:rPr>
          <w:rFonts w:ascii="Palatino Linotype" w:hAnsi="Palatino Linotype"/>
        </w:rPr>
        <w:t xml:space="preserve"> (</w:t>
      </w:r>
      <w:r w:rsidR="00B3303E" w:rsidRPr="00CF1D3C">
        <w:rPr>
          <w:rFonts w:ascii="Palatino Linotype" w:hAnsi="Palatino Linotype"/>
        </w:rPr>
        <w:t>29</w:t>
      </w:r>
      <w:r w:rsidR="00FF3F39" w:rsidRPr="00CF1D3C">
        <w:rPr>
          <w:rFonts w:ascii="Palatino Linotype" w:hAnsi="Palatino Linotype"/>
        </w:rPr>
        <w:t xml:space="preserve">) de </w:t>
      </w:r>
      <w:r w:rsidR="00B3303E" w:rsidRPr="00CF1D3C">
        <w:rPr>
          <w:rFonts w:ascii="Palatino Linotype" w:hAnsi="Palatino Linotype"/>
        </w:rPr>
        <w:t>juli</w:t>
      </w:r>
      <w:r w:rsidR="00FF3F39" w:rsidRPr="00CF1D3C">
        <w:rPr>
          <w:rFonts w:ascii="Palatino Linotype" w:hAnsi="Palatino Linotype"/>
        </w:rPr>
        <w:t>o de 2022, rindió</w:t>
      </w:r>
      <w:r w:rsidR="00B3303E" w:rsidRPr="00CF1D3C">
        <w:rPr>
          <w:rFonts w:ascii="Palatino Linotype" w:hAnsi="Palatino Linotype"/>
        </w:rPr>
        <w:t xml:space="preserve"> los</w:t>
      </w:r>
      <w:r w:rsidR="00FF3F39" w:rsidRPr="00CF1D3C">
        <w:rPr>
          <w:rFonts w:ascii="Palatino Linotype" w:hAnsi="Palatino Linotype"/>
        </w:rPr>
        <w:t xml:space="preserve"> informes </w:t>
      </w:r>
      <w:r w:rsidR="00FF3F39" w:rsidRPr="00CF1D3C">
        <w:rPr>
          <w:rFonts w:ascii="Palatino Linotype" w:eastAsia="Calibri" w:hAnsi="Palatino Linotype" w:cs="Arial"/>
          <w:lang w:val="es-ES"/>
        </w:rPr>
        <w:t>justificados</w:t>
      </w:r>
      <w:r w:rsidR="00FF3F39" w:rsidRPr="00CF1D3C">
        <w:rPr>
          <w:rFonts w:ascii="Palatino Linotype" w:hAnsi="Palatino Linotype"/>
        </w:rPr>
        <w:t xml:space="preserve"> </w:t>
      </w:r>
      <w:r w:rsidR="00B3303E" w:rsidRPr="00CF1D3C">
        <w:rPr>
          <w:rFonts w:ascii="Palatino Linotype" w:hAnsi="Palatino Linotype"/>
        </w:rPr>
        <w:t>correspondientes</w:t>
      </w:r>
      <w:r w:rsidR="00FF3F39" w:rsidRPr="00CF1D3C">
        <w:rPr>
          <w:rFonts w:ascii="Palatino Linotype" w:hAnsi="Palatino Linotype"/>
        </w:rPr>
        <w:t xml:space="preserve">, los cuales fueron puestos a disposición del particular mediante acuerdo de fecha </w:t>
      </w:r>
      <w:r w:rsidR="00B3303E" w:rsidRPr="00CF1D3C">
        <w:rPr>
          <w:rFonts w:ascii="Palatino Linotype" w:hAnsi="Palatino Linotype"/>
        </w:rPr>
        <w:t>veint</w:t>
      </w:r>
      <w:r w:rsidR="00FF3F39" w:rsidRPr="00CF1D3C">
        <w:rPr>
          <w:rFonts w:ascii="Palatino Linotype" w:hAnsi="Palatino Linotype"/>
        </w:rPr>
        <w:t>e (2</w:t>
      </w:r>
      <w:r w:rsidR="00B3303E" w:rsidRPr="00CF1D3C">
        <w:rPr>
          <w:rFonts w:ascii="Palatino Linotype" w:hAnsi="Palatino Linotype"/>
        </w:rPr>
        <w:t>0</w:t>
      </w:r>
      <w:r w:rsidR="00FF3F39" w:rsidRPr="00CF1D3C">
        <w:rPr>
          <w:rFonts w:ascii="Palatino Linotype" w:hAnsi="Palatino Linotype"/>
        </w:rPr>
        <w:t>) de</w:t>
      </w:r>
      <w:r w:rsidR="00B3303E" w:rsidRPr="00CF1D3C">
        <w:rPr>
          <w:rFonts w:ascii="Palatino Linotype" w:hAnsi="Palatino Linotype"/>
        </w:rPr>
        <w:t xml:space="preserve"> septiembre de dos mil </w:t>
      </w:r>
      <w:r w:rsidR="00392D7B" w:rsidRPr="00CF1D3C">
        <w:rPr>
          <w:rFonts w:ascii="Palatino Linotype" w:hAnsi="Palatino Linotype"/>
        </w:rPr>
        <w:t xml:space="preserve">veintidós. </w:t>
      </w:r>
      <w:r w:rsidR="00FF3F39" w:rsidRPr="00CF1D3C">
        <w:rPr>
          <w:rFonts w:ascii="Palatino Linotype" w:hAnsi="Palatino Linotype"/>
        </w:rPr>
        <w:t>P</w:t>
      </w:r>
      <w:r w:rsidRPr="00CF1D3C">
        <w:rPr>
          <w:rFonts w:ascii="Palatino Linotype" w:hAnsi="Palatino Linotype"/>
        </w:rPr>
        <w:t xml:space="preserve">or su parte el </w:t>
      </w:r>
      <w:r w:rsidRPr="00CF1D3C">
        <w:rPr>
          <w:rFonts w:ascii="Palatino Linotype" w:hAnsi="Palatino Linotype"/>
          <w:b/>
        </w:rPr>
        <w:t xml:space="preserve">RECURRENTE </w:t>
      </w:r>
      <w:r w:rsidRPr="00CF1D3C">
        <w:rPr>
          <w:rFonts w:ascii="Palatino Linotype" w:hAnsi="Palatino Linotype"/>
        </w:rPr>
        <w:t xml:space="preserve">no presentó alegatos ni ofreció medios de </w:t>
      </w:r>
      <w:r w:rsidR="00FF3F39" w:rsidRPr="00CF1D3C">
        <w:rPr>
          <w:rFonts w:ascii="Palatino Linotype" w:hAnsi="Palatino Linotype"/>
        </w:rPr>
        <w:t>pruebas que a su derecho conviniera y asistiera.</w:t>
      </w:r>
    </w:p>
    <w:p w:rsidR="00735EF3" w:rsidRPr="00CF1D3C" w:rsidRDefault="00735EF3" w:rsidP="00735EF3">
      <w:pPr>
        <w:spacing w:line="360" w:lineRule="auto"/>
        <w:contextualSpacing/>
        <w:jc w:val="both"/>
        <w:rPr>
          <w:rFonts w:ascii="Palatino Linotype" w:hAnsi="Palatino Linotype"/>
        </w:rPr>
      </w:pPr>
    </w:p>
    <w:p w:rsidR="00735EF3" w:rsidRPr="00CF1D3C" w:rsidRDefault="00735EF3" w:rsidP="00735EF3">
      <w:pPr>
        <w:pStyle w:val="Prrafodelista"/>
        <w:numPr>
          <w:ilvl w:val="0"/>
          <w:numId w:val="1"/>
        </w:numPr>
        <w:spacing w:line="360" w:lineRule="auto"/>
        <w:ind w:left="0" w:firstLine="0"/>
        <w:jc w:val="both"/>
        <w:rPr>
          <w:rFonts w:ascii="Palatino Linotype" w:hAnsi="Palatino Linotype"/>
        </w:rPr>
      </w:pPr>
      <w:r w:rsidRPr="00CF1D3C">
        <w:rPr>
          <w:rFonts w:ascii="Palatino Linotype" w:hAnsi="Palatino Linotype"/>
        </w:rPr>
        <w:t xml:space="preserve">Este organismo garante no pasa por alto justificar, que la dilación en la resolución del </w:t>
      </w:r>
      <w:r w:rsidRPr="00CF1D3C">
        <w:rPr>
          <w:rFonts w:ascii="Palatino Linotype" w:hAnsi="Palatino Linotype"/>
          <w:lang w:val="es-MX"/>
        </w:rPr>
        <w:t>presente</w:t>
      </w:r>
      <w:r w:rsidRPr="00CF1D3C">
        <w:rPr>
          <w:rFonts w:ascii="Palatino Linotype" w:hAnsi="Palatino Linotype"/>
        </w:rPr>
        <w:t xml:space="preserv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735EF3" w:rsidRPr="00CF1D3C" w:rsidRDefault="00735EF3" w:rsidP="00735EF3">
      <w:pPr>
        <w:pStyle w:val="Prrafodelista"/>
        <w:spacing w:line="360" w:lineRule="auto"/>
        <w:ind w:left="0"/>
        <w:jc w:val="both"/>
        <w:rPr>
          <w:rFonts w:ascii="Palatino Linotype" w:hAnsi="Palatino Linotype"/>
        </w:rPr>
      </w:pPr>
    </w:p>
    <w:p w:rsidR="00735EF3" w:rsidRPr="00CF1D3C" w:rsidRDefault="00735EF3" w:rsidP="00735EF3">
      <w:pPr>
        <w:pStyle w:val="Prrafodelista"/>
        <w:numPr>
          <w:ilvl w:val="0"/>
          <w:numId w:val="1"/>
        </w:numPr>
        <w:spacing w:line="360" w:lineRule="auto"/>
        <w:ind w:left="0" w:firstLine="0"/>
        <w:jc w:val="both"/>
        <w:rPr>
          <w:rFonts w:ascii="Palatino Linotype" w:hAnsi="Palatino Linotype"/>
        </w:rPr>
      </w:pPr>
      <w:r w:rsidRPr="00CF1D3C">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735EF3" w:rsidRPr="00CF1D3C" w:rsidRDefault="00735EF3" w:rsidP="00735EF3">
      <w:pPr>
        <w:pStyle w:val="Prrafodelista"/>
        <w:numPr>
          <w:ilvl w:val="0"/>
          <w:numId w:val="1"/>
        </w:numPr>
        <w:spacing w:line="360" w:lineRule="auto"/>
        <w:ind w:left="0" w:firstLine="0"/>
        <w:jc w:val="both"/>
        <w:rPr>
          <w:rFonts w:ascii="Palatino Linotype" w:hAnsi="Palatino Linotype"/>
        </w:rPr>
      </w:pPr>
      <w:r w:rsidRPr="00CF1D3C">
        <w:rPr>
          <w:rFonts w:ascii="Palatino Linotype" w:hAnsi="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735EF3" w:rsidRPr="00CF1D3C" w:rsidRDefault="00735EF3" w:rsidP="00735EF3">
      <w:pPr>
        <w:pStyle w:val="Prrafodelista"/>
        <w:spacing w:line="360" w:lineRule="auto"/>
        <w:ind w:left="0"/>
        <w:jc w:val="both"/>
        <w:rPr>
          <w:rFonts w:ascii="Palatino Linotype" w:hAnsi="Palatino Linotype"/>
        </w:rPr>
      </w:pPr>
    </w:p>
    <w:p w:rsidR="00735EF3" w:rsidRPr="00CF1D3C" w:rsidRDefault="00735EF3" w:rsidP="00735EF3">
      <w:pPr>
        <w:pStyle w:val="Prrafodelista"/>
        <w:numPr>
          <w:ilvl w:val="0"/>
          <w:numId w:val="1"/>
        </w:numPr>
        <w:spacing w:line="360" w:lineRule="auto"/>
        <w:ind w:left="0" w:firstLine="0"/>
        <w:jc w:val="both"/>
        <w:rPr>
          <w:rFonts w:ascii="Palatino Linotype" w:hAnsi="Palatino Linotype"/>
        </w:rPr>
      </w:pPr>
      <w:r w:rsidRPr="00CF1D3C">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735EF3" w:rsidRPr="00CF1D3C" w:rsidRDefault="00735EF3" w:rsidP="00735EF3">
      <w:pPr>
        <w:spacing w:line="360" w:lineRule="auto"/>
        <w:jc w:val="both"/>
        <w:rPr>
          <w:rFonts w:ascii="Palatino Linotype" w:hAnsi="Palatino Linotype"/>
          <w:sz w:val="18"/>
        </w:rPr>
      </w:pPr>
    </w:p>
    <w:p w:rsidR="00735EF3" w:rsidRPr="00CF1D3C" w:rsidRDefault="00735EF3" w:rsidP="00735EF3">
      <w:pPr>
        <w:pStyle w:val="Prrafodelista"/>
        <w:numPr>
          <w:ilvl w:val="0"/>
          <w:numId w:val="1"/>
        </w:numPr>
        <w:spacing w:line="360" w:lineRule="auto"/>
        <w:ind w:left="0" w:firstLine="0"/>
        <w:jc w:val="both"/>
        <w:rPr>
          <w:rFonts w:ascii="Palatino Linotype" w:hAnsi="Palatino Linotype"/>
        </w:rPr>
      </w:pPr>
      <w:r w:rsidRPr="00CF1D3C">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rsidR="00735EF3" w:rsidRPr="00CF1D3C" w:rsidRDefault="00735EF3" w:rsidP="00735EF3">
      <w:pPr>
        <w:spacing w:line="360" w:lineRule="auto"/>
        <w:jc w:val="both"/>
        <w:rPr>
          <w:rFonts w:ascii="Palatino Linotype" w:hAnsi="Palatino Linotype"/>
          <w:sz w:val="18"/>
        </w:rPr>
      </w:pPr>
    </w:p>
    <w:p w:rsidR="00735EF3" w:rsidRPr="00CF1D3C" w:rsidRDefault="00735EF3" w:rsidP="00735EF3">
      <w:pPr>
        <w:pStyle w:val="Prrafodelista"/>
        <w:numPr>
          <w:ilvl w:val="0"/>
          <w:numId w:val="8"/>
        </w:numPr>
        <w:spacing w:line="360" w:lineRule="auto"/>
        <w:jc w:val="both"/>
        <w:rPr>
          <w:rFonts w:ascii="Palatino Linotype" w:hAnsi="Palatino Linotype"/>
        </w:rPr>
      </w:pPr>
      <w:r w:rsidRPr="00CF1D3C">
        <w:rPr>
          <w:rFonts w:ascii="Palatino Linotype" w:hAnsi="Palatino Linotype"/>
        </w:rPr>
        <w:t xml:space="preserve">Complejidad del Asunto: La complejidad de la prueba, la pluralidad de sujetos procesales, el tiempo transcurrido, las características y contexto del recurso. </w:t>
      </w:r>
    </w:p>
    <w:p w:rsidR="00735EF3" w:rsidRPr="00CF1D3C" w:rsidRDefault="00735EF3" w:rsidP="00735EF3">
      <w:pPr>
        <w:pStyle w:val="Prrafodelista"/>
        <w:spacing w:line="360" w:lineRule="auto"/>
        <w:ind w:left="927"/>
        <w:jc w:val="both"/>
        <w:rPr>
          <w:rFonts w:ascii="Palatino Linotype" w:hAnsi="Palatino Linotype"/>
        </w:rPr>
      </w:pPr>
    </w:p>
    <w:p w:rsidR="00735EF3" w:rsidRPr="00CF1D3C" w:rsidRDefault="00735EF3" w:rsidP="00735EF3">
      <w:pPr>
        <w:pStyle w:val="Prrafodelista"/>
        <w:numPr>
          <w:ilvl w:val="0"/>
          <w:numId w:val="8"/>
        </w:numPr>
        <w:spacing w:line="360" w:lineRule="auto"/>
        <w:jc w:val="both"/>
        <w:rPr>
          <w:rFonts w:ascii="Palatino Linotype" w:hAnsi="Palatino Linotype"/>
        </w:rPr>
      </w:pPr>
      <w:r w:rsidRPr="00CF1D3C">
        <w:rPr>
          <w:rFonts w:ascii="Palatino Linotype" w:hAnsi="Palatino Linotype"/>
        </w:rPr>
        <w:t>Actividad Procesal del interesado. Acciones u omisiones del interesado.</w:t>
      </w:r>
    </w:p>
    <w:p w:rsidR="00735EF3" w:rsidRPr="00CF1D3C" w:rsidRDefault="00735EF3" w:rsidP="00735EF3">
      <w:pPr>
        <w:spacing w:line="360" w:lineRule="auto"/>
        <w:jc w:val="both"/>
        <w:rPr>
          <w:rFonts w:ascii="Palatino Linotype" w:hAnsi="Palatino Linotype"/>
        </w:rPr>
      </w:pPr>
    </w:p>
    <w:p w:rsidR="00735EF3" w:rsidRPr="00CF1D3C" w:rsidRDefault="00735EF3" w:rsidP="00735EF3">
      <w:pPr>
        <w:pStyle w:val="Prrafodelista"/>
        <w:numPr>
          <w:ilvl w:val="0"/>
          <w:numId w:val="8"/>
        </w:numPr>
        <w:spacing w:line="360" w:lineRule="auto"/>
        <w:jc w:val="both"/>
        <w:rPr>
          <w:rFonts w:ascii="Palatino Linotype" w:hAnsi="Palatino Linotype"/>
        </w:rPr>
      </w:pPr>
      <w:r w:rsidRPr="00CF1D3C">
        <w:rPr>
          <w:rFonts w:ascii="Palatino Linotype" w:hAnsi="Palatino Linotype"/>
        </w:rPr>
        <w:t>Conducta de la Autoridad: Las Acciones u omisiones realizadas en el procedimiento. Así como si la autoridad actuó con la debida diligencia.</w:t>
      </w:r>
    </w:p>
    <w:p w:rsidR="00735EF3" w:rsidRPr="00CF1D3C" w:rsidRDefault="00735EF3" w:rsidP="00735EF3">
      <w:pPr>
        <w:pStyle w:val="Prrafodelista"/>
        <w:spacing w:line="360" w:lineRule="auto"/>
        <w:rPr>
          <w:rFonts w:ascii="Palatino Linotype" w:hAnsi="Palatino Linotype"/>
        </w:rPr>
      </w:pPr>
    </w:p>
    <w:p w:rsidR="00735EF3" w:rsidRPr="00CF1D3C" w:rsidRDefault="00735EF3" w:rsidP="00735EF3">
      <w:pPr>
        <w:spacing w:line="360" w:lineRule="auto"/>
        <w:ind w:left="567"/>
        <w:jc w:val="both"/>
        <w:rPr>
          <w:rFonts w:ascii="Palatino Linotype" w:hAnsi="Palatino Linotype"/>
        </w:rPr>
      </w:pPr>
      <w:r w:rsidRPr="00CF1D3C">
        <w:rPr>
          <w:rFonts w:ascii="Palatino Linotype" w:hAnsi="Palatino Linotype"/>
        </w:rPr>
        <w:lastRenderedPageBreak/>
        <w:t>d) La afectación generada en la situación jurídica de la persona involucrada en el proceso: Violación a sus derechos humanos.</w:t>
      </w:r>
    </w:p>
    <w:p w:rsidR="00735EF3" w:rsidRPr="00CF1D3C" w:rsidRDefault="00735EF3" w:rsidP="00735EF3">
      <w:pPr>
        <w:spacing w:line="360" w:lineRule="auto"/>
        <w:jc w:val="both"/>
        <w:rPr>
          <w:rFonts w:ascii="Palatino Linotype" w:hAnsi="Palatino Linotype"/>
        </w:rPr>
      </w:pPr>
    </w:p>
    <w:p w:rsidR="00735EF3" w:rsidRPr="00CF1D3C" w:rsidRDefault="00735EF3" w:rsidP="00735EF3">
      <w:pPr>
        <w:pStyle w:val="Prrafodelista"/>
        <w:numPr>
          <w:ilvl w:val="0"/>
          <w:numId w:val="1"/>
        </w:numPr>
        <w:spacing w:line="360" w:lineRule="auto"/>
        <w:ind w:left="0" w:firstLine="0"/>
        <w:jc w:val="both"/>
        <w:rPr>
          <w:rFonts w:ascii="Palatino Linotype" w:hAnsi="Palatino Linotype"/>
        </w:rPr>
      </w:pPr>
      <w:r w:rsidRPr="00CF1D3C">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735EF3" w:rsidRPr="00CF1D3C" w:rsidRDefault="00735EF3" w:rsidP="00735EF3">
      <w:pPr>
        <w:spacing w:line="360" w:lineRule="auto"/>
        <w:jc w:val="both"/>
        <w:rPr>
          <w:rFonts w:ascii="Palatino Linotype" w:hAnsi="Palatino Linotype"/>
          <w:sz w:val="18"/>
        </w:rPr>
      </w:pPr>
    </w:p>
    <w:p w:rsidR="00735EF3" w:rsidRPr="00CF1D3C" w:rsidRDefault="00735EF3" w:rsidP="00735EF3">
      <w:pPr>
        <w:pStyle w:val="Prrafodelista"/>
        <w:numPr>
          <w:ilvl w:val="0"/>
          <w:numId w:val="1"/>
        </w:numPr>
        <w:spacing w:line="360" w:lineRule="auto"/>
        <w:ind w:left="0" w:firstLine="0"/>
        <w:jc w:val="both"/>
        <w:rPr>
          <w:rFonts w:ascii="Palatino Linotype" w:hAnsi="Palatino Linotype"/>
          <w:b/>
        </w:rPr>
      </w:pPr>
      <w:r w:rsidRPr="00CF1D3C">
        <w:rPr>
          <w:rFonts w:ascii="Palatino Linotype" w:hAnsi="Palatino Linotype"/>
        </w:rPr>
        <w:t xml:space="preserve">Argumento que encuentra sustento en la jurisprudencia P./J. 32/92 emitida por el Pleno de la Suprema Corte de Justicia de la Nación de rubro </w:t>
      </w:r>
      <w:r w:rsidRPr="00CF1D3C">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CF1D3C">
        <w:rPr>
          <w:rFonts w:ascii="Palatino Linotype" w:hAnsi="Palatino Linotype"/>
        </w:rPr>
        <w:t>, visible en la Gaceta del Seminario Judicial de la Federación con el registro digital 205635.</w:t>
      </w:r>
    </w:p>
    <w:p w:rsidR="00735EF3" w:rsidRPr="00CF1D3C" w:rsidRDefault="00735EF3" w:rsidP="00735EF3">
      <w:pPr>
        <w:spacing w:line="360" w:lineRule="auto"/>
        <w:jc w:val="both"/>
        <w:rPr>
          <w:rFonts w:ascii="Palatino Linotype" w:hAnsi="Palatino Linotype"/>
          <w:sz w:val="18"/>
        </w:rPr>
      </w:pPr>
    </w:p>
    <w:p w:rsidR="00735EF3" w:rsidRPr="00CF1D3C" w:rsidRDefault="00735EF3" w:rsidP="00735EF3">
      <w:pPr>
        <w:pStyle w:val="Prrafodelista"/>
        <w:numPr>
          <w:ilvl w:val="0"/>
          <w:numId w:val="1"/>
        </w:numPr>
        <w:spacing w:line="360" w:lineRule="auto"/>
        <w:ind w:left="0" w:firstLine="0"/>
        <w:jc w:val="both"/>
        <w:rPr>
          <w:rFonts w:ascii="Palatino Linotype" w:hAnsi="Palatino Linotype"/>
        </w:rPr>
      </w:pPr>
      <w:r w:rsidRPr="00CF1D3C">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CF1D3C">
        <w:rPr>
          <w:rFonts w:ascii="Palatino Linotype" w:hAnsi="Palatino Linotype"/>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735EF3" w:rsidRPr="00CF1D3C" w:rsidRDefault="00735EF3" w:rsidP="00735EF3">
      <w:pPr>
        <w:pStyle w:val="Prrafodelista"/>
        <w:rPr>
          <w:rFonts w:ascii="Palatino Linotype" w:hAnsi="Palatino Linotype"/>
        </w:rPr>
      </w:pPr>
    </w:p>
    <w:p w:rsidR="00735EF3" w:rsidRPr="00CF1D3C" w:rsidRDefault="00735EF3" w:rsidP="00735EF3">
      <w:pPr>
        <w:pStyle w:val="Prrafodelista"/>
        <w:numPr>
          <w:ilvl w:val="0"/>
          <w:numId w:val="1"/>
        </w:numPr>
        <w:spacing w:line="360" w:lineRule="auto"/>
        <w:ind w:left="0" w:firstLine="0"/>
        <w:jc w:val="both"/>
        <w:rPr>
          <w:rFonts w:ascii="Palatino Linotype" w:hAnsi="Palatino Linotype"/>
        </w:rPr>
      </w:pPr>
      <w:r w:rsidRPr="00CF1D3C">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rsidR="00735EF3" w:rsidRPr="00CF1D3C" w:rsidRDefault="00735EF3" w:rsidP="00735EF3">
      <w:pPr>
        <w:spacing w:line="360" w:lineRule="auto"/>
        <w:jc w:val="both"/>
        <w:rPr>
          <w:rFonts w:ascii="Palatino Linotype" w:hAnsi="Palatino Linotype"/>
          <w:sz w:val="18"/>
        </w:rPr>
      </w:pPr>
    </w:p>
    <w:p w:rsidR="00735EF3" w:rsidRPr="00CF1D3C" w:rsidRDefault="00735EF3" w:rsidP="00735EF3">
      <w:pPr>
        <w:pStyle w:val="Prrafodelista"/>
        <w:numPr>
          <w:ilvl w:val="0"/>
          <w:numId w:val="1"/>
        </w:numPr>
        <w:spacing w:line="360" w:lineRule="auto"/>
        <w:ind w:left="0" w:firstLine="0"/>
        <w:jc w:val="both"/>
        <w:rPr>
          <w:rFonts w:ascii="Palatino Linotype" w:hAnsi="Palatino Linotype"/>
        </w:rPr>
      </w:pPr>
      <w:r w:rsidRPr="00CF1D3C">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rsidR="00735EF3" w:rsidRPr="00CF1D3C" w:rsidRDefault="00735EF3" w:rsidP="00735EF3">
      <w:pPr>
        <w:spacing w:line="360" w:lineRule="auto"/>
        <w:jc w:val="both"/>
        <w:rPr>
          <w:rFonts w:ascii="Palatino Linotype" w:hAnsi="Palatino Linotype"/>
        </w:rPr>
      </w:pPr>
    </w:p>
    <w:p w:rsidR="00735EF3" w:rsidRPr="00CF1D3C" w:rsidRDefault="00735EF3" w:rsidP="00735EF3">
      <w:pPr>
        <w:spacing w:line="360" w:lineRule="auto"/>
        <w:ind w:left="426" w:right="474"/>
        <w:jc w:val="both"/>
        <w:rPr>
          <w:rFonts w:ascii="Palatino Linotype" w:hAnsi="Palatino Linotype"/>
        </w:rPr>
      </w:pPr>
      <w:r w:rsidRPr="00CF1D3C">
        <w:rPr>
          <w:rFonts w:ascii="Palatino Linotype" w:hAnsi="Palatino Linotype"/>
        </w:rPr>
        <w:t xml:space="preserve"> </w:t>
      </w:r>
      <w:r w:rsidRPr="00CF1D3C">
        <w:rPr>
          <w:rFonts w:ascii="Palatino Linotype" w:hAnsi="Palatino Linotype"/>
          <w:i/>
        </w:rPr>
        <w:t>“PLAZO RAZONABLE PARA RESOLVER. DIMENSIÓN Y EFECTOS DE ESTE CONCEPTO CUANDO SE ADUCE EXCESIVA CARGA DE TRABAJO.”</w:t>
      </w:r>
      <w:r w:rsidRPr="00CF1D3C">
        <w:rPr>
          <w:rFonts w:ascii="Palatino Linotype" w:hAnsi="Palatino Linotype"/>
        </w:rPr>
        <w:t xml:space="preserve"> consultable en el Seminario Judicial de la Federación y su gaceta, con el registro digital 2002351.</w:t>
      </w:r>
    </w:p>
    <w:p w:rsidR="00735EF3" w:rsidRPr="00CF1D3C" w:rsidRDefault="00735EF3" w:rsidP="00735EF3">
      <w:pPr>
        <w:spacing w:line="360" w:lineRule="auto"/>
        <w:ind w:left="426" w:right="474"/>
        <w:jc w:val="both"/>
        <w:rPr>
          <w:rFonts w:ascii="Palatino Linotype" w:hAnsi="Palatino Linotype"/>
          <w:b/>
        </w:rPr>
      </w:pPr>
    </w:p>
    <w:p w:rsidR="00735EF3" w:rsidRPr="00CF1D3C" w:rsidRDefault="00735EF3" w:rsidP="00735EF3">
      <w:pPr>
        <w:spacing w:line="360" w:lineRule="auto"/>
        <w:ind w:left="426" w:right="474"/>
        <w:jc w:val="both"/>
        <w:rPr>
          <w:rFonts w:ascii="Palatino Linotype" w:hAnsi="Palatino Linotype"/>
        </w:rPr>
      </w:pPr>
      <w:r w:rsidRPr="00CF1D3C">
        <w:rPr>
          <w:rFonts w:ascii="Palatino Linotype" w:hAnsi="Palatino Linotype"/>
          <w:i/>
        </w:rPr>
        <w:t>“PLAZO RAZONABLE PARA RESOLVER. CONCEPTO Y ELEMENTOS QUE LO INTEGRAN A LA LUZ DEL DERECHO INTERNACIONAL DE LOS DERECHOS HUMANOS.”</w:t>
      </w:r>
      <w:r w:rsidRPr="00CF1D3C">
        <w:rPr>
          <w:rFonts w:ascii="Palatino Linotype" w:hAnsi="Palatino Linotype"/>
        </w:rPr>
        <w:t>, visible en el Seminario Judicial de la Federación y su gaceta, con el registro digital 2002350.</w:t>
      </w:r>
    </w:p>
    <w:p w:rsidR="00735EF3" w:rsidRPr="00CF1D3C" w:rsidRDefault="00735EF3" w:rsidP="00735EF3">
      <w:pPr>
        <w:spacing w:line="360" w:lineRule="auto"/>
        <w:contextualSpacing/>
        <w:jc w:val="both"/>
        <w:rPr>
          <w:rFonts w:ascii="Palatino Linotype" w:hAnsi="Palatino Linotype"/>
          <w:i/>
        </w:rPr>
      </w:pPr>
    </w:p>
    <w:p w:rsidR="00BC3A1C" w:rsidRPr="00CF1D3C" w:rsidRDefault="00BC3A1C" w:rsidP="00BC3A1C">
      <w:pPr>
        <w:pStyle w:val="Prrafodelista"/>
        <w:rPr>
          <w:rFonts w:ascii="Palatino Linotype" w:hAnsi="Palatino Linotype"/>
          <w:i/>
        </w:rPr>
      </w:pPr>
    </w:p>
    <w:p w:rsidR="00451985" w:rsidRPr="00CF1D3C" w:rsidRDefault="00451985" w:rsidP="00A307A0">
      <w:pPr>
        <w:pStyle w:val="Prrafodelista"/>
        <w:numPr>
          <w:ilvl w:val="0"/>
          <w:numId w:val="1"/>
        </w:numPr>
        <w:spacing w:line="360" w:lineRule="auto"/>
        <w:ind w:left="0" w:firstLine="0"/>
        <w:jc w:val="both"/>
        <w:rPr>
          <w:rFonts w:ascii="Palatino Linotype" w:eastAsia="Calibri" w:hAnsi="Palatino Linotype" w:cs="Arial"/>
          <w:lang w:val="es-ES"/>
        </w:rPr>
      </w:pPr>
      <w:r w:rsidRPr="00CF1D3C">
        <w:rPr>
          <w:rFonts w:ascii="Palatino Linotype" w:hAnsi="Palatino Linotype"/>
        </w:rPr>
        <w:t>Se decretaron los cierres de instrucción</w:t>
      </w:r>
      <w:r w:rsidRPr="00CF1D3C">
        <w:rPr>
          <w:rFonts w:ascii="Palatino Linotype" w:hAnsi="Palatino Linotype" w:cs="Arial"/>
        </w:rPr>
        <w:t xml:space="preserve"> </w:t>
      </w:r>
      <w:r w:rsidRPr="00CF1D3C">
        <w:rPr>
          <w:rFonts w:ascii="Palatino Linotype" w:hAnsi="Palatino Linotype"/>
        </w:rPr>
        <w:t>mediante Acuerdo de fe</w:t>
      </w:r>
      <w:r w:rsidR="00FF3F39" w:rsidRPr="00CF1D3C">
        <w:rPr>
          <w:rFonts w:ascii="Palatino Linotype" w:hAnsi="Palatino Linotype"/>
        </w:rPr>
        <w:t>cha</w:t>
      </w:r>
      <w:r w:rsidRPr="00CF1D3C">
        <w:rPr>
          <w:rFonts w:ascii="Palatino Linotype" w:hAnsi="Palatino Linotype"/>
        </w:rPr>
        <w:t xml:space="preserve"> </w:t>
      </w:r>
      <w:r w:rsidR="00392D7B" w:rsidRPr="00CF1D3C">
        <w:rPr>
          <w:rFonts w:ascii="Palatino Linotype" w:hAnsi="Palatino Linotype"/>
        </w:rPr>
        <w:t>veintiséis</w:t>
      </w:r>
      <w:r w:rsidRPr="00CF1D3C">
        <w:rPr>
          <w:rFonts w:ascii="Palatino Linotype" w:hAnsi="Palatino Linotype"/>
        </w:rPr>
        <w:t xml:space="preserve"> (</w:t>
      </w:r>
      <w:r w:rsidR="00392D7B" w:rsidRPr="00CF1D3C">
        <w:rPr>
          <w:rFonts w:ascii="Palatino Linotype" w:hAnsi="Palatino Linotype"/>
        </w:rPr>
        <w:t>26</w:t>
      </w:r>
      <w:r w:rsidR="007F0E16" w:rsidRPr="00CF1D3C">
        <w:rPr>
          <w:rFonts w:ascii="Palatino Linotype" w:hAnsi="Palatino Linotype"/>
        </w:rPr>
        <w:t>)</w:t>
      </w:r>
      <w:r w:rsidRPr="00CF1D3C">
        <w:rPr>
          <w:rFonts w:ascii="Palatino Linotype" w:hAnsi="Palatino Linotype"/>
        </w:rPr>
        <w:t xml:space="preserve"> de </w:t>
      </w:r>
      <w:r w:rsidR="00FF3F39" w:rsidRPr="00CF1D3C">
        <w:rPr>
          <w:rFonts w:ascii="Palatino Linotype" w:hAnsi="Palatino Linotype"/>
        </w:rPr>
        <w:t>abril</w:t>
      </w:r>
      <w:r w:rsidRPr="00CF1D3C">
        <w:rPr>
          <w:rFonts w:ascii="Palatino Linotype" w:hAnsi="Palatino Linotype"/>
        </w:rPr>
        <w:t xml:space="preserve"> de dos mil </w:t>
      </w:r>
      <w:r w:rsidR="00FF3F39" w:rsidRPr="00CF1D3C">
        <w:rPr>
          <w:rFonts w:ascii="Palatino Linotype" w:hAnsi="Palatino Linotype"/>
        </w:rPr>
        <w:t>veintidós</w:t>
      </w:r>
      <w:r w:rsidRPr="00CF1D3C">
        <w:rPr>
          <w:rFonts w:ascii="Palatino Linotype" w:hAnsi="Palatino Linotype"/>
        </w:rPr>
        <w:t>; asi</w:t>
      </w:r>
      <w:r w:rsidR="00392D7B" w:rsidRPr="00CF1D3C">
        <w:rPr>
          <w:rFonts w:ascii="Palatino Linotype" w:hAnsi="Palatino Linotype"/>
        </w:rPr>
        <w:t xml:space="preserve">mismo, mediante Acuerdo de misma </w:t>
      </w:r>
      <w:r w:rsidRPr="00CF1D3C">
        <w:rPr>
          <w:rFonts w:ascii="Palatino Linotype" w:hAnsi="Palatino Linotype"/>
        </w:rPr>
        <w:t xml:space="preserve">fecha, se amplió el termino para resolver, </w:t>
      </w:r>
      <w:r w:rsidRPr="00CF1D3C">
        <w:rPr>
          <w:rFonts w:ascii="Palatino Linotype" w:eastAsia="MS Mincho" w:hAnsi="Palatino Linotype"/>
        </w:rPr>
        <w:t xml:space="preserve">por lo </w:t>
      </w:r>
      <w:r w:rsidR="00920A34" w:rsidRPr="00CF1D3C">
        <w:rPr>
          <w:rFonts w:ascii="Palatino Linotype" w:eastAsia="MS Mincho" w:hAnsi="Palatino Linotype"/>
        </w:rPr>
        <w:t>que,</w:t>
      </w:r>
      <w:r w:rsidRPr="00CF1D3C">
        <w:rPr>
          <w:rFonts w:ascii="Palatino Linotype" w:eastAsia="MS Mincho" w:hAnsi="Palatino Linotype"/>
        </w:rPr>
        <w:t xml:space="preserve"> no existiendo diligencias por practicar, se ordenó turnar el </w:t>
      </w:r>
      <w:r w:rsidRPr="00CF1D3C">
        <w:rPr>
          <w:rFonts w:ascii="Palatino Linotype" w:eastAsia="MS Mincho" w:hAnsi="Palatino Linotype" w:cs="Arial"/>
        </w:rPr>
        <w:t>expediente a resolución, misma que a continuación se pronuncia, y----------------------</w:t>
      </w:r>
      <w:r w:rsidR="00392D7B" w:rsidRPr="00CF1D3C">
        <w:rPr>
          <w:rFonts w:ascii="Palatino Linotype" w:eastAsia="MS Mincho" w:hAnsi="Palatino Linotype" w:cs="Arial"/>
        </w:rPr>
        <w:t>--------------------------------------------------------------------------------------</w:t>
      </w:r>
    </w:p>
    <w:p w:rsidR="00920A34" w:rsidRPr="00CF1D3C" w:rsidRDefault="00920A34" w:rsidP="00920A34">
      <w:pPr>
        <w:pStyle w:val="Prrafodelista"/>
        <w:spacing w:line="360" w:lineRule="auto"/>
        <w:ind w:left="0"/>
        <w:jc w:val="both"/>
        <w:rPr>
          <w:rFonts w:ascii="Palatino Linotype" w:eastAsia="Calibri" w:hAnsi="Palatino Linotype" w:cs="Arial"/>
          <w:lang w:val="es-ES"/>
        </w:rPr>
      </w:pPr>
    </w:p>
    <w:p w:rsidR="00451985" w:rsidRPr="00CF1D3C" w:rsidRDefault="00451985" w:rsidP="00451985">
      <w:pPr>
        <w:keepNext/>
        <w:keepLines/>
        <w:spacing w:line="360" w:lineRule="auto"/>
        <w:jc w:val="center"/>
        <w:outlineLvl w:val="0"/>
        <w:rPr>
          <w:rFonts w:ascii="Palatino Linotype" w:eastAsiaTheme="majorEastAsia" w:hAnsi="Palatino Linotype" w:cstheme="majorBidi"/>
          <w:b/>
        </w:rPr>
      </w:pPr>
      <w:bookmarkStart w:id="6" w:name="_Toc83893312"/>
      <w:r w:rsidRPr="00CF1D3C">
        <w:rPr>
          <w:rFonts w:ascii="Palatino Linotype" w:eastAsiaTheme="majorEastAsia" w:hAnsi="Palatino Linotype" w:cstheme="majorBidi"/>
          <w:b/>
        </w:rPr>
        <w:t>CONSIDERANDO</w:t>
      </w:r>
      <w:bookmarkEnd w:id="6"/>
    </w:p>
    <w:p w:rsidR="00451985" w:rsidRPr="00CF1D3C" w:rsidRDefault="00451985" w:rsidP="00451985">
      <w:pPr>
        <w:spacing w:line="360" w:lineRule="auto"/>
        <w:rPr>
          <w:rFonts w:ascii="Palatino Linotype" w:hAnsi="Palatino Linotype"/>
        </w:rPr>
      </w:pPr>
    </w:p>
    <w:p w:rsidR="00451985" w:rsidRPr="00CF1D3C" w:rsidRDefault="00451985" w:rsidP="00451985">
      <w:pPr>
        <w:keepNext/>
        <w:keepLines/>
        <w:spacing w:line="360" w:lineRule="auto"/>
        <w:outlineLvl w:val="1"/>
        <w:rPr>
          <w:rFonts w:ascii="Palatino Linotype" w:eastAsiaTheme="majorEastAsia" w:hAnsi="Palatino Linotype" w:cstheme="majorBidi"/>
          <w:b/>
        </w:rPr>
      </w:pPr>
      <w:bookmarkStart w:id="7" w:name="_Toc83893313"/>
      <w:r w:rsidRPr="00CF1D3C">
        <w:rPr>
          <w:rFonts w:ascii="Palatino Linotype" w:eastAsiaTheme="majorEastAsia" w:hAnsi="Palatino Linotype" w:cstheme="majorBidi"/>
          <w:b/>
        </w:rPr>
        <w:t>PRIMERO. De la competencia.</w:t>
      </w:r>
      <w:bookmarkEnd w:id="7"/>
    </w:p>
    <w:p w:rsidR="00451985" w:rsidRPr="00CF1D3C" w:rsidRDefault="00451985" w:rsidP="00451985">
      <w:pPr>
        <w:spacing w:line="360" w:lineRule="auto"/>
        <w:rPr>
          <w:rFonts w:ascii="Palatino Linotype" w:hAnsi="Palatino Linotype"/>
        </w:rPr>
      </w:pPr>
    </w:p>
    <w:p w:rsidR="00451985" w:rsidRPr="00CF1D3C" w:rsidRDefault="00451985" w:rsidP="00A307A0">
      <w:pPr>
        <w:pStyle w:val="Prrafodelista"/>
        <w:numPr>
          <w:ilvl w:val="0"/>
          <w:numId w:val="1"/>
        </w:numPr>
        <w:spacing w:line="360" w:lineRule="auto"/>
        <w:ind w:left="0" w:firstLine="0"/>
        <w:jc w:val="both"/>
        <w:rPr>
          <w:rFonts w:ascii="Palatino Linotype" w:hAnsi="Palatino Linotype"/>
          <w:color w:val="000000" w:themeColor="text1"/>
        </w:rPr>
      </w:pPr>
      <w:r w:rsidRPr="00CF1D3C">
        <w:rPr>
          <w:rFonts w:ascii="Palatino Linotype" w:hAnsi="Palatino Linotype"/>
          <w:color w:val="000000" w:themeColor="text1"/>
        </w:rPr>
        <w:t xml:space="preserve">El </w:t>
      </w:r>
      <w:r w:rsidRPr="00CF1D3C">
        <w:rPr>
          <w:rFonts w:ascii="Palatino Linotype" w:hAnsi="Palatino Linotype"/>
        </w:rPr>
        <w:t>Instituto</w:t>
      </w:r>
      <w:r w:rsidRPr="00CF1D3C">
        <w:rPr>
          <w:rFonts w:ascii="Palatino Linotype" w:hAnsi="Palatino Linotype"/>
          <w:color w:val="000000" w:themeColor="text1"/>
        </w:rPr>
        <w:t xml:space="preserve">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w:t>
      </w:r>
      <w:r w:rsidRPr="00CF1D3C">
        <w:rPr>
          <w:rFonts w:ascii="Palatino Linotype" w:hAnsi="Palatino Linotype"/>
          <w:color w:val="000000" w:themeColor="text1"/>
        </w:rPr>
        <w:lastRenderedPageBreak/>
        <w:t>Transparencia, Acceso a la Información Pública y Protección de Datos Personales del Estado de México y Municipios.</w:t>
      </w:r>
    </w:p>
    <w:p w:rsidR="00451985" w:rsidRPr="00CF1D3C" w:rsidRDefault="00451985" w:rsidP="00451985">
      <w:pPr>
        <w:tabs>
          <w:tab w:val="left" w:pos="0"/>
        </w:tabs>
        <w:spacing w:line="360" w:lineRule="auto"/>
        <w:contextualSpacing/>
        <w:jc w:val="both"/>
        <w:rPr>
          <w:rFonts w:ascii="Palatino Linotype" w:hAnsi="Palatino Linotype"/>
        </w:rPr>
      </w:pPr>
    </w:p>
    <w:p w:rsidR="00451985" w:rsidRPr="00CF1D3C" w:rsidRDefault="00451985" w:rsidP="00451985">
      <w:pPr>
        <w:keepNext/>
        <w:keepLines/>
        <w:spacing w:line="360" w:lineRule="auto"/>
        <w:outlineLvl w:val="1"/>
        <w:rPr>
          <w:rFonts w:ascii="Palatino Linotype" w:eastAsiaTheme="majorEastAsia" w:hAnsi="Palatino Linotype" w:cstheme="majorBidi"/>
          <w:b/>
        </w:rPr>
      </w:pPr>
      <w:bookmarkStart w:id="8" w:name="_Toc83893314"/>
      <w:r w:rsidRPr="00CF1D3C">
        <w:rPr>
          <w:rFonts w:ascii="Palatino Linotype" w:eastAsiaTheme="majorEastAsia" w:hAnsi="Palatino Linotype" w:cstheme="majorBidi"/>
          <w:b/>
        </w:rPr>
        <w:t>SEGUNDO. De la oportunidad y procedencia.</w:t>
      </w:r>
      <w:bookmarkEnd w:id="8"/>
    </w:p>
    <w:p w:rsidR="00451985" w:rsidRPr="00CF1D3C" w:rsidRDefault="00451985" w:rsidP="00451985">
      <w:pPr>
        <w:spacing w:line="360" w:lineRule="auto"/>
        <w:rPr>
          <w:rFonts w:ascii="Palatino Linotype" w:hAnsi="Palatino Linotype"/>
        </w:rPr>
      </w:pPr>
    </w:p>
    <w:p w:rsidR="00392D7B" w:rsidRPr="00CF1D3C" w:rsidRDefault="00392D7B" w:rsidP="00A307A0">
      <w:pPr>
        <w:pStyle w:val="Prrafodelista"/>
        <w:numPr>
          <w:ilvl w:val="0"/>
          <w:numId w:val="1"/>
        </w:numPr>
        <w:spacing w:line="360" w:lineRule="auto"/>
        <w:ind w:left="0" w:firstLine="0"/>
        <w:jc w:val="both"/>
        <w:rPr>
          <w:rFonts w:ascii="Palatino Linotype" w:hAnsi="Palatino Linotype" w:cs="Arial"/>
          <w:i/>
          <w:sz w:val="22"/>
          <w:szCs w:val="20"/>
        </w:rPr>
      </w:pPr>
      <w:r w:rsidRPr="00CF1D3C">
        <w:rPr>
          <w:rFonts w:ascii="Palatino Linotype" w:eastAsia="Calibri" w:hAnsi="Palatino Linotype" w:cs="Arial"/>
        </w:rPr>
        <w:t xml:space="preserve">Los medios de impugnación fueron presentados a través del </w:t>
      </w:r>
      <w:r w:rsidRPr="00CF1D3C">
        <w:rPr>
          <w:rFonts w:ascii="Palatino Linotype" w:eastAsia="Calibri" w:hAnsi="Palatino Linotype" w:cs="Arial"/>
          <w:b/>
        </w:rPr>
        <w:t>SAIMEX,</w:t>
      </w:r>
      <w:r w:rsidRPr="00CF1D3C">
        <w:rPr>
          <w:rFonts w:ascii="Palatino Linotype" w:eastAsia="Calibri" w:hAnsi="Palatino Linotype" w:cs="Arial"/>
        </w:rPr>
        <w:t xml:space="preserve"> en el formato </w:t>
      </w:r>
      <w:r w:rsidRPr="00CF1D3C">
        <w:rPr>
          <w:rFonts w:ascii="Palatino Linotype" w:hAnsi="Palatino Linotype"/>
          <w:color w:val="000000" w:themeColor="text1"/>
        </w:rPr>
        <w:t>previamente</w:t>
      </w:r>
      <w:r w:rsidRPr="00CF1D3C">
        <w:rPr>
          <w:rFonts w:ascii="Palatino Linotype" w:eastAsia="Calibri" w:hAnsi="Palatino Linotype" w:cs="Arial"/>
        </w:rPr>
        <w:t xml:space="preserve"> aprobado para tal efecto y dentro del plazo legal de quince días hábiles otorgados; para el caso en particular es de señalar que el </w:t>
      </w:r>
      <w:r w:rsidRPr="00CF1D3C">
        <w:rPr>
          <w:rFonts w:ascii="Palatino Linotype" w:eastAsia="Calibri" w:hAnsi="Palatino Linotype" w:cs="Arial"/>
          <w:b/>
        </w:rPr>
        <w:t>SUJETO OBLIGADO</w:t>
      </w:r>
      <w:r w:rsidRPr="00CF1D3C">
        <w:rPr>
          <w:rFonts w:ascii="Palatino Linotype" w:eastAsia="Calibri" w:hAnsi="Palatino Linotype" w:cs="Arial"/>
        </w:rPr>
        <w:t xml:space="preserve"> entregó sus respuestas el día veintinueve (29) de junio de dos mil veintidós, </w:t>
      </w:r>
      <w:r w:rsidRPr="00CF1D3C">
        <w:rPr>
          <w:rFonts w:ascii="Palatino Linotype" w:hAnsi="Palatino Linotype" w:cs="Arial"/>
        </w:rPr>
        <w:t>de tal forma que el plazo para interponer el recurso transcurrió del día treinta (30) de junio al tres (03) de agosto de dos mil veintidós; en consecuencia, el ahora recurrente presentó sus inconformidades el día treinta (30) de junio de dos mil veintidós; es decir dentro del lapso temporal legalmente establecido para tal efecto</w:t>
      </w:r>
      <w:r w:rsidRPr="00CF1D3C">
        <w:rPr>
          <w:rFonts w:ascii="Palatino Linotype" w:hAnsi="Palatino Linotype"/>
          <w:lang w:val="es-MX"/>
        </w:rPr>
        <w:t>.</w:t>
      </w:r>
    </w:p>
    <w:p w:rsidR="00392D7B" w:rsidRPr="00CF1D3C" w:rsidRDefault="00392D7B" w:rsidP="00392D7B">
      <w:pPr>
        <w:pStyle w:val="Prrafodelista"/>
        <w:spacing w:line="360" w:lineRule="auto"/>
        <w:ind w:left="0"/>
        <w:jc w:val="both"/>
        <w:rPr>
          <w:rFonts w:ascii="Palatino Linotype" w:hAnsi="Palatino Linotype" w:cs="Arial"/>
          <w:sz w:val="22"/>
          <w:szCs w:val="20"/>
        </w:rPr>
      </w:pPr>
    </w:p>
    <w:p w:rsidR="00392D7B" w:rsidRPr="00CF1D3C" w:rsidRDefault="00392D7B" w:rsidP="00A307A0">
      <w:pPr>
        <w:pStyle w:val="Prrafodelista"/>
        <w:numPr>
          <w:ilvl w:val="0"/>
          <w:numId w:val="1"/>
        </w:numPr>
        <w:spacing w:line="360" w:lineRule="auto"/>
        <w:ind w:left="0" w:firstLine="0"/>
        <w:jc w:val="both"/>
        <w:rPr>
          <w:rFonts w:ascii="Palatino Linotype" w:hAnsi="Palatino Linotype"/>
        </w:rPr>
      </w:pPr>
      <w:r w:rsidRPr="00CF1D3C">
        <w:rPr>
          <w:rFonts w:ascii="Palatino Linotype" w:hAnsi="Palatino Linotype"/>
          <w:lang w:val="es-MX"/>
        </w:rPr>
        <w:t>Por</w:t>
      </w:r>
      <w:r w:rsidRPr="00CF1D3C">
        <w:rPr>
          <w:rFonts w:ascii="Palatino Linotype" w:eastAsia="Calibri" w:hAnsi="Palatino Linotype" w:cs="Arial"/>
        </w:rPr>
        <w:t xml:space="preserve">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735EF3" w:rsidRPr="00CF1D3C" w:rsidRDefault="00735EF3" w:rsidP="00735EF3">
      <w:pPr>
        <w:pStyle w:val="Prrafodelista"/>
        <w:rPr>
          <w:rFonts w:ascii="Palatino Linotype" w:hAnsi="Palatino Linotype"/>
        </w:rPr>
      </w:pPr>
    </w:p>
    <w:p w:rsidR="00735EF3" w:rsidRPr="00CF1D3C" w:rsidRDefault="00735EF3" w:rsidP="00735EF3">
      <w:pPr>
        <w:pStyle w:val="Prrafodelista"/>
        <w:spacing w:line="360" w:lineRule="auto"/>
        <w:ind w:left="0"/>
        <w:jc w:val="both"/>
        <w:rPr>
          <w:rFonts w:ascii="Palatino Linotype" w:hAnsi="Palatino Linotype"/>
        </w:rPr>
      </w:pPr>
    </w:p>
    <w:p w:rsidR="00392D7B" w:rsidRPr="00CF1D3C" w:rsidRDefault="00392D7B" w:rsidP="00392D7B">
      <w:pPr>
        <w:pStyle w:val="Prrafodelista"/>
        <w:rPr>
          <w:rFonts w:ascii="Palatino Linotype" w:hAnsi="Palatino Linotype"/>
        </w:rPr>
      </w:pPr>
    </w:p>
    <w:p w:rsidR="009F09BC" w:rsidRPr="00CF1D3C" w:rsidRDefault="00735EF3" w:rsidP="000D0DB4">
      <w:pPr>
        <w:pStyle w:val="Ttulo1"/>
        <w:spacing w:before="0" w:line="360" w:lineRule="auto"/>
        <w:rPr>
          <w:rFonts w:ascii="Palatino Linotype" w:hAnsi="Palatino Linotype"/>
          <w:b/>
          <w:color w:val="000000" w:themeColor="text1"/>
          <w:sz w:val="24"/>
          <w:szCs w:val="24"/>
        </w:rPr>
      </w:pPr>
      <w:bookmarkStart w:id="9" w:name="_Toc34246179"/>
      <w:bookmarkStart w:id="10" w:name="_Toc50033991"/>
      <w:bookmarkStart w:id="11" w:name="_Toc51259588"/>
      <w:bookmarkStart w:id="12" w:name="_Toc82611038"/>
      <w:r w:rsidRPr="00CF1D3C">
        <w:rPr>
          <w:rFonts w:ascii="Palatino Linotype" w:hAnsi="Palatino Linotype"/>
          <w:b/>
          <w:color w:val="000000" w:themeColor="text1"/>
          <w:sz w:val="24"/>
          <w:szCs w:val="24"/>
        </w:rPr>
        <w:lastRenderedPageBreak/>
        <w:t>TERCERO.</w:t>
      </w:r>
      <w:r w:rsidR="009F09BC" w:rsidRPr="00CF1D3C">
        <w:rPr>
          <w:rFonts w:ascii="Palatino Linotype" w:hAnsi="Palatino Linotype"/>
          <w:b/>
          <w:color w:val="000000" w:themeColor="text1"/>
          <w:sz w:val="24"/>
          <w:szCs w:val="24"/>
        </w:rPr>
        <w:t xml:space="preserve"> </w:t>
      </w:r>
      <w:bookmarkStart w:id="13" w:name="_Toc501021589"/>
      <w:r w:rsidR="009F09BC" w:rsidRPr="00CF1D3C">
        <w:rPr>
          <w:rFonts w:ascii="Palatino Linotype" w:hAnsi="Palatino Linotype"/>
          <w:b/>
          <w:color w:val="000000" w:themeColor="text1"/>
          <w:sz w:val="24"/>
          <w:szCs w:val="24"/>
        </w:rPr>
        <w:t xml:space="preserve">Del planteamiento de la </w:t>
      </w:r>
      <w:r w:rsidR="009F09BC" w:rsidRPr="00CF1D3C">
        <w:rPr>
          <w:rFonts w:ascii="Palatino Linotype" w:hAnsi="Palatino Linotype"/>
          <w:b/>
          <w:i/>
          <w:color w:val="000000" w:themeColor="text1"/>
          <w:sz w:val="24"/>
          <w:szCs w:val="24"/>
        </w:rPr>
        <w:t>Litis</w:t>
      </w:r>
      <w:r w:rsidR="009F09BC" w:rsidRPr="00CF1D3C">
        <w:rPr>
          <w:rFonts w:ascii="Palatino Linotype" w:hAnsi="Palatino Linotype"/>
          <w:b/>
          <w:color w:val="000000" w:themeColor="text1"/>
          <w:sz w:val="24"/>
          <w:szCs w:val="24"/>
        </w:rPr>
        <w:t>.</w:t>
      </w:r>
      <w:bookmarkEnd w:id="9"/>
      <w:bookmarkEnd w:id="10"/>
      <w:bookmarkEnd w:id="11"/>
      <w:bookmarkEnd w:id="12"/>
      <w:bookmarkEnd w:id="13"/>
    </w:p>
    <w:p w:rsidR="009F09BC" w:rsidRPr="00CF1D3C" w:rsidRDefault="009F09BC" w:rsidP="000D0DB4">
      <w:pPr>
        <w:spacing w:line="360" w:lineRule="auto"/>
        <w:rPr>
          <w:rFonts w:ascii="Palatino Linotype" w:hAnsi="Palatino Linotype"/>
          <w:lang w:val="es-MX" w:eastAsia="en-US"/>
        </w:rPr>
      </w:pPr>
    </w:p>
    <w:p w:rsidR="009F09BC" w:rsidRPr="00CF1D3C" w:rsidRDefault="009F09BC" w:rsidP="00A307A0">
      <w:pPr>
        <w:pStyle w:val="Prrafodelista"/>
        <w:numPr>
          <w:ilvl w:val="0"/>
          <w:numId w:val="1"/>
        </w:numPr>
        <w:spacing w:line="360" w:lineRule="auto"/>
        <w:ind w:left="0" w:firstLine="0"/>
        <w:jc w:val="both"/>
        <w:rPr>
          <w:rFonts w:ascii="Palatino Linotype" w:hAnsi="Palatino Linotype" w:cs="Arial"/>
        </w:rPr>
      </w:pPr>
      <w:r w:rsidRPr="00CF1D3C">
        <w:rPr>
          <w:rFonts w:ascii="Palatino Linotype" w:hAnsi="Palatino Linotype"/>
        </w:rPr>
        <w:t>Se</w:t>
      </w:r>
      <w:r w:rsidRPr="00CF1D3C">
        <w:rPr>
          <w:rFonts w:ascii="Palatino Linotype" w:hAnsi="Palatino Linotype" w:cs="Arial"/>
        </w:rPr>
        <w:t xml:space="preserve"> </w:t>
      </w:r>
      <w:r w:rsidRPr="00CF1D3C">
        <w:rPr>
          <w:rFonts w:ascii="Palatino Linotype" w:eastAsia="Calibri" w:hAnsi="Palatino Linotype" w:cs="Arial"/>
        </w:rPr>
        <w:t>solicitó</w:t>
      </w:r>
      <w:r w:rsidRPr="00CF1D3C">
        <w:rPr>
          <w:rFonts w:ascii="Palatino Linotype" w:hAnsi="Palatino Linotype" w:cs="Arial"/>
        </w:rPr>
        <w:t xml:space="preserve"> tener acceso, a la siguiente información que a continuación se desagrega:</w:t>
      </w:r>
    </w:p>
    <w:p w:rsidR="00E32E51" w:rsidRPr="00CF1D3C" w:rsidRDefault="00E32E51" w:rsidP="00E32E51">
      <w:pPr>
        <w:pStyle w:val="Prrafodelista"/>
        <w:spacing w:line="360" w:lineRule="auto"/>
        <w:ind w:left="0"/>
        <w:jc w:val="both"/>
        <w:rPr>
          <w:rFonts w:ascii="Palatino Linotype" w:hAnsi="Palatino Linotype" w:cs="Arial"/>
        </w:rPr>
      </w:pPr>
    </w:p>
    <w:p w:rsidR="0050076C" w:rsidRPr="00CF1D3C" w:rsidRDefault="00A91EDB" w:rsidP="00E32E51">
      <w:pPr>
        <w:pStyle w:val="Prrafodelista"/>
        <w:numPr>
          <w:ilvl w:val="1"/>
          <w:numId w:val="4"/>
        </w:numPr>
        <w:spacing w:line="360" w:lineRule="auto"/>
        <w:ind w:left="1134"/>
        <w:jc w:val="both"/>
        <w:rPr>
          <w:rFonts w:ascii="Palatino Linotype" w:hAnsi="Palatino Linotype" w:cs="Arial"/>
          <w:b/>
        </w:rPr>
      </w:pPr>
      <w:r w:rsidRPr="00CF1D3C">
        <w:rPr>
          <w:rFonts w:ascii="Palatino Linotype" w:hAnsi="Palatino Linotype" w:cs="Arial"/>
          <w:b/>
        </w:rPr>
        <w:t>O</w:t>
      </w:r>
      <w:r w:rsidR="0050076C" w:rsidRPr="00CF1D3C">
        <w:rPr>
          <w:rFonts w:ascii="Palatino Linotype" w:hAnsi="Palatino Linotype" w:cs="Arial"/>
          <w:b/>
        </w:rPr>
        <w:t xml:space="preserve">ficios firmados </w:t>
      </w:r>
      <w:r w:rsidRPr="00CF1D3C">
        <w:rPr>
          <w:rFonts w:ascii="Palatino Linotype" w:hAnsi="Palatino Linotype" w:cs="Arial"/>
          <w:b/>
        </w:rPr>
        <w:t xml:space="preserve">por el Subsecretario de Movilidad y </w:t>
      </w:r>
      <w:r w:rsidR="0050076C" w:rsidRPr="00CF1D3C">
        <w:rPr>
          <w:rFonts w:ascii="Palatino Linotype" w:hAnsi="Palatino Linotype" w:cs="Arial"/>
          <w:b/>
        </w:rPr>
        <w:t>por l</w:t>
      </w:r>
      <w:r w:rsidRPr="00CF1D3C">
        <w:rPr>
          <w:rFonts w:ascii="Palatino Linotype" w:hAnsi="Palatino Linotype" w:cs="Arial"/>
          <w:b/>
        </w:rPr>
        <w:t>os</w:t>
      </w:r>
      <w:r w:rsidR="0050076C" w:rsidRPr="00CF1D3C">
        <w:rPr>
          <w:rFonts w:ascii="Palatino Linotype" w:hAnsi="Palatino Linotype" w:cs="Arial"/>
          <w:b/>
        </w:rPr>
        <w:t xml:space="preserve"> Director</w:t>
      </w:r>
      <w:r w:rsidRPr="00CF1D3C">
        <w:rPr>
          <w:rFonts w:ascii="Palatino Linotype" w:hAnsi="Palatino Linotype" w:cs="Arial"/>
          <w:b/>
        </w:rPr>
        <w:t>es</w:t>
      </w:r>
      <w:r w:rsidR="0050076C" w:rsidRPr="00CF1D3C">
        <w:rPr>
          <w:rFonts w:ascii="Palatino Linotype" w:hAnsi="Palatino Linotype" w:cs="Arial"/>
          <w:b/>
        </w:rPr>
        <w:t xml:space="preserve"> de</w:t>
      </w:r>
      <w:r w:rsidRPr="00CF1D3C">
        <w:rPr>
          <w:rFonts w:ascii="Palatino Linotype" w:hAnsi="Palatino Linotype" w:cs="Arial"/>
          <w:b/>
        </w:rPr>
        <w:t xml:space="preserve"> las Zonas</w:t>
      </w:r>
      <w:r w:rsidR="0050076C" w:rsidRPr="00CF1D3C">
        <w:rPr>
          <w:rFonts w:ascii="Palatino Linotype" w:hAnsi="Palatino Linotype" w:cs="Arial"/>
          <w:b/>
        </w:rPr>
        <w:t xml:space="preserve"> 1</w:t>
      </w:r>
      <w:r w:rsidRPr="00CF1D3C">
        <w:rPr>
          <w:rFonts w:ascii="Palatino Linotype" w:hAnsi="Palatino Linotype" w:cs="Arial"/>
          <w:b/>
        </w:rPr>
        <w:t>, 2 y 4,</w:t>
      </w:r>
      <w:r w:rsidR="0050076C" w:rsidRPr="00CF1D3C">
        <w:rPr>
          <w:rFonts w:ascii="Palatino Linotype" w:hAnsi="Palatino Linotype" w:cs="Arial"/>
          <w:b/>
        </w:rPr>
        <w:t xml:space="preserve"> de enero</w:t>
      </w:r>
      <w:r w:rsidRPr="00CF1D3C">
        <w:rPr>
          <w:rFonts w:ascii="Palatino Linotype" w:hAnsi="Palatino Linotype" w:cs="Arial"/>
          <w:b/>
        </w:rPr>
        <w:t xml:space="preserve"> de</w:t>
      </w:r>
      <w:r w:rsidR="0050076C" w:rsidRPr="00CF1D3C">
        <w:rPr>
          <w:rFonts w:ascii="Palatino Linotype" w:hAnsi="Palatino Linotype" w:cs="Arial"/>
          <w:b/>
        </w:rPr>
        <w:t xml:space="preserve"> 2021 a mayo </w:t>
      </w:r>
      <w:r w:rsidRPr="00CF1D3C">
        <w:rPr>
          <w:rFonts w:ascii="Palatino Linotype" w:hAnsi="Palatino Linotype" w:cs="Arial"/>
          <w:b/>
        </w:rPr>
        <w:t xml:space="preserve">de </w:t>
      </w:r>
      <w:r w:rsidR="0050076C" w:rsidRPr="00CF1D3C">
        <w:rPr>
          <w:rFonts w:ascii="Palatino Linotype" w:hAnsi="Palatino Linotype" w:cs="Arial"/>
          <w:b/>
        </w:rPr>
        <w:t>2022</w:t>
      </w:r>
      <w:r w:rsidRPr="00CF1D3C">
        <w:rPr>
          <w:rFonts w:ascii="Palatino Linotype" w:hAnsi="Palatino Linotype" w:cs="Arial"/>
          <w:b/>
        </w:rPr>
        <w:t>.</w:t>
      </w:r>
    </w:p>
    <w:p w:rsidR="00F22511" w:rsidRPr="00CF1D3C" w:rsidRDefault="00F22511" w:rsidP="00797752">
      <w:pPr>
        <w:spacing w:line="360" w:lineRule="auto"/>
        <w:rPr>
          <w:rFonts w:ascii="Palatino Linotype" w:hAnsi="Palatino Linotype" w:cs="Arial"/>
          <w:b/>
        </w:rPr>
      </w:pPr>
    </w:p>
    <w:p w:rsidR="00383E67" w:rsidRPr="00CF1D3C" w:rsidRDefault="00A91EDB" w:rsidP="00A307A0">
      <w:pPr>
        <w:numPr>
          <w:ilvl w:val="0"/>
          <w:numId w:val="1"/>
        </w:numPr>
        <w:tabs>
          <w:tab w:val="left" w:pos="284"/>
        </w:tabs>
        <w:spacing w:line="360" w:lineRule="auto"/>
        <w:ind w:left="0" w:firstLine="0"/>
        <w:contextualSpacing/>
        <w:jc w:val="both"/>
        <w:rPr>
          <w:rFonts w:ascii="Palatino Linotype" w:hAnsi="Palatino Linotype"/>
          <w:i/>
        </w:rPr>
      </w:pPr>
      <w:r w:rsidRPr="00CF1D3C">
        <w:rPr>
          <w:rFonts w:ascii="Palatino Linotype" w:hAnsi="Palatino Linotype"/>
        </w:rPr>
        <w:t xml:space="preserve">En respuesta, el </w:t>
      </w:r>
      <w:r w:rsidRPr="00CF1D3C">
        <w:rPr>
          <w:rFonts w:ascii="Palatino Linotype" w:hAnsi="Palatino Linotype"/>
          <w:b/>
        </w:rPr>
        <w:t>SUJETO OBLIGADO</w:t>
      </w:r>
      <w:r w:rsidRPr="00CF1D3C">
        <w:rPr>
          <w:rFonts w:ascii="Palatino Linotype" w:hAnsi="Palatino Linotype"/>
        </w:rPr>
        <w:t xml:space="preserve"> </w:t>
      </w:r>
      <w:r w:rsidRPr="00CF1D3C">
        <w:rPr>
          <w:rFonts w:ascii="Palatino Linotype" w:hAnsi="Palatino Linotype"/>
          <w:i/>
        </w:rPr>
        <w:t xml:space="preserve">grosso modo </w:t>
      </w:r>
      <w:r w:rsidRPr="00CF1D3C">
        <w:rPr>
          <w:rFonts w:ascii="Palatino Linotype" w:hAnsi="Palatino Linotype"/>
        </w:rPr>
        <w:t>manifestó que derivado del cumulo de información que integra lo solicitado</w:t>
      </w:r>
      <w:r w:rsidR="00E32E51" w:rsidRPr="00CF1D3C">
        <w:rPr>
          <w:rFonts w:ascii="Palatino Linotype" w:hAnsi="Palatino Linotype"/>
        </w:rPr>
        <w:t xml:space="preserve"> y a su falta de capacidad tecnológica para digitalizar la información y remitirla vía </w:t>
      </w:r>
      <w:r w:rsidR="00E32E51" w:rsidRPr="00CF1D3C">
        <w:rPr>
          <w:rFonts w:ascii="Palatino Linotype" w:hAnsi="Palatino Linotype"/>
          <w:b/>
        </w:rPr>
        <w:t>SAIMEX</w:t>
      </w:r>
      <w:r w:rsidRPr="00CF1D3C">
        <w:rPr>
          <w:rFonts w:ascii="Palatino Linotype" w:hAnsi="Palatino Linotype"/>
        </w:rPr>
        <w:t xml:space="preserve">, se ponía a disposición del hoy </w:t>
      </w:r>
      <w:r w:rsidRPr="00CF1D3C">
        <w:rPr>
          <w:rFonts w:ascii="Palatino Linotype" w:hAnsi="Palatino Linotype"/>
          <w:b/>
        </w:rPr>
        <w:t>RECURRENTE</w:t>
      </w:r>
      <w:r w:rsidRPr="00CF1D3C">
        <w:rPr>
          <w:rFonts w:ascii="Palatino Linotype" w:hAnsi="Palatino Linotype"/>
        </w:rPr>
        <w:t xml:space="preserve"> en copias simples, previo pago por reproducción.</w:t>
      </w:r>
      <w:r w:rsidR="00E32E51" w:rsidRPr="00CF1D3C">
        <w:rPr>
          <w:rFonts w:ascii="Palatino Linotype" w:hAnsi="Palatino Linotype"/>
        </w:rPr>
        <w:t xml:space="preserve"> Inconforme con la respuesta el particular interpuso recurso de revisión señalando la negativa a la entrega de la información.</w:t>
      </w:r>
    </w:p>
    <w:p w:rsidR="00383E67" w:rsidRPr="00CF1D3C" w:rsidRDefault="00383E67" w:rsidP="00383E67">
      <w:pPr>
        <w:tabs>
          <w:tab w:val="left" w:pos="284"/>
        </w:tabs>
        <w:spacing w:line="360" w:lineRule="auto"/>
        <w:contextualSpacing/>
        <w:jc w:val="both"/>
        <w:rPr>
          <w:rFonts w:ascii="Palatino Linotype" w:hAnsi="Palatino Linotype"/>
        </w:rPr>
      </w:pPr>
    </w:p>
    <w:p w:rsidR="00383E67" w:rsidRPr="00CF1D3C" w:rsidRDefault="00383E67" w:rsidP="00A307A0">
      <w:pPr>
        <w:numPr>
          <w:ilvl w:val="0"/>
          <w:numId w:val="1"/>
        </w:numPr>
        <w:tabs>
          <w:tab w:val="left" w:pos="284"/>
        </w:tabs>
        <w:spacing w:line="360" w:lineRule="auto"/>
        <w:ind w:left="0" w:firstLine="0"/>
        <w:contextualSpacing/>
        <w:jc w:val="both"/>
        <w:rPr>
          <w:rFonts w:ascii="Palatino Linotype" w:eastAsia="MS Mincho" w:hAnsi="Palatino Linotype" w:cs="Arial"/>
        </w:rPr>
      </w:pPr>
      <w:r w:rsidRPr="00CF1D3C">
        <w:rPr>
          <w:rFonts w:ascii="Palatino Linotype" w:eastAsia="MS Mincho" w:hAnsi="Palatino Linotype" w:cs="Arial"/>
        </w:rPr>
        <w:t xml:space="preserve">En </w:t>
      </w:r>
      <w:r w:rsidRPr="00CF1D3C">
        <w:rPr>
          <w:rFonts w:ascii="Palatino Linotype" w:hAnsi="Palatino Linotype" w:cs="Arial"/>
        </w:rPr>
        <w:t xml:space="preserve">dichas </w:t>
      </w:r>
      <w:r w:rsidRPr="00CF1D3C">
        <w:rPr>
          <w:rFonts w:ascii="Palatino Linotype" w:hAnsi="Palatino Linotype"/>
        </w:rPr>
        <w:t>condiciones</w:t>
      </w:r>
      <w:r w:rsidRPr="00CF1D3C">
        <w:rPr>
          <w:rFonts w:ascii="Palatino Linotype" w:hAnsi="Palatino Linotype" w:cs="Arial"/>
        </w:rPr>
        <w:t xml:space="preserve">, la </w:t>
      </w:r>
      <w:r w:rsidRPr="00CF1D3C">
        <w:rPr>
          <w:rFonts w:ascii="Palatino Linotype" w:hAnsi="Palatino Linotype" w:cs="Arial"/>
          <w:i/>
        </w:rPr>
        <w:t>Litis</w:t>
      </w:r>
      <w:r w:rsidRPr="00CF1D3C">
        <w:rPr>
          <w:rFonts w:ascii="Palatino Linotype" w:hAnsi="Palatino Linotype" w:cs="Arial"/>
        </w:rPr>
        <w:t xml:space="preserve"> a resolver en el presente recurso de revisión se circunscribe a </w:t>
      </w:r>
      <w:r w:rsidRPr="00CF1D3C">
        <w:rPr>
          <w:rFonts w:ascii="Palatino Linotype" w:hAnsi="Palatino Linotype"/>
        </w:rPr>
        <w:t>determinar</w:t>
      </w:r>
      <w:r w:rsidRPr="00CF1D3C">
        <w:rPr>
          <w:rFonts w:ascii="Palatino Linotype" w:hAnsi="Palatino Linotype" w:cs="Arial"/>
        </w:rPr>
        <w:t xml:space="preserve"> si </w:t>
      </w:r>
      <w:r w:rsidRPr="00CF1D3C">
        <w:rPr>
          <w:rFonts w:ascii="Palatino Linotype" w:eastAsia="MS Mincho" w:hAnsi="Palatino Linotype" w:cs="Arial"/>
        </w:rPr>
        <w:t xml:space="preserve">se actualizan la causal de procedencia prevista en el artículo 179, fracción </w:t>
      </w:r>
      <w:r w:rsidRPr="00CF1D3C">
        <w:rPr>
          <w:rFonts w:ascii="Palatino Linotype" w:eastAsia="MS Mincho" w:hAnsi="Palatino Linotype" w:cs="Arial"/>
          <w:b/>
        </w:rPr>
        <w:t>I</w:t>
      </w:r>
      <w:r w:rsidRPr="00CF1D3C">
        <w:rPr>
          <w:rFonts w:ascii="Palatino Linotype" w:eastAsia="MS Mincho" w:hAnsi="Palatino Linotype" w:cs="Arial"/>
        </w:rPr>
        <w:t xml:space="preserve"> de la </w:t>
      </w:r>
      <w:r w:rsidRPr="00CF1D3C">
        <w:rPr>
          <w:rFonts w:ascii="Palatino Linotype" w:eastAsia="MS Mincho" w:hAnsi="Palatino Linotype" w:cs="Arial"/>
          <w:b/>
        </w:rPr>
        <w:t>Ley de Transparencia y Acceso a la Información Pública del Estado de México y Municipios</w:t>
      </w:r>
      <w:r w:rsidRPr="00CF1D3C">
        <w:rPr>
          <w:rFonts w:ascii="Palatino Linotype" w:eastAsia="MS Mincho" w:hAnsi="Palatino Linotype" w:cs="Arial"/>
        </w:rPr>
        <w:t xml:space="preserve">; </w:t>
      </w:r>
      <w:r w:rsidRPr="00CF1D3C">
        <w:rPr>
          <w:rFonts w:ascii="Palatino Linotype" w:hAnsi="Palatino Linotype" w:cs="Arial"/>
          <w:color w:val="000000" w:themeColor="text1"/>
          <w:lang w:val="es-ES"/>
        </w:rPr>
        <w:t>fracción que determina la hi</w:t>
      </w:r>
      <w:r w:rsidR="00A91EDB" w:rsidRPr="00CF1D3C">
        <w:rPr>
          <w:rFonts w:ascii="Palatino Linotype" w:hAnsi="Palatino Linotype" w:cs="Arial"/>
          <w:color w:val="000000" w:themeColor="text1"/>
          <w:lang w:val="es-ES"/>
        </w:rPr>
        <w:t>pótesis jurídica relativa a la negativa a la información solicitada</w:t>
      </w:r>
      <w:r w:rsidRPr="00CF1D3C">
        <w:rPr>
          <w:rFonts w:ascii="Palatino Linotype" w:hAnsi="Palatino Linotype" w:cs="Arial"/>
          <w:color w:val="000000" w:themeColor="text1"/>
          <w:lang w:val="es-ES"/>
        </w:rPr>
        <w:t xml:space="preserve">; </w:t>
      </w:r>
      <w:r w:rsidRPr="00CF1D3C">
        <w:rPr>
          <w:rFonts w:ascii="Palatino Linotype" w:eastAsia="MS Mincho" w:hAnsi="Palatino Linotype" w:cs="Arial"/>
        </w:rPr>
        <w:t xml:space="preserve">contexto del cual se dolió el </w:t>
      </w:r>
      <w:r w:rsidRPr="00CF1D3C">
        <w:rPr>
          <w:rFonts w:ascii="Palatino Linotype" w:eastAsia="MS Mincho" w:hAnsi="Palatino Linotype" w:cs="Arial"/>
          <w:b/>
        </w:rPr>
        <w:t>RECURRENTE</w:t>
      </w:r>
      <w:r w:rsidRPr="00CF1D3C">
        <w:rPr>
          <w:rFonts w:ascii="Palatino Linotype" w:eastAsia="MS Mincho" w:hAnsi="Palatino Linotype" w:cs="Arial"/>
        </w:rPr>
        <w:t xml:space="preserve"> al momento de interponer su recurso de revisión</w:t>
      </w:r>
      <w:r w:rsidRPr="00CF1D3C">
        <w:rPr>
          <w:rFonts w:ascii="Palatino Linotype" w:hAnsi="Palatino Linotype" w:cs="Arial"/>
          <w:color w:val="000000" w:themeColor="text1"/>
          <w:lang w:val="es-ES"/>
        </w:rPr>
        <w:t xml:space="preserve">; asimismo, determinar si se vulnera el derecho de acceso a la información del particular por la </w:t>
      </w:r>
      <w:r w:rsidRPr="00CF1D3C">
        <w:rPr>
          <w:rFonts w:ascii="Palatino Linotype" w:hAnsi="Palatino Linotype" w:cs="Arial"/>
          <w:color w:val="000000" w:themeColor="text1"/>
          <w:lang w:val="es-ES"/>
        </w:rPr>
        <w:lastRenderedPageBreak/>
        <w:t>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7A2F5A" w:rsidRPr="00CF1D3C" w:rsidRDefault="007A2F5A" w:rsidP="007A2F5A">
      <w:pPr>
        <w:pStyle w:val="Prrafodelista"/>
        <w:rPr>
          <w:rFonts w:ascii="Palatino Linotype" w:eastAsia="MS Mincho" w:hAnsi="Palatino Linotype" w:cs="Arial"/>
        </w:rPr>
      </w:pPr>
    </w:p>
    <w:p w:rsidR="00797752" w:rsidRPr="00CF1D3C" w:rsidRDefault="00735EF3" w:rsidP="00797752">
      <w:pPr>
        <w:keepNext/>
        <w:keepLines/>
        <w:spacing w:line="360" w:lineRule="auto"/>
        <w:outlineLvl w:val="0"/>
        <w:rPr>
          <w:rFonts w:ascii="Palatino Linotype" w:eastAsia="MS Gothic" w:hAnsi="Palatino Linotype"/>
          <w:b/>
        </w:rPr>
      </w:pPr>
      <w:bookmarkStart w:id="14" w:name="_Toc83893316"/>
      <w:r w:rsidRPr="00CF1D3C">
        <w:rPr>
          <w:rFonts w:ascii="Palatino Linotype" w:eastAsia="MS Gothic" w:hAnsi="Palatino Linotype" w:cstheme="majorBidi"/>
          <w:b/>
        </w:rPr>
        <w:t>CUARTO</w:t>
      </w:r>
      <w:r w:rsidR="00797752" w:rsidRPr="00CF1D3C">
        <w:rPr>
          <w:rFonts w:ascii="Palatino Linotype" w:eastAsia="MS Gothic" w:hAnsi="Palatino Linotype" w:cstheme="majorBidi"/>
          <w:b/>
        </w:rPr>
        <w:t xml:space="preserve">. </w:t>
      </w:r>
      <w:r w:rsidR="00797752" w:rsidRPr="00CF1D3C">
        <w:rPr>
          <w:rFonts w:ascii="Palatino Linotype" w:eastAsia="MS Gothic" w:hAnsi="Palatino Linotype"/>
          <w:b/>
        </w:rPr>
        <w:t>Del estudio y resolución del asunto.</w:t>
      </w:r>
      <w:bookmarkEnd w:id="14"/>
    </w:p>
    <w:p w:rsidR="007A2F5A" w:rsidRPr="00CF1D3C" w:rsidRDefault="007A2F5A" w:rsidP="00797752">
      <w:pPr>
        <w:keepNext/>
        <w:keepLines/>
        <w:spacing w:line="360" w:lineRule="auto"/>
        <w:outlineLvl w:val="0"/>
        <w:rPr>
          <w:rFonts w:ascii="Palatino Linotype" w:eastAsia="MS Gothic" w:hAnsi="Palatino Linotype"/>
          <w:b/>
        </w:rPr>
      </w:pPr>
    </w:p>
    <w:p w:rsidR="007A2F5A" w:rsidRPr="00CF1D3C" w:rsidRDefault="007A2F5A" w:rsidP="00A307A0">
      <w:pPr>
        <w:keepNext/>
        <w:keepLines/>
        <w:numPr>
          <w:ilvl w:val="1"/>
          <w:numId w:val="1"/>
        </w:numPr>
        <w:spacing w:line="360" w:lineRule="auto"/>
        <w:ind w:left="851" w:hanging="720"/>
        <w:contextualSpacing/>
        <w:jc w:val="both"/>
        <w:outlineLvl w:val="1"/>
        <w:rPr>
          <w:rFonts w:ascii="Palatino Linotype" w:eastAsia="MS Gothic" w:hAnsi="Palatino Linotype"/>
          <w:b/>
        </w:rPr>
      </w:pPr>
      <w:r w:rsidRPr="00CF1D3C">
        <w:rPr>
          <w:rFonts w:ascii="Palatino Linotype" w:eastAsia="MS Gothic" w:hAnsi="Palatino Linotype"/>
          <w:b/>
        </w:rPr>
        <w:t>De la respuesta a las solicitudes de información.</w:t>
      </w:r>
    </w:p>
    <w:p w:rsidR="007A2F5A" w:rsidRPr="00CF1D3C" w:rsidRDefault="007A2F5A" w:rsidP="007A2F5A">
      <w:pPr>
        <w:keepNext/>
        <w:keepLines/>
        <w:spacing w:line="360" w:lineRule="auto"/>
        <w:ind w:left="851"/>
        <w:contextualSpacing/>
        <w:jc w:val="both"/>
        <w:outlineLvl w:val="1"/>
        <w:rPr>
          <w:rFonts w:ascii="Palatino Linotype" w:eastAsia="MS Gothic" w:hAnsi="Palatino Linotype"/>
          <w:b/>
        </w:rPr>
      </w:pPr>
    </w:p>
    <w:p w:rsidR="006E2021" w:rsidRPr="00CF1D3C" w:rsidRDefault="007A2F5A" w:rsidP="00A307A0">
      <w:pPr>
        <w:numPr>
          <w:ilvl w:val="0"/>
          <w:numId w:val="1"/>
        </w:numPr>
        <w:spacing w:line="360" w:lineRule="auto"/>
        <w:ind w:left="0" w:firstLine="0"/>
        <w:contextualSpacing/>
        <w:jc w:val="both"/>
        <w:rPr>
          <w:rFonts w:ascii="Palatino Linotype" w:eastAsia="MS Gothic" w:hAnsi="Palatino Linotype"/>
          <w:b/>
        </w:rPr>
      </w:pPr>
      <w:r w:rsidRPr="00CF1D3C">
        <w:rPr>
          <w:rFonts w:ascii="Palatino Linotype" w:hAnsi="Palatino Linotype"/>
        </w:rPr>
        <w:t xml:space="preserve">Como ya se señaló en los antecedentes del presente proveído, de la respuesta emitida, la Secretaria de Movilidad, aceptó de manera expresa que generó, posee y administra lo requerido, tan es así que puso a disposición del particular la información en copias simples previo pago de derechos; de modo tal que se omite un estudio pormenorizado de la fuente obligacional del </w:t>
      </w:r>
      <w:r w:rsidRPr="00CF1D3C">
        <w:rPr>
          <w:rFonts w:ascii="Palatino Linotype" w:hAnsi="Palatino Linotype"/>
          <w:b/>
        </w:rPr>
        <w:t>SUJETO OBLIGADO</w:t>
      </w:r>
      <w:r w:rsidR="00A63BD3" w:rsidRPr="00CF1D3C">
        <w:rPr>
          <w:rFonts w:ascii="Palatino Linotype" w:hAnsi="Palatino Linotype"/>
        </w:rPr>
        <w:t xml:space="preserve"> para determinar si</w:t>
      </w:r>
      <w:r w:rsidRPr="00CF1D3C">
        <w:rPr>
          <w:rFonts w:ascii="Palatino Linotype" w:hAnsi="Palatino Linotype"/>
        </w:rPr>
        <w:t xml:space="preserve"> genera, posee o administra la información, toda vez que –se insiste– ya la asumió.</w:t>
      </w:r>
    </w:p>
    <w:p w:rsidR="007A2F5A" w:rsidRPr="00CF1D3C" w:rsidRDefault="007A2F5A" w:rsidP="007A2F5A">
      <w:pPr>
        <w:spacing w:line="360" w:lineRule="auto"/>
        <w:contextualSpacing/>
        <w:jc w:val="both"/>
        <w:rPr>
          <w:rFonts w:ascii="Palatino Linotype" w:eastAsia="MS Gothic" w:hAnsi="Palatino Linotype"/>
          <w:b/>
        </w:rPr>
      </w:pPr>
    </w:p>
    <w:p w:rsidR="007A2F5A" w:rsidRPr="00CF1D3C" w:rsidRDefault="00511AE7" w:rsidP="00A307A0">
      <w:pPr>
        <w:numPr>
          <w:ilvl w:val="0"/>
          <w:numId w:val="1"/>
        </w:numPr>
        <w:spacing w:line="360" w:lineRule="auto"/>
        <w:ind w:left="0" w:firstLine="0"/>
        <w:contextualSpacing/>
        <w:jc w:val="both"/>
        <w:rPr>
          <w:rFonts w:ascii="Palatino Linotype" w:eastAsia="MS Gothic" w:hAnsi="Palatino Linotype"/>
        </w:rPr>
      </w:pPr>
      <w:r w:rsidRPr="00CF1D3C">
        <w:rPr>
          <w:rFonts w:ascii="Palatino Linotype" w:eastAsia="MS Gothic" w:hAnsi="Palatino Linotype"/>
        </w:rPr>
        <w:t>Aco</w:t>
      </w:r>
      <w:r w:rsidR="007A2F5A" w:rsidRPr="00CF1D3C">
        <w:rPr>
          <w:rFonts w:ascii="Palatino Linotype" w:eastAsia="MS Gothic" w:hAnsi="Palatino Linotype"/>
        </w:rPr>
        <w:t>tado lo anterior, es menester señalar que resultan</w:t>
      </w:r>
      <w:r w:rsidR="005C5D34" w:rsidRPr="00CF1D3C">
        <w:rPr>
          <w:rFonts w:ascii="Palatino Linotype" w:eastAsia="MS Gothic" w:hAnsi="Palatino Linotype"/>
        </w:rPr>
        <w:t xml:space="preserve"> parcialmente</w:t>
      </w:r>
      <w:r w:rsidR="007A2F5A" w:rsidRPr="00CF1D3C">
        <w:rPr>
          <w:rFonts w:ascii="Palatino Linotype" w:eastAsia="MS Gothic" w:hAnsi="Palatino Linotype"/>
        </w:rPr>
        <w:t xml:space="preserve"> fundadas las razones o motivos de inconformidad, toda vez que</w:t>
      </w:r>
      <w:r w:rsidR="005C5D34" w:rsidRPr="00CF1D3C">
        <w:rPr>
          <w:rFonts w:ascii="Palatino Linotype" w:eastAsia="MS Gothic" w:hAnsi="Palatino Linotype"/>
        </w:rPr>
        <w:t xml:space="preserve"> no se le niega la información, sin embargo también lo es que</w:t>
      </w:r>
      <w:r w:rsidR="007A2F5A" w:rsidRPr="00CF1D3C">
        <w:rPr>
          <w:rFonts w:ascii="Palatino Linotype" w:eastAsia="MS Gothic" w:hAnsi="Palatino Linotype"/>
        </w:rPr>
        <w:t xml:space="preserve"> como se señaló con a</w:t>
      </w:r>
      <w:r w:rsidR="005C5D34" w:rsidRPr="00CF1D3C">
        <w:rPr>
          <w:rFonts w:ascii="Palatino Linotype" w:eastAsia="MS Gothic" w:hAnsi="Palatino Linotype"/>
        </w:rPr>
        <w:t>nterioridad, el particular eligi</w:t>
      </w:r>
      <w:r w:rsidR="00A63BD3" w:rsidRPr="00CF1D3C">
        <w:rPr>
          <w:rFonts w:ascii="Palatino Linotype" w:eastAsia="MS Gothic" w:hAnsi="Palatino Linotype"/>
        </w:rPr>
        <w:t>ó</w:t>
      </w:r>
      <w:r w:rsidR="007A2F5A" w:rsidRPr="00CF1D3C">
        <w:rPr>
          <w:rFonts w:ascii="Palatino Linotype" w:eastAsia="MS Gothic" w:hAnsi="Palatino Linotype"/>
        </w:rPr>
        <w:t xml:space="preserve"> en todas las solicitudes objeto de estudio, como modalidad de entrega a través del </w:t>
      </w:r>
      <w:r w:rsidR="007A2F5A" w:rsidRPr="00CF1D3C">
        <w:rPr>
          <w:rFonts w:ascii="Palatino Linotype" w:eastAsia="MS Gothic" w:hAnsi="Palatino Linotype"/>
          <w:b/>
        </w:rPr>
        <w:t>SAIMEX</w:t>
      </w:r>
      <w:r w:rsidR="007A2F5A" w:rsidRPr="00CF1D3C">
        <w:rPr>
          <w:rFonts w:ascii="Palatino Linotype" w:eastAsia="MS Gothic" w:hAnsi="Palatino Linotype"/>
        </w:rPr>
        <w:t>.</w:t>
      </w:r>
    </w:p>
    <w:p w:rsidR="00735EF3" w:rsidRPr="00CF1D3C" w:rsidRDefault="00735EF3" w:rsidP="00735EF3">
      <w:pPr>
        <w:pStyle w:val="Prrafodelista"/>
        <w:rPr>
          <w:rFonts w:ascii="Palatino Linotype" w:eastAsia="MS Gothic" w:hAnsi="Palatino Linotype"/>
        </w:rPr>
      </w:pPr>
    </w:p>
    <w:p w:rsidR="00735EF3" w:rsidRPr="00CF1D3C" w:rsidRDefault="00735EF3" w:rsidP="00735EF3">
      <w:pPr>
        <w:spacing w:line="360" w:lineRule="auto"/>
        <w:contextualSpacing/>
        <w:jc w:val="both"/>
        <w:rPr>
          <w:rFonts w:ascii="Palatino Linotype" w:eastAsia="MS Gothic" w:hAnsi="Palatino Linotype"/>
        </w:rPr>
      </w:pPr>
    </w:p>
    <w:p w:rsidR="007A2F5A" w:rsidRPr="00CF1D3C" w:rsidRDefault="007A2F5A" w:rsidP="00A307A0">
      <w:pPr>
        <w:numPr>
          <w:ilvl w:val="0"/>
          <w:numId w:val="1"/>
        </w:numPr>
        <w:spacing w:line="360" w:lineRule="auto"/>
        <w:ind w:left="0" w:firstLine="0"/>
        <w:contextualSpacing/>
        <w:jc w:val="both"/>
        <w:rPr>
          <w:rFonts w:ascii="Palatino Linotype" w:eastAsia="MS Gothic" w:hAnsi="Palatino Linotype"/>
        </w:rPr>
      </w:pPr>
      <w:r w:rsidRPr="00CF1D3C">
        <w:rPr>
          <w:rFonts w:ascii="Palatino Linotype" w:eastAsia="MS Gothic" w:hAnsi="Palatino Linotype"/>
        </w:rPr>
        <w:t>En ese sentido, el derecho de acceso a la información es universal, por lo que todas las personas pueden ejercerlo, sin distinción alguna. De esta manera, cuando alguien solicita información pública, los sujetos obligados tienen la obligación de privilegiar los principios de máxima accesibilidad, de sencillez y, sobre todo, de gratuidad, como ejes rectores de estos procedimientos.</w:t>
      </w:r>
    </w:p>
    <w:p w:rsidR="007A2F5A" w:rsidRPr="00CF1D3C" w:rsidRDefault="007A2F5A" w:rsidP="007A2F5A">
      <w:pPr>
        <w:pStyle w:val="Prrafodelista"/>
        <w:rPr>
          <w:rFonts w:ascii="Palatino Linotype" w:eastAsia="MS Gothic" w:hAnsi="Palatino Linotype"/>
        </w:rPr>
      </w:pPr>
    </w:p>
    <w:p w:rsidR="007A2F5A" w:rsidRPr="00CF1D3C" w:rsidRDefault="007A2F5A" w:rsidP="00A307A0">
      <w:pPr>
        <w:numPr>
          <w:ilvl w:val="0"/>
          <w:numId w:val="1"/>
        </w:numPr>
        <w:spacing w:line="360" w:lineRule="auto"/>
        <w:ind w:left="0" w:firstLine="0"/>
        <w:contextualSpacing/>
        <w:jc w:val="both"/>
        <w:rPr>
          <w:rFonts w:ascii="Palatino Linotype" w:eastAsia="MS Gothic" w:hAnsi="Palatino Linotype"/>
        </w:rPr>
      </w:pPr>
      <w:r w:rsidRPr="00CF1D3C">
        <w:rPr>
          <w:rFonts w:ascii="Palatino Linotype" w:eastAsia="MS Gothic" w:hAnsi="Palatino Linotype"/>
        </w:rPr>
        <w:t>Si bien las instituciones públicas deben anteponer el principio de gratuidad al responder una petición de este tipo, resulta convenient</w:t>
      </w:r>
      <w:r w:rsidR="00CB5D7A" w:rsidRPr="00CF1D3C">
        <w:rPr>
          <w:rFonts w:ascii="Palatino Linotype" w:eastAsia="MS Gothic" w:hAnsi="Palatino Linotype"/>
        </w:rPr>
        <w:t>e que los particulares considera</w:t>
      </w:r>
      <w:r w:rsidRPr="00CF1D3C">
        <w:rPr>
          <w:rFonts w:ascii="Palatino Linotype" w:eastAsia="MS Gothic" w:hAnsi="Palatino Linotype"/>
        </w:rPr>
        <w:t xml:space="preserve">n al </w:t>
      </w:r>
      <w:r w:rsidR="00CB5D7A" w:rsidRPr="00CF1D3C">
        <w:rPr>
          <w:rFonts w:ascii="Palatino Linotype" w:eastAsia="MS Gothic" w:hAnsi="Palatino Linotype"/>
        </w:rPr>
        <w:t>SAIMEX</w:t>
      </w:r>
      <w:r w:rsidRPr="00CF1D3C">
        <w:rPr>
          <w:rFonts w:ascii="Palatino Linotype" w:eastAsia="MS Gothic" w:hAnsi="Palatino Linotype"/>
        </w:rPr>
        <w:t xml:space="preserve"> como la vía</w:t>
      </w:r>
      <w:r w:rsidR="00CB5D7A" w:rsidRPr="00CF1D3C">
        <w:rPr>
          <w:rFonts w:ascii="Palatino Linotype" w:eastAsia="MS Gothic" w:hAnsi="Palatino Linotype"/>
        </w:rPr>
        <w:t xml:space="preserve"> </w:t>
      </w:r>
      <w:r w:rsidRPr="00CF1D3C">
        <w:rPr>
          <w:rFonts w:ascii="Palatino Linotype" w:eastAsia="MS Gothic" w:hAnsi="Palatino Linotype"/>
        </w:rPr>
        <w:t>principal para la consu</w:t>
      </w:r>
      <w:r w:rsidR="00CB5D7A" w:rsidRPr="00CF1D3C">
        <w:rPr>
          <w:rFonts w:ascii="Palatino Linotype" w:eastAsia="MS Gothic" w:hAnsi="Palatino Linotype"/>
        </w:rPr>
        <w:t>lta de la información, por lo que cuando dicho supuesto se actualiza, l</w:t>
      </w:r>
      <w:r w:rsidRPr="00CF1D3C">
        <w:rPr>
          <w:rFonts w:ascii="Palatino Linotype" w:eastAsia="MS Gothic" w:hAnsi="Palatino Linotype"/>
        </w:rPr>
        <w:t>a información debe entregarse en la modalidad especificada por cada</w:t>
      </w:r>
      <w:r w:rsidR="00CB5D7A" w:rsidRPr="00CF1D3C">
        <w:rPr>
          <w:rFonts w:ascii="Palatino Linotype" w:eastAsia="MS Gothic" w:hAnsi="Palatino Linotype"/>
        </w:rPr>
        <w:t xml:space="preserve"> </w:t>
      </w:r>
      <w:r w:rsidRPr="00CF1D3C">
        <w:rPr>
          <w:rFonts w:ascii="Palatino Linotype" w:eastAsia="MS Gothic" w:hAnsi="Palatino Linotype"/>
        </w:rPr>
        <w:t xml:space="preserve">solicitante, </w:t>
      </w:r>
      <w:r w:rsidR="00CB5D7A" w:rsidRPr="00CF1D3C">
        <w:rPr>
          <w:rFonts w:ascii="Palatino Linotype" w:eastAsia="MS Gothic" w:hAnsi="Palatino Linotype"/>
        </w:rPr>
        <w:t>por lo que de ser requerida</w:t>
      </w:r>
      <w:r w:rsidRPr="00CF1D3C">
        <w:rPr>
          <w:rFonts w:ascii="Palatino Linotype" w:eastAsia="MS Gothic" w:hAnsi="Palatino Linotype"/>
        </w:rPr>
        <w:t xml:space="preserve"> vía </w:t>
      </w:r>
      <w:r w:rsidR="00CB5D7A" w:rsidRPr="00CF1D3C">
        <w:rPr>
          <w:rFonts w:ascii="Palatino Linotype" w:eastAsia="MS Gothic" w:hAnsi="Palatino Linotype"/>
        </w:rPr>
        <w:t>SAIMEX</w:t>
      </w:r>
      <w:r w:rsidRPr="00CF1D3C">
        <w:rPr>
          <w:rFonts w:ascii="Palatino Linotype" w:eastAsia="MS Gothic" w:hAnsi="Palatino Linotype"/>
        </w:rPr>
        <w:t>, los documentos digitalizados se</w:t>
      </w:r>
      <w:r w:rsidR="00CB5D7A" w:rsidRPr="00CF1D3C">
        <w:rPr>
          <w:rFonts w:ascii="Palatino Linotype" w:eastAsia="MS Gothic" w:hAnsi="Palatino Linotype"/>
        </w:rPr>
        <w:t xml:space="preserve"> </w:t>
      </w:r>
      <w:r w:rsidRPr="00CF1D3C">
        <w:rPr>
          <w:rFonts w:ascii="Palatino Linotype" w:eastAsia="MS Gothic" w:hAnsi="Palatino Linotype"/>
        </w:rPr>
        <w:t>remiten sin costo alguno, lo cual representa un ahorro significativo, tanto</w:t>
      </w:r>
      <w:r w:rsidR="00CB5D7A" w:rsidRPr="00CF1D3C">
        <w:rPr>
          <w:rFonts w:ascii="Palatino Linotype" w:eastAsia="MS Gothic" w:hAnsi="Palatino Linotype"/>
        </w:rPr>
        <w:t xml:space="preserve"> </w:t>
      </w:r>
      <w:r w:rsidRPr="00CF1D3C">
        <w:rPr>
          <w:rFonts w:ascii="Palatino Linotype" w:eastAsia="MS Gothic" w:hAnsi="Palatino Linotype"/>
        </w:rPr>
        <w:t>para los particulares como para las instituciones</w:t>
      </w:r>
      <w:r w:rsidR="00CB5D7A" w:rsidRPr="00CF1D3C">
        <w:rPr>
          <w:rFonts w:ascii="Palatino Linotype" w:eastAsia="MS Gothic" w:hAnsi="Palatino Linotype"/>
        </w:rPr>
        <w:t>.</w:t>
      </w:r>
    </w:p>
    <w:p w:rsidR="00CB5D7A" w:rsidRPr="00CF1D3C" w:rsidRDefault="00CB5D7A" w:rsidP="00CB5D7A">
      <w:pPr>
        <w:pStyle w:val="Prrafodelista"/>
        <w:rPr>
          <w:rFonts w:ascii="Palatino Linotype" w:eastAsia="MS Gothic" w:hAnsi="Palatino Linotype"/>
        </w:rPr>
      </w:pPr>
    </w:p>
    <w:p w:rsidR="00CB5D7A" w:rsidRPr="00CF1D3C" w:rsidRDefault="00CB5D7A" w:rsidP="00A307A0">
      <w:pPr>
        <w:numPr>
          <w:ilvl w:val="0"/>
          <w:numId w:val="1"/>
        </w:numPr>
        <w:spacing w:line="360" w:lineRule="auto"/>
        <w:ind w:left="0" w:firstLine="0"/>
        <w:contextualSpacing/>
        <w:jc w:val="both"/>
        <w:rPr>
          <w:rFonts w:ascii="Palatino Linotype" w:eastAsia="MS Gothic" w:hAnsi="Palatino Linotype"/>
        </w:rPr>
      </w:pPr>
      <w:r w:rsidRPr="00CF1D3C">
        <w:rPr>
          <w:rFonts w:ascii="Palatino Linotype" w:eastAsia="MS Gothic" w:hAnsi="Palatino Linotype"/>
        </w:rPr>
        <w:t>En algunos casos, las personas no ejercen este derecho fundamental mediante el SAIMEX, sino a través de copias simples, copias certificadas o discos compactos, modalidades que sí requieren el pago de derechos correspondiente, según las prescripciones del Código Financiero del Estado de México y Municipios, no obstante, de las constancias que obran en los expedientes electrónicos en que se actúa, no se actualiza</w:t>
      </w:r>
      <w:r w:rsidR="00A63BD3" w:rsidRPr="00CF1D3C">
        <w:rPr>
          <w:rFonts w:ascii="Palatino Linotype" w:eastAsia="MS Gothic" w:hAnsi="Palatino Linotype"/>
        </w:rPr>
        <w:t>n</w:t>
      </w:r>
      <w:r w:rsidRPr="00CF1D3C">
        <w:rPr>
          <w:rFonts w:ascii="Palatino Linotype" w:eastAsia="MS Gothic" w:hAnsi="Palatino Linotype"/>
        </w:rPr>
        <w:t xml:space="preserve"> </w:t>
      </w:r>
      <w:r w:rsidR="00A63BD3" w:rsidRPr="00CF1D3C">
        <w:rPr>
          <w:rFonts w:ascii="Palatino Linotype" w:eastAsia="MS Gothic" w:hAnsi="Palatino Linotype"/>
        </w:rPr>
        <w:t>esos</w:t>
      </w:r>
      <w:r w:rsidRPr="00CF1D3C">
        <w:rPr>
          <w:rFonts w:ascii="Palatino Linotype" w:eastAsia="MS Gothic" w:hAnsi="Palatino Linotype"/>
        </w:rPr>
        <w:t xml:space="preserve"> supuesto</w:t>
      </w:r>
      <w:r w:rsidR="00A63BD3" w:rsidRPr="00CF1D3C">
        <w:rPr>
          <w:rFonts w:ascii="Palatino Linotype" w:eastAsia="MS Gothic" w:hAnsi="Palatino Linotype"/>
        </w:rPr>
        <w:t>s</w:t>
      </w:r>
      <w:r w:rsidRPr="00CF1D3C">
        <w:rPr>
          <w:rFonts w:ascii="Palatino Linotype" w:eastAsia="MS Gothic" w:hAnsi="Palatino Linotype"/>
        </w:rPr>
        <w:t>.</w:t>
      </w:r>
    </w:p>
    <w:p w:rsidR="00CB5D7A" w:rsidRPr="00CF1D3C" w:rsidRDefault="00CB5D7A" w:rsidP="00CB5D7A">
      <w:pPr>
        <w:pStyle w:val="Prrafodelista"/>
        <w:rPr>
          <w:rFonts w:ascii="Palatino Linotype" w:eastAsia="MS Gothic" w:hAnsi="Palatino Linotype"/>
        </w:rPr>
      </w:pPr>
    </w:p>
    <w:p w:rsidR="00CB5D7A" w:rsidRPr="00CF1D3C" w:rsidRDefault="00CB5D7A" w:rsidP="00A307A0">
      <w:pPr>
        <w:numPr>
          <w:ilvl w:val="0"/>
          <w:numId w:val="1"/>
        </w:numPr>
        <w:spacing w:line="360" w:lineRule="auto"/>
        <w:ind w:left="0" w:firstLine="0"/>
        <w:contextualSpacing/>
        <w:jc w:val="both"/>
        <w:rPr>
          <w:rFonts w:ascii="Palatino Linotype" w:eastAsia="MS Gothic" w:hAnsi="Palatino Linotype"/>
        </w:rPr>
      </w:pPr>
      <w:r w:rsidRPr="00CF1D3C">
        <w:rPr>
          <w:rFonts w:ascii="Palatino Linotype" w:eastAsia="MS Gothic" w:hAnsi="Palatino Linotype"/>
        </w:rPr>
        <w:lastRenderedPageBreak/>
        <w:t>Desde este contexto, si la información pública requerida fue elegida para su entrega por medio de dicha plataforma electrónica, porque el particular considera que no es indispensable la expedición de copias certificadas</w:t>
      </w:r>
      <w:r w:rsidR="00A63BD3" w:rsidRPr="00CF1D3C">
        <w:rPr>
          <w:rFonts w:ascii="Palatino Linotype" w:eastAsia="MS Gothic" w:hAnsi="Palatino Linotype"/>
        </w:rPr>
        <w:t xml:space="preserve"> o simples</w:t>
      </w:r>
      <w:r w:rsidRPr="00CF1D3C">
        <w:rPr>
          <w:rFonts w:ascii="Palatino Linotype" w:eastAsia="MS Gothic" w:hAnsi="Palatino Linotype"/>
        </w:rPr>
        <w:t xml:space="preserve">, con la finalidad de evitar dicho pago, </w:t>
      </w:r>
      <w:r w:rsidRPr="00CF1D3C">
        <w:rPr>
          <w:rFonts w:ascii="Palatino Linotype" w:eastAsia="MS Gothic" w:hAnsi="Palatino Linotype"/>
          <w:b/>
        </w:rPr>
        <w:t>se deberá privilegiar esa modalidad</w:t>
      </w:r>
      <w:r w:rsidRPr="00CF1D3C">
        <w:rPr>
          <w:rFonts w:ascii="Palatino Linotype" w:eastAsia="MS Gothic" w:hAnsi="Palatino Linotype"/>
        </w:rPr>
        <w:t>.</w:t>
      </w:r>
    </w:p>
    <w:p w:rsidR="00A91EDB" w:rsidRPr="00CF1D3C" w:rsidRDefault="00A91EDB" w:rsidP="00A91EDB">
      <w:pPr>
        <w:keepNext/>
        <w:keepLines/>
        <w:spacing w:line="360" w:lineRule="auto"/>
        <w:ind w:left="851"/>
        <w:contextualSpacing/>
        <w:jc w:val="both"/>
        <w:outlineLvl w:val="1"/>
        <w:rPr>
          <w:rFonts w:ascii="Palatino Linotype" w:eastAsia="MS Gothic" w:hAnsi="Palatino Linotype"/>
          <w:b/>
        </w:rPr>
      </w:pPr>
    </w:p>
    <w:p w:rsidR="0021154E" w:rsidRPr="00CF1D3C" w:rsidRDefault="00CB5D7A" w:rsidP="00A307A0">
      <w:pPr>
        <w:numPr>
          <w:ilvl w:val="0"/>
          <w:numId w:val="1"/>
        </w:numPr>
        <w:spacing w:line="360" w:lineRule="auto"/>
        <w:ind w:left="0" w:firstLine="0"/>
        <w:contextualSpacing/>
        <w:jc w:val="both"/>
        <w:rPr>
          <w:rFonts w:ascii="Palatino Linotype" w:eastAsia="MS Mincho" w:hAnsi="Palatino Linotype"/>
          <w:color w:val="000000"/>
        </w:rPr>
      </w:pPr>
      <w:bookmarkStart w:id="15" w:name="_Toc536106972"/>
      <w:r w:rsidRPr="00CF1D3C">
        <w:rPr>
          <w:rFonts w:ascii="Palatino Linotype" w:hAnsi="Palatino Linotype"/>
        </w:rPr>
        <w:t xml:space="preserve">Ello resulta </w:t>
      </w:r>
      <w:r w:rsidR="00511AE7" w:rsidRPr="00CF1D3C">
        <w:rPr>
          <w:rFonts w:ascii="Palatino Linotype" w:hAnsi="Palatino Linotype"/>
        </w:rPr>
        <w:t>así</w:t>
      </w:r>
      <w:r w:rsidRPr="00CF1D3C">
        <w:rPr>
          <w:rFonts w:ascii="Palatino Linotype" w:hAnsi="Palatino Linotype"/>
        </w:rPr>
        <w:t>, en virtud de que e</w:t>
      </w:r>
      <w:r w:rsidR="0021154E" w:rsidRPr="00CF1D3C">
        <w:rPr>
          <w:rFonts w:ascii="Palatino Linotype" w:hAnsi="Palatino Linotype" w:cs="Arial"/>
          <w:color w:val="000000"/>
          <w:lang w:eastAsia="es-MX"/>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0021154E" w:rsidRPr="00CF1D3C">
        <w:rPr>
          <w:rFonts w:ascii="Palatino Linotype" w:hAnsi="Palatino Linotype" w:cs="Arial"/>
          <w:color w:val="000000"/>
        </w:rPr>
        <w:t xml:space="preserve">. </w:t>
      </w:r>
    </w:p>
    <w:p w:rsidR="0021154E" w:rsidRPr="00CF1D3C" w:rsidRDefault="0021154E" w:rsidP="0021154E">
      <w:pPr>
        <w:spacing w:line="360" w:lineRule="auto"/>
        <w:ind w:right="49"/>
        <w:contextualSpacing/>
        <w:jc w:val="both"/>
        <w:rPr>
          <w:rFonts w:ascii="Palatino Linotype" w:eastAsia="MS Mincho" w:hAnsi="Palatino Linotype"/>
          <w:color w:val="000000"/>
        </w:rPr>
      </w:pPr>
    </w:p>
    <w:p w:rsidR="0021154E" w:rsidRPr="00CF1D3C" w:rsidRDefault="0021154E" w:rsidP="00A307A0">
      <w:pPr>
        <w:numPr>
          <w:ilvl w:val="0"/>
          <w:numId w:val="1"/>
        </w:numPr>
        <w:spacing w:line="360" w:lineRule="auto"/>
        <w:ind w:left="0" w:firstLine="0"/>
        <w:contextualSpacing/>
        <w:jc w:val="both"/>
        <w:rPr>
          <w:rFonts w:ascii="Palatino Linotype" w:hAnsi="Palatino Linotype"/>
        </w:rPr>
      </w:pPr>
      <w:r w:rsidRPr="00CF1D3C">
        <w:rPr>
          <w:rFonts w:ascii="Palatino Linotype" w:hAnsi="Palatino Linotype"/>
        </w:rPr>
        <w:t xml:space="preserve">Definiendo el Derecho de Acceso a la Información Pública como: </w:t>
      </w:r>
      <w:r w:rsidRPr="00CF1D3C">
        <w:rPr>
          <w:rFonts w:ascii="Palatino Linotype" w:hAnsi="Palatino Linotype"/>
          <w:i/>
          <w:color w:val="000000"/>
        </w:rPr>
        <w:t>La igualdad de oportunidades para recibir, buscar e impartir información</w:t>
      </w:r>
      <w:r w:rsidRPr="00CF1D3C">
        <w:rPr>
          <w:rFonts w:ascii="Palatino Linotype" w:hAnsi="Palatino Linotype"/>
          <w:i/>
          <w:color w:val="000000"/>
          <w:vertAlign w:val="superscript"/>
        </w:rPr>
        <w:footnoteReference w:id="2"/>
      </w:r>
      <w:r w:rsidRPr="00CF1D3C">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CF1D3C">
        <w:rPr>
          <w:rFonts w:ascii="Palatino Linotype" w:hAnsi="Palatino Linotype"/>
          <w:i/>
          <w:color w:val="000000"/>
          <w:vertAlign w:val="superscript"/>
        </w:rPr>
        <w:footnoteReference w:id="3"/>
      </w:r>
      <w:r w:rsidRPr="00CF1D3C">
        <w:rPr>
          <w:rFonts w:ascii="Palatino Linotype" w:hAnsi="Palatino Linotype"/>
          <w:color w:val="000000"/>
        </w:rPr>
        <w:t>que se constituye como una herramienta fundamental para ejercer</w:t>
      </w:r>
      <w:r w:rsidRPr="00CF1D3C">
        <w:rPr>
          <w:rFonts w:ascii="Palatino Linotype" w:hAnsi="Palatino Linotype"/>
          <w:i/>
          <w:color w:val="000000"/>
        </w:rPr>
        <w:t xml:space="preserve"> el control democrático de las gestiones estatales, de forma tal que puedan cuestionar, indagar y considerar si se está dando un adecuado </w:t>
      </w:r>
      <w:r w:rsidRPr="00CF1D3C">
        <w:rPr>
          <w:rFonts w:ascii="Palatino Linotype" w:hAnsi="Palatino Linotype"/>
          <w:i/>
          <w:color w:val="000000"/>
        </w:rPr>
        <w:lastRenderedPageBreak/>
        <w:t>cumplimiento a las funciones públicas,</w:t>
      </w:r>
      <w:r w:rsidRPr="00CF1D3C">
        <w:rPr>
          <w:rFonts w:ascii="Palatino Linotype" w:hAnsi="Palatino Linotype"/>
          <w:i/>
          <w:color w:val="000000"/>
          <w:vertAlign w:val="superscript"/>
        </w:rPr>
        <w:footnoteReference w:id="4"/>
      </w:r>
      <w:r w:rsidRPr="00CF1D3C">
        <w:rPr>
          <w:rFonts w:ascii="Palatino Linotype" w:hAnsi="Palatino Linotype"/>
          <w:color w:val="000000"/>
        </w:rPr>
        <w:t>fomentando</w:t>
      </w:r>
      <w:r w:rsidRPr="00CF1D3C">
        <w:rPr>
          <w:rFonts w:ascii="Palatino Linotype" w:hAnsi="Palatino Linotype"/>
          <w:i/>
          <w:color w:val="000000"/>
        </w:rPr>
        <w:t xml:space="preserve"> la transparencia de las actividades estatales y </w:t>
      </w:r>
      <w:r w:rsidRPr="00CF1D3C">
        <w:rPr>
          <w:rFonts w:ascii="Palatino Linotype" w:hAnsi="Palatino Linotype"/>
          <w:color w:val="000000"/>
        </w:rPr>
        <w:t>promoviendo</w:t>
      </w:r>
      <w:r w:rsidRPr="00CF1D3C">
        <w:rPr>
          <w:rFonts w:ascii="Palatino Linotype" w:hAnsi="Palatino Linotype"/>
          <w:i/>
          <w:color w:val="000000"/>
        </w:rPr>
        <w:t xml:space="preserve"> la responsabilidad de los funcionarios sobre su gestión pública,</w:t>
      </w:r>
      <w:r w:rsidRPr="00CF1D3C">
        <w:rPr>
          <w:rFonts w:ascii="Palatino Linotype" w:hAnsi="Palatino Linotype"/>
          <w:i/>
          <w:color w:val="000000"/>
          <w:vertAlign w:val="superscript"/>
        </w:rPr>
        <w:footnoteReference w:id="5"/>
      </w:r>
      <w:r w:rsidRPr="00CF1D3C">
        <w:rPr>
          <w:rFonts w:ascii="Palatino Linotype" w:hAnsi="Palatino Linotype"/>
          <w:color w:val="000000"/>
        </w:rPr>
        <w:t>que permite</w:t>
      </w:r>
      <w:r w:rsidRPr="00CF1D3C">
        <w:rPr>
          <w:rFonts w:ascii="Palatino Linotype" w:hAnsi="Palatino Linotype"/>
          <w:i/>
          <w:color w:val="000000"/>
        </w:rPr>
        <w:t xml:space="preserve"> saber qué están haciendo los gobiernos por sus pueblos, sin lo cual la verdad languidecería y la participación en el gobierno permanecería fragmentada.</w:t>
      </w:r>
    </w:p>
    <w:p w:rsidR="0021154E" w:rsidRPr="00CF1D3C" w:rsidRDefault="0021154E" w:rsidP="0021154E">
      <w:pPr>
        <w:spacing w:line="360" w:lineRule="auto"/>
        <w:contextualSpacing/>
        <w:jc w:val="both"/>
        <w:rPr>
          <w:rFonts w:ascii="Palatino Linotype" w:hAnsi="Palatino Linotype"/>
        </w:rPr>
      </w:pPr>
    </w:p>
    <w:p w:rsidR="0021154E" w:rsidRPr="00CF1D3C" w:rsidRDefault="0021154E" w:rsidP="00A307A0">
      <w:pPr>
        <w:numPr>
          <w:ilvl w:val="0"/>
          <w:numId w:val="1"/>
        </w:numPr>
        <w:spacing w:line="360" w:lineRule="auto"/>
        <w:ind w:left="0" w:firstLine="0"/>
        <w:contextualSpacing/>
        <w:jc w:val="both"/>
        <w:rPr>
          <w:rFonts w:ascii="Palatino Linotype" w:hAnsi="Palatino Linotype"/>
        </w:rPr>
      </w:pPr>
      <w:r w:rsidRPr="00CF1D3C">
        <w:rPr>
          <w:rFonts w:ascii="Palatino Linotype" w:hAnsi="Palatino Linotype"/>
        </w:rPr>
        <w:t>En México, además de los derechos, están reconocidas las garantías para su protección, en ese sentido el párrafo tercero de artículo primero de la Constitución Política de los Estados Unidos Mexicanos, dispone lo siguiente:</w:t>
      </w:r>
    </w:p>
    <w:p w:rsidR="0021154E" w:rsidRPr="00CF1D3C" w:rsidRDefault="0021154E" w:rsidP="0021154E">
      <w:pPr>
        <w:spacing w:line="360" w:lineRule="auto"/>
        <w:contextualSpacing/>
        <w:jc w:val="both"/>
        <w:rPr>
          <w:rFonts w:ascii="Palatino Linotype" w:hAnsi="Palatino Linotype"/>
        </w:rPr>
      </w:pPr>
    </w:p>
    <w:p w:rsidR="0021154E" w:rsidRPr="00CF1D3C" w:rsidRDefault="0021154E" w:rsidP="0021154E">
      <w:pPr>
        <w:spacing w:line="360" w:lineRule="auto"/>
        <w:ind w:left="567" w:right="567"/>
        <w:contextualSpacing/>
        <w:jc w:val="both"/>
        <w:rPr>
          <w:rFonts w:ascii="Palatino Linotype" w:hAnsi="Palatino Linotype"/>
          <w:i/>
        </w:rPr>
      </w:pPr>
      <w:r w:rsidRPr="00CF1D3C">
        <w:rPr>
          <w:rFonts w:ascii="Palatino Linotype" w:hAnsi="Palatino Linotype"/>
          <w:i/>
        </w:rPr>
        <w:t>“</w:t>
      </w:r>
      <w:r w:rsidRPr="00CF1D3C">
        <w:rPr>
          <w:rFonts w:ascii="Palatino Linotype" w:hAnsi="Palatino Linotype"/>
          <w:b/>
          <w:i/>
        </w:rPr>
        <w:t>Artículo 1.-</w:t>
      </w:r>
      <w:r w:rsidRPr="00CF1D3C">
        <w:rPr>
          <w:rFonts w:ascii="Palatino Linotype" w:hAnsi="Palatino Linotype"/>
          <w:i/>
        </w:rPr>
        <w:t xml:space="preserve"> </w:t>
      </w:r>
    </w:p>
    <w:p w:rsidR="0021154E" w:rsidRPr="00CF1D3C" w:rsidRDefault="0021154E" w:rsidP="0021154E">
      <w:pPr>
        <w:spacing w:line="360" w:lineRule="auto"/>
        <w:ind w:left="567" w:right="567"/>
        <w:contextualSpacing/>
        <w:jc w:val="both"/>
        <w:rPr>
          <w:rFonts w:ascii="Palatino Linotype" w:hAnsi="Palatino Linotype"/>
          <w:i/>
        </w:rPr>
      </w:pPr>
      <w:r w:rsidRPr="00CF1D3C">
        <w:rPr>
          <w:rFonts w:ascii="Palatino Linotype" w:hAnsi="Palatino Linotype"/>
          <w:i/>
        </w:rPr>
        <w:t>(…)</w:t>
      </w:r>
    </w:p>
    <w:p w:rsidR="0021154E" w:rsidRPr="00CF1D3C" w:rsidRDefault="0021154E" w:rsidP="0021154E">
      <w:pPr>
        <w:spacing w:line="360" w:lineRule="auto"/>
        <w:ind w:left="567" w:right="567"/>
        <w:contextualSpacing/>
        <w:jc w:val="both"/>
        <w:rPr>
          <w:rFonts w:ascii="Palatino Linotype" w:hAnsi="Palatino Linotype"/>
          <w:i/>
        </w:rPr>
      </w:pPr>
      <w:r w:rsidRPr="00CF1D3C">
        <w:rPr>
          <w:rFonts w:ascii="Palatino Linotype" w:hAnsi="Palatino Linotype"/>
          <w:i/>
        </w:rPr>
        <w:t>Todas las</w:t>
      </w:r>
      <w:r w:rsidRPr="00CF1D3C">
        <w:rPr>
          <w:rFonts w:ascii="Palatino Linotype" w:hAnsi="Palatino Linotype"/>
        </w:rPr>
        <w:t xml:space="preserve"> </w:t>
      </w:r>
      <w:r w:rsidRPr="00CF1D3C">
        <w:rPr>
          <w:rFonts w:ascii="Palatino Linotype" w:hAnsi="Palatino Linotype"/>
          <w:i/>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21154E" w:rsidRPr="00CF1D3C" w:rsidRDefault="0021154E" w:rsidP="0021154E">
      <w:pPr>
        <w:spacing w:line="360" w:lineRule="auto"/>
        <w:ind w:left="567" w:right="567"/>
        <w:contextualSpacing/>
        <w:jc w:val="both"/>
        <w:rPr>
          <w:rFonts w:ascii="Palatino Linotype" w:hAnsi="Palatino Linotype"/>
        </w:rPr>
      </w:pPr>
      <w:r w:rsidRPr="00CF1D3C">
        <w:rPr>
          <w:rFonts w:ascii="Palatino Linotype" w:hAnsi="Palatino Linotype"/>
          <w:i/>
        </w:rPr>
        <w:t>(…)</w:t>
      </w:r>
      <w:r w:rsidRPr="00CF1D3C">
        <w:rPr>
          <w:rFonts w:ascii="Palatino Linotype" w:hAnsi="Palatino Linotype"/>
        </w:rPr>
        <w:t>”.</w:t>
      </w:r>
    </w:p>
    <w:p w:rsidR="0021154E" w:rsidRPr="00CF1D3C" w:rsidRDefault="0021154E" w:rsidP="0021154E">
      <w:pPr>
        <w:spacing w:line="360" w:lineRule="auto"/>
        <w:ind w:left="567" w:right="567"/>
        <w:contextualSpacing/>
        <w:jc w:val="both"/>
        <w:rPr>
          <w:rFonts w:ascii="Palatino Linotype" w:hAnsi="Palatino Linotype"/>
        </w:rPr>
      </w:pPr>
      <w:r w:rsidRPr="00CF1D3C">
        <w:rPr>
          <w:rFonts w:ascii="Palatino Linotype" w:hAnsi="Palatino Linotype"/>
        </w:rPr>
        <w:t>(Énfasis Añadido)</w:t>
      </w:r>
    </w:p>
    <w:p w:rsidR="0021154E" w:rsidRPr="00CF1D3C" w:rsidRDefault="0021154E" w:rsidP="0021154E">
      <w:pPr>
        <w:spacing w:line="360" w:lineRule="auto"/>
        <w:contextualSpacing/>
        <w:rPr>
          <w:rFonts w:ascii="Palatino Linotype" w:hAnsi="Palatino Linotype"/>
        </w:rPr>
      </w:pPr>
    </w:p>
    <w:p w:rsidR="0021154E" w:rsidRPr="00CF1D3C" w:rsidRDefault="0021154E" w:rsidP="00A307A0">
      <w:pPr>
        <w:numPr>
          <w:ilvl w:val="0"/>
          <w:numId w:val="1"/>
        </w:numPr>
        <w:spacing w:line="360" w:lineRule="auto"/>
        <w:ind w:left="0" w:firstLine="0"/>
        <w:contextualSpacing/>
        <w:jc w:val="both"/>
        <w:rPr>
          <w:rFonts w:ascii="Palatino Linotype" w:hAnsi="Palatino Linotype"/>
          <w:i/>
        </w:rPr>
      </w:pPr>
      <w:r w:rsidRPr="00CF1D3C">
        <w:rPr>
          <w:rFonts w:ascii="Palatino Linotype" w:hAnsi="Palatino Linotype"/>
        </w:rPr>
        <w:lastRenderedPageBreak/>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rsidR="0021154E" w:rsidRPr="00CF1D3C" w:rsidRDefault="0021154E" w:rsidP="0021154E">
      <w:pPr>
        <w:spacing w:line="360" w:lineRule="auto"/>
        <w:ind w:left="360"/>
        <w:contextualSpacing/>
        <w:jc w:val="both"/>
        <w:rPr>
          <w:rFonts w:ascii="Palatino Linotype" w:hAnsi="Palatino Linotype"/>
          <w:i/>
        </w:rPr>
      </w:pPr>
    </w:p>
    <w:p w:rsidR="0021154E" w:rsidRPr="00CF1D3C" w:rsidRDefault="00CB5D7A" w:rsidP="00A307A0">
      <w:pPr>
        <w:pStyle w:val="Prrafodelista"/>
        <w:numPr>
          <w:ilvl w:val="0"/>
          <w:numId w:val="1"/>
        </w:numPr>
        <w:spacing w:line="360" w:lineRule="auto"/>
        <w:ind w:left="0" w:firstLine="0"/>
        <w:jc w:val="both"/>
        <w:rPr>
          <w:rFonts w:ascii="Palatino Linotype" w:hAnsi="Palatino Linotype" w:cs="Arial"/>
        </w:rPr>
      </w:pPr>
      <w:r w:rsidRPr="00CF1D3C">
        <w:rPr>
          <w:rFonts w:ascii="Palatino Linotype" w:hAnsi="Palatino Linotype"/>
        </w:rPr>
        <w:t>Por otro lado,</w:t>
      </w:r>
      <w:r w:rsidR="0021154E" w:rsidRPr="00CF1D3C">
        <w:rPr>
          <w:rFonts w:ascii="Palatino Linotype" w:hAnsi="Palatino Linotype"/>
        </w:rPr>
        <w:t xml:space="preserve"> el artículo 150 de la Ley de Transparencia y Acceso a la Información Pública del Estado de México y Municipios, </w:t>
      </w:r>
      <w:r w:rsidRPr="00CF1D3C">
        <w:rPr>
          <w:rFonts w:ascii="Palatino Linotype" w:hAnsi="Palatino Linotype"/>
        </w:rPr>
        <w:t xml:space="preserve">señala que </w:t>
      </w:r>
      <w:r w:rsidR="0021154E" w:rsidRPr="00CF1D3C">
        <w:rPr>
          <w:rFonts w:ascii="Palatino Linotype" w:hAnsi="Palatino Linotype"/>
        </w:rPr>
        <w:t xml:space="preserve">la solicitud de información es la garantía primaria del Derecho de Acceso a la información Pública, además, establece que se regirá </w:t>
      </w:r>
      <w:r w:rsidR="0021154E" w:rsidRPr="00CF1D3C">
        <w:rPr>
          <w:rFonts w:ascii="Palatino Linotype" w:hAnsi="Palatino Linotype" w:cs="Arial"/>
        </w:rPr>
        <w:t>por los principios de simplicidad, rapidez</w:t>
      </w:r>
      <w:r w:rsidR="007A2F5A" w:rsidRPr="00CF1D3C">
        <w:rPr>
          <w:rFonts w:ascii="Palatino Linotype" w:hAnsi="Palatino Linotype" w:cs="Arial"/>
        </w:rPr>
        <w:t>,</w:t>
      </w:r>
      <w:r w:rsidR="0021154E" w:rsidRPr="00CF1D3C">
        <w:rPr>
          <w:rFonts w:ascii="Palatino Linotype" w:hAnsi="Palatino Linotype" w:cs="Arial"/>
        </w:rPr>
        <w:t xml:space="preserve"> </w:t>
      </w:r>
      <w:r w:rsidR="0021154E" w:rsidRPr="00CF1D3C">
        <w:rPr>
          <w:rFonts w:ascii="Palatino Linotype" w:hAnsi="Palatino Linotype" w:cs="Arial"/>
          <w:b/>
        </w:rPr>
        <w:t>gratuidad</w:t>
      </w:r>
      <w:r w:rsidR="00D27674" w:rsidRPr="00CF1D3C">
        <w:rPr>
          <w:rFonts w:ascii="Palatino Linotype" w:hAnsi="Palatino Linotype" w:cs="Arial"/>
        </w:rPr>
        <w:t xml:space="preserve"> del procedimiento.</w:t>
      </w:r>
    </w:p>
    <w:p w:rsidR="007A2F5A" w:rsidRPr="00CF1D3C" w:rsidRDefault="007A2F5A" w:rsidP="007A2F5A">
      <w:pPr>
        <w:pStyle w:val="Prrafodelista"/>
        <w:spacing w:line="360" w:lineRule="auto"/>
        <w:ind w:left="0"/>
        <w:jc w:val="both"/>
        <w:rPr>
          <w:rFonts w:ascii="Palatino Linotype" w:hAnsi="Palatino Linotype" w:cs="Arial"/>
        </w:rPr>
      </w:pPr>
    </w:p>
    <w:p w:rsidR="0021154E" w:rsidRPr="00CF1D3C" w:rsidRDefault="0021154E" w:rsidP="00A307A0">
      <w:pPr>
        <w:pStyle w:val="Prrafodelista"/>
        <w:numPr>
          <w:ilvl w:val="0"/>
          <w:numId w:val="1"/>
        </w:numPr>
        <w:spacing w:line="360" w:lineRule="auto"/>
        <w:ind w:left="0" w:firstLine="0"/>
        <w:jc w:val="both"/>
        <w:rPr>
          <w:rFonts w:ascii="Palatino Linotype" w:hAnsi="Palatino Linotype"/>
          <w:b/>
        </w:rPr>
      </w:pPr>
      <w:r w:rsidRPr="00CF1D3C">
        <w:rPr>
          <w:rFonts w:ascii="Palatino Linotype" w:hAnsi="Palatino Linotype"/>
        </w:rPr>
        <w:t xml:space="preserve">Hay que mencionar además que el artículo 21 de la Ley de Transparencia del Estado de México establece que todo procedimiento en materia de derecho de acceso a la información deberá sustanciarse de manera sencilla y expedita, de conformidad con las bases de esta Ley, asimismo, el artículo 173 de la ley referida establece que uno de los principios del procedimiento de acceso a la información se rige </w:t>
      </w:r>
      <w:r w:rsidR="007A2F5A" w:rsidRPr="00CF1D3C">
        <w:rPr>
          <w:rFonts w:ascii="Palatino Linotype" w:hAnsi="Palatino Linotype"/>
        </w:rPr>
        <w:t xml:space="preserve">por la simplicidad. la rapidez y bajo el </w:t>
      </w:r>
      <w:r w:rsidR="007A2F5A" w:rsidRPr="00CF1D3C">
        <w:rPr>
          <w:rFonts w:ascii="Palatino Linotype" w:hAnsi="Palatino Linotype"/>
          <w:b/>
        </w:rPr>
        <w:t>principio de gratuidad</w:t>
      </w:r>
      <w:r w:rsidR="007A2F5A" w:rsidRPr="00CF1D3C">
        <w:rPr>
          <w:rFonts w:ascii="Palatino Linotype" w:hAnsi="Palatino Linotype"/>
        </w:rPr>
        <w:t>.</w:t>
      </w:r>
    </w:p>
    <w:p w:rsidR="0021154E" w:rsidRPr="00CF1D3C" w:rsidRDefault="0021154E" w:rsidP="0021154E">
      <w:pPr>
        <w:pStyle w:val="Prrafodelista"/>
        <w:spacing w:line="360" w:lineRule="auto"/>
        <w:ind w:left="0"/>
        <w:jc w:val="both"/>
        <w:rPr>
          <w:rFonts w:ascii="Palatino Linotype" w:hAnsi="Palatino Linotype"/>
          <w:b/>
        </w:rPr>
      </w:pPr>
    </w:p>
    <w:p w:rsidR="0021154E" w:rsidRPr="00CF1D3C" w:rsidRDefault="0021154E" w:rsidP="00A307A0">
      <w:pPr>
        <w:pStyle w:val="Prrafodelista"/>
        <w:numPr>
          <w:ilvl w:val="0"/>
          <w:numId w:val="1"/>
        </w:numPr>
        <w:spacing w:line="360" w:lineRule="auto"/>
        <w:ind w:left="0" w:firstLine="0"/>
        <w:jc w:val="both"/>
        <w:rPr>
          <w:rFonts w:ascii="Palatino Linotype" w:hAnsi="Palatino Linotype"/>
        </w:rPr>
      </w:pPr>
      <w:r w:rsidRPr="00CF1D3C">
        <w:rPr>
          <w:rFonts w:ascii="Palatino Linotype" w:hAnsi="Palatino Linotype"/>
        </w:rPr>
        <w:t>Ahora bien, de acuerdo al artículo 163 y 166 de la Ley de Transparencia del Estado de México, la respuesta a la solicitud de información se deberá notificar al interesado en el menor tiempo posible y solo se tiene por cumplida cuando el solicitante tenga a su disposición la información requerida:</w:t>
      </w:r>
    </w:p>
    <w:p w:rsidR="0021154E" w:rsidRPr="00CF1D3C" w:rsidRDefault="0021154E" w:rsidP="0021154E">
      <w:pPr>
        <w:pStyle w:val="Prrafodelista"/>
        <w:spacing w:line="360" w:lineRule="auto"/>
        <w:ind w:left="851" w:right="567"/>
        <w:jc w:val="both"/>
        <w:rPr>
          <w:rFonts w:ascii="Palatino Linotype" w:hAnsi="Palatino Linotype"/>
          <w:b/>
          <w:i/>
        </w:rPr>
      </w:pPr>
      <w:r w:rsidRPr="00CF1D3C">
        <w:rPr>
          <w:rFonts w:ascii="Palatino Linotype" w:hAnsi="Palatino Linotype"/>
          <w:i/>
        </w:rPr>
        <w:lastRenderedPageBreak/>
        <w:t>“</w:t>
      </w:r>
      <w:r w:rsidRPr="00CF1D3C">
        <w:rPr>
          <w:rFonts w:ascii="Palatino Linotype" w:hAnsi="Palatino Linotype"/>
          <w:b/>
          <w:i/>
        </w:rPr>
        <w:t>Artículo 163.</w:t>
      </w:r>
      <w:r w:rsidRPr="00CF1D3C">
        <w:rPr>
          <w:rFonts w:ascii="Palatino Linotype" w:hAnsi="Palatino Linotype"/>
          <w:i/>
        </w:rPr>
        <w:t xml:space="preserve"> La Unidad de Transparencia deberá notificar la respuesta a la solicitud al interesado en el menor tiempo posible, que no podrá exceder de quince días hábiles, contados a partir del día siguiente a la presentación de aquélla. </w:t>
      </w:r>
    </w:p>
    <w:p w:rsidR="0021154E" w:rsidRPr="00CF1D3C" w:rsidRDefault="0021154E" w:rsidP="0021154E">
      <w:pPr>
        <w:pStyle w:val="Prrafodelista"/>
        <w:spacing w:line="360" w:lineRule="auto"/>
        <w:ind w:left="851" w:right="567"/>
        <w:jc w:val="both"/>
        <w:rPr>
          <w:rFonts w:ascii="Palatino Linotype" w:hAnsi="Palatino Linotype"/>
          <w:i/>
        </w:rPr>
      </w:pPr>
      <w:r w:rsidRPr="00CF1D3C">
        <w:rPr>
          <w:rFonts w:ascii="Palatino Linotype" w:hAnsi="Palatino Linotype"/>
          <w:i/>
        </w:rPr>
        <w:t>(…)”</w:t>
      </w:r>
    </w:p>
    <w:p w:rsidR="0021154E" w:rsidRPr="00CF1D3C" w:rsidRDefault="0021154E" w:rsidP="0021154E">
      <w:pPr>
        <w:pStyle w:val="Prrafodelista"/>
        <w:spacing w:line="360" w:lineRule="auto"/>
        <w:ind w:left="851" w:right="567"/>
        <w:jc w:val="both"/>
        <w:rPr>
          <w:rFonts w:ascii="Palatino Linotype" w:hAnsi="Palatino Linotype"/>
          <w:b/>
          <w:i/>
        </w:rPr>
      </w:pPr>
    </w:p>
    <w:p w:rsidR="0021154E" w:rsidRPr="00CF1D3C" w:rsidRDefault="0021154E" w:rsidP="0021154E">
      <w:pPr>
        <w:pStyle w:val="Prrafodelista"/>
        <w:spacing w:line="360" w:lineRule="auto"/>
        <w:ind w:left="851" w:right="567"/>
        <w:jc w:val="both"/>
        <w:rPr>
          <w:rFonts w:ascii="Palatino Linotype" w:hAnsi="Palatino Linotype"/>
          <w:i/>
        </w:rPr>
      </w:pPr>
      <w:r w:rsidRPr="00CF1D3C">
        <w:rPr>
          <w:rFonts w:ascii="Palatino Linotype" w:hAnsi="Palatino Linotype"/>
          <w:i/>
        </w:rPr>
        <w:t>“</w:t>
      </w:r>
      <w:r w:rsidRPr="00CF1D3C">
        <w:rPr>
          <w:rFonts w:ascii="Palatino Linotype" w:hAnsi="Palatino Linotype"/>
          <w:b/>
          <w:i/>
        </w:rPr>
        <w:t>Artículo 166.</w:t>
      </w:r>
      <w:r w:rsidRPr="00CF1D3C">
        <w:rPr>
          <w:rFonts w:ascii="Palatino Linotype" w:hAnsi="Palatino Linotype"/>
          <w:i/>
        </w:rPr>
        <w:t xml:space="preserve"> La obligación de acceso a la información pública se tendrá por cumplida cuando el solicitante tenga a su disposición la información requerida, o cuando realice la consulta de la misma en el lugar en el que ésta se localice.”</w:t>
      </w:r>
    </w:p>
    <w:p w:rsidR="007A2F5A" w:rsidRPr="00CF1D3C" w:rsidRDefault="007A2F5A" w:rsidP="0021154E">
      <w:pPr>
        <w:pStyle w:val="Prrafodelista"/>
        <w:spacing w:line="360" w:lineRule="auto"/>
        <w:ind w:left="851" w:right="567"/>
        <w:jc w:val="both"/>
        <w:rPr>
          <w:rFonts w:ascii="Palatino Linotype" w:hAnsi="Palatino Linotype"/>
          <w:i/>
        </w:rPr>
      </w:pPr>
    </w:p>
    <w:p w:rsidR="0021154E" w:rsidRPr="00CF1D3C" w:rsidRDefault="0021154E" w:rsidP="00A307A0">
      <w:pPr>
        <w:numPr>
          <w:ilvl w:val="0"/>
          <w:numId w:val="1"/>
        </w:numPr>
        <w:spacing w:line="360" w:lineRule="auto"/>
        <w:ind w:left="0" w:firstLine="0"/>
        <w:contextualSpacing/>
        <w:jc w:val="both"/>
        <w:rPr>
          <w:rFonts w:ascii="Palatino Linotype" w:hAnsi="Palatino Linotype" w:cs="Arial"/>
          <w:b/>
        </w:rPr>
      </w:pPr>
      <w:r w:rsidRPr="00CF1D3C">
        <w:rPr>
          <w:rFonts w:ascii="Palatino Linotype" w:hAnsi="Palatino Linotype" w:cs="Arial"/>
        </w:rPr>
        <w:t>En este caso, las solicitudes de información que formuló el particular como parte de su derecho de acceso a la información pública, no fueron atendidas</w:t>
      </w:r>
      <w:r w:rsidR="00D27674" w:rsidRPr="00CF1D3C">
        <w:rPr>
          <w:rFonts w:ascii="Palatino Linotype" w:hAnsi="Palatino Linotype" w:cs="Arial"/>
        </w:rPr>
        <w:t xml:space="preserve"> en los términos solicitados</w:t>
      </w:r>
      <w:r w:rsidRPr="00CF1D3C">
        <w:rPr>
          <w:rFonts w:ascii="Palatino Linotype" w:hAnsi="Palatino Linotype" w:cs="Arial"/>
        </w:rPr>
        <w:t xml:space="preserve">, dado que el </w:t>
      </w:r>
      <w:r w:rsidRPr="00CF1D3C">
        <w:rPr>
          <w:rFonts w:ascii="Palatino Linotype" w:hAnsi="Palatino Linotype" w:cs="Arial"/>
          <w:b/>
        </w:rPr>
        <w:t>SUJETO OBLIGADO</w:t>
      </w:r>
      <w:r w:rsidRPr="00CF1D3C">
        <w:rPr>
          <w:rFonts w:ascii="Palatino Linotype" w:hAnsi="Palatino Linotype" w:cs="Arial"/>
        </w:rPr>
        <w:t xml:space="preserve"> </w:t>
      </w:r>
      <w:r w:rsidR="007A2F5A" w:rsidRPr="00CF1D3C">
        <w:rPr>
          <w:rFonts w:ascii="Palatino Linotype" w:hAnsi="Palatino Linotype" w:cs="Arial"/>
        </w:rPr>
        <w:t>puso a disposición del recurrente la información en una modalidad diversa a la elegida inicialmente</w:t>
      </w:r>
      <w:r w:rsidR="00A63BD3" w:rsidRPr="00CF1D3C">
        <w:rPr>
          <w:rFonts w:ascii="Palatino Linotype" w:hAnsi="Palatino Linotype" w:cs="Arial"/>
        </w:rPr>
        <w:t xml:space="preserve">, </w:t>
      </w:r>
      <w:r w:rsidR="00A63BD3" w:rsidRPr="00CF1D3C">
        <w:rPr>
          <w:rFonts w:ascii="Palatino Linotype" w:hAnsi="Palatino Linotype" w:cs="Arial"/>
          <w:b/>
        </w:rPr>
        <w:t xml:space="preserve">modalidad que además involucra un cobro para la entrega de la información, de modo que no se privilegió el principio de gratuidad ofreciendo otro método de entrega de la información que no implique cobro alguno, como de manera enunciativa mas no limitativa es la consulta directa </w:t>
      </w:r>
      <w:r w:rsidR="00A63BD3" w:rsidRPr="00CF1D3C">
        <w:rPr>
          <w:rFonts w:ascii="Palatino Linotype" w:hAnsi="Palatino Linotype" w:cs="Arial"/>
          <w:b/>
          <w:i/>
        </w:rPr>
        <w:t>in situ</w:t>
      </w:r>
      <w:r w:rsidRPr="00CF1D3C">
        <w:rPr>
          <w:rFonts w:ascii="Palatino Linotype" w:hAnsi="Palatino Linotype" w:cs="Arial"/>
          <w:b/>
        </w:rPr>
        <w:t>.</w:t>
      </w:r>
    </w:p>
    <w:p w:rsidR="0021154E" w:rsidRPr="00CF1D3C" w:rsidRDefault="0021154E" w:rsidP="0021154E">
      <w:pPr>
        <w:spacing w:line="360" w:lineRule="auto"/>
        <w:contextualSpacing/>
        <w:jc w:val="both"/>
        <w:rPr>
          <w:rFonts w:ascii="Palatino Linotype" w:hAnsi="Palatino Linotype" w:cs="Arial"/>
        </w:rPr>
      </w:pPr>
    </w:p>
    <w:p w:rsidR="0021154E" w:rsidRPr="00CF1D3C" w:rsidRDefault="0021154E" w:rsidP="00A307A0">
      <w:pPr>
        <w:numPr>
          <w:ilvl w:val="0"/>
          <w:numId w:val="1"/>
        </w:numPr>
        <w:spacing w:line="360" w:lineRule="auto"/>
        <w:ind w:left="0" w:firstLine="0"/>
        <w:contextualSpacing/>
        <w:jc w:val="both"/>
        <w:rPr>
          <w:rFonts w:ascii="Palatino Linotype" w:hAnsi="Palatino Linotype" w:cs="Arial"/>
        </w:rPr>
      </w:pPr>
      <w:r w:rsidRPr="00CF1D3C">
        <w:rPr>
          <w:rFonts w:ascii="Palatino Linotype" w:hAnsi="Palatino Linotype" w:cs="Arial"/>
        </w:rPr>
        <w:t xml:space="preserve">Por tanto, en cumplimiento a las obligaciones que la Constitución Federal, la Constitución Estatal y la Ley de la materia el </w:t>
      </w:r>
      <w:r w:rsidRPr="00CF1D3C">
        <w:rPr>
          <w:rFonts w:ascii="Palatino Linotype" w:hAnsi="Palatino Linotype" w:cs="Arial"/>
          <w:b/>
        </w:rPr>
        <w:t>SUJETO OBLIGADO</w:t>
      </w:r>
      <w:r w:rsidRPr="00CF1D3C">
        <w:rPr>
          <w:rFonts w:ascii="Palatino Linotype" w:hAnsi="Palatino Linotype" w:cs="Arial"/>
        </w:rPr>
        <w:t xml:space="preserve"> está constreñido </w:t>
      </w:r>
      <w:r w:rsidRPr="00CF1D3C">
        <w:rPr>
          <w:rFonts w:ascii="Palatino Linotype" w:hAnsi="Palatino Linotype" w:cs="Arial"/>
        </w:rPr>
        <w:lastRenderedPageBreak/>
        <w:t xml:space="preserve">a dar atención a las solicitudes de información que a través del </w:t>
      </w:r>
      <w:r w:rsidRPr="00CF1D3C">
        <w:rPr>
          <w:rFonts w:ascii="Palatino Linotype" w:hAnsi="Palatino Linotype" w:cs="Arial"/>
          <w:b/>
        </w:rPr>
        <w:t>SAIMEX</w:t>
      </w:r>
      <w:r w:rsidRPr="00CF1D3C">
        <w:rPr>
          <w:rFonts w:ascii="Palatino Linotype" w:hAnsi="Palatino Linotype" w:cs="Arial"/>
        </w:rPr>
        <w:t xml:space="preserve"> </w:t>
      </w:r>
      <w:r w:rsidR="00D27674" w:rsidRPr="00CF1D3C">
        <w:rPr>
          <w:rFonts w:ascii="Palatino Linotype" w:hAnsi="Palatino Linotype" w:cs="Arial"/>
        </w:rPr>
        <w:t xml:space="preserve">u </w:t>
      </w:r>
      <w:r w:rsidR="00D27674" w:rsidRPr="00CF1D3C">
        <w:rPr>
          <w:rFonts w:ascii="Palatino Linotype" w:hAnsi="Palatino Linotype" w:cs="Arial"/>
          <w:u w:val="single"/>
        </w:rPr>
        <w:t>otra modalidad</w:t>
      </w:r>
      <w:r w:rsidR="00D27674" w:rsidRPr="00CF1D3C">
        <w:rPr>
          <w:rFonts w:ascii="Palatino Linotype" w:hAnsi="Palatino Linotype" w:cs="Arial"/>
        </w:rPr>
        <w:t>,</w:t>
      </w:r>
      <w:r w:rsidRPr="00CF1D3C">
        <w:rPr>
          <w:rFonts w:ascii="Palatino Linotype" w:hAnsi="Palatino Linotype" w:cs="Arial"/>
        </w:rPr>
        <w:t xml:space="preserve"> </w:t>
      </w:r>
      <w:r w:rsidR="00D27674" w:rsidRPr="00CF1D3C">
        <w:rPr>
          <w:rFonts w:ascii="Palatino Linotype" w:hAnsi="Palatino Linotype" w:cs="Arial"/>
        </w:rPr>
        <w:t xml:space="preserve">privilegiando la gratuidad, </w:t>
      </w:r>
      <w:r w:rsidRPr="00CF1D3C">
        <w:rPr>
          <w:rFonts w:ascii="Palatino Linotype" w:hAnsi="Palatino Linotype" w:cs="Arial"/>
        </w:rPr>
        <w:t>que le sean presentadas en ejercicio del derecho humano de acceso a la información pública, lo cual, en el caso no aconteció.</w:t>
      </w:r>
    </w:p>
    <w:p w:rsidR="0021154E" w:rsidRPr="00CF1D3C" w:rsidRDefault="0021154E" w:rsidP="0021154E">
      <w:pPr>
        <w:spacing w:line="360" w:lineRule="auto"/>
        <w:contextualSpacing/>
        <w:jc w:val="center"/>
        <w:rPr>
          <w:rFonts w:ascii="Palatino Linotype" w:hAnsi="Palatino Linotype" w:cs="Arial"/>
        </w:rPr>
      </w:pPr>
    </w:p>
    <w:p w:rsidR="007C4943" w:rsidRPr="00CF1D3C" w:rsidRDefault="007C4943" w:rsidP="00A307A0">
      <w:pPr>
        <w:pStyle w:val="Ttulo2"/>
        <w:numPr>
          <w:ilvl w:val="0"/>
          <w:numId w:val="5"/>
        </w:numPr>
        <w:spacing w:line="259" w:lineRule="auto"/>
        <w:rPr>
          <w:rFonts w:ascii="Palatino Linotype" w:hAnsi="Palatino Linotype"/>
          <w:b/>
          <w:color w:val="000000" w:themeColor="text1"/>
          <w:sz w:val="24"/>
        </w:rPr>
      </w:pPr>
      <w:bookmarkStart w:id="16" w:name="_Toc71674119"/>
      <w:bookmarkStart w:id="17" w:name="_Toc83128588"/>
      <w:r w:rsidRPr="00CF1D3C">
        <w:rPr>
          <w:rFonts w:ascii="Palatino Linotype" w:hAnsi="Palatino Linotype"/>
          <w:b/>
          <w:color w:val="000000" w:themeColor="text1"/>
          <w:sz w:val="24"/>
        </w:rPr>
        <w:t>De la modalidad de entrega de la información elegida</w:t>
      </w:r>
      <w:bookmarkEnd w:id="16"/>
      <w:bookmarkEnd w:id="17"/>
    </w:p>
    <w:p w:rsidR="007C4943" w:rsidRPr="00CF1D3C" w:rsidRDefault="007C4943" w:rsidP="007C4943">
      <w:pPr>
        <w:rPr>
          <w:lang w:val="es-MX" w:eastAsia="en-US"/>
        </w:rPr>
      </w:pPr>
    </w:p>
    <w:p w:rsidR="007C4943" w:rsidRPr="00CF1D3C" w:rsidRDefault="00557370" w:rsidP="00A307A0">
      <w:pPr>
        <w:numPr>
          <w:ilvl w:val="0"/>
          <w:numId w:val="1"/>
        </w:numPr>
        <w:spacing w:line="360" w:lineRule="auto"/>
        <w:ind w:left="0" w:firstLine="0"/>
        <w:contextualSpacing/>
        <w:jc w:val="both"/>
        <w:rPr>
          <w:rFonts w:ascii="Palatino Linotype" w:hAnsi="Palatino Linotype"/>
        </w:rPr>
      </w:pPr>
      <w:r w:rsidRPr="00CF1D3C">
        <w:rPr>
          <w:rFonts w:ascii="Palatino Linotype" w:hAnsi="Palatino Linotype"/>
        </w:rPr>
        <w:t>De</w:t>
      </w:r>
      <w:r w:rsidR="007C4943" w:rsidRPr="00CF1D3C">
        <w:rPr>
          <w:rFonts w:ascii="Palatino Linotype" w:hAnsi="Palatino Linotype"/>
        </w:rPr>
        <w:t xml:space="preserve"> la solicitud de información se desprende que el particular eligió como </w:t>
      </w:r>
      <w:r w:rsidR="007C4943" w:rsidRPr="00CF1D3C">
        <w:rPr>
          <w:rFonts w:ascii="Palatino Linotype" w:eastAsia="MS Mincho" w:hAnsi="Palatino Linotype" w:cs="Arial"/>
        </w:rPr>
        <w:t>modalidad</w:t>
      </w:r>
      <w:r w:rsidR="007C4943" w:rsidRPr="00CF1D3C">
        <w:rPr>
          <w:rFonts w:ascii="Palatino Linotype" w:hAnsi="Palatino Linotype"/>
        </w:rPr>
        <w:t xml:space="preserve"> de entrega de la información vía </w:t>
      </w:r>
      <w:r w:rsidR="007C4943" w:rsidRPr="00CF1D3C">
        <w:rPr>
          <w:rFonts w:ascii="Palatino Linotype" w:hAnsi="Palatino Linotype"/>
          <w:b/>
        </w:rPr>
        <w:t>SAIMEX</w:t>
      </w:r>
      <w:r w:rsidR="007C4943" w:rsidRPr="00CF1D3C">
        <w:rPr>
          <w:rFonts w:ascii="Palatino Linotype" w:hAnsi="Palatino Linotype"/>
        </w:rPr>
        <w:t>; sistema que tiene como propósito fundamental, proveer el ejercicio del derecho de acceso a la información pública, de forma sencilla y gratuita.</w:t>
      </w:r>
    </w:p>
    <w:p w:rsidR="00A63BD3" w:rsidRPr="00CF1D3C" w:rsidRDefault="00A63BD3" w:rsidP="00A63BD3">
      <w:pPr>
        <w:spacing w:line="360" w:lineRule="auto"/>
        <w:contextualSpacing/>
        <w:jc w:val="both"/>
        <w:rPr>
          <w:rFonts w:ascii="Palatino Linotype" w:hAnsi="Palatino Linotype"/>
        </w:rPr>
      </w:pPr>
    </w:p>
    <w:p w:rsidR="007C4943" w:rsidRPr="00CF1D3C" w:rsidRDefault="007C4943" w:rsidP="00A307A0">
      <w:pPr>
        <w:numPr>
          <w:ilvl w:val="0"/>
          <w:numId w:val="1"/>
        </w:numPr>
        <w:spacing w:line="360" w:lineRule="auto"/>
        <w:ind w:left="0" w:firstLine="0"/>
        <w:contextualSpacing/>
        <w:jc w:val="both"/>
        <w:rPr>
          <w:rFonts w:ascii="Palatino Linotype" w:hAnsi="Palatino Linotype"/>
        </w:rPr>
      </w:pPr>
      <w:r w:rsidRPr="00CF1D3C">
        <w:rPr>
          <w:rFonts w:ascii="Palatino Linotype" w:hAnsi="Palatino Linotype"/>
        </w:rPr>
        <w:t>En ese contexto, la Ley de Transparencia y Acceso a la Información Pública del Estado de México y Municipios, privilegia el uso de las tecnologías por medios electrónicos, dando preferencia al uso de sistemas computacionales y las tecnologías de la información, a efecto de facilitar los procesos, como se advierte del artículo 88, que establece lo siguiente:</w:t>
      </w:r>
    </w:p>
    <w:p w:rsidR="007C4943" w:rsidRPr="00CF1D3C" w:rsidRDefault="007C4943" w:rsidP="007C4943">
      <w:pPr>
        <w:pStyle w:val="Prrafodelista"/>
        <w:rPr>
          <w:rFonts w:ascii="Palatino Linotype" w:hAnsi="Palatino Linotype"/>
        </w:rPr>
      </w:pPr>
    </w:p>
    <w:p w:rsidR="007C4943" w:rsidRPr="00CF1D3C" w:rsidRDefault="007C4943" w:rsidP="007C4943">
      <w:pPr>
        <w:pStyle w:val="Prrafodelista"/>
        <w:autoSpaceDE w:val="0"/>
        <w:autoSpaceDN w:val="0"/>
        <w:adjustRightInd w:val="0"/>
        <w:spacing w:after="120"/>
        <w:ind w:left="644" w:right="902"/>
        <w:jc w:val="both"/>
        <w:rPr>
          <w:rFonts w:ascii="Palatino Linotype" w:hAnsi="Palatino Linotype"/>
          <w:i/>
          <w:sz w:val="22"/>
          <w:szCs w:val="20"/>
        </w:rPr>
      </w:pPr>
      <w:r w:rsidRPr="00CF1D3C">
        <w:rPr>
          <w:rFonts w:ascii="Palatino Linotype" w:hAnsi="Palatino Linotype"/>
          <w:b/>
          <w:i/>
          <w:sz w:val="22"/>
          <w:szCs w:val="20"/>
        </w:rPr>
        <w:t>“Artículo 88.</w:t>
      </w:r>
      <w:r w:rsidRPr="00CF1D3C">
        <w:rPr>
          <w:rFonts w:ascii="Palatino Linotype" w:hAnsi="Palatino Linotype"/>
          <w:i/>
          <w:sz w:val="22"/>
          <w:szCs w:val="20"/>
        </w:rPr>
        <w:t xml:space="preserve"> La información referente a las obligaciones de transparencia será puesta a disposición de los particulares por cualquier medio que facilite su acceso, dando preferencia al uso de sistemas computacionales y las nuevas tecnologías de información.”</w:t>
      </w:r>
    </w:p>
    <w:p w:rsidR="007C4943" w:rsidRPr="00CF1D3C" w:rsidRDefault="007C4943" w:rsidP="007C4943">
      <w:pPr>
        <w:pStyle w:val="Prrafodelista"/>
        <w:autoSpaceDE w:val="0"/>
        <w:autoSpaceDN w:val="0"/>
        <w:adjustRightInd w:val="0"/>
        <w:spacing w:after="120"/>
        <w:ind w:left="644" w:right="902"/>
        <w:jc w:val="both"/>
        <w:rPr>
          <w:rFonts w:ascii="Palatino Linotype" w:hAnsi="Palatino Linotype"/>
          <w:i/>
          <w:sz w:val="22"/>
          <w:szCs w:val="20"/>
        </w:rPr>
      </w:pPr>
    </w:p>
    <w:p w:rsidR="007C4943" w:rsidRPr="00CF1D3C" w:rsidRDefault="007C4943" w:rsidP="00A307A0">
      <w:pPr>
        <w:numPr>
          <w:ilvl w:val="0"/>
          <w:numId w:val="1"/>
        </w:numPr>
        <w:spacing w:line="360" w:lineRule="auto"/>
        <w:ind w:left="0" w:firstLine="0"/>
        <w:contextualSpacing/>
        <w:jc w:val="both"/>
        <w:rPr>
          <w:rFonts w:ascii="Palatino Linotype" w:hAnsi="Palatino Linotype"/>
        </w:rPr>
      </w:pPr>
      <w:r w:rsidRPr="00CF1D3C">
        <w:rPr>
          <w:rFonts w:ascii="Palatino Linotype" w:hAnsi="Palatino Linotype"/>
        </w:rPr>
        <w:t xml:space="preserve">En ese tenor, el artículo 155 fracción V de la referida ley, dispone que para presentar solicitud de acceso a la información, se deberá atender lo dispuesto en el mismo, resaltando que deberá indicarse la modalidad en la que prefiere se otorgue </w:t>
      </w:r>
      <w:r w:rsidRPr="00CF1D3C">
        <w:rPr>
          <w:rFonts w:ascii="Palatino Linotype" w:hAnsi="Palatino Linotype"/>
        </w:rPr>
        <w:lastRenderedPageBreak/>
        <w:t>la información, la cual podrá ser verbal, siempre y cuando sea para fines de orientación, mediante consulta directa, mediante la expedición de copias simples o certificadas o la reproducción en cualquier otro medio, incluidos los electrónicos, que en el caso, en la entidad, el Órgano Garante determinó en el formato de solicitud, que podría ser SAIMEX, CD-Rom (con costo), copias simples (con costo), copias certificadas (con costo), consulta directa (sin costo) o disquete 3.5 (con costo), o bien, cualquier otro que determine el particular.</w:t>
      </w:r>
    </w:p>
    <w:p w:rsidR="007C4943" w:rsidRPr="00CF1D3C" w:rsidRDefault="007C4943" w:rsidP="007C4943">
      <w:pPr>
        <w:spacing w:line="360" w:lineRule="auto"/>
        <w:contextualSpacing/>
        <w:jc w:val="both"/>
        <w:rPr>
          <w:rFonts w:ascii="Palatino Linotype" w:hAnsi="Palatino Linotype"/>
        </w:rPr>
      </w:pPr>
    </w:p>
    <w:p w:rsidR="007C4943" w:rsidRPr="00CF1D3C" w:rsidRDefault="007C4943" w:rsidP="00A307A0">
      <w:pPr>
        <w:numPr>
          <w:ilvl w:val="0"/>
          <w:numId w:val="1"/>
        </w:numPr>
        <w:spacing w:line="360" w:lineRule="auto"/>
        <w:ind w:left="0" w:firstLine="0"/>
        <w:contextualSpacing/>
        <w:jc w:val="both"/>
        <w:rPr>
          <w:rFonts w:ascii="Palatino Linotype" w:hAnsi="Palatino Linotype" w:cs="Arial"/>
        </w:rPr>
      </w:pPr>
      <w:r w:rsidRPr="00CF1D3C">
        <w:rPr>
          <w:rFonts w:ascii="Palatino Linotype" w:hAnsi="Palatino Linotype"/>
        </w:rPr>
        <w:t xml:space="preserve">Luego entonces, el acceso a la información debe darse en la modalidad de entrega elegida por el solicitante, y sólo para los casos en que se encuentren impedidos los sujetos obligados podrán ofrecer otra u otras modalidades debiendo </w:t>
      </w:r>
      <w:r w:rsidR="00A63BD3" w:rsidRPr="00CF1D3C">
        <w:rPr>
          <w:rFonts w:ascii="Palatino Linotype" w:hAnsi="Palatino Linotype"/>
          <w:b/>
        </w:rPr>
        <w:t>FUNDAR Y MOTIVAR</w:t>
      </w:r>
      <w:r w:rsidR="00A63BD3" w:rsidRPr="00CF1D3C">
        <w:rPr>
          <w:rFonts w:ascii="Palatino Linotype" w:hAnsi="Palatino Linotype"/>
        </w:rPr>
        <w:t xml:space="preserve"> </w:t>
      </w:r>
      <w:r w:rsidRPr="00CF1D3C">
        <w:rPr>
          <w:rFonts w:ascii="Palatino Linotype" w:eastAsia="Calibri" w:hAnsi="Palatino Linotype" w:cs="Arial"/>
        </w:rPr>
        <w:t>adecuadamente el cambio de modalidad en la entrega de la información</w:t>
      </w:r>
      <w:r w:rsidRPr="00CF1D3C">
        <w:rPr>
          <w:rStyle w:val="Refdenotaalpie"/>
        </w:rPr>
        <w:t xml:space="preserve"> </w:t>
      </w:r>
      <w:r w:rsidRPr="00CF1D3C">
        <w:rPr>
          <w:rStyle w:val="Refdenotaalpie"/>
        </w:rPr>
        <w:footnoteReference w:id="6"/>
      </w:r>
      <w:r w:rsidRPr="00CF1D3C">
        <w:rPr>
          <w:rFonts w:ascii="Palatino Linotype" w:hAnsi="Palatino Linotype"/>
        </w:rPr>
        <w:t xml:space="preserve">, en términos de lo dispuesto en el artículo 16 de la Constitución Política de los Estados Unidos Mexicanos, </w:t>
      </w:r>
      <w:r w:rsidRPr="00CF1D3C">
        <w:rPr>
          <w:rFonts w:ascii="Palatino Linotype" w:hAnsi="Palatino Linotype" w:cs="Arial"/>
        </w:rPr>
        <w:t>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rsidR="007C4943" w:rsidRPr="00CF1D3C" w:rsidRDefault="007C4943" w:rsidP="007C4943">
      <w:pPr>
        <w:pStyle w:val="Prrafodelista"/>
        <w:ind w:left="644" w:right="851"/>
        <w:jc w:val="both"/>
        <w:rPr>
          <w:rFonts w:ascii="Palatino Linotype" w:hAnsi="Palatino Linotype" w:cs="Arial"/>
          <w:b/>
          <w:bCs/>
          <w:i/>
          <w:sz w:val="22"/>
          <w:szCs w:val="20"/>
        </w:rPr>
      </w:pPr>
    </w:p>
    <w:p w:rsidR="007C4943" w:rsidRPr="00CF1D3C" w:rsidRDefault="007C4943" w:rsidP="007C4943">
      <w:pPr>
        <w:pStyle w:val="Prrafodelista"/>
        <w:ind w:left="644" w:right="851"/>
        <w:jc w:val="both"/>
        <w:rPr>
          <w:rFonts w:ascii="Palatino Linotype" w:hAnsi="Palatino Linotype" w:cs="Arial"/>
          <w:i/>
          <w:sz w:val="22"/>
          <w:szCs w:val="20"/>
        </w:rPr>
      </w:pPr>
      <w:r w:rsidRPr="00CF1D3C">
        <w:rPr>
          <w:rFonts w:ascii="Palatino Linotype" w:hAnsi="Palatino Linotype" w:cs="Arial"/>
          <w:b/>
          <w:bCs/>
          <w:i/>
          <w:sz w:val="22"/>
          <w:szCs w:val="20"/>
        </w:rPr>
        <w:lastRenderedPageBreak/>
        <w:t>“FUNDAMENTACIÓN Y MOTIVACIÓN DE LOS ACTOS ADMINISTRATIVOS</w:t>
      </w:r>
      <w:r w:rsidRPr="00CF1D3C">
        <w:rPr>
          <w:rFonts w:ascii="Palatino Linotype" w:hAnsi="Palatino Linotype" w:cs="Arial"/>
          <w:i/>
          <w:sz w:val="22"/>
          <w:szCs w:val="20"/>
        </w:rPr>
        <w:t>.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subincisos, fracciones y preceptos aplicable, y b).- Los cuerpos legales y preceptos que otorgan competencia o facultades a las autoridades para emitir el acto en agravio del gobernado.”</w:t>
      </w:r>
    </w:p>
    <w:p w:rsidR="007C4943" w:rsidRPr="00CF1D3C" w:rsidRDefault="007C4943" w:rsidP="007C4943">
      <w:pPr>
        <w:pStyle w:val="Prrafodelista"/>
        <w:ind w:left="644" w:right="851"/>
        <w:jc w:val="both"/>
        <w:rPr>
          <w:rFonts w:ascii="Palatino Linotype" w:hAnsi="Palatino Linotype" w:cs="Arial"/>
          <w:i/>
          <w:szCs w:val="20"/>
        </w:rPr>
      </w:pPr>
    </w:p>
    <w:p w:rsidR="007C4943" w:rsidRPr="00CF1D3C" w:rsidRDefault="007C4943" w:rsidP="00A307A0">
      <w:pPr>
        <w:numPr>
          <w:ilvl w:val="0"/>
          <w:numId w:val="1"/>
        </w:numPr>
        <w:spacing w:line="360" w:lineRule="auto"/>
        <w:ind w:left="0" w:firstLine="0"/>
        <w:contextualSpacing/>
        <w:jc w:val="both"/>
        <w:rPr>
          <w:rFonts w:ascii="Palatino Linotype" w:eastAsia="Calibri" w:hAnsi="Palatino Linotype" w:cs="Arial"/>
        </w:rPr>
      </w:pPr>
      <w:r w:rsidRPr="00CF1D3C">
        <w:rPr>
          <w:rFonts w:ascii="Palatino Linotype" w:hAnsi="Palatino Linotype" w:cs="Arial"/>
        </w:rPr>
        <w:t xml:space="preserve">Por su parte, el artículo 158 </w:t>
      </w:r>
      <w:r w:rsidRPr="00CF1D3C">
        <w:rPr>
          <w:rFonts w:ascii="Palatino Linotype" w:eastAsia="Calibri" w:hAnsi="Palatino Linotype" w:cs="Arial"/>
        </w:rPr>
        <w:t>de la Ley de Transparencia y Acceso a la Información Pública del Estado de México y Municipios, establece lo siguiente:</w:t>
      </w:r>
    </w:p>
    <w:p w:rsidR="007C4943" w:rsidRPr="00CF1D3C" w:rsidRDefault="007C4943" w:rsidP="007C4943">
      <w:pPr>
        <w:spacing w:line="360" w:lineRule="auto"/>
        <w:contextualSpacing/>
        <w:jc w:val="both"/>
        <w:rPr>
          <w:rFonts w:ascii="Palatino Linotype" w:eastAsia="Calibri" w:hAnsi="Palatino Linotype" w:cs="Arial"/>
        </w:rPr>
      </w:pPr>
    </w:p>
    <w:p w:rsidR="007C4943" w:rsidRPr="00CF1D3C" w:rsidRDefault="007C4943" w:rsidP="007C4943">
      <w:pPr>
        <w:pStyle w:val="Prrafodelista"/>
        <w:autoSpaceDE w:val="0"/>
        <w:autoSpaceDN w:val="0"/>
        <w:adjustRightInd w:val="0"/>
        <w:ind w:left="644" w:right="900"/>
        <w:jc w:val="both"/>
        <w:rPr>
          <w:rFonts w:ascii="Palatino Linotype" w:eastAsiaTheme="minorHAnsi" w:hAnsi="Palatino Linotype" w:cs="Arial"/>
          <w:i/>
          <w:sz w:val="22"/>
          <w:szCs w:val="20"/>
          <w:lang w:eastAsia="en-US"/>
        </w:rPr>
      </w:pPr>
      <w:r w:rsidRPr="00CF1D3C">
        <w:rPr>
          <w:rFonts w:ascii="Palatino Linotype" w:eastAsiaTheme="minorHAnsi" w:hAnsi="Palatino Linotype" w:cs="Arial"/>
          <w:b/>
          <w:bCs/>
          <w:i/>
          <w:sz w:val="22"/>
          <w:szCs w:val="22"/>
          <w:lang w:eastAsia="en-US"/>
        </w:rPr>
        <w:t xml:space="preserve"> </w:t>
      </w:r>
      <w:r w:rsidRPr="00CF1D3C">
        <w:rPr>
          <w:rFonts w:ascii="Palatino Linotype" w:eastAsiaTheme="minorHAnsi" w:hAnsi="Palatino Linotype" w:cs="Arial"/>
          <w:b/>
          <w:bCs/>
          <w:i/>
          <w:sz w:val="22"/>
          <w:szCs w:val="20"/>
          <w:lang w:eastAsia="en-US"/>
        </w:rPr>
        <w:t xml:space="preserve">“Artículo 158. </w:t>
      </w:r>
      <w:r w:rsidRPr="00CF1D3C">
        <w:rPr>
          <w:rFonts w:ascii="Palatino Linotype" w:eastAsiaTheme="minorHAnsi" w:hAnsi="Palatino Linotype" w:cs="Arial"/>
          <w:i/>
          <w:sz w:val="22"/>
          <w:szCs w:val="20"/>
          <w:lang w:eastAsia="en-US"/>
        </w:rPr>
        <w:t xml:space="preserve">De manera excepcional, cuando de forma fundada y motivada así lo determine el sujeto obligado, en aquellos casos en que la información solicitada que ya se encuentre en su posesión implique análisis, estudio o procesamiento de </w:t>
      </w:r>
      <w:r w:rsidRPr="00CF1D3C">
        <w:rPr>
          <w:rFonts w:ascii="Palatino Linotype" w:eastAsiaTheme="minorHAnsi" w:hAnsi="Palatino Linotype" w:cs="Arial"/>
          <w:b/>
          <w:i/>
          <w:sz w:val="22"/>
          <w:szCs w:val="20"/>
          <w:lang w:eastAsia="en-US"/>
        </w:rPr>
        <w:t>documentos cuya entrega o reproducción sobrepase las capacidades técnicas administrativas y humana</w:t>
      </w:r>
      <w:r w:rsidRPr="00CF1D3C">
        <w:rPr>
          <w:rFonts w:ascii="Palatino Linotype" w:eastAsiaTheme="minorHAnsi" w:hAnsi="Palatino Linotype" w:cs="Arial"/>
          <w:i/>
          <w:sz w:val="22"/>
          <w:szCs w:val="20"/>
          <w:lang w:eastAsia="en-US"/>
        </w:rPr>
        <w:t>s del sujeto obligado para cumplir con la solicitud, en los plazos establecidos para dichos efectos, se podrá poner a disposición del solicitante los documentos en consulta directa, salvo la información clasificada.</w:t>
      </w:r>
    </w:p>
    <w:p w:rsidR="007C4943" w:rsidRPr="00CF1D3C" w:rsidRDefault="007C4943" w:rsidP="007C4943">
      <w:pPr>
        <w:pStyle w:val="Prrafodelista"/>
        <w:autoSpaceDE w:val="0"/>
        <w:autoSpaceDN w:val="0"/>
        <w:adjustRightInd w:val="0"/>
        <w:spacing w:before="120"/>
        <w:ind w:left="644" w:right="902"/>
        <w:jc w:val="both"/>
        <w:rPr>
          <w:rFonts w:ascii="Palatino Linotype" w:hAnsi="Palatino Linotype"/>
          <w:i/>
          <w:sz w:val="22"/>
          <w:szCs w:val="20"/>
        </w:rPr>
      </w:pPr>
    </w:p>
    <w:p w:rsidR="007C4943" w:rsidRPr="00CF1D3C" w:rsidRDefault="007C4943" w:rsidP="007C4943">
      <w:pPr>
        <w:pStyle w:val="Prrafodelista"/>
        <w:autoSpaceDE w:val="0"/>
        <w:autoSpaceDN w:val="0"/>
        <w:adjustRightInd w:val="0"/>
        <w:spacing w:before="120"/>
        <w:ind w:left="644" w:right="902"/>
        <w:jc w:val="both"/>
        <w:rPr>
          <w:rFonts w:ascii="Palatino Linotype" w:eastAsiaTheme="minorHAnsi" w:hAnsi="Palatino Linotype" w:cs="Arial"/>
          <w:b/>
          <w:i/>
          <w:sz w:val="22"/>
          <w:szCs w:val="20"/>
          <w:lang w:eastAsia="en-US"/>
        </w:rPr>
      </w:pPr>
      <w:r w:rsidRPr="00CF1D3C">
        <w:rPr>
          <w:rFonts w:ascii="Palatino Linotype" w:hAnsi="Palatino Linotype"/>
          <w:i/>
          <w:sz w:val="22"/>
          <w:szCs w:val="20"/>
        </w:rPr>
        <w:lastRenderedPageBreak/>
        <w:t>En todo caso, se facilitará su copia simple o certificada, así como su reproducción por cualquier medio disponible en las instalaciones del sujeto obligado o que, en su caso, aporte el solicitante.</w:t>
      </w:r>
      <w:r w:rsidRPr="00CF1D3C">
        <w:rPr>
          <w:rFonts w:ascii="Palatino Linotype" w:eastAsiaTheme="minorHAnsi" w:hAnsi="Palatino Linotype" w:cs="Arial"/>
          <w:b/>
          <w:i/>
          <w:sz w:val="22"/>
          <w:szCs w:val="20"/>
          <w:lang w:eastAsia="en-US"/>
        </w:rPr>
        <w:t>”</w:t>
      </w:r>
    </w:p>
    <w:p w:rsidR="007C4943" w:rsidRPr="00CF1D3C" w:rsidRDefault="007C4943" w:rsidP="007C4943">
      <w:pPr>
        <w:pStyle w:val="Prrafodelista"/>
        <w:autoSpaceDE w:val="0"/>
        <w:autoSpaceDN w:val="0"/>
        <w:adjustRightInd w:val="0"/>
        <w:spacing w:before="120"/>
        <w:ind w:left="644" w:right="902"/>
        <w:jc w:val="both"/>
        <w:rPr>
          <w:rFonts w:ascii="Palatino Linotype" w:eastAsiaTheme="minorHAnsi" w:hAnsi="Palatino Linotype" w:cs="Arial"/>
          <w:b/>
          <w:i/>
          <w:sz w:val="22"/>
          <w:szCs w:val="20"/>
          <w:lang w:eastAsia="en-US"/>
        </w:rPr>
      </w:pPr>
    </w:p>
    <w:p w:rsidR="007C4943" w:rsidRPr="00CF1D3C" w:rsidRDefault="007C4943" w:rsidP="007C4943">
      <w:pPr>
        <w:pStyle w:val="Prrafodelista"/>
        <w:autoSpaceDE w:val="0"/>
        <w:autoSpaceDN w:val="0"/>
        <w:adjustRightInd w:val="0"/>
        <w:spacing w:before="120"/>
        <w:ind w:left="644" w:right="902"/>
        <w:jc w:val="both"/>
        <w:rPr>
          <w:rFonts w:ascii="Palatino Linotype" w:eastAsia="Calibri" w:hAnsi="Palatino Linotype" w:cs="Arial"/>
          <w:b/>
          <w:i/>
          <w:sz w:val="22"/>
          <w:szCs w:val="20"/>
        </w:rPr>
      </w:pPr>
    </w:p>
    <w:p w:rsidR="007C4943" w:rsidRPr="00CF1D3C" w:rsidRDefault="007C4943" w:rsidP="00A307A0">
      <w:pPr>
        <w:numPr>
          <w:ilvl w:val="0"/>
          <w:numId w:val="1"/>
        </w:numPr>
        <w:spacing w:line="360" w:lineRule="auto"/>
        <w:ind w:left="0" w:firstLine="0"/>
        <w:contextualSpacing/>
        <w:jc w:val="both"/>
        <w:rPr>
          <w:rFonts w:ascii="Palatino Linotype" w:hAnsi="Palatino Linotype" w:cs="Arial"/>
        </w:rPr>
      </w:pPr>
      <w:r w:rsidRPr="00CF1D3C">
        <w:rPr>
          <w:rFonts w:ascii="Palatino Linotype" w:hAnsi="Palatino Linotype" w:cs="Arial"/>
        </w:rPr>
        <w:t>Por lo cual, los sujetos obligados podrán poner a disposición de los particulares, los documentos solicitados, en todo caso, por cualquier medio disponible en las instalaciones del sujeto obligado, cuando de forma fundada y motivada se determine que implica un análisis, estudio o procesamiento, cuya entrega o reproducción sobrepase las capacidades técnicas administrativas y humanas.</w:t>
      </w:r>
    </w:p>
    <w:p w:rsidR="00A63BD3" w:rsidRPr="00CF1D3C" w:rsidRDefault="00A63BD3" w:rsidP="00A63BD3">
      <w:pPr>
        <w:spacing w:line="360" w:lineRule="auto"/>
        <w:contextualSpacing/>
        <w:jc w:val="both"/>
        <w:rPr>
          <w:rFonts w:ascii="Palatino Linotype" w:hAnsi="Palatino Linotype"/>
        </w:rPr>
      </w:pPr>
    </w:p>
    <w:p w:rsidR="007C4943" w:rsidRPr="00CF1D3C" w:rsidRDefault="007C4943" w:rsidP="00A307A0">
      <w:pPr>
        <w:numPr>
          <w:ilvl w:val="0"/>
          <w:numId w:val="1"/>
        </w:numPr>
        <w:spacing w:line="360" w:lineRule="auto"/>
        <w:ind w:left="0" w:firstLine="0"/>
        <w:contextualSpacing/>
        <w:jc w:val="both"/>
        <w:rPr>
          <w:rFonts w:ascii="Palatino Linotype" w:hAnsi="Palatino Linotype"/>
        </w:rPr>
      </w:pPr>
      <w:r w:rsidRPr="00CF1D3C">
        <w:rPr>
          <w:rFonts w:ascii="Palatino Linotype" w:hAnsi="Palatino Linotype" w:cs="Arial"/>
        </w:rPr>
        <w:t xml:space="preserve">Por lo que se puede concluir, que los sujetos obligados deben proporcionar la información en la modalidad solicitada por los particulares para la entrega de la información, en el caso concreto, </w:t>
      </w:r>
      <w:r w:rsidRPr="00CF1D3C">
        <w:rPr>
          <w:rFonts w:ascii="Palatino Linotype" w:hAnsi="Palatino Linotype"/>
        </w:rPr>
        <w:t>si éste eligió el SAIMEX, el Titular de la Unidad de Transparencia debe agregar los archivos electrónicos que contengan la información requerida y sólo en caso de imposibilidad técnica, y, previo aviso a este Instituto, puede optarse por cambiar la modalidad de e</w:t>
      </w:r>
      <w:r w:rsidR="00A63BD3" w:rsidRPr="00CF1D3C">
        <w:rPr>
          <w:rFonts w:ascii="Palatino Linotype" w:hAnsi="Palatino Linotype"/>
        </w:rPr>
        <w:t>ntrega.</w:t>
      </w:r>
    </w:p>
    <w:p w:rsidR="00A63BD3" w:rsidRPr="00CF1D3C" w:rsidRDefault="00A63BD3" w:rsidP="00A63BD3">
      <w:pPr>
        <w:pStyle w:val="Prrafodelista"/>
        <w:rPr>
          <w:rFonts w:ascii="Palatino Linotype" w:hAnsi="Palatino Linotype"/>
        </w:rPr>
      </w:pPr>
    </w:p>
    <w:p w:rsidR="00A63BD3" w:rsidRPr="00CF1D3C" w:rsidRDefault="00A63BD3" w:rsidP="00425045">
      <w:pPr>
        <w:numPr>
          <w:ilvl w:val="0"/>
          <w:numId w:val="1"/>
        </w:numPr>
        <w:spacing w:line="360" w:lineRule="auto"/>
        <w:ind w:left="0" w:firstLine="0"/>
        <w:contextualSpacing/>
        <w:jc w:val="both"/>
        <w:rPr>
          <w:rFonts w:ascii="Palatino Linotype" w:hAnsi="Palatino Linotype"/>
        </w:rPr>
      </w:pPr>
      <w:r w:rsidRPr="00CF1D3C">
        <w:rPr>
          <w:rFonts w:ascii="Palatino Linotype" w:hAnsi="Palatino Linotype"/>
        </w:rPr>
        <w:t>Asimismo, no pasa desapercibido que de la</w:t>
      </w:r>
      <w:r w:rsidR="00425045" w:rsidRPr="00CF1D3C">
        <w:rPr>
          <w:rFonts w:ascii="Palatino Linotype" w:hAnsi="Palatino Linotype"/>
        </w:rPr>
        <w:t>s</w:t>
      </w:r>
      <w:r w:rsidRPr="00CF1D3C">
        <w:rPr>
          <w:rFonts w:ascii="Palatino Linotype" w:hAnsi="Palatino Linotype"/>
        </w:rPr>
        <w:t xml:space="preserve"> respuesta</w:t>
      </w:r>
      <w:r w:rsidR="00425045" w:rsidRPr="00CF1D3C">
        <w:rPr>
          <w:rFonts w:ascii="Palatino Linotype" w:hAnsi="Palatino Linotype"/>
        </w:rPr>
        <w:t>s</w:t>
      </w:r>
      <w:r w:rsidRPr="00CF1D3C">
        <w:rPr>
          <w:rFonts w:ascii="Palatino Linotype" w:hAnsi="Palatino Linotype"/>
        </w:rPr>
        <w:t xml:space="preserve"> </w:t>
      </w:r>
      <w:r w:rsidR="00425045" w:rsidRPr="00CF1D3C">
        <w:rPr>
          <w:rFonts w:ascii="Palatino Linotype" w:hAnsi="Palatino Linotype"/>
        </w:rPr>
        <w:t xml:space="preserve">a las solicitudes de información </w:t>
      </w:r>
      <w:r w:rsidR="00425045" w:rsidRPr="00CF1D3C">
        <w:rPr>
          <w:rFonts w:ascii="Palatino Linotype" w:hAnsi="Palatino Linotype"/>
          <w:b/>
        </w:rPr>
        <w:t>00262/SMOV/IP/2022, 00265/SMOV/IP/2022 y 00266/SMOV/IP/2022</w:t>
      </w:r>
      <w:r w:rsidR="00425045" w:rsidRPr="00CF1D3C">
        <w:rPr>
          <w:rFonts w:ascii="Palatino Linotype" w:hAnsi="Palatino Linotype"/>
        </w:rPr>
        <w:t xml:space="preserve">, </w:t>
      </w:r>
      <w:r w:rsidRPr="00CF1D3C">
        <w:rPr>
          <w:rFonts w:ascii="Palatino Linotype" w:hAnsi="Palatino Linotype"/>
        </w:rPr>
        <w:t>se advierte que el número de fojas no sobre pasa las capacidades del</w:t>
      </w:r>
      <w:r w:rsidRPr="00CF1D3C">
        <w:rPr>
          <w:rFonts w:ascii="Palatino Linotype" w:hAnsi="Palatino Linotype"/>
          <w:b/>
        </w:rPr>
        <w:t xml:space="preserve"> SAIMEX</w:t>
      </w:r>
      <w:r w:rsidR="009F0F5D" w:rsidRPr="00CF1D3C">
        <w:rPr>
          <w:rFonts w:ascii="Palatino Linotype" w:hAnsi="Palatino Linotype"/>
        </w:rPr>
        <w:t xml:space="preserve">, ya que peso máximo de </w:t>
      </w:r>
      <w:r w:rsidR="009F0F5D" w:rsidRPr="00CF1D3C">
        <w:rPr>
          <w:rFonts w:ascii="Palatino Linotype" w:hAnsi="Palatino Linotype" w:cs="Arial"/>
        </w:rPr>
        <w:t>archivos</w:t>
      </w:r>
      <w:r w:rsidR="009F0F5D" w:rsidRPr="00CF1D3C">
        <w:rPr>
          <w:rFonts w:ascii="Palatino Linotype" w:hAnsi="Palatino Linotype"/>
        </w:rPr>
        <w:t xml:space="preserve"> que soporta dicha plataforma para adjuntar como respuesta a las solicitudes de información, corresponde a un soporte tecnológico para que se puedan adjuntar archivos con un peso aprox. de hasta 500Mb o un </w:t>
      </w:r>
      <w:r w:rsidR="009F0F5D" w:rsidRPr="00CF1D3C">
        <w:rPr>
          <w:rFonts w:ascii="Palatino Linotype" w:hAnsi="Palatino Linotype"/>
        </w:rPr>
        <w:lastRenderedPageBreak/>
        <w:t>equivalente de hasta 8,000 hojas, garantizando que el Ciudadano no tenga problemas en la descarga de la información usando conexiones a internet convencionales bajo parámetros de escaneo en resolución máxima de 150Dpi's, escala de grises y formato "PDF" extraído directamente del escáner.</w:t>
      </w:r>
    </w:p>
    <w:p w:rsidR="00425045" w:rsidRPr="00CF1D3C" w:rsidRDefault="00425045" w:rsidP="00425045">
      <w:pPr>
        <w:pStyle w:val="Prrafodelista"/>
        <w:rPr>
          <w:rFonts w:ascii="Palatino Linotype" w:hAnsi="Palatino Linotype"/>
        </w:rPr>
      </w:pPr>
    </w:p>
    <w:p w:rsidR="009F0F5D" w:rsidRPr="00CF1D3C" w:rsidRDefault="009F0F5D" w:rsidP="00674642">
      <w:pPr>
        <w:numPr>
          <w:ilvl w:val="0"/>
          <w:numId w:val="1"/>
        </w:numPr>
        <w:spacing w:line="360" w:lineRule="auto"/>
        <w:ind w:left="0" w:firstLine="0"/>
        <w:contextualSpacing/>
        <w:jc w:val="both"/>
        <w:rPr>
          <w:rFonts w:ascii="Palatino Linotype" w:hAnsi="Palatino Linotype"/>
        </w:rPr>
      </w:pPr>
      <w:r w:rsidRPr="00CF1D3C">
        <w:rPr>
          <w:rFonts w:ascii="Palatino Linotype" w:hAnsi="Palatino Linotype"/>
        </w:rPr>
        <w:t>En ese contexto no debe perderse de vista</w:t>
      </w:r>
      <w:r w:rsidR="00674642" w:rsidRPr="00CF1D3C">
        <w:rPr>
          <w:rFonts w:ascii="Palatino Linotype" w:hAnsi="Palatino Linotype"/>
        </w:rPr>
        <w:t xml:space="preserve"> que el </w:t>
      </w:r>
      <w:r w:rsidR="00674642" w:rsidRPr="00CF1D3C">
        <w:rPr>
          <w:rFonts w:ascii="Palatino Linotype" w:hAnsi="Palatino Linotype"/>
          <w:b/>
        </w:rPr>
        <w:t>Reglamento Interior del Instituto de Transparencia, Acceso a la Información Pública y Protección de Datos Personales del Estado de México y Municipios</w:t>
      </w:r>
      <w:r w:rsidR="00674642" w:rsidRPr="00CF1D3C">
        <w:rPr>
          <w:rFonts w:ascii="Palatino Linotype" w:hAnsi="Palatino Linotype"/>
        </w:rPr>
        <w:t xml:space="preserve"> en su </w:t>
      </w:r>
      <w:r w:rsidR="00F35AB9" w:rsidRPr="00CF1D3C">
        <w:rPr>
          <w:rFonts w:ascii="Palatino Linotype" w:hAnsi="Palatino Linotype"/>
        </w:rPr>
        <w:t>artículo</w:t>
      </w:r>
      <w:r w:rsidR="00674642" w:rsidRPr="00CF1D3C">
        <w:rPr>
          <w:rFonts w:ascii="Palatino Linotype" w:hAnsi="Palatino Linotype"/>
        </w:rPr>
        <w:t xml:space="preserve"> 22 fracción I, establece lo siguiente:</w:t>
      </w:r>
    </w:p>
    <w:p w:rsidR="00674642" w:rsidRPr="00CF1D3C" w:rsidRDefault="00674642" w:rsidP="00674642">
      <w:pPr>
        <w:pStyle w:val="Prrafodelista"/>
        <w:rPr>
          <w:rFonts w:ascii="Palatino Linotype" w:hAnsi="Palatino Linotype"/>
        </w:rPr>
      </w:pPr>
    </w:p>
    <w:p w:rsidR="00674642" w:rsidRPr="00CF1D3C" w:rsidRDefault="00674642" w:rsidP="00674642">
      <w:pPr>
        <w:spacing w:line="360" w:lineRule="auto"/>
        <w:ind w:left="426" w:right="474"/>
        <w:contextualSpacing/>
        <w:jc w:val="both"/>
        <w:rPr>
          <w:rFonts w:ascii="Palatino Linotype" w:hAnsi="Palatino Linotype"/>
          <w:i/>
        </w:rPr>
      </w:pPr>
      <w:r w:rsidRPr="00CF1D3C">
        <w:rPr>
          <w:rFonts w:ascii="Palatino Linotype" w:hAnsi="Palatino Linotype"/>
          <w:i/>
        </w:rPr>
        <w:t>“Artículo 22. Corresponde a la Dirección General de Informática ejercer las atribuciones siguientes</w:t>
      </w:r>
    </w:p>
    <w:p w:rsidR="00674642" w:rsidRPr="00CF1D3C" w:rsidRDefault="00674642" w:rsidP="00674642">
      <w:pPr>
        <w:spacing w:line="360" w:lineRule="auto"/>
        <w:ind w:left="426" w:right="474"/>
        <w:contextualSpacing/>
        <w:jc w:val="both"/>
        <w:rPr>
          <w:rFonts w:ascii="Palatino Linotype" w:hAnsi="Palatino Linotype"/>
          <w:i/>
        </w:rPr>
      </w:pPr>
      <w:r w:rsidRPr="00CF1D3C">
        <w:rPr>
          <w:rFonts w:ascii="Palatino Linotype" w:hAnsi="Palatino Linotype"/>
          <w:i/>
        </w:rPr>
        <w:t xml:space="preserve">I. </w:t>
      </w:r>
      <w:r w:rsidRPr="00CF1D3C">
        <w:rPr>
          <w:rFonts w:ascii="Palatino Linotype" w:hAnsi="Palatino Linotype"/>
          <w:b/>
          <w:i/>
        </w:rPr>
        <w:t>Brindar la asesoría y el apoyo técnico e informático que requieran los Sujetos Obligados en el uso de los sistemas electrónicos administrados por el Instituto</w:t>
      </w:r>
      <w:r w:rsidRPr="00CF1D3C">
        <w:rPr>
          <w:rFonts w:ascii="Palatino Linotype" w:hAnsi="Palatino Linotype"/>
          <w:i/>
        </w:rPr>
        <w:t>;</w:t>
      </w:r>
    </w:p>
    <w:p w:rsidR="00674642" w:rsidRPr="00CF1D3C" w:rsidRDefault="00674642" w:rsidP="00674642">
      <w:pPr>
        <w:spacing w:line="360" w:lineRule="auto"/>
        <w:ind w:left="426" w:right="474"/>
        <w:contextualSpacing/>
        <w:jc w:val="both"/>
        <w:rPr>
          <w:rFonts w:ascii="Palatino Linotype" w:hAnsi="Palatino Linotype"/>
          <w:i/>
        </w:rPr>
      </w:pPr>
      <w:r w:rsidRPr="00CF1D3C">
        <w:rPr>
          <w:rFonts w:ascii="Palatino Linotype" w:hAnsi="Palatino Linotype"/>
          <w:i/>
        </w:rPr>
        <w:t>...”</w:t>
      </w:r>
    </w:p>
    <w:p w:rsidR="00674642" w:rsidRPr="00CF1D3C" w:rsidRDefault="00674642" w:rsidP="00674642">
      <w:pPr>
        <w:spacing w:line="360" w:lineRule="auto"/>
        <w:ind w:left="426" w:right="474"/>
        <w:contextualSpacing/>
        <w:jc w:val="both"/>
        <w:rPr>
          <w:rFonts w:ascii="Palatino Linotype" w:hAnsi="Palatino Linotype"/>
        </w:rPr>
      </w:pPr>
      <w:r w:rsidRPr="00CF1D3C">
        <w:rPr>
          <w:rFonts w:ascii="Palatino Linotype" w:hAnsi="Palatino Linotype"/>
        </w:rPr>
        <w:t>Énfasis añadido</w:t>
      </w:r>
    </w:p>
    <w:p w:rsidR="007C4943" w:rsidRPr="00CF1D3C" w:rsidRDefault="007C4943" w:rsidP="007C4943">
      <w:pPr>
        <w:spacing w:line="360" w:lineRule="auto"/>
        <w:contextualSpacing/>
        <w:jc w:val="both"/>
        <w:rPr>
          <w:rFonts w:ascii="Palatino Linotype" w:hAnsi="Palatino Linotype"/>
        </w:rPr>
      </w:pPr>
    </w:p>
    <w:p w:rsidR="00674642" w:rsidRPr="00CF1D3C" w:rsidRDefault="00674642" w:rsidP="00A307A0">
      <w:pPr>
        <w:numPr>
          <w:ilvl w:val="0"/>
          <w:numId w:val="1"/>
        </w:numPr>
        <w:spacing w:line="360" w:lineRule="auto"/>
        <w:ind w:left="0" w:firstLine="0"/>
        <w:contextualSpacing/>
        <w:jc w:val="both"/>
        <w:rPr>
          <w:rFonts w:ascii="Palatino Linotype" w:hAnsi="Palatino Linotype" w:cs="Arial"/>
        </w:rPr>
      </w:pPr>
      <w:r w:rsidRPr="00CF1D3C">
        <w:rPr>
          <w:rFonts w:ascii="Palatino Linotype" w:hAnsi="Palatino Linotype" w:cs="Arial"/>
        </w:rPr>
        <w:t xml:space="preserve">En ese sentido, la </w:t>
      </w:r>
      <w:r w:rsidRPr="00CF1D3C">
        <w:rPr>
          <w:rFonts w:ascii="Palatino Linotype" w:hAnsi="Palatino Linotype" w:cs="Arial"/>
          <w:b/>
        </w:rPr>
        <w:t>Dirección de Informática</w:t>
      </w:r>
      <w:r w:rsidRPr="00CF1D3C">
        <w:rPr>
          <w:rFonts w:ascii="Palatino Linotype" w:hAnsi="Palatino Linotype" w:cs="Arial"/>
        </w:rPr>
        <w:t xml:space="preserve"> de este In</w:t>
      </w:r>
      <w:r w:rsidR="00F35AB9" w:rsidRPr="00CF1D3C">
        <w:rPr>
          <w:rFonts w:ascii="Palatino Linotype" w:hAnsi="Palatino Linotype" w:cs="Arial"/>
        </w:rPr>
        <w:t>stituto se encuentra compelida</w:t>
      </w:r>
      <w:r w:rsidRPr="00CF1D3C">
        <w:rPr>
          <w:rFonts w:ascii="Palatino Linotype" w:hAnsi="Palatino Linotype" w:cs="Arial"/>
        </w:rPr>
        <w:t xml:space="preserve"> a brindar, asesoría y apoyo técnico a los sujetos obligados para el cumplimiento de sus obligaciones en materia de trasparencia, acceso a la información pública y protección de datos personales, de manera tal, que si el </w:t>
      </w:r>
      <w:r w:rsidRPr="00CF1D3C">
        <w:rPr>
          <w:rFonts w:ascii="Palatino Linotype" w:hAnsi="Palatino Linotype" w:cs="Arial"/>
          <w:b/>
        </w:rPr>
        <w:t>SUJETO OBLIGADO</w:t>
      </w:r>
      <w:r w:rsidRPr="00CF1D3C">
        <w:rPr>
          <w:rFonts w:ascii="Palatino Linotype" w:hAnsi="Palatino Linotype" w:cs="Arial"/>
        </w:rPr>
        <w:t xml:space="preserve"> se encuentra con alguna imposibilidad técnica, </w:t>
      </w:r>
      <w:r w:rsidRPr="00CF1D3C">
        <w:rPr>
          <w:rFonts w:ascii="Palatino Linotype" w:hAnsi="Palatino Linotype" w:cs="Arial"/>
          <w:b/>
        </w:rPr>
        <w:t xml:space="preserve">este Órgano </w:t>
      </w:r>
      <w:r w:rsidRPr="00CF1D3C">
        <w:rPr>
          <w:rFonts w:ascii="Palatino Linotype" w:hAnsi="Palatino Linotype" w:cs="Arial"/>
          <w:b/>
        </w:rPr>
        <w:lastRenderedPageBreak/>
        <w:t xml:space="preserve">Garante puede aportar los recursos tecnológicos y humanos para garantizar el acceso a la información pública, como de manera enunciativa mas no limitativa se desprende del presente asunto, </w:t>
      </w:r>
      <w:r w:rsidRPr="00CF1D3C">
        <w:rPr>
          <w:rFonts w:ascii="Palatino Linotype" w:hAnsi="Palatino Linotype" w:cs="Arial"/>
          <w:b/>
          <w:u w:val="single"/>
        </w:rPr>
        <w:t>la digitalización de la información</w:t>
      </w:r>
      <w:r w:rsidRPr="00CF1D3C">
        <w:rPr>
          <w:rFonts w:ascii="Palatino Linotype" w:hAnsi="Palatino Linotype" w:cs="Arial"/>
          <w:b/>
        </w:rPr>
        <w:t>; luego entonces, se colige que no existe impedimento para que el SUJETO OBLIGADO de cumplimiento en la modalidad elegida por el RECURRENTE, al tener la facultad de solicitar a este Instituto el apoyo y asesoría para el cumplimiento.</w:t>
      </w:r>
    </w:p>
    <w:p w:rsidR="00674642" w:rsidRPr="00CF1D3C" w:rsidRDefault="00674642" w:rsidP="00674642">
      <w:pPr>
        <w:spacing w:line="360" w:lineRule="auto"/>
        <w:contextualSpacing/>
        <w:jc w:val="both"/>
        <w:rPr>
          <w:rFonts w:ascii="Palatino Linotype" w:hAnsi="Palatino Linotype" w:cs="Arial"/>
        </w:rPr>
      </w:pPr>
    </w:p>
    <w:p w:rsidR="00425045" w:rsidRPr="00CF1D3C" w:rsidRDefault="004E5AF0" w:rsidP="00425045">
      <w:pPr>
        <w:numPr>
          <w:ilvl w:val="0"/>
          <w:numId w:val="1"/>
        </w:numPr>
        <w:spacing w:line="360" w:lineRule="auto"/>
        <w:ind w:left="0" w:firstLine="0"/>
        <w:contextualSpacing/>
        <w:jc w:val="both"/>
        <w:rPr>
          <w:rFonts w:ascii="Palatino Linotype" w:hAnsi="Palatino Linotype"/>
        </w:rPr>
      </w:pPr>
      <w:r w:rsidRPr="00CF1D3C">
        <w:rPr>
          <w:rFonts w:ascii="Palatino Linotype" w:hAnsi="Palatino Linotype"/>
        </w:rPr>
        <w:t>Por otro lado</w:t>
      </w:r>
      <w:r w:rsidR="00425045" w:rsidRPr="00CF1D3C">
        <w:rPr>
          <w:rFonts w:ascii="Palatino Linotype" w:hAnsi="Palatino Linotype"/>
        </w:rPr>
        <w:t xml:space="preserve">, por lo que hace a la solicitud de información </w:t>
      </w:r>
      <w:r w:rsidR="00425045" w:rsidRPr="00CF1D3C">
        <w:rPr>
          <w:rFonts w:ascii="Palatino Linotype" w:hAnsi="Palatino Linotype"/>
          <w:b/>
        </w:rPr>
        <w:t>00263/SMOV/IP/2022</w:t>
      </w:r>
      <w:r w:rsidR="00425045" w:rsidRPr="00CF1D3C">
        <w:rPr>
          <w:rFonts w:ascii="Palatino Linotype" w:hAnsi="Palatino Linotype"/>
        </w:rPr>
        <w:t>, de la respuesta se desprende que el número de fojas supera las capacidades del SAIMEX, como se aprecia:</w:t>
      </w:r>
    </w:p>
    <w:p w:rsidR="00425045" w:rsidRPr="00CF1D3C" w:rsidRDefault="00425045" w:rsidP="00425045">
      <w:pPr>
        <w:pStyle w:val="Prrafodelista"/>
        <w:rPr>
          <w:rFonts w:ascii="Palatino Linotype" w:hAnsi="Palatino Linotype"/>
        </w:rPr>
      </w:pPr>
    </w:p>
    <w:p w:rsidR="00425045" w:rsidRPr="00CF1D3C" w:rsidRDefault="00425045" w:rsidP="00425045">
      <w:pPr>
        <w:spacing w:line="360" w:lineRule="auto"/>
        <w:contextualSpacing/>
        <w:jc w:val="both"/>
        <w:rPr>
          <w:rFonts w:ascii="Palatino Linotype" w:hAnsi="Palatino Linotype"/>
        </w:rPr>
      </w:pPr>
      <w:r w:rsidRPr="00CF1D3C">
        <w:rPr>
          <w:rFonts w:ascii="Palatino Linotype" w:hAnsi="Palatino Linotype"/>
          <w:noProof/>
          <w:lang w:val="es-MX" w:eastAsia="es-MX"/>
        </w:rPr>
        <w:drawing>
          <wp:inline distT="0" distB="0" distL="0" distR="0">
            <wp:extent cx="5612765" cy="1040765"/>
            <wp:effectExtent l="19050" t="19050" r="26035" b="260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765" cy="1040765"/>
                    </a:xfrm>
                    <a:prstGeom prst="rect">
                      <a:avLst/>
                    </a:prstGeom>
                    <a:noFill/>
                    <a:ln>
                      <a:solidFill>
                        <a:schemeClr val="tx1"/>
                      </a:solidFill>
                    </a:ln>
                  </pic:spPr>
                </pic:pic>
              </a:graphicData>
            </a:graphic>
          </wp:inline>
        </w:drawing>
      </w:r>
    </w:p>
    <w:p w:rsidR="00425045" w:rsidRPr="00CF1D3C" w:rsidRDefault="00425045" w:rsidP="00425045">
      <w:pPr>
        <w:pStyle w:val="Prrafodelista"/>
        <w:rPr>
          <w:rFonts w:ascii="Palatino Linotype" w:hAnsi="Palatino Linotype" w:cs="Arial"/>
        </w:rPr>
      </w:pPr>
    </w:p>
    <w:p w:rsidR="00425045" w:rsidRPr="00CF1D3C" w:rsidRDefault="00425045" w:rsidP="00347DF3">
      <w:pPr>
        <w:numPr>
          <w:ilvl w:val="0"/>
          <w:numId w:val="1"/>
        </w:numPr>
        <w:spacing w:line="360" w:lineRule="auto"/>
        <w:ind w:left="0" w:firstLine="0"/>
        <w:contextualSpacing/>
        <w:jc w:val="both"/>
        <w:rPr>
          <w:rFonts w:ascii="Palatino Linotype" w:hAnsi="Palatino Linotype"/>
        </w:rPr>
      </w:pPr>
      <w:r w:rsidRPr="00CF1D3C">
        <w:rPr>
          <w:rFonts w:ascii="Palatino Linotype" w:hAnsi="Palatino Linotype"/>
        </w:rPr>
        <w:t xml:space="preserve">Luego entonces, se desprende que entregar 23,917 fojas ciertamente puede ser una causal de cambio de modalidad de entrega vía </w:t>
      </w:r>
      <w:r w:rsidRPr="00CF1D3C">
        <w:rPr>
          <w:rFonts w:ascii="Palatino Linotype" w:hAnsi="Palatino Linotype"/>
          <w:b/>
        </w:rPr>
        <w:t>SAIMEX</w:t>
      </w:r>
      <w:r w:rsidRPr="00CF1D3C">
        <w:rPr>
          <w:rFonts w:ascii="Palatino Linotype" w:hAnsi="Palatino Linotype"/>
        </w:rPr>
        <w:t xml:space="preserve">, por superarse las capacidades técnicas del sistema; no obstante, el </w:t>
      </w:r>
      <w:r w:rsidRPr="00CF1D3C">
        <w:rPr>
          <w:rFonts w:ascii="Palatino Linotype" w:hAnsi="Palatino Linotype"/>
          <w:b/>
        </w:rPr>
        <w:t>SUJETO OBLIGADO</w:t>
      </w:r>
      <w:r w:rsidRPr="00CF1D3C">
        <w:rPr>
          <w:rFonts w:ascii="Palatino Linotype" w:hAnsi="Palatino Linotype"/>
        </w:rPr>
        <w:t xml:space="preserve"> fue omiso en realizar un cambio de modalidad conforme a la normatividad de la materia, que privilegie la gratuidad de la información, como de manera enunciativa mas no limitativa pudiera ser la consulta directa, al nuevamente proponer la entrega de copias simples con costo, como se observa:</w:t>
      </w:r>
    </w:p>
    <w:p w:rsidR="00425045" w:rsidRPr="00CF1D3C" w:rsidRDefault="00425045" w:rsidP="00425045">
      <w:pPr>
        <w:spacing w:line="360" w:lineRule="auto"/>
        <w:contextualSpacing/>
        <w:jc w:val="both"/>
        <w:rPr>
          <w:rFonts w:ascii="Palatino Linotype" w:hAnsi="Palatino Linotype"/>
        </w:rPr>
      </w:pPr>
      <w:r w:rsidRPr="00CF1D3C">
        <w:rPr>
          <w:rFonts w:ascii="Palatino Linotype" w:hAnsi="Palatino Linotype"/>
          <w:noProof/>
          <w:lang w:val="es-MX" w:eastAsia="es-MX"/>
        </w:rPr>
        <w:lastRenderedPageBreak/>
        <w:drawing>
          <wp:inline distT="0" distB="0" distL="0" distR="0">
            <wp:extent cx="5612765" cy="1585595"/>
            <wp:effectExtent l="19050" t="19050" r="26035" b="146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765" cy="1585595"/>
                    </a:xfrm>
                    <a:prstGeom prst="rect">
                      <a:avLst/>
                    </a:prstGeom>
                    <a:noFill/>
                    <a:ln>
                      <a:solidFill>
                        <a:schemeClr val="tx1"/>
                      </a:solidFill>
                    </a:ln>
                  </pic:spPr>
                </pic:pic>
              </a:graphicData>
            </a:graphic>
          </wp:inline>
        </w:drawing>
      </w:r>
    </w:p>
    <w:p w:rsidR="00425045" w:rsidRPr="00CF1D3C" w:rsidRDefault="00425045" w:rsidP="00425045">
      <w:pPr>
        <w:spacing w:line="360" w:lineRule="auto"/>
        <w:contextualSpacing/>
        <w:jc w:val="both"/>
        <w:rPr>
          <w:rFonts w:ascii="Palatino Linotype" w:hAnsi="Palatino Linotype"/>
        </w:rPr>
      </w:pPr>
    </w:p>
    <w:p w:rsidR="00B52D2A" w:rsidRPr="00CF1D3C" w:rsidRDefault="00B52D2A" w:rsidP="00B52D2A">
      <w:pPr>
        <w:numPr>
          <w:ilvl w:val="0"/>
          <w:numId w:val="1"/>
        </w:numPr>
        <w:spacing w:line="360" w:lineRule="auto"/>
        <w:ind w:left="0" w:firstLine="0"/>
        <w:contextualSpacing/>
        <w:jc w:val="both"/>
        <w:rPr>
          <w:rFonts w:ascii="Palatino Linotype" w:eastAsia="MS Mincho" w:hAnsi="Palatino Linotype" w:cs="Arial"/>
        </w:rPr>
      </w:pPr>
      <w:r w:rsidRPr="00CF1D3C">
        <w:rPr>
          <w:rFonts w:ascii="Palatino Linotype" w:hAnsi="Palatino Linotype"/>
        </w:rPr>
        <w:t>Luego entonces, se advierte que uno de los cambios de modalidad procedente</w:t>
      </w:r>
      <w:r w:rsidR="008C2237" w:rsidRPr="00CF1D3C">
        <w:rPr>
          <w:rFonts w:ascii="Palatino Linotype" w:hAnsi="Palatino Linotype"/>
        </w:rPr>
        <w:t xml:space="preserve"> pudo ser</w:t>
      </w:r>
      <w:r w:rsidRPr="00CF1D3C">
        <w:rPr>
          <w:rFonts w:ascii="Palatino Linotype" w:hAnsi="Palatino Linotype"/>
        </w:rPr>
        <w:t xml:space="preserve"> el cambio de modalidad a consulta directa, para la cual debe fundarse y motivarse</w:t>
      </w:r>
      <w:r w:rsidRPr="00CF1D3C">
        <w:rPr>
          <w:rFonts w:ascii="Palatino Linotype" w:eastAsia="MS Mincho" w:hAnsi="Palatino Linotype" w:cs="Times New Roman"/>
        </w:rPr>
        <w:t xml:space="preserve"> con la intención legítima de no lesionar el derecho humano, </w:t>
      </w:r>
      <w:r w:rsidR="004E5AF0" w:rsidRPr="00CF1D3C">
        <w:rPr>
          <w:rFonts w:ascii="Palatino Linotype" w:eastAsia="MS Mincho" w:hAnsi="Palatino Linotype" w:cs="Times New Roman"/>
        </w:rPr>
        <w:t>ello</w:t>
      </w:r>
      <w:r w:rsidRPr="00CF1D3C">
        <w:rPr>
          <w:rFonts w:ascii="Palatino Linotype" w:eastAsia="MS Mincho" w:hAnsi="Palatino Linotype" w:cs="Times New Roman"/>
        </w:rPr>
        <w:t xml:space="preserve"> con fundamento en </w:t>
      </w:r>
      <w:r w:rsidRPr="00CF1D3C">
        <w:rPr>
          <w:rFonts w:ascii="Palatino Linotype" w:eastAsia="MS Mincho" w:hAnsi="Palatino Linotype" w:cs="Arial"/>
        </w:rPr>
        <w:t xml:space="preserve">el artículo 158 y 164 de la Ley de Transparencia y Acceso a la Información Pública del Estado de México y Municipios, que establecen que </w:t>
      </w:r>
      <w:r w:rsidRPr="00CF1D3C">
        <w:rPr>
          <w:rFonts w:ascii="Palatino Linotype" w:eastAsia="MS Mincho" w:hAnsi="Palatino Linotype" w:cs="Arial"/>
          <w:b/>
        </w:rPr>
        <w:t xml:space="preserve">excepcionalmente, de forma fundada y motivada, </w:t>
      </w:r>
      <w:r w:rsidRPr="00CF1D3C">
        <w:rPr>
          <w:rFonts w:ascii="Palatino Linotype" w:eastAsia="MS Mincho" w:hAnsi="Palatino Linotype" w:cs="Arial"/>
        </w:rPr>
        <w:t xml:space="preserve">en el caso de que la información solicitada implique </w:t>
      </w:r>
      <w:r w:rsidRPr="00CF1D3C">
        <w:rPr>
          <w:rFonts w:ascii="Palatino Linotype" w:eastAsia="MS Mincho" w:hAnsi="Palatino Linotype" w:cs="Arial"/>
          <w:b/>
        </w:rPr>
        <w:t xml:space="preserve">análisis, estudio o procesamiento de documentos, </w:t>
      </w:r>
      <w:r w:rsidRPr="00CF1D3C">
        <w:rPr>
          <w:rFonts w:ascii="Palatino Linotype" w:eastAsia="MS Mincho" w:hAnsi="Palatino Linotype" w:cs="Arial"/>
        </w:rPr>
        <w:t xml:space="preserve">cuya entrega o reproducción </w:t>
      </w:r>
      <w:r w:rsidRPr="00CF1D3C">
        <w:rPr>
          <w:rFonts w:ascii="Palatino Linotype" w:eastAsia="MS Mincho" w:hAnsi="Palatino Linotype" w:cs="Arial"/>
          <w:b/>
        </w:rPr>
        <w:t xml:space="preserve">sobrepase las capacidades técnicas, administrativas y humanas del sujeto obligado, </w:t>
      </w:r>
      <w:r w:rsidRPr="00CF1D3C">
        <w:rPr>
          <w:rFonts w:ascii="Palatino Linotype" w:eastAsia="MS Mincho" w:hAnsi="Palatino Linotype" w:cs="Arial"/>
        </w:rPr>
        <w:t xml:space="preserve">se podrá poner a disposición del solicitante los documentos en consulta directa. </w:t>
      </w:r>
    </w:p>
    <w:p w:rsidR="00B52D2A" w:rsidRPr="00CF1D3C" w:rsidRDefault="00B52D2A" w:rsidP="00B52D2A">
      <w:pPr>
        <w:pStyle w:val="Prrafodelista"/>
        <w:rPr>
          <w:rFonts w:ascii="Palatino Linotype" w:eastAsia="MS Mincho" w:hAnsi="Palatino Linotype" w:cs="Arial"/>
        </w:rPr>
      </w:pPr>
    </w:p>
    <w:p w:rsidR="00B52D2A" w:rsidRPr="00CF1D3C" w:rsidRDefault="00B52D2A" w:rsidP="00B52D2A">
      <w:pPr>
        <w:numPr>
          <w:ilvl w:val="0"/>
          <w:numId w:val="1"/>
        </w:numPr>
        <w:spacing w:line="360" w:lineRule="auto"/>
        <w:ind w:left="0" w:firstLine="0"/>
        <w:contextualSpacing/>
        <w:jc w:val="both"/>
        <w:rPr>
          <w:rFonts w:ascii="Palatino Linotype" w:eastAsia="MS Mincho" w:hAnsi="Palatino Linotype" w:cs="Arial"/>
        </w:rPr>
      </w:pPr>
      <w:r w:rsidRPr="00CF1D3C">
        <w:rPr>
          <w:rFonts w:ascii="Palatino Linotype" w:eastAsia="MS Mincho" w:hAnsi="Palatino Linotype" w:cs="Arial"/>
        </w:rPr>
        <w:t xml:space="preserve"> Es </w:t>
      </w:r>
      <w:r w:rsidRPr="00CF1D3C">
        <w:rPr>
          <w:rFonts w:ascii="Palatino Linotype" w:eastAsia="MS Mincho" w:hAnsi="Palatino Linotype" w:cs="Times New Roman"/>
        </w:rPr>
        <w:t>d</w:t>
      </w:r>
      <w:r w:rsidRPr="00CF1D3C">
        <w:rPr>
          <w:rFonts w:ascii="Palatino Linotype" w:eastAsia="MS Mincho" w:hAnsi="Palatino Linotype" w:cs="Arial"/>
        </w:rPr>
        <w:t xml:space="preserve">ecir, del artículo anterior se derivan tres hipótesis que en conjunto y de manera fundada y motivada, validan el cambio de modalidad de entrega de la información y las cuales son: que las documentales a proporcionar </w:t>
      </w:r>
      <w:r w:rsidRPr="00CF1D3C">
        <w:rPr>
          <w:rFonts w:ascii="Palatino Linotype" w:eastAsia="MS Mincho" w:hAnsi="Palatino Linotype" w:cs="Arial"/>
          <w:b/>
        </w:rPr>
        <w:t xml:space="preserve">sobrepasen las capacidades técnicas, administrativas y humanas del </w:t>
      </w:r>
      <w:r w:rsidR="004E5AF0" w:rsidRPr="00CF1D3C">
        <w:rPr>
          <w:rFonts w:ascii="Palatino Linotype" w:eastAsia="MS Mincho" w:hAnsi="Palatino Linotype" w:cs="Arial"/>
          <w:b/>
        </w:rPr>
        <w:t>sujeto obligado</w:t>
      </w:r>
      <w:r w:rsidR="004E5AF0" w:rsidRPr="00CF1D3C">
        <w:rPr>
          <w:rFonts w:ascii="Palatino Linotype" w:eastAsia="MS Mincho" w:hAnsi="Palatino Linotype" w:cs="Arial"/>
        </w:rPr>
        <w:t>, conforme a lo siguiente.</w:t>
      </w:r>
    </w:p>
    <w:p w:rsidR="00B52D2A" w:rsidRPr="00CF1D3C" w:rsidRDefault="00B52D2A" w:rsidP="00B52D2A">
      <w:pPr>
        <w:pStyle w:val="Ttulo1"/>
        <w:numPr>
          <w:ilvl w:val="0"/>
          <w:numId w:val="15"/>
        </w:numPr>
        <w:spacing w:line="259" w:lineRule="auto"/>
        <w:rPr>
          <w:rFonts w:ascii="Palatino Linotype" w:eastAsia="MS Mincho" w:hAnsi="Palatino Linotype"/>
          <w:b/>
          <w:color w:val="000000" w:themeColor="text1"/>
          <w:sz w:val="24"/>
          <w:szCs w:val="24"/>
        </w:rPr>
      </w:pPr>
      <w:bookmarkStart w:id="18" w:name="_Toc67312758"/>
      <w:bookmarkStart w:id="19" w:name="_Toc71674115"/>
      <w:bookmarkStart w:id="20" w:name="_Toc83128584"/>
      <w:r w:rsidRPr="00CF1D3C">
        <w:rPr>
          <w:rFonts w:ascii="Palatino Linotype" w:eastAsia="MS Mincho" w:hAnsi="Palatino Linotype"/>
          <w:b/>
          <w:color w:val="000000" w:themeColor="text1"/>
          <w:sz w:val="24"/>
          <w:szCs w:val="24"/>
        </w:rPr>
        <w:lastRenderedPageBreak/>
        <w:t>Temporalidad de las solicitudes de información.</w:t>
      </w:r>
      <w:bookmarkEnd w:id="18"/>
      <w:bookmarkEnd w:id="19"/>
      <w:bookmarkEnd w:id="20"/>
    </w:p>
    <w:p w:rsidR="00B52D2A" w:rsidRPr="00CF1D3C" w:rsidRDefault="00B52D2A" w:rsidP="00B52D2A">
      <w:pPr>
        <w:rPr>
          <w:lang w:val="es-MX" w:eastAsia="en-US"/>
        </w:rPr>
      </w:pPr>
    </w:p>
    <w:p w:rsidR="00B52D2A" w:rsidRPr="00CF1D3C" w:rsidRDefault="004E5AF0" w:rsidP="00B52D2A">
      <w:pPr>
        <w:numPr>
          <w:ilvl w:val="0"/>
          <w:numId w:val="1"/>
        </w:numPr>
        <w:spacing w:line="360" w:lineRule="auto"/>
        <w:ind w:left="0" w:firstLine="0"/>
        <w:contextualSpacing/>
        <w:jc w:val="both"/>
        <w:rPr>
          <w:rFonts w:ascii="Palatino Linotype" w:eastAsia="MS Mincho" w:hAnsi="Palatino Linotype" w:cs="Arial"/>
          <w:b/>
          <w:i/>
        </w:rPr>
      </w:pPr>
      <w:r w:rsidRPr="00CF1D3C">
        <w:rPr>
          <w:rFonts w:ascii="Palatino Linotype" w:eastAsia="MS Mincho" w:hAnsi="Palatino Linotype" w:cs="Arial"/>
        </w:rPr>
        <w:t>Se debe generar el</w:t>
      </w:r>
      <w:r w:rsidR="00B52D2A" w:rsidRPr="00CF1D3C">
        <w:rPr>
          <w:rFonts w:ascii="Palatino Linotype" w:eastAsia="MS Mincho" w:hAnsi="Palatino Linotype" w:cs="Arial"/>
        </w:rPr>
        <w:t xml:space="preserve"> Acuerdo que los sujetos obligados remitan para realizar el cambio de modalidad a </w:t>
      </w:r>
      <w:r w:rsidR="00B52D2A" w:rsidRPr="00CF1D3C">
        <w:rPr>
          <w:rFonts w:ascii="Palatino Linotype" w:eastAsia="MS Mincho" w:hAnsi="Palatino Linotype" w:cs="Arial"/>
          <w:b/>
          <w:i/>
        </w:rPr>
        <w:t>In situ</w:t>
      </w:r>
      <w:r w:rsidR="00B52D2A" w:rsidRPr="00CF1D3C">
        <w:rPr>
          <w:rFonts w:ascii="Palatino Linotype" w:eastAsia="MS Mincho" w:hAnsi="Palatino Linotype" w:cs="Arial"/>
        </w:rPr>
        <w:t>, por parte del Comité de Transparencia en el cual se debe identificar en que lapso temporal se interpusieron determinado número de solicitudes y recursos de revisión; es decir “de tal día a tal día” se estará identificado el intervalo de número de solicitudes de información e interposición de recursos de revisión, que probablemente les estén siendo remitidos o bien que el contenido de la solicitud de información ingresada es excesiva y que deben sustanciar en un mismo lapso de tiempo que la ley les obliga, de modo tal que determinando el número de asuntos que tiene que atender el sujeto obligado es visiblemente excesivo, y está soportando como se están sobrepasando sus  capacidades técnicas, administrativas y humanas.</w:t>
      </w:r>
    </w:p>
    <w:p w:rsidR="00B52D2A" w:rsidRPr="00CF1D3C" w:rsidRDefault="00B52D2A" w:rsidP="00B52D2A">
      <w:pPr>
        <w:spacing w:line="360" w:lineRule="auto"/>
        <w:contextualSpacing/>
        <w:jc w:val="both"/>
        <w:rPr>
          <w:rFonts w:ascii="Palatino Linotype" w:eastAsia="MS Mincho" w:hAnsi="Palatino Linotype" w:cs="Arial"/>
          <w:b/>
          <w:i/>
        </w:rPr>
      </w:pPr>
    </w:p>
    <w:p w:rsidR="00B52D2A" w:rsidRPr="00CF1D3C" w:rsidRDefault="00B52D2A" w:rsidP="00B52D2A">
      <w:pPr>
        <w:pStyle w:val="Ttulo1"/>
        <w:numPr>
          <w:ilvl w:val="0"/>
          <w:numId w:val="15"/>
        </w:numPr>
        <w:spacing w:line="259" w:lineRule="auto"/>
        <w:rPr>
          <w:rFonts w:ascii="Palatino Linotype" w:eastAsia="MS Mincho" w:hAnsi="Palatino Linotype"/>
          <w:b/>
          <w:color w:val="000000" w:themeColor="text1"/>
          <w:sz w:val="24"/>
          <w:szCs w:val="24"/>
        </w:rPr>
      </w:pPr>
      <w:bookmarkStart w:id="21" w:name="_Toc67312759"/>
      <w:bookmarkStart w:id="22" w:name="_Toc71674116"/>
      <w:bookmarkStart w:id="23" w:name="_Toc83128585"/>
      <w:r w:rsidRPr="00CF1D3C">
        <w:rPr>
          <w:rFonts w:ascii="Palatino Linotype" w:eastAsia="MS Mincho" w:hAnsi="Palatino Linotype"/>
          <w:b/>
          <w:color w:val="000000" w:themeColor="text1"/>
          <w:sz w:val="24"/>
          <w:szCs w:val="24"/>
        </w:rPr>
        <w:t>Del solicitante.</w:t>
      </w:r>
      <w:bookmarkEnd w:id="21"/>
      <w:bookmarkEnd w:id="22"/>
      <w:bookmarkEnd w:id="23"/>
    </w:p>
    <w:p w:rsidR="00B52D2A" w:rsidRPr="00CF1D3C" w:rsidRDefault="00B52D2A" w:rsidP="00B52D2A">
      <w:pPr>
        <w:rPr>
          <w:lang w:val="es-MX" w:eastAsia="en-US"/>
        </w:rPr>
      </w:pPr>
    </w:p>
    <w:p w:rsidR="00B52D2A" w:rsidRPr="00CF1D3C" w:rsidRDefault="00B52D2A" w:rsidP="00B52D2A">
      <w:pPr>
        <w:numPr>
          <w:ilvl w:val="0"/>
          <w:numId w:val="1"/>
        </w:numPr>
        <w:spacing w:line="360" w:lineRule="auto"/>
        <w:ind w:left="0" w:firstLine="0"/>
        <w:contextualSpacing/>
        <w:jc w:val="both"/>
        <w:rPr>
          <w:rFonts w:ascii="Palatino Linotype" w:eastAsia="MS Mincho" w:hAnsi="Palatino Linotype" w:cs="Arial"/>
          <w:i/>
        </w:rPr>
      </w:pPr>
      <w:r w:rsidRPr="00CF1D3C">
        <w:rPr>
          <w:rFonts w:ascii="Palatino Linotype" w:eastAsia="MS Mincho" w:hAnsi="Palatino Linotype" w:cs="Arial"/>
        </w:rPr>
        <w:t>Por otro lado, se debe identificar que el solicitante o quejoso según sea el caso, sea el mismo que ha ingresado el mismo cumulo de solicitudes de información y recursos de revisión; o bien que la información que ha requerido en una sola solicitud de información es excesiva.</w:t>
      </w:r>
    </w:p>
    <w:p w:rsidR="00B52D2A" w:rsidRPr="00CF1D3C" w:rsidRDefault="00B52D2A" w:rsidP="00B52D2A">
      <w:pPr>
        <w:spacing w:line="360" w:lineRule="auto"/>
        <w:contextualSpacing/>
        <w:jc w:val="both"/>
        <w:rPr>
          <w:rFonts w:ascii="Palatino Linotype" w:eastAsia="MS Mincho" w:hAnsi="Palatino Linotype" w:cs="Arial"/>
        </w:rPr>
      </w:pPr>
    </w:p>
    <w:p w:rsidR="00B52D2A" w:rsidRPr="00CF1D3C" w:rsidRDefault="00B52D2A" w:rsidP="00B52D2A">
      <w:pPr>
        <w:numPr>
          <w:ilvl w:val="0"/>
          <w:numId w:val="1"/>
        </w:numPr>
        <w:spacing w:line="360" w:lineRule="auto"/>
        <w:ind w:left="0" w:firstLine="0"/>
        <w:contextualSpacing/>
        <w:jc w:val="both"/>
        <w:rPr>
          <w:rFonts w:ascii="Palatino Linotype" w:eastAsia="MS Mincho" w:hAnsi="Palatino Linotype" w:cs="Arial"/>
        </w:rPr>
      </w:pPr>
      <w:r w:rsidRPr="00CF1D3C">
        <w:rPr>
          <w:rFonts w:ascii="Palatino Linotype" w:eastAsia="MS Mincho" w:hAnsi="Palatino Linotype" w:cs="Arial"/>
        </w:rPr>
        <w:t xml:space="preserve">Lo anterior, para poder arribar a la conclusión de que a todas luces resulta insuficiente el recurso humano con el que cuenta el </w:t>
      </w:r>
      <w:r w:rsidRPr="00CF1D3C">
        <w:rPr>
          <w:rFonts w:ascii="Palatino Linotype" w:eastAsia="MS Mincho" w:hAnsi="Palatino Linotype" w:cs="Arial"/>
          <w:b/>
        </w:rPr>
        <w:t xml:space="preserve">SUJETO OBLIGADO </w:t>
      </w:r>
      <w:r w:rsidRPr="00CF1D3C">
        <w:rPr>
          <w:rFonts w:ascii="Palatino Linotype" w:eastAsia="MS Mincho" w:hAnsi="Palatino Linotype" w:cs="Arial"/>
        </w:rPr>
        <w:t xml:space="preserve">para </w:t>
      </w:r>
      <w:r w:rsidRPr="00CF1D3C">
        <w:rPr>
          <w:rFonts w:ascii="Palatino Linotype" w:eastAsia="MS Mincho" w:hAnsi="Palatino Linotype" w:cs="Arial"/>
        </w:rPr>
        <w:lastRenderedPageBreak/>
        <w:t>atender la cantidad de solicitudes cumpliendo con los plazos establecidos para tal efecto, más aun cuando guardan identidad de parte; es decir, fueron interpuestas por un mismo solicitante, resultando inviable atender únicamente lo solicitado por un ciudadano, excluyendo las demás actividades encomendadas a los servidores públicos de</w:t>
      </w:r>
      <w:r w:rsidR="004E5AF0" w:rsidRPr="00CF1D3C">
        <w:rPr>
          <w:rFonts w:ascii="Palatino Linotype" w:eastAsia="MS Mincho" w:hAnsi="Palatino Linotype" w:cs="Arial"/>
        </w:rPr>
        <w:t xml:space="preserve"> </w:t>
      </w:r>
      <w:r w:rsidRPr="00CF1D3C">
        <w:rPr>
          <w:rFonts w:ascii="Palatino Linotype" w:eastAsia="MS Mincho" w:hAnsi="Palatino Linotype" w:cs="Arial"/>
        </w:rPr>
        <w:t>l</w:t>
      </w:r>
      <w:r w:rsidR="004E5AF0" w:rsidRPr="00CF1D3C">
        <w:rPr>
          <w:rFonts w:ascii="Palatino Linotype" w:eastAsia="MS Mincho" w:hAnsi="Palatino Linotype" w:cs="Arial"/>
        </w:rPr>
        <w:t>a</w:t>
      </w:r>
      <w:r w:rsidRPr="00CF1D3C">
        <w:rPr>
          <w:rFonts w:ascii="Palatino Linotype" w:eastAsia="MS Mincho" w:hAnsi="Palatino Linotype" w:cs="Arial"/>
        </w:rPr>
        <w:t xml:space="preserve"> </w:t>
      </w:r>
      <w:r w:rsidR="004E5AF0" w:rsidRPr="00CF1D3C">
        <w:rPr>
          <w:rFonts w:ascii="Palatino Linotype" w:hAnsi="Palatino Linotype"/>
          <w:b/>
          <w:bCs/>
          <w:color w:val="000000"/>
        </w:rPr>
        <w:t>Secretaria de Movilidad</w:t>
      </w:r>
      <w:r w:rsidRPr="00CF1D3C">
        <w:rPr>
          <w:rFonts w:ascii="Palatino Linotype" w:eastAsia="MS Mincho" w:hAnsi="Palatino Linotype" w:cs="Arial"/>
        </w:rPr>
        <w:t>, en pro de la sociedad en general.</w:t>
      </w:r>
    </w:p>
    <w:p w:rsidR="00B52D2A" w:rsidRPr="00CF1D3C" w:rsidRDefault="00B52D2A" w:rsidP="00B52D2A">
      <w:pPr>
        <w:pStyle w:val="Prrafodelista"/>
        <w:rPr>
          <w:rFonts w:ascii="Palatino Linotype" w:eastAsia="MS Mincho" w:hAnsi="Palatino Linotype" w:cs="Arial"/>
        </w:rPr>
      </w:pPr>
    </w:p>
    <w:p w:rsidR="00B52D2A" w:rsidRPr="00CF1D3C" w:rsidRDefault="00B52D2A" w:rsidP="00B52D2A">
      <w:pPr>
        <w:pStyle w:val="Ttulo1"/>
        <w:numPr>
          <w:ilvl w:val="0"/>
          <w:numId w:val="15"/>
        </w:numPr>
        <w:spacing w:line="259" w:lineRule="auto"/>
        <w:rPr>
          <w:rFonts w:ascii="Palatino Linotype" w:eastAsia="MS Mincho" w:hAnsi="Palatino Linotype"/>
          <w:b/>
          <w:color w:val="000000" w:themeColor="text1"/>
          <w:sz w:val="24"/>
          <w:szCs w:val="24"/>
        </w:rPr>
      </w:pPr>
      <w:bookmarkStart w:id="24" w:name="_Toc67312760"/>
      <w:bookmarkStart w:id="25" w:name="_Toc71674117"/>
      <w:bookmarkStart w:id="26" w:name="_Toc83128586"/>
      <w:r w:rsidRPr="00CF1D3C">
        <w:rPr>
          <w:rFonts w:ascii="Palatino Linotype" w:eastAsia="MS Mincho" w:hAnsi="Palatino Linotype"/>
          <w:b/>
          <w:color w:val="000000" w:themeColor="text1"/>
          <w:sz w:val="24"/>
          <w:szCs w:val="24"/>
        </w:rPr>
        <w:t>El tiempo estimado de atención.</w:t>
      </w:r>
      <w:bookmarkEnd w:id="24"/>
      <w:bookmarkEnd w:id="25"/>
      <w:bookmarkEnd w:id="26"/>
    </w:p>
    <w:p w:rsidR="00B52D2A" w:rsidRPr="00CF1D3C" w:rsidRDefault="00B52D2A" w:rsidP="00B52D2A">
      <w:pPr>
        <w:rPr>
          <w:lang w:val="es-MX" w:eastAsia="en-US"/>
        </w:rPr>
      </w:pPr>
    </w:p>
    <w:p w:rsidR="00B52D2A" w:rsidRPr="00CF1D3C" w:rsidRDefault="00B52D2A" w:rsidP="00B52D2A">
      <w:pPr>
        <w:numPr>
          <w:ilvl w:val="0"/>
          <w:numId w:val="1"/>
        </w:numPr>
        <w:spacing w:line="360" w:lineRule="auto"/>
        <w:ind w:left="0" w:firstLine="0"/>
        <w:contextualSpacing/>
        <w:jc w:val="both"/>
        <w:rPr>
          <w:rFonts w:ascii="Palatino Linotype" w:eastAsia="MS Mincho" w:hAnsi="Palatino Linotype" w:cs="Arial"/>
        </w:rPr>
      </w:pPr>
      <w:r w:rsidRPr="00CF1D3C">
        <w:rPr>
          <w:rFonts w:ascii="Palatino Linotype" w:eastAsia="MS Mincho" w:hAnsi="Palatino Linotype" w:cs="Arial"/>
        </w:rPr>
        <w:t xml:space="preserve">El </w:t>
      </w:r>
      <w:r w:rsidRPr="00CF1D3C">
        <w:rPr>
          <w:rFonts w:ascii="Palatino Linotype" w:eastAsia="MS Mincho" w:hAnsi="Palatino Linotype" w:cs="Arial"/>
          <w:b/>
        </w:rPr>
        <w:t>SUJETO OBLIGADO</w:t>
      </w:r>
      <w:r w:rsidRPr="00CF1D3C">
        <w:rPr>
          <w:rFonts w:ascii="Palatino Linotype" w:eastAsia="MS Mincho" w:hAnsi="Palatino Linotype" w:cs="Arial"/>
        </w:rPr>
        <w:t>, debe demostrar la temporalidad y fechas en que se turnaron las solicitudes de información a los servidores públicos habilitados competentes de dar atención a las solicitudes de información.</w:t>
      </w:r>
    </w:p>
    <w:p w:rsidR="00B52D2A" w:rsidRPr="00CF1D3C" w:rsidRDefault="00B52D2A" w:rsidP="00B52D2A">
      <w:pPr>
        <w:pStyle w:val="Prrafodelista"/>
        <w:rPr>
          <w:rFonts w:ascii="Palatino Linotype" w:eastAsia="MS Mincho" w:hAnsi="Palatino Linotype" w:cs="Arial"/>
        </w:rPr>
      </w:pPr>
    </w:p>
    <w:p w:rsidR="00B52D2A" w:rsidRPr="00CF1D3C" w:rsidRDefault="00B52D2A" w:rsidP="00B52D2A">
      <w:pPr>
        <w:numPr>
          <w:ilvl w:val="0"/>
          <w:numId w:val="1"/>
        </w:numPr>
        <w:spacing w:line="360" w:lineRule="auto"/>
        <w:ind w:left="0" w:firstLine="0"/>
        <w:contextualSpacing/>
        <w:jc w:val="both"/>
        <w:rPr>
          <w:rFonts w:ascii="Palatino Linotype" w:eastAsia="MS Mincho" w:hAnsi="Palatino Linotype" w:cs="Arial"/>
        </w:rPr>
      </w:pPr>
      <w:r w:rsidRPr="00CF1D3C">
        <w:rPr>
          <w:rFonts w:ascii="Palatino Linotype" w:eastAsia="MS Mincho" w:hAnsi="Palatino Linotype" w:cs="Arial"/>
        </w:rPr>
        <w:t>Lo anterior</w:t>
      </w:r>
      <w:r w:rsidRPr="00CF1D3C">
        <w:rPr>
          <w:rFonts w:ascii="Palatino Linotype" w:hAnsi="Palatino Linotype" w:cs="Arial"/>
        </w:rPr>
        <w:t xml:space="preserve">, para acreditar que se cumple a cabalidad con el </w:t>
      </w:r>
      <w:r w:rsidRPr="00CF1D3C">
        <w:rPr>
          <w:rFonts w:ascii="Palatino Linotype" w:eastAsia="MS Mincho" w:hAnsi="Palatino Linotype" w:cs="Arial"/>
        </w:rPr>
        <w:t xml:space="preserve">procedimiento de acceso a la información pública, descrito en el Título Séptimo de la Ley de Transparencia Local, que describe los pasos que debe seguir la autoridad para atender las solicitudes que presenten las personas en ejercicio de su derecho, entre los cuales se encuentra el deber de las unidades de transparencia de turnar </w:t>
      </w:r>
      <w:r w:rsidRPr="00CF1D3C">
        <w:rPr>
          <w:rFonts w:ascii="Palatino Linotype" w:eastAsia="MS Mincho" w:hAnsi="Palatino Linotype" w:cs="Arial"/>
          <w:i/>
        </w:rPr>
        <w:t xml:space="preserve">a todas las áreas competentes que cuenten con la información o deban tenerla de acuerdo a sus facultades, competencias y funciones, </w:t>
      </w:r>
      <w:r w:rsidRPr="00CF1D3C">
        <w:rPr>
          <w:rFonts w:ascii="Palatino Linotype" w:eastAsia="MS Mincho" w:hAnsi="Palatino Linotype" w:cs="Arial"/>
          <w:b/>
          <w:i/>
          <w:u w:val="single"/>
        </w:rPr>
        <w:t>con el objeto de que realicen una búsqueda exhaustiva y razonable de la información solicitada</w:t>
      </w:r>
      <w:r w:rsidRPr="00CF1D3C">
        <w:rPr>
          <w:rFonts w:ascii="Palatino Linotype" w:eastAsia="MS Mincho" w:hAnsi="Palatino Linotype" w:cs="Arial"/>
          <w:i/>
        </w:rPr>
        <w:t>,</w:t>
      </w:r>
      <w:r w:rsidRPr="00CF1D3C">
        <w:rPr>
          <w:rFonts w:ascii="Palatino Linotype" w:eastAsia="MS Mincho" w:hAnsi="Palatino Linotype" w:cs="Arial"/>
        </w:rPr>
        <w:t xml:space="preserve"> según se asienta en el artículo 162 de la ley citada. </w:t>
      </w:r>
    </w:p>
    <w:p w:rsidR="004E5AF0" w:rsidRPr="00CF1D3C" w:rsidRDefault="004E5AF0" w:rsidP="004E5AF0">
      <w:pPr>
        <w:pStyle w:val="Prrafodelista"/>
        <w:rPr>
          <w:rFonts w:ascii="Palatino Linotype" w:eastAsia="MS Mincho" w:hAnsi="Palatino Linotype" w:cs="Arial"/>
        </w:rPr>
      </w:pPr>
    </w:p>
    <w:p w:rsidR="004E5AF0" w:rsidRPr="00CF1D3C" w:rsidRDefault="004E5AF0" w:rsidP="004E5AF0">
      <w:pPr>
        <w:pStyle w:val="Ttulo1"/>
        <w:numPr>
          <w:ilvl w:val="0"/>
          <w:numId w:val="15"/>
        </w:numPr>
        <w:spacing w:line="259" w:lineRule="auto"/>
        <w:rPr>
          <w:rFonts w:ascii="Palatino Linotype" w:eastAsia="MS Mincho" w:hAnsi="Palatino Linotype"/>
          <w:b/>
          <w:color w:val="000000" w:themeColor="text1"/>
          <w:sz w:val="24"/>
          <w:szCs w:val="24"/>
        </w:rPr>
      </w:pPr>
      <w:bookmarkStart w:id="27" w:name="_Toc71674118"/>
      <w:bookmarkStart w:id="28" w:name="_Toc83128587"/>
      <w:r w:rsidRPr="00CF1D3C">
        <w:rPr>
          <w:rFonts w:ascii="Palatino Linotype" w:eastAsia="MS Mincho" w:hAnsi="Palatino Linotype"/>
          <w:b/>
          <w:color w:val="000000" w:themeColor="text1"/>
          <w:sz w:val="24"/>
          <w:szCs w:val="24"/>
        </w:rPr>
        <w:lastRenderedPageBreak/>
        <w:t>Del reporte de incidencias</w:t>
      </w:r>
      <w:bookmarkEnd w:id="27"/>
      <w:bookmarkEnd w:id="28"/>
    </w:p>
    <w:p w:rsidR="004E5AF0" w:rsidRPr="00CF1D3C" w:rsidRDefault="004E5AF0" w:rsidP="004E5AF0">
      <w:pPr>
        <w:pStyle w:val="Prrafodelista"/>
        <w:rPr>
          <w:rFonts w:ascii="Palatino Linotype" w:eastAsia="MS Mincho" w:hAnsi="Palatino Linotype" w:cs="Arial"/>
        </w:rPr>
      </w:pPr>
    </w:p>
    <w:p w:rsidR="004E5AF0" w:rsidRPr="00CF1D3C" w:rsidRDefault="004E5AF0" w:rsidP="004E5AF0">
      <w:pPr>
        <w:numPr>
          <w:ilvl w:val="0"/>
          <w:numId w:val="1"/>
        </w:numPr>
        <w:spacing w:line="360" w:lineRule="auto"/>
        <w:ind w:left="0" w:firstLine="0"/>
        <w:contextualSpacing/>
        <w:jc w:val="both"/>
        <w:rPr>
          <w:rFonts w:ascii="Palatino Linotype" w:eastAsia="MS Mincho" w:hAnsi="Palatino Linotype" w:cs="Times New Roman"/>
          <w:i/>
        </w:rPr>
      </w:pPr>
      <w:r w:rsidRPr="00CF1D3C">
        <w:rPr>
          <w:rFonts w:ascii="Palatino Linotype" w:eastAsia="MS Mincho" w:hAnsi="Palatino Linotype" w:cs="Arial"/>
        </w:rPr>
        <w:t xml:space="preserve">Por otro lado, es necesario subrayar, que no basta con que el </w:t>
      </w:r>
      <w:r w:rsidRPr="00CF1D3C">
        <w:rPr>
          <w:rFonts w:ascii="Palatino Linotype" w:eastAsia="MS Mincho" w:hAnsi="Palatino Linotype" w:cs="Arial"/>
          <w:b/>
        </w:rPr>
        <w:t>SUJETO OBLIGADO</w:t>
      </w:r>
      <w:r w:rsidRPr="00CF1D3C">
        <w:rPr>
          <w:rFonts w:ascii="Palatino Linotype" w:eastAsia="MS Mincho" w:hAnsi="Palatino Linotype" w:cs="Arial"/>
        </w:rPr>
        <w:t xml:space="preserve"> alegue que debido al volumen de la información no puede entregarla</w:t>
      </w:r>
      <w:r w:rsidRPr="00CF1D3C">
        <w:rPr>
          <w:rFonts w:ascii="Palatino Linotype" w:eastAsia="MS Mincho" w:hAnsi="Palatino Linotype" w:cs="Arial"/>
          <w:u w:val="single"/>
        </w:rPr>
        <w:t xml:space="preserve"> </w:t>
      </w:r>
      <w:r w:rsidRPr="00CF1D3C">
        <w:rPr>
          <w:rFonts w:ascii="Palatino Linotype" w:eastAsia="MS Mincho" w:hAnsi="Palatino Linotype" w:cs="Arial"/>
        </w:rPr>
        <w:t>vía electrónica, se requiere también generar previo a la respuesta un reporte de incidencias ante la Dirección de Informática de éste Instituto</w:t>
      </w:r>
      <w:r w:rsidR="008C2237" w:rsidRPr="00CF1D3C">
        <w:rPr>
          <w:rFonts w:ascii="Palatino Linotype" w:eastAsia="MS Mincho" w:hAnsi="Palatino Linotype" w:cs="Arial"/>
        </w:rPr>
        <w:t xml:space="preserve"> a efecto de que quede el registro de incidencia</w:t>
      </w:r>
      <w:r w:rsidRPr="00CF1D3C">
        <w:rPr>
          <w:rFonts w:ascii="Palatino Linotype" w:eastAsia="MS Mincho" w:hAnsi="Palatino Linotype" w:cs="Arial"/>
        </w:rPr>
        <w:t>.</w:t>
      </w:r>
    </w:p>
    <w:p w:rsidR="004E5AF0" w:rsidRPr="00CF1D3C" w:rsidRDefault="004E5AF0" w:rsidP="004E5AF0">
      <w:pPr>
        <w:spacing w:line="360" w:lineRule="auto"/>
        <w:contextualSpacing/>
        <w:jc w:val="both"/>
        <w:rPr>
          <w:rFonts w:ascii="Palatino Linotype" w:eastAsia="MS Mincho" w:hAnsi="Palatino Linotype" w:cs="Times New Roman"/>
          <w:i/>
        </w:rPr>
      </w:pPr>
    </w:p>
    <w:p w:rsidR="007C4943" w:rsidRPr="00CF1D3C" w:rsidRDefault="004E5AF0" w:rsidP="00347DF3">
      <w:pPr>
        <w:numPr>
          <w:ilvl w:val="0"/>
          <w:numId w:val="1"/>
        </w:numPr>
        <w:spacing w:line="360" w:lineRule="auto"/>
        <w:ind w:left="0" w:firstLine="0"/>
        <w:contextualSpacing/>
        <w:jc w:val="both"/>
        <w:rPr>
          <w:rFonts w:ascii="Palatino Linotype" w:hAnsi="Palatino Linotype"/>
        </w:rPr>
      </w:pPr>
      <w:r w:rsidRPr="00CF1D3C">
        <w:rPr>
          <w:rFonts w:ascii="Palatino Linotype" w:hAnsi="Palatino Linotype" w:cs="Arial"/>
        </w:rPr>
        <w:t>Ahora bien, r</w:t>
      </w:r>
      <w:r w:rsidR="007C4943" w:rsidRPr="00CF1D3C">
        <w:rPr>
          <w:rFonts w:ascii="Palatino Linotype" w:hAnsi="Palatino Linotype" w:cs="Arial"/>
        </w:rPr>
        <w:t xml:space="preserve">etomando, se desprende de la respuesta inicial que el </w:t>
      </w:r>
      <w:r w:rsidR="007C4943" w:rsidRPr="00CF1D3C">
        <w:rPr>
          <w:rFonts w:ascii="Palatino Linotype" w:hAnsi="Palatino Linotype" w:cs="Arial"/>
          <w:b/>
        </w:rPr>
        <w:t>SUJETO OBLIGADO</w:t>
      </w:r>
      <w:r w:rsidR="007C4943" w:rsidRPr="00CF1D3C">
        <w:rPr>
          <w:rFonts w:ascii="Palatino Linotype" w:hAnsi="Palatino Linotype" w:cs="Arial"/>
        </w:rPr>
        <w:t xml:space="preserve"> determinó la procedencia del cambio en la modalidad de entrega, sin que se adviertan argumentos referentes a que se sobrepasan sus capacidades, técnicas y humanas</w:t>
      </w:r>
      <w:r w:rsidR="00F35AB9" w:rsidRPr="00CF1D3C">
        <w:rPr>
          <w:rFonts w:ascii="Palatino Linotype" w:hAnsi="Palatino Linotype" w:cs="Arial"/>
        </w:rPr>
        <w:t xml:space="preserve"> de manera tal</w:t>
      </w:r>
      <w:r w:rsidR="007C4943" w:rsidRPr="00CF1D3C">
        <w:rPr>
          <w:rFonts w:ascii="Palatino Linotype" w:hAnsi="Palatino Linotype"/>
        </w:rPr>
        <w:t xml:space="preserve"> que el derecho del particular de acceder a los documentos que obran en posesión del Sujeto Obligado se encuentra limitado, en virtud de que no le fue proporcionada la información solicitada, incumpliendo así lo previsto en el artículo 4 de la Ley de la Materia, toda vez que el derecho</w:t>
      </w:r>
      <w:r w:rsidR="007C4943" w:rsidRPr="00CF1D3C">
        <w:rPr>
          <w:rFonts w:ascii="Palatino Linotype" w:hAnsi="Palatino Linotype" w:cs="Arial"/>
        </w:rPr>
        <w:t xml:space="preserve"> de acceso a la información se define como la prerrogativa que tiene toda persona para acceder a la información generada, administrada o en poder de los sujetos obligados; apegándose en todo momento al principio de máxima publicidad consagrado en la Constitución Política de los Estados Unidos Mexicanos, en la Constitución Política del Estado Libre y Soberano de México y demás relativos y aplicables en la Materia</w:t>
      </w:r>
      <w:r w:rsidR="007C4943" w:rsidRPr="00CF1D3C">
        <w:rPr>
          <w:rFonts w:ascii="Palatino Linotype" w:hAnsi="Palatino Linotype"/>
        </w:rPr>
        <w:t xml:space="preserve">, al establecer que toda información en posesión de cualquier autoridad, entidad, órgano y organismo federal, estatal y municipal, es pública y solo podrá ser reservada temporalmente por razones de interés público en los términos que fijen </w:t>
      </w:r>
      <w:r w:rsidR="007C4943" w:rsidRPr="00CF1D3C">
        <w:rPr>
          <w:rFonts w:ascii="Palatino Linotype" w:hAnsi="Palatino Linotype"/>
        </w:rPr>
        <w:lastRenderedPageBreak/>
        <w:t>las leyes; y al reconocerse como un derecho fundamental es que todo sujeto obligado debe ceñir su actuar a la conservación patrimonial de sus archivos documentales y posteriormente el acceso de la información pública, buscando la disponibilidad de los mismos.</w:t>
      </w:r>
    </w:p>
    <w:p w:rsidR="007C4943" w:rsidRPr="00CF1D3C" w:rsidRDefault="007C4943" w:rsidP="007C4943">
      <w:pPr>
        <w:spacing w:line="360" w:lineRule="auto"/>
        <w:contextualSpacing/>
        <w:jc w:val="both"/>
        <w:rPr>
          <w:rFonts w:ascii="Palatino Linotype" w:hAnsi="Palatino Linotype"/>
        </w:rPr>
      </w:pPr>
    </w:p>
    <w:p w:rsidR="007C4943" w:rsidRPr="00CF1D3C" w:rsidRDefault="007C4943" w:rsidP="00A307A0">
      <w:pPr>
        <w:numPr>
          <w:ilvl w:val="0"/>
          <w:numId w:val="1"/>
        </w:numPr>
        <w:spacing w:line="360" w:lineRule="auto"/>
        <w:ind w:left="0" w:firstLine="0"/>
        <w:contextualSpacing/>
        <w:jc w:val="both"/>
        <w:rPr>
          <w:rFonts w:ascii="Palatino Linotype" w:hAnsi="Palatino Linotype"/>
        </w:rPr>
      </w:pPr>
      <w:r w:rsidRPr="00CF1D3C">
        <w:rPr>
          <w:rFonts w:ascii="Palatino Linotype" w:hAnsi="Palatino Linotype"/>
          <w:bCs/>
        </w:rPr>
        <w:t xml:space="preserve">Bajo tales consideraciones, es que se </w:t>
      </w:r>
      <w:r w:rsidR="00674642" w:rsidRPr="00CF1D3C">
        <w:rPr>
          <w:rFonts w:ascii="Palatino Linotype" w:hAnsi="Palatino Linotype"/>
          <w:bCs/>
        </w:rPr>
        <w:t>desestima el</w:t>
      </w:r>
      <w:r w:rsidRPr="00CF1D3C">
        <w:rPr>
          <w:rFonts w:ascii="Palatino Linotype" w:hAnsi="Palatino Linotype"/>
          <w:bCs/>
        </w:rPr>
        <w:t xml:space="preserve"> cambio de modalidad pretendida por el </w:t>
      </w:r>
      <w:r w:rsidRPr="00CF1D3C">
        <w:rPr>
          <w:rFonts w:ascii="Palatino Linotype" w:hAnsi="Palatino Linotype"/>
          <w:b/>
          <w:bCs/>
        </w:rPr>
        <w:t>SUJETO OBLIGADO</w:t>
      </w:r>
      <w:r w:rsidR="00674642" w:rsidRPr="00CF1D3C">
        <w:rPr>
          <w:rFonts w:ascii="Palatino Linotype" w:hAnsi="Palatino Linotype"/>
          <w:b/>
          <w:bCs/>
        </w:rPr>
        <w:t>,</w:t>
      </w:r>
      <w:r w:rsidRPr="00CF1D3C">
        <w:rPr>
          <w:rFonts w:ascii="Palatino Linotype" w:hAnsi="Palatino Linotype"/>
          <w:bCs/>
        </w:rPr>
        <w:t xml:space="preserve"> para la entrega de la información a través de </w:t>
      </w:r>
      <w:r w:rsidR="007644F5" w:rsidRPr="00CF1D3C">
        <w:rPr>
          <w:rFonts w:ascii="Palatino Linotype" w:hAnsi="Palatino Linotype"/>
          <w:bCs/>
        </w:rPr>
        <w:t>copias simples con costo</w:t>
      </w:r>
      <w:r w:rsidRPr="00CF1D3C">
        <w:rPr>
          <w:rFonts w:ascii="Palatino Linotype" w:hAnsi="Palatino Linotype"/>
          <w:bCs/>
        </w:rPr>
        <w:t xml:space="preserve"> ya que con la respuesta emitida se pudo advertir que la información de donde se desprende lo requerido </w:t>
      </w:r>
      <w:r w:rsidRPr="00CF1D3C">
        <w:rPr>
          <w:rFonts w:ascii="Palatino Linotype" w:hAnsi="Palatino Linotype"/>
          <w:b/>
          <w:bCs/>
        </w:rPr>
        <w:t>obra en sus archivos</w:t>
      </w:r>
      <w:r w:rsidRPr="00CF1D3C">
        <w:rPr>
          <w:rFonts w:ascii="Palatino Linotype" w:hAnsi="Palatino Linotype"/>
        </w:rPr>
        <w:t>, por lo cual para tener por satisfecho cabalmente el derecho del particular se considera procedente ordenar la entrega de la información a través de la modalidad elegida por el particular.</w:t>
      </w:r>
    </w:p>
    <w:p w:rsidR="007C4943" w:rsidRPr="00CF1D3C" w:rsidRDefault="007C4943" w:rsidP="007C4943">
      <w:pPr>
        <w:pStyle w:val="Prrafodelista"/>
        <w:rPr>
          <w:rFonts w:ascii="Palatino Linotype" w:hAnsi="Palatino Linotype"/>
        </w:rPr>
      </w:pPr>
    </w:p>
    <w:p w:rsidR="007C4943" w:rsidRPr="00CF1D3C" w:rsidRDefault="007C4943" w:rsidP="00A307A0">
      <w:pPr>
        <w:numPr>
          <w:ilvl w:val="0"/>
          <w:numId w:val="1"/>
        </w:numPr>
        <w:spacing w:line="360" w:lineRule="auto"/>
        <w:ind w:left="0" w:firstLine="0"/>
        <w:contextualSpacing/>
        <w:jc w:val="both"/>
        <w:rPr>
          <w:rFonts w:ascii="Palatino Linotype" w:hAnsi="Palatino Linotype"/>
        </w:rPr>
      </w:pPr>
      <w:r w:rsidRPr="00CF1D3C">
        <w:rPr>
          <w:rFonts w:ascii="Palatino Linotype" w:hAnsi="Palatino Linotype" w:cs="Arial"/>
        </w:rPr>
        <w:t xml:space="preserve">Asimismo, la Ley de Transparencia vigente determina que el procedimiento de acceso a la información pública se tendrá por cumplida cuando el solicitante tenga a su disposición la información requerida, </w:t>
      </w:r>
      <w:r w:rsidRPr="00CF1D3C">
        <w:rPr>
          <w:rFonts w:ascii="Palatino Linotype" w:hAnsi="Palatino Linotype" w:cs="Arial"/>
          <w:b/>
        </w:rPr>
        <w:t>o en su caso, cuando realice la consulta de la misma en el que ésta se localice</w:t>
      </w:r>
      <w:r w:rsidRPr="00CF1D3C">
        <w:rPr>
          <w:rStyle w:val="Refdenotaalpie"/>
          <w:rFonts w:cs="Arial"/>
          <w:b/>
        </w:rPr>
        <w:footnoteReference w:id="7"/>
      </w:r>
      <w:r w:rsidRPr="00CF1D3C">
        <w:rPr>
          <w:rFonts w:ascii="Palatino Linotype" w:hAnsi="Palatino Linotype" w:cs="Arial"/>
          <w:b/>
        </w:rPr>
        <w:t xml:space="preserve">, situación que no se advierte en el presente caso, toda vez que el Sujeto Obligado, a través de la Unidad de Transparencia no ha brindado el acceso a la información solicitada por el particular, </w:t>
      </w:r>
      <w:r w:rsidR="00932FB8" w:rsidRPr="00CF1D3C">
        <w:rPr>
          <w:rFonts w:ascii="Palatino Linotype" w:hAnsi="Palatino Linotype" w:cs="Arial"/>
          <w:b/>
        </w:rPr>
        <w:t>y pretende realizar un cobro mediante la emisión de copias simples,</w:t>
      </w:r>
      <w:r w:rsidR="00932FB8" w:rsidRPr="00CF1D3C">
        <w:rPr>
          <w:rFonts w:ascii="Palatino Linotype" w:hAnsi="Palatino Linotype" w:cs="Arial"/>
        </w:rPr>
        <w:t xml:space="preserve"> </w:t>
      </w:r>
      <w:r w:rsidRPr="00CF1D3C">
        <w:rPr>
          <w:rFonts w:ascii="Palatino Linotype" w:hAnsi="Palatino Linotype" w:cs="Arial"/>
        </w:rPr>
        <w:t xml:space="preserve">por ende para tener por satisfecho el derecho humano en mérito, será necesario que </w:t>
      </w:r>
      <w:r w:rsidRPr="00CF1D3C">
        <w:rPr>
          <w:rFonts w:ascii="Palatino Linotype" w:hAnsi="Palatino Linotype" w:cs="Arial"/>
        </w:rPr>
        <w:lastRenderedPageBreak/>
        <w:t xml:space="preserve">la Unidad de Transparencia en estricto apego al procedimiento descrito realice </w:t>
      </w:r>
      <w:r w:rsidR="00932FB8" w:rsidRPr="00CF1D3C">
        <w:rPr>
          <w:rFonts w:ascii="Palatino Linotype" w:hAnsi="Palatino Linotype" w:cs="Arial"/>
        </w:rPr>
        <w:t>la entrega de la información en la modalidad requerida.</w:t>
      </w:r>
    </w:p>
    <w:p w:rsidR="00932FB8" w:rsidRPr="00CF1D3C" w:rsidRDefault="00932FB8" w:rsidP="00932FB8">
      <w:pPr>
        <w:pStyle w:val="Prrafodelista"/>
        <w:rPr>
          <w:rFonts w:ascii="Palatino Linotype" w:hAnsi="Palatino Linotype"/>
        </w:rPr>
      </w:pPr>
    </w:p>
    <w:p w:rsidR="007C4943" w:rsidRPr="00CF1D3C" w:rsidRDefault="007C4943" w:rsidP="00A307A0">
      <w:pPr>
        <w:numPr>
          <w:ilvl w:val="0"/>
          <w:numId w:val="1"/>
        </w:numPr>
        <w:spacing w:line="360" w:lineRule="auto"/>
        <w:ind w:left="0" w:firstLine="0"/>
        <w:contextualSpacing/>
        <w:jc w:val="both"/>
        <w:rPr>
          <w:rFonts w:ascii="Palatino Linotype" w:hAnsi="Palatino Linotype"/>
        </w:rPr>
      </w:pPr>
      <w:r w:rsidRPr="00CF1D3C">
        <w:rPr>
          <w:rFonts w:ascii="Palatino Linotype" w:hAnsi="Palatino Linotype"/>
        </w:rPr>
        <w:t xml:space="preserve">No obstante, </w:t>
      </w:r>
      <w:r w:rsidR="00932FB8" w:rsidRPr="00CF1D3C">
        <w:rPr>
          <w:rFonts w:ascii="Palatino Linotype" w:hAnsi="Palatino Linotype"/>
        </w:rPr>
        <w:t>si bien es cierto se deberá</w:t>
      </w:r>
      <w:r w:rsidRPr="00CF1D3C">
        <w:rPr>
          <w:rFonts w:ascii="Palatino Linotype" w:hAnsi="Palatino Linotype"/>
        </w:rPr>
        <w:t xml:space="preserve"> privilegiar la entrega en medios electrónicos como lo es el SAIMEX, inicialmente elegido; </w:t>
      </w:r>
      <w:r w:rsidR="00932FB8" w:rsidRPr="00CF1D3C">
        <w:rPr>
          <w:rFonts w:ascii="Palatino Linotype" w:hAnsi="Palatino Linotype"/>
        </w:rPr>
        <w:t>también lo es que</w:t>
      </w:r>
      <w:r w:rsidRPr="00CF1D3C">
        <w:rPr>
          <w:rFonts w:ascii="Palatino Linotype" w:hAnsi="Palatino Linotype"/>
          <w:b/>
        </w:rPr>
        <w:t xml:space="preserve"> si se acredita un impedimento justificado para atender esa modalidad en relación directa con </w:t>
      </w:r>
      <w:r w:rsidRPr="00CF1D3C">
        <w:rPr>
          <w:rFonts w:ascii="Palatino Linotype" w:hAnsi="Palatino Linotype"/>
          <w:b/>
          <w:u w:val="single"/>
        </w:rPr>
        <w:t>el formato en el que obra la información en los archivos del SUJETO OBLIGADO</w:t>
      </w:r>
      <w:r w:rsidRPr="00CF1D3C">
        <w:rPr>
          <w:rFonts w:ascii="Palatino Linotype" w:hAnsi="Palatino Linotype"/>
          <w:b/>
        </w:rPr>
        <w:t>, se deberá de dar la opción al sujeto obligado para que, de manera debidamente fundada y motivada se ofrezca la entrega de la información en el resto de las modalidades de entrega de la información</w:t>
      </w:r>
      <w:r w:rsidRPr="00CF1D3C">
        <w:rPr>
          <w:rFonts w:ascii="Palatino Linotype" w:hAnsi="Palatino Linotype"/>
        </w:rPr>
        <w:t xml:space="preserve"> además de </w:t>
      </w:r>
      <w:r w:rsidR="00932FB8" w:rsidRPr="00CF1D3C">
        <w:rPr>
          <w:rFonts w:ascii="Palatino Linotype" w:hAnsi="Palatino Linotype"/>
          <w:b/>
        </w:rPr>
        <w:t>CONSULTA DIRECTA</w:t>
      </w:r>
      <w:r w:rsidRPr="00CF1D3C">
        <w:rPr>
          <w:rFonts w:ascii="Palatino Linotype" w:hAnsi="Palatino Linotype"/>
        </w:rPr>
        <w:t xml:space="preserve">, </w:t>
      </w:r>
      <w:r w:rsidR="00F35AB9" w:rsidRPr="00CF1D3C">
        <w:rPr>
          <w:rFonts w:ascii="Palatino Linotype" w:hAnsi="Palatino Linotype"/>
        </w:rPr>
        <w:t>señalando vía</w:t>
      </w:r>
      <w:r w:rsidR="00F35AB9" w:rsidRPr="00CF1D3C">
        <w:rPr>
          <w:rFonts w:ascii="Palatino Linotype" w:hAnsi="Palatino Linotype"/>
          <w:b/>
        </w:rPr>
        <w:t xml:space="preserve"> SAIMEX</w:t>
      </w:r>
      <w:r w:rsidR="00F35AB9" w:rsidRPr="00CF1D3C">
        <w:rPr>
          <w:rFonts w:ascii="Palatino Linotype" w:hAnsi="Palatino Linotype"/>
        </w:rPr>
        <w:t xml:space="preserve">, el lugar, día, horarios y personal que lo atenderá para la consulta directa, de manera fundada y motivada, </w:t>
      </w:r>
      <w:r w:rsidR="00932FB8" w:rsidRPr="00CF1D3C">
        <w:rPr>
          <w:rFonts w:ascii="Palatino Linotype" w:eastAsia="Times New Roman" w:hAnsi="Palatino Linotype" w:cs="Times New Roman"/>
          <w:lang w:eastAsia="es-ES_tradnl"/>
        </w:rPr>
        <w:t>o bien</w:t>
      </w:r>
      <w:r w:rsidRPr="00CF1D3C">
        <w:rPr>
          <w:rFonts w:ascii="Palatino Linotype" w:eastAsia="Times New Roman" w:hAnsi="Palatino Linotype" w:cs="Times New Roman"/>
          <w:lang w:eastAsia="es-ES_tradnl"/>
        </w:rPr>
        <w:t xml:space="preserve">: habilitar una liga electrónica que deberá proporcionarle para que descargue los archivos -en caso de estar en posibilidad-; enviar la información a su cuenta de correo electrónico; concederle el acceso en disco compacto, con la posibilidad de envío mediante correo certificado, previo pago del costo del disco compacto y del envío, y darle la posibilidad de obtenerla de </w:t>
      </w:r>
      <w:r w:rsidRPr="00CF1D3C">
        <w:rPr>
          <w:rFonts w:ascii="Palatino Linotype" w:eastAsia="Times New Roman" w:hAnsi="Palatino Linotype" w:cs="Times New Roman"/>
          <w:b/>
          <w:lang w:eastAsia="es-ES_tradnl"/>
        </w:rPr>
        <w:t>manera gratuita</w:t>
      </w:r>
      <w:r w:rsidRPr="00CF1D3C">
        <w:rPr>
          <w:rFonts w:ascii="Palatino Linotype" w:eastAsia="Times New Roman" w:hAnsi="Palatino Linotype" w:cs="Times New Roman"/>
          <w:lang w:eastAsia="es-ES_tradnl"/>
        </w:rPr>
        <w:t xml:space="preserve"> si la parte solicitante aporta el disco compacto, memoria USB o algún otro medio de almacenamiento magnético, en el que se le proporcionarán los archivos electrónicos.</w:t>
      </w:r>
    </w:p>
    <w:p w:rsidR="00932FB8" w:rsidRPr="00CF1D3C" w:rsidRDefault="00932FB8" w:rsidP="00932FB8">
      <w:pPr>
        <w:spacing w:line="360" w:lineRule="auto"/>
        <w:contextualSpacing/>
        <w:jc w:val="both"/>
        <w:rPr>
          <w:rFonts w:ascii="Palatino Linotype" w:hAnsi="Palatino Linotype"/>
        </w:rPr>
      </w:pPr>
    </w:p>
    <w:p w:rsidR="00343D5D" w:rsidRPr="00CF1D3C" w:rsidRDefault="00343D5D" w:rsidP="00A307A0">
      <w:pPr>
        <w:numPr>
          <w:ilvl w:val="0"/>
          <w:numId w:val="1"/>
        </w:numPr>
        <w:spacing w:line="360" w:lineRule="auto"/>
        <w:ind w:left="0" w:firstLine="0"/>
        <w:contextualSpacing/>
        <w:jc w:val="both"/>
        <w:rPr>
          <w:rFonts w:ascii="Palatino Linotype" w:hAnsi="Palatino Linotype"/>
        </w:rPr>
      </w:pPr>
      <w:r w:rsidRPr="00CF1D3C">
        <w:rPr>
          <w:rFonts w:ascii="Palatino Linotype" w:hAnsi="Palatino Linotype"/>
        </w:rPr>
        <w:t xml:space="preserve">No pasa desapercibido que si bien en la solicitud de información 00265/SMOV/IP/2022, en la respuesta inicial no se realizó un cambio de modalidad de la entrega de la información; sino que se entregó una relación de los oficios </w:t>
      </w:r>
      <w:r w:rsidRPr="00CF1D3C">
        <w:rPr>
          <w:rFonts w:ascii="Palatino Linotype" w:hAnsi="Palatino Linotype"/>
        </w:rPr>
        <w:lastRenderedPageBreak/>
        <w:t>firmados por el Subse</w:t>
      </w:r>
      <w:r w:rsidR="00A879CD" w:rsidRPr="00CF1D3C">
        <w:rPr>
          <w:rFonts w:ascii="Palatino Linotype" w:hAnsi="Palatino Linotype"/>
        </w:rPr>
        <w:t xml:space="preserve">cretario de Movilidad de enero de 2021 </w:t>
      </w:r>
      <w:r w:rsidRPr="00CF1D3C">
        <w:rPr>
          <w:rFonts w:ascii="Palatino Linotype" w:hAnsi="Palatino Linotype"/>
        </w:rPr>
        <w:t xml:space="preserve">a mayo </w:t>
      </w:r>
      <w:r w:rsidR="00A879CD" w:rsidRPr="00CF1D3C">
        <w:rPr>
          <w:rFonts w:ascii="Palatino Linotype" w:hAnsi="Palatino Linotype"/>
        </w:rPr>
        <w:t xml:space="preserve">de </w:t>
      </w:r>
      <w:r w:rsidRPr="00CF1D3C">
        <w:rPr>
          <w:rFonts w:ascii="Palatino Linotype" w:hAnsi="Palatino Linotype"/>
        </w:rPr>
        <w:t xml:space="preserve">2022. No </w:t>
      </w:r>
      <w:r w:rsidR="00A879CD" w:rsidRPr="00CF1D3C">
        <w:rPr>
          <w:rFonts w:ascii="Palatino Linotype" w:hAnsi="Palatino Linotype"/>
        </w:rPr>
        <w:t>obstante,</w:t>
      </w:r>
      <w:r w:rsidRPr="00CF1D3C">
        <w:rPr>
          <w:rFonts w:ascii="Palatino Linotype" w:hAnsi="Palatino Linotype"/>
        </w:rPr>
        <w:t xml:space="preserve"> en un hecho posterior a la interposición del recurso de revisión como lo es la etapa de manifestaciones, el </w:t>
      </w:r>
      <w:r w:rsidRPr="00CF1D3C">
        <w:rPr>
          <w:rFonts w:ascii="Palatino Linotype" w:hAnsi="Palatino Linotype"/>
          <w:b/>
        </w:rPr>
        <w:t xml:space="preserve">SUJETO OBLIGADO, </w:t>
      </w:r>
      <w:r w:rsidRPr="00CF1D3C">
        <w:rPr>
          <w:rFonts w:ascii="Palatino Linotype" w:hAnsi="Palatino Linotype"/>
        </w:rPr>
        <w:t>agreg</w:t>
      </w:r>
      <w:r w:rsidR="00A879CD" w:rsidRPr="00CF1D3C">
        <w:rPr>
          <w:rFonts w:ascii="Palatino Linotype" w:hAnsi="Palatino Linotype"/>
        </w:rPr>
        <w:t>ó elementos novedosos similares</w:t>
      </w:r>
      <w:r w:rsidRPr="00CF1D3C">
        <w:rPr>
          <w:rFonts w:ascii="Palatino Linotype" w:hAnsi="Palatino Linotype"/>
        </w:rPr>
        <w:t xml:space="preserve"> al resto de los recursos en análisis</w:t>
      </w:r>
      <w:r w:rsidR="00A879CD" w:rsidRPr="00CF1D3C">
        <w:rPr>
          <w:rFonts w:ascii="Palatino Linotype" w:hAnsi="Palatino Linotype"/>
        </w:rPr>
        <w:t>, argumentando que no cuenta con herramientas tecnológicas para realizar el escaneo, sin que al igual que en el resto de supuestos se funde y motive la circunstancia, poniéndola a disposición del particular en consulta directa.</w:t>
      </w:r>
    </w:p>
    <w:p w:rsidR="00343D5D" w:rsidRPr="00CF1D3C" w:rsidRDefault="00343D5D" w:rsidP="00343D5D">
      <w:pPr>
        <w:pStyle w:val="Prrafodelista"/>
        <w:rPr>
          <w:rFonts w:ascii="Palatino Linotype" w:hAnsi="Palatino Linotype"/>
        </w:rPr>
      </w:pPr>
    </w:p>
    <w:p w:rsidR="00932FB8" w:rsidRPr="00CF1D3C" w:rsidRDefault="00932FB8" w:rsidP="00A307A0">
      <w:pPr>
        <w:numPr>
          <w:ilvl w:val="0"/>
          <w:numId w:val="1"/>
        </w:numPr>
        <w:spacing w:line="360" w:lineRule="auto"/>
        <w:ind w:left="0" w:firstLine="0"/>
        <w:contextualSpacing/>
        <w:jc w:val="both"/>
        <w:rPr>
          <w:rFonts w:ascii="Palatino Linotype" w:hAnsi="Palatino Linotype"/>
        </w:rPr>
      </w:pPr>
      <w:r w:rsidRPr="00CF1D3C">
        <w:rPr>
          <w:rFonts w:ascii="Palatino Linotype" w:hAnsi="Palatino Linotype"/>
        </w:rPr>
        <w:t>Por otro lado, de la</w:t>
      </w:r>
      <w:r w:rsidR="00343D5D" w:rsidRPr="00CF1D3C">
        <w:rPr>
          <w:rFonts w:ascii="Palatino Linotype" w:hAnsi="Palatino Linotype"/>
        </w:rPr>
        <w:t>s</w:t>
      </w:r>
      <w:r w:rsidRPr="00CF1D3C">
        <w:rPr>
          <w:rFonts w:ascii="Palatino Linotype" w:hAnsi="Palatino Linotype"/>
        </w:rPr>
        <w:t xml:space="preserve"> respuesta</w:t>
      </w:r>
      <w:r w:rsidR="00343D5D" w:rsidRPr="00CF1D3C">
        <w:rPr>
          <w:rFonts w:ascii="Palatino Linotype" w:hAnsi="Palatino Linotype"/>
        </w:rPr>
        <w:t>s a las solicitudes de información objeto de la presente acumulación, se advierte un Acta del Comité de Transparencia, mediante las cuales se pretende sustentar una versión pública de lo solicitado</w:t>
      </w:r>
      <w:r w:rsidR="00A879CD" w:rsidRPr="00CF1D3C">
        <w:rPr>
          <w:rFonts w:ascii="Palatino Linotype" w:hAnsi="Palatino Linotype"/>
        </w:rPr>
        <w:t xml:space="preserve"> que carecen de firmas de los integrantes del Comité, y de manera específica en la solicitud de información 00262/SMOV/IP/2022, se señaló</w:t>
      </w:r>
      <w:r w:rsidR="00087EFE" w:rsidRPr="00CF1D3C">
        <w:rPr>
          <w:rFonts w:ascii="Palatino Linotype" w:hAnsi="Palatino Linotype"/>
        </w:rPr>
        <w:t xml:space="preserve"> adicionalmente</w:t>
      </w:r>
      <w:r w:rsidR="00A879CD" w:rsidRPr="00CF1D3C">
        <w:rPr>
          <w:rFonts w:ascii="Palatino Linotype" w:hAnsi="Palatino Linotype"/>
        </w:rPr>
        <w:t xml:space="preserve"> lo siguiente:</w:t>
      </w:r>
    </w:p>
    <w:p w:rsidR="00343D5D" w:rsidRPr="00CF1D3C" w:rsidRDefault="00087EFE" w:rsidP="00343D5D">
      <w:pPr>
        <w:rPr>
          <w:rFonts w:ascii="Palatino Linotype" w:eastAsia="Calibri" w:hAnsi="Palatino Linotype" w:cs="Tahoma"/>
          <w:bCs/>
          <w:iCs/>
          <w:szCs w:val="22"/>
          <w:lang w:eastAsia="en-US"/>
        </w:rPr>
      </w:pPr>
      <w:r w:rsidRPr="00CF1D3C">
        <w:rPr>
          <w:rFonts w:ascii="Palatino Linotype" w:eastAsia="Calibri" w:hAnsi="Palatino Linotype" w:cs="Tahoma"/>
          <w:bCs/>
          <w:iCs/>
          <w:noProof/>
          <w:szCs w:val="22"/>
          <w:lang w:val="es-MX" w:eastAsia="es-MX"/>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327521</wp:posOffset>
                </wp:positionV>
                <wp:extent cx="5585792" cy="2544417"/>
                <wp:effectExtent l="0" t="0" r="34290" b="27940"/>
                <wp:wrapNone/>
                <wp:docPr id="10" name="Conector recto 10"/>
                <wp:cNvGraphicFramePr/>
                <a:graphic xmlns:a="http://schemas.openxmlformats.org/drawingml/2006/main">
                  <a:graphicData uri="http://schemas.microsoft.com/office/word/2010/wordprocessingShape">
                    <wps:wsp>
                      <wps:cNvCnPr/>
                      <wps:spPr>
                        <a:xfrm>
                          <a:off x="0" y="0"/>
                          <a:ext cx="5585792" cy="25444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52073BBD" id="Conector recto 10" o:spid="_x0000_s1026" style="position:absolute;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5.8pt" to="439.85pt,2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" strokecolor="black [3200]" strokeweight=".5pt">
                <v:stroke joinstyle="miter"/>
                <w10:wrap anchorx="margin"/>
              </v:line>
            </w:pict>
          </mc:Fallback>
        </mc:AlternateContent>
      </w:r>
    </w:p>
    <w:p w:rsidR="00343D5D" w:rsidRPr="00CF1D3C" w:rsidRDefault="00087EFE" w:rsidP="00087EFE">
      <w:pPr>
        <w:jc w:val="center"/>
        <w:rPr>
          <w:rFonts w:ascii="Palatino Linotype" w:eastAsia="Calibri" w:hAnsi="Palatino Linotype" w:cs="Tahoma"/>
          <w:bCs/>
          <w:iCs/>
          <w:szCs w:val="22"/>
          <w:lang w:eastAsia="en-US"/>
        </w:rPr>
      </w:pPr>
      <w:r w:rsidRPr="00CF1D3C">
        <w:rPr>
          <w:rFonts w:ascii="Palatino Linotype" w:eastAsia="Calibri" w:hAnsi="Palatino Linotype" w:cs="Tahoma"/>
          <w:bCs/>
          <w:iCs/>
          <w:noProof/>
          <w:szCs w:val="22"/>
          <w:lang w:val="es-MX" w:eastAsia="es-MX"/>
        </w:rPr>
        <w:lastRenderedPageBreak/>
        <w:drawing>
          <wp:inline distT="0" distB="0" distL="0" distR="0">
            <wp:extent cx="5438114" cy="5098774"/>
            <wp:effectExtent l="19050" t="19050" r="10795" b="260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7363" cy="5107446"/>
                    </a:xfrm>
                    <a:prstGeom prst="rect">
                      <a:avLst/>
                    </a:prstGeom>
                    <a:noFill/>
                    <a:ln>
                      <a:solidFill>
                        <a:schemeClr val="tx1"/>
                      </a:solidFill>
                    </a:ln>
                  </pic:spPr>
                </pic:pic>
              </a:graphicData>
            </a:graphic>
          </wp:inline>
        </w:drawing>
      </w:r>
    </w:p>
    <w:p w:rsidR="00087EFE" w:rsidRPr="00CF1D3C" w:rsidRDefault="00087EFE" w:rsidP="00087EFE">
      <w:pPr>
        <w:jc w:val="center"/>
        <w:rPr>
          <w:rFonts w:ascii="Palatino Linotype" w:eastAsia="Calibri" w:hAnsi="Palatino Linotype" w:cs="Tahoma"/>
          <w:bCs/>
          <w:iCs/>
          <w:szCs w:val="22"/>
          <w:lang w:eastAsia="en-US"/>
        </w:rPr>
      </w:pPr>
    </w:p>
    <w:p w:rsidR="00087EFE" w:rsidRPr="00CF1D3C" w:rsidRDefault="00087EFE" w:rsidP="00087EFE">
      <w:pPr>
        <w:jc w:val="center"/>
        <w:rPr>
          <w:rFonts w:ascii="Palatino Linotype" w:eastAsia="Calibri" w:hAnsi="Palatino Linotype" w:cs="Tahoma"/>
          <w:bCs/>
          <w:iCs/>
          <w:szCs w:val="22"/>
          <w:lang w:eastAsia="en-US"/>
        </w:rPr>
      </w:pPr>
      <w:r w:rsidRPr="00CF1D3C">
        <w:rPr>
          <w:rFonts w:ascii="Palatino Linotype" w:eastAsia="Calibri" w:hAnsi="Palatino Linotype" w:cs="Tahoma"/>
          <w:bCs/>
          <w:iCs/>
          <w:noProof/>
          <w:szCs w:val="22"/>
          <w:lang w:val="es-MX" w:eastAsia="es-MX"/>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27305</wp:posOffset>
                </wp:positionV>
                <wp:extent cx="5575852" cy="1639957"/>
                <wp:effectExtent l="0" t="0" r="25400" b="36830"/>
                <wp:wrapNone/>
                <wp:docPr id="12" name="Conector recto 12"/>
                <wp:cNvGraphicFramePr/>
                <a:graphic xmlns:a="http://schemas.openxmlformats.org/drawingml/2006/main">
                  <a:graphicData uri="http://schemas.microsoft.com/office/word/2010/wordprocessingShape">
                    <wps:wsp>
                      <wps:cNvCnPr/>
                      <wps:spPr>
                        <a:xfrm>
                          <a:off x="0" y="0"/>
                          <a:ext cx="5575852" cy="163995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7778AA37" id="Conector recto 12" o:spid="_x0000_s1026" style="position:absolute;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7.85pt,2.15pt" to="826.9pt,1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" strokecolor="black [3200]" strokeweight=".5pt">
                <v:stroke joinstyle="miter"/>
                <w10:wrap anchorx="margin"/>
              </v:line>
            </w:pict>
          </mc:Fallback>
        </mc:AlternateContent>
      </w:r>
    </w:p>
    <w:bookmarkEnd w:id="15"/>
    <w:p w:rsidR="0021154E" w:rsidRPr="00CF1D3C" w:rsidRDefault="00087EFE" w:rsidP="00087EFE">
      <w:pPr>
        <w:spacing w:line="360" w:lineRule="auto"/>
        <w:ind w:right="49"/>
        <w:contextualSpacing/>
        <w:jc w:val="center"/>
        <w:rPr>
          <w:rFonts w:ascii="Palatino Linotype" w:hAnsi="Palatino Linotype" w:cs="Arial"/>
        </w:rPr>
      </w:pPr>
      <w:r w:rsidRPr="00CF1D3C">
        <w:rPr>
          <w:rFonts w:ascii="Palatino Linotype" w:hAnsi="Palatino Linotype" w:cs="Arial"/>
          <w:noProof/>
          <w:lang w:val="es-MX" w:eastAsia="es-MX"/>
        </w:rPr>
        <w:lastRenderedPageBreak/>
        <w:drawing>
          <wp:inline distT="0" distB="0" distL="0" distR="0">
            <wp:extent cx="5158408" cy="6200178"/>
            <wp:effectExtent l="19050" t="19050" r="23495" b="1016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0461" cy="6202646"/>
                    </a:xfrm>
                    <a:prstGeom prst="rect">
                      <a:avLst/>
                    </a:prstGeom>
                    <a:noFill/>
                    <a:ln>
                      <a:solidFill>
                        <a:schemeClr val="tx1"/>
                      </a:solidFill>
                    </a:ln>
                  </pic:spPr>
                </pic:pic>
              </a:graphicData>
            </a:graphic>
          </wp:inline>
        </w:drawing>
      </w:r>
    </w:p>
    <w:p w:rsidR="00087EFE" w:rsidRPr="00CF1D3C" w:rsidRDefault="00087EFE" w:rsidP="00087EFE">
      <w:pPr>
        <w:spacing w:line="360" w:lineRule="auto"/>
        <w:ind w:right="49"/>
        <w:contextualSpacing/>
        <w:jc w:val="center"/>
        <w:rPr>
          <w:rFonts w:ascii="Palatino Linotype" w:hAnsi="Palatino Linotype" w:cs="Arial"/>
        </w:rPr>
      </w:pPr>
      <w:r w:rsidRPr="00CF1D3C">
        <w:rPr>
          <w:rFonts w:ascii="Palatino Linotype" w:hAnsi="Palatino Linotype" w:cs="Arial"/>
          <w:noProof/>
          <w:lang w:val="es-MX" w:eastAsia="es-MX"/>
        </w:rPr>
        <w:lastRenderedPageBreak/>
        <w:drawing>
          <wp:inline distT="0" distB="0" distL="0" distR="0">
            <wp:extent cx="4870450" cy="6172200"/>
            <wp:effectExtent l="19050" t="19050" r="25400"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0450" cy="6172200"/>
                    </a:xfrm>
                    <a:prstGeom prst="rect">
                      <a:avLst/>
                    </a:prstGeom>
                    <a:noFill/>
                    <a:ln>
                      <a:solidFill>
                        <a:schemeClr val="tx1"/>
                      </a:solidFill>
                    </a:ln>
                  </pic:spPr>
                </pic:pic>
              </a:graphicData>
            </a:graphic>
          </wp:inline>
        </w:drawing>
      </w:r>
    </w:p>
    <w:p w:rsidR="00087EFE" w:rsidRPr="00CF1D3C" w:rsidRDefault="00087EFE" w:rsidP="00087EFE">
      <w:pPr>
        <w:spacing w:line="360" w:lineRule="auto"/>
        <w:ind w:right="49"/>
        <w:contextualSpacing/>
        <w:jc w:val="center"/>
        <w:rPr>
          <w:rFonts w:ascii="Palatino Linotype" w:hAnsi="Palatino Linotype" w:cs="Arial"/>
        </w:rPr>
      </w:pPr>
    </w:p>
    <w:p w:rsidR="00087EFE" w:rsidRPr="00CF1D3C" w:rsidRDefault="00087EFE" w:rsidP="00A307A0">
      <w:pPr>
        <w:pStyle w:val="Prrafodelista"/>
        <w:numPr>
          <w:ilvl w:val="0"/>
          <w:numId w:val="1"/>
        </w:numPr>
        <w:tabs>
          <w:tab w:val="left" w:pos="0"/>
          <w:tab w:val="left" w:pos="142"/>
        </w:tabs>
        <w:spacing w:line="360" w:lineRule="auto"/>
        <w:ind w:left="0" w:firstLine="0"/>
        <w:jc w:val="both"/>
        <w:rPr>
          <w:rFonts w:ascii="Palatino Linotype" w:hAnsi="Palatino Linotype" w:cs="Arial"/>
        </w:rPr>
      </w:pPr>
      <w:r w:rsidRPr="00CF1D3C">
        <w:rPr>
          <w:rFonts w:ascii="Palatino Linotype" w:eastAsia="MS Gothic" w:hAnsi="Palatino Linotype" w:cs="Times New Roman"/>
        </w:rPr>
        <w:lastRenderedPageBreak/>
        <w:t xml:space="preserve">Es decir, que el </w:t>
      </w:r>
      <w:r w:rsidRPr="00CF1D3C">
        <w:rPr>
          <w:rFonts w:ascii="Palatino Linotype" w:eastAsia="MS Gothic" w:hAnsi="Palatino Linotype" w:cs="Times New Roman"/>
          <w:b/>
        </w:rPr>
        <w:t xml:space="preserve">SUJETO OBLIGADO </w:t>
      </w:r>
      <w:r w:rsidRPr="00CF1D3C">
        <w:rPr>
          <w:rFonts w:ascii="Palatino Linotype" w:eastAsia="MS Gothic" w:hAnsi="Palatino Linotype" w:cs="Times New Roman"/>
        </w:rPr>
        <w:t>advierte que de los</w:t>
      </w:r>
      <w:r w:rsidR="00B51C61" w:rsidRPr="00CF1D3C">
        <w:rPr>
          <w:rFonts w:ascii="Palatino Linotype" w:eastAsia="MS Gothic" w:hAnsi="Palatino Linotype" w:cs="Times New Roman"/>
        </w:rPr>
        <w:t xml:space="preserve"> oficios firmados por el Director de Zona 1 de enero 2021 a mayo 2022, </w:t>
      </w:r>
      <w:r w:rsidR="00A52ADB" w:rsidRPr="00CF1D3C">
        <w:rPr>
          <w:rFonts w:ascii="Palatino Linotype" w:eastAsia="MS Gothic" w:hAnsi="Palatino Linotype" w:cs="Times New Roman"/>
        </w:rPr>
        <w:t>obra</w:t>
      </w:r>
      <w:r w:rsidR="00B51C61" w:rsidRPr="00CF1D3C">
        <w:rPr>
          <w:rFonts w:ascii="Palatino Linotype" w:eastAsia="MS Gothic" w:hAnsi="Palatino Linotype" w:cs="Times New Roman"/>
        </w:rPr>
        <w:t xml:space="preserve">n oficios susceptibles de ser clasificados como reservados por actualizarse las fracciones VI, VII y VIII del artículo 140 de la ley de la materia, a saber: </w:t>
      </w:r>
    </w:p>
    <w:p w:rsidR="00087EFE" w:rsidRPr="00CF1D3C" w:rsidRDefault="00087EFE" w:rsidP="00B51C61">
      <w:pPr>
        <w:spacing w:line="360" w:lineRule="auto"/>
        <w:ind w:right="49"/>
        <w:contextualSpacing/>
        <w:rPr>
          <w:rFonts w:ascii="Palatino Linotype" w:hAnsi="Palatino Linotype" w:cs="Arial"/>
        </w:rPr>
      </w:pPr>
    </w:p>
    <w:p w:rsidR="00B51C61" w:rsidRPr="00CF1D3C" w:rsidRDefault="00B51C61" w:rsidP="00B51C61">
      <w:pPr>
        <w:spacing w:line="360" w:lineRule="auto"/>
        <w:ind w:left="567" w:right="616"/>
        <w:contextualSpacing/>
        <w:jc w:val="both"/>
        <w:rPr>
          <w:rFonts w:ascii="Palatino Linotype" w:hAnsi="Palatino Linotype" w:cs="Arial"/>
          <w:i/>
        </w:rPr>
      </w:pPr>
      <w:r w:rsidRPr="00CF1D3C">
        <w:rPr>
          <w:rFonts w:ascii="Palatino Linotype" w:hAnsi="Palatino Linotype" w:cs="Arial"/>
          <w:i/>
        </w:rPr>
        <w:t>“Artículo 140. El acceso a la información pública será restringido excepcionalmente, cuando por razones de interés público, ésta sea clasificada como reservada, conforme a los criterios siguientes:</w:t>
      </w:r>
    </w:p>
    <w:p w:rsidR="00B51C61" w:rsidRPr="00CF1D3C" w:rsidRDefault="00B51C61" w:rsidP="00B51C61">
      <w:pPr>
        <w:spacing w:line="360" w:lineRule="auto"/>
        <w:ind w:left="567" w:right="616"/>
        <w:contextualSpacing/>
        <w:jc w:val="both"/>
        <w:rPr>
          <w:rFonts w:ascii="Palatino Linotype" w:hAnsi="Palatino Linotype" w:cs="Arial"/>
          <w:i/>
        </w:rPr>
      </w:pPr>
      <w:r w:rsidRPr="00CF1D3C">
        <w:rPr>
          <w:rFonts w:ascii="Palatino Linotype" w:hAnsi="Palatino Linotype" w:cs="Arial"/>
          <w:i/>
        </w:rPr>
        <w:t>…</w:t>
      </w:r>
    </w:p>
    <w:p w:rsidR="00B51C61" w:rsidRPr="00CF1D3C" w:rsidRDefault="00B51C61" w:rsidP="00B51C61">
      <w:pPr>
        <w:spacing w:line="360" w:lineRule="auto"/>
        <w:ind w:left="567" w:right="616"/>
        <w:contextualSpacing/>
        <w:jc w:val="both"/>
        <w:rPr>
          <w:rFonts w:ascii="Palatino Linotype" w:hAnsi="Palatino Linotype" w:cs="Arial"/>
          <w:i/>
        </w:rPr>
      </w:pPr>
      <w:r w:rsidRPr="00CF1D3C">
        <w:rPr>
          <w:rFonts w:ascii="Palatino Linotype" w:hAnsi="Palatino Linotype" w:cs="Arial"/>
          <w:i/>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w:t>
      </w:r>
    </w:p>
    <w:p w:rsidR="00B51C61" w:rsidRPr="00CF1D3C" w:rsidRDefault="00B51C61" w:rsidP="00B51C61">
      <w:pPr>
        <w:spacing w:line="360" w:lineRule="auto"/>
        <w:ind w:left="567" w:right="616"/>
        <w:contextualSpacing/>
        <w:jc w:val="both"/>
        <w:rPr>
          <w:rFonts w:ascii="Palatino Linotype" w:hAnsi="Palatino Linotype" w:cs="Arial"/>
          <w:i/>
        </w:rPr>
      </w:pPr>
      <w:r w:rsidRPr="00CF1D3C">
        <w:rPr>
          <w:rFonts w:ascii="Palatino Linotype" w:hAnsi="Palatino Linotype" w:cs="Arial"/>
          <w:i/>
        </w:rPr>
        <w:t>o afecte la administración de justicia o la seguridad de un denunciante, querellante o testigo, así como sus familias, en los términos de las disposiciones jurídicas aplicables;</w:t>
      </w:r>
    </w:p>
    <w:p w:rsidR="00B51C61" w:rsidRPr="00CF1D3C" w:rsidRDefault="00B51C61" w:rsidP="00B51C61">
      <w:pPr>
        <w:spacing w:line="360" w:lineRule="auto"/>
        <w:ind w:left="567" w:right="616"/>
        <w:contextualSpacing/>
        <w:jc w:val="both"/>
        <w:rPr>
          <w:rFonts w:ascii="Palatino Linotype" w:hAnsi="Palatino Linotype" w:cs="Arial"/>
          <w:i/>
        </w:rPr>
      </w:pPr>
      <w:r w:rsidRPr="00CF1D3C">
        <w:rPr>
          <w:rFonts w:ascii="Palatino Linotype" w:hAnsi="Palatino Linotype" w:cs="Arial"/>
          <w:i/>
        </w:rPr>
        <w:t>VII. La que contengan las opiniones, recomendaciones o puntos de vista que formen parte del proceso deliberativo de los servidores públicos, hasta en tanto sea adoptada la decisión definitiva, la cual deberá estar documentada;</w:t>
      </w:r>
    </w:p>
    <w:p w:rsidR="00B51C61" w:rsidRPr="00CF1D3C" w:rsidRDefault="00B51C61" w:rsidP="00B51C61">
      <w:pPr>
        <w:spacing w:line="360" w:lineRule="auto"/>
        <w:ind w:left="567" w:right="616"/>
        <w:contextualSpacing/>
        <w:jc w:val="both"/>
        <w:rPr>
          <w:rFonts w:ascii="Palatino Linotype" w:hAnsi="Palatino Linotype" w:cs="Arial"/>
          <w:i/>
        </w:rPr>
      </w:pPr>
      <w:r w:rsidRPr="00CF1D3C">
        <w:rPr>
          <w:rFonts w:ascii="Palatino Linotype" w:hAnsi="Palatino Linotype" w:cs="Arial"/>
          <w:i/>
        </w:rPr>
        <w:lastRenderedPageBreak/>
        <w:t>VIII. Vulnere la conducción de los expedientes judiciales o de los procedimientos administrativos seguidos en forma de juicio, en tanto no hayan quedado firmes;</w:t>
      </w:r>
    </w:p>
    <w:p w:rsidR="00B51C61" w:rsidRPr="00CF1D3C" w:rsidRDefault="00B51C61" w:rsidP="00B51C61">
      <w:pPr>
        <w:spacing w:line="360" w:lineRule="auto"/>
        <w:ind w:left="567" w:right="616"/>
        <w:contextualSpacing/>
        <w:jc w:val="both"/>
        <w:rPr>
          <w:rFonts w:ascii="Palatino Linotype" w:hAnsi="Palatino Linotype" w:cs="Arial"/>
          <w:i/>
        </w:rPr>
      </w:pPr>
      <w:r w:rsidRPr="00CF1D3C">
        <w:rPr>
          <w:rFonts w:ascii="Palatino Linotype" w:hAnsi="Palatino Linotype" w:cs="Arial"/>
          <w:i/>
        </w:rPr>
        <w:t>…”</w:t>
      </w:r>
    </w:p>
    <w:p w:rsidR="00B51C61" w:rsidRPr="00CF1D3C" w:rsidRDefault="00B51C61" w:rsidP="00B51C61">
      <w:pPr>
        <w:spacing w:line="360" w:lineRule="auto"/>
        <w:ind w:left="567" w:right="616"/>
        <w:contextualSpacing/>
        <w:jc w:val="both"/>
        <w:rPr>
          <w:rFonts w:ascii="Palatino Linotype" w:hAnsi="Palatino Linotype" w:cs="Arial"/>
          <w:i/>
        </w:rPr>
      </w:pPr>
    </w:p>
    <w:p w:rsidR="00B51C61" w:rsidRPr="00CF1D3C" w:rsidRDefault="00B51C61" w:rsidP="00A307A0">
      <w:pPr>
        <w:pStyle w:val="Prrafodelista"/>
        <w:numPr>
          <w:ilvl w:val="0"/>
          <w:numId w:val="1"/>
        </w:numPr>
        <w:tabs>
          <w:tab w:val="left" w:pos="0"/>
          <w:tab w:val="left" w:pos="142"/>
        </w:tabs>
        <w:spacing w:line="360" w:lineRule="auto"/>
        <w:ind w:left="0" w:firstLine="0"/>
        <w:jc w:val="both"/>
        <w:rPr>
          <w:rFonts w:ascii="Palatino Linotype" w:hAnsi="Palatino Linotype" w:cs="Arial"/>
          <w:i/>
        </w:rPr>
      </w:pPr>
      <w:r w:rsidRPr="00CF1D3C">
        <w:rPr>
          <w:rFonts w:ascii="Palatino Linotype" w:eastAsia="MS Gothic" w:hAnsi="Palatino Linotype" w:cs="Times New Roman"/>
        </w:rPr>
        <w:t>Empero, al igual que de</w:t>
      </w:r>
      <w:r w:rsidR="00431E8D" w:rsidRPr="00CF1D3C">
        <w:rPr>
          <w:rFonts w:ascii="Palatino Linotype" w:eastAsia="MS Gothic" w:hAnsi="Palatino Linotype" w:cs="Times New Roman"/>
        </w:rPr>
        <w:t xml:space="preserve"> </w:t>
      </w:r>
      <w:r w:rsidRPr="00CF1D3C">
        <w:rPr>
          <w:rFonts w:ascii="Palatino Linotype" w:eastAsia="MS Gothic" w:hAnsi="Palatino Linotype" w:cs="Times New Roman"/>
        </w:rPr>
        <w:t>l</w:t>
      </w:r>
      <w:r w:rsidR="00431E8D" w:rsidRPr="00CF1D3C">
        <w:rPr>
          <w:rFonts w:ascii="Palatino Linotype" w:eastAsia="MS Gothic" w:hAnsi="Palatino Linotype" w:cs="Times New Roman"/>
        </w:rPr>
        <w:t>os</w:t>
      </w:r>
      <w:r w:rsidRPr="00CF1D3C">
        <w:rPr>
          <w:rFonts w:ascii="Palatino Linotype" w:eastAsia="MS Gothic" w:hAnsi="Palatino Linotype" w:cs="Times New Roman"/>
        </w:rPr>
        <w:t xml:space="preserve"> acuerdo</w:t>
      </w:r>
      <w:r w:rsidR="00431E8D" w:rsidRPr="00CF1D3C">
        <w:rPr>
          <w:rFonts w:ascii="Palatino Linotype" w:eastAsia="MS Gothic" w:hAnsi="Palatino Linotype" w:cs="Times New Roman"/>
        </w:rPr>
        <w:t>s</w:t>
      </w:r>
      <w:r w:rsidRPr="00CF1D3C">
        <w:rPr>
          <w:rFonts w:ascii="Palatino Linotype" w:eastAsia="MS Gothic" w:hAnsi="Palatino Linotype" w:cs="Times New Roman"/>
        </w:rPr>
        <w:t xml:space="preserve"> emitido</w:t>
      </w:r>
      <w:r w:rsidR="00431E8D" w:rsidRPr="00CF1D3C">
        <w:rPr>
          <w:rFonts w:ascii="Palatino Linotype" w:eastAsia="MS Gothic" w:hAnsi="Palatino Linotype" w:cs="Times New Roman"/>
        </w:rPr>
        <w:t>s</w:t>
      </w:r>
      <w:r w:rsidRPr="00CF1D3C">
        <w:rPr>
          <w:rFonts w:ascii="Palatino Linotype" w:eastAsia="MS Gothic" w:hAnsi="Palatino Linotype" w:cs="Times New Roman"/>
        </w:rPr>
        <w:t xml:space="preserve"> para una pretendida versión pública</w:t>
      </w:r>
      <w:r w:rsidR="00431E8D" w:rsidRPr="00CF1D3C">
        <w:rPr>
          <w:rFonts w:ascii="Palatino Linotype" w:eastAsia="MS Gothic" w:hAnsi="Palatino Linotype" w:cs="Times New Roman"/>
        </w:rPr>
        <w:t xml:space="preserve"> del resto de solicitudes de información</w:t>
      </w:r>
      <w:r w:rsidRPr="00CF1D3C">
        <w:rPr>
          <w:rFonts w:ascii="Palatino Linotype" w:eastAsia="MS Gothic" w:hAnsi="Palatino Linotype" w:cs="Times New Roman"/>
        </w:rPr>
        <w:t>, se desestima el acuerdo remitido t</w:t>
      </w:r>
      <w:r w:rsidR="00431E8D" w:rsidRPr="00CF1D3C">
        <w:rPr>
          <w:rFonts w:ascii="Palatino Linotype" w:eastAsia="MS Gothic" w:hAnsi="Palatino Linotype" w:cs="Times New Roman"/>
        </w:rPr>
        <w:t>oda vez que también carece de firmas de los integrantes del Comité de Transparencia, sumado a que se advierte la ausencia del servidor público encargado de la protección de los datos personales cuando sesione para cuestiones relacionadas con esta materia, como lo determina la ley de la materia, de modo tal que es dable ordenar la entrega del Acuerdo de referencia, en términos del Considerando siguiente.</w:t>
      </w:r>
    </w:p>
    <w:p w:rsidR="00431E8D" w:rsidRPr="00CF1D3C" w:rsidRDefault="00431E8D" w:rsidP="00431E8D">
      <w:pPr>
        <w:pStyle w:val="Prrafodelista"/>
        <w:tabs>
          <w:tab w:val="left" w:pos="0"/>
          <w:tab w:val="left" w:pos="142"/>
        </w:tabs>
        <w:spacing w:line="360" w:lineRule="auto"/>
        <w:ind w:left="0"/>
        <w:jc w:val="both"/>
        <w:rPr>
          <w:rFonts w:ascii="Palatino Linotype" w:hAnsi="Palatino Linotype" w:cs="Arial"/>
          <w:i/>
        </w:rPr>
      </w:pPr>
    </w:p>
    <w:p w:rsidR="00431E8D" w:rsidRPr="00CF1D3C" w:rsidRDefault="00431E8D" w:rsidP="00A307A0">
      <w:pPr>
        <w:pStyle w:val="Prrafodelista"/>
        <w:numPr>
          <w:ilvl w:val="0"/>
          <w:numId w:val="1"/>
        </w:numPr>
        <w:tabs>
          <w:tab w:val="left" w:pos="0"/>
          <w:tab w:val="left" w:pos="142"/>
        </w:tabs>
        <w:spacing w:line="360" w:lineRule="auto"/>
        <w:ind w:left="0" w:firstLine="0"/>
        <w:jc w:val="both"/>
        <w:rPr>
          <w:rFonts w:ascii="Palatino Linotype" w:hAnsi="Palatino Linotype"/>
        </w:rPr>
      </w:pPr>
      <w:r w:rsidRPr="00CF1D3C">
        <w:rPr>
          <w:rFonts w:ascii="Palatino Linotype" w:hAnsi="Palatino Linotype"/>
        </w:rPr>
        <w:t xml:space="preserve">Por otro lado, respecto a las respuestas y argumentos vertidos por parte del </w:t>
      </w:r>
      <w:r w:rsidRPr="00CF1D3C">
        <w:rPr>
          <w:rFonts w:ascii="Palatino Linotype" w:hAnsi="Palatino Linotype"/>
          <w:b/>
        </w:rPr>
        <w:t>SUJETO OBLIGADO</w:t>
      </w:r>
      <w:r w:rsidRPr="00CF1D3C">
        <w:rPr>
          <w:rFonts w:ascii="Palatino Linotype" w:hAnsi="Palatino Linotype"/>
        </w:rPr>
        <w:t xml:space="preserve"> en las solicitudes información que ocupan la presente resolución, es de señalar que </w:t>
      </w:r>
      <w:r w:rsidRPr="00CF1D3C">
        <w:rPr>
          <w:rFonts w:ascii="Palatino Linotype" w:eastAsia="Palatino Linotype" w:hAnsi="Palatino Linotype" w:cs="Palatino Linotype"/>
          <w:color w:val="000000"/>
        </w:rPr>
        <w:t xml:space="preserve">este </w:t>
      </w:r>
      <w:r w:rsidRPr="00CF1D3C">
        <w:rPr>
          <w:rFonts w:ascii="Palatino Linotype" w:eastAsia="MS Mincho" w:hAnsi="Palatino Linotype" w:cs="Arial"/>
        </w:rPr>
        <w:t>Instituto</w:t>
      </w:r>
      <w:r w:rsidRPr="00CF1D3C">
        <w:rPr>
          <w:rFonts w:ascii="Palatino Linotype" w:eastAsia="Palatino Linotype" w:hAnsi="Palatino Linotype" w:cs="Palatino Linotype"/>
          <w:color w:val="000000"/>
        </w:rPr>
        <w:t xml:space="preserve"> no está </w:t>
      </w:r>
      <w:r w:rsidRPr="00CF1D3C">
        <w:rPr>
          <w:rFonts w:ascii="Palatino Linotype" w:eastAsia="MS Gothic" w:hAnsi="Palatino Linotype" w:cs="Times New Roman"/>
        </w:rPr>
        <w:t>facultado</w:t>
      </w:r>
      <w:r w:rsidRPr="00CF1D3C">
        <w:rPr>
          <w:rFonts w:ascii="Palatino Linotype" w:eastAsia="Palatino Linotype" w:hAnsi="Palatino Linotype" w:cs="Palatino Linotype"/>
          <w:color w:val="000000"/>
        </w:rPr>
        <w:t xml:space="preserve"> para dudar de la veracidad de la </w:t>
      </w:r>
      <w:r w:rsidRPr="00CF1D3C">
        <w:rPr>
          <w:rFonts w:ascii="Palatino Linotype" w:eastAsia="MS Mincho" w:hAnsi="Palatino Linotype" w:cs="Arial"/>
        </w:rPr>
        <w:t>información</w:t>
      </w:r>
      <w:r w:rsidRPr="00CF1D3C">
        <w:rPr>
          <w:rFonts w:ascii="Palatino Linotype" w:eastAsia="Palatino Linotype" w:hAnsi="Palatino Linotype" w:cs="Palatino Linotype"/>
          <w:color w:val="000000"/>
        </w:rPr>
        <w:t xml:space="preserve"> que le fue entregada a la hoy </w:t>
      </w:r>
      <w:r w:rsidRPr="00CF1D3C">
        <w:rPr>
          <w:rFonts w:ascii="Palatino Linotype" w:eastAsia="Palatino Linotype" w:hAnsi="Palatino Linotype" w:cs="Palatino Linotype"/>
          <w:b/>
          <w:color w:val="000000"/>
        </w:rPr>
        <w:t>RECURRENTE</w:t>
      </w:r>
      <w:r w:rsidRPr="00CF1D3C">
        <w:rPr>
          <w:rFonts w:ascii="Palatino Linotype" w:eastAsia="Palatino Linotype" w:hAnsi="Palatino Linotype" w:cs="Palatino Linotype"/>
          <w:color w:val="000000"/>
        </w:rPr>
        <w:t xml:space="preserve"> en el presente asunto, ni de las respuestas, ni de las documentales que ponen a disposición de los solicitantes los sujetos obligados, </w:t>
      </w:r>
      <w:r w:rsidRPr="00CF1D3C">
        <w:rPr>
          <w:rFonts w:ascii="Palatino Linotype" w:hAnsi="Palatino Linotype" w:cs="Arial"/>
        </w:rPr>
        <w:t xml:space="preserve">situación que se aleja de las atribuciones de este Instituto </w:t>
      </w:r>
      <w:r w:rsidRPr="00CF1D3C">
        <w:rPr>
          <w:rFonts w:ascii="Palatino Linotype" w:hAnsi="Palatino Linotype"/>
          <w:i/>
          <w:color w:val="000000"/>
        </w:rPr>
        <w:t>máxime</w:t>
      </w:r>
      <w:r w:rsidRPr="00CF1D3C">
        <w:rPr>
          <w:rFonts w:ascii="Palatino Linotype" w:hAnsi="Palatino Linotype"/>
          <w:color w:val="000000"/>
        </w:rPr>
        <w:t xml:space="preserve"> que al momento que ponen a disposición ésta, la misma tiene el carácter oficial y se presume veraz, tan es así que la misma queda registrada en el Sistema de Acceso a la Información Mexiquense (SAIMEX).</w:t>
      </w:r>
    </w:p>
    <w:p w:rsidR="00431E8D" w:rsidRPr="00CF1D3C" w:rsidRDefault="00431E8D" w:rsidP="00A307A0">
      <w:pPr>
        <w:pStyle w:val="Prrafodelista"/>
        <w:numPr>
          <w:ilvl w:val="0"/>
          <w:numId w:val="1"/>
        </w:numPr>
        <w:tabs>
          <w:tab w:val="left" w:pos="0"/>
          <w:tab w:val="left" w:pos="142"/>
        </w:tabs>
        <w:spacing w:line="360" w:lineRule="auto"/>
        <w:ind w:left="0" w:firstLine="0"/>
        <w:jc w:val="both"/>
        <w:rPr>
          <w:rFonts w:ascii="Palatino Linotype" w:hAnsi="Palatino Linotype"/>
        </w:rPr>
      </w:pPr>
      <w:r w:rsidRPr="00CF1D3C">
        <w:rPr>
          <w:rFonts w:ascii="Palatino Linotype" w:hAnsi="Palatino Linotype"/>
        </w:rPr>
        <w:lastRenderedPageBreak/>
        <w:t xml:space="preserve">Sirviendo de apoyo a lo anterior por analogía, el criterio 31-10 emitido por el ahora Instituto </w:t>
      </w:r>
      <w:r w:rsidRPr="00CF1D3C">
        <w:rPr>
          <w:rFonts w:ascii="Palatino Linotype" w:eastAsia="Palatino Linotype" w:hAnsi="Palatino Linotype" w:cs="Palatino Linotype"/>
          <w:color w:val="000000"/>
        </w:rPr>
        <w:t>Nacional</w:t>
      </w:r>
      <w:r w:rsidRPr="00CF1D3C">
        <w:rPr>
          <w:rFonts w:ascii="Palatino Linotype" w:hAnsi="Palatino Linotype"/>
        </w:rPr>
        <w:t xml:space="preserve"> de Transparencia, Acceso a la Información y Protección de Datos Personales, que a la letra dice:</w:t>
      </w:r>
    </w:p>
    <w:p w:rsidR="00431E8D" w:rsidRPr="00CF1D3C" w:rsidRDefault="00431E8D" w:rsidP="00431E8D">
      <w:pPr>
        <w:pStyle w:val="Prrafodelista"/>
        <w:rPr>
          <w:rFonts w:ascii="Palatino Linotype" w:hAnsi="Palatino Linotype"/>
        </w:rPr>
      </w:pPr>
    </w:p>
    <w:p w:rsidR="00431E8D" w:rsidRPr="00CF1D3C" w:rsidRDefault="00431E8D" w:rsidP="00431E8D">
      <w:pPr>
        <w:pStyle w:val="Default"/>
        <w:spacing w:line="360" w:lineRule="auto"/>
        <w:ind w:left="851" w:right="850"/>
        <w:jc w:val="both"/>
        <w:rPr>
          <w:rFonts w:ascii="Palatino Linotype" w:hAnsi="Palatino Linotype"/>
          <w:i/>
        </w:rPr>
      </w:pPr>
      <w:r w:rsidRPr="00CF1D3C">
        <w:rPr>
          <w:rFonts w:ascii="Palatino Linotype" w:hAnsi="Palatino Linotype"/>
          <w:i/>
        </w:rPr>
        <w:t xml:space="preserve">“El Instituto Federal de Acceso a la Información y Protección de Datos </w:t>
      </w:r>
      <w:r w:rsidRPr="00CF1D3C">
        <w:rPr>
          <w:rFonts w:ascii="Palatino Linotype" w:hAnsi="Palatino Linotype"/>
          <w:b/>
          <w:i/>
        </w:rPr>
        <w:t>no cuenta con facultades para pronunciarse respecto de la veracidad de los documentos proporcionados por los sujetos obligados.</w:t>
      </w:r>
      <w:r w:rsidRPr="00CF1D3C">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431E8D" w:rsidRPr="00CF1D3C" w:rsidRDefault="00431E8D" w:rsidP="00431E8D">
      <w:pPr>
        <w:pStyle w:val="Default"/>
        <w:spacing w:line="360" w:lineRule="auto"/>
        <w:ind w:left="851" w:right="850"/>
        <w:jc w:val="both"/>
        <w:rPr>
          <w:rFonts w:ascii="Palatino Linotype" w:hAnsi="Palatino Linotype"/>
          <w:i/>
        </w:rPr>
      </w:pPr>
    </w:p>
    <w:p w:rsidR="00431E8D" w:rsidRPr="00CF1D3C" w:rsidRDefault="00431E8D" w:rsidP="00A307A0">
      <w:pPr>
        <w:pStyle w:val="Prrafodelista"/>
        <w:numPr>
          <w:ilvl w:val="0"/>
          <w:numId w:val="1"/>
        </w:numPr>
        <w:tabs>
          <w:tab w:val="left" w:pos="0"/>
          <w:tab w:val="left" w:pos="142"/>
        </w:tabs>
        <w:spacing w:line="360" w:lineRule="auto"/>
        <w:ind w:left="0" w:firstLine="0"/>
        <w:jc w:val="both"/>
        <w:rPr>
          <w:rFonts w:ascii="Palatino Linotype" w:hAnsi="Palatino Linotype"/>
          <w:i/>
        </w:rPr>
      </w:pPr>
      <w:r w:rsidRPr="00CF1D3C">
        <w:rPr>
          <w:rFonts w:ascii="Palatino Linotype" w:hAnsi="Palatino Linotype" w:cs="Arial"/>
        </w:rPr>
        <w:t>Así como lo dispuesto por</w:t>
      </w:r>
      <w:r w:rsidRPr="00CF1D3C">
        <w:rPr>
          <w:rFonts w:ascii="Palatino Linotype" w:hAnsi="Palatino Linotype"/>
        </w:rPr>
        <w:t xml:space="preserve"> la </w:t>
      </w:r>
      <w:r w:rsidRPr="00CF1D3C">
        <w:rPr>
          <w:rFonts w:ascii="Palatino Linotype" w:hAnsi="Palatino Linotype"/>
          <w:b/>
        </w:rPr>
        <w:t xml:space="preserve">Ley de Transparencia y Acceso a la Información Pública del </w:t>
      </w:r>
      <w:r w:rsidRPr="00CF1D3C">
        <w:rPr>
          <w:rFonts w:ascii="Palatino Linotype" w:eastAsia="Palatino Linotype" w:hAnsi="Palatino Linotype" w:cs="Palatino Linotype"/>
          <w:color w:val="000000"/>
        </w:rPr>
        <w:t>Estado</w:t>
      </w:r>
      <w:r w:rsidRPr="00CF1D3C">
        <w:rPr>
          <w:rFonts w:ascii="Palatino Linotype" w:hAnsi="Palatino Linotype"/>
          <w:b/>
        </w:rPr>
        <w:t xml:space="preserve"> de México y Municipios</w:t>
      </w:r>
      <w:r w:rsidRPr="00CF1D3C">
        <w:rPr>
          <w:rFonts w:ascii="Palatino Linotype" w:hAnsi="Palatino Linotype"/>
        </w:rPr>
        <w:t xml:space="preserve"> en su artículo 3, el cual establece que la </w:t>
      </w:r>
      <w:r w:rsidRPr="00CF1D3C">
        <w:rPr>
          <w:rFonts w:ascii="Palatino Linotype" w:hAnsi="Palatino Linotype"/>
        </w:rPr>
        <w:lastRenderedPageBreak/>
        <w:t>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431E8D" w:rsidRPr="00CF1D3C" w:rsidRDefault="00431E8D" w:rsidP="00431E8D">
      <w:pPr>
        <w:pStyle w:val="Prrafodelista"/>
        <w:spacing w:line="360" w:lineRule="auto"/>
        <w:ind w:left="0"/>
        <w:jc w:val="both"/>
        <w:rPr>
          <w:rFonts w:ascii="Palatino Linotype" w:hAnsi="Palatino Linotype"/>
          <w:i/>
        </w:rPr>
      </w:pPr>
    </w:p>
    <w:p w:rsidR="00431E8D" w:rsidRPr="00CF1D3C" w:rsidRDefault="00431E8D" w:rsidP="00431E8D">
      <w:pPr>
        <w:pStyle w:val="Prrafodelista"/>
        <w:spacing w:line="360" w:lineRule="auto"/>
        <w:ind w:left="567" w:right="680"/>
        <w:jc w:val="both"/>
        <w:rPr>
          <w:rFonts w:ascii="Palatino Linotype" w:hAnsi="Palatino Linotype" w:cs="Arial"/>
          <w:b/>
          <w:i/>
        </w:rPr>
      </w:pPr>
      <w:r w:rsidRPr="00CF1D3C">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CF1D3C">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rsidR="00431E8D" w:rsidRPr="00CF1D3C" w:rsidRDefault="00431E8D" w:rsidP="00431E8D">
      <w:pPr>
        <w:spacing w:line="360" w:lineRule="auto"/>
        <w:ind w:right="902"/>
        <w:jc w:val="both"/>
        <w:rPr>
          <w:rFonts w:ascii="Palatino Linotype" w:hAnsi="Palatino Linotype" w:cs="Arial"/>
          <w:b/>
        </w:rPr>
      </w:pPr>
    </w:p>
    <w:p w:rsidR="00431E8D" w:rsidRPr="00CF1D3C" w:rsidRDefault="00431E8D" w:rsidP="00A307A0">
      <w:pPr>
        <w:pStyle w:val="Prrafodelista"/>
        <w:numPr>
          <w:ilvl w:val="0"/>
          <w:numId w:val="1"/>
        </w:numPr>
        <w:tabs>
          <w:tab w:val="left" w:pos="0"/>
          <w:tab w:val="left" w:pos="142"/>
        </w:tabs>
        <w:spacing w:line="360" w:lineRule="auto"/>
        <w:ind w:left="0" w:firstLine="0"/>
        <w:jc w:val="both"/>
        <w:rPr>
          <w:rFonts w:ascii="Palatino Linotype" w:eastAsia="Palatino Linotype" w:hAnsi="Palatino Linotype" w:cs="Palatino Linotype"/>
          <w:color w:val="000000"/>
        </w:rPr>
      </w:pPr>
      <w:r w:rsidRPr="00CF1D3C">
        <w:rPr>
          <w:rFonts w:ascii="Palatino Linotype" w:hAnsi="Palatino Linotype" w:cs="Arial"/>
        </w:rPr>
        <w:t>Numerales</w:t>
      </w:r>
      <w:r w:rsidRPr="00CF1D3C">
        <w:rPr>
          <w:rFonts w:ascii="Palatino Linotype" w:hAnsi="Palatino Linotype" w:cs="Arial"/>
          <w:noProof/>
          <w:lang w:eastAsia="es-MX"/>
        </w:rPr>
        <w:t xml:space="preserve"> que compelen al </w:t>
      </w:r>
      <w:r w:rsidRPr="00CF1D3C">
        <w:rPr>
          <w:rFonts w:ascii="Palatino Linotype" w:hAnsi="Palatino Linotype" w:cs="Arial"/>
          <w:b/>
          <w:noProof/>
          <w:lang w:eastAsia="es-MX"/>
        </w:rPr>
        <w:t>SUJETO OBLIGADO</w:t>
      </w:r>
      <w:r w:rsidRPr="00CF1D3C">
        <w:rPr>
          <w:rFonts w:ascii="Palatino Linotype" w:hAnsi="Palatino Linotype" w:cs="Arial"/>
          <w:noProof/>
          <w:lang w:eastAsia="es-MX"/>
        </w:rPr>
        <w:t xml:space="preserve"> apegarse en todo momento a los </w:t>
      </w:r>
      <w:r w:rsidRPr="00CF1D3C">
        <w:rPr>
          <w:rFonts w:ascii="Palatino Linotype" w:hAnsi="Palatino Linotype" w:cs="Arial"/>
        </w:rPr>
        <w:t>criterios</w:t>
      </w:r>
      <w:r w:rsidRPr="00CF1D3C">
        <w:rPr>
          <w:rFonts w:ascii="Palatino Linotype" w:hAnsi="Palatino Linotype" w:cs="Arial"/>
          <w:noProof/>
          <w:lang w:eastAsia="es-MX"/>
        </w:rPr>
        <w:t xml:space="preserve"> ya expuestos, impidiendo a este Órgano Colegiado cuestionar la veracidad de la información;</w:t>
      </w:r>
      <w:r w:rsidRPr="00CF1D3C">
        <w:rPr>
          <w:rFonts w:ascii="Palatino Linotype" w:eastAsia="Palatino Linotype" w:hAnsi="Palatino Linotype" w:cs="Palatino Linotype"/>
          <w:color w:val="000000"/>
        </w:rPr>
        <w:t xml:space="preserve"> luego entonces, se reitera que se tienen por colmada la solicitud de información objeto del presente análisis.</w:t>
      </w:r>
    </w:p>
    <w:p w:rsidR="00087EFE" w:rsidRPr="00CF1D3C" w:rsidRDefault="00087EFE" w:rsidP="00087EFE">
      <w:pPr>
        <w:spacing w:line="360" w:lineRule="auto"/>
        <w:ind w:right="49"/>
        <w:contextualSpacing/>
        <w:jc w:val="center"/>
        <w:rPr>
          <w:rFonts w:ascii="Palatino Linotype" w:hAnsi="Palatino Linotype" w:cs="Arial"/>
        </w:rPr>
      </w:pPr>
    </w:p>
    <w:p w:rsidR="001E3F7A" w:rsidRPr="00CF1D3C" w:rsidRDefault="00735EF3" w:rsidP="001E3F7A">
      <w:pPr>
        <w:pStyle w:val="Ttulo1"/>
        <w:rPr>
          <w:rFonts w:ascii="Palatino Linotype" w:hAnsi="Palatino Linotype"/>
          <w:b/>
          <w:color w:val="000000" w:themeColor="text1"/>
          <w:sz w:val="24"/>
        </w:rPr>
      </w:pPr>
      <w:bookmarkStart w:id="29" w:name="_Toc34310247"/>
      <w:bookmarkStart w:id="30" w:name="_Toc34849558"/>
      <w:bookmarkStart w:id="31" w:name="_Toc53659481"/>
      <w:bookmarkStart w:id="32" w:name="_Toc62134685"/>
      <w:bookmarkStart w:id="33" w:name="_Toc74778612"/>
      <w:bookmarkStart w:id="34" w:name="_Toc82519891"/>
      <w:r w:rsidRPr="00CF1D3C">
        <w:rPr>
          <w:rFonts w:ascii="Palatino Linotype" w:eastAsia="MS Gothic" w:hAnsi="Palatino Linotype"/>
          <w:b/>
          <w:color w:val="000000" w:themeColor="text1"/>
          <w:sz w:val="24"/>
          <w:lang w:eastAsia="es-ES_tradnl"/>
        </w:rPr>
        <w:t>QUINTO</w:t>
      </w:r>
      <w:r w:rsidR="001E3F7A" w:rsidRPr="00CF1D3C">
        <w:rPr>
          <w:rFonts w:ascii="Palatino Linotype" w:eastAsia="MS Gothic" w:hAnsi="Palatino Linotype"/>
          <w:b/>
          <w:color w:val="000000" w:themeColor="text1"/>
          <w:sz w:val="24"/>
          <w:lang w:eastAsia="es-ES_tradnl"/>
        </w:rPr>
        <w:t>.</w:t>
      </w:r>
      <w:r w:rsidR="001E3F7A" w:rsidRPr="00CF1D3C">
        <w:rPr>
          <w:rFonts w:ascii="Palatino Linotype" w:eastAsia="MS Mincho" w:hAnsi="Palatino Linotype"/>
          <w:b/>
          <w:color w:val="000000" w:themeColor="text1"/>
          <w:sz w:val="24"/>
        </w:rPr>
        <w:t xml:space="preserve"> </w:t>
      </w:r>
      <w:bookmarkEnd w:id="29"/>
      <w:bookmarkEnd w:id="30"/>
      <w:bookmarkEnd w:id="31"/>
      <w:bookmarkEnd w:id="32"/>
      <w:bookmarkEnd w:id="33"/>
      <w:r w:rsidR="001E3F7A" w:rsidRPr="00CF1D3C">
        <w:rPr>
          <w:rFonts w:ascii="Palatino Linotype" w:hAnsi="Palatino Linotype"/>
          <w:b/>
          <w:color w:val="000000" w:themeColor="text1"/>
          <w:sz w:val="24"/>
        </w:rPr>
        <w:t>De la Versión Pública</w:t>
      </w:r>
      <w:bookmarkEnd w:id="34"/>
      <w:r w:rsidR="001E3F7A" w:rsidRPr="00CF1D3C">
        <w:rPr>
          <w:rFonts w:ascii="Palatino Linotype" w:hAnsi="Palatino Linotype"/>
          <w:b/>
          <w:color w:val="000000" w:themeColor="text1"/>
          <w:sz w:val="24"/>
        </w:rPr>
        <w:t xml:space="preserve"> y reserva de la información</w:t>
      </w:r>
    </w:p>
    <w:p w:rsidR="001E3F7A" w:rsidRPr="00CF1D3C" w:rsidRDefault="001E3F7A" w:rsidP="001E3F7A"/>
    <w:p w:rsidR="001E3F7A" w:rsidRPr="00CF1D3C" w:rsidRDefault="001E3F7A" w:rsidP="00A307A0">
      <w:pPr>
        <w:pStyle w:val="Prrafodelista"/>
        <w:numPr>
          <w:ilvl w:val="0"/>
          <w:numId w:val="1"/>
        </w:numPr>
        <w:tabs>
          <w:tab w:val="left" w:pos="0"/>
          <w:tab w:val="left" w:pos="142"/>
        </w:tabs>
        <w:spacing w:line="360" w:lineRule="auto"/>
        <w:ind w:left="0" w:firstLine="0"/>
        <w:jc w:val="both"/>
        <w:rPr>
          <w:rFonts w:ascii="Palatino Linotype" w:hAnsi="Palatino Linotype" w:cs="Arial"/>
          <w:noProof/>
          <w:lang w:eastAsia="es-MX"/>
        </w:rPr>
      </w:pPr>
      <w:r w:rsidRPr="00CF1D3C">
        <w:rPr>
          <w:rFonts w:ascii="Palatino Linotype" w:hAnsi="Palatino Linotype" w:cs="Arial"/>
          <w:noProof/>
          <w:lang w:val="es-MX" w:eastAsia="es-MX"/>
        </w:rPr>
        <w:lastRenderedPageBreak/>
        <w:t>D</w:t>
      </w:r>
      <w:r w:rsidRPr="00CF1D3C">
        <w:rPr>
          <w:rFonts w:ascii="Palatino Linotype" w:hAnsi="Palatino Linotype" w:cs="Arial"/>
          <w:noProof/>
          <w:lang w:eastAsia="es-MX"/>
        </w:rPr>
        <w:t xml:space="preserve">ada la propia y especial naturaleza del soporte documental que se ordena, obran datos personal suceptibles de ser protegidos mediante una versión pública, debera eleborarse el Acuerdo de Clasificación que sustente las versiones publicas que se pudieran generar y </w:t>
      </w:r>
      <w:r w:rsidRPr="00CF1D3C">
        <w:rPr>
          <w:rFonts w:ascii="Palatino Linotype" w:hAnsi="Palatino Linotype" w:cs="Arial"/>
          <w:b/>
          <w:noProof/>
          <w:lang w:eastAsia="es-MX"/>
        </w:rPr>
        <w:t>se ponga a disposicion del particular</w:t>
      </w:r>
      <w:r w:rsidRPr="00CF1D3C">
        <w:rPr>
          <w:rFonts w:ascii="Palatino Linotype" w:hAnsi="Palatino Linotype" w:cs="Arial"/>
          <w:noProof/>
          <w:lang w:eastAsia="es-MX"/>
        </w:rPr>
        <w:t>, asi como el acuerdo que sustente la reserva de los oficios identificados que actualizan una causal de reserva.</w:t>
      </w:r>
    </w:p>
    <w:p w:rsidR="001E3F7A" w:rsidRPr="00CF1D3C" w:rsidRDefault="001E3F7A" w:rsidP="001E3F7A">
      <w:pPr>
        <w:pStyle w:val="Prrafodelista"/>
        <w:tabs>
          <w:tab w:val="left" w:pos="0"/>
          <w:tab w:val="left" w:pos="142"/>
        </w:tabs>
        <w:spacing w:line="360" w:lineRule="auto"/>
        <w:ind w:left="0"/>
        <w:jc w:val="both"/>
        <w:rPr>
          <w:rFonts w:ascii="Palatino Linotype" w:hAnsi="Palatino Linotype" w:cs="Arial"/>
          <w:noProof/>
          <w:lang w:eastAsia="es-MX"/>
        </w:rPr>
      </w:pPr>
    </w:p>
    <w:p w:rsidR="001E3F7A" w:rsidRPr="00CF1D3C" w:rsidRDefault="001E3F7A" w:rsidP="00A307A0">
      <w:pPr>
        <w:pStyle w:val="Prrafodelista"/>
        <w:numPr>
          <w:ilvl w:val="0"/>
          <w:numId w:val="1"/>
        </w:numPr>
        <w:tabs>
          <w:tab w:val="left" w:pos="0"/>
          <w:tab w:val="left" w:pos="142"/>
        </w:tabs>
        <w:spacing w:line="360" w:lineRule="auto"/>
        <w:ind w:left="0" w:firstLine="0"/>
        <w:jc w:val="both"/>
        <w:rPr>
          <w:rFonts w:ascii="Palatino Linotype" w:hAnsi="Palatino Linotype" w:cs="Arial"/>
          <w:color w:val="000000"/>
        </w:rPr>
      </w:pPr>
      <w:r w:rsidRPr="00CF1D3C">
        <w:rPr>
          <w:rFonts w:ascii="Palatino Linotype" w:eastAsia="Calibri" w:hAnsi="Palatino Linotype" w:cs="Arial"/>
          <w:color w:val="000000"/>
        </w:rPr>
        <w:t xml:space="preserve">Es de señalar que, por lo que hace a las versiones públicas, el </w:t>
      </w:r>
      <w:r w:rsidRPr="00CF1D3C">
        <w:rPr>
          <w:rFonts w:ascii="Palatino Linotype" w:eastAsia="Calibri" w:hAnsi="Palatino Linotype" w:cs="Arial"/>
          <w:b/>
          <w:color w:val="000000"/>
        </w:rPr>
        <w:t>SUJETO OBLIGADO</w:t>
      </w:r>
      <w:r w:rsidRPr="00CF1D3C">
        <w:rPr>
          <w:rFonts w:ascii="Palatino Linotype" w:eastAsia="Calibri" w:hAnsi="Palatino Linotype" w:cs="Arial"/>
          <w:color w:val="000000"/>
        </w:rPr>
        <w:t xml:space="preserve"> debe cumplir con las formalidades exigidas en la Ley, por lo que </w:t>
      </w:r>
      <w:r w:rsidRPr="00CF1D3C">
        <w:rPr>
          <w:rFonts w:ascii="Palatino Linotype" w:hAnsi="Palatino Linotype" w:cs="Arial"/>
          <w:color w:val="000000"/>
        </w:rPr>
        <w:t xml:space="preserve">para tal efecto emitirá el </w:t>
      </w:r>
      <w:r w:rsidRPr="00CF1D3C">
        <w:rPr>
          <w:rFonts w:ascii="Palatino Linotype" w:eastAsia="Calibri" w:hAnsi="Palatino Linotype" w:cs="Arial"/>
          <w:color w:val="000000"/>
        </w:rPr>
        <w:t xml:space="preserve">Acuerdo del Comité de Transparencia en términos de los artículos 49 </w:t>
      </w:r>
      <w:r w:rsidRPr="00CF1D3C">
        <w:rPr>
          <w:rFonts w:ascii="Palatino Linotype" w:hAnsi="Palatino Linotype" w:cs="Arial"/>
          <w:noProof/>
          <w:lang w:val="es-MX" w:eastAsia="es-MX"/>
        </w:rPr>
        <w:t>fracción</w:t>
      </w:r>
      <w:r w:rsidRPr="00CF1D3C">
        <w:rPr>
          <w:rFonts w:ascii="Palatino Linotype" w:eastAsia="Calibri" w:hAnsi="Palatino Linotype" w:cs="Arial"/>
          <w:bCs/>
          <w:color w:val="000000"/>
        </w:rPr>
        <w:t xml:space="preserve"> VIII,</w:t>
      </w:r>
      <w:r w:rsidRPr="00CF1D3C">
        <w:rPr>
          <w:rFonts w:ascii="Palatino Linotype" w:eastAsia="Calibri" w:hAnsi="Palatino Linotype" w:cs="Arial"/>
          <w:color w:val="000000"/>
        </w:rPr>
        <w:t xml:space="preserve"> 122</w:t>
      </w:r>
      <w:r w:rsidRPr="00CF1D3C">
        <w:rPr>
          <w:rFonts w:ascii="Palatino Linotype" w:hAnsi="Palatino Linotype"/>
          <w:vertAlign w:val="superscript"/>
        </w:rPr>
        <w:footnoteReference w:id="8"/>
      </w:r>
      <w:r w:rsidRPr="00CF1D3C">
        <w:rPr>
          <w:rFonts w:ascii="Palatino Linotype" w:eastAsia="Calibri" w:hAnsi="Palatino Linotype" w:cs="Arial"/>
          <w:color w:val="000000"/>
        </w:rPr>
        <w:t>, 135</w:t>
      </w:r>
      <w:r w:rsidRPr="00CF1D3C">
        <w:rPr>
          <w:rFonts w:ascii="Palatino Linotype" w:hAnsi="Palatino Linotype"/>
          <w:vertAlign w:val="superscript"/>
        </w:rPr>
        <w:footnoteReference w:id="9"/>
      </w:r>
      <w:r w:rsidRPr="00CF1D3C">
        <w:rPr>
          <w:rFonts w:ascii="Palatino Linotype" w:eastAsia="Calibri" w:hAnsi="Palatino Linotype" w:cs="Arial"/>
          <w:color w:val="000000"/>
        </w:rPr>
        <w:t xml:space="preserve"> y 149 de la </w:t>
      </w:r>
      <w:r w:rsidRPr="00CF1D3C">
        <w:rPr>
          <w:rFonts w:ascii="Palatino Linotype" w:eastAsia="Calibri" w:hAnsi="Palatino Linotype" w:cs="Arial"/>
          <w:b/>
          <w:color w:val="000000"/>
        </w:rPr>
        <w:t>Ley de Transparencia y Acceso a la Información Pública del Estado de México y Municipios</w:t>
      </w:r>
      <w:r w:rsidRPr="00CF1D3C">
        <w:rPr>
          <w:rFonts w:ascii="Palatino Linotype" w:eastAsia="Calibri" w:hAnsi="Palatino Linotype" w:cs="Arial"/>
          <w:color w:val="000000"/>
        </w:rPr>
        <w:t>, con el cual sustentara de forma fundada y motivada la clasificación de datos y con ello la "versión pública" de los documentos materia de la solicitud.</w:t>
      </w:r>
    </w:p>
    <w:p w:rsidR="001E3F7A" w:rsidRPr="00CF1D3C" w:rsidRDefault="001E3F7A" w:rsidP="001E3F7A">
      <w:pPr>
        <w:shd w:val="clear" w:color="auto" w:fill="FFFFFF"/>
        <w:tabs>
          <w:tab w:val="left" w:pos="284"/>
          <w:tab w:val="left" w:pos="426"/>
        </w:tabs>
        <w:spacing w:before="240" w:after="200" w:line="360" w:lineRule="auto"/>
        <w:contextualSpacing/>
        <w:jc w:val="both"/>
        <w:rPr>
          <w:rFonts w:ascii="Palatino Linotype" w:hAnsi="Palatino Linotype" w:cs="Arial"/>
          <w:color w:val="000000"/>
        </w:rPr>
      </w:pPr>
    </w:p>
    <w:p w:rsidR="001E3F7A" w:rsidRPr="00CF1D3C" w:rsidRDefault="001E3F7A" w:rsidP="001E3F7A">
      <w:pPr>
        <w:keepNext/>
        <w:keepLines/>
        <w:spacing w:before="40" w:line="259" w:lineRule="auto"/>
        <w:outlineLvl w:val="1"/>
        <w:rPr>
          <w:rFonts w:ascii="Palatino Linotype" w:hAnsi="Palatino Linotype"/>
          <w:b/>
          <w:color w:val="000000"/>
          <w:lang w:eastAsia="en-US"/>
        </w:rPr>
      </w:pPr>
      <w:bookmarkStart w:id="35" w:name="_Toc500756709"/>
      <w:bookmarkStart w:id="36" w:name="_Toc536691777"/>
      <w:bookmarkStart w:id="37" w:name="_Toc80889844"/>
      <w:bookmarkStart w:id="38" w:name="_Toc81349641"/>
      <w:bookmarkStart w:id="39" w:name="_Toc82515806"/>
      <w:bookmarkStart w:id="40" w:name="_Toc82515905"/>
      <w:bookmarkStart w:id="41" w:name="_Toc82519892"/>
      <w:r w:rsidRPr="00CF1D3C">
        <w:rPr>
          <w:rFonts w:ascii="Palatino Linotype" w:hAnsi="Palatino Linotype"/>
          <w:b/>
          <w:color w:val="000000"/>
          <w:lang w:eastAsia="en-US"/>
        </w:rPr>
        <w:lastRenderedPageBreak/>
        <w:t>I. De la clasificación de la información.</w:t>
      </w:r>
      <w:bookmarkEnd w:id="35"/>
      <w:bookmarkEnd w:id="36"/>
      <w:bookmarkEnd w:id="37"/>
      <w:bookmarkEnd w:id="38"/>
      <w:bookmarkEnd w:id="39"/>
      <w:bookmarkEnd w:id="40"/>
      <w:bookmarkEnd w:id="41"/>
    </w:p>
    <w:p w:rsidR="001E3F7A" w:rsidRPr="00CF1D3C" w:rsidRDefault="001E3F7A" w:rsidP="001E3F7A">
      <w:pPr>
        <w:rPr>
          <w:rFonts w:ascii="Palatino Linotype" w:hAnsi="Palatino Linotype"/>
          <w:color w:val="000000"/>
          <w:lang w:eastAsia="en-US"/>
        </w:rPr>
      </w:pPr>
    </w:p>
    <w:p w:rsidR="001E3F7A" w:rsidRPr="00CF1D3C" w:rsidRDefault="001E3F7A" w:rsidP="00A307A0">
      <w:pPr>
        <w:pStyle w:val="Prrafodelista"/>
        <w:numPr>
          <w:ilvl w:val="0"/>
          <w:numId w:val="1"/>
        </w:numPr>
        <w:tabs>
          <w:tab w:val="left" w:pos="0"/>
          <w:tab w:val="left" w:pos="142"/>
        </w:tabs>
        <w:spacing w:line="360" w:lineRule="auto"/>
        <w:ind w:left="0" w:firstLine="0"/>
        <w:jc w:val="both"/>
        <w:rPr>
          <w:rFonts w:ascii="Palatino Linotype" w:hAnsi="Palatino Linotype"/>
          <w:color w:val="000000"/>
        </w:rPr>
      </w:pPr>
      <w:r w:rsidRPr="00CF1D3C">
        <w:rPr>
          <w:rFonts w:ascii="Palatino Linotype" w:hAnsi="Palatino Linotype"/>
          <w:color w:val="000000"/>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CF1D3C">
        <w:rPr>
          <w:rFonts w:ascii="Palatino Linotype" w:hAnsi="Palatino Linotype"/>
          <w:vertAlign w:val="superscript"/>
        </w:rPr>
        <w:footnoteReference w:id="10"/>
      </w:r>
      <w:r w:rsidRPr="00CF1D3C">
        <w:rPr>
          <w:rFonts w:ascii="Palatino Linotype" w:hAnsi="Palatino Linotype"/>
          <w:color w:val="000000"/>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w:t>
      </w:r>
      <w:r w:rsidRPr="00CF1D3C">
        <w:rPr>
          <w:rFonts w:ascii="Palatino Linotype" w:hAnsi="Palatino Linotype"/>
          <w:color w:val="000000"/>
        </w:rPr>
        <w:lastRenderedPageBreak/>
        <w:t>preservar.</w:t>
      </w:r>
      <w:r w:rsidRPr="00CF1D3C">
        <w:rPr>
          <w:rFonts w:ascii="Palatino Linotype" w:hAnsi="Palatino Linotype"/>
          <w:vertAlign w:val="superscript"/>
        </w:rPr>
        <w:footnoteReference w:id="11"/>
      </w:r>
      <w:r w:rsidRPr="00CF1D3C">
        <w:rPr>
          <w:rFonts w:ascii="Palatino Linotype" w:hAnsi="Palatino Linotype"/>
          <w:color w:val="000000"/>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1E3F7A" w:rsidRPr="00CF1D3C" w:rsidRDefault="001E3F7A" w:rsidP="001E3F7A">
      <w:pPr>
        <w:pStyle w:val="Prrafodelista"/>
        <w:tabs>
          <w:tab w:val="left" w:pos="0"/>
          <w:tab w:val="left" w:pos="142"/>
        </w:tabs>
        <w:spacing w:line="360" w:lineRule="auto"/>
        <w:ind w:left="0"/>
        <w:jc w:val="both"/>
        <w:rPr>
          <w:rFonts w:ascii="Palatino Linotype" w:hAnsi="Palatino Linotype"/>
          <w:color w:val="000000"/>
        </w:rPr>
      </w:pPr>
    </w:p>
    <w:p w:rsidR="001E3F7A" w:rsidRPr="00CF1D3C" w:rsidRDefault="001E3F7A" w:rsidP="00A307A0">
      <w:pPr>
        <w:pStyle w:val="Prrafodelista"/>
        <w:numPr>
          <w:ilvl w:val="0"/>
          <w:numId w:val="1"/>
        </w:numPr>
        <w:tabs>
          <w:tab w:val="left" w:pos="0"/>
          <w:tab w:val="left" w:pos="142"/>
        </w:tabs>
        <w:spacing w:line="360" w:lineRule="auto"/>
        <w:ind w:left="0" w:firstLine="0"/>
        <w:jc w:val="both"/>
        <w:rPr>
          <w:rFonts w:ascii="Palatino Linotype" w:hAnsi="Palatino Linotype"/>
          <w:color w:val="000000"/>
        </w:rPr>
      </w:pPr>
      <w:r w:rsidRPr="00CF1D3C">
        <w:rPr>
          <w:rFonts w:ascii="Palatino Linotype" w:hAnsi="Palatino Linotype"/>
          <w:color w:val="000000"/>
        </w:rPr>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rsidR="001E3F7A" w:rsidRPr="00CF1D3C" w:rsidRDefault="001E3F7A" w:rsidP="001E3F7A">
      <w:pPr>
        <w:pStyle w:val="Prrafodelista"/>
        <w:rPr>
          <w:rFonts w:ascii="Palatino Linotype" w:hAnsi="Palatino Linotype"/>
          <w:color w:val="000000"/>
        </w:rPr>
      </w:pPr>
    </w:p>
    <w:p w:rsidR="001E3F7A" w:rsidRPr="00CF1D3C" w:rsidRDefault="001E3F7A" w:rsidP="001E3F7A">
      <w:pPr>
        <w:pStyle w:val="Prrafodelista"/>
        <w:tabs>
          <w:tab w:val="left" w:pos="0"/>
          <w:tab w:val="left" w:pos="142"/>
        </w:tabs>
        <w:spacing w:line="360" w:lineRule="auto"/>
        <w:ind w:left="0"/>
        <w:jc w:val="both"/>
        <w:rPr>
          <w:rFonts w:ascii="Palatino Linotype" w:hAnsi="Palatino Linotype"/>
          <w:color w:val="000000"/>
        </w:rPr>
      </w:pPr>
    </w:p>
    <w:p w:rsidR="001E3F7A" w:rsidRPr="00CF1D3C" w:rsidRDefault="001E3F7A" w:rsidP="00A307A0">
      <w:pPr>
        <w:pStyle w:val="Prrafodelista"/>
        <w:numPr>
          <w:ilvl w:val="0"/>
          <w:numId w:val="1"/>
        </w:numPr>
        <w:tabs>
          <w:tab w:val="left" w:pos="0"/>
          <w:tab w:val="left" w:pos="142"/>
        </w:tabs>
        <w:spacing w:line="360" w:lineRule="auto"/>
        <w:ind w:left="0" w:firstLine="0"/>
        <w:jc w:val="both"/>
        <w:rPr>
          <w:rFonts w:ascii="Palatino Linotype" w:hAnsi="Palatino Linotype"/>
          <w:color w:val="000000"/>
        </w:rPr>
      </w:pPr>
      <w:r w:rsidRPr="00CF1D3C">
        <w:rPr>
          <w:rFonts w:ascii="Palatino Linotype" w:hAnsi="Palatino Linotype"/>
          <w:color w:val="000000"/>
        </w:rPr>
        <w:lastRenderedPageBreak/>
        <w:t xml:space="preserve">Por esa razón, es que en esta ocasión se presenta un apretado resumen de las formalidades, elementos y procedimientos que debe considerar el </w:t>
      </w:r>
      <w:r w:rsidRPr="00CF1D3C">
        <w:rPr>
          <w:rFonts w:ascii="Palatino Linotype" w:hAnsi="Palatino Linotype" w:cs="Arial"/>
          <w:b/>
          <w:bCs/>
          <w:color w:val="000000"/>
        </w:rPr>
        <w:t>SUJETO OBLIGADO</w:t>
      </w:r>
      <w:r w:rsidRPr="00CF1D3C">
        <w:rPr>
          <w:rFonts w:ascii="Palatino Linotype" w:hAnsi="Palatino Linotype" w:cs="Arial"/>
          <w:color w:val="000000"/>
        </w:rPr>
        <w:t xml:space="preserve"> </w:t>
      </w:r>
      <w:r w:rsidRPr="00CF1D3C">
        <w:rPr>
          <w:rFonts w:ascii="Palatino Linotype" w:hAnsi="Palatino Linotype"/>
          <w:color w:val="000000"/>
        </w:rPr>
        <w:t>para emitir este tipo de acuerdos y que el Órgano Garante debe verificar que se cumplan.</w:t>
      </w:r>
    </w:p>
    <w:p w:rsidR="001E3F7A" w:rsidRPr="00CF1D3C" w:rsidRDefault="001E3F7A" w:rsidP="001E3F7A">
      <w:pPr>
        <w:spacing w:line="360" w:lineRule="auto"/>
        <w:jc w:val="both"/>
        <w:rPr>
          <w:rFonts w:ascii="Palatino Linotype" w:hAnsi="Palatino Linotype"/>
          <w:color w:val="000000"/>
        </w:rPr>
      </w:pPr>
    </w:p>
    <w:p w:rsidR="001E3F7A" w:rsidRPr="00CF1D3C" w:rsidRDefault="001E3F7A" w:rsidP="00A307A0">
      <w:pPr>
        <w:pStyle w:val="Prrafodelista"/>
        <w:keepNext/>
        <w:keepLines/>
        <w:numPr>
          <w:ilvl w:val="0"/>
          <w:numId w:val="13"/>
        </w:numPr>
        <w:pBdr>
          <w:top w:val="nil"/>
          <w:left w:val="nil"/>
          <w:bottom w:val="nil"/>
          <w:right w:val="nil"/>
          <w:between w:val="nil"/>
          <w:bar w:val="nil"/>
        </w:pBdr>
        <w:spacing w:before="240"/>
        <w:outlineLvl w:val="0"/>
        <w:rPr>
          <w:rFonts w:ascii="Palatino Linotype" w:hAnsi="Palatino Linotype"/>
          <w:b/>
          <w:color w:val="000000"/>
          <w:lang w:eastAsia="en-US"/>
        </w:rPr>
      </w:pPr>
      <w:bookmarkStart w:id="42" w:name="_Toc485631700"/>
      <w:bookmarkStart w:id="43" w:name="_Toc500756710"/>
      <w:bookmarkStart w:id="44" w:name="_Toc536691778"/>
      <w:bookmarkStart w:id="45" w:name="_Toc80889845"/>
      <w:bookmarkStart w:id="46" w:name="_Toc82515807"/>
      <w:bookmarkStart w:id="47" w:name="_Toc82515906"/>
      <w:bookmarkStart w:id="48" w:name="_Toc82519893"/>
      <w:r w:rsidRPr="00CF1D3C">
        <w:rPr>
          <w:rFonts w:ascii="Palatino Linotype" w:hAnsi="Palatino Linotype"/>
          <w:b/>
          <w:color w:val="000000"/>
          <w:lang w:eastAsia="en-US"/>
        </w:rPr>
        <w:t>Requisitos previos.</w:t>
      </w:r>
      <w:bookmarkEnd w:id="42"/>
      <w:bookmarkEnd w:id="43"/>
      <w:bookmarkEnd w:id="44"/>
      <w:bookmarkEnd w:id="45"/>
      <w:bookmarkEnd w:id="46"/>
      <w:bookmarkEnd w:id="47"/>
      <w:bookmarkEnd w:id="48"/>
    </w:p>
    <w:p w:rsidR="001E3F7A" w:rsidRPr="00CF1D3C" w:rsidRDefault="001E3F7A" w:rsidP="001E3F7A">
      <w:pPr>
        <w:pStyle w:val="Prrafodelista"/>
        <w:keepNext/>
        <w:keepLines/>
        <w:pBdr>
          <w:top w:val="nil"/>
          <w:left w:val="nil"/>
          <w:bottom w:val="nil"/>
          <w:right w:val="nil"/>
          <w:between w:val="nil"/>
          <w:bar w:val="nil"/>
        </w:pBdr>
        <w:spacing w:before="240"/>
        <w:outlineLvl w:val="0"/>
        <w:rPr>
          <w:rFonts w:ascii="Palatino Linotype" w:hAnsi="Palatino Linotype"/>
          <w:b/>
          <w:color w:val="000000"/>
          <w:lang w:eastAsia="en-US"/>
        </w:rPr>
      </w:pPr>
    </w:p>
    <w:p w:rsidR="001E3F7A" w:rsidRPr="00CF1D3C" w:rsidRDefault="001E3F7A" w:rsidP="00A307A0">
      <w:pPr>
        <w:pStyle w:val="Prrafodelista"/>
        <w:numPr>
          <w:ilvl w:val="0"/>
          <w:numId w:val="1"/>
        </w:numPr>
        <w:tabs>
          <w:tab w:val="left" w:pos="0"/>
          <w:tab w:val="left" w:pos="142"/>
        </w:tabs>
        <w:spacing w:line="360" w:lineRule="auto"/>
        <w:ind w:left="0" w:firstLine="0"/>
        <w:jc w:val="both"/>
        <w:rPr>
          <w:rFonts w:ascii="Palatino Linotype" w:hAnsi="Palatino Linotype" w:cs="Arial"/>
          <w:color w:val="000000"/>
        </w:rPr>
      </w:pPr>
      <w:r w:rsidRPr="00CF1D3C">
        <w:rPr>
          <w:rFonts w:ascii="Palatino Linotype" w:hAnsi="Palatino Linotype" w:cs="Arial"/>
          <w:color w:val="000000"/>
        </w:rPr>
        <w:t xml:space="preserve">Los </w:t>
      </w:r>
      <w:r w:rsidRPr="00CF1D3C">
        <w:rPr>
          <w:rFonts w:ascii="Palatino Linotype" w:hAnsi="Palatino Linotype"/>
          <w:color w:val="000000"/>
        </w:rPr>
        <w:t>artículos</w:t>
      </w:r>
      <w:r w:rsidRPr="00CF1D3C">
        <w:rPr>
          <w:rFonts w:ascii="Palatino Linotype" w:hAnsi="Palatino Linotype" w:cs="Arial"/>
          <w:color w:val="000000"/>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1E3F7A" w:rsidRPr="00CF1D3C" w:rsidRDefault="001E3F7A" w:rsidP="001E3F7A">
      <w:pPr>
        <w:pStyle w:val="Prrafodelista"/>
        <w:tabs>
          <w:tab w:val="left" w:pos="0"/>
          <w:tab w:val="left" w:pos="142"/>
        </w:tabs>
        <w:spacing w:line="360" w:lineRule="auto"/>
        <w:ind w:left="0"/>
        <w:jc w:val="both"/>
        <w:rPr>
          <w:rFonts w:ascii="Palatino Linotype" w:hAnsi="Palatino Linotype" w:cs="Arial"/>
          <w:color w:val="000000"/>
        </w:rPr>
      </w:pPr>
    </w:p>
    <w:p w:rsidR="001E3F7A" w:rsidRPr="00CF1D3C" w:rsidRDefault="001E3F7A" w:rsidP="00A307A0">
      <w:pPr>
        <w:pStyle w:val="Prrafodelista"/>
        <w:numPr>
          <w:ilvl w:val="0"/>
          <w:numId w:val="1"/>
        </w:numPr>
        <w:tabs>
          <w:tab w:val="left" w:pos="0"/>
          <w:tab w:val="left" w:pos="142"/>
        </w:tabs>
        <w:spacing w:line="360" w:lineRule="auto"/>
        <w:ind w:left="0" w:firstLine="0"/>
        <w:jc w:val="both"/>
        <w:rPr>
          <w:rFonts w:ascii="Palatino Linotype" w:hAnsi="Palatino Linotype" w:cs="Arial"/>
          <w:color w:val="000000"/>
        </w:rPr>
      </w:pPr>
      <w:r w:rsidRPr="00CF1D3C">
        <w:rPr>
          <w:rFonts w:ascii="Palatino Linotype" w:hAnsi="Palatino Linotype" w:cs="Arial"/>
          <w:color w:val="000000"/>
        </w:rPr>
        <w:t xml:space="preserve">Además, se debe señalar el procedimiento, de los tres que establecen los artículos 132 y 106 de la Ley Estatal y General, respectivamente, por el que se realiza dicha clasificación, a saber, cuando se atiende una solicitud de acceso a la </w:t>
      </w:r>
      <w:r w:rsidRPr="00CF1D3C">
        <w:rPr>
          <w:rFonts w:ascii="Palatino Linotype" w:hAnsi="Palatino Linotype" w:cs="Arial"/>
          <w:color w:val="000000"/>
        </w:rPr>
        <w:lastRenderedPageBreak/>
        <w:t>información, porque lo determina una autoridad competente o porque se va a generar una versión pública para cumplir con sus obligaciones.</w:t>
      </w:r>
    </w:p>
    <w:p w:rsidR="001E3F7A" w:rsidRPr="00CF1D3C" w:rsidRDefault="001E3F7A" w:rsidP="001E3F7A">
      <w:pPr>
        <w:pStyle w:val="Prrafodelista"/>
        <w:rPr>
          <w:rFonts w:ascii="Palatino Linotype" w:hAnsi="Palatino Linotype" w:cs="Arial"/>
          <w:color w:val="000000"/>
        </w:rPr>
      </w:pPr>
    </w:p>
    <w:p w:rsidR="001E3F7A" w:rsidRPr="00CF1D3C" w:rsidRDefault="001E3F7A" w:rsidP="00A307A0">
      <w:pPr>
        <w:pStyle w:val="Prrafodelista"/>
        <w:numPr>
          <w:ilvl w:val="0"/>
          <w:numId w:val="1"/>
        </w:numPr>
        <w:tabs>
          <w:tab w:val="left" w:pos="0"/>
          <w:tab w:val="left" w:pos="142"/>
        </w:tabs>
        <w:spacing w:line="360" w:lineRule="auto"/>
        <w:ind w:left="0" w:firstLine="0"/>
        <w:jc w:val="both"/>
        <w:rPr>
          <w:rFonts w:ascii="Palatino Linotype" w:hAnsi="Palatino Linotype" w:cs="Arial"/>
          <w:color w:val="000000"/>
        </w:rPr>
      </w:pPr>
      <w:r w:rsidRPr="00CF1D3C">
        <w:rPr>
          <w:rFonts w:ascii="Palatino Linotype" w:hAnsi="Palatino Linotype" w:cs="Arial"/>
          <w:color w:val="000000"/>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1E3F7A" w:rsidRPr="00CF1D3C" w:rsidRDefault="001E3F7A" w:rsidP="001E3F7A">
      <w:pPr>
        <w:spacing w:after="160" w:line="360" w:lineRule="auto"/>
        <w:contextualSpacing/>
        <w:jc w:val="both"/>
        <w:rPr>
          <w:rFonts w:ascii="Palatino Linotype" w:hAnsi="Palatino Linotype" w:cs="Arial"/>
          <w:color w:val="000000"/>
        </w:rPr>
      </w:pPr>
    </w:p>
    <w:p w:rsidR="001E3F7A" w:rsidRPr="00CF1D3C" w:rsidRDefault="001E3F7A" w:rsidP="00A307A0">
      <w:pPr>
        <w:pStyle w:val="Prrafodelista"/>
        <w:keepNext/>
        <w:keepLines/>
        <w:numPr>
          <w:ilvl w:val="0"/>
          <w:numId w:val="13"/>
        </w:numPr>
        <w:pBdr>
          <w:top w:val="nil"/>
          <w:left w:val="nil"/>
          <w:bottom w:val="nil"/>
          <w:right w:val="nil"/>
          <w:between w:val="nil"/>
          <w:bar w:val="nil"/>
        </w:pBdr>
        <w:spacing w:before="240"/>
        <w:outlineLvl w:val="0"/>
        <w:rPr>
          <w:rFonts w:ascii="Palatino Linotype" w:hAnsi="Palatino Linotype"/>
          <w:b/>
          <w:color w:val="000000"/>
          <w:lang w:eastAsia="en-US"/>
        </w:rPr>
      </w:pPr>
      <w:bookmarkStart w:id="49" w:name="_Toc485631701"/>
      <w:bookmarkStart w:id="50" w:name="_Toc500756711"/>
      <w:bookmarkStart w:id="51" w:name="_Toc536691779"/>
      <w:bookmarkStart w:id="52" w:name="_Toc80889846"/>
      <w:bookmarkStart w:id="53" w:name="_Toc82515808"/>
      <w:bookmarkStart w:id="54" w:name="_Toc82515907"/>
      <w:bookmarkStart w:id="55" w:name="_Toc82519894"/>
      <w:r w:rsidRPr="00CF1D3C">
        <w:rPr>
          <w:rFonts w:ascii="Palatino Linotype" w:hAnsi="Palatino Linotype"/>
          <w:b/>
          <w:color w:val="000000"/>
          <w:lang w:eastAsia="en-US"/>
        </w:rPr>
        <w:t>Supuestos de clasificación.</w:t>
      </w:r>
      <w:bookmarkEnd w:id="49"/>
      <w:bookmarkEnd w:id="50"/>
      <w:bookmarkEnd w:id="51"/>
      <w:bookmarkEnd w:id="52"/>
      <w:bookmarkEnd w:id="53"/>
      <w:bookmarkEnd w:id="54"/>
      <w:bookmarkEnd w:id="55"/>
    </w:p>
    <w:p w:rsidR="001E3F7A" w:rsidRPr="00CF1D3C" w:rsidRDefault="001E3F7A" w:rsidP="001E3F7A">
      <w:pPr>
        <w:pStyle w:val="Prrafodelista"/>
        <w:keepNext/>
        <w:keepLines/>
        <w:pBdr>
          <w:top w:val="nil"/>
          <w:left w:val="nil"/>
          <w:bottom w:val="nil"/>
          <w:right w:val="nil"/>
          <w:between w:val="nil"/>
          <w:bar w:val="nil"/>
        </w:pBdr>
        <w:spacing w:before="240"/>
        <w:outlineLvl w:val="0"/>
        <w:rPr>
          <w:rFonts w:ascii="Palatino Linotype" w:hAnsi="Palatino Linotype"/>
          <w:b/>
          <w:color w:val="000000"/>
          <w:lang w:eastAsia="en-US"/>
        </w:rPr>
      </w:pPr>
    </w:p>
    <w:p w:rsidR="001E3F7A" w:rsidRPr="00CF1D3C" w:rsidRDefault="001E3F7A" w:rsidP="00A307A0">
      <w:pPr>
        <w:pStyle w:val="Prrafodelista"/>
        <w:numPr>
          <w:ilvl w:val="0"/>
          <w:numId w:val="1"/>
        </w:numPr>
        <w:tabs>
          <w:tab w:val="left" w:pos="0"/>
          <w:tab w:val="left" w:pos="142"/>
        </w:tabs>
        <w:spacing w:line="360" w:lineRule="auto"/>
        <w:ind w:left="0" w:firstLine="0"/>
        <w:jc w:val="both"/>
        <w:rPr>
          <w:rFonts w:ascii="Palatino Linotype" w:hAnsi="Palatino Linotype" w:cs="Arial"/>
          <w:color w:val="000000"/>
        </w:rPr>
      </w:pPr>
      <w:r w:rsidRPr="00CF1D3C">
        <w:rPr>
          <w:rFonts w:ascii="Palatino Linotype" w:hAnsi="Palatino Linotype" w:cs="Arial"/>
          <w:color w:val="000000"/>
        </w:rPr>
        <w:t>Las disposiciones constitucionales y legales en la materia establecen los dos supuestos generales para clasificar la información: por reserva y por confidencialidad.</w:t>
      </w:r>
    </w:p>
    <w:p w:rsidR="001E3F7A" w:rsidRPr="00CF1D3C" w:rsidRDefault="001E3F7A" w:rsidP="001E3F7A">
      <w:pPr>
        <w:pStyle w:val="Prrafodelista"/>
        <w:tabs>
          <w:tab w:val="left" w:pos="0"/>
          <w:tab w:val="left" w:pos="142"/>
        </w:tabs>
        <w:spacing w:line="360" w:lineRule="auto"/>
        <w:ind w:left="0"/>
        <w:jc w:val="both"/>
        <w:rPr>
          <w:rFonts w:ascii="Palatino Linotype" w:hAnsi="Palatino Linotype" w:cs="Arial"/>
          <w:color w:val="000000"/>
        </w:rPr>
      </w:pPr>
    </w:p>
    <w:p w:rsidR="001E3F7A" w:rsidRPr="00CF1D3C" w:rsidRDefault="001E3F7A" w:rsidP="00A307A0">
      <w:pPr>
        <w:pStyle w:val="Prrafodelista"/>
        <w:numPr>
          <w:ilvl w:val="0"/>
          <w:numId w:val="1"/>
        </w:numPr>
        <w:tabs>
          <w:tab w:val="left" w:pos="0"/>
          <w:tab w:val="left" w:pos="142"/>
        </w:tabs>
        <w:spacing w:line="360" w:lineRule="auto"/>
        <w:ind w:left="0" w:firstLine="0"/>
        <w:jc w:val="both"/>
        <w:rPr>
          <w:rFonts w:ascii="Palatino Linotype" w:hAnsi="Palatino Linotype" w:cs="Arial"/>
          <w:color w:val="000000"/>
        </w:rPr>
      </w:pPr>
      <w:r w:rsidRPr="00CF1D3C">
        <w:rPr>
          <w:rFonts w:ascii="Palatino Linotype" w:hAnsi="Palatino Linotype" w:cs="Arial"/>
          <w:color w:val="000000"/>
        </w:rPr>
        <w:t>Mientras que los artículos 143 y 116 de la Ley Estatal y de la Ley General, respectivamente, señalan los supuestos para que la información pueda ser clasificada como confidencial:</w:t>
      </w:r>
    </w:p>
    <w:p w:rsidR="001E3F7A" w:rsidRPr="00CF1D3C" w:rsidRDefault="001E3F7A" w:rsidP="001E3F7A">
      <w:pPr>
        <w:widowControl w:val="0"/>
        <w:autoSpaceDE w:val="0"/>
        <w:autoSpaceDN w:val="0"/>
        <w:adjustRightInd w:val="0"/>
        <w:spacing w:line="276" w:lineRule="auto"/>
        <w:ind w:left="567" w:right="616"/>
        <w:jc w:val="both"/>
        <w:rPr>
          <w:rFonts w:ascii="Palatino Linotype" w:hAnsi="Palatino Linotype" w:cs="Times"/>
          <w:i/>
          <w:iCs/>
          <w:color w:val="000000"/>
        </w:rPr>
      </w:pPr>
      <w:r w:rsidRPr="00CF1D3C">
        <w:rPr>
          <w:rFonts w:ascii="Palatino Linotype" w:hAnsi="Palatino Linotype" w:cs="Bookman Old Style"/>
          <w:bCs/>
          <w:i/>
          <w:iCs/>
          <w:color w:val="000000"/>
        </w:rPr>
        <w:t>“</w:t>
      </w:r>
      <w:r w:rsidRPr="00CF1D3C">
        <w:rPr>
          <w:rFonts w:ascii="Palatino Linotype" w:hAnsi="Palatino Linotype" w:cs="Bookman Old Style"/>
          <w:b/>
          <w:i/>
          <w:iCs/>
          <w:color w:val="000000"/>
        </w:rPr>
        <w:t>I.</w:t>
      </w:r>
      <w:r w:rsidRPr="00CF1D3C">
        <w:rPr>
          <w:rFonts w:ascii="Palatino Linotype" w:hAnsi="Palatino Linotype" w:cs="Bookman Old Style"/>
          <w:bCs/>
          <w:i/>
          <w:iCs/>
          <w:color w:val="000000"/>
        </w:rPr>
        <w:t xml:space="preserve"> </w:t>
      </w:r>
      <w:r w:rsidRPr="00CF1D3C">
        <w:rPr>
          <w:rFonts w:ascii="Palatino Linotype" w:hAnsi="Palatino Linotype" w:cs="Bookman Old Style"/>
          <w:i/>
          <w:iCs/>
          <w:color w:val="000000"/>
        </w:rPr>
        <w:t xml:space="preserve">Se refiera a la información privada y los datos personales concernientes a una persona física o jurídico colectiva identificada o identificable; </w:t>
      </w:r>
    </w:p>
    <w:p w:rsidR="001E3F7A" w:rsidRPr="00CF1D3C" w:rsidRDefault="001E3F7A" w:rsidP="001E3F7A">
      <w:pPr>
        <w:widowControl w:val="0"/>
        <w:autoSpaceDE w:val="0"/>
        <w:autoSpaceDN w:val="0"/>
        <w:adjustRightInd w:val="0"/>
        <w:spacing w:line="276" w:lineRule="auto"/>
        <w:ind w:left="567" w:right="616"/>
        <w:jc w:val="both"/>
        <w:rPr>
          <w:rFonts w:ascii="Palatino Linotype" w:hAnsi="Palatino Linotype" w:cs="Times"/>
          <w:i/>
          <w:iCs/>
          <w:color w:val="000000"/>
        </w:rPr>
      </w:pPr>
      <w:r w:rsidRPr="00CF1D3C">
        <w:rPr>
          <w:rFonts w:ascii="Palatino Linotype" w:hAnsi="Palatino Linotype" w:cs="Bookman Old Style"/>
          <w:b/>
          <w:i/>
          <w:iCs/>
          <w:color w:val="000000"/>
        </w:rPr>
        <w:t>II.</w:t>
      </w:r>
      <w:r w:rsidRPr="00CF1D3C">
        <w:rPr>
          <w:rFonts w:ascii="Palatino Linotype" w:hAnsi="Palatino Linotype" w:cs="Bookman Old Style"/>
          <w:bCs/>
          <w:i/>
          <w:iCs/>
          <w:color w:val="000000"/>
        </w:rPr>
        <w:t xml:space="preserve"> </w:t>
      </w:r>
      <w:r w:rsidRPr="00CF1D3C">
        <w:rPr>
          <w:rFonts w:ascii="Palatino Linotype" w:hAnsi="Palatino Linotype" w:cs="Bookman Old Style"/>
          <w:i/>
          <w:iCs/>
          <w:color w:val="000000"/>
        </w:rPr>
        <w:t xml:space="preserve">Los secretos bancario, fiduciario, industrial, comercial, fiscal, bursátil y </w:t>
      </w:r>
      <w:r w:rsidRPr="00CF1D3C">
        <w:rPr>
          <w:rFonts w:ascii="Palatino Linotype" w:hAnsi="Palatino Linotype" w:cs="Bookman Old Style"/>
          <w:i/>
          <w:iCs/>
          <w:color w:val="000000"/>
        </w:rPr>
        <w:lastRenderedPageBreak/>
        <w:t xml:space="preserve">postal, cuya titularidad corresponda a particulares, sujetos de derecho internacional o a sujetos obligados cuando no involucren el ejercicio de recursos públicos; y </w:t>
      </w:r>
    </w:p>
    <w:p w:rsidR="001E3F7A" w:rsidRPr="00CF1D3C" w:rsidRDefault="001E3F7A" w:rsidP="001E3F7A">
      <w:pPr>
        <w:widowControl w:val="0"/>
        <w:autoSpaceDE w:val="0"/>
        <w:autoSpaceDN w:val="0"/>
        <w:adjustRightInd w:val="0"/>
        <w:spacing w:line="276" w:lineRule="auto"/>
        <w:ind w:left="567" w:right="616"/>
        <w:jc w:val="both"/>
        <w:rPr>
          <w:rFonts w:ascii="Palatino Linotype" w:hAnsi="Palatino Linotype" w:cs="Times"/>
          <w:i/>
          <w:iCs/>
          <w:color w:val="000000"/>
        </w:rPr>
      </w:pPr>
      <w:r w:rsidRPr="00CF1D3C">
        <w:rPr>
          <w:rFonts w:ascii="Palatino Linotype" w:hAnsi="Palatino Linotype" w:cs="Bookman Old Style"/>
          <w:b/>
          <w:i/>
          <w:iCs/>
          <w:color w:val="000000"/>
        </w:rPr>
        <w:t>III.</w:t>
      </w:r>
      <w:r w:rsidRPr="00CF1D3C">
        <w:rPr>
          <w:rFonts w:ascii="Palatino Linotype" w:hAnsi="Palatino Linotype" w:cs="Bookman Old Style"/>
          <w:bCs/>
          <w:i/>
          <w:iCs/>
          <w:color w:val="000000"/>
        </w:rPr>
        <w:t xml:space="preserve"> </w:t>
      </w:r>
      <w:r w:rsidRPr="00CF1D3C">
        <w:rPr>
          <w:rFonts w:ascii="Palatino Linotype" w:hAnsi="Palatino Linotype" w:cs="Bookman Old Style"/>
          <w:i/>
          <w:iCs/>
          <w:color w:val="000000"/>
        </w:rPr>
        <w:t xml:space="preserve">La que presenten los particulares a los sujetos obligados, de conformidad con lo dispuesto por las leyes o los tratados internacionales. </w:t>
      </w:r>
    </w:p>
    <w:p w:rsidR="001E3F7A" w:rsidRPr="00CF1D3C" w:rsidRDefault="001E3F7A" w:rsidP="001E3F7A">
      <w:pPr>
        <w:widowControl w:val="0"/>
        <w:autoSpaceDE w:val="0"/>
        <w:autoSpaceDN w:val="0"/>
        <w:adjustRightInd w:val="0"/>
        <w:spacing w:line="276" w:lineRule="auto"/>
        <w:ind w:left="567" w:right="616"/>
        <w:jc w:val="both"/>
        <w:rPr>
          <w:rFonts w:ascii="Palatino Linotype" w:hAnsi="Palatino Linotype" w:cs="Times"/>
          <w:i/>
          <w:iCs/>
          <w:color w:val="000000"/>
        </w:rPr>
      </w:pPr>
      <w:r w:rsidRPr="00CF1D3C">
        <w:rPr>
          <w:rFonts w:ascii="Palatino Linotype" w:hAnsi="Palatino Linotype" w:cs="Bookman Old Style"/>
          <w:i/>
          <w:iCs/>
          <w:color w:val="000000"/>
        </w:rPr>
        <w:t xml:space="preserve">La información confidencial no estará sujeta a temporalidad alguna y sólo podrán tener acceso a ella los titulares de la misma, sus representantes y los servidores públicos facultados para ello. </w:t>
      </w:r>
    </w:p>
    <w:p w:rsidR="001E3F7A" w:rsidRPr="00CF1D3C" w:rsidRDefault="001E3F7A" w:rsidP="001E3F7A">
      <w:pPr>
        <w:widowControl w:val="0"/>
        <w:autoSpaceDE w:val="0"/>
        <w:autoSpaceDN w:val="0"/>
        <w:adjustRightInd w:val="0"/>
        <w:spacing w:line="276" w:lineRule="auto"/>
        <w:ind w:left="567" w:right="616"/>
        <w:jc w:val="both"/>
        <w:rPr>
          <w:rFonts w:ascii="Palatino Linotype" w:hAnsi="Palatino Linotype" w:cs="Times"/>
          <w:i/>
          <w:iCs/>
          <w:color w:val="000000"/>
        </w:rPr>
      </w:pPr>
      <w:r w:rsidRPr="00CF1D3C">
        <w:rPr>
          <w:rFonts w:ascii="Palatino Linotype" w:hAnsi="Palatino Linotype" w:cs="Bookman Old Style"/>
          <w:i/>
          <w:iCs/>
          <w:color w:val="000000"/>
        </w:rPr>
        <w:t>No se considerará confidencial la información que se encuentre en los registros públicos o en fuentes de acceso público, ni tampoco la que sea considerada por la presente ley como información pública.”</w:t>
      </w:r>
    </w:p>
    <w:p w:rsidR="001E3F7A" w:rsidRPr="00CF1D3C" w:rsidRDefault="001E3F7A" w:rsidP="001E3F7A">
      <w:pPr>
        <w:spacing w:line="360" w:lineRule="auto"/>
        <w:jc w:val="both"/>
        <w:rPr>
          <w:rFonts w:ascii="Palatino Linotype" w:hAnsi="Palatino Linotype" w:cs="Arial"/>
          <w:color w:val="000000"/>
        </w:rPr>
      </w:pPr>
    </w:p>
    <w:p w:rsidR="001E3F7A" w:rsidRPr="00CF1D3C" w:rsidRDefault="001E3F7A" w:rsidP="00A307A0">
      <w:pPr>
        <w:pStyle w:val="Prrafodelista"/>
        <w:numPr>
          <w:ilvl w:val="0"/>
          <w:numId w:val="1"/>
        </w:numPr>
        <w:tabs>
          <w:tab w:val="left" w:pos="0"/>
          <w:tab w:val="left" w:pos="142"/>
        </w:tabs>
        <w:spacing w:line="360" w:lineRule="auto"/>
        <w:ind w:left="0" w:firstLine="0"/>
        <w:jc w:val="both"/>
        <w:rPr>
          <w:rFonts w:ascii="Palatino Linotype" w:hAnsi="Palatino Linotype" w:cs="Arial"/>
          <w:color w:val="000000"/>
        </w:rPr>
      </w:pPr>
      <w:r w:rsidRPr="00CF1D3C">
        <w:rPr>
          <w:rFonts w:ascii="Palatino Linotype" w:hAnsi="Palatino Linotype" w:cs="Arial"/>
          <w:color w:val="000000"/>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1E3F7A" w:rsidRPr="00CF1D3C" w:rsidRDefault="001E3F7A" w:rsidP="001E3F7A">
      <w:pPr>
        <w:pStyle w:val="Prrafodelista"/>
        <w:tabs>
          <w:tab w:val="left" w:pos="0"/>
          <w:tab w:val="left" w:pos="142"/>
        </w:tabs>
        <w:spacing w:line="360" w:lineRule="auto"/>
        <w:ind w:left="0"/>
        <w:jc w:val="both"/>
        <w:rPr>
          <w:rFonts w:ascii="Palatino Linotype" w:hAnsi="Palatino Linotype" w:cs="Arial"/>
          <w:color w:val="000000"/>
        </w:rPr>
      </w:pPr>
    </w:p>
    <w:p w:rsidR="001E3F7A" w:rsidRPr="00CF1D3C" w:rsidRDefault="001E3F7A" w:rsidP="00A307A0">
      <w:pPr>
        <w:pStyle w:val="Prrafodelista"/>
        <w:numPr>
          <w:ilvl w:val="0"/>
          <w:numId w:val="1"/>
        </w:numPr>
        <w:tabs>
          <w:tab w:val="left" w:pos="0"/>
          <w:tab w:val="left" w:pos="142"/>
        </w:tabs>
        <w:spacing w:line="360" w:lineRule="auto"/>
        <w:ind w:left="0" w:firstLine="0"/>
        <w:jc w:val="both"/>
        <w:rPr>
          <w:rFonts w:ascii="Palatino Linotype" w:hAnsi="Palatino Linotype" w:cs="Arial"/>
          <w:color w:val="000000"/>
        </w:rPr>
      </w:pPr>
      <w:r w:rsidRPr="00CF1D3C">
        <w:rPr>
          <w:rFonts w:ascii="Palatino Linotype" w:hAnsi="Palatino Linotype" w:cs="Arial"/>
          <w:color w:val="000000"/>
        </w:rPr>
        <w:t xml:space="preserve">Como consecuencia de lo anterior, el </w:t>
      </w:r>
      <w:r w:rsidRPr="00CF1D3C">
        <w:rPr>
          <w:rFonts w:ascii="Palatino Linotype" w:hAnsi="Palatino Linotype" w:cs="Arial"/>
          <w:b/>
          <w:bCs/>
          <w:color w:val="000000"/>
        </w:rPr>
        <w:t>SUJETO OBLIGADO</w:t>
      </w:r>
      <w:r w:rsidRPr="00CF1D3C">
        <w:rPr>
          <w:rFonts w:ascii="Palatino Linotype" w:hAnsi="Palatino Linotype" w:cs="Arial"/>
          <w:color w:val="000000"/>
        </w:rPr>
        <w:t xml:space="preserve"> debe identificar claramente el tipo de información y hacer un juicio de subsunción o encaje</w:t>
      </w:r>
      <w:r w:rsidRPr="00CF1D3C">
        <w:rPr>
          <w:rFonts w:ascii="Palatino Linotype" w:hAnsi="Palatino Linotype" w:cs="Arial"/>
          <w:color w:val="000000"/>
          <w:vertAlign w:val="superscript"/>
        </w:rPr>
        <w:footnoteReference w:id="12"/>
      </w:r>
      <w:r w:rsidRPr="00CF1D3C">
        <w:rPr>
          <w:rFonts w:ascii="Palatino Linotype" w:hAnsi="Palatino Linotype" w:cs="Arial"/>
          <w:color w:val="000000"/>
        </w:rPr>
        <w:t xml:space="preserve"> para </w:t>
      </w:r>
      <w:r w:rsidRPr="00CF1D3C">
        <w:rPr>
          <w:rFonts w:ascii="Palatino Linotype" w:hAnsi="Palatino Linotype" w:cs="Arial"/>
          <w:color w:val="000000"/>
        </w:rPr>
        <w:lastRenderedPageBreak/>
        <w:t>acreditar que el supuesto de hecho corresponde estrictamente con la hipótesis jurídica. Esto también lo debe de realizar el servidor público habilitado y el titular del área que administra la información.</w:t>
      </w:r>
    </w:p>
    <w:p w:rsidR="001E3F7A" w:rsidRPr="00CF1D3C" w:rsidRDefault="001E3F7A" w:rsidP="001E3F7A">
      <w:pPr>
        <w:pStyle w:val="Prrafodelista"/>
        <w:rPr>
          <w:rFonts w:ascii="Palatino Linotype" w:hAnsi="Palatino Linotype" w:cs="Arial"/>
          <w:color w:val="000000"/>
        </w:rPr>
      </w:pPr>
    </w:p>
    <w:p w:rsidR="001E3F7A" w:rsidRPr="00CF1D3C" w:rsidRDefault="001E3F7A" w:rsidP="00A307A0">
      <w:pPr>
        <w:pStyle w:val="Prrafodelista"/>
        <w:numPr>
          <w:ilvl w:val="0"/>
          <w:numId w:val="1"/>
        </w:numPr>
        <w:tabs>
          <w:tab w:val="left" w:pos="0"/>
          <w:tab w:val="left" w:pos="142"/>
        </w:tabs>
        <w:spacing w:line="360" w:lineRule="auto"/>
        <w:ind w:left="0" w:firstLine="0"/>
        <w:jc w:val="both"/>
        <w:rPr>
          <w:rFonts w:ascii="Palatino Linotype" w:hAnsi="Palatino Linotype" w:cs="Arial"/>
          <w:color w:val="000000"/>
        </w:rPr>
      </w:pPr>
      <w:r w:rsidRPr="00CF1D3C">
        <w:rPr>
          <w:rFonts w:ascii="Palatino Linotype" w:hAnsi="Palatino Linotype" w:cs="Arial"/>
          <w:color w:val="000000"/>
        </w:rPr>
        <w:t>Una vez hecho lo anterior, se remite la información al Titular de la Unidad de Transparencia, con el acuerdo de clasificación correspondiente, para que sea sometido al conocimiento del Comité de Transparencia.</w:t>
      </w:r>
    </w:p>
    <w:p w:rsidR="001E3F7A" w:rsidRPr="00CF1D3C" w:rsidRDefault="001E3F7A" w:rsidP="001E3F7A">
      <w:pPr>
        <w:spacing w:line="360" w:lineRule="auto"/>
        <w:contextualSpacing/>
        <w:jc w:val="both"/>
        <w:rPr>
          <w:rFonts w:ascii="Palatino Linotype" w:hAnsi="Palatino Linotype"/>
          <w:b/>
          <w:color w:val="000000"/>
        </w:rPr>
      </w:pPr>
    </w:p>
    <w:p w:rsidR="001E3F7A" w:rsidRPr="00CF1D3C" w:rsidRDefault="001E3F7A" w:rsidP="001E3F7A">
      <w:pPr>
        <w:keepNext/>
        <w:keepLines/>
        <w:pBdr>
          <w:top w:val="nil"/>
          <w:left w:val="nil"/>
          <w:bottom w:val="nil"/>
          <w:right w:val="nil"/>
          <w:between w:val="nil"/>
          <w:bar w:val="nil"/>
        </w:pBdr>
        <w:spacing w:before="240"/>
        <w:contextualSpacing/>
        <w:jc w:val="both"/>
        <w:outlineLvl w:val="0"/>
        <w:rPr>
          <w:rFonts w:ascii="Palatino Linotype" w:hAnsi="Palatino Linotype"/>
          <w:b/>
          <w:color w:val="000000"/>
          <w:lang w:eastAsia="en-US"/>
        </w:rPr>
      </w:pPr>
      <w:bookmarkStart w:id="56" w:name="_Toc485631702"/>
      <w:bookmarkStart w:id="57" w:name="_Toc500756712"/>
      <w:bookmarkStart w:id="58" w:name="_Toc536691780"/>
      <w:bookmarkStart w:id="59" w:name="_Toc80889847"/>
      <w:bookmarkStart w:id="60" w:name="_Toc82515809"/>
      <w:bookmarkStart w:id="61" w:name="_Toc82515908"/>
      <w:bookmarkStart w:id="62" w:name="_Toc82519895"/>
      <w:r w:rsidRPr="00CF1D3C">
        <w:rPr>
          <w:rFonts w:ascii="Palatino Linotype" w:hAnsi="Palatino Linotype"/>
          <w:b/>
          <w:color w:val="000000"/>
          <w:lang w:eastAsia="en-US"/>
        </w:rPr>
        <w:t>c) Excepciones a los supuestos de clasificación de la información como reservada.</w:t>
      </w:r>
      <w:bookmarkEnd w:id="56"/>
      <w:bookmarkEnd w:id="57"/>
      <w:bookmarkEnd w:id="58"/>
      <w:bookmarkEnd w:id="59"/>
      <w:bookmarkEnd w:id="60"/>
      <w:bookmarkEnd w:id="61"/>
      <w:bookmarkEnd w:id="62"/>
    </w:p>
    <w:p w:rsidR="001E3F7A" w:rsidRPr="00CF1D3C" w:rsidRDefault="001E3F7A" w:rsidP="001E3F7A">
      <w:pPr>
        <w:rPr>
          <w:rFonts w:ascii="Palatino Linotype" w:hAnsi="Palatino Linotype"/>
          <w:color w:val="000000"/>
        </w:rPr>
      </w:pPr>
    </w:p>
    <w:p w:rsidR="001E3F7A" w:rsidRPr="00CF1D3C" w:rsidRDefault="001E3F7A" w:rsidP="00A307A0">
      <w:pPr>
        <w:pStyle w:val="Prrafodelista"/>
        <w:numPr>
          <w:ilvl w:val="0"/>
          <w:numId w:val="1"/>
        </w:numPr>
        <w:tabs>
          <w:tab w:val="left" w:pos="0"/>
          <w:tab w:val="left" w:pos="142"/>
        </w:tabs>
        <w:spacing w:line="360" w:lineRule="auto"/>
        <w:ind w:left="0" w:firstLine="0"/>
        <w:jc w:val="both"/>
        <w:rPr>
          <w:rFonts w:ascii="Palatino Linotype" w:hAnsi="Palatino Linotype"/>
          <w:color w:val="000000"/>
        </w:rPr>
      </w:pPr>
      <w:r w:rsidRPr="00CF1D3C">
        <w:rPr>
          <w:rFonts w:ascii="Palatino Linotype" w:hAnsi="Palatino Linotype"/>
          <w:color w:val="000000"/>
        </w:rPr>
        <w:t xml:space="preserve">En todos aquellos casos en los que se pretende adoptar una clasificación de la </w:t>
      </w:r>
      <w:r w:rsidRPr="00CF1D3C">
        <w:rPr>
          <w:rFonts w:ascii="Palatino Linotype" w:hAnsi="Palatino Linotype" w:cs="Arial"/>
          <w:color w:val="000000"/>
        </w:rPr>
        <w:t>información</w:t>
      </w:r>
      <w:r w:rsidRPr="00CF1D3C">
        <w:rPr>
          <w:rFonts w:ascii="Palatino Linotype" w:hAnsi="Palatino Linotype"/>
          <w:color w:val="000000"/>
        </w:rPr>
        <w:t xml:space="preserve"> como reservada, hay que considerar lo señalado por los artículos 5, 140 y 142 de la Ley Estatal y 5, 113 fracción III y 115 de la Ley General, que establecen </w:t>
      </w:r>
      <w:r w:rsidRPr="00CF1D3C">
        <w:rPr>
          <w:rFonts w:ascii="Palatino Linotype" w:hAnsi="Palatino Linotype"/>
          <w:b/>
          <w:color w:val="000000"/>
        </w:rPr>
        <w:t>qué no puede clasificarse como información reservada:</w:t>
      </w:r>
    </w:p>
    <w:p w:rsidR="001E3F7A" w:rsidRPr="00CF1D3C" w:rsidRDefault="001E3F7A" w:rsidP="001E3F7A">
      <w:pPr>
        <w:spacing w:before="100" w:beforeAutospacing="1" w:after="100" w:afterAutospacing="1" w:line="360" w:lineRule="auto"/>
        <w:ind w:left="567" w:right="567"/>
        <w:contextualSpacing/>
        <w:jc w:val="both"/>
        <w:rPr>
          <w:rFonts w:ascii="Palatino Linotype" w:hAnsi="Palatino Linotype"/>
          <w:b/>
          <w:i/>
          <w:iCs/>
          <w:color w:val="000000"/>
          <w:lang w:val="es-ES"/>
        </w:rPr>
      </w:pPr>
      <w:r w:rsidRPr="00CF1D3C">
        <w:rPr>
          <w:rFonts w:ascii="Palatino Linotype" w:hAnsi="Palatino Linotype"/>
          <w:bCs/>
          <w:color w:val="000000"/>
          <w:lang w:val="es-ES"/>
        </w:rPr>
        <w:t>“</w:t>
      </w:r>
      <w:r w:rsidRPr="00CF1D3C">
        <w:rPr>
          <w:rFonts w:ascii="Palatino Linotype" w:hAnsi="Palatino Linotype"/>
          <w:b/>
          <w:i/>
          <w:iCs/>
          <w:color w:val="000000"/>
          <w:lang w:val="es-ES"/>
        </w:rPr>
        <w:t>I. Se trate de violaciones graves de derechos humanos, calificada así por autoridad competente;</w:t>
      </w:r>
    </w:p>
    <w:p w:rsidR="001E3F7A" w:rsidRPr="00CF1D3C" w:rsidRDefault="001E3F7A" w:rsidP="001E3F7A">
      <w:pPr>
        <w:spacing w:before="100" w:beforeAutospacing="1" w:after="100" w:afterAutospacing="1" w:line="360" w:lineRule="auto"/>
        <w:ind w:left="567" w:right="567"/>
        <w:contextualSpacing/>
        <w:jc w:val="both"/>
        <w:rPr>
          <w:rFonts w:ascii="Palatino Linotype" w:hAnsi="Palatino Linotype"/>
          <w:b/>
          <w:i/>
          <w:iCs/>
          <w:color w:val="000000"/>
          <w:lang w:val="es-ES"/>
        </w:rPr>
      </w:pPr>
      <w:r w:rsidRPr="00CF1D3C">
        <w:rPr>
          <w:rFonts w:ascii="Palatino Linotype" w:hAnsi="Palatino Linotype"/>
          <w:b/>
          <w:i/>
          <w:iCs/>
          <w:color w:val="000000"/>
          <w:lang w:val="es-ES"/>
        </w:rPr>
        <w:lastRenderedPageBreak/>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rsidR="001E3F7A" w:rsidRPr="00CF1D3C" w:rsidRDefault="001E3F7A" w:rsidP="001E3F7A">
      <w:pPr>
        <w:spacing w:before="100" w:beforeAutospacing="1" w:after="100" w:afterAutospacing="1" w:line="360" w:lineRule="auto"/>
        <w:ind w:left="567" w:right="567"/>
        <w:contextualSpacing/>
        <w:jc w:val="both"/>
        <w:rPr>
          <w:rFonts w:ascii="Palatino Linotype" w:hAnsi="Palatino Linotype"/>
          <w:b/>
          <w:i/>
          <w:iCs/>
          <w:color w:val="000000"/>
          <w:lang w:val="es-ES"/>
        </w:rPr>
      </w:pPr>
      <w:r w:rsidRPr="00CF1D3C">
        <w:rPr>
          <w:rFonts w:ascii="Palatino Linotype" w:hAnsi="Palatino Linotype"/>
          <w:b/>
          <w:i/>
          <w:iCs/>
          <w:color w:val="000000"/>
          <w:lang w:val="es-ES"/>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rsidR="001E3F7A" w:rsidRPr="00CF1D3C" w:rsidRDefault="001E3F7A" w:rsidP="001E3F7A">
      <w:pPr>
        <w:spacing w:before="100" w:beforeAutospacing="1" w:after="100" w:afterAutospacing="1" w:line="360" w:lineRule="auto"/>
        <w:ind w:left="567" w:right="567"/>
        <w:contextualSpacing/>
        <w:jc w:val="both"/>
        <w:rPr>
          <w:rFonts w:ascii="Palatino Linotype" w:hAnsi="Palatino Linotype"/>
          <w:bCs/>
          <w:color w:val="000000"/>
          <w:lang w:val="es-ES"/>
        </w:rPr>
      </w:pPr>
      <w:r w:rsidRPr="00CF1D3C">
        <w:rPr>
          <w:rFonts w:ascii="Palatino Linotype" w:hAnsi="Palatino Linotype"/>
          <w:b/>
          <w:i/>
          <w:iCs/>
          <w:color w:val="000000"/>
          <w:lang w:val="es-ES"/>
        </w:rPr>
        <w:t>IV. Se trate de información relacionada con actos de corrupción de conformidad con las disposiciones jurídicas aplicables.</w:t>
      </w:r>
      <w:r w:rsidRPr="00CF1D3C">
        <w:rPr>
          <w:rFonts w:ascii="Palatino Linotype" w:hAnsi="Palatino Linotype"/>
          <w:bCs/>
          <w:color w:val="000000"/>
          <w:lang w:val="es-ES"/>
        </w:rPr>
        <w:t>”</w:t>
      </w:r>
    </w:p>
    <w:p w:rsidR="001E3F7A" w:rsidRPr="00CF1D3C" w:rsidRDefault="001E3F7A" w:rsidP="00A307A0">
      <w:pPr>
        <w:pStyle w:val="Prrafodelista"/>
        <w:numPr>
          <w:ilvl w:val="0"/>
          <w:numId w:val="1"/>
        </w:numPr>
        <w:tabs>
          <w:tab w:val="left" w:pos="0"/>
          <w:tab w:val="left" w:pos="142"/>
        </w:tabs>
        <w:spacing w:line="360" w:lineRule="auto"/>
        <w:ind w:left="0" w:firstLine="0"/>
        <w:jc w:val="both"/>
        <w:rPr>
          <w:rFonts w:ascii="Palatino Linotype" w:hAnsi="Palatino Linotype"/>
          <w:color w:val="000000"/>
        </w:rPr>
      </w:pPr>
      <w:r w:rsidRPr="00CF1D3C">
        <w:rPr>
          <w:rFonts w:ascii="Palatino Linotype" w:hAnsi="Palatino Linotype"/>
          <w:color w:val="000000"/>
        </w:rPr>
        <w:t xml:space="preserve">En ese tenor, si la información solicitada encuadra en cualquiera de los supuestos señalados con anterioridad, no será procedente la clasificación de la información bajo ninguna circunstancia; dicho de otro modo, no aplica la excepción a la regla general, derivado que este tipo de casos, deberá de ser del escrutinio público, lo cual ayudará a tener un país informado, que posibilita la población cuestione, indague y verifique los actos de autoridad. </w:t>
      </w:r>
    </w:p>
    <w:p w:rsidR="001E3F7A" w:rsidRPr="00CF1D3C" w:rsidRDefault="001E3F7A" w:rsidP="001E3F7A">
      <w:pPr>
        <w:spacing w:before="100" w:beforeAutospacing="1" w:after="100" w:afterAutospacing="1" w:line="360" w:lineRule="auto"/>
        <w:ind w:left="360"/>
        <w:contextualSpacing/>
        <w:jc w:val="both"/>
        <w:rPr>
          <w:rFonts w:ascii="Palatino Linotype" w:hAnsi="Palatino Linotype"/>
          <w:color w:val="000000"/>
          <w:lang w:val="es-ES"/>
        </w:rPr>
      </w:pPr>
    </w:p>
    <w:p w:rsidR="001E3F7A" w:rsidRPr="00CF1D3C" w:rsidRDefault="001E3F7A" w:rsidP="001E3F7A">
      <w:pPr>
        <w:keepNext/>
        <w:keepLines/>
        <w:pBdr>
          <w:top w:val="nil"/>
          <w:left w:val="nil"/>
          <w:bottom w:val="nil"/>
          <w:right w:val="nil"/>
          <w:between w:val="nil"/>
          <w:bar w:val="nil"/>
        </w:pBdr>
        <w:spacing w:before="240"/>
        <w:outlineLvl w:val="0"/>
        <w:rPr>
          <w:rFonts w:ascii="Palatino Linotype" w:hAnsi="Palatino Linotype"/>
          <w:b/>
          <w:color w:val="000000"/>
          <w:lang w:eastAsia="en-US"/>
        </w:rPr>
      </w:pPr>
      <w:bookmarkStart w:id="63" w:name="_Toc485631703"/>
      <w:bookmarkStart w:id="64" w:name="_Toc500756713"/>
      <w:bookmarkStart w:id="65" w:name="_Toc536691781"/>
      <w:bookmarkStart w:id="66" w:name="_Toc80889848"/>
      <w:bookmarkStart w:id="67" w:name="_Toc82515810"/>
      <w:bookmarkStart w:id="68" w:name="_Toc82515909"/>
      <w:bookmarkStart w:id="69" w:name="_Toc82519896"/>
      <w:r w:rsidRPr="00CF1D3C">
        <w:rPr>
          <w:rFonts w:ascii="Palatino Linotype" w:hAnsi="Palatino Linotype"/>
          <w:b/>
          <w:color w:val="000000"/>
          <w:lang w:eastAsia="en-US"/>
        </w:rPr>
        <w:t>II. La intervención del Comité de Transparencia.</w:t>
      </w:r>
      <w:bookmarkEnd w:id="63"/>
      <w:bookmarkEnd w:id="64"/>
      <w:bookmarkEnd w:id="65"/>
      <w:bookmarkEnd w:id="66"/>
      <w:bookmarkEnd w:id="67"/>
      <w:bookmarkEnd w:id="68"/>
      <w:bookmarkEnd w:id="69"/>
    </w:p>
    <w:p w:rsidR="001E3F7A" w:rsidRPr="00CF1D3C" w:rsidRDefault="001E3F7A" w:rsidP="001E3F7A">
      <w:pPr>
        <w:spacing w:line="360" w:lineRule="auto"/>
        <w:contextualSpacing/>
        <w:jc w:val="both"/>
        <w:rPr>
          <w:rFonts w:ascii="Palatino Linotype" w:hAnsi="Palatino Linotype" w:cs="Arial"/>
          <w:b/>
          <w:color w:val="000000"/>
        </w:rPr>
      </w:pPr>
    </w:p>
    <w:p w:rsidR="001E3F7A" w:rsidRPr="00CF1D3C" w:rsidRDefault="001E3F7A" w:rsidP="001E3F7A">
      <w:pPr>
        <w:keepNext/>
        <w:keepLines/>
        <w:pBdr>
          <w:top w:val="nil"/>
          <w:left w:val="nil"/>
          <w:bottom w:val="nil"/>
          <w:right w:val="nil"/>
          <w:between w:val="nil"/>
          <w:bar w:val="nil"/>
        </w:pBdr>
        <w:spacing w:before="40"/>
        <w:contextualSpacing/>
        <w:outlineLvl w:val="1"/>
        <w:rPr>
          <w:rFonts w:ascii="Palatino Linotype" w:hAnsi="Palatino Linotype"/>
          <w:b/>
          <w:color w:val="000000"/>
          <w:lang w:eastAsia="en-US"/>
        </w:rPr>
      </w:pPr>
      <w:bookmarkStart w:id="70" w:name="_Toc485631704"/>
      <w:bookmarkStart w:id="71" w:name="_Toc500756714"/>
      <w:bookmarkStart w:id="72" w:name="_Toc536691782"/>
      <w:bookmarkStart w:id="73" w:name="_Toc80889849"/>
      <w:bookmarkStart w:id="74" w:name="_Toc82515811"/>
      <w:bookmarkStart w:id="75" w:name="_Toc82515910"/>
      <w:bookmarkStart w:id="76" w:name="_Toc82519897"/>
      <w:r w:rsidRPr="00CF1D3C">
        <w:rPr>
          <w:rFonts w:ascii="Palatino Linotype" w:hAnsi="Palatino Linotype"/>
          <w:b/>
          <w:color w:val="000000"/>
          <w:lang w:eastAsia="en-US"/>
        </w:rPr>
        <w:t>a) Formalidades para emitir el acuerdo de clasificación.</w:t>
      </w:r>
      <w:bookmarkEnd w:id="70"/>
      <w:bookmarkEnd w:id="71"/>
      <w:bookmarkEnd w:id="72"/>
      <w:bookmarkEnd w:id="73"/>
      <w:bookmarkEnd w:id="74"/>
      <w:bookmarkEnd w:id="75"/>
      <w:bookmarkEnd w:id="76"/>
    </w:p>
    <w:p w:rsidR="001E3F7A" w:rsidRPr="00CF1D3C" w:rsidRDefault="001E3F7A" w:rsidP="001E3F7A">
      <w:pPr>
        <w:tabs>
          <w:tab w:val="left" w:pos="7770"/>
        </w:tabs>
        <w:spacing w:line="360" w:lineRule="auto"/>
        <w:contextualSpacing/>
        <w:jc w:val="both"/>
        <w:rPr>
          <w:rFonts w:ascii="Palatino Linotype" w:hAnsi="Palatino Linotype" w:cs="Arial"/>
          <w:color w:val="000000"/>
        </w:rPr>
      </w:pPr>
      <w:r w:rsidRPr="00CF1D3C">
        <w:rPr>
          <w:rFonts w:ascii="Palatino Linotype" w:hAnsi="Palatino Linotype" w:cs="Arial"/>
          <w:color w:val="000000"/>
        </w:rPr>
        <w:tab/>
      </w:r>
    </w:p>
    <w:p w:rsidR="001E3F7A" w:rsidRPr="00CF1D3C" w:rsidRDefault="001E3F7A" w:rsidP="00A307A0">
      <w:pPr>
        <w:pStyle w:val="Prrafodelista"/>
        <w:numPr>
          <w:ilvl w:val="0"/>
          <w:numId w:val="1"/>
        </w:numPr>
        <w:tabs>
          <w:tab w:val="left" w:pos="0"/>
          <w:tab w:val="left" w:pos="142"/>
        </w:tabs>
        <w:spacing w:line="360" w:lineRule="auto"/>
        <w:ind w:left="0" w:firstLine="0"/>
        <w:jc w:val="both"/>
        <w:rPr>
          <w:rFonts w:ascii="Palatino Linotype" w:hAnsi="Palatino Linotype"/>
          <w:color w:val="000000"/>
          <w:lang w:eastAsia="es-ES_tradnl"/>
        </w:rPr>
      </w:pPr>
      <w:r w:rsidRPr="00CF1D3C">
        <w:rPr>
          <w:rFonts w:ascii="Palatino Linotype" w:hAnsi="Palatino Linotype" w:cs="Arial"/>
          <w:color w:val="000000"/>
        </w:rPr>
        <w:lastRenderedPageBreak/>
        <w:t xml:space="preserve">El Comité de Transparencia, según lo dispuesto en los artículos 128 y 103 de la Ley </w:t>
      </w:r>
      <w:r w:rsidRPr="00CF1D3C">
        <w:rPr>
          <w:rFonts w:ascii="Palatino Linotype" w:hAnsi="Palatino Linotype"/>
          <w:color w:val="000000"/>
        </w:rPr>
        <w:t>Estatal</w:t>
      </w:r>
      <w:r w:rsidRPr="00CF1D3C">
        <w:rPr>
          <w:rFonts w:ascii="Palatino Linotype" w:hAnsi="Palatino Linotype" w:cs="Arial"/>
          <w:color w:val="000000"/>
        </w:rPr>
        <w:t xml:space="preserve"> y de la Ley General, respectivamente, y </w:t>
      </w:r>
      <w:r w:rsidRPr="00CF1D3C">
        <w:rPr>
          <w:rFonts w:ascii="Palatino Linotype" w:hAnsi="Palatino Linotype"/>
          <w:color w:val="000000"/>
        </w:rPr>
        <w:t xml:space="preserve">la fracción III del numeral Segundo de los </w:t>
      </w:r>
      <w:r w:rsidRPr="00CF1D3C">
        <w:rPr>
          <w:rFonts w:ascii="Palatino Linotype" w:hAnsi="Palatino Linotype" w:cs="Arial"/>
          <w:color w:val="000000"/>
        </w:rPr>
        <w:t>Lineamientos Generales en Materia de Clasificación y Desclasificación de la Información, así como para la Elaboración de Versiones Públicas (en adelante los Lineamientos Generales),</w:t>
      </w:r>
      <w:r w:rsidRPr="00CF1D3C">
        <w:rPr>
          <w:rFonts w:ascii="Palatino Linotype" w:hAnsi="Palatino Linotype"/>
          <w:color w:val="000000"/>
        </w:rPr>
        <w:t xml:space="preserve"> </w:t>
      </w:r>
      <w:r w:rsidRPr="00CF1D3C">
        <w:rPr>
          <w:rFonts w:ascii="Palatino Linotype" w:hAnsi="Palatino Linotype" w:cs="Arial"/>
          <w:color w:val="000000"/>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1E3F7A" w:rsidRPr="00CF1D3C" w:rsidRDefault="001E3F7A" w:rsidP="001E3F7A">
      <w:pPr>
        <w:pStyle w:val="Prrafodelista"/>
        <w:tabs>
          <w:tab w:val="left" w:pos="0"/>
          <w:tab w:val="left" w:pos="142"/>
        </w:tabs>
        <w:spacing w:line="360" w:lineRule="auto"/>
        <w:ind w:left="0"/>
        <w:jc w:val="both"/>
        <w:rPr>
          <w:rFonts w:ascii="Palatino Linotype" w:hAnsi="Palatino Linotype"/>
          <w:color w:val="000000"/>
          <w:lang w:eastAsia="es-ES_tradnl"/>
        </w:rPr>
      </w:pPr>
    </w:p>
    <w:p w:rsidR="001E3F7A" w:rsidRPr="00CF1D3C" w:rsidRDefault="001E3F7A" w:rsidP="00A307A0">
      <w:pPr>
        <w:pStyle w:val="Prrafodelista"/>
        <w:numPr>
          <w:ilvl w:val="0"/>
          <w:numId w:val="1"/>
        </w:numPr>
        <w:tabs>
          <w:tab w:val="left" w:pos="0"/>
          <w:tab w:val="left" w:pos="142"/>
        </w:tabs>
        <w:spacing w:line="360" w:lineRule="auto"/>
        <w:ind w:left="0" w:firstLine="0"/>
        <w:jc w:val="both"/>
        <w:rPr>
          <w:rFonts w:ascii="Palatino Linotype" w:hAnsi="Palatino Linotype" w:cs="Arial"/>
          <w:color w:val="000000"/>
        </w:rPr>
      </w:pPr>
      <w:r w:rsidRPr="00CF1D3C">
        <w:rPr>
          <w:rFonts w:ascii="Palatino Linotype" w:hAnsi="Palatino Linotype" w:cs="Arial"/>
          <w:color w:val="000000"/>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1E3F7A" w:rsidRPr="00CF1D3C" w:rsidRDefault="001E3F7A" w:rsidP="00A307A0">
      <w:pPr>
        <w:pStyle w:val="Prrafodelista"/>
        <w:numPr>
          <w:ilvl w:val="0"/>
          <w:numId w:val="1"/>
        </w:numPr>
        <w:tabs>
          <w:tab w:val="left" w:pos="0"/>
          <w:tab w:val="left" w:pos="142"/>
        </w:tabs>
        <w:spacing w:line="360" w:lineRule="auto"/>
        <w:ind w:left="0" w:firstLine="0"/>
        <w:jc w:val="both"/>
        <w:rPr>
          <w:rFonts w:ascii="Palatino Linotype" w:hAnsi="Palatino Linotype"/>
          <w:color w:val="000000"/>
        </w:rPr>
      </w:pPr>
      <w:r w:rsidRPr="00CF1D3C">
        <w:rPr>
          <w:rFonts w:ascii="Palatino Linotype" w:hAnsi="Palatino Linotype"/>
          <w:color w:val="000000"/>
        </w:rPr>
        <w:lastRenderedPageBreak/>
        <w:t xml:space="preserve">La decisión de confirmar, modificar o revocar la clasificación deberá de </w:t>
      </w:r>
      <w:r w:rsidRPr="00CF1D3C">
        <w:rPr>
          <w:rFonts w:ascii="Palatino Linotype" w:hAnsi="Palatino Linotype" w:cs="Arial"/>
          <w:color w:val="000000"/>
        </w:rPr>
        <w:t>asentarse</w:t>
      </w:r>
      <w:r w:rsidRPr="00CF1D3C">
        <w:rPr>
          <w:rFonts w:ascii="Palatino Linotype" w:hAnsi="Palatino Linotype"/>
          <w:color w:val="000000"/>
        </w:rPr>
        <w:t xml:space="preserve"> en un documento que registre la determinación a la que se llegue después de un análisis minucioso a partir de lo aprobado por el Titular del área que administra la </w:t>
      </w:r>
      <w:r w:rsidRPr="00CF1D3C">
        <w:rPr>
          <w:rFonts w:ascii="Palatino Linotype" w:hAnsi="Palatino Linotype" w:cs="Arial"/>
          <w:color w:val="000000"/>
        </w:rPr>
        <w:t>información</w:t>
      </w:r>
      <w:r w:rsidRPr="00CF1D3C">
        <w:rPr>
          <w:rFonts w:ascii="Palatino Linotype" w:hAnsi="Palatino Linotype"/>
          <w:color w:val="000000"/>
        </w:rPr>
        <w:t xml:space="preserve">, cuyo análisis debe integrarse en la agenda de los asuntos a tratar en las sesiones, se insiste, a partir de las decisiones adoptadas previamente por los titulares de áreas y que son sujetas a control, en primera instancia, por el Comité de Transparencia. </w:t>
      </w:r>
    </w:p>
    <w:p w:rsidR="001E3F7A" w:rsidRPr="00CF1D3C" w:rsidRDefault="001E3F7A" w:rsidP="001E3F7A">
      <w:pPr>
        <w:spacing w:line="360" w:lineRule="auto"/>
        <w:jc w:val="both"/>
        <w:rPr>
          <w:rFonts w:ascii="Palatino Linotype" w:hAnsi="Palatino Linotype"/>
          <w:color w:val="000000"/>
        </w:rPr>
      </w:pPr>
    </w:p>
    <w:p w:rsidR="001E3F7A" w:rsidRPr="00CF1D3C" w:rsidRDefault="001E3F7A" w:rsidP="001E3F7A">
      <w:pPr>
        <w:keepNext/>
        <w:keepLines/>
        <w:pBdr>
          <w:top w:val="nil"/>
          <w:left w:val="nil"/>
          <w:bottom w:val="nil"/>
          <w:right w:val="nil"/>
          <w:between w:val="nil"/>
          <w:bar w:val="nil"/>
        </w:pBdr>
        <w:spacing w:before="40"/>
        <w:contextualSpacing/>
        <w:outlineLvl w:val="1"/>
        <w:rPr>
          <w:rFonts w:ascii="Palatino Linotype" w:hAnsi="Palatino Linotype"/>
          <w:b/>
          <w:color w:val="000000"/>
          <w:lang w:eastAsia="en-US"/>
        </w:rPr>
      </w:pPr>
      <w:bookmarkStart w:id="77" w:name="_Toc485631705"/>
      <w:bookmarkStart w:id="78" w:name="_Toc500756715"/>
      <w:bookmarkStart w:id="79" w:name="_Toc536691783"/>
      <w:bookmarkStart w:id="80" w:name="_Toc80889850"/>
      <w:bookmarkStart w:id="81" w:name="_Toc82515812"/>
      <w:bookmarkStart w:id="82" w:name="_Toc82515911"/>
      <w:bookmarkStart w:id="83" w:name="_Toc82519898"/>
      <w:r w:rsidRPr="00CF1D3C">
        <w:rPr>
          <w:rFonts w:ascii="Palatino Linotype" w:hAnsi="Palatino Linotype"/>
          <w:b/>
          <w:color w:val="000000"/>
          <w:lang w:eastAsia="en-US"/>
        </w:rPr>
        <w:t>b) Requisitos de fondo del acuerdo de clasificación.</w:t>
      </w:r>
      <w:bookmarkEnd w:id="77"/>
      <w:bookmarkEnd w:id="78"/>
      <w:bookmarkEnd w:id="79"/>
      <w:bookmarkEnd w:id="80"/>
      <w:bookmarkEnd w:id="81"/>
      <w:bookmarkEnd w:id="82"/>
      <w:bookmarkEnd w:id="83"/>
    </w:p>
    <w:p w:rsidR="001E3F7A" w:rsidRPr="00CF1D3C" w:rsidRDefault="001E3F7A" w:rsidP="001E3F7A">
      <w:pPr>
        <w:spacing w:line="360" w:lineRule="auto"/>
        <w:contextualSpacing/>
        <w:jc w:val="both"/>
        <w:rPr>
          <w:rFonts w:ascii="Palatino Linotype" w:hAnsi="Palatino Linotype" w:cs="Arial"/>
          <w:color w:val="000000"/>
        </w:rPr>
      </w:pPr>
    </w:p>
    <w:p w:rsidR="001E3F7A" w:rsidRPr="00CF1D3C" w:rsidRDefault="001E3F7A" w:rsidP="00A307A0">
      <w:pPr>
        <w:pStyle w:val="Prrafodelista"/>
        <w:numPr>
          <w:ilvl w:val="0"/>
          <w:numId w:val="1"/>
        </w:numPr>
        <w:tabs>
          <w:tab w:val="left" w:pos="0"/>
          <w:tab w:val="left" w:pos="142"/>
        </w:tabs>
        <w:spacing w:line="360" w:lineRule="auto"/>
        <w:ind w:left="0" w:firstLine="0"/>
        <w:jc w:val="both"/>
        <w:rPr>
          <w:rFonts w:ascii="Palatino Linotype" w:hAnsi="Palatino Linotype" w:cs="Arial"/>
          <w:color w:val="000000"/>
        </w:rPr>
      </w:pPr>
      <w:r w:rsidRPr="00CF1D3C">
        <w:rPr>
          <w:rFonts w:ascii="Palatino Linotype" w:hAnsi="Palatino Linotype" w:cs="Arial"/>
          <w:color w:val="000000"/>
        </w:rPr>
        <w:t xml:space="preserve">Como se ha señalado antes, al hacer el juicio de subsunción o encaje entre el </w:t>
      </w:r>
      <w:r w:rsidRPr="00CF1D3C">
        <w:rPr>
          <w:rFonts w:ascii="Palatino Linotype" w:hAnsi="Palatino Linotype"/>
          <w:color w:val="000000"/>
        </w:rPr>
        <w:t>supuesto</w:t>
      </w:r>
      <w:r w:rsidRPr="00CF1D3C">
        <w:rPr>
          <w:rFonts w:ascii="Palatino Linotype" w:hAnsi="Palatino Linotype" w:cs="Arial"/>
          <w:color w:val="000000"/>
        </w:rPr>
        <w:t xml:space="preserve">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1E3F7A" w:rsidRPr="00CF1D3C" w:rsidRDefault="001E3F7A" w:rsidP="001E3F7A">
      <w:pPr>
        <w:pStyle w:val="Prrafodelista"/>
        <w:tabs>
          <w:tab w:val="left" w:pos="0"/>
          <w:tab w:val="left" w:pos="142"/>
        </w:tabs>
        <w:spacing w:line="360" w:lineRule="auto"/>
        <w:ind w:left="0"/>
        <w:jc w:val="both"/>
        <w:rPr>
          <w:rFonts w:ascii="Palatino Linotype" w:hAnsi="Palatino Linotype" w:cs="Arial"/>
          <w:color w:val="000000"/>
        </w:rPr>
      </w:pPr>
    </w:p>
    <w:p w:rsidR="001E3F7A" w:rsidRPr="00CF1D3C" w:rsidRDefault="001E3F7A" w:rsidP="00A307A0">
      <w:pPr>
        <w:pStyle w:val="Prrafodelista"/>
        <w:numPr>
          <w:ilvl w:val="0"/>
          <w:numId w:val="1"/>
        </w:numPr>
        <w:tabs>
          <w:tab w:val="left" w:pos="0"/>
          <w:tab w:val="left" w:pos="142"/>
        </w:tabs>
        <w:spacing w:line="360" w:lineRule="auto"/>
        <w:ind w:left="0" w:firstLine="0"/>
        <w:jc w:val="both"/>
        <w:rPr>
          <w:rFonts w:ascii="Palatino Linotype" w:hAnsi="Palatino Linotype"/>
          <w:color w:val="000000"/>
        </w:rPr>
      </w:pPr>
      <w:r w:rsidRPr="00CF1D3C">
        <w:rPr>
          <w:rFonts w:ascii="Palatino Linotype" w:hAnsi="Palatino Linotype" w:cs="Arial"/>
          <w:color w:val="000000"/>
        </w:rPr>
        <w:t>De</w:t>
      </w:r>
      <w:r w:rsidRPr="00CF1D3C">
        <w:rPr>
          <w:rFonts w:ascii="Palatino Linotype" w:hAnsi="Palatino Linotype"/>
          <w:color w:val="000000"/>
        </w:rPr>
        <w:t xml:space="preserve"> lo anterior, se desprende que para una correcta clasificación total o parcial, esto es, determinar </w:t>
      </w:r>
      <w:r w:rsidRPr="00CF1D3C">
        <w:rPr>
          <w:rFonts w:ascii="Palatino Linotype" w:hAnsi="Palatino Linotype" w:cs="Arial"/>
          <w:color w:val="000000"/>
        </w:rPr>
        <w:t>los</w:t>
      </w:r>
      <w:r w:rsidRPr="00CF1D3C">
        <w:rPr>
          <w:rFonts w:ascii="Palatino Linotype" w:hAnsi="Palatino Linotype"/>
          <w:color w:val="000000"/>
        </w:rPr>
        <w:t xml:space="preserve"> datos que se suprimen en las versiones públicas, es necesario fundar y motivar, de manera correcta, la clasificación; considerando que todo acto </w:t>
      </w:r>
      <w:r w:rsidRPr="00CF1D3C">
        <w:rPr>
          <w:rFonts w:ascii="Palatino Linotype" w:hAnsi="Palatino Linotype"/>
          <w:color w:val="000000"/>
        </w:rPr>
        <w:lastRenderedPageBreak/>
        <w:t>que la autoridad pronuncie en el ejercicio de sus atribuciones, debe expresar los fundamentos legales que le dieron origen y las razones por las que se deben aplicar al caso concreto.</w:t>
      </w:r>
    </w:p>
    <w:p w:rsidR="001E3F7A" w:rsidRPr="00CF1D3C" w:rsidRDefault="001E3F7A" w:rsidP="001E3F7A">
      <w:pPr>
        <w:pStyle w:val="Prrafodelista"/>
        <w:rPr>
          <w:rFonts w:ascii="Palatino Linotype" w:hAnsi="Palatino Linotype"/>
          <w:color w:val="000000"/>
        </w:rPr>
      </w:pPr>
    </w:p>
    <w:p w:rsidR="001E3F7A" w:rsidRPr="00CF1D3C" w:rsidRDefault="001E3F7A" w:rsidP="00A307A0">
      <w:pPr>
        <w:pStyle w:val="Prrafodelista"/>
        <w:numPr>
          <w:ilvl w:val="0"/>
          <w:numId w:val="1"/>
        </w:numPr>
        <w:tabs>
          <w:tab w:val="left" w:pos="0"/>
          <w:tab w:val="left" w:pos="142"/>
        </w:tabs>
        <w:spacing w:line="360" w:lineRule="auto"/>
        <w:ind w:left="0" w:firstLine="0"/>
        <w:jc w:val="both"/>
        <w:rPr>
          <w:rFonts w:ascii="Palatino Linotype" w:hAnsi="Palatino Linotype" w:cs="Arial"/>
          <w:color w:val="000000"/>
        </w:rPr>
      </w:pPr>
      <w:r w:rsidRPr="00CF1D3C">
        <w:rPr>
          <w:rFonts w:ascii="Palatino Linotype" w:hAnsi="Palatino Linotype" w:cs="Arial"/>
          <w:color w:val="000000"/>
        </w:rPr>
        <w:t>Han sido vastos los estudios doctrinarios relativos a estos derechos fundamentales y al principio de legalidad en ellos contenidos; como ejemplo, el procesalista José Ovalle Fabela, en su obra “Garantías Constitucionales del Proceso”, refiere que “...</w:t>
      </w:r>
      <w:r w:rsidRPr="00CF1D3C">
        <w:rPr>
          <w:rFonts w:ascii="Palatino Linotype" w:hAnsi="Palatino Linotype" w:cs="Arial"/>
          <w:i/>
          <w:iCs/>
          <w:color w:val="000000"/>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CF1D3C">
        <w:rPr>
          <w:rFonts w:ascii="Palatino Linotype" w:hAnsi="Palatino Linotype" w:cs="Arial"/>
          <w:color w:val="000000"/>
        </w:rPr>
        <w:t>...”.</w:t>
      </w:r>
      <w:r w:rsidRPr="00CF1D3C">
        <w:rPr>
          <w:rFonts w:ascii="Palatino Linotype" w:hAnsi="Palatino Linotype" w:cs="Arial"/>
          <w:color w:val="000000"/>
          <w:vertAlign w:val="superscript"/>
        </w:rPr>
        <w:footnoteReference w:id="13"/>
      </w:r>
    </w:p>
    <w:p w:rsidR="001E3F7A" w:rsidRPr="00CF1D3C" w:rsidRDefault="001E3F7A" w:rsidP="001E3F7A">
      <w:pPr>
        <w:pStyle w:val="Prrafodelista"/>
        <w:rPr>
          <w:rFonts w:ascii="Palatino Linotype" w:hAnsi="Palatino Linotype" w:cs="Arial"/>
          <w:color w:val="000000"/>
        </w:rPr>
      </w:pPr>
    </w:p>
    <w:p w:rsidR="001E3F7A" w:rsidRPr="00CF1D3C" w:rsidRDefault="001E3F7A" w:rsidP="00A307A0">
      <w:pPr>
        <w:pStyle w:val="Prrafodelista"/>
        <w:numPr>
          <w:ilvl w:val="0"/>
          <w:numId w:val="1"/>
        </w:numPr>
        <w:tabs>
          <w:tab w:val="left" w:pos="0"/>
          <w:tab w:val="left" w:pos="142"/>
        </w:tabs>
        <w:spacing w:line="360" w:lineRule="auto"/>
        <w:ind w:left="0" w:firstLine="0"/>
        <w:jc w:val="both"/>
        <w:rPr>
          <w:rFonts w:ascii="Palatino Linotype" w:hAnsi="Palatino Linotype" w:cs="Arial"/>
          <w:color w:val="000000"/>
        </w:rPr>
      </w:pPr>
      <w:r w:rsidRPr="00CF1D3C">
        <w:rPr>
          <w:rFonts w:ascii="Palatino Linotype" w:hAnsi="Palatino Linotype" w:cs="Arial"/>
          <w:color w:val="000000"/>
        </w:rPr>
        <w:t>Por su parte, el intérprete judicial del país ha establecido una jurisprudencia respecto a qué debe entenderse por fundamentación y motivación, en los siguientes términos</w:t>
      </w:r>
      <w:r w:rsidRPr="00CF1D3C">
        <w:rPr>
          <w:rFonts w:ascii="Palatino Linotype" w:hAnsi="Palatino Linotype" w:cs="Arial"/>
          <w:i/>
          <w:color w:val="000000"/>
          <w:vertAlign w:val="superscript"/>
        </w:rPr>
        <w:footnoteReference w:id="14"/>
      </w:r>
      <w:r w:rsidRPr="00CF1D3C">
        <w:rPr>
          <w:rFonts w:ascii="Palatino Linotype" w:hAnsi="Palatino Linotype" w:cs="Arial"/>
          <w:color w:val="000000"/>
        </w:rPr>
        <w:t>:</w:t>
      </w:r>
    </w:p>
    <w:p w:rsidR="001E3F7A" w:rsidRPr="00CF1D3C" w:rsidRDefault="001E3F7A" w:rsidP="001E3F7A">
      <w:pPr>
        <w:spacing w:line="276" w:lineRule="auto"/>
        <w:ind w:left="567" w:right="618"/>
        <w:contextualSpacing/>
        <w:jc w:val="both"/>
        <w:rPr>
          <w:rFonts w:ascii="Palatino Linotype" w:hAnsi="Palatino Linotype" w:cs="Arial"/>
          <w:i/>
          <w:color w:val="000000"/>
        </w:rPr>
      </w:pPr>
      <w:r w:rsidRPr="00CF1D3C">
        <w:rPr>
          <w:rFonts w:ascii="Palatino Linotype" w:hAnsi="Palatino Linotype" w:cs="Arial"/>
          <w:b/>
          <w:i/>
          <w:color w:val="000000"/>
        </w:rPr>
        <w:lastRenderedPageBreak/>
        <w:t>FUNDAMENTACIÓN Y MOTIVACIÓN.</w:t>
      </w:r>
      <w:r w:rsidRPr="00CF1D3C">
        <w:rPr>
          <w:rFonts w:ascii="Palatino Linotype" w:hAnsi="Palatino Linotype" w:cs="Arial"/>
          <w:i/>
          <w:color w:val="000000"/>
        </w:rPr>
        <w:t xml:space="preserve"> “La </w:t>
      </w:r>
      <w:r w:rsidRPr="00CF1D3C">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CF1D3C">
        <w:rPr>
          <w:rFonts w:ascii="Palatino Linotype" w:hAnsi="Palatino Linotype" w:cs="Arial"/>
          <w:i/>
          <w:color w:val="000000"/>
        </w:rPr>
        <w:t>.”</w:t>
      </w:r>
    </w:p>
    <w:p w:rsidR="001E3F7A" w:rsidRPr="00CF1D3C" w:rsidRDefault="001E3F7A" w:rsidP="001E3F7A">
      <w:pPr>
        <w:spacing w:line="360" w:lineRule="auto"/>
        <w:ind w:left="567"/>
        <w:contextualSpacing/>
        <w:jc w:val="both"/>
        <w:rPr>
          <w:rFonts w:ascii="Palatino Linotype" w:hAnsi="Palatino Linotype" w:cs="Arial"/>
          <w:color w:val="000000"/>
          <w:lang w:val="es-ES"/>
        </w:rPr>
      </w:pPr>
    </w:p>
    <w:p w:rsidR="001E3F7A" w:rsidRPr="00CF1D3C" w:rsidRDefault="001E3F7A" w:rsidP="00A307A0">
      <w:pPr>
        <w:pStyle w:val="Prrafodelista"/>
        <w:numPr>
          <w:ilvl w:val="0"/>
          <w:numId w:val="1"/>
        </w:numPr>
        <w:tabs>
          <w:tab w:val="left" w:pos="0"/>
          <w:tab w:val="left" w:pos="142"/>
        </w:tabs>
        <w:spacing w:line="360" w:lineRule="auto"/>
        <w:ind w:left="0" w:firstLine="0"/>
        <w:jc w:val="both"/>
        <w:rPr>
          <w:rFonts w:ascii="Palatino Linotype" w:hAnsi="Palatino Linotype" w:cs="Arial"/>
          <w:color w:val="000000"/>
        </w:rPr>
      </w:pPr>
      <w:r w:rsidRPr="00CF1D3C">
        <w:rPr>
          <w:rFonts w:ascii="Palatino Linotype" w:hAnsi="Palatino Linotype" w:cs="Arial"/>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1E3F7A" w:rsidRPr="00CF1D3C" w:rsidRDefault="001E3F7A" w:rsidP="001E3F7A">
      <w:pPr>
        <w:pStyle w:val="Prrafodelista"/>
        <w:tabs>
          <w:tab w:val="left" w:pos="0"/>
          <w:tab w:val="left" w:pos="142"/>
        </w:tabs>
        <w:spacing w:line="360" w:lineRule="auto"/>
        <w:ind w:left="0"/>
        <w:jc w:val="both"/>
        <w:rPr>
          <w:rFonts w:ascii="Palatino Linotype" w:hAnsi="Palatino Linotype" w:cs="Arial"/>
          <w:color w:val="000000"/>
        </w:rPr>
      </w:pPr>
    </w:p>
    <w:p w:rsidR="001E3F7A" w:rsidRPr="00CF1D3C" w:rsidRDefault="001E3F7A" w:rsidP="00A307A0">
      <w:pPr>
        <w:pStyle w:val="Prrafodelista"/>
        <w:numPr>
          <w:ilvl w:val="0"/>
          <w:numId w:val="1"/>
        </w:numPr>
        <w:tabs>
          <w:tab w:val="left" w:pos="0"/>
          <w:tab w:val="left" w:pos="142"/>
        </w:tabs>
        <w:spacing w:line="360" w:lineRule="auto"/>
        <w:ind w:left="0" w:firstLine="0"/>
        <w:jc w:val="both"/>
        <w:rPr>
          <w:rFonts w:ascii="Palatino Linotype" w:hAnsi="Palatino Linotype" w:cs="Arial"/>
          <w:color w:val="000000"/>
        </w:rPr>
      </w:pPr>
      <w:r w:rsidRPr="00CF1D3C">
        <w:rPr>
          <w:rFonts w:ascii="Palatino Linotype" w:hAnsi="Palatino Linotype" w:cs="Arial"/>
          <w:color w:val="000000"/>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1E3F7A" w:rsidRPr="00CF1D3C" w:rsidRDefault="001E3F7A" w:rsidP="001E3F7A">
      <w:pPr>
        <w:pStyle w:val="Prrafodelista"/>
        <w:rPr>
          <w:rFonts w:ascii="Palatino Linotype" w:hAnsi="Palatino Linotype" w:cs="Arial"/>
          <w:color w:val="000000"/>
        </w:rPr>
      </w:pPr>
    </w:p>
    <w:p w:rsidR="001E3F7A" w:rsidRPr="00CF1D3C" w:rsidRDefault="001E3F7A" w:rsidP="00A307A0">
      <w:pPr>
        <w:pStyle w:val="Prrafodelista"/>
        <w:numPr>
          <w:ilvl w:val="0"/>
          <w:numId w:val="1"/>
        </w:numPr>
        <w:tabs>
          <w:tab w:val="left" w:pos="0"/>
          <w:tab w:val="left" w:pos="142"/>
        </w:tabs>
        <w:spacing w:line="360" w:lineRule="auto"/>
        <w:ind w:left="0" w:firstLine="0"/>
        <w:jc w:val="both"/>
        <w:rPr>
          <w:rFonts w:ascii="Palatino Linotype" w:hAnsi="Palatino Linotype" w:cs="Arial"/>
          <w:color w:val="000000"/>
        </w:rPr>
      </w:pPr>
      <w:r w:rsidRPr="00CF1D3C">
        <w:rPr>
          <w:rFonts w:ascii="Palatino Linotype" w:hAnsi="Palatino Linotype" w:cs="Arial"/>
          <w:color w:val="000000"/>
        </w:rPr>
        <w:t>En ese mismo sentido, el lineamiento trigésimo tercero fracción V de los Lineamientos Generales, precisa que para motivar la clasificación se deben acreditar las circunstancias de tiempo, modo y lugar.</w:t>
      </w:r>
    </w:p>
    <w:p w:rsidR="001E3F7A" w:rsidRPr="00CF1D3C" w:rsidRDefault="001E3F7A" w:rsidP="001E3F7A">
      <w:pPr>
        <w:pStyle w:val="Prrafodelista"/>
        <w:rPr>
          <w:rFonts w:ascii="Palatino Linotype" w:hAnsi="Palatino Linotype" w:cs="Arial"/>
          <w:color w:val="000000"/>
        </w:rPr>
      </w:pPr>
    </w:p>
    <w:p w:rsidR="001E3F7A" w:rsidRPr="00CF1D3C" w:rsidRDefault="001E3F7A" w:rsidP="00A307A0">
      <w:pPr>
        <w:pStyle w:val="Prrafodelista"/>
        <w:numPr>
          <w:ilvl w:val="0"/>
          <w:numId w:val="1"/>
        </w:numPr>
        <w:tabs>
          <w:tab w:val="left" w:pos="0"/>
          <w:tab w:val="left" w:pos="142"/>
        </w:tabs>
        <w:spacing w:line="360" w:lineRule="auto"/>
        <w:ind w:left="0" w:firstLine="0"/>
        <w:jc w:val="both"/>
        <w:rPr>
          <w:rFonts w:ascii="Palatino Linotype" w:hAnsi="Palatino Linotype" w:cs="Arial"/>
          <w:color w:val="000000"/>
        </w:rPr>
      </w:pPr>
      <w:r w:rsidRPr="00CF1D3C">
        <w:rPr>
          <w:rFonts w:ascii="Palatino Linotype" w:hAnsi="Palatino Linotype" w:cs="Arial"/>
          <w:color w:val="000000"/>
        </w:rPr>
        <w:t xml:space="preserve">Ahora bien, para cada caso además de fundar y motivar, se debe identificar con claridad que datos contenidos en las documentales que son susceptibles de suprimirse, por ejemplo, si una documental de naturaleza pública como lo es la </w:t>
      </w:r>
      <w:r w:rsidRPr="00CF1D3C">
        <w:rPr>
          <w:rFonts w:ascii="Palatino Linotype" w:hAnsi="Palatino Linotype" w:cs="Arial"/>
          <w:color w:val="000000"/>
        </w:rPr>
        <w:lastRenderedPageBreak/>
        <w:t>nómina general, si bien el dato de sus remuneraciones es eminentemente público, no así todos los datos contenidos en dicho documento que son</w:t>
      </w:r>
      <w:r w:rsidRPr="00CF1D3C">
        <w:rPr>
          <w:rFonts w:ascii="Palatino Linotype" w:hAnsi="Palatino Linotype"/>
          <w:color w:val="000000"/>
        </w:rPr>
        <w:t xml:space="preserve"> </w:t>
      </w:r>
      <w:r w:rsidRPr="00CF1D3C">
        <w:rPr>
          <w:rFonts w:ascii="Palatino Linotype" w:hAnsi="Palatino Linotype" w:cs="Arial"/>
          <w:color w:val="000000"/>
        </w:rPr>
        <w:t>datos personales</w:t>
      </w:r>
      <w:r w:rsidRPr="00CF1D3C">
        <w:rPr>
          <w:rFonts w:ascii="Palatino Linotype" w:hAnsi="Palatino Linotype" w:cs="Arial"/>
          <w:color w:val="000000"/>
          <w:vertAlign w:val="superscript"/>
        </w:rPr>
        <w:footnoteReference w:id="15"/>
      </w:r>
      <w:r w:rsidRPr="00CF1D3C">
        <w:rPr>
          <w:rFonts w:ascii="Palatino Linotype" w:hAnsi="Palatino Linotype" w:cs="Arial"/>
          <w:color w:val="000000"/>
        </w:rPr>
        <w:t xml:space="preserve"> del servidor público que no tienen ninguna injerencia en el tema de la transparencia y la rendición de cuentas,  por ejemplo, </w:t>
      </w:r>
      <w:r w:rsidRPr="00CF1D3C">
        <w:rPr>
          <w:rFonts w:ascii="Palatino Linotype" w:eastAsia="Calibri" w:hAnsi="Palatino Linotype" w:cs="Arial"/>
          <w:color w:val="000000"/>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estos son datos susceptibles de clasificarse como confidenciales mediante una versión pública que deje a la vista los datos que ofrezcan la información requerida.  </w:t>
      </w:r>
    </w:p>
    <w:p w:rsidR="001E3F7A" w:rsidRPr="00CF1D3C" w:rsidRDefault="001E3F7A" w:rsidP="001E3F7A">
      <w:pPr>
        <w:pStyle w:val="Prrafodelista"/>
        <w:rPr>
          <w:rFonts w:ascii="Palatino Linotype" w:hAnsi="Palatino Linotype" w:cs="Arial"/>
          <w:color w:val="000000"/>
        </w:rPr>
      </w:pPr>
    </w:p>
    <w:p w:rsidR="001E3F7A" w:rsidRPr="00CF1D3C" w:rsidRDefault="001E3F7A" w:rsidP="00A307A0">
      <w:pPr>
        <w:pStyle w:val="Prrafodelista"/>
        <w:numPr>
          <w:ilvl w:val="0"/>
          <w:numId w:val="1"/>
        </w:numPr>
        <w:tabs>
          <w:tab w:val="left" w:pos="0"/>
          <w:tab w:val="left" w:pos="142"/>
        </w:tabs>
        <w:spacing w:line="360" w:lineRule="auto"/>
        <w:ind w:left="0" w:firstLine="0"/>
        <w:jc w:val="both"/>
        <w:rPr>
          <w:rFonts w:ascii="Palatino Linotype" w:eastAsia="Calibri" w:hAnsi="Palatino Linotype" w:cs="Arial"/>
          <w:color w:val="000000"/>
        </w:rPr>
      </w:pPr>
      <w:r w:rsidRPr="00CF1D3C">
        <w:rPr>
          <w:rFonts w:ascii="Palatino Linotype" w:eastAsia="Calibri" w:hAnsi="Palatino Linotype" w:cs="Arial"/>
          <w:color w:val="000000"/>
        </w:rPr>
        <w:t xml:space="preserve">Otro tipo de información confidencial constituyen los secretos bancario, fiduciario, </w:t>
      </w:r>
      <w:r w:rsidRPr="00CF1D3C">
        <w:rPr>
          <w:rFonts w:ascii="Palatino Linotype" w:hAnsi="Palatino Linotype" w:cs="Arial"/>
          <w:color w:val="000000"/>
        </w:rPr>
        <w:t>industrial</w:t>
      </w:r>
      <w:r w:rsidRPr="00CF1D3C">
        <w:rPr>
          <w:rFonts w:ascii="Palatino Linotype" w:eastAsia="Calibri" w:hAnsi="Palatino Linotype" w:cs="Arial"/>
          <w:color w:val="000000"/>
        </w:rPr>
        <w:t>, comercial, fiscal, bursátil y postal, cuya titularidad corresponda a particulares, sujetos de derecho internacional o a Sujetos Obligados cuando no involucren el ejercicio de recursos públicos, así lo define la fracción XXI del artículo 3 de la Ley Estatal.</w:t>
      </w:r>
    </w:p>
    <w:p w:rsidR="001E3F7A" w:rsidRPr="00CF1D3C" w:rsidRDefault="001E3F7A" w:rsidP="001E3F7A">
      <w:pPr>
        <w:spacing w:line="360" w:lineRule="auto"/>
        <w:contextualSpacing/>
        <w:jc w:val="both"/>
        <w:rPr>
          <w:rFonts w:ascii="Palatino Linotype" w:hAnsi="Palatino Linotype" w:cs="Arial"/>
          <w:color w:val="000000"/>
        </w:rPr>
      </w:pPr>
    </w:p>
    <w:p w:rsidR="001E3F7A" w:rsidRPr="00CF1D3C" w:rsidRDefault="001E3F7A" w:rsidP="001E3F7A">
      <w:pPr>
        <w:keepNext/>
        <w:keepLines/>
        <w:pBdr>
          <w:top w:val="nil"/>
          <w:left w:val="nil"/>
          <w:bottom w:val="nil"/>
          <w:right w:val="nil"/>
          <w:between w:val="nil"/>
          <w:bar w:val="nil"/>
        </w:pBdr>
        <w:spacing w:before="40"/>
        <w:jc w:val="both"/>
        <w:outlineLvl w:val="1"/>
        <w:rPr>
          <w:rFonts w:ascii="Palatino Linotype" w:hAnsi="Palatino Linotype"/>
          <w:b/>
          <w:color w:val="000000"/>
          <w:lang w:eastAsia="en-US"/>
        </w:rPr>
      </w:pPr>
      <w:bookmarkStart w:id="84" w:name="_Toc485631706"/>
      <w:bookmarkStart w:id="85" w:name="_Toc500756716"/>
      <w:bookmarkStart w:id="86" w:name="_Toc536691784"/>
      <w:bookmarkStart w:id="87" w:name="_Toc80889851"/>
      <w:bookmarkStart w:id="88" w:name="_Toc82515813"/>
      <w:bookmarkStart w:id="89" w:name="_Toc82515912"/>
      <w:bookmarkStart w:id="90" w:name="_Toc82519899"/>
      <w:r w:rsidRPr="00CF1D3C">
        <w:rPr>
          <w:rFonts w:ascii="Palatino Linotype" w:hAnsi="Palatino Linotype"/>
          <w:b/>
          <w:color w:val="000000"/>
          <w:lang w:eastAsia="en-US"/>
        </w:rPr>
        <w:t>III. Condiciones especiales de la clasificación de la información como reservada</w:t>
      </w:r>
      <w:bookmarkEnd w:id="84"/>
      <w:bookmarkEnd w:id="85"/>
      <w:bookmarkEnd w:id="86"/>
      <w:bookmarkEnd w:id="87"/>
      <w:bookmarkEnd w:id="88"/>
      <w:bookmarkEnd w:id="89"/>
      <w:bookmarkEnd w:id="90"/>
      <w:r w:rsidRPr="00CF1D3C">
        <w:rPr>
          <w:rFonts w:ascii="Palatino Linotype" w:hAnsi="Palatino Linotype"/>
          <w:b/>
          <w:color w:val="000000"/>
          <w:lang w:eastAsia="en-US"/>
        </w:rPr>
        <w:t xml:space="preserve"> </w:t>
      </w:r>
    </w:p>
    <w:p w:rsidR="001E3F7A" w:rsidRPr="00CF1D3C" w:rsidRDefault="001E3F7A" w:rsidP="001E3F7A">
      <w:pPr>
        <w:spacing w:line="360" w:lineRule="auto"/>
        <w:contextualSpacing/>
        <w:jc w:val="both"/>
        <w:rPr>
          <w:rFonts w:ascii="Palatino Linotype" w:hAnsi="Palatino Linotype" w:cs="Arial"/>
          <w:b/>
          <w:color w:val="000000"/>
        </w:rPr>
      </w:pPr>
    </w:p>
    <w:p w:rsidR="001E3F7A" w:rsidRPr="00CF1D3C" w:rsidRDefault="001E3F7A" w:rsidP="00A307A0">
      <w:pPr>
        <w:pStyle w:val="Ttulo1"/>
        <w:numPr>
          <w:ilvl w:val="0"/>
          <w:numId w:val="14"/>
        </w:numPr>
        <w:rPr>
          <w:rFonts w:ascii="Palatino Linotype" w:hAnsi="Palatino Linotype"/>
          <w:b/>
          <w:color w:val="000000" w:themeColor="text1"/>
          <w:sz w:val="24"/>
          <w:szCs w:val="24"/>
        </w:rPr>
      </w:pPr>
      <w:bookmarkStart w:id="91" w:name="_Toc485631707"/>
      <w:bookmarkStart w:id="92" w:name="_Toc500756717"/>
      <w:bookmarkStart w:id="93" w:name="_Toc536691785"/>
      <w:bookmarkStart w:id="94" w:name="_Toc80889852"/>
      <w:bookmarkStart w:id="95" w:name="_Toc82515814"/>
      <w:bookmarkStart w:id="96" w:name="_Toc82515913"/>
      <w:bookmarkStart w:id="97" w:name="_Toc82519900"/>
      <w:r w:rsidRPr="00CF1D3C">
        <w:rPr>
          <w:rFonts w:ascii="Palatino Linotype" w:hAnsi="Palatino Linotype"/>
          <w:b/>
          <w:color w:val="000000" w:themeColor="text1"/>
          <w:sz w:val="24"/>
          <w:szCs w:val="24"/>
        </w:rPr>
        <w:t>La fundamentación específica.</w:t>
      </w:r>
      <w:bookmarkEnd w:id="91"/>
      <w:bookmarkEnd w:id="92"/>
      <w:bookmarkEnd w:id="93"/>
      <w:bookmarkEnd w:id="94"/>
      <w:bookmarkEnd w:id="95"/>
      <w:bookmarkEnd w:id="96"/>
      <w:bookmarkEnd w:id="97"/>
    </w:p>
    <w:p w:rsidR="001E3F7A" w:rsidRPr="00CF1D3C" w:rsidRDefault="001E3F7A" w:rsidP="001E3F7A">
      <w:pPr>
        <w:pStyle w:val="Prrafodelista"/>
      </w:pPr>
    </w:p>
    <w:p w:rsidR="001E3F7A" w:rsidRPr="00CF1D3C" w:rsidRDefault="001E3F7A" w:rsidP="00A307A0">
      <w:pPr>
        <w:pStyle w:val="Prrafodelista"/>
        <w:numPr>
          <w:ilvl w:val="0"/>
          <w:numId w:val="1"/>
        </w:numPr>
        <w:tabs>
          <w:tab w:val="left" w:pos="0"/>
          <w:tab w:val="left" w:pos="142"/>
        </w:tabs>
        <w:spacing w:line="360" w:lineRule="auto"/>
        <w:ind w:left="0" w:firstLine="0"/>
        <w:jc w:val="both"/>
        <w:rPr>
          <w:rFonts w:ascii="Palatino Linotype" w:hAnsi="Palatino Linotype" w:cs="Arial"/>
          <w:color w:val="000000"/>
        </w:rPr>
      </w:pPr>
      <w:r w:rsidRPr="00CF1D3C">
        <w:rPr>
          <w:rFonts w:ascii="Palatino Linotype" w:hAnsi="Palatino Linotype" w:cs="Arial"/>
          <w:color w:val="000000"/>
        </w:rPr>
        <w:lastRenderedPageBreak/>
        <w:t xml:space="preserve">Más aún, los artículos 128, segundo párrafo, y 103, segundo párrafo, de las Leyes </w:t>
      </w:r>
      <w:r w:rsidRPr="00CF1D3C">
        <w:rPr>
          <w:rFonts w:ascii="Palatino Linotype" w:eastAsia="Calibri" w:hAnsi="Palatino Linotype" w:cs="Arial"/>
          <w:color w:val="000000"/>
        </w:rPr>
        <w:t>Estatal</w:t>
      </w:r>
      <w:r w:rsidRPr="00CF1D3C">
        <w:rPr>
          <w:rFonts w:ascii="Palatino Linotype" w:hAnsi="Palatino Linotype" w:cs="Arial"/>
          <w:color w:val="000000"/>
        </w:rPr>
        <w:t xml:space="preserve"> y General, respectivamente, señalan que en el caso de la información reservada, se deben de señalar las razones, motivos o circunstancias especiales que llevan al </w:t>
      </w:r>
      <w:r w:rsidRPr="00CF1D3C">
        <w:rPr>
          <w:rFonts w:ascii="Palatino Linotype" w:hAnsi="Palatino Linotype" w:cs="Arial"/>
          <w:b/>
          <w:bCs/>
          <w:color w:val="000000"/>
        </w:rPr>
        <w:t>SUJETO OBLIGADO</w:t>
      </w:r>
      <w:r w:rsidRPr="00CF1D3C">
        <w:rPr>
          <w:rFonts w:ascii="Palatino Linotype" w:hAnsi="Palatino Linotype" w:cs="Arial"/>
          <w:color w:val="000000"/>
        </w:rPr>
        <w:t xml:space="preserve">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autorreferencial en el que primero se dice algo, después se dice lo mismo y al final exactamente lo mismo, cambiando sólo el orden de las palabras.</w:t>
      </w:r>
    </w:p>
    <w:p w:rsidR="001E3F7A" w:rsidRPr="00CF1D3C" w:rsidRDefault="001E3F7A" w:rsidP="00A307A0">
      <w:pPr>
        <w:pStyle w:val="Ttulo1"/>
        <w:numPr>
          <w:ilvl w:val="0"/>
          <w:numId w:val="14"/>
        </w:numPr>
        <w:rPr>
          <w:rFonts w:ascii="Palatino Linotype" w:hAnsi="Palatino Linotype"/>
          <w:b/>
          <w:color w:val="000000" w:themeColor="text1"/>
          <w:sz w:val="24"/>
          <w:szCs w:val="24"/>
        </w:rPr>
      </w:pPr>
      <w:bookmarkStart w:id="98" w:name="_Toc485631708"/>
      <w:bookmarkStart w:id="99" w:name="_Toc500756718"/>
      <w:bookmarkStart w:id="100" w:name="_Toc536691786"/>
      <w:bookmarkStart w:id="101" w:name="_Toc80889853"/>
      <w:bookmarkStart w:id="102" w:name="_Toc82515815"/>
      <w:bookmarkStart w:id="103" w:name="_Toc82515914"/>
      <w:bookmarkStart w:id="104" w:name="_Toc82519901"/>
      <w:r w:rsidRPr="00CF1D3C">
        <w:rPr>
          <w:rFonts w:ascii="Palatino Linotype" w:hAnsi="Palatino Linotype"/>
          <w:b/>
          <w:color w:val="000000" w:themeColor="text1"/>
          <w:sz w:val="24"/>
          <w:szCs w:val="24"/>
        </w:rPr>
        <w:t>La prueba de daño.</w:t>
      </w:r>
      <w:bookmarkEnd w:id="98"/>
      <w:bookmarkEnd w:id="99"/>
      <w:bookmarkEnd w:id="100"/>
      <w:bookmarkEnd w:id="101"/>
      <w:bookmarkEnd w:id="102"/>
      <w:bookmarkEnd w:id="103"/>
      <w:bookmarkEnd w:id="104"/>
    </w:p>
    <w:p w:rsidR="001E3F7A" w:rsidRPr="00CF1D3C" w:rsidRDefault="001E3F7A" w:rsidP="001E3F7A">
      <w:pPr>
        <w:pStyle w:val="Prrafodelista"/>
      </w:pPr>
    </w:p>
    <w:p w:rsidR="001E3F7A" w:rsidRPr="00CF1D3C" w:rsidRDefault="001E3F7A" w:rsidP="00A307A0">
      <w:pPr>
        <w:pStyle w:val="Prrafodelista"/>
        <w:numPr>
          <w:ilvl w:val="0"/>
          <w:numId w:val="1"/>
        </w:numPr>
        <w:tabs>
          <w:tab w:val="left" w:pos="0"/>
          <w:tab w:val="left" w:pos="142"/>
        </w:tabs>
        <w:spacing w:line="360" w:lineRule="auto"/>
        <w:ind w:left="0" w:firstLine="0"/>
        <w:jc w:val="both"/>
        <w:rPr>
          <w:rFonts w:ascii="Palatino Linotype" w:hAnsi="Palatino Linotype"/>
          <w:color w:val="000000"/>
        </w:rPr>
      </w:pPr>
      <w:r w:rsidRPr="00CF1D3C">
        <w:rPr>
          <w:rFonts w:ascii="Palatino Linotype" w:hAnsi="Palatino Linotype"/>
          <w:color w:val="000000"/>
        </w:rPr>
        <w:t xml:space="preserve">Las mismas disposiciones referidas en el párrafo anterior precisan que, además de </w:t>
      </w:r>
      <w:r w:rsidRPr="00CF1D3C">
        <w:rPr>
          <w:rFonts w:ascii="Palatino Linotype" w:hAnsi="Palatino Linotype" w:cs="Arial"/>
          <w:color w:val="000000"/>
        </w:rPr>
        <w:t>señalar</w:t>
      </w:r>
      <w:r w:rsidRPr="00CF1D3C">
        <w:rPr>
          <w:rFonts w:ascii="Palatino Linotype" w:hAnsi="Palatino Linotype"/>
          <w:color w:val="000000"/>
        </w:rPr>
        <w:t xml:space="preserve">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w:t>
      </w:r>
      <w:r w:rsidRPr="00CF1D3C">
        <w:rPr>
          <w:rFonts w:ascii="Palatino Linotype" w:hAnsi="Palatino Linotype"/>
          <w:color w:val="000000"/>
        </w:rPr>
        <w:lastRenderedPageBreak/>
        <w:t>caso por caso, esto es, no se puede hacer una prueba de daño de un expediente completo, sino de cada uno de los documentos que lo integran.</w:t>
      </w:r>
    </w:p>
    <w:p w:rsidR="001E3F7A" w:rsidRPr="00CF1D3C" w:rsidRDefault="001E3F7A" w:rsidP="001E3F7A">
      <w:pPr>
        <w:pStyle w:val="Prrafodelista"/>
        <w:tabs>
          <w:tab w:val="left" w:pos="0"/>
          <w:tab w:val="left" w:pos="142"/>
        </w:tabs>
        <w:spacing w:line="360" w:lineRule="auto"/>
        <w:ind w:left="0"/>
        <w:jc w:val="both"/>
        <w:rPr>
          <w:rFonts w:ascii="Palatino Linotype" w:hAnsi="Palatino Linotype"/>
          <w:color w:val="000000"/>
        </w:rPr>
      </w:pPr>
    </w:p>
    <w:p w:rsidR="001E3F7A" w:rsidRPr="00CF1D3C" w:rsidRDefault="001E3F7A" w:rsidP="00A307A0">
      <w:pPr>
        <w:pStyle w:val="Prrafodelista"/>
        <w:numPr>
          <w:ilvl w:val="0"/>
          <w:numId w:val="1"/>
        </w:numPr>
        <w:tabs>
          <w:tab w:val="left" w:pos="0"/>
          <w:tab w:val="left" w:pos="142"/>
        </w:tabs>
        <w:spacing w:line="360" w:lineRule="auto"/>
        <w:ind w:left="0" w:firstLine="0"/>
        <w:jc w:val="both"/>
        <w:rPr>
          <w:rFonts w:ascii="Palatino Linotype" w:hAnsi="Palatino Linotype"/>
          <w:color w:val="000000"/>
        </w:rPr>
      </w:pPr>
      <w:r w:rsidRPr="00CF1D3C">
        <w:rPr>
          <w:rFonts w:ascii="Palatino Linotype" w:hAnsi="Palatino Linotype"/>
          <w:color w:val="000000"/>
        </w:rPr>
        <w:t>Para aplicar la prueba de daño, se deberán de precisar las razones objetivas por las que la apertura genera una afectación, acreditando que:</w:t>
      </w:r>
    </w:p>
    <w:p w:rsidR="001E3F7A" w:rsidRPr="00CF1D3C" w:rsidRDefault="001E3F7A" w:rsidP="00A307A0">
      <w:pPr>
        <w:numPr>
          <w:ilvl w:val="1"/>
          <w:numId w:val="1"/>
        </w:numPr>
        <w:tabs>
          <w:tab w:val="left" w:pos="426"/>
        </w:tabs>
        <w:spacing w:after="160" w:line="360" w:lineRule="auto"/>
        <w:ind w:left="1134" w:hanging="436"/>
        <w:contextualSpacing/>
        <w:jc w:val="both"/>
        <w:rPr>
          <w:rFonts w:ascii="Palatino Linotype" w:hAnsi="Palatino Linotype"/>
          <w:iCs/>
          <w:color w:val="000000"/>
        </w:rPr>
      </w:pPr>
      <w:r w:rsidRPr="00CF1D3C">
        <w:rPr>
          <w:rFonts w:ascii="Palatino Linotype" w:hAnsi="Palatino Linotype"/>
          <w:color w:val="000000"/>
        </w:rPr>
        <w:t xml:space="preserve">La </w:t>
      </w:r>
      <w:r w:rsidRPr="00CF1D3C">
        <w:rPr>
          <w:rFonts w:ascii="Palatino Linotype" w:hAnsi="Palatino Linotype"/>
          <w:iCs/>
          <w:color w:val="000000"/>
        </w:rPr>
        <w:t xml:space="preserve">divulgación de la información representa un riesgo real, demostrable e identificable del perjuicio significativo al interés público o a la seguridad pública; </w:t>
      </w:r>
    </w:p>
    <w:p w:rsidR="001E3F7A" w:rsidRPr="00CF1D3C" w:rsidRDefault="001E3F7A" w:rsidP="00A307A0">
      <w:pPr>
        <w:numPr>
          <w:ilvl w:val="1"/>
          <w:numId w:val="1"/>
        </w:numPr>
        <w:tabs>
          <w:tab w:val="left" w:pos="426"/>
        </w:tabs>
        <w:spacing w:after="160" w:line="360" w:lineRule="auto"/>
        <w:ind w:left="1134" w:hanging="436"/>
        <w:contextualSpacing/>
        <w:jc w:val="both"/>
        <w:rPr>
          <w:rFonts w:ascii="Palatino Linotype" w:hAnsi="Palatino Linotype"/>
          <w:iCs/>
          <w:color w:val="000000"/>
        </w:rPr>
      </w:pPr>
      <w:r w:rsidRPr="00CF1D3C">
        <w:rPr>
          <w:rFonts w:ascii="Palatino Linotype" w:hAnsi="Palatino Linotype"/>
          <w:iCs/>
          <w:color w:val="000000"/>
        </w:rPr>
        <w:t xml:space="preserve">El riesgo de perjuicio que supondría la divulgación supera el interés público general de que se difunda; y </w:t>
      </w:r>
    </w:p>
    <w:p w:rsidR="001E3F7A" w:rsidRPr="00CF1D3C" w:rsidRDefault="001E3F7A" w:rsidP="00A307A0">
      <w:pPr>
        <w:numPr>
          <w:ilvl w:val="1"/>
          <w:numId w:val="1"/>
        </w:numPr>
        <w:tabs>
          <w:tab w:val="left" w:pos="426"/>
        </w:tabs>
        <w:spacing w:after="160" w:line="360" w:lineRule="auto"/>
        <w:ind w:left="1134" w:hanging="436"/>
        <w:contextualSpacing/>
        <w:jc w:val="both"/>
        <w:rPr>
          <w:rFonts w:ascii="Palatino Linotype" w:hAnsi="Palatino Linotype"/>
          <w:iCs/>
          <w:color w:val="000000"/>
        </w:rPr>
      </w:pPr>
      <w:r w:rsidRPr="00CF1D3C">
        <w:rPr>
          <w:rFonts w:ascii="Palatino Linotype" w:hAnsi="Palatino Linotype"/>
          <w:iCs/>
          <w:color w:val="000000"/>
        </w:rPr>
        <w:t>La limitación se adecua al principio de proporcionalidad y representa el medio menos restrictivo disponible para evitar el perjuicio.</w:t>
      </w:r>
    </w:p>
    <w:p w:rsidR="001E3F7A" w:rsidRPr="00CF1D3C" w:rsidRDefault="001E3F7A" w:rsidP="001E3F7A">
      <w:pPr>
        <w:tabs>
          <w:tab w:val="left" w:pos="426"/>
        </w:tabs>
        <w:spacing w:line="360" w:lineRule="auto"/>
        <w:ind w:left="1134"/>
        <w:contextualSpacing/>
        <w:jc w:val="both"/>
        <w:rPr>
          <w:rFonts w:ascii="Palatino Linotype" w:hAnsi="Palatino Linotype"/>
          <w:iCs/>
          <w:color w:val="000000"/>
        </w:rPr>
      </w:pPr>
    </w:p>
    <w:p w:rsidR="001E3F7A" w:rsidRPr="00CF1D3C" w:rsidRDefault="001E3F7A" w:rsidP="00A307A0">
      <w:pPr>
        <w:pStyle w:val="Prrafodelista"/>
        <w:numPr>
          <w:ilvl w:val="0"/>
          <w:numId w:val="1"/>
        </w:numPr>
        <w:tabs>
          <w:tab w:val="left" w:pos="0"/>
          <w:tab w:val="left" w:pos="142"/>
        </w:tabs>
        <w:spacing w:line="360" w:lineRule="auto"/>
        <w:ind w:left="0" w:firstLine="0"/>
        <w:jc w:val="both"/>
        <w:rPr>
          <w:rFonts w:ascii="Palatino Linotype" w:eastAsia="Calibri" w:hAnsi="Palatino Linotype"/>
          <w:color w:val="000000"/>
          <w:lang w:eastAsia="es-ES_tradnl"/>
        </w:rPr>
      </w:pPr>
      <w:r w:rsidRPr="00CF1D3C">
        <w:rPr>
          <w:rFonts w:ascii="Palatino Linotype" w:hAnsi="Palatino Linotype"/>
          <w:color w:val="000000"/>
        </w:rPr>
        <w:t>Sobre</w:t>
      </w:r>
      <w:r w:rsidRPr="00CF1D3C">
        <w:rPr>
          <w:rFonts w:ascii="Palatino Linotype" w:eastAsia="Calibri" w:hAnsi="Palatino Linotype"/>
          <w:color w:val="000000"/>
          <w:lang w:eastAsia="es-ES_tradnl"/>
        </w:rPr>
        <w:t xml:space="preserve"> el primer supuesto consideremos que según el diccionario del español jurídico, por riesgo podemos entender “la contingencia o proximidad de un daño”,</w:t>
      </w:r>
      <w:r w:rsidRPr="00CF1D3C">
        <w:rPr>
          <w:rFonts w:ascii="Palatino Linotype" w:eastAsia="Calibri" w:hAnsi="Palatino Linotype"/>
          <w:color w:val="000000"/>
          <w:vertAlign w:val="superscript"/>
          <w:lang w:eastAsia="es-ES_tradnl"/>
        </w:rPr>
        <w:footnoteReference w:id="16"/>
      </w:r>
      <w:r w:rsidRPr="00CF1D3C">
        <w:rPr>
          <w:rFonts w:ascii="Palatino Linotype" w:eastAsia="Calibri" w:hAnsi="Palatino Linotype"/>
          <w:color w:val="000000"/>
          <w:lang w:eastAsia="es-ES_tradnl"/>
        </w:rPr>
        <w:t xml:space="preserve"> mientras que el daño es considerado como un “perjuicio o lesión”</w:t>
      </w:r>
      <w:r w:rsidRPr="00CF1D3C">
        <w:rPr>
          <w:rFonts w:ascii="Palatino Linotype" w:eastAsia="Calibri" w:hAnsi="Palatino Linotype"/>
          <w:color w:val="000000"/>
          <w:vertAlign w:val="superscript"/>
          <w:lang w:eastAsia="es-ES_tradnl"/>
        </w:rPr>
        <w:footnoteReference w:id="17"/>
      </w:r>
      <w:r w:rsidRPr="00CF1D3C">
        <w:rPr>
          <w:rFonts w:ascii="Palatino Linotype" w:eastAsia="Calibri" w:hAnsi="Palatino Linotype"/>
          <w:color w:val="000000"/>
          <w:lang w:eastAsia="es-ES_tradnl"/>
        </w:rPr>
        <w:t>, mientras que según el Diccionario de la Lengua Española, lo real es</w:t>
      </w:r>
      <w:r w:rsidRPr="00CF1D3C">
        <w:rPr>
          <w:rFonts w:ascii="Palatino Linotype" w:eastAsia="Arial Unicode MS" w:hAnsi="Palatino Linotype" w:cs="Arial Unicode MS"/>
          <w:color w:val="000000"/>
          <w:spacing w:val="4"/>
          <w:shd w:val="clear" w:color="auto" w:fill="FFFFFF"/>
          <w:lang w:eastAsia="es-ES_tradnl"/>
        </w:rPr>
        <w:t xml:space="preserve"> lo “</w:t>
      </w:r>
      <w:r w:rsidRPr="00CF1D3C">
        <w:rPr>
          <w:rFonts w:ascii="Palatino Linotype" w:hAnsi="Palatino Linotype"/>
          <w:color w:val="000000"/>
          <w:lang w:eastAsia="es-ES_tradnl"/>
        </w:rPr>
        <w:t>(que</w:t>
      </w:r>
      <w:r w:rsidRPr="00CF1D3C">
        <w:rPr>
          <w:rFonts w:ascii="Palatino Linotype" w:eastAsia="Arial Unicode MS" w:hAnsi="Palatino Linotype" w:cs="Arial Unicode MS"/>
          <w:color w:val="000000"/>
          <w:spacing w:val="4"/>
          <w:shd w:val="clear" w:color="auto" w:fill="FFFFFF"/>
          <w:lang w:eastAsia="es-ES_tradnl"/>
        </w:rPr>
        <w:t xml:space="preserve"> </w:t>
      </w:r>
      <w:r w:rsidRPr="00CF1D3C">
        <w:rPr>
          <w:rFonts w:ascii="Palatino Linotype" w:hAnsi="Palatino Linotype"/>
          <w:color w:val="000000"/>
          <w:lang w:eastAsia="es-ES_tradnl"/>
        </w:rPr>
        <w:t>tiene</w:t>
      </w:r>
      <w:r w:rsidRPr="00CF1D3C">
        <w:rPr>
          <w:rFonts w:ascii="Palatino Linotype" w:eastAsia="Arial Unicode MS" w:hAnsi="Palatino Linotype" w:cs="Arial Unicode MS"/>
          <w:color w:val="000000"/>
          <w:spacing w:val="4"/>
          <w:shd w:val="clear" w:color="auto" w:fill="FFFFFF"/>
          <w:lang w:eastAsia="es-ES_tradnl"/>
        </w:rPr>
        <w:t xml:space="preserve"> </w:t>
      </w:r>
      <w:r w:rsidRPr="00CF1D3C">
        <w:rPr>
          <w:rFonts w:ascii="Palatino Linotype" w:hAnsi="Palatino Linotype"/>
          <w:color w:val="000000"/>
          <w:lang w:eastAsia="es-ES_tradnl"/>
        </w:rPr>
        <w:t>existencia</w:t>
      </w:r>
      <w:r w:rsidRPr="00CF1D3C">
        <w:rPr>
          <w:rFonts w:ascii="Palatino Linotype" w:eastAsia="Arial Unicode MS" w:hAnsi="Palatino Linotype" w:cs="Arial Unicode MS"/>
          <w:color w:val="000000"/>
          <w:spacing w:val="4"/>
          <w:shd w:val="clear" w:color="auto" w:fill="FFFFFF"/>
          <w:lang w:eastAsia="es-ES_tradnl"/>
        </w:rPr>
        <w:t xml:space="preserve"> </w:t>
      </w:r>
      <w:r w:rsidRPr="00CF1D3C">
        <w:rPr>
          <w:rFonts w:ascii="Palatino Linotype" w:hAnsi="Palatino Linotype"/>
          <w:color w:val="000000"/>
          <w:lang w:eastAsia="es-ES_tradnl"/>
        </w:rPr>
        <w:t>objetiva”,</w:t>
      </w:r>
      <w:r w:rsidRPr="00CF1D3C">
        <w:rPr>
          <w:rFonts w:ascii="Palatino Linotype" w:hAnsi="Palatino Linotype"/>
          <w:color w:val="000000"/>
          <w:vertAlign w:val="superscript"/>
          <w:lang w:eastAsia="es-ES_tradnl"/>
        </w:rPr>
        <w:footnoteReference w:id="18"/>
      </w:r>
      <w:r w:rsidRPr="00CF1D3C">
        <w:rPr>
          <w:rFonts w:ascii="Palatino Linotype" w:hAnsi="Palatino Linotype"/>
          <w:color w:val="000000"/>
          <w:lang w:eastAsia="es-ES_tradnl"/>
        </w:rPr>
        <w:t xml:space="preserve"> </w:t>
      </w:r>
      <w:r w:rsidRPr="00CF1D3C">
        <w:rPr>
          <w:rFonts w:ascii="Palatino Linotype" w:hAnsi="Palatino Linotype"/>
          <w:color w:val="000000"/>
        </w:rPr>
        <w:t>mientras</w:t>
      </w:r>
      <w:r w:rsidRPr="00CF1D3C">
        <w:rPr>
          <w:rFonts w:ascii="Palatino Linotype" w:eastAsia="Arial Unicode MS" w:hAnsi="Palatino Linotype" w:cs="Arial Unicode MS"/>
          <w:color w:val="000000"/>
          <w:spacing w:val="4"/>
          <w:shd w:val="clear" w:color="auto" w:fill="FFFFFF"/>
          <w:lang w:eastAsia="es-ES_tradnl"/>
        </w:rPr>
        <w:t xml:space="preserve"> que lo demostrables es, según la misma fuente, aquello que se puede demostrar,</w:t>
      </w:r>
      <w:r w:rsidRPr="00CF1D3C">
        <w:rPr>
          <w:rFonts w:ascii="Palatino Linotype" w:eastAsia="Arial Unicode MS" w:hAnsi="Palatino Linotype" w:cs="Arial Unicode MS"/>
          <w:color w:val="000000"/>
          <w:spacing w:val="4"/>
          <w:shd w:val="clear" w:color="auto" w:fill="FFFFFF"/>
          <w:vertAlign w:val="superscript"/>
          <w:lang w:eastAsia="es-ES_tradnl"/>
        </w:rPr>
        <w:footnoteReference w:id="19"/>
      </w:r>
      <w:r w:rsidRPr="00CF1D3C">
        <w:rPr>
          <w:rFonts w:ascii="Palatino Linotype" w:eastAsia="Arial Unicode MS" w:hAnsi="Palatino Linotype" w:cs="Arial Unicode MS"/>
          <w:color w:val="000000"/>
          <w:spacing w:val="4"/>
          <w:shd w:val="clear" w:color="auto" w:fill="FFFFFF"/>
          <w:lang w:eastAsia="es-ES_tradnl"/>
        </w:rPr>
        <w:t xml:space="preserve"> es decir, </w:t>
      </w:r>
      <w:r w:rsidRPr="00CF1D3C">
        <w:rPr>
          <w:rFonts w:ascii="Palatino Linotype" w:eastAsia="Calibri" w:hAnsi="Palatino Linotype"/>
          <w:color w:val="000000"/>
          <w:lang w:eastAsia="en-US"/>
        </w:rPr>
        <w:t xml:space="preserve">“(manifestar, declarar. Probar, sirviéndose de </w:t>
      </w:r>
      <w:r w:rsidRPr="00CF1D3C">
        <w:rPr>
          <w:rFonts w:ascii="Palatino Linotype" w:eastAsia="Calibri" w:hAnsi="Palatino Linotype"/>
          <w:color w:val="000000"/>
          <w:lang w:eastAsia="en-US"/>
        </w:rPr>
        <w:lastRenderedPageBreak/>
        <w:t xml:space="preserve">cualquier género de demostración, </w:t>
      </w:r>
      <w:hyperlink r:id="rId19" w:anchor="6nAyKjE" w:history="1">
        <w:r w:rsidRPr="00CF1D3C">
          <w:rPr>
            <w:rFonts w:ascii="Palatino Linotype" w:eastAsia="Calibri" w:hAnsi="Palatino Linotype"/>
            <w:color w:val="000000"/>
            <w:lang w:eastAsia="en-US"/>
          </w:rPr>
          <w:t>enseñar</w:t>
        </w:r>
      </w:hyperlink>
      <w:r w:rsidRPr="00CF1D3C">
        <w:rPr>
          <w:rFonts w:ascii="Palatino Linotype" w:eastAsia="Calibri" w:hAnsi="Palatino Linotype"/>
          <w:color w:val="000000"/>
          <w:lang w:eastAsia="en-US"/>
        </w:rPr>
        <w:t xml:space="preserve"> mostrar o exponer algo)”.</w:t>
      </w:r>
      <w:r w:rsidRPr="00CF1D3C">
        <w:rPr>
          <w:rFonts w:ascii="Palatino Linotype" w:eastAsia="Calibri" w:hAnsi="Palatino Linotype"/>
          <w:color w:val="000000"/>
          <w:vertAlign w:val="superscript"/>
          <w:lang w:eastAsia="en-US"/>
        </w:rPr>
        <w:footnoteReference w:id="20"/>
      </w:r>
      <w:r w:rsidRPr="00CF1D3C">
        <w:rPr>
          <w:rFonts w:ascii="Palatino Linotype" w:eastAsia="Calibri" w:hAnsi="Palatino Linotype"/>
          <w:color w:val="000000"/>
          <w:lang w:eastAsia="en-US"/>
        </w:rPr>
        <w:t xml:space="preserve"> Mientras que lo identificable es lo que puede ser identificado,</w:t>
      </w:r>
      <w:r w:rsidRPr="00CF1D3C">
        <w:rPr>
          <w:rFonts w:ascii="Palatino Linotype" w:eastAsia="Calibri" w:hAnsi="Palatino Linotype"/>
          <w:color w:val="000000"/>
          <w:vertAlign w:val="superscript"/>
          <w:lang w:eastAsia="en-US"/>
        </w:rPr>
        <w:footnoteReference w:id="21"/>
      </w:r>
      <w:r w:rsidRPr="00CF1D3C">
        <w:rPr>
          <w:rFonts w:ascii="Palatino Linotype" w:eastAsia="Calibri" w:hAnsi="Palatino Linotype"/>
          <w:color w:val="000000"/>
          <w:lang w:eastAsia="en-US"/>
        </w:rPr>
        <w:t xml:space="preserve"> esto es,</w:t>
      </w:r>
      <w:r w:rsidRPr="00CF1D3C">
        <w:rPr>
          <w:rFonts w:ascii="Palatino Linotype" w:eastAsia="Calibri" w:hAnsi="Palatino Linotype"/>
          <w:color w:val="000000"/>
          <w:lang w:eastAsia="es-ES_tradnl"/>
        </w:rPr>
        <w:t xml:space="preserve"> “(dar los datos necesarios para ser reconocido”.</w:t>
      </w:r>
      <w:r w:rsidRPr="00CF1D3C">
        <w:rPr>
          <w:rFonts w:ascii="Palatino Linotype" w:eastAsia="Calibri" w:hAnsi="Palatino Linotype"/>
          <w:color w:val="000000"/>
          <w:vertAlign w:val="superscript"/>
          <w:lang w:eastAsia="es-ES_tradnl"/>
        </w:rPr>
        <w:footnoteReference w:id="22"/>
      </w:r>
    </w:p>
    <w:p w:rsidR="001E3F7A" w:rsidRPr="00CF1D3C" w:rsidRDefault="001E3F7A" w:rsidP="001E3F7A">
      <w:pPr>
        <w:pStyle w:val="Prrafodelista"/>
        <w:tabs>
          <w:tab w:val="left" w:pos="0"/>
          <w:tab w:val="left" w:pos="142"/>
        </w:tabs>
        <w:spacing w:line="360" w:lineRule="auto"/>
        <w:ind w:left="0"/>
        <w:jc w:val="both"/>
        <w:rPr>
          <w:rFonts w:ascii="Palatino Linotype" w:eastAsia="Calibri" w:hAnsi="Palatino Linotype"/>
          <w:color w:val="000000"/>
          <w:lang w:eastAsia="es-ES_tradnl"/>
        </w:rPr>
      </w:pPr>
    </w:p>
    <w:p w:rsidR="001E3F7A" w:rsidRPr="00CF1D3C" w:rsidRDefault="001E3F7A" w:rsidP="00A307A0">
      <w:pPr>
        <w:pStyle w:val="Prrafodelista"/>
        <w:numPr>
          <w:ilvl w:val="0"/>
          <w:numId w:val="1"/>
        </w:numPr>
        <w:tabs>
          <w:tab w:val="left" w:pos="0"/>
          <w:tab w:val="left" w:pos="142"/>
        </w:tabs>
        <w:spacing w:line="360" w:lineRule="auto"/>
        <w:ind w:left="0" w:firstLine="0"/>
        <w:jc w:val="both"/>
        <w:rPr>
          <w:rFonts w:ascii="Palatino Linotype" w:hAnsi="Palatino Linotype"/>
          <w:color w:val="000000"/>
        </w:rPr>
      </w:pPr>
      <w:r w:rsidRPr="00CF1D3C">
        <w:rPr>
          <w:rFonts w:ascii="Palatino Linotype" w:hAnsi="Palatino Linotype"/>
          <w:color w:val="000000"/>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rsidR="001E3F7A" w:rsidRPr="00CF1D3C" w:rsidRDefault="001E3F7A" w:rsidP="001E3F7A">
      <w:pPr>
        <w:pStyle w:val="Prrafodelista"/>
        <w:rPr>
          <w:rFonts w:ascii="Palatino Linotype" w:hAnsi="Palatino Linotype"/>
          <w:color w:val="000000"/>
        </w:rPr>
      </w:pPr>
    </w:p>
    <w:p w:rsidR="001E3F7A" w:rsidRPr="00CF1D3C" w:rsidRDefault="001E3F7A" w:rsidP="00A307A0">
      <w:pPr>
        <w:pStyle w:val="Prrafodelista"/>
        <w:numPr>
          <w:ilvl w:val="0"/>
          <w:numId w:val="1"/>
        </w:numPr>
        <w:tabs>
          <w:tab w:val="left" w:pos="0"/>
          <w:tab w:val="left" w:pos="142"/>
        </w:tabs>
        <w:spacing w:line="360" w:lineRule="auto"/>
        <w:ind w:left="0" w:firstLine="0"/>
        <w:jc w:val="both"/>
        <w:rPr>
          <w:rFonts w:ascii="Palatino Linotype" w:hAnsi="Palatino Linotype"/>
          <w:color w:val="000000"/>
        </w:rPr>
      </w:pPr>
      <w:r w:rsidRPr="00CF1D3C">
        <w:rPr>
          <w:rFonts w:ascii="Palatino Linotype" w:hAnsi="Palatino Linotype"/>
          <w:color w:val="000000"/>
        </w:rPr>
        <w:t xml:space="preserve">Identificado ese riesgo, se debe demostrar que el mismo supera el interés público general porque se difunda dicha información. </w:t>
      </w:r>
    </w:p>
    <w:p w:rsidR="001E3F7A" w:rsidRPr="00CF1D3C" w:rsidRDefault="001E3F7A" w:rsidP="001E3F7A">
      <w:pPr>
        <w:pStyle w:val="Prrafodelista"/>
        <w:rPr>
          <w:rFonts w:ascii="Palatino Linotype" w:hAnsi="Palatino Linotype"/>
          <w:color w:val="000000"/>
        </w:rPr>
      </w:pPr>
    </w:p>
    <w:p w:rsidR="001E3F7A" w:rsidRPr="00CF1D3C" w:rsidRDefault="001E3F7A" w:rsidP="00A307A0">
      <w:pPr>
        <w:pStyle w:val="Prrafodelista"/>
        <w:numPr>
          <w:ilvl w:val="0"/>
          <w:numId w:val="1"/>
        </w:numPr>
        <w:tabs>
          <w:tab w:val="left" w:pos="0"/>
          <w:tab w:val="left" w:pos="142"/>
        </w:tabs>
        <w:spacing w:line="360" w:lineRule="auto"/>
        <w:ind w:left="0" w:firstLine="0"/>
        <w:jc w:val="both"/>
        <w:rPr>
          <w:rFonts w:ascii="Palatino Linotype" w:hAnsi="Palatino Linotype"/>
          <w:color w:val="000000"/>
        </w:rPr>
      </w:pPr>
      <w:r w:rsidRPr="00CF1D3C">
        <w:rPr>
          <w:rFonts w:ascii="Palatino Linotype" w:hAnsi="Palatino Linotype"/>
          <w:color w:val="000000"/>
        </w:rPr>
        <w:t>Y, por último,  que la limitación es acorde con el principio de proporcionalidad, para ello, se sugiere emplear los tres juicios propuestos por la Corte Constitucional Colombiana</w:t>
      </w:r>
      <w:r w:rsidRPr="00CF1D3C">
        <w:rPr>
          <w:rFonts w:ascii="Palatino Linotype" w:hAnsi="Palatino Linotype"/>
          <w:color w:val="000000"/>
          <w:vertAlign w:val="superscript"/>
        </w:rPr>
        <w:footnoteReference w:id="23"/>
      </w:r>
      <w:r w:rsidRPr="00CF1D3C">
        <w:rPr>
          <w:rFonts w:ascii="Palatino Linotype" w:hAnsi="Palatino Linotype"/>
          <w:color w:val="000000"/>
        </w:rPr>
        <w:t xml:space="preserve">, siguiendo el principio de ponderación </w:t>
      </w:r>
      <w:r w:rsidRPr="00CF1D3C">
        <w:rPr>
          <w:rFonts w:ascii="Palatino Linotype" w:hAnsi="Palatino Linotype"/>
          <w:color w:val="000000"/>
        </w:rPr>
        <w:lastRenderedPageBreak/>
        <w:t>propuesto por el Tribunal Constitucional Alemán,</w:t>
      </w:r>
      <w:r w:rsidRPr="00CF1D3C">
        <w:rPr>
          <w:rFonts w:ascii="Palatino Linotype" w:hAnsi="Palatino Linotype"/>
          <w:color w:val="000000"/>
          <w:vertAlign w:val="superscript"/>
        </w:rPr>
        <w:footnoteReference w:id="24"/>
      </w:r>
      <w:r w:rsidRPr="00CF1D3C">
        <w:rPr>
          <w:rFonts w:ascii="Palatino Linotype" w:hAnsi="Palatino Linotype"/>
          <w:color w:val="000000"/>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rsidR="001E3F7A" w:rsidRPr="00CF1D3C" w:rsidRDefault="001E3F7A" w:rsidP="00A307A0">
      <w:pPr>
        <w:pStyle w:val="Ttulo1"/>
        <w:numPr>
          <w:ilvl w:val="0"/>
          <w:numId w:val="14"/>
        </w:numPr>
        <w:rPr>
          <w:rFonts w:ascii="Palatino Linotype" w:hAnsi="Palatino Linotype"/>
          <w:b/>
          <w:color w:val="000000" w:themeColor="text1"/>
          <w:sz w:val="24"/>
          <w:szCs w:val="24"/>
          <w:lang w:eastAsia="en-US"/>
        </w:rPr>
      </w:pPr>
      <w:bookmarkStart w:id="105" w:name="_Toc485631709"/>
      <w:bookmarkStart w:id="106" w:name="_Toc500756719"/>
      <w:bookmarkStart w:id="107" w:name="_Toc536691787"/>
      <w:bookmarkStart w:id="108" w:name="_Toc80889854"/>
      <w:bookmarkStart w:id="109" w:name="_Toc82515816"/>
      <w:bookmarkStart w:id="110" w:name="_Toc82515915"/>
      <w:bookmarkStart w:id="111" w:name="_Toc82519902"/>
      <w:r w:rsidRPr="00CF1D3C">
        <w:rPr>
          <w:rFonts w:ascii="Palatino Linotype" w:hAnsi="Palatino Linotype"/>
          <w:b/>
          <w:color w:val="000000" w:themeColor="text1"/>
          <w:sz w:val="24"/>
          <w:szCs w:val="24"/>
          <w:lang w:eastAsia="en-US"/>
        </w:rPr>
        <w:t>La clasificación de la información reservada debe ser de manera temporal.</w:t>
      </w:r>
      <w:bookmarkEnd w:id="105"/>
      <w:bookmarkEnd w:id="106"/>
      <w:bookmarkEnd w:id="107"/>
      <w:bookmarkEnd w:id="108"/>
      <w:bookmarkEnd w:id="109"/>
      <w:bookmarkEnd w:id="110"/>
      <w:bookmarkEnd w:id="111"/>
    </w:p>
    <w:p w:rsidR="001E3F7A" w:rsidRPr="00CF1D3C" w:rsidRDefault="001E3F7A" w:rsidP="001E3F7A">
      <w:pPr>
        <w:pStyle w:val="Prrafodelista"/>
        <w:rPr>
          <w:lang w:eastAsia="en-US"/>
        </w:rPr>
      </w:pPr>
    </w:p>
    <w:p w:rsidR="001E3F7A" w:rsidRPr="00CF1D3C" w:rsidRDefault="001E3F7A" w:rsidP="00A307A0">
      <w:pPr>
        <w:pStyle w:val="Prrafodelista"/>
        <w:numPr>
          <w:ilvl w:val="0"/>
          <w:numId w:val="1"/>
        </w:numPr>
        <w:tabs>
          <w:tab w:val="left" w:pos="0"/>
          <w:tab w:val="left" w:pos="142"/>
        </w:tabs>
        <w:spacing w:line="360" w:lineRule="auto"/>
        <w:ind w:left="0" w:firstLine="0"/>
        <w:jc w:val="both"/>
        <w:rPr>
          <w:rFonts w:ascii="Palatino Linotype" w:hAnsi="Palatino Linotype"/>
          <w:color w:val="000000"/>
        </w:rPr>
      </w:pPr>
      <w:r w:rsidRPr="00CF1D3C">
        <w:rPr>
          <w:rFonts w:ascii="Palatino Linotype" w:hAnsi="Palatino Linotype"/>
          <w:color w:val="000000"/>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rsidR="00D722DF" w:rsidRPr="00CF1D3C" w:rsidRDefault="00D722DF" w:rsidP="00D722DF">
      <w:pPr>
        <w:pStyle w:val="Prrafodelista"/>
        <w:tabs>
          <w:tab w:val="left" w:pos="0"/>
          <w:tab w:val="left" w:pos="142"/>
        </w:tabs>
        <w:spacing w:line="360" w:lineRule="auto"/>
        <w:ind w:left="0"/>
        <w:jc w:val="both"/>
        <w:rPr>
          <w:rFonts w:ascii="Palatino Linotype" w:hAnsi="Palatino Linotype"/>
          <w:color w:val="000000"/>
        </w:rPr>
      </w:pPr>
    </w:p>
    <w:p w:rsidR="001E3F7A" w:rsidRPr="00CF1D3C" w:rsidRDefault="001E3F7A" w:rsidP="00A307A0">
      <w:pPr>
        <w:pStyle w:val="Prrafodelista"/>
        <w:numPr>
          <w:ilvl w:val="0"/>
          <w:numId w:val="1"/>
        </w:numPr>
        <w:tabs>
          <w:tab w:val="left" w:pos="0"/>
          <w:tab w:val="left" w:pos="142"/>
        </w:tabs>
        <w:spacing w:line="360" w:lineRule="auto"/>
        <w:ind w:left="0" w:firstLine="0"/>
        <w:jc w:val="both"/>
        <w:rPr>
          <w:rFonts w:ascii="Palatino Linotype" w:hAnsi="Palatino Linotype"/>
          <w:color w:val="000000"/>
        </w:rPr>
      </w:pPr>
      <w:r w:rsidRPr="00CF1D3C">
        <w:rPr>
          <w:rFonts w:ascii="Palatino Linotype" w:hAnsi="Palatino Linotype"/>
          <w:color w:val="000000"/>
        </w:rPr>
        <w:lastRenderedPageBreak/>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rsidR="00D722DF" w:rsidRPr="00CF1D3C" w:rsidRDefault="00D722DF" w:rsidP="00D722DF">
      <w:pPr>
        <w:pStyle w:val="Prrafodelista"/>
        <w:rPr>
          <w:rFonts w:ascii="Palatino Linotype" w:hAnsi="Palatino Linotype"/>
          <w:color w:val="000000"/>
        </w:rPr>
      </w:pPr>
    </w:p>
    <w:p w:rsidR="001E3F7A" w:rsidRPr="00CF1D3C" w:rsidRDefault="001E3F7A" w:rsidP="00A307A0">
      <w:pPr>
        <w:pStyle w:val="Prrafodelista"/>
        <w:numPr>
          <w:ilvl w:val="0"/>
          <w:numId w:val="1"/>
        </w:numPr>
        <w:tabs>
          <w:tab w:val="left" w:pos="0"/>
          <w:tab w:val="left" w:pos="142"/>
        </w:tabs>
        <w:spacing w:line="360" w:lineRule="auto"/>
        <w:ind w:left="0" w:firstLine="0"/>
        <w:jc w:val="both"/>
        <w:rPr>
          <w:rFonts w:ascii="Palatino Linotype" w:hAnsi="Palatino Linotype"/>
          <w:color w:val="000000"/>
        </w:rPr>
      </w:pPr>
      <w:r w:rsidRPr="00CF1D3C">
        <w:rPr>
          <w:rFonts w:ascii="Palatino Linotype" w:hAnsi="Palatino Linotype"/>
          <w:color w:val="000000"/>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rsidR="00D722DF" w:rsidRPr="00CF1D3C" w:rsidRDefault="00D722DF" w:rsidP="00D722DF">
      <w:pPr>
        <w:pStyle w:val="Prrafodelista"/>
        <w:rPr>
          <w:rFonts w:ascii="Palatino Linotype" w:hAnsi="Palatino Linotype"/>
          <w:color w:val="000000"/>
        </w:rPr>
      </w:pPr>
    </w:p>
    <w:p w:rsidR="001E3F7A" w:rsidRPr="00CF1D3C" w:rsidRDefault="001E3F7A" w:rsidP="00A307A0">
      <w:pPr>
        <w:pStyle w:val="Prrafodelista"/>
        <w:numPr>
          <w:ilvl w:val="0"/>
          <w:numId w:val="1"/>
        </w:numPr>
        <w:tabs>
          <w:tab w:val="left" w:pos="0"/>
          <w:tab w:val="left" w:pos="142"/>
        </w:tabs>
        <w:spacing w:line="360" w:lineRule="auto"/>
        <w:ind w:left="0" w:firstLine="0"/>
        <w:jc w:val="both"/>
        <w:rPr>
          <w:rFonts w:ascii="Palatino Linotype" w:hAnsi="Palatino Linotype"/>
          <w:color w:val="000000"/>
        </w:rPr>
      </w:pPr>
      <w:r w:rsidRPr="00CF1D3C">
        <w:rPr>
          <w:rFonts w:ascii="Palatino Linotype" w:hAnsi="Palatino Linotype"/>
          <w:color w:val="000000"/>
        </w:rPr>
        <w:t>De</w:t>
      </w:r>
      <w:r w:rsidRPr="00CF1D3C">
        <w:rPr>
          <w:rFonts w:ascii="Palatino Linotype" w:hAnsi="Palatino Linotype"/>
          <w:b/>
          <w:color w:val="000000"/>
        </w:rPr>
        <w:t xml:space="preserve"> </w:t>
      </w:r>
      <w:r w:rsidRPr="00CF1D3C">
        <w:rPr>
          <w:rFonts w:ascii="Palatino Linotype" w:hAnsi="Palatino Linotype"/>
          <w:color w:val="000000"/>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rsidR="00D722DF" w:rsidRPr="00CF1D3C" w:rsidRDefault="00D722DF" w:rsidP="00D722DF">
      <w:pPr>
        <w:pStyle w:val="Prrafodelista"/>
        <w:rPr>
          <w:rFonts w:ascii="Palatino Linotype" w:hAnsi="Palatino Linotype"/>
          <w:color w:val="000000"/>
        </w:rPr>
      </w:pPr>
    </w:p>
    <w:p w:rsidR="001E3F7A" w:rsidRPr="00CF1D3C" w:rsidRDefault="001E3F7A" w:rsidP="00A307A0">
      <w:pPr>
        <w:pStyle w:val="Prrafodelista"/>
        <w:numPr>
          <w:ilvl w:val="0"/>
          <w:numId w:val="1"/>
        </w:numPr>
        <w:tabs>
          <w:tab w:val="left" w:pos="0"/>
          <w:tab w:val="left" w:pos="142"/>
        </w:tabs>
        <w:spacing w:line="360" w:lineRule="auto"/>
        <w:ind w:left="0" w:firstLine="0"/>
        <w:jc w:val="both"/>
        <w:rPr>
          <w:rFonts w:ascii="Palatino Linotype" w:hAnsi="Palatino Linotype"/>
          <w:color w:val="000000"/>
        </w:rPr>
      </w:pPr>
      <w:r w:rsidRPr="00CF1D3C">
        <w:rPr>
          <w:rFonts w:ascii="Palatino Linotype" w:hAnsi="Palatino Linotype"/>
          <w:color w:val="000000"/>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w:t>
      </w:r>
      <w:r w:rsidRPr="00CF1D3C">
        <w:rPr>
          <w:rFonts w:ascii="Palatino Linotype" w:hAnsi="Palatino Linotype"/>
          <w:color w:val="000000"/>
        </w:rPr>
        <w:lastRenderedPageBreak/>
        <w:t>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rsidR="001E3F7A" w:rsidRPr="00CF1D3C" w:rsidRDefault="001E3F7A" w:rsidP="001E3F7A">
      <w:pPr>
        <w:spacing w:line="360" w:lineRule="auto"/>
        <w:jc w:val="both"/>
        <w:rPr>
          <w:rFonts w:ascii="Palatino Linotype" w:hAnsi="Palatino Linotype" w:cs="Arial"/>
          <w:b/>
          <w:color w:val="000000"/>
        </w:rPr>
      </w:pPr>
    </w:p>
    <w:p w:rsidR="001E3F7A" w:rsidRPr="00CF1D3C" w:rsidRDefault="001E3F7A" w:rsidP="00A307A0">
      <w:pPr>
        <w:keepNext/>
        <w:keepLines/>
        <w:numPr>
          <w:ilvl w:val="0"/>
          <w:numId w:val="12"/>
        </w:numPr>
        <w:pBdr>
          <w:top w:val="nil"/>
          <w:left w:val="nil"/>
          <w:bottom w:val="nil"/>
          <w:right w:val="nil"/>
          <w:between w:val="nil"/>
          <w:bar w:val="nil"/>
        </w:pBdr>
        <w:spacing w:before="40" w:after="160" w:line="259" w:lineRule="auto"/>
        <w:ind w:left="426" w:hanging="426"/>
        <w:contextualSpacing/>
        <w:jc w:val="both"/>
        <w:outlineLvl w:val="1"/>
        <w:rPr>
          <w:rFonts w:ascii="Palatino Linotype" w:hAnsi="Palatino Linotype"/>
          <w:b/>
          <w:color w:val="000000"/>
          <w:lang w:eastAsia="en-US"/>
        </w:rPr>
      </w:pPr>
      <w:bookmarkStart w:id="112" w:name="_Toc485631710"/>
      <w:bookmarkStart w:id="113" w:name="_Toc500756720"/>
      <w:bookmarkStart w:id="114" w:name="_Toc536691788"/>
      <w:bookmarkStart w:id="115" w:name="_Toc80889855"/>
      <w:bookmarkStart w:id="116" w:name="_Toc82515817"/>
      <w:bookmarkStart w:id="117" w:name="_Toc82515916"/>
      <w:bookmarkStart w:id="118" w:name="_Toc82519903"/>
      <w:r w:rsidRPr="00CF1D3C">
        <w:rPr>
          <w:rFonts w:ascii="Palatino Linotype" w:hAnsi="Palatino Linotype"/>
          <w:b/>
          <w:color w:val="000000"/>
          <w:lang w:eastAsia="en-US"/>
        </w:rPr>
        <w:t>Condiciones especiales de la clasificación de la información como confidencial.</w:t>
      </w:r>
      <w:bookmarkEnd w:id="112"/>
      <w:bookmarkEnd w:id="113"/>
      <w:bookmarkEnd w:id="114"/>
      <w:bookmarkEnd w:id="115"/>
      <w:bookmarkEnd w:id="116"/>
      <w:bookmarkEnd w:id="117"/>
      <w:bookmarkEnd w:id="118"/>
    </w:p>
    <w:p w:rsidR="001E3F7A" w:rsidRPr="00CF1D3C" w:rsidRDefault="001E3F7A" w:rsidP="00A307A0">
      <w:pPr>
        <w:pStyle w:val="Prrafodelista"/>
        <w:numPr>
          <w:ilvl w:val="0"/>
          <w:numId w:val="1"/>
        </w:numPr>
        <w:tabs>
          <w:tab w:val="left" w:pos="0"/>
          <w:tab w:val="left" w:pos="142"/>
        </w:tabs>
        <w:spacing w:line="360" w:lineRule="auto"/>
        <w:ind w:left="0" w:firstLine="0"/>
        <w:jc w:val="both"/>
        <w:rPr>
          <w:rFonts w:ascii="Palatino Linotype" w:eastAsia="Calibri" w:hAnsi="Palatino Linotype"/>
          <w:color w:val="000000"/>
          <w:lang w:eastAsia="en-US"/>
        </w:rPr>
      </w:pPr>
      <w:r w:rsidRPr="00CF1D3C">
        <w:rPr>
          <w:rFonts w:ascii="Palatino Linotype" w:hAnsi="Palatino Linotype"/>
          <w:color w:val="000000"/>
        </w:rPr>
        <w:t>Los</w:t>
      </w:r>
      <w:r w:rsidRPr="00CF1D3C">
        <w:rPr>
          <w:rFonts w:ascii="Palatino Linotype" w:eastAsia="Calibri" w:hAnsi="Palatino Linotype"/>
          <w:color w:val="000000"/>
          <w:lang w:eastAsia="en-US"/>
        </w:rPr>
        <w:t xml:space="preserve">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1E3F7A" w:rsidRPr="00CF1D3C" w:rsidRDefault="001E3F7A" w:rsidP="001E3F7A">
      <w:pPr>
        <w:spacing w:line="276" w:lineRule="auto"/>
        <w:ind w:left="567" w:right="567"/>
        <w:jc w:val="both"/>
        <w:rPr>
          <w:rFonts w:ascii="Palatino Linotype" w:hAnsi="Palatino Linotype"/>
          <w:bCs/>
          <w:i/>
          <w:iCs/>
          <w:color w:val="000000"/>
          <w:lang w:val="es-ES"/>
        </w:rPr>
      </w:pPr>
      <w:r w:rsidRPr="00CF1D3C">
        <w:rPr>
          <w:rFonts w:ascii="Palatino Linotype" w:hAnsi="Palatino Linotype"/>
          <w:bCs/>
          <w:i/>
          <w:iCs/>
          <w:color w:val="000000"/>
          <w:lang w:val="es-ES"/>
        </w:rPr>
        <w:t>“</w:t>
      </w:r>
      <w:r w:rsidRPr="00CF1D3C">
        <w:rPr>
          <w:rFonts w:ascii="Palatino Linotype" w:hAnsi="Palatino Linotype"/>
          <w:b/>
          <w:i/>
          <w:iCs/>
          <w:color w:val="000000"/>
          <w:lang w:val="es-ES"/>
        </w:rPr>
        <w:t>I.</w:t>
      </w:r>
      <w:r w:rsidRPr="00CF1D3C">
        <w:rPr>
          <w:rFonts w:ascii="Palatino Linotype" w:hAnsi="Palatino Linotype"/>
          <w:i/>
          <w:iCs/>
          <w:color w:val="000000"/>
          <w:lang w:val="es-ES"/>
        </w:rPr>
        <w:t xml:space="preserve"> La información se encuentre en registros públicos o fuentes de acceso público;</w:t>
      </w:r>
    </w:p>
    <w:p w:rsidR="001E3F7A" w:rsidRPr="00CF1D3C" w:rsidRDefault="001E3F7A" w:rsidP="001E3F7A">
      <w:pPr>
        <w:spacing w:line="276" w:lineRule="auto"/>
        <w:ind w:left="567" w:right="567"/>
        <w:jc w:val="both"/>
        <w:rPr>
          <w:rFonts w:ascii="Palatino Linotype" w:hAnsi="Palatino Linotype"/>
          <w:bCs/>
          <w:i/>
          <w:iCs/>
          <w:color w:val="000000"/>
          <w:lang w:val="es-ES"/>
        </w:rPr>
      </w:pPr>
      <w:r w:rsidRPr="00CF1D3C">
        <w:rPr>
          <w:rFonts w:ascii="Palatino Linotype" w:hAnsi="Palatino Linotype"/>
          <w:b/>
          <w:i/>
          <w:iCs/>
          <w:color w:val="000000"/>
          <w:lang w:val="es-ES"/>
        </w:rPr>
        <w:t>II.</w:t>
      </w:r>
      <w:r w:rsidRPr="00CF1D3C">
        <w:rPr>
          <w:rFonts w:ascii="Palatino Linotype" w:hAnsi="Palatino Linotype"/>
          <w:bCs/>
          <w:i/>
          <w:iCs/>
          <w:color w:val="000000"/>
          <w:lang w:val="es-ES"/>
        </w:rPr>
        <w:t xml:space="preserve"> </w:t>
      </w:r>
      <w:r w:rsidRPr="00CF1D3C">
        <w:rPr>
          <w:rFonts w:ascii="Palatino Linotype" w:hAnsi="Palatino Linotype"/>
          <w:i/>
          <w:iCs/>
          <w:color w:val="000000"/>
          <w:lang w:val="es-ES"/>
        </w:rPr>
        <w:t>Por Ley tenga el carácter de pública;</w:t>
      </w:r>
    </w:p>
    <w:p w:rsidR="001E3F7A" w:rsidRPr="00CF1D3C" w:rsidRDefault="001E3F7A" w:rsidP="001E3F7A">
      <w:pPr>
        <w:spacing w:line="276" w:lineRule="auto"/>
        <w:ind w:left="567" w:right="567"/>
        <w:jc w:val="both"/>
        <w:rPr>
          <w:rFonts w:ascii="Palatino Linotype" w:hAnsi="Palatino Linotype"/>
          <w:i/>
          <w:iCs/>
          <w:color w:val="000000"/>
          <w:lang w:val="es-ES"/>
        </w:rPr>
      </w:pPr>
      <w:r w:rsidRPr="00CF1D3C">
        <w:rPr>
          <w:rFonts w:ascii="Palatino Linotype" w:hAnsi="Palatino Linotype"/>
          <w:b/>
          <w:i/>
          <w:iCs/>
          <w:color w:val="000000"/>
          <w:lang w:val="es-ES"/>
        </w:rPr>
        <w:t>III.</w:t>
      </w:r>
      <w:r w:rsidRPr="00CF1D3C">
        <w:rPr>
          <w:rFonts w:ascii="Palatino Linotype" w:hAnsi="Palatino Linotype"/>
          <w:bCs/>
          <w:i/>
          <w:iCs/>
          <w:color w:val="000000"/>
          <w:lang w:val="es-ES"/>
        </w:rPr>
        <w:t xml:space="preserve"> </w:t>
      </w:r>
      <w:r w:rsidRPr="00CF1D3C">
        <w:rPr>
          <w:rFonts w:ascii="Palatino Linotype" w:hAnsi="Palatino Linotype"/>
          <w:i/>
          <w:iCs/>
          <w:color w:val="000000"/>
          <w:lang w:val="es-ES"/>
        </w:rPr>
        <w:t xml:space="preserve">Exista una orden judicial; </w:t>
      </w:r>
    </w:p>
    <w:p w:rsidR="001E3F7A" w:rsidRPr="00CF1D3C" w:rsidRDefault="001E3F7A" w:rsidP="001E3F7A">
      <w:pPr>
        <w:spacing w:line="276" w:lineRule="auto"/>
        <w:ind w:left="567" w:right="567"/>
        <w:jc w:val="both"/>
        <w:rPr>
          <w:rFonts w:ascii="Palatino Linotype" w:hAnsi="Palatino Linotype"/>
          <w:i/>
          <w:iCs/>
          <w:color w:val="000000"/>
          <w:lang w:val="es-ES"/>
        </w:rPr>
      </w:pPr>
      <w:r w:rsidRPr="00CF1D3C">
        <w:rPr>
          <w:rFonts w:ascii="Palatino Linotype" w:hAnsi="Palatino Linotype"/>
          <w:b/>
          <w:i/>
          <w:iCs/>
          <w:color w:val="000000"/>
          <w:lang w:val="es-ES"/>
        </w:rPr>
        <w:t>IV.</w:t>
      </w:r>
      <w:r w:rsidRPr="00CF1D3C">
        <w:rPr>
          <w:rFonts w:ascii="Palatino Linotype" w:hAnsi="Palatino Linotype"/>
          <w:bCs/>
          <w:i/>
          <w:iCs/>
          <w:color w:val="000000"/>
          <w:lang w:val="es-ES"/>
        </w:rPr>
        <w:t xml:space="preserve"> </w:t>
      </w:r>
      <w:r w:rsidRPr="00CF1D3C">
        <w:rPr>
          <w:rFonts w:ascii="Palatino Linotype" w:hAnsi="Palatino Linotype"/>
          <w:i/>
          <w:iCs/>
          <w:color w:val="000000"/>
          <w:lang w:val="es-ES"/>
        </w:rPr>
        <w:t xml:space="preserve">Por razones de seguridad pública, o para proteger los derechos de terceros, se requiera su publicación; o </w:t>
      </w:r>
    </w:p>
    <w:p w:rsidR="001E3F7A" w:rsidRPr="00CF1D3C" w:rsidRDefault="001E3F7A" w:rsidP="001E3F7A">
      <w:pPr>
        <w:spacing w:line="276" w:lineRule="auto"/>
        <w:ind w:left="567" w:right="567"/>
        <w:jc w:val="both"/>
        <w:rPr>
          <w:rFonts w:ascii="Palatino Linotype" w:hAnsi="Palatino Linotype"/>
          <w:i/>
          <w:iCs/>
          <w:color w:val="000000"/>
          <w:lang w:val="es-ES"/>
        </w:rPr>
      </w:pPr>
      <w:r w:rsidRPr="00CF1D3C">
        <w:rPr>
          <w:rFonts w:ascii="Palatino Linotype" w:hAnsi="Palatino Linotype"/>
          <w:b/>
          <w:i/>
          <w:iCs/>
          <w:color w:val="000000"/>
          <w:lang w:val="es-ES"/>
        </w:rPr>
        <w:t>V.</w:t>
      </w:r>
      <w:r w:rsidRPr="00CF1D3C">
        <w:rPr>
          <w:rFonts w:ascii="Palatino Linotype" w:hAnsi="Palatino Linotype"/>
          <w:bCs/>
          <w:i/>
          <w:iCs/>
          <w:color w:val="000000"/>
          <w:lang w:val="es-ES"/>
        </w:rPr>
        <w:t xml:space="preserve"> </w:t>
      </w:r>
      <w:r w:rsidRPr="00CF1D3C">
        <w:rPr>
          <w:rFonts w:ascii="Palatino Linotype" w:hAnsi="Palatino Linotype"/>
          <w:i/>
          <w:iCs/>
          <w:color w:val="000000"/>
          <w:lang w:val="es-ES"/>
        </w:rPr>
        <w:t>Cuando se transmita entre sujetos obligados y entre éstos y los sujetos de derecho internacional, en términos de los tratados y los acuerdos interinstitucionales, siempre y cuando la información se utilice para el ejercicio de facultades propias de los mismos.”</w:t>
      </w:r>
    </w:p>
    <w:p w:rsidR="00D722DF" w:rsidRPr="00CF1D3C" w:rsidRDefault="00D722DF" w:rsidP="001E3F7A">
      <w:pPr>
        <w:spacing w:line="276" w:lineRule="auto"/>
        <w:ind w:left="567" w:right="567"/>
        <w:jc w:val="both"/>
        <w:rPr>
          <w:rFonts w:ascii="Palatino Linotype" w:hAnsi="Palatino Linotype"/>
          <w:i/>
          <w:iCs/>
          <w:color w:val="000000"/>
          <w:lang w:val="es-ES"/>
        </w:rPr>
      </w:pPr>
    </w:p>
    <w:p w:rsidR="001E3F7A" w:rsidRPr="00CF1D3C" w:rsidRDefault="001E3F7A" w:rsidP="00A307A0">
      <w:pPr>
        <w:pStyle w:val="Prrafodelista"/>
        <w:numPr>
          <w:ilvl w:val="0"/>
          <w:numId w:val="1"/>
        </w:numPr>
        <w:tabs>
          <w:tab w:val="left" w:pos="0"/>
          <w:tab w:val="left" w:pos="142"/>
        </w:tabs>
        <w:spacing w:line="360" w:lineRule="auto"/>
        <w:ind w:left="0" w:firstLine="0"/>
        <w:jc w:val="both"/>
        <w:rPr>
          <w:rFonts w:ascii="Palatino Linotype" w:eastAsia="Calibri" w:hAnsi="Palatino Linotype"/>
          <w:color w:val="000000"/>
          <w:lang w:eastAsia="es-ES_tradnl"/>
        </w:rPr>
      </w:pPr>
      <w:r w:rsidRPr="00CF1D3C">
        <w:rPr>
          <w:rFonts w:ascii="Palatino Linotype" w:eastAsia="Calibri" w:hAnsi="Palatino Linotype"/>
          <w:color w:val="000000"/>
          <w:lang w:eastAsia="en-US"/>
        </w:rPr>
        <w:t>En</w:t>
      </w:r>
      <w:r w:rsidRPr="00CF1D3C">
        <w:rPr>
          <w:rFonts w:ascii="Palatino Linotype" w:eastAsia="Calibri" w:hAnsi="Palatino Linotype"/>
          <w:color w:val="000000"/>
          <w:lang w:eastAsia="es-ES_tradnl"/>
        </w:rPr>
        <w:t xml:space="preserve"> el caso de lo señalado en la fracción IV, será el Instituto quien deba aplicar la prueba de </w:t>
      </w:r>
      <w:r w:rsidRPr="00CF1D3C">
        <w:rPr>
          <w:rFonts w:ascii="Palatino Linotype" w:eastAsia="Calibri" w:hAnsi="Palatino Linotype"/>
          <w:color w:val="000000"/>
          <w:lang w:eastAsia="en-US"/>
        </w:rPr>
        <w:t>interés</w:t>
      </w:r>
      <w:r w:rsidRPr="00CF1D3C">
        <w:rPr>
          <w:rFonts w:ascii="Palatino Linotype" w:eastAsia="Calibri" w:hAnsi="Palatino Linotype"/>
          <w:color w:val="000000"/>
          <w:lang w:eastAsia="es-ES_tradnl"/>
        </w:rPr>
        <w:t xml:space="preserve"> público, considerando también que como recientemente ha discutido la Suprema Corte de Justicia de la Nación, los servidores públicos nos encontramos sujetos a un régimen menor de protección.</w:t>
      </w:r>
    </w:p>
    <w:p w:rsidR="001E3F7A" w:rsidRPr="00CF1D3C" w:rsidRDefault="001E3F7A" w:rsidP="00A307A0">
      <w:pPr>
        <w:pStyle w:val="Prrafodelista"/>
        <w:numPr>
          <w:ilvl w:val="0"/>
          <w:numId w:val="1"/>
        </w:numPr>
        <w:tabs>
          <w:tab w:val="left" w:pos="0"/>
          <w:tab w:val="left" w:pos="142"/>
        </w:tabs>
        <w:spacing w:line="360" w:lineRule="auto"/>
        <w:ind w:left="0" w:firstLine="0"/>
        <w:jc w:val="both"/>
        <w:rPr>
          <w:rFonts w:ascii="Palatino Linotype" w:hAnsi="Palatino Linotype"/>
          <w:color w:val="000000"/>
        </w:rPr>
      </w:pPr>
      <w:r w:rsidRPr="00CF1D3C">
        <w:rPr>
          <w:rFonts w:ascii="Palatino Linotype" w:eastAsia="Calibri" w:hAnsi="Palatino Linotype"/>
          <w:color w:val="000000"/>
          <w:lang w:eastAsia="en-US"/>
        </w:rPr>
        <w:lastRenderedPageBreak/>
        <w:t>Pero</w:t>
      </w:r>
      <w:r w:rsidRPr="00CF1D3C">
        <w:rPr>
          <w:rFonts w:ascii="Palatino Linotype" w:eastAsia="Calibri" w:hAnsi="Palatino Linotype"/>
          <w:color w:val="000000"/>
          <w:lang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w:t>
      </w:r>
      <w:r w:rsidRPr="00CF1D3C">
        <w:rPr>
          <w:rFonts w:ascii="Palatino Linotype" w:eastAsia="Calibri" w:hAnsi="Palatino Linotype"/>
          <w:color w:val="000000"/>
          <w:lang w:eastAsia="en-US"/>
        </w:rPr>
        <w:t>motivando</w:t>
      </w:r>
      <w:r w:rsidRPr="00CF1D3C">
        <w:rPr>
          <w:rFonts w:ascii="Palatino Linotype" w:eastAsia="Calibri" w:hAnsi="Palatino Linotype"/>
          <w:color w:val="000000"/>
          <w:lang w:eastAsia="es-ES_tradnl"/>
        </w:rPr>
        <w:t xml:space="preserve"> la clasificación.</w:t>
      </w:r>
    </w:p>
    <w:p w:rsidR="00D722DF" w:rsidRPr="00CF1D3C" w:rsidRDefault="00D722DF" w:rsidP="00D722DF">
      <w:pPr>
        <w:pStyle w:val="Prrafodelista"/>
        <w:tabs>
          <w:tab w:val="left" w:pos="0"/>
          <w:tab w:val="left" w:pos="142"/>
        </w:tabs>
        <w:spacing w:line="360" w:lineRule="auto"/>
        <w:ind w:left="0"/>
        <w:jc w:val="both"/>
        <w:rPr>
          <w:rFonts w:ascii="Palatino Linotype" w:hAnsi="Palatino Linotype"/>
          <w:color w:val="000000"/>
        </w:rPr>
      </w:pPr>
    </w:p>
    <w:p w:rsidR="001E3F7A" w:rsidRPr="00CF1D3C" w:rsidRDefault="001E3F7A" w:rsidP="00A307A0">
      <w:pPr>
        <w:pStyle w:val="Prrafodelista"/>
        <w:numPr>
          <w:ilvl w:val="0"/>
          <w:numId w:val="1"/>
        </w:numPr>
        <w:tabs>
          <w:tab w:val="left" w:pos="0"/>
          <w:tab w:val="left" w:pos="142"/>
        </w:tabs>
        <w:spacing w:line="360" w:lineRule="auto"/>
        <w:ind w:left="0" w:firstLine="0"/>
        <w:jc w:val="both"/>
        <w:rPr>
          <w:rFonts w:ascii="Palatino Linotype" w:hAnsi="Palatino Linotype"/>
          <w:color w:val="000000"/>
        </w:rPr>
      </w:pPr>
      <w:r w:rsidRPr="00CF1D3C">
        <w:rPr>
          <w:rFonts w:ascii="Palatino Linotype" w:eastAsia="Calibri" w:hAnsi="Palatino Linotype"/>
          <w:color w:val="000000"/>
          <w:lang w:eastAsia="en-US"/>
        </w:rPr>
        <w:t>Los</w:t>
      </w:r>
      <w:r w:rsidRPr="00CF1D3C">
        <w:rPr>
          <w:rFonts w:ascii="Palatino Linotype" w:hAnsi="Palatino Linotype"/>
          <w:color w:val="000000"/>
        </w:rPr>
        <w:t xml:space="preserve"> </w:t>
      </w:r>
      <w:r w:rsidRPr="00CF1D3C">
        <w:rPr>
          <w:rFonts w:ascii="Palatino Linotype" w:eastAsia="Calibri" w:hAnsi="Palatino Linotype"/>
          <w:color w:val="000000"/>
          <w:lang w:eastAsia="en-US"/>
        </w:rPr>
        <w:t>elementos</w:t>
      </w:r>
      <w:r w:rsidRPr="00CF1D3C">
        <w:rPr>
          <w:rFonts w:ascii="Palatino Linotype" w:hAnsi="Palatino Linotype"/>
          <w:color w:val="000000"/>
        </w:rPr>
        <w:t xml:space="preserve">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de ser aún más gráficos y propiciar el mejor entendimiento de esta materia, se anexa la siguiente tabla.</w:t>
      </w:r>
    </w:p>
    <w:tbl>
      <w:tblPr>
        <w:tblStyle w:val="Tablaconcuadrcula27"/>
        <w:tblW w:w="8451" w:type="dxa"/>
        <w:tblLook w:val="04A0" w:firstRow="1" w:lastRow="0" w:firstColumn="1" w:lastColumn="0" w:noHBand="0" w:noVBand="1"/>
      </w:tblPr>
      <w:tblGrid>
        <w:gridCol w:w="2155"/>
        <w:gridCol w:w="1759"/>
        <w:gridCol w:w="2269"/>
        <w:gridCol w:w="2268"/>
      </w:tblGrid>
      <w:tr w:rsidR="001E3F7A" w:rsidRPr="00CF1D3C" w:rsidTr="002729B9">
        <w:tc>
          <w:tcPr>
            <w:tcW w:w="2155" w:type="dxa"/>
            <w:vMerge w:val="restart"/>
            <w:shd w:val="clear" w:color="auto" w:fill="D5DCE4"/>
          </w:tcPr>
          <w:p w:rsidR="001E3F7A" w:rsidRPr="00CF1D3C" w:rsidRDefault="001E3F7A" w:rsidP="002729B9">
            <w:pPr>
              <w:jc w:val="both"/>
              <w:rPr>
                <w:rFonts w:ascii="Palatino Linotype" w:hAnsi="Palatino Linotype"/>
                <w:color w:val="000000"/>
                <w:sz w:val="20"/>
              </w:rPr>
            </w:pPr>
            <w:r w:rsidRPr="00CF1D3C">
              <w:rPr>
                <w:rFonts w:ascii="Palatino Linotype" w:hAnsi="Palatino Linotype"/>
                <w:color w:val="000000"/>
                <w:sz w:val="20"/>
              </w:rPr>
              <w:t>Requisitos previos</w:t>
            </w:r>
          </w:p>
        </w:tc>
        <w:tc>
          <w:tcPr>
            <w:tcW w:w="1759" w:type="dxa"/>
          </w:tcPr>
          <w:p w:rsidR="001E3F7A" w:rsidRPr="00CF1D3C" w:rsidRDefault="001E3F7A" w:rsidP="002729B9">
            <w:pPr>
              <w:jc w:val="both"/>
              <w:rPr>
                <w:rFonts w:ascii="Palatino Linotype" w:hAnsi="Palatino Linotype"/>
                <w:color w:val="000000"/>
                <w:sz w:val="20"/>
              </w:rPr>
            </w:pPr>
            <w:r w:rsidRPr="00CF1D3C">
              <w:rPr>
                <w:rFonts w:ascii="Palatino Linotype" w:hAnsi="Palatino Linotype"/>
                <w:color w:val="000000"/>
                <w:sz w:val="20"/>
              </w:rPr>
              <w:t>Los sujetos obligados determinan que la información actualiza alguno de los supuestos de clasificación:</w:t>
            </w:r>
          </w:p>
        </w:tc>
        <w:tc>
          <w:tcPr>
            <w:tcW w:w="2269" w:type="dxa"/>
          </w:tcPr>
          <w:p w:rsidR="001E3F7A" w:rsidRPr="00CF1D3C" w:rsidRDefault="001E3F7A" w:rsidP="002729B9">
            <w:pPr>
              <w:jc w:val="both"/>
              <w:rPr>
                <w:rFonts w:ascii="Palatino Linotype" w:hAnsi="Palatino Linotype"/>
                <w:color w:val="000000"/>
                <w:sz w:val="20"/>
              </w:rPr>
            </w:pPr>
          </w:p>
          <w:p w:rsidR="001E3F7A" w:rsidRPr="00CF1D3C" w:rsidRDefault="001E3F7A" w:rsidP="00A307A0">
            <w:pPr>
              <w:numPr>
                <w:ilvl w:val="0"/>
                <w:numId w:val="10"/>
              </w:numPr>
              <w:contextualSpacing/>
              <w:jc w:val="both"/>
              <w:rPr>
                <w:rFonts w:ascii="Palatino Linotype" w:hAnsi="Palatino Linotype"/>
                <w:color w:val="000000"/>
                <w:sz w:val="20"/>
              </w:rPr>
            </w:pPr>
            <w:r w:rsidRPr="00CF1D3C">
              <w:rPr>
                <w:rFonts w:ascii="Palatino Linotype" w:hAnsi="Palatino Linotype"/>
                <w:color w:val="000000"/>
                <w:sz w:val="20"/>
              </w:rPr>
              <w:t xml:space="preserve">Confidencialidad </w:t>
            </w:r>
          </w:p>
          <w:p w:rsidR="001E3F7A" w:rsidRPr="00CF1D3C" w:rsidRDefault="001E3F7A" w:rsidP="00A307A0">
            <w:pPr>
              <w:numPr>
                <w:ilvl w:val="0"/>
                <w:numId w:val="10"/>
              </w:numPr>
              <w:contextualSpacing/>
              <w:jc w:val="both"/>
              <w:rPr>
                <w:rFonts w:ascii="Palatino Linotype" w:hAnsi="Palatino Linotype"/>
                <w:color w:val="000000"/>
                <w:sz w:val="20"/>
              </w:rPr>
            </w:pPr>
            <w:r w:rsidRPr="00CF1D3C">
              <w:rPr>
                <w:rFonts w:ascii="Palatino Linotype" w:hAnsi="Palatino Linotype"/>
                <w:color w:val="000000"/>
                <w:sz w:val="20"/>
              </w:rPr>
              <w:t>Reserva</w:t>
            </w:r>
          </w:p>
        </w:tc>
        <w:tc>
          <w:tcPr>
            <w:tcW w:w="2268" w:type="dxa"/>
          </w:tcPr>
          <w:p w:rsidR="001E3F7A" w:rsidRPr="00CF1D3C" w:rsidRDefault="001E3F7A" w:rsidP="002729B9">
            <w:pPr>
              <w:jc w:val="both"/>
              <w:rPr>
                <w:rFonts w:ascii="Palatino Linotype" w:hAnsi="Palatino Linotype"/>
                <w:color w:val="000000"/>
                <w:sz w:val="20"/>
              </w:rPr>
            </w:pPr>
          </w:p>
        </w:tc>
      </w:tr>
      <w:tr w:rsidR="001E3F7A" w:rsidRPr="00CF1D3C" w:rsidTr="002729B9">
        <w:tc>
          <w:tcPr>
            <w:tcW w:w="2155" w:type="dxa"/>
            <w:vMerge/>
            <w:shd w:val="clear" w:color="auto" w:fill="D5DCE4"/>
          </w:tcPr>
          <w:p w:rsidR="001E3F7A" w:rsidRPr="00CF1D3C" w:rsidRDefault="001E3F7A" w:rsidP="002729B9">
            <w:pPr>
              <w:jc w:val="both"/>
              <w:rPr>
                <w:rFonts w:ascii="Palatino Linotype" w:hAnsi="Palatino Linotype"/>
                <w:color w:val="000000"/>
                <w:sz w:val="20"/>
              </w:rPr>
            </w:pPr>
          </w:p>
        </w:tc>
        <w:tc>
          <w:tcPr>
            <w:tcW w:w="1759" w:type="dxa"/>
          </w:tcPr>
          <w:p w:rsidR="001E3F7A" w:rsidRPr="00CF1D3C" w:rsidRDefault="001E3F7A" w:rsidP="002729B9">
            <w:pPr>
              <w:jc w:val="both"/>
              <w:rPr>
                <w:rFonts w:ascii="Palatino Linotype" w:hAnsi="Palatino Linotype"/>
                <w:color w:val="000000"/>
                <w:sz w:val="20"/>
              </w:rPr>
            </w:pPr>
            <w:r w:rsidRPr="00CF1D3C">
              <w:rPr>
                <w:rFonts w:ascii="Palatino Linotype" w:hAnsi="Palatino Linotype"/>
                <w:color w:val="000000"/>
                <w:sz w:val="20"/>
              </w:rPr>
              <w:t xml:space="preserve">Los titulares de las áreas que administran la información son los que aprueban la clasificación </w:t>
            </w:r>
          </w:p>
        </w:tc>
        <w:tc>
          <w:tcPr>
            <w:tcW w:w="2269" w:type="dxa"/>
          </w:tcPr>
          <w:p w:rsidR="001E3F7A" w:rsidRPr="00CF1D3C" w:rsidRDefault="001E3F7A" w:rsidP="002729B9">
            <w:pPr>
              <w:jc w:val="both"/>
              <w:rPr>
                <w:rFonts w:ascii="Palatino Linotype" w:hAnsi="Palatino Linotype"/>
                <w:color w:val="000000"/>
                <w:sz w:val="20"/>
              </w:rPr>
            </w:pPr>
          </w:p>
        </w:tc>
        <w:tc>
          <w:tcPr>
            <w:tcW w:w="2268" w:type="dxa"/>
          </w:tcPr>
          <w:p w:rsidR="001E3F7A" w:rsidRPr="00CF1D3C" w:rsidRDefault="001E3F7A" w:rsidP="002729B9">
            <w:pPr>
              <w:jc w:val="both"/>
              <w:rPr>
                <w:rFonts w:ascii="Palatino Linotype" w:hAnsi="Palatino Linotype"/>
                <w:color w:val="000000"/>
                <w:sz w:val="20"/>
              </w:rPr>
            </w:pPr>
          </w:p>
        </w:tc>
      </w:tr>
      <w:tr w:rsidR="001E3F7A" w:rsidRPr="00CF1D3C" w:rsidTr="002729B9">
        <w:tc>
          <w:tcPr>
            <w:tcW w:w="2155" w:type="dxa"/>
            <w:vMerge/>
            <w:shd w:val="clear" w:color="auto" w:fill="D5DCE4"/>
          </w:tcPr>
          <w:p w:rsidR="001E3F7A" w:rsidRPr="00CF1D3C" w:rsidRDefault="001E3F7A" w:rsidP="002729B9">
            <w:pPr>
              <w:jc w:val="both"/>
              <w:rPr>
                <w:rFonts w:ascii="Palatino Linotype" w:hAnsi="Palatino Linotype"/>
                <w:color w:val="000000"/>
                <w:sz w:val="20"/>
              </w:rPr>
            </w:pPr>
          </w:p>
        </w:tc>
        <w:tc>
          <w:tcPr>
            <w:tcW w:w="1759" w:type="dxa"/>
          </w:tcPr>
          <w:p w:rsidR="001E3F7A" w:rsidRPr="00CF1D3C" w:rsidRDefault="001E3F7A" w:rsidP="002729B9">
            <w:pPr>
              <w:jc w:val="both"/>
              <w:rPr>
                <w:rFonts w:ascii="Palatino Linotype" w:hAnsi="Palatino Linotype"/>
                <w:color w:val="000000"/>
                <w:sz w:val="20"/>
              </w:rPr>
            </w:pPr>
            <w:r w:rsidRPr="00CF1D3C">
              <w:rPr>
                <w:rFonts w:ascii="Palatino Linotype" w:hAnsi="Palatino Linotype"/>
                <w:color w:val="000000"/>
                <w:sz w:val="20"/>
              </w:rPr>
              <w:t>La clasificación de la información se realiza al momento de:</w:t>
            </w:r>
          </w:p>
        </w:tc>
        <w:tc>
          <w:tcPr>
            <w:tcW w:w="2269" w:type="dxa"/>
          </w:tcPr>
          <w:p w:rsidR="001E3F7A" w:rsidRPr="00CF1D3C" w:rsidRDefault="001E3F7A" w:rsidP="00A307A0">
            <w:pPr>
              <w:numPr>
                <w:ilvl w:val="0"/>
                <w:numId w:val="9"/>
              </w:numPr>
              <w:contextualSpacing/>
              <w:jc w:val="both"/>
              <w:rPr>
                <w:rFonts w:ascii="Palatino Linotype" w:hAnsi="Palatino Linotype"/>
                <w:color w:val="000000"/>
                <w:sz w:val="20"/>
              </w:rPr>
            </w:pPr>
            <w:r w:rsidRPr="00CF1D3C">
              <w:rPr>
                <w:rFonts w:ascii="Palatino Linotype" w:hAnsi="Palatino Linotype"/>
                <w:color w:val="000000"/>
                <w:sz w:val="20"/>
              </w:rPr>
              <w:t>Atender una solicitud</w:t>
            </w:r>
          </w:p>
          <w:p w:rsidR="001E3F7A" w:rsidRPr="00CF1D3C" w:rsidRDefault="001E3F7A" w:rsidP="00A307A0">
            <w:pPr>
              <w:numPr>
                <w:ilvl w:val="0"/>
                <w:numId w:val="9"/>
              </w:numPr>
              <w:contextualSpacing/>
              <w:jc w:val="both"/>
              <w:rPr>
                <w:rFonts w:ascii="Palatino Linotype" w:hAnsi="Palatino Linotype"/>
                <w:color w:val="000000"/>
                <w:sz w:val="20"/>
              </w:rPr>
            </w:pPr>
            <w:r w:rsidRPr="00CF1D3C">
              <w:rPr>
                <w:rFonts w:ascii="Palatino Linotype" w:hAnsi="Palatino Linotype"/>
                <w:color w:val="000000"/>
                <w:sz w:val="20"/>
              </w:rPr>
              <w:t>Por mandato de una autoridad competente</w:t>
            </w:r>
          </w:p>
          <w:p w:rsidR="001E3F7A" w:rsidRPr="00CF1D3C" w:rsidRDefault="001E3F7A" w:rsidP="00A307A0">
            <w:pPr>
              <w:numPr>
                <w:ilvl w:val="0"/>
                <w:numId w:val="9"/>
              </w:numPr>
              <w:contextualSpacing/>
              <w:jc w:val="both"/>
              <w:rPr>
                <w:rFonts w:ascii="Palatino Linotype" w:hAnsi="Palatino Linotype"/>
                <w:color w:val="000000"/>
                <w:sz w:val="20"/>
              </w:rPr>
            </w:pPr>
            <w:r w:rsidRPr="00CF1D3C">
              <w:rPr>
                <w:rFonts w:ascii="Palatino Linotype" w:hAnsi="Palatino Linotype"/>
                <w:color w:val="000000"/>
                <w:sz w:val="20"/>
              </w:rPr>
              <w:t>Para elaborar una versión pública y cumplir una obligación de transparencia</w:t>
            </w:r>
          </w:p>
        </w:tc>
        <w:tc>
          <w:tcPr>
            <w:tcW w:w="2268" w:type="dxa"/>
          </w:tcPr>
          <w:p w:rsidR="001E3F7A" w:rsidRPr="00CF1D3C" w:rsidRDefault="001E3F7A" w:rsidP="002729B9">
            <w:pPr>
              <w:jc w:val="both"/>
              <w:rPr>
                <w:rFonts w:ascii="Palatino Linotype" w:hAnsi="Palatino Linotype"/>
                <w:color w:val="000000"/>
                <w:sz w:val="20"/>
              </w:rPr>
            </w:pPr>
          </w:p>
        </w:tc>
      </w:tr>
      <w:tr w:rsidR="001E3F7A" w:rsidRPr="00CF1D3C" w:rsidTr="002729B9">
        <w:tc>
          <w:tcPr>
            <w:tcW w:w="2155" w:type="dxa"/>
            <w:vMerge/>
            <w:shd w:val="clear" w:color="auto" w:fill="D5DCE4"/>
          </w:tcPr>
          <w:p w:rsidR="001E3F7A" w:rsidRPr="00CF1D3C" w:rsidRDefault="001E3F7A" w:rsidP="002729B9">
            <w:pPr>
              <w:jc w:val="both"/>
              <w:rPr>
                <w:rFonts w:ascii="Palatino Linotype" w:hAnsi="Palatino Linotype"/>
                <w:color w:val="000000"/>
                <w:sz w:val="20"/>
              </w:rPr>
            </w:pPr>
          </w:p>
        </w:tc>
        <w:tc>
          <w:tcPr>
            <w:tcW w:w="1759" w:type="dxa"/>
          </w:tcPr>
          <w:p w:rsidR="001E3F7A" w:rsidRPr="00CF1D3C" w:rsidRDefault="001E3F7A" w:rsidP="002729B9">
            <w:pPr>
              <w:jc w:val="both"/>
              <w:rPr>
                <w:rFonts w:ascii="Palatino Linotype" w:hAnsi="Palatino Linotype"/>
                <w:color w:val="000000"/>
                <w:sz w:val="20"/>
              </w:rPr>
            </w:pPr>
            <w:r w:rsidRPr="00CF1D3C">
              <w:rPr>
                <w:rFonts w:ascii="Palatino Linotype" w:hAnsi="Palatino Linotype"/>
                <w:color w:val="000000"/>
                <w:sz w:val="20"/>
              </w:rPr>
              <w:t>No se pueden emitir acuerdos de carácter general ni particular</w:t>
            </w:r>
          </w:p>
        </w:tc>
        <w:tc>
          <w:tcPr>
            <w:tcW w:w="2269" w:type="dxa"/>
          </w:tcPr>
          <w:p w:rsidR="001E3F7A" w:rsidRPr="00CF1D3C" w:rsidRDefault="001E3F7A" w:rsidP="002729B9">
            <w:pPr>
              <w:jc w:val="both"/>
              <w:rPr>
                <w:rFonts w:ascii="Palatino Linotype" w:hAnsi="Palatino Linotype"/>
                <w:color w:val="000000"/>
                <w:sz w:val="20"/>
              </w:rPr>
            </w:pPr>
            <w:r w:rsidRPr="00CF1D3C">
              <w:rPr>
                <w:rFonts w:ascii="Palatino Linotype" w:hAnsi="Palatino Linotype"/>
                <w:color w:val="000000"/>
                <w:sz w:val="20"/>
              </w:rPr>
              <w:t xml:space="preserve">El </w:t>
            </w:r>
            <w:r w:rsidRPr="00CF1D3C">
              <w:rPr>
                <w:rFonts w:ascii="Palatino Linotype" w:hAnsi="Palatino Linotype"/>
                <w:b/>
                <w:bCs/>
                <w:color w:val="000000"/>
                <w:sz w:val="20"/>
              </w:rPr>
              <w:t>SUJETO OBLIGADO</w:t>
            </w:r>
            <w:r w:rsidRPr="00CF1D3C">
              <w:rPr>
                <w:rFonts w:ascii="Palatino Linotype" w:hAnsi="Palatino Linotype"/>
                <w:color w:val="000000"/>
                <w:sz w:val="20"/>
              </w:rPr>
              <w:t xml:space="preserve"> debe emitir un acuerdo describiendo y analizando cada documento de un expediente y todos los datos incluidos en un documento </w:t>
            </w:r>
          </w:p>
        </w:tc>
        <w:tc>
          <w:tcPr>
            <w:tcW w:w="2268" w:type="dxa"/>
          </w:tcPr>
          <w:p w:rsidR="001E3F7A" w:rsidRPr="00CF1D3C" w:rsidRDefault="001E3F7A" w:rsidP="002729B9">
            <w:pPr>
              <w:jc w:val="both"/>
              <w:rPr>
                <w:rFonts w:ascii="Palatino Linotype" w:hAnsi="Palatino Linotype"/>
                <w:color w:val="000000"/>
                <w:sz w:val="20"/>
              </w:rPr>
            </w:pPr>
          </w:p>
        </w:tc>
      </w:tr>
      <w:tr w:rsidR="001E3F7A" w:rsidRPr="00CF1D3C" w:rsidTr="002729B9">
        <w:tc>
          <w:tcPr>
            <w:tcW w:w="2155" w:type="dxa"/>
            <w:vMerge w:val="restart"/>
            <w:shd w:val="clear" w:color="auto" w:fill="D5DCE4"/>
          </w:tcPr>
          <w:p w:rsidR="001E3F7A" w:rsidRPr="00CF1D3C" w:rsidRDefault="001E3F7A" w:rsidP="002729B9">
            <w:pPr>
              <w:jc w:val="both"/>
              <w:rPr>
                <w:rFonts w:ascii="Palatino Linotype" w:hAnsi="Palatino Linotype"/>
                <w:color w:val="000000"/>
                <w:sz w:val="20"/>
              </w:rPr>
            </w:pPr>
            <w:r w:rsidRPr="00CF1D3C">
              <w:rPr>
                <w:rFonts w:ascii="Palatino Linotype" w:hAnsi="Palatino Linotype"/>
                <w:color w:val="000000"/>
                <w:sz w:val="20"/>
              </w:rPr>
              <w:t>Supuestos de clasificación</w:t>
            </w:r>
          </w:p>
        </w:tc>
        <w:tc>
          <w:tcPr>
            <w:tcW w:w="1759" w:type="dxa"/>
          </w:tcPr>
          <w:p w:rsidR="001E3F7A" w:rsidRPr="00CF1D3C" w:rsidRDefault="001E3F7A" w:rsidP="002729B9">
            <w:pPr>
              <w:jc w:val="both"/>
              <w:rPr>
                <w:rFonts w:ascii="Palatino Linotype" w:hAnsi="Palatino Linotype"/>
                <w:color w:val="000000"/>
                <w:sz w:val="20"/>
              </w:rPr>
            </w:pPr>
            <w:r w:rsidRPr="00CF1D3C">
              <w:rPr>
                <w:rFonts w:ascii="Palatino Linotype" w:hAnsi="Palatino Linotype"/>
                <w:color w:val="000000"/>
                <w:sz w:val="20"/>
              </w:rPr>
              <w:t>Para clasificar la información como reservada hay</w:t>
            </w:r>
          </w:p>
        </w:tc>
        <w:tc>
          <w:tcPr>
            <w:tcW w:w="2269" w:type="dxa"/>
          </w:tcPr>
          <w:p w:rsidR="001E3F7A" w:rsidRPr="00CF1D3C" w:rsidRDefault="001E3F7A" w:rsidP="00A307A0">
            <w:pPr>
              <w:numPr>
                <w:ilvl w:val="0"/>
                <w:numId w:val="11"/>
              </w:numPr>
              <w:contextualSpacing/>
              <w:jc w:val="both"/>
              <w:rPr>
                <w:rFonts w:ascii="Palatino Linotype" w:hAnsi="Palatino Linotype"/>
                <w:color w:val="000000"/>
                <w:sz w:val="20"/>
              </w:rPr>
            </w:pPr>
            <w:r w:rsidRPr="00CF1D3C">
              <w:rPr>
                <w:rFonts w:ascii="Palatino Linotype" w:hAnsi="Palatino Linotype"/>
                <w:color w:val="000000"/>
                <w:sz w:val="20"/>
              </w:rPr>
              <w:t>11 supuestos en la Ley Estatal</w:t>
            </w:r>
          </w:p>
          <w:p w:rsidR="001E3F7A" w:rsidRPr="00CF1D3C" w:rsidRDefault="001E3F7A" w:rsidP="00A307A0">
            <w:pPr>
              <w:numPr>
                <w:ilvl w:val="0"/>
                <w:numId w:val="11"/>
              </w:numPr>
              <w:contextualSpacing/>
              <w:jc w:val="both"/>
              <w:rPr>
                <w:rFonts w:ascii="Palatino Linotype" w:hAnsi="Palatino Linotype"/>
                <w:color w:val="000000"/>
                <w:sz w:val="20"/>
              </w:rPr>
            </w:pPr>
            <w:r w:rsidRPr="00CF1D3C">
              <w:rPr>
                <w:rFonts w:ascii="Palatino Linotype" w:hAnsi="Palatino Linotype"/>
                <w:color w:val="000000"/>
                <w:sz w:val="20"/>
              </w:rPr>
              <w:t>13 supuestos en la Ley General</w:t>
            </w:r>
          </w:p>
        </w:tc>
        <w:tc>
          <w:tcPr>
            <w:tcW w:w="2268" w:type="dxa"/>
          </w:tcPr>
          <w:p w:rsidR="001E3F7A" w:rsidRPr="00CF1D3C" w:rsidRDefault="001E3F7A" w:rsidP="002729B9">
            <w:pPr>
              <w:jc w:val="both"/>
              <w:rPr>
                <w:rFonts w:ascii="Palatino Linotype" w:hAnsi="Palatino Linotype"/>
                <w:color w:val="000000"/>
                <w:sz w:val="20"/>
              </w:rPr>
            </w:pPr>
            <w:r w:rsidRPr="00CF1D3C">
              <w:rPr>
                <w:rFonts w:ascii="Palatino Linotype" w:hAnsi="Palatino Linotype"/>
                <w:color w:val="000000"/>
                <w:sz w:val="20"/>
              </w:rPr>
              <w:t xml:space="preserve">El </w:t>
            </w:r>
            <w:r w:rsidRPr="00CF1D3C">
              <w:rPr>
                <w:rFonts w:ascii="Palatino Linotype" w:hAnsi="Palatino Linotype"/>
                <w:b/>
                <w:bCs/>
                <w:color w:val="000000"/>
                <w:sz w:val="20"/>
              </w:rPr>
              <w:t>SUJETO OBLIGADO</w:t>
            </w:r>
            <w:r w:rsidRPr="00CF1D3C">
              <w:rPr>
                <w:rFonts w:ascii="Palatino Linotype" w:hAnsi="Palatino Linotype"/>
                <w:color w:val="000000"/>
                <w:sz w:val="20"/>
              </w:rPr>
              <w:t xml:space="preserve"> debe identificar claramente la información que se pretende clasificar y realizar un juicio de subsunción o encaje</w:t>
            </w:r>
          </w:p>
        </w:tc>
      </w:tr>
      <w:tr w:rsidR="001E3F7A" w:rsidRPr="00CF1D3C" w:rsidTr="002729B9">
        <w:tc>
          <w:tcPr>
            <w:tcW w:w="2155" w:type="dxa"/>
            <w:vMerge/>
            <w:shd w:val="clear" w:color="auto" w:fill="D5DCE4"/>
          </w:tcPr>
          <w:p w:rsidR="001E3F7A" w:rsidRPr="00CF1D3C" w:rsidRDefault="001E3F7A" w:rsidP="002729B9">
            <w:pPr>
              <w:jc w:val="both"/>
              <w:rPr>
                <w:rFonts w:ascii="Palatino Linotype" w:hAnsi="Palatino Linotype"/>
                <w:color w:val="000000"/>
                <w:sz w:val="20"/>
              </w:rPr>
            </w:pPr>
          </w:p>
        </w:tc>
        <w:tc>
          <w:tcPr>
            <w:tcW w:w="1759" w:type="dxa"/>
          </w:tcPr>
          <w:p w:rsidR="001E3F7A" w:rsidRPr="00CF1D3C" w:rsidRDefault="001E3F7A" w:rsidP="002729B9">
            <w:pPr>
              <w:jc w:val="both"/>
              <w:rPr>
                <w:rFonts w:ascii="Palatino Linotype" w:hAnsi="Palatino Linotype"/>
                <w:color w:val="000000"/>
                <w:sz w:val="20"/>
              </w:rPr>
            </w:pPr>
            <w:r w:rsidRPr="00CF1D3C">
              <w:rPr>
                <w:rFonts w:ascii="Palatino Linotype" w:hAnsi="Palatino Linotype"/>
                <w:color w:val="000000"/>
                <w:sz w:val="20"/>
              </w:rPr>
              <w:t>Para clasificar la información como confidencial hay</w:t>
            </w:r>
          </w:p>
        </w:tc>
        <w:tc>
          <w:tcPr>
            <w:tcW w:w="2269" w:type="dxa"/>
          </w:tcPr>
          <w:p w:rsidR="001E3F7A" w:rsidRPr="00CF1D3C" w:rsidRDefault="001E3F7A" w:rsidP="002729B9">
            <w:pPr>
              <w:jc w:val="both"/>
              <w:rPr>
                <w:rFonts w:ascii="Palatino Linotype" w:hAnsi="Palatino Linotype"/>
                <w:color w:val="000000"/>
                <w:sz w:val="20"/>
              </w:rPr>
            </w:pPr>
            <w:r w:rsidRPr="00CF1D3C">
              <w:rPr>
                <w:rFonts w:ascii="Palatino Linotype" w:hAnsi="Palatino Linotype"/>
                <w:color w:val="000000"/>
                <w:sz w:val="20"/>
              </w:rPr>
              <w:t>que considerar la definición de dato personal</w:t>
            </w:r>
          </w:p>
        </w:tc>
        <w:tc>
          <w:tcPr>
            <w:tcW w:w="2268" w:type="dxa"/>
          </w:tcPr>
          <w:p w:rsidR="001E3F7A" w:rsidRPr="00CF1D3C" w:rsidRDefault="001E3F7A" w:rsidP="002729B9">
            <w:pPr>
              <w:jc w:val="both"/>
              <w:rPr>
                <w:rFonts w:ascii="Palatino Linotype" w:hAnsi="Palatino Linotype"/>
                <w:color w:val="000000"/>
                <w:sz w:val="20"/>
              </w:rPr>
            </w:pPr>
          </w:p>
        </w:tc>
      </w:tr>
      <w:tr w:rsidR="001E3F7A" w:rsidRPr="00CF1D3C" w:rsidTr="002729B9">
        <w:tc>
          <w:tcPr>
            <w:tcW w:w="2155" w:type="dxa"/>
            <w:vMerge/>
            <w:shd w:val="clear" w:color="auto" w:fill="D5DCE4"/>
          </w:tcPr>
          <w:p w:rsidR="001E3F7A" w:rsidRPr="00CF1D3C" w:rsidRDefault="001E3F7A" w:rsidP="002729B9">
            <w:pPr>
              <w:jc w:val="both"/>
              <w:rPr>
                <w:rFonts w:ascii="Palatino Linotype" w:hAnsi="Palatino Linotype"/>
                <w:color w:val="000000"/>
                <w:sz w:val="20"/>
              </w:rPr>
            </w:pPr>
          </w:p>
        </w:tc>
        <w:tc>
          <w:tcPr>
            <w:tcW w:w="1759" w:type="dxa"/>
          </w:tcPr>
          <w:p w:rsidR="001E3F7A" w:rsidRPr="00CF1D3C" w:rsidRDefault="001E3F7A" w:rsidP="002729B9">
            <w:pPr>
              <w:jc w:val="both"/>
              <w:rPr>
                <w:rFonts w:ascii="Palatino Linotype" w:hAnsi="Palatino Linotype"/>
                <w:color w:val="000000"/>
                <w:sz w:val="20"/>
              </w:rPr>
            </w:pPr>
            <w:r w:rsidRPr="00CF1D3C">
              <w:rPr>
                <w:rFonts w:ascii="Palatino Linotype" w:hAnsi="Palatino Linotype"/>
                <w:color w:val="000000"/>
                <w:sz w:val="20"/>
              </w:rPr>
              <w:t>Estos supuestos se aplican de manera restrictiva y estricta, no pueden ampliarse</w:t>
            </w:r>
          </w:p>
        </w:tc>
        <w:tc>
          <w:tcPr>
            <w:tcW w:w="2269" w:type="dxa"/>
          </w:tcPr>
          <w:p w:rsidR="001E3F7A" w:rsidRPr="00CF1D3C" w:rsidRDefault="001E3F7A" w:rsidP="002729B9">
            <w:pPr>
              <w:jc w:val="both"/>
              <w:rPr>
                <w:rFonts w:ascii="Palatino Linotype" w:hAnsi="Palatino Linotype"/>
                <w:color w:val="000000"/>
                <w:sz w:val="20"/>
              </w:rPr>
            </w:pPr>
          </w:p>
        </w:tc>
        <w:tc>
          <w:tcPr>
            <w:tcW w:w="2268" w:type="dxa"/>
          </w:tcPr>
          <w:p w:rsidR="001E3F7A" w:rsidRPr="00CF1D3C" w:rsidRDefault="001E3F7A" w:rsidP="002729B9">
            <w:pPr>
              <w:jc w:val="both"/>
              <w:rPr>
                <w:rFonts w:ascii="Palatino Linotype" w:hAnsi="Palatino Linotype"/>
                <w:color w:val="000000"/>
                <w:sz w:val="20"/>
              </w:rPr>
            </w:pPr>
          </w:p>
        </w:tc>
      </w:tr>
      <w:tr w:rsidR="001E3F7A" w:rsidRPr="00CF1D3C" w:rsidTr="002729B9">
        <w:tc>
          <w:tcPr>
            <w:tcW w:w="2155" w:type="dxa"/>
            <w:vMerge w:val="restart"/>
            <w:shd w:val="clear" w:color="auto" w:fill="D5DCE4"/>
          </w:tcPr>
          <w:p w:rsidR="001E3F7A" w:rsidRPr="00CF1D3C" w:rsidRDefault="001E3F7A" w:rsidP="002729B9">
            <w:pPr>
              <w:jc w:val="both"/>
              <w:rPr>
                <w:rFonts w:ascii="Palatino Linotype" w:hAnsi="Palatino Linotype"/>
                <w:color w:val="000000"/>
                <w:sz w:val="20"/>
              </w:rPr>
            </w:pPr>
            <w:r w:rsidRPr="00CF1D3C">
              <w:rPr>
                <w:rFonts w:ascii="Palatino Linotype" w:hAnsi="Palatino Linotype"/>
                <w:color w:val="000000"/>
                <w:sz w:val="20"/>
              </w:rPr>
              <w:t>Excepciones a la clasificación de reserva</w:t>
            </w:r>
          </w:p>
        </w:tc>
        <w:tc>
          <w:tcPr>
            <w:tcW w:w="1759" w:type="dxa"/>
            <w:vMerge w:val="restart"/>
          </w:tcPr>
          <w:p w:rsidR="001E3F7A" w:rsidRPr="00CF1D3C" w:rsidRDefault="001E3F7A" w:rsidP="002729B9">
            <w:pPr>
              <w:jc w:val="both"/>
              <w:rPr>
                <w:rFonts w:ascii="Palatino Linotype" w:hAnsi="Palatino Linotype"/>
                <w:color w:val="000000"/>
                <w:sz w:val="20"/>
              </w:rPr>
            </w:pPr>
            <w:r w:rsidRPr="00CF1D3C">
              <w:rPr>
                <w:rFonts w:ascii="Palatino Linotype" w:hAnsi="Palatino Linotype"/>
                <w:color w:val="000000"/>
                <w:sz w:val="20"/>
              </w:rPr>
              <w:t xml:space="preserve">No puede clasificarse como </w:t>
            </w:r>
            <w:r w:rsidRPr="00CF1D3C">
              <w:rPr>
                <w:rFonts w:ascii="Palatino Linotype" w:hAnsi="Palatino Linotype"/>
                <w:color w:val="000000"/>
                <w:sz w:val="20"/>
              </w:rPr>
              <w:lastRenderedPageBreak/>
              <w:t>información reservada la concerniente a:</w:t>
            </w:r>
          </w:p>
        </w:tc>
        <w:tc>
          <w:tcPr>
            <w:tcW w:w="2269" w:type="dxa"/>
          </w:tcPr>
          <w:p w:rsidR="001E3F7A" w:rsidRPr="00CF1D3C" w:rsidRDefault="001E3F7A" w:rsidP="002729B9">
            <w:pPr>
              <w:jc w:val="both"/>
              <w:rPr>
                <w:rFonts w:ascii="Palatino Linotype" w:hAnsi="Palatino Linotype"/>
                <w:color w:val="000000"/>
                <w:sz w:val="20"/>
              </w:rPr>
            </w:pPr>
            <w:r w:rsidRPr="00CF1D3C">
              <w:rPr>
                <w:rFonts w:ascii="Palatino Linotype" w:hAnsi="Palatino Linotype"/>
                <w:color w:val="000000"/>
                <w:sz w:val="20"/>
              </w:rPr>
              <w:lastRenderedPageBreak/>
              <w:t xml:space="preserve">Actos (probados o en investigación) graves </w:t>
            </w:r>
            <w:r w:rsidRPr="00CF1D3C">
              <w:rPr>
                <w:rFonts w:ascii="Palatino Linotype" w:hAnsi="Palatino Linotype"/>
                <w:color w:val="000000"/>
                <w:sz w:val="20"/>
              </w:rPr>
              <w:lastRenderedPageBreak/>
              <w:t>de violaciones a derechos humanos</w:t>
            </w:r>
          </w:p>
        </w:tc>
        <w:tc>
          <w:tcPr>
            <w:tcW w:w="2268" w:type="dxa"/>
          </w:tcPr>
          <w:p w:rsidR="001E3F7A" w:rsidRPr="00CF1D3C" w:rsidRDefault="001E3F7A" w:rsidP="002729B9">
            <w:pPr>
              <w:jc w:val="both"/>
              <w:rPr>
                <w:rFonts w:ascii="Palatino Linotype" w:hAnsi="Palatino Linotype"/>
                <w:color w:val="000000"/>
                <w:sz w:val="20"/>
              </w:rPr>
            </w:pPr>
          </w:p>
        </w:tc>
      </w:tr>
      <w:tr w:rsidR="001E3F7A" w:rsidRPr="00CF1D3C" w:rsidTr="002729B9">
        <w:tc>
          <w:tcPr>
            <w:tcW w:w="2155" w:type="dxa"/>
            <w:vMerge/>
            <w:shd w:val="clear" w:color="auto" w:fill="D5DCE4"/>
          </w:tcPr>
          <w:p w:rsidR="001E3F7A" w:rsidRPr="00CF1D3C" w:rsidRDefault="001E3F7A" w:rsidP="002729B9">
            <w:pPr>
              <w:jc w:val="both"/>
              <w:rPr>
                <w:rFonts w:ascii="Palatino Linotype" w:hAnsi="Palatino Linotype"/>
                <w:color w:val="000000"/>
                <w:sz w:val="20"/>
              </w:rPr>
            </w:pPr>
          </w:p>
        </w:tc>
        <w:tc>
          <w:tcPr>
            <w:tcW w:w="1759" w:type="dxa"/>
            <w:vMerge/>
          </w:tcPr>
          <w:p w:rsidR="001E3F7A" w:rsidRPr="00CF1D3C" w:rsidRDefault="001E3F7A" w:rsidP="002729B9">
            <w:pPr>
              <w:jc w:val="both"/>
              <w:rPr>
                <w:rFonts w:ascii="Palatino Linotype" w:hAnsi="Palatino Linotype"/>
                <w:color w:val="000000"/>
                <w:sz w:val="20"/>
              </w:rPr>
            </w:pPr>
          </w:p>
        </w:tc>
        <w:tc>
          <w:tcPr>
            <w:tcW w:w="2269" w:type="dxa"/>
          </w:tcPr>
          <w:p w:rsidR="001E3F7A" w:rsidRPr="00CF1D3C" w:rsidRDefault="001E3F7A" w:rsidP="002729B9">
            <w:pPr>
              <w:jc w:val="both"/>
              <w:rPr>
                <w:rFonts w:ascii="Palatino Linotype" w:hAnsi="Palatino Linotype"/>
                <w:color w:val="000000"/>
                <w:sz w:val="20"/>
              </w:rPr>
            </w:pPr>
            <w:r w:rsidRPr="00CF1D3C">
              <w:rPr>
                <w:rFonts w:ascii="Palatino Linotype" w:hAnsi="Palatino Linotype"/>
                <w:color w:val="000000"/>
                <w:sz w:val="20"/>
              </w:rPr>
              <w:t>Delitos de lessa humanidad</w:t>
            </w:r>
          </w:p>
        </w:tc>
        <w:tc>
          <w:tcPr>
            <w:tcW w:w="2268" w:type="dxa"/>
          </w:tcPr>
          <w:p w:rsidR="001E3F7A" w:rsidRPr="00CF1D3C" w:rsidRDefault="001E3F7A" w:rsidP="002729B9">
            <w:pPr>
              <w:jc w:val="both"/>
              <w:rPr>
                <w:rFonts w:ascii="Palatino Linotype" w:hAnsi="Palatino Linotype"/>
                <w:color w:val="000000"/>
                <w:sz w:val="20"/>
              </w:rPr>
            </w:pPr>
          </w:p>
        </w:tc>
      </w:tr>
      <w:tr w:rsidR="001E3F7A" w:rsidRPr="00CF1D3C" w:rsidTr="002729B9">
        <w:tc>
          <w:tcPr>
            <w:tcW w:w="2155" w:type="dxa"/>
            <w:vMerge/>
            <w:shd w:val="clear" w:color="auto" w:fill="D5DCE4"/>
          </w:tcPr>
          <w:p w:rsidR="001E3F7A" w:rsidRPr="00CF1D3C" w:rsidRDefault="001E3F7A" w:rsidP="002729B9">
            <w:pPr>
              <w:jc w:val="both"/>
              <w:rPr>
                <w:rFonts w:ascii="Palatino Linotype" w:hAnsi="Palatino Linotype"/>
                <w:color w:val="000000"/>
                <w:sz w:val="20"/>
              </w:rPr>
            </w:pPr>
          </w:p>
        </w:tc>
        <w:tc>
          <w:tcPr>
            <w:tcW w:w="1759" w:type="dxa"/>
            <w:vMerge/>
          </w:tcPr>
          <w:p w:rsidR="001E3F7A" w:rsidRPr="00CF1D3C" w:rsidRDefault="001E3F7A" w:rsidP="002729B9">
            <w:pPr>
              <w:jc w:val="both"/>
              <w:rPr>
                <w:rFonts w:ascii="Palatino Linotype" w:hAnsi="Palatino Linotype"/>
                <w:color w:val="000000"/>
                <w:sz w:val="20"/>
              </w:rPr>
            </w:pPr>
          </w:p>
        </w:tc>
        <w:tc>
          <w:tcPr>
            <w:tcW w:w="2269" w:type="dxa"/>
          </w:tcPr>
          <w:p w:rsidR="001E3F7A" w:rsidRPr="00CF1D3C" w:rsidRDefault="001E3F7A" w:rsidP="002729B9">
            <w:pPr>
              <w:jc w:val="both"/>
              <w:rPr>
                <w:rFonts w:ascii="Palatino Linotype" w:hAnsi="Palatino Linotype"/>
                <w:color w:val="000000"/>
                <w:sz w:val="20"/>
              </w:rPr>
            </w:pPr>
            <w:r w:rsidRPr="00CF1D3C">
              <w:rPr>
                <w:rFonts w:ascii="Palatino Linotype" w:hAnsi="Palatino Linotype"/>
                <w:color w:val="000000"/>
                <w:sz w:val="20"/>
              </w:rPr>
              <w:t>Actos de Corrupción</w:t>
            </w:r>
          </w:p>
        </w:tc>
        <w:tc>
          <w:tcPr>
            <w:tcW w:w="2268" w:type="dxa"/>
          </w:tcPr>
          <w:p w:rsidR="001E3F7A" w:rsidRPr="00CF1D3C" w:rsidRDefault="001E3F7A" w:rsidP="002729B9">
            <w:pPr>
              <w:jc w:val="both"/>
              <w:rPr>
                <w:rFonts w:ascii="Palatino Linotype" w:hAnsi="Palatino Linotype"/>
                <w:color w:val="000000"/>
                <w:sz w:val="20"/>
              </w:rPr>
            </w:pPr>
            <w:r w:rsidRPr="00CF1D3C">
              <w:rPr>
                <w:rFonts w:ascii="Palatino Linotype" w:hAnsi="Palatino Linotype"/>
                <w:color w:val="000000"/>
                <w:sz w:val="20"/>
              </w:rPr>
              <w:t>Los comprendidos en el Título Sexto del Código Penal del Estado</w:t>
            </w:r>
          </w:p>
        </w:tc>
      </w:tr>
      <w:tr w:rsidR="001E3F7A" w:rsidRPr="00CF1D3C" w:rsidTr="002729B9">
        <w:tc>
          <w:tcPr>
            <w:tcW w:w="2155" w:type="dxa"/>
            <w:vMerge w:val="restart"/>
            <w:shd w:val="clear" w:color="auto" w:fill="D5DCE4"/>
          </w:tcPr>
          <w:p w:rsidR="001E3F7A" w:rsidRPr="00CF1D3C" w:rsidRDefault="001E3F7A" w:rsidP="002729B9">
            <w:pPr>
              <w:jc w:val="both"/>
              <w:rPr>
                <w:rFonts w:ascii="Palatino Linotype" w:hAnsi="Palatino Linotype"/>
                <w:color w:val="000000"/>
                <w:sz w:val="20"/>
              </w:rPr>
            </w:pPr>
            <w:r w:rsidRPr="00CF1D3C">
              <w:rPr>
                <w:rFonts w:ascii="Palatino Linotype" w:hAnsi="Palatino Linotype"/>
                <w:color w:val="000000"/>
                <w:sz w:val="20"/>
              </w:rPr>
              <w:t>Participación del Comité de Transparencia</w:t>
            </w:r>
          </w:p>
        </w:tc>
        <w:tc>
          <w:tcPr>
            <w:tcW w:w="1759" w:type="dxa"/>
            <w:vMerge w:val="restart"/>
          </w:tcPr>
          <w:p w:rsidR="001E3F7A" w:rsidRPr="00CF1D3C" w:rsidRDefault="001E3F7A" w:rsidP="002729B9">
            <w:pPr>
              <w:jc w:val="both"/>
              <w:rPr>
                <w:rFonts w:ascii="Palatino Linotype" w:hAnsi="Palatino Linotype"/>
                <w:color w:val="000000"/>
                <w:sz w:val="20"/>
              </w:rPr>
            </w:pPr>
            <w:r w:rsidRPr="00CF1D3C">
              <w:rPr>
                <w:rFonts w:ascii="Palatino Linotype" w:hAnsi="Palatino Linotype"/>
                <w:color w:val="000000"/>
                <w:sz w:val="20"/>
              </w:rPr>
              <w:t>Formalidades</w:t>
            </w:r>
          </w:p>
        </w:tc>
        <w:tc>
          <w:tcPr>
            <w:tcW w:w="2269" w:type="dxa"/>
          </w:tcPr>
          <w:p w:rsidR="001E3F7A" w:rsidRPr="00CF1D3C" w:rsidRDefault="001E3F7A" w:rsidP="002729B9">
            <w:pPr>
              <w:jc w:val="both"/>
              <w:rPr>
                <w:rFonts w:ascii="Palatino Linotype" w:hAnsi="Palatino Linotype"/>
                <w:color w:val="000000"/>
                <w:sz w:val="20"/>
              </w:rPr>
            </w:pPr>
            <w:r w:rsidRPr="00CF1D3C">
              <w:rPr>
                <w:rFonts w:ascii="Palatino Linotype" w:hAnsi="Palatino Linotype"/>
                <w:color w:val="000000"/>
                <w:sz w:val="20"/>
              </w:rPr>
              <w:t>El Comité debe de estar debidamente integrado</w:t>
            </w:r>
          </w:p>
        </w:tc>
        <w:tc>
          <w:tcPr>
            <w:tcW w:w="2268" w:type="dxa"/>
          </w:tcPr>
          <w:p w:rsidR="001E3F7A" w:rsidRPr="00CF1D3C" w:rsidRDefault="001E3F7A" w:rsidP="002729B9">
            <w:pPr>
              <w:jc w:val="both"/>
              <w:rPr>
                <w:rFonts w:ascii="Palatino Linotype" w:hAnsi="Palatino Linotype"/>
                <w:color w:val="000000"/>
                <w:sz w:val="20"/>
              </w:rPr>
            </w:pPr>
          </w:p>
        </w:tc>
      </w:tr>
      <w:tr w:rsidR="001E3F7A" w:rsidRPr="00CF1D3C" w:rsidTr="002729B9">
        <w:tc>
          <w:tcPr>
            <w:tcW w:w="2155" w:type="dxa"/>
            <w:vMerge/>
            <w:shd w:val="clear" w:color="auto" w:fill="D5DCE4"/>
          </w:tcPr>
          <w:p w:rsidR="001E3F7A" w:rsidRPr="00CF1D3C" w:rsidRDefault="001E3F7A" w:rsidP="002729B9">
            <w:pPr>
              <w:jc w:val="both"/>
              <w:rPr>
                <w:rFonts w:ascii="Palatino Linotype" w:hAnsi="Palatino Linotype"/>
                <w:color w:val="000000"/>
                <w:sz w:val="20"/>
              </w:rPr>
            </w:pPr>
          </w:p>
        </w:tc>
        <w:tc>
          <w:tcPr>
            <w:tcW w:w="1759" w:type="dxa"/>
            <w:vMerge/>
          </w:tcPr>
          <w:p w:rsidR="001E3F7A" w:rsidRPr="00CF1D3C" w:rsidRDefault="001E3F7A" w:rsidP="002729B9">
            <w:pPr>
              <w:jc w:val="both"/>
              <w:rPr>
                <w:rFonts w:ascii="Palatino Linotype" w:hAnsi="Palatino Linotype"/>
                <w:color w:val="000000"/>
                <w:sz w:val="20"/>
              </w:rPr>
            </w:pPr>
          </w:p>
        </w:tc>
        <w:tc>
          <w:tcPr>
            <w:tcW w:w="2269" w:type="dxa"/>
          </w:tcPr>
          <w:p w:rsidR="001E3F7A" w:rsidRPr="00CF1D3C" w:rsidRDefault="001E3F7A" w:rsidP="002729B9">
            <w:pPr>
              <w:jc w:val="both"/>
              <w:rPr>
                <w:rFonts w:ascii="Palatino Linotype" w:hAnsi="Palatino Linotype"/>
                <w:color w:val="000000"/>
                <w:sz w:val="20"/>
              </w:rPr>
            </w:pPr>
            <w:r w:rsidRPr="00CF1D3C">
              <w:rPr>
                <w:rFonts w:ascii="Palatino Linotype" w:hAnsi="Palatino Linotype"/>
                <w:color w:val="000000"/>
                <w:sz w:val="20"/>
              </w:rPr>
              <w:t xml:space="preserve">El Comité no aprueba la clasificación, sólo: confirma, modifica o revoca la decisión de las áreas </w:t>
            </w:r>
          </w:p>
        </w:tc>
        <w:tc>
          <w:tcPr>
            <w:tcW w:w="2268" w:type="dxa"/>
          </w:tcPr>
          <w:p w:rsidR="001E3F7A" w:rsidRPr="00CF1D3C" w:rsidRDefault="001E3F7A" w:rsidP="002729B9">
            <w:pPr>
              <w:jc w:val="both"/>
              <w:rPr>
                <w:rFonts w:ascii="Palatino Linotype" w:hAnsi="Palatino Linotype"/>
                <w:color w:val="000000"/>
                <w:sz w:val="20"/>
              </w:rPr>
            </w:pPr>
          </w:p>
        </w:tc>
      </w:tr>
      <w:tr w:rsidR="001E3F7A" w:rsidRPr="00CF1D3C" w:rsidTr="002729B9">
        <w:tc>
          <w:tcPr>
            <w:tcW w:w="2155" w:type="dxa"/>
            <w:shd w:val="clear" w:color="auto" w:fill="D5DCE4"/>
          </w:tcPr>
          <w:p w:rsidR="001E3F7A" w:rsidRPr="00CF1D3C" w:rsidRDefault="001E3F7A" w:rsidP="002729B9">
            <w:pPr>
              <w:jc w:val="both"/>
              <w:rPr>
                <w:rFonts w:ascii="Palatino Linotype" w:hAnsi="Palatino Linotype"/>
                <w:color w:val="000000"/>
                <w:sz w:val="20"/>
              </w:rPr>
            </w:pPr>
            <w:r w:rsidRPr="00CF1D3C">
              <w:rPr>
                <w:rFonts w:ascii="Palatino Linotype" w:hAnsi="Palatino Linotype"/>
                <w:color w:val="000000"/>
                <w:sz w:val="20"/>
              </w:rPr>
              <w:t>Fondo del acuerdo de clasificación</w:t>
            </w:r>
          </w:p>
        </w:tc>
        <w:tc>
          <w:tcPr>
            <w:tcW w:w="1759" w:type="dxa"/>
          </w:tcPr>
          <w:p w:rsidR="001E3F7A" w:rsidRPr="00CF1D3C" w:rsidRDefault="001E3F7A" w:rsidP="002729B9">
            <w:pPr>
              <w:jc w:val="both"/>
              <w:rPr>
                <w:rFonts w:ascii="Palatino Linotype" w:hAnsi="Palatino Linotype"/>
                <w:color w:val="000000"/>
                <w:sz w:val="20"/>
              </w:rPr>
            </w:pPr>
            <w:r w:rsidRPr="00CF1D3C">
              <w:rPr>
                <w:rFonts w:ascii="Palatino Linotype" w:hAnsi="Palatino Linotype"/>
                <w:color w:val="000000"/>
                <w:sz w:val="20"/>
              </w:rPr>
              <w:t xml:space="preserve">La carga de la prueba para justificar la restricción corresponde al </w:t>
            </w:r>
            <w:r w:rsidRPr="00CF1D3C">
              <w:rPr>
                <w:rFonts w:ascii="Palatino Linotype" w:hAnsi="Palatino Linotype"/>
                <w:b/>
                <w:bCs/>
                <w:color w:val="000000"/>
                <w:sz w:val="20"/>
              </w:rPr>
              <w:t>SUJETO OBLIGADO</w:t>
            </w:r>
          </w:p>
        </w:tc>
        <w:tc>
          <w:tcPr>
            <w:tcW w:w="2269" w:type="dxa"/>
          </w:tcPr>
          <w:p w:rsidR="001E3F7A" w:rsidRPr="00CF1D3C" w:rsidRDefault="001E3F7A" w:rsidP="002729B9">
            <w:pPr>
              <w:jc w:val="both"/>
              <w:rPr>
                <w:rFonts w:ascii="Palatino Linotype" w:hAnsi="Palatino Linotype"/>
                <w:color w:val="000000"/>
                <w:sz w:val="20"/>
              </w:rPr>
            </w:pPr>
            <w:r w:rsidRPr="00CF1D3C">
              <w:rPr>
                <w:rFonts w:ascii="Palatino Linotype" w:hAnsi="Palatino Linotype"/>
                <w:color w:val="000000"/>
                <w:sz w:val="20"/>
              </w:rPr>
              <w:t>Deber de fundar y motivar</w:t>
            </w:r>
          </w:p>
        </w:tc>
        <w:tc>
          <w:tcPr>
            <w:tcW w:w="2268" w:type="dxa"/>
          </w:tcPr>
          <w:p w:rsidR="001E3F7A" w:rsidRPr="00CF1D3C" w:rsidRDefault="001E3F7A" w:rsidP="002729B9">
            <w:pPr>
              <w:jc w:val="both"/>
              <w:rPr>
                <w:rFonts w:ascii="Palatino Linotype" w:hAnsi="Palatino Linotype"/>
                <w:color w:val="000000"/>
                <w:sz w:val="20"/>
              </w:rPr>
            </w:pPr>
          </w:p>
        </w:tc>
      </w:tr>
      <w:tr w:rsidR="001E3F7A" w:rsidRPr="00CF1D3C" w:rsidTr="002729B9">
        <w:trPr>
          <w:trHeight w:val="486"/>
        </w:trPr>
        <w:tc>
          <w:tcPr>
            <w:tcW w:w="2155" w:type="dxa"/>
            <w:vMerge w:val="restart"/>
            <w:shd w:val="clear" w:color="auto" w:fill="D5DCE4"/>
          </w:tcPr>
          <w:p w:rsidR="001E3F7A" w:rsidRPr="00CF1D3C" w:rsidRDefault="001E3F7A" w:rsidP="002729B9">
            <w:pPr>
              <w:jc w:val="both"/>
              <w:rPr>
                <w:rFonts w:ascii="Palatino Linotype" w:hAnsi="Palatino Linotype"/>
                <w:color w:val="000000"/>
                <w:sz w:val="20"/>
              </w:rPr>
            </w:pPr>
            <w:r w:rsidRPr="00CF1D3C">
              <w:rPr>
                <w:rFonts w:ascii="Palatino Linotype" w:hAnsi="Palatino Linotype"/>
                <w:color w:val="000000"/>
                <w:sz w:val="20"/>
              </w:rPr>
              <w:t>Condiciones especiales de la reserva</w:t>
            </w:r>
          </w:p>
        </w:tc>
        <w:tc>
          <w:tcPr>
            <w:tcW w:w="1759" w:type="dxa"/>
            <w:vMerge w:val="restart"/>
          </w:tcPr>
          <w:p w:rsidR="001E3F7A" w:rsidRPr="00CF1D3C" w:rsidRDefault="001E3F7A" w:rsidP="002729B9">
            <w:pPr>
              <w:jc w:val="both"/>
              <w:rPr>
                <w:rFonts w:ascii="Palatino Linotype" w:hAnsi="Palatino Linotype"/>
                <w:color w:val="000000"/>
                <w:sz w:val="20"/>
              </w:rPr>
            </w:pPr>
            <w:r w:rsidRPr="00CF1D3C">
              <w:rPr>
                <w:rFonts w:ascii="Palatino Linotype" w:hAnsi="Palatino Linotype"/>
                <w:color w:val="000000"/>
                <w:sz w:val="20"/>
              </w:rPr>
              <w:t>Motivar implica</w:t>
            </w:r>
          </w:p>
          <w:p w:rsidR="001E3F7A" w:rsidRPr="00CF1D3C" w:rsidRDefault="001E3F7A" w:rsidP="002729B9">
            <w:pPr>
              <w:jc w:val="both"/>
              <w:rPr>
                <w:rFonts w:ascii="Palatino Linotype" w:hAnsi="Palatino Linotype"/>
                <w:color w:val="000000"/>
                <w:sz w:val="20"/>
              </w:rPr>
            </w:pPr>
            <w:r w:rsidRPr="00CF1D3C">
              <w:rPr>
                <w:rFonts w:ascii="Palatino Linotype" w:hAnsi="Palatino Linotype"/>
                <w:color w:val="000000"/>
                <w:sz w:val="20"/>
              </w:rPr>
              <w:t>Además se debe aplicar, caso por caso, una prueba de daño.</w:t>
            </w:r>
          </w:p>
        </w:tc>
        <w:tc>
          <w:tcPr>
            <w:tcW w:w="2269" w:type="dxa"/>
            <w:vMerge w:val="restart"/>
          </w:tcPr>
          <w:p w:rsidR="001E3F7A" w:rsidRPr="00CF1D3C" w:rsidRDefault="001E3F7A" w:rsidP="002729B9">
            <w:pPr>
              <w:jc w:val="both"/>
              <w:rPr>
                <w:rFonts w:ascii="Palatino Linotype" w:hAnsi="Palatino Linotype"/>
                <w:color w:val="000000"/>
                <w:sz w:val="20"/>
              </w:rPr>
            </w:pPr>
            <w:r w:rsidRPr="00CF1D3C">
              <w:rPr>
                <w:rFonts w:ascii="Palatino Linotype" w:hAnsi="Palatino Linotype"/>
                <w:color w:val="000000"/>
                <w:sz w:val="20"/>
              </w:rPr>
              <w:t>Señalar las razones, motivos o circunstancias.</w:t>
            </w:r>
          </w:p>
          <w:p w:rsidR="001E3F7A" w:rsidRPr="00CF1D3C" w:rsidRDefault="001E3F7A" w:rsidP="002729B9">
            <w:pPr>
              <w:jc w:val="both"/>
              <w:rPr>
                <w:rFonts w:ascii="Palatino Linotype" w:hAnsi="Palatino Linotype"/>
                <w:color w:val="000000"/>
                <w:sz w:val="20"/>
              </w:rPr>
            </w:pPr>
            <w:r w:rsidRPr="00CF1D3C">
              <w:rPr>
                <w:rFonts w:ascii="Palatino Linotype" w:hAnsi="Palatino Linotype"/>
                <w:color w:val="000000"/>
                <w:sz w:val="20"/>
              </w:rPr>
              <w:t>Se deben señalar las razones objetivas y acreditar.</w:t>
            </w:r>
          </w:p>
          <w:p w:rsidR="001E3F7A" w:rsidRPr="00CF1D3C" w:rsidRDefault="001E3F7A" w:rsidP="002729B9">
            <w:pPr>
              <w:jc w:val="both"/>
              <w:rPr>
                <w:rFonts w:ascii="Palatino Linotype" w:hAnsi="Palatino Linotype"/>
                <w:color w:val="000000"/>
                <w:sz w:val="20"/>
              </w:rPr>
            </w:pPr>
          </w:p>
          <w:p w:rsidR="001E3F7A" w:rsidRPr="00CF1D3C" w:rsidRDefault="001E3F7A" w:rsidP="002729B9">
            <w:pPr>
              <w:jc w:val="both"/>
              <w:rPr>
                <w:rFonts w:ascii="Palatino Linotype" w:hAnsi="Palatino Linotype"/>
                <w:color w:val="000000"/>
                <w:sz w:val="20"/>
              </w:rPr>
            </w:pPr>
            <w:r w:rsidRPr="00CF1D3C">
              <w:rPr>
                <w:rFonts w:ascii="Palatino Linotype" w:hAnsi="Palatino Linotype"/>
                <w:color w:val="000000"/>
                <w:sz w:val="20"/>
              </w:rPr>
              <w:t>*Adquiere la condición especial de ser temporal por un periodo de 5 años con la posibilidad de ampliarse por un periodo igual.</w:t>
            </w:r>
          </w:p>
        </w:tc>
        <w:tc>
          <w:tcPr>
            <w:tcW w:w="2268" w:type="dxa"/>
            <w:vMerge w:val="restart"/>
          </w:tcPr>
          <w:p w:rsidR="001E3F7A" w:rsidRPr="00CF1D3C" w:rsidRDefault="001E3F7A" w:rsidP="002729B9">
            <w:pPr>
              <w:jc w:val="both"/>
              <w:rPr>
                <w:rFonts w:ascii="Palatino Linotype" w:hAnsi="Palatino Linotype"/>
                <w:color w:val="000000"/>
                <w:sz w:val="20"/>
              </w:rPr>
            </w:pPr>
            <w:r w:rsidRPr="00CF1D3C">
              <w:rPr>
                <w:rFonts w:ascii="Palatino Linotype" w:hAnsi="Palatino Linotype"/>
                <w:color w:val="000000"/>
                <w:sz w:val="20"/>
              </w:rPr>
              <w:t>Que entregar la información provoca un riesgo real, demostrable e identificable al interés público o a la seguridad pública</w:t>
            </w:r>
          </w:p>
        </w:tc>
      </w:tr>
      <w:tr w:rsidR="001E3F7A" w:rsidRPr="00CF1D3C" w:rsidTr="002729B9">
        <w:trPr>
          <w:trHeight w:val="486"/>
        </w:trPr>
        <w:tc>
          <w:tcPr>
            <w:tcW w:w="2155" w:type="dxa"/>
            <w:vMerge/>
            <w:shd w:val="clear" w:color="auto" w:fill="D5DCE4"/>
          </w:tcPr>
          <w:p w:rsidR="001E3F7A" w:rsidRPr="00CF1D3C" w:rsidRDefault="001E3F7A" w:rsidP="002729B9">
            <w:pPr>
              <w:jc w:val="both"/>
              <w:rPr>
                <w:rFonts w:ascii="Palatino Linotype" w:hAnsi="Palatino Linotype"/>
                <w:color w:val="000000"/>
                <w:sz w:val="20"/>
              </w:rPr>
            </w:pPr>
          </w:p>
        </w:tc>
        <w:tc>
          <w:tcPr>
            <w:tcW w:w="1759" w:type="dxa"/>
            <w:vMerge/>
          </w:tcPr>
          <w:p w:rsidR="001E3F7A" w:rsidRPr="00CF1D3C" w:rsidRDefault="001E3F7A" w:rsidP="002729B9">
            <w:pPr>
              <w:jc w:val="both"/>
              <w:rPr>
                <w:rFonts w:ascii="Palatino Linotype" w:hAnsi="Palatino Linotype"/>
                <w:color w:val="000000"/>
                <w:sz w:val="20"/>
              </w:rPr>
            </w:pPr>
          </w:p>
        </w:tc>
        <w:tc>
          <w:tcPr>
            <w:tcW w:w="2269" w:type="dxa"/>
            <w:vMerge/>
          </w:tcPr>
          <w:p w:rsidR="001E3F7A" w:rsidRPr="00CF1D3C" w:rsidRDefault="001E3F7A" w:rsidP="002729B9">
            <w:pPr>
              <w:jc w:val="both"/>
              <w:rPr>
                <w:rFonts w:ascii="Palatino Linotype" w:hAnsi="Palatino Linotype"/>
                <w:color w:val="000000"/>
                <w:sz w:val="20"/>
              </w:rPr>
            </w:pPr>
          </w:p>
        </w:tc>
        <w:tc>
          <w:tcPr>
            <w:tcW w:w="2268" w:type="dxa"/>
            <w:vMerge/>
          </w:tcPr>
          <w:p w:rsidR="001E3F7A" w:rsidRPr="00CF1D3C" w:rsidRDefault="001E3F7A" w:rsidP="002729B9">
            <w:pPr>
              <w:jc w:val="both"/>
              <w:rPr>
                <w:rFonts w:ascii="Palatino Linotype" w:hAnsi="Palatino Linotype"/>
                <w:color w:val="000000"/>
                <w:sz w:val="20"/>
              </w:rPr>
            </w:pPr>
          </w:p>
        </w:tc>
      </w:tr>
      <w:tr w:rsidR="001E3F7A" w:rsidRPr="00CF1D3C" w:rsidTr="002729B9">
        <w:tc>
          <w:tcPr>
            <w:tcW w:w="2155" w:type="dxa"/>
            <w:vMerge/>
            <w:shd w:val="clear" w:color="auto" w:fill="D5DCE4"/>
          </w:tcPr>
          <w:p w:rsidR="001E3F7A" w:rsidRPr="00CF1D3C" w:rsidRDefault="001E3F7A" w:rsidP="002729B9">
            <w:pPr>
              <w:jc w:val="both"/>
              <w:rPr>
                <w:rFonts w:ascii="Palatino Linotype" w:hAnsi="Palatino Linotype"/>
                <w:color w:val="000000"/>
                <w:sz w:val="20"/>
              </w:rPr>
            </w:pPr>
          </w:p>
        </w:tc>
        <w:tc>
          <w:tcPr>
            <w:tcW w:w="1759" w:type="dxa"/>
            <w:vMerge/>
          </w:tcPr>
          <w:p w:rsidR="001E3F7A" w:rsidRPr="00CF1D3C" w:rsidRDefault="001E3F7A" w:rsidP="002729B9">
            <w:pPr>
              <w:jc w:val="both"/>
              <w:rPr>
                <w:rFonts w:ascii="Palatino Linotype" w:hAnsi="Palatino Linotype"/>
                <w:color w:val="000000"/>
                <w:sz w:val="20"/>
              </w:rPr>
            </w:pPr>
          </w:p>
        </w:tc>
        <w:tc>
          <w:tcPr>
            <w:tcW w:w="2269" w:type="dxa"/>
            <w:vMerge/>
          </w:tcPr>
          <w:p w:rsidR="001E3F7A" w:rsidRPr="00CF1D3C" w:rsidRDefault="001E3F7A" w:rsidP="002729B9">
            <w:pPr>
              <w:jc w:val="both"/>
              <w:rPr>
                <w:rFonts w:ascii="Palatino Linotype" w:hAnsi="Palatino Linotype"/>
                <w:color w:val="000000"/>
                <w:sz w:val="20"/>
              </w:rPr>
            </w:pPr>
          </w:p>
        </w:tc>
        <w:tc>
          <w:tcPr>
            <w:tcW w:w="2268" w:type="dxa"/>
          </w:tcPr>
          <w:p w:rsidR="001E3F7A" w:rsidRPr="00CF1D3C" w:rsidRDefault="001E3F7A" w:rsidP="002729B9">
            <w:pPr>
              <w:jc w:val="both"/>
              <w:rPr>
                <w:rFonts w:ascii="Palatino Linotype" w:hAnsi="Palatino Linotype"/>
                <w:color w:val="000000"/>
                <w:sz w:val="20"/>
              </w:rPr>
            </w:pPr>
            <w:r w:rsidRPr="00CF1D3C">
              <w:rPr>
                <w:rFonts w:ascii="Palatino Linotype" w:hAnsi="Palatino Linotype"/>
                <w:color w:val="000000"/>
                <w:sz w:val="20"/>
              </w:rPr>
              <w:t xml:space="preserve">El riesgo por divulgar es mayor que el interés público de que se difunda  </w:t>
            </w:r>
          </w:p>
        </w:tc>
      </w:tr>
      <w:tr w:rsidR="001E3F7A" w:rsidRPr="00CF1D3C" w:rsidTr="002729B9">
        <w:trPr>
          <w:trHeight w:val="1454"/>
        </w:trPr>
        <w:tc>
          <w:tcPr>
            <w:tcW w:w="2155" w:type="dxa"/>
            <w:vMerge/>
            <w:shd w:val="clear" w:color="auto" w:fill="D5DCE4"/>
          </w:tcPr>
          <w:p w:rsidR="001E3F7A" w:rsidRPr="00CF1D3C" w:rsidRDefault="001E3F7A" w:rsidP="002729B9">
            <w:pPr>
              <w:jc w:val="both"/>
              <w:rPr>
                <w:rFonts w:ascii="Palatino Linotype" w:hAnsi="Palatino Linotype"/>
                <w:color w:val="000000"/>
                <w:sz w:val="20"/>
              </w:rPr>
            </w:pPr>
          </w:p>
        </w:tc>
        <w:tc>
          <w:tcPr>
            <w:tcW w:w="1759" w:type="dxa"/>
            <w:vMerge/>
          </w:tcPr>
          <w:p w:rsidR="001E3F7A" w:rsidRPr="00CF1D3C" w:rsidRDefault="001E3F7A" w:rsidP="002729B9">
            <w:pPr>
              <w:jc w:val="both"/>
              <w:rPr>
                <w:rFonts w:ascii="Palatino Linotype" w:hAnsi="Palatino Linotype"/>
                <w:color w:val="000000"/>
                <w:sz w:val="20"/>
              </w:rPr>
            </w:pPr>
          </w:p>
        </w:tc>
        <w:tc>
          <w:tcPr>
            <w:tcW w:w="2269" w:type="dxa"/>
            <w:vMerge/>
          </w:tcPr>
          <w:p w:rsidR="001E3F7A" w:rsidRPr="00CF1D3C" w:rsidRDefault="001E3F7A" w:rsidP="002729B9">
            <w:pPr>
              <w:jc w:val="both"/>
              <w:rPr>
                <w:rFonts w:ascii="Palatino Linotype" w:hAnsi="Palatino Linotype"/>
                <w:color w:val="000000"/>
                <w:sz w:val="20"/>
              </w:rPr>
            </w:pPr>
          </w:p>
        </w:tc>
        <w:tc>
          <w:tcPr>
            <w:tcW w:w="2268" w:type="dxa"/>
          </w:tcPr>
          <w:p w:rsidR="001E3F7A" w:rsidRPr="00CF1D3C" w:rsidRDefault="001E3F7A" w:rsidP="002729B9">
            <w:pPr>
              <w:jc w:val="both"/>
              <w:rPr>
                <w:rFonts w:ascii="Palatino Linotype" w:hAnsi="Palatino Linotype"/>
                <w:color w:val="000000"/>
                <w:sz w:val="20"/>
              </w:rPr>
            </w:pPr>
            <w:r w:rsidRPr="00CF1D3C">
              <w:rPr>
                <w:rFonts w:ascii="Palatino Linotype" w:hAnsi="Palatino Linotype"/>
                <w:color w:val="000000"/>
                <w:sz w:val="20"/>
              </w:rPr>
              <w:t>El principio de proporcionalidad</w:t>
            </w:r>
          </w:p>
        </w:tc>
      </w:tr>
      <w:tr w:rsidR="001E3F7A" w:rsidRPr="00CF1D3C" w:rsidTr="002729B9">
        <w:tc>
          <w:tcPr>
            <w:tcW w:w="2155" w:type="dxa"/>
            <w:vMerge w:val="restart"/>
            <w:shd w:val="clear" w:color="auto" w:fill="D5DCE4"/>
          </w:tcPr>
          <w:p w:rsidR="001E3F7A" w:rsidRPr="00CF1D3C" w:rsidRDefault="001E3F7A" w:rsidP="002729B9">
            <w:pPr>
              <w:jc w:val="both"/>
              <w:rPr>
                <w:rFonts w:ascii="Palatino Linotype" w:hAnsi="Palatino Linotype"/>
                <w:color w:val="000000"/>
                <w:sz w:val="20"/>
              </w:rPr>
            </w:pPr>
            <w:r w:rsidRPr="00CF1D3C">
              <w:rPr>
                <w:rFonts w:ascii="Palatino Linotype" w:hAnsi="Palatino Linotype"/>
                <w:color w:val="000000"/>
                <w:sz w:val="20"/>
              </w:rPr>
              <w:lastRenderedPageBreak/>
              <w:t>Condiciones especiales de la confidencialidad</w:t>
            </w:r>
          </w:p>
        </w:tc>
        <w:tc>
          <w:tcPr>
            <w:tcW w:w="1759" w:type="dxa"/>
          </w:tcPr>
          <w:p w:rsidR="001E3F7A" w:rsidRPr="00CF1D3C" w:rsidRDefault="001E3F7A" w:rsidP="002729B9">
            <w:pPr>
              <w:jc w:val="both"/>
              <w:rPr>
                <w:rFonts w:ascii="Palatino Linotype" w:hAnsi="Palatino Linotype"/>
                <w:color w:val="000000"/>
                <w:sz w:val="20"/>
              </w:rPr>
            </w:pPr>
            <w:r w:rsidRPr="00CF1D3C">
              <w:rPr>
                <w:rFonts w:ascii="Palatino Linotype" w:hAnsi="Palatino Linotype"/>
                <w:color w:val="000000"/>
                <w:sz w:val="20"/>
              </w:rPr>
              <w:t xml:space="preserve">Para clasificar se debe verificar que no se encuentre en los supuestos del artículo 148 de la ley Estatal </w:t>
            </w:r>
          </w:p>
        </w:tc>
        <w:tc>
          <w:tcPr>
            <w:tcW w:w="2269" w:type="dxa"/>
          </w:tcPr>
          <w:p w:rsidR="001E3F7A" w:rsidRPr="00CF1D3C" w:rsidRDefault="001E3F7A" w:rsidP="002729B9">
            <w:pPr>
              <w:jc w:val="both"/>
              <w:rPr>
                <w:rFonts w:ascii="Palatino Linotype" w:hAnsi="Palatino Linotype"/>
                <w:color w:val="000000"/>
                <w:sz w:val="20"/>
              </w:rPr>
            </w:pPr>
            <w:r w:rsidRPr="00CF1D3C">
              <w:rPr>
                <w:rFonts w:ascii="Palatino Linotype" w:hAnsi="Palatino Linotype"/>
                <w:color w:val="000000"/>
                <w:sz w:val="20"/>
              </w:rPr>
              <w:t xml:space="preserve">Si se encuentra en los supuestos de dicho artículo se entrega aún sin consentimiento del titular del dato personal </w:t>
            </w:r>
          </w:p>
        </w:tc>
        <w:tc>
          <w:tcPr>
            <w:tcW w:w="2268" w:type="dxa"/>
          </w:tcPr>
          <w:p w:rsidR="001E3F7A" w:rsidRPr="00CF1D3C" w:rsidRDefault="001E3F7A" w:rsidP="002729B9">
            <w:pPr>
              <w:jc w:val="both"/>
              <w:rPr>
                <w:rFonts w:ascii="Palatino Linotype" w:hAnsi="Palatino Linotype"/>
                <w:color w:val="000000"/>
                <w:sz w:val="20"/>
              </w:rPr>
            </w:pPr>
          </w:p>
        </w:tc>
      </w:tr>
      <w:tr w:rsidR="001E3F7A" w:rsidRPr="00CF1D3C" w:rsidTr="002729B9">
        <w:trPr>
          <w:trHeight w:val="3404"/>
        </w:trPr>
        <w:tc>
          <w:tcPr>
            <w:tcW w:w="2155" w:type="dxa"/>
            <w:vMerge/>
            <w:shd w:val="clear" w:color="auto" w:fill="D5DCE4"/>
          </w:tcPr>
          <w:p w:rsidR="001E3F7A" w:rsidRPr="00CF1D3C" w:rsidRDefault="001E3F7A" w:rsidP="002729B9">
            <w:pPr>
              <w:jc w:val="both"/>
              <w:rPr>
                <w:rFonts w:ascii="Palatino Linotype" w:hAnsi="Palatino Linotype"/>
                <w:color w:val="000000"/>
                <w:sz w:val="20"/>
              </w:rPr>
            </w:pPr>
          </w:p>
        </w:tc>
        <w:tc>
          <w:tcPr>
            <w:tcW w:w="1759" w:type="dxa"/>
          </w:tcPr>
          <w:p w:rsidR="001E3F7A" w:rsidRPr="00CF1D3C" w:rsidRDefault="001E3F7A" w:rsidP="002729B9">
            <w:pPr>
              <w:jc w:val="both"/>
              <w:rPr>
                <w:rFonts w:ascii="Palatino Linotype" w:hAnsi="Palatino Linotype"/>
                <w:color w:val="000000"/>
                <w:sz w:val="20"/>
              </w:rPr>
            </w:pPr>
            <w:r w:rsidRPr="00CF1D3C">
              <w:rPr>
                <w:rFonts w:ascii="Palatino Linotype" w:hAnsi="Palatino Linotype"/>
                <w:color w:val="000000"/>
                <w:sz w:val="20"/>
              </w:rPr>
              <w:t>Si es posible, se debe consultar al titular de los datos para requerir su autorización para entregarlo</w:t>
            </w:r>
          </w:p>
        </w:tc>
        <w:tc>
          <w:tcPr>
            <w:tcW w:w="2269" w:type="dxa"/>
          </w:tcPr>
          <w:p w:rsidR="001E3F7A" w:rsidRPr="00CF1D3C" w:rsidRDefault="001E3F7A" w:rsidP="002729B9">
            <w:pPr>
              <w:jc w:val="both"/>
              <w:rPr>
                <w:rFonts w:ascii="Palatino Linotype" w:hAnsi="Palatino Linotype"/>
                <w:color w:val="000000"/>
                <w:sz w:val="20"/>
              </w:rPr>
            </w:pPr>
          </w:p>
        </w:tc>
        <w:tc>
          <w:tcPr>
            <w:tcW w:w="2268" w:type="dxa"/>
          </w:tcPr>
          <w:p w:rsidR="001E3F7A" w:rsidRPr="00CF1D3C" w:rsidRDefault="001E3F7A" w:rsidP="002729B9">
            <w:pPr>
              <w:jc w:val="both"/>
              <w:rPr>
                <w:rFonts w:ascii="Palatino Linotype" w:hAnsi="Palatino Linotype"/>
                <w:color w:val="000000"/>
                <w:sz w:val="20"/>
              </w:rPr>
            </w:pPr>
          </w:p>
        </w:tc>
      </w:tr>
    </w:tbl>
    <w:p w:rsidR="00D722DF" w:rsidRPr="00CF1D3C" w:rsidRDefault="00D722DF" w:rsidP="00D722DF">
      <w:pPr>
        <w:pStyle w:val="Prrafodelista"/>
        <w:tabs>
          <w:tab w:val="left" w:pos="0"/>
          <w:tab w:val="left" w:pos="142"/>
        </w:tabs>
        <w:spacing w:line="360" w:lineRule="auto"/>
        <w:ind w:left="0"/>
        <w:jc w:val="both"/>
        <w:rPr>
          <w:rFonts w:ascii="Palatino Linotype" w:eastAsia="Calibri" w:hAnsi="Palatino Linotype"/>
          <w:color w:val="000000"/>
          <w:lang w:eastAsia="es-ES_tradnl"/>
        </w:rPr>
      </w:pPr>
    </w:p>
    <w:p w:rsidR="001E3F7A" w:rsidRPr="00CF1D3C" w:rsidRDefault="001E3F7A" w:rsidP="00A307A0">
      <w:pPr>
        <w:pStyle w:val="Prrafodelista"/>
        <w:numPr>
          <w:ilvl w:val="0"/>
          <w:numId w:val="1"/>
        </w:numPr>
        <w:tabs>
          <w:tab w:val="left" w:pos="0"/>
          <w:tab w:val="left" w:pos="142"/>
        </w:tabs>
        <w:spacing w:line="360" w:lineRule="auto"/>
        <w:ind w:left="0" w:firstLine="0"/>
        <w:jc w:val="both"/>
        <w:rPr>
          <w:rFonts w:ascii="Palatino Linotype" w:eastAsia="Calibri" w:hAnsi="Palatino Linotype"/>
          <w:color w:val="000000"/>
          <w:lang w:eastAsia="es-ES_tradnl"/>
        </w:rPr>
      </w:pPr>
      <w:r w:rsidRPr="00CF1D3C">
        <w:rPr>
          <w:rFonts w:ascii="Palatino Linotype" w:eastAsia="Calibri" w:hAnsi="Palatino Linotype"/>
          <w:color w:val="000000"/>
          <w:lang w:eastAsia="en-US"/>
        </w:rPr>
        <w:t>Pero</w:t>
      </w:r>
      <w:r w:rsidRPr="00CF1D3C">
        <w:rPr>
          <w:rFonts w:ascii="Palatino Linotype" w:eastAsia="Calibri" w:hAnsi="Palatino Linotype"/>
          <w:color w:val="000000"/>
          <w:lang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D722DF" w:rsidRPr="00CF1D3C" w:rsidRDefault="00D722DF" w:rsidP="00D722DF">
      <w:pPr>
        <w:pStyle w:val="Prrafodelista"/>
        <w:tabs>
          <w:tab w:val="left" w:pos="0"/>
          <w:tab w:val="left" w:pos="142"/>
        </w:tabs>
        <w:spacing w:line="360" w:lineRule="auto"/>
        <w:ind w:left="0"/>
        <w:jc w:val="both"/>
        <w:rPr>
          <w:rFonts w:ascii="Palatino Linotype" w:eastAsia="Calibri" w:hAnsi="Palatino Linotype"/>
          <w:color w:val="000000"/>
          <w:lang w:eastAsia="es-ES_tradnl"/>
        </w:rPr>
      </w:pPr>
    </w:p>
    <w:p w:rsidR="001E3F7A" w:rsidRPr="00CF1D3C" w:rsidRDefault="001E3F7A" w:rsidP="00A307A0">
      <w:pPr>
        <w:pStyle w:val="Prrafodelista"/>
        <w:numPr>
          <w:ilvl w:val="0"/>
          <w:numId w:val="1"/>
        </w:numPr>
        <w:tabs>
          <w:tab w:val="left" w:pos="0"/>
          <w:tab w:val="left" w:pos="142"/>
        </w:tabs>
        <w:spacing w:line="360" w:lineRule="auto"/>
        <w:ind w:left="0" w:firstLine="0"/>
        <w:jc w:val="both"/>
        <w:rPr>
          <w:rFonts w:ascii="Palatino Linotype" w:hAnsi="Palatino Linotype" w:cs="Arial"/>
          <w:color w:val="000000"/>
        </w:rPr>
      </w:pPr>
      <w:r w:rsidRPr="00CF1D3C">
        <w:rPr>
          <w:rFonts w:ascii="Palatino Linotype" w:eastAsia="Calibri" w:hAnsi="Palatino Linotype" w:cs="Tahoma"/>
          <w:iCs/>
          <w:lang w:eastAsia="es-ES_tradnl"/>
        </w:rPr>
        <w:t>Por</w:t>
      </w:r>
      <w:r w:rsidRPr="00CF1D3C">
        <w:rPr>
          <w:rFonts w:ascii="Palatino Linotype" w:hAnsi="Palatino Linotype"/>
          <w:color w:val="000000"/>
        </w:rPr>
        <w:t xml:space="preserve"> lo que si la información, con la que se pueda responder a una solicitud de información, contiene datos personales se deberá de realizar su clasificación como información confidencial, atendiendo las formalidades establecidas por la Ley de la materia y los </w:t>
      </w:r>
      <w:r w:rsidRPr="00CF1D3C">
        <w:rPr>
          <w:rFonts w:ascii="Palatino Linotype" w:eastAsia="Calibri" w:hAnsi="Palatino Linotype"/>
          <w:color w:val="000000"/>
          <w:lang w:eastAsia="en-US"/>
        </w:rPr>
        <w:t>lineamientos</w:t>
      </w:r>
      <w:r w:rsidRPr="00CF1D3C">
        <w:rPr>
          <w:rFonts w:ascii="Palatino Linotype" w:hAnsi="Palatino Linotype"/>
          <w:color w:val="000000"/>
        </w:rPr>
        <w:t xml:space="preserve"> generales en materia de clasificación y desclasificación de la información, así como para la elaboración de versiones públicas, de manera previa </w:t>
      </w:r>
      <w:r w:rsidRPr="00CF1D3C">
        <w:rPr>
          <w:rFonts w:ascii="Palatino Linotype" w:hAnsi="Palatino Linotype"/>
          <w:color w:val="000000"/>
        </w:rPr>
        <w:lastRenderedPageBreak/>
        <w:t>a su entrega al solicitante, de lo contrario los servidores públicos involucrados incurrirán en responsabilidad.</w:t>
      </w:r>
    </w:p>
    <w:p w:rsidR="0021154E" w:rsidRPr="00CF1D3C" w:rsidRDefault="0021154E" w:rsidP="0021154E">
      <w:pPr>
        <w:pStyle w:val="Prrafodelista"/>
        <w:rPr>
          <w:rFonts w:ascii="Palatino Linotype" w:hAnsi="Palatino Linotype" w:cs="Arial"/>
        </w:rPr>
      </w:pPr>
    </w:p>
    <w:p w:rsidR="0021154E" w:rsidRPr="00CF1D3C" w:rsidRDefault="0021154E" w:rsidP="00A307A0">
      <w:pPr>
        <w:pStyle w:val="Prrafodelista"/>
        <w:numPr>
          <w:ilvl w:val="0"/>
          <w:numId w:val="1"/>
        </w:numPr>
        <w:tabs>
          <w:tab w:val="left" w:pos="0"/>
          <w:tab w:val="left" w:pos="142"/>
        </w:tabs>
        <w:spacing w:line="360" w:lineRule="auto"/>
        <w:ind w:left="0" w:firstLine="0"/>
        <w:jc w:val="both"/>
        <w:rPr>
          <w:rFonts w:ascii="Palatino Linotype" w:eastAsia="MS Mincho" w:hAnsi="Palatino Linotype" w:cstheme="majorBidi"/>
        </w:rPr>
      </w:pPr>
      <w:r w:rsidRPr="00CF1D3C">
        <w:rPr>
          <w:rFonts w:ascii="Palatino Linotype" w:hAnsi="Palatino Linotype" w:cs="Arial"/>
        </w:rPr>
        <w:t xml:space="preserve">Por lo </w:t>
      </w:r>
      <w:r w:rsidRPr="00CF1D3C">
        <w:rPr>
          <w:rFonts w:ascii="Palatino Linotype" w:eastAsia="Calibri" w:hAnsi="Palatino Linotype" w:cs="Tahoma"/>
          <w:iCs/>
          <w:lang w:eastAsia="es-ES_tradnl"/>
        </w:rPr>
        <w:t>anteriormente</w:t>
      </w:r>
      <w:r w:rsidRPr="00CF1D3C">
        <w:rPr>
          <w:rFonts w:ascii="Palatino Linotype" w:hAnsi="Palatino Linotype" w:cs="Arial"/>
        </w:rPr>
        <w:t xml:space="preserve"> expuesto y fundado, este </w:t>
      </w:r>
      <w:r w:rsidRPr="00CF1D3C">
        <w:rPr>
          <w:rFonts w:ascii="Palatino Linotype" w:hAnsi="Palatino Linotype" w:cs="Arial"/>
          <w:b/>
        </w:rPr>
        <w:t>ÓRGANO GARANTE</w:t>
      </w:r>
      <w:r w:rsidRPr="00CF1D3C">
        <w:rPr>
          <w:rFonts w:ascii="Palatino Linotype" w:hAnsi="Palatino Linotype" w:cs="Arial"/>
        </w:rPr>
        <w:t xml:space="preserve"> emite los siguientes:</w:t>
      </w:r>
    </w:p>
    <w:p w:rsidR="0021154E" w:rsidRPr="00CF1D3C" w:rsidRDefault="0021154E" w:rsidP="0021154E">
      <w:pPr>
        <w:pStyle w:val="Prrafodelista"/>
        <w:rPr>
          <w:rFonts w:ascii="Palatino Linotype" w:eastAsia="MS Mincho" w:hAnsi="Palatino Linotype" w:cstheme="majorBidi"/>
        </w:rPr>
      </w:pPr>
    </w:p>
    <w:p w:rsidR="0021154E" w:rsidRPr="00CF1D3C" w:rsidRDefault="0021154E" w:rsidP="00D722DF">
      <w:pPr>
        <w:pStyle w:val="Ttulo1"/>
        <w:spacing w:before="0" w:line="360" w:lineRule="auto"/>
        <w:jc w:val="center"/>
        <w:rPr>
          <w:rFonts w:ascii="Palatino Linotype" w:eastAsia="Calibri" w:hAnsi="Palatino Linotype"/>
          <w:b/>
          <w:color w:val="000000" w:themeColor="text1"/>
          <w:sz w:val="24"/>
          <w:szCs w:val="24"/>
          <w:lang w:val="es-ES"/>
        </w:rPr>
      </w:pPr>
      <w:bookmarkStart w:id="119" w:name="_Toc504500693"/>
      <w:bookmarkStart w:id="120" w:name="_Toc534742545"/>
      <w:bookmarkStart w:id="121" w:name="_Toc2248738"/>
      <w:bookmarkStart w:id="122" w:name="_Toc34819440"/>
      <w:bookmarkStart w:id="123" w:name="_Toc51259595"/>
      <w:bookmarkStart w:id="124" w:name="_Toc82611052"/>
      <w:r w:rsidRPr="00CF1D3C">
        <w:rPr>
          <w:rFonts w:ascii="Palatino Linotype" w:eastAsia="Calibri" w:hAnsi="Palatino Linotype"/>
          <w:b/>
          <w:color w:val="000000" w:themeColor="text1"/>
          <w:sz w:val="24"/>
          <w:szCs w:val="24"/>
          <w:lang w:val="es-ES"/>
        </w:rPr>
        <w:t>R E S O L U T I V O S</w:t>
      </w:r>
      <w:bookmarkEnd w:id="119"/>
      <w:bookmarkEnd w:id="120"/>
      <w:bookmarkEnd w:id="121"/>
      <w:bookmarkEnd w:id="122"/>
      <w:bookmarkEnd w:id="123"/>
      <w:bookmarkEnd w:id="124"/>
      <w:r w:rsidRPr="00CF1D3C">
        <w:rPr>
          <w:rFonts w:ascii="Palatino Linotype" w:eastAsia="Calibri" w:hAnsi="Palatino Linotype"/>
          <w:b/>
          <w:color w:val="000000" w:themeColor="text1"/>
          <w:sz w:val="24"/>
          <w:szCs w:val="24"/>
          <w:lang w:val="es-ES"/>
        </w:rPr>
        <w:t xml:space="preserve"> </w:t>
      </w:r>
    </w:p>
    <w:p w:rsidR="0021154E" w:rsidRPr="00CF1D3C" w:rsidRDefault="0021154E" w:rsidP="00D722DF">
      <w:pPr>
        <w:spacing w:line="360" w:lineRule="auto"/>
        <w:rPr>
          <w:rFonts w:ascii="Palatino Linotype" w:hAnsi="Palatino Linotype"/>
          <w:lang w:val="es-ES"/>
        </w:rPr>
      </w:pPr>
    </w:p>
    <w:p w:rsidR="0021154E" w:rsidRPr="00CF1D3C" w:rsidRDefault="0021154E" w:rsidP="00D722DF">
      <w:pPr>
        <w:spacing w:line="360" w:lineRule="auto"/>
        <w:jc w:val="both"/>
        <w:rPr>
          <w:rFonts w:ascii="Palatino Linotype" w:hAnsi="Palatino Linotype" w:cs="Arial"/>
          <w:bCs/>
          <w:lang w:eastAsia="es-MX"/>
        </w:rPr>
      </w:pPr>
      <w:r w:rsidRPr="00CF1D3C">
        <w:rPr>
          <w:rFonts w:ascii="Palatino Linotype" w:hAnsi="Palatino Linotype" w:cs="Arial"/>
          <w:b/>
        </w:rPr>
        <w:t xml:space="preserve">PRIMERO. </w:t>
      </w:r>
      <w:r w:rsidRPr="00CF1D3C">
        <w:rPr>
          <w:rFonts w:ascii="Palatino Linotype" w:hAnsi="Palatino Linotype" w:cs="Arial"/>
        </w:rPr>
        <w:t xml:space="preserve">Resultan </w:t>
      </w:r>
      <w:r w:rsidR="005C5D34" w:rsidRPr="00CF1D3C">
        <w:rPr>
          <w:rFonts w:ascii="Palatino Linotype" w:hAnsi="Palatino Linotype" w:cs="Arial"/>
        </w:rPr>
        <w:t xml:space="preserve">parcialmente </w:t>
      </w:r>
      <w:r w:rsidRPr="00CF1D3C">
        <w:rPr>
          <w:rFonts w:ascii="Palatino Linotype" w:hAnsi="Palatino Linotype" w:cs="Arial"/>
        </w:rPr>
        <w:t>fundadas las</w:t>
      </w:r>
      <w:r w:rsidRPr="00CF1D3C">
        <w:rPr>
          <w:rFonts w:ascii="Palatino Linotype" w:hAnsi="Palatino Linotype" w:cs="Arial"/>
          <w:b/>
        </w:rPr>
        <w:t xml:space="preserve"> </w:t>
      </w:r>
      <w:r w:rsidRPr="00CF1D3C">
        <w:rPr>
          <w:rFonts w:ascii="Palatino Linotype" w:hAnsi="Palatino Linotype" w:cs="Arial"/>
          <w:lang w:val="es-ES"/>
        </w:rPr>
        <w:t>razones y motivos de inconformidad hechos valer en l</w:t>
      </w:r>
      <w:r w:rsidR="00D722DF" w:rsidRPr="00CF1D3C">
        <w:rPr>
          <w:rFonts w:ascii="Palatino Linotype" w:hAnsi="Palatino Linotype" w:cs="Arial"/>
          <w:lang w:val="es-ES"/>
        </w:rPr>
        <w:t>os</w:t>
      </w:r>
      <w:r w:rsidRPr="00CF1D3C">
        <w:rPr>
          <w:rFonts w:ascii="Palatino Linotype" w:hAnsi="Palatino Linotype" w:cs="Arial"/>
          <w:lang w:val="es-ES"/>
        </w:rPr>
        <w:t xml:space="preserve"> recurso</w:t>
      </w:r>
      <w:r w:rsidR="00D722DF" w:rsidRPr="00CF1D3C">
        <w:rPr>
          <w:rFonts w:ascii="Palatino Linotype" w:hAnsi="Palatino Linotype" w:cs="Arial"/>
          <w:lang w:val="es-ES"/>
        </w:rPr>
        <w:t>s</w:t>
      </w:r>
      <w:r w:rsidRPr="00CF1D3C">
        <w:rPr>
          <w:rFonts w:ascii="Palatino Linotype" w:hAnsi="Palatino Linotype" w:cs="Arial"/>
          <w:lang w:val="es-ES"/>
        </w:rPr>
        <w:t xml:space="preserve"> de revisión</w:t>
      </w:r>
      <w:r w:rsidRPr="00CF1D3C">
        <w:rPr>
          <w:rFonts w:ascii="Palatino Linotype" w:hAnsi="Palatino Linotype" w:cs="Arial"/>
          <w:b/>
          <w:bCs/>
        </w:rPr>
        <w:t xml:space="preserve"> </w:t>
      </w:r>
      <w:r w:rsidR="00D722DF" w:rsidRPr="00CF1D3C">
        <w:rPr>
          <w:rFonts w:ascii="Palatino Linotype" w:hAnsi="Palatino Linotype"/>
          <w:b/>
        </w:rPr>
        <w:t>12308/INFOEM/IP/RR/2022, 12309/INFOEM/IP/RR/2022, 12310/INFOEM/IP/RR/2022</w:t>
      </w:r>
      <w:r w:rsidR="00D722DF" w:rsidRPr="00CF1D3C">
        <w:rPr>
          <w:rFonts w:ascii="Palatino Linotype" w:hAnsi="Palatino Linotype" w:cs="Arial"/>
          <w:b/>
          <w:bCs/>
        </w:rPr>
        <w:t xml:space="preserve"> y </w:t>
      </w:r>
      <w:r w:rsidR="00D722DF" w:rsidRPr="00CF1D3C">
        <w:rPr>
          <w:rFonts w:ascii="Palatino Linotype" w:hAnsi="Palatino Linotype"/>
          <w:b/>
        </w:rPr>
        <w:t>12311/INFOEM/IP/RR/2022</w:t>
      </w:r>
      <w:r w:rsidRPr="00CF1D3C">
        <w:rPr>
          <w:rFonts w:ascii="Palatino Linotype" w:eastAsiaTheme="minorHAnsi" w:hAnsi="Palatino Linotype" w:cs="AppleSystemUIFontBold"/>
          <w:b/>
          <w:bCs/>
          <w:lang w:eastAsia="en-US"/>
        </w:rPr>
        <w:t xml:space="preserve"> </w:t>
      </w:r>
      <w:r w:rsidR="00A52ADB" w:rsidRPr="00CF1D3C">
        <w:rPr>
          <w:rFonts w:ascii="Palatino Linotype" w:eastAsiaTheme="minorHAnsi" w:hAnsi="Palatino Linotype" w:cs="AppleSystemUIFontBold"/>
          <w:b/>
          <w:bCs/>
          <w:lang w:eastAsia="en-US"/>
        </w:rPr>
        <w:t xml:space="preserve">acumulados, </w:t>
      </w:r>
      <w:r w:rsidRPr="00CF1D3C">
        <w:rPr>
          <w:rFonts w:ascii="Palatino Linotype" w:eastAsiaTheme="minorHAnsi" w:hAnsi="Palatino Linotype" w:cs="AppleSystemUIFontBold"/>
          <w:bCs/>
          <w:lang w:eastAsia="en-US"/>
        </w:rPr>
        <w:t xml:space="preserve">en </w:t>
      </w:r>
      <w:r w:rsidRPr="00CF1D3C">
        <w:rPr>
          <w:rFonts w:ascii="Palatino Linotype" w:hAnsi="Palatino Linotype" w:cs="Arial"/>
          <w:bCs/>
          <w:lang w:eastAsia="es-MX"/>
        </w:rPr>
        <w:t>términos de</w:t>
      </w:r>
      <w:r w:rsidR="00D722DF" w:rsidRPr="00CF1D3C">
        <w:rPr>
          <w:rFonts w:ascii="Palatino Linotype" w:hAnsi="Palatino Linotype" w:cs="Arial"/>
          <w:bCs/>
          <w:lang w:eastAsia="es-MX"/>
        </w:rPr>
        <w:t xml:space="preserve"> </w:t>
      </w:r>
      <w:r w:rsidRPr="00CF1D3C">
        <w:rPr>
          <w:rFonts w:ascii="Palatino Linotype" w:hAnsi="Palatino Linotype" w:cs="Arial"/>
          <w:bCs/>
          <w:lang w:eastAsia="es-MX"/>
        </w:rPr>
        <w:t>l</w:t>
      </w:r>
      <w:r w:rsidR="00D722DF" w:rsidRPr="00CF1D3C">
        <w:rPr>
          <w:rFonts w:ascii="Palatino Linotype" w:hAnsi="Palatino Linotype" w:cs="Arial"/>
          <w:bCs/>
          <w:lang w:eastAsia="es-MX"/>
        </w:rPr>
        <w:t>os</w:t>
      </w:r>
      <w:r w:rsidRPr="00CF1D3C">
        <w:rPr>
          <w:rFonts w:ascii="Palatino Linotype" w:hAnsi="Palatino Linotype" w:cs="Arial"/>
          <w:bCs/>
          <w:lang w:eastAsia="es-MX"/>
        </w:rPr>
        <w:t xml:space="preserve"> </w:t>
      </w:r>
      <w:r w:rsidRPr="00CF1D3C">
        <w:rPr>
          <w:rFonts w:ascii="Palatino Linotype" w:hAnsi="Palatino Linotype" w:cs="Arial"/>
          <w:b/>
          <w:bCs/>
          <w:lang w:eastAsia="es-MX"/>
        </w:rPr>
        <w:t>Considerando</w:t>
      </w:r>
      <w:r w:rsidR="00D722DF" w:rsidRPr="00CF1D3C">
        <w:rPr>
          <w:rFonts w:ascii="Palatino Linotype" w:hAnsi="Palatino Linotype" w:cs="Arial"/>
          <w:b/>
          <w:bCs/>
          <w:lang w:eastAsia="es-MX"/>
        </w:rPr>
        <w:t>s</w:t>
      </w:r>
      <w:r w:rsidRPr="00CF1D3C">
        <w:rPr>
          <w:rFonts w:ascii="Palatino Linotype" w:hAnsi="Palatino Linotype" w:cs="Arial"/>
          <w:b/>
          <w:bCs/>
          <w:lang w:eastAsia="es-MX"/>
        </w:rPr>
        <w:t xml:space="preserve"> </w:t>
      </w:r>
      <w:r w:rsidR="00735EF3" w:rsidRPr="00CF1D3C">
        <w:rPr>
          <w:rFonts w:ascii="Palatino Linotype" w:hAnsi="Palatino Linotype" w:cs="Arial"/>
          <w:b/>
          <w:bCs/>
          <w:lang w:eastAsia="es-MX"/>
        </w:rPr>
        <w:t xml:space="preserve">CUARTO y </w:t>
      </w:r>
      <w:r w:rsidR="00D722DF" w:rsidRPr="00CF1D3C">
        <w:rPr>
          <w:rFonts w:ascii="Palatino Linotype" w:hAnsi="Palatino Linotype" w:cs="Arial"/>
          <w:b/>
          <w:bCs/>
          <w:lang w:eastAsia="es-MX"/>
        </w:rPr>
        <w:t>QUIN</w:t>
      </w:r>
      <w:r w:rsidRPr="00CF1D3C">
        <w:rPr>
          <w:rFonts w:ascii="Palatino Linotype" w:hAnsi="Palatino Linotype" w:cs="Arial"/>
          <w:b/>
          <w:bCs/>
          <w:lang w:eastAsia="es-MX"/>
        </w:rPr>
        <w:t xml:space="preserve">TO </w:t>
      </w:r>
      <w:r w:rsidRPr="00CF1D3C">
        <w:rPr>
          <w:rFonts w:ascii="Palatino Linotype" w:hAnsi="Palatino Linotype" w:cs="Arial"/>
          <w:bCs/>
          <w:lang w:eastAsia="es-MX"/>
        </w:rPr>
        <w:t>de la presente resolución.</w:t>
      </w:r>
    </w:p>
    <w:p w:rsidR="00D722DF" w:rsidRPr="00CF1D3C" w:rsidRDefault="00D722DF" w:rsidP="00D722DF">
      <w:pPr>
        <w:spacing w:line="360" w:lineRule="auto"/>
        <w:jc w:val="both"/>
        <w:rPr>
          <w:rFonts w:ascii="Palatino Linotype" w:hAnsi="Palatino Linotype" w:cs="Arial"/>
          <w:bCs/>
          <w:lang w:eastAsia="es-MX"/>
        </w:rPr>
      </w:pPr>
    </w:p>
    <w:p w:rsidR="00D722DF" w:rsidRPr="00CF1D3C" w:rsidRDefault="00D722DF" w:rsidP="00D722DF">
      <w:pPr>
        <w:spacing w:line="360" w:lineRule="auto"/>
        <w:jc w:val="both"/>
        <w:rPr>
          <w:rFonts w:ascii="Palatino Linotype" w:eastAsia="MS Mincho" w:hAnsi="Palatino Linotype" w:cs="Arial"/>
          <w:color w:val="000000" w:themeColor="text1"/>
        </w:rPr>
      </w:pPr>
      <w:r w:rsidRPr="00CF1D3C">
        <w:rPr>
          <w:rFonts w:ascii="Palatino Linotype" w:hAnsi="Palatino Linotype"/>
          <w:b/>
        </w:rPr>
        <w:t>SEGUNDO.</w:t>
      </w:r>
      <w:r w:rsidRPr="00CF1D3C">
        <w:rPr>
          <w:rStyle w:val="Ttulo2Car"/>
          <w:rFonts w:ascii="Palatino Linotype" w:hAnsi="Palatino Linotype"/>
          <w:b/>
        </w:rPr>
        <w:t xml:space="preserve"> </w:t>
      </w:r>
      <w:r w:rsidRPr="00CF1D3C">
        <w:rPr>
          <w:rFonts w:ascii="Palatino Linotype" w:eastAsia="Calibri" w:hAnsi="Palatino Linotype" w:cs="Arial"/>
        </w:rPr>
        <w:t>Se</w:t>
      </w:r>
      <w:r w:rsidRPr="00CF1D3C">
        <w:rPr>
          <w:rFonts w:ascii="Palatino Linotype" w:eastAsia="Calibri" w:hAnsi="Palatino Linotype" w:cs="Arial"/>
          <w:b/>
        </w:rPr>
        <w:t xml:space="preserve"> REVOCAN </w:t>
      </w:r>
      <w:r w:rsidRPr="00CF1D3C">
        <w:rPr>
          <w:rFonts w:ascii="Palatino Linotype" w:eastAsia="Calibri" w:hAnsi="Palatino Linotype" w:cs="Arial"/>
        </w:rPr>
        <w:t xml:space="preserve">las respuestas emitidas por la </w:t>
      </w:r>
      <w:r w:rsidRPr="00CF1D3C">
        <w:rPr>
          <w:rFonts w:ascii="Palatino Linotype" w:eastAsia="Calibri" w:hAnsi="Palatino Linotype" w:cs="Arial"/>
          <w:b/>
        </w:rPr>
        <w:t>Secretaria de Movilidad</w:t>
      </w:r>
      <w:r w:rsidRPr="00CF1D3C">
        <w:rPr>
          <w:rFonts w:ascii="Palatino Linotype" w:eastAsia="Calibri" w:hAnsi="Palatino Linotype" w:cs="Arial"/>
        </w:rPr>
        <w:t xml:space="preserve"> a las solicitudes de información </w:t>
      </w:r>
      <w:r w:rsidRPr="00CF1D3C">
        <w:rPr>
          <w:rFonts w:ascii="Palatino Linotype" w:hAnsi="Palatino Linotype"/>
          <w:b/>
        </w:rPr>
        <w:t xml:space="preserve">00262/SMOV/IP/2022, 00263/SMOV/IP/2022, 00265/SMOV/IP/2022 y 00266/SMOV/IP/2022, </w:t>
      </w:r>
      <w:r w:rsidRPr="00CF1D3C">
        <w:rPr>
          <w:rFonts w:ascii="Palatino Linotype" w:eastAsia="Calibri" w:hAnsi="Palatino Linotype" w:cs="Arial"/>
        </w:rPr>
        <w:t>y se</w:t>
      </w:r>
      <w:r w:rsidRPr="00CF1D3C">
        <w:rPr>
          <w:rFonts w:ascii="Palatino Linotype" w:eastAsia="Calibri" w:hAnsi="Palatino Linotype" w:cs="Arial"/>
          <w:b/>
        </w:rPr>
        <w:t xml:space="preserve"> ORDENA </w:t>
      </w:r>
      <w:r w:rsidRPr="00CF1D3C">
        <w:rPr>
          <w:rFonts w:ascii="Palatino Linotype" w:hAnsi="Palatino Linotype" w:cs="Arial"/>
        </w:rPr>
        <w:t>entregar vía Sistema de Acceso a la Información Mexiquense (</w:t>
      </w:r>
      <w:r w:rsidRPr="00CF1D3C">
        <w:rPr>
          <w:rFonts w:ascii="Palatino Linotype" w:hAnsi="Palatino Linotype" w:cs="Arial"/>
          <w:b/>
        </w:rPr>
        <w:t>SAIMEX</w:t>
      </w:r>
      <w:r w:rsidRPr="00CF1D3C">
        <w:rPr>
          <w:rFonts w:ascii="Palatino Linotype" w:hAnsi="Palatino Linotype" w:cs="Arial"/>
        </w:rPr>
        <w:t>)</w:t>
      </w:r>
      <w:r w:rsidRPr="00CF1D3C">
        <w:rPr>
          <w:rFonts w:ascii="Palatino Linotype" w:hAnsi="Palatino Linotype" w:cs="Arial"/>
          <w:b/>
        </w:rPr>
        <w:t>,</w:t>
      </w:r>
      <w:r w:rsidR="00F35AB9" w:rsidRPr="00CF1D3C">
        <w:rPr>
          <w:rFonts w:ascii="Palatino Linotype" w:hAnsi="Palatino Linotype" w:cs="Arial"/>
          <w:b/>
        </w:rPr>
        <w:t xml:space="preserve"> </w:t>
      </w:r>
      <w:r w:rsidRPr="00CF1D3C">
        <w:rPr>
          <w:rFonts w:ascii="Palatino Linotype" w:eastAsia="MS Mincho" w:hAnsi="Palatino Linotype" w:cs="Arial"/>
          <w:color w:val="000000" w:themeColor="text1"/>
        </w:rPr>
        <w:t>en versión pública, la siguiente información:</w:t>
      </w:r>
    </w:p>
    <w:p w:rsidR="0021154E" w:rsidRPr="00CF1D3C" w:rsidRDefault="0021154E" w:rsidP="00D722DF">
      <w:pPr>
        <w:spacing w:line="360" w:lineRule="auto"/>
        <w:jc w:val="both"/>
        <w:rPr>
          <w:rFonts w:ascii="Palatino Linotype" w:eastAsia="Calibri" w:hAnsi="Palatino Linotype" w:cs="Arial"/>
          <w:lang w:val="es-ES"/>
        </w:rPr>
      </w:pPr>
    </w:p>
    <w:p w:rsidR="00511AE7" w:rsidRPr="00CF1D3C" w:rsidRDefault="00511AE7" w:rsidP="00A307A0">
      <w:pPr>
        <w:pStyle w:val="Prrafodelista"/>
        <w:numPr>
          <w:ilvl w:val="1"/>
          <w:numId w:val="6"/>
        </w:numPr>
        <w:spacing w:line="360" w:lineRule="auto"/>
        <w:ind w:left="851"/>
        <w:jc w:val="both"/>
        <w:rPr>
          <w:rFonts w:ascii="Palatino Linotype" w:hAnsi="Palatino Linotype" w:cs="Arial"/>
          <w:b/>
        </w:rPr>
      </w:pPr>
      <w:r w:rsidRPr="00CF1D3C">
        <w:rPr>
          <w:rFonts w:ascii="Palatino Linotype" w:hAnsi="Palatino Linotype" w:cs="Arial"/>
          <w:b/>
        </w:rPr>
        <w:t>Oficios firmados por el Subsecretario de Movilidad y por los Directores de las Zonas 1, 2 y 4, de</w:t>
      </w:r>
      <w:r w:rsidR="00A52ADB" w:rsidRPr="00CF1D3C">
        <w:rPr>
          <w:rFonts w:ascii="Palatino Linotype" w:hAnsi="Palatino Linotype" w:cs="Arial"/>
          <w:b/>
        </w:rPr>
        <w:t>l 1 de</w:t>
      </w:r>
      <w:r w:rsidRPr="00CF1D3C">
        <w:rPr>
          <w:rFonts w:ascii="Palatino Linotype" w:hAnsi="Palatino Linotype" w:cs="Arial"/>
          <w:b/>
        </w:rPr>
        <w:t xml:space="preserve"> enero de 2021 a</w:t>
      </w:r>
      <w:r w:rsidR="00A52ADB" w:rsidRPr="00CF1D3C">
        <w:rPr>
          <w:rFonts w:ascii="Palatino Linotype" w:hAnsi="Palatino Linotype" w:cs="Arial"/>
          <w:b/>
        </w:rPr>
        <w:t>l 28 de</w:t>
      </w:r>
      <w:r w:rsidRPr="00CF1D3C">
        <w:rPr>
          <w:rFonts w:ascii="Palatino Linotype" w:hAnsi="Palatino Linotype" w:cs="Arial"/>
          <w:b/>
        </w:rPr>
        <w:t xml:space="preserve"> mayo de 2022.</w:t>
      </w:r>
    </w:p>
    <w:p w:rsidR="00D722DF" w:rsidRPr="00CF1D3C" w:rsidRDefault="00D722DF" w:rsidP="00511AE7">
      <w:pPr>
        <w:pStyle w:val="Prrafodelista"/>
        <w:autoSpaceDE w:val="0"/>
        <w:autoSpaceDN w:val="0"/>
        <w:adjustRightInd w:val="0"/>
        <w:spacing w:line="360" w:lineRule="auto"/>
        <w:ind w:left="851" w:right="474"/>
        <w:jc w:val="both"/>
        <w:rPr>
          <w:rFonts w:ascii="Palatino Linotype" w:eastAsia="Calibri" w:hAnsi="Palatino Linotype" w:cs="Arial"/>
          <w:b/>
        </w:rPr>
      </w:pPr>
    </w:p>
    <w:p w:rsidR="00D722DF" w:rsidRPr="00CF1D3C" w:rsidRDefault="00D722DF" w:rsidP="00D722DF">
      <w:pPr>
        <w:spacing w:line="360" w:lineRule="auto"/>
        <w:jc w:val="both"/>
        <w:rPr>
          <w:rFonts w:ascii="Palatino Linotype" w:eastAsia="Calibri" w:hAnsi="Palatino Linotype" w:cs="Arial"/>
          <w:b/>
        </w:rPr>
      </w:pPr>
      <w:r w:rsidRPr="00CF1D3C">
        <w:rPr>
          <w:rFonts w:ascii="Palatino Linotype" w:eastAsia="Calibri" w:hAnsi="Palatino Linotype" w:cs="Arial"/>
        </w:rPr>
        <w:lastRenderedPageBreak/>
        <w:t>Para efecto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así como el Acuerdo de Clasificación de información reservada</w:t>
      </w:r>
      <w:r w:rsidR="00511AE7" w:rsidRPr="00CF1D3C">
        <w:rPr>
          <w:rFonts w:ascii="Palatino Linotype" w:eastAsia="Calibri" w:hAnsi="Palatino Linotype" w:cs="Arial"/>
        </w:rPr>
        <w:t xml:space="preserve">, de aquellos oficios que actualicen algún supuesto de reserva, </w:t>
      </w:r>
      <w:r w:rsidRPr="00CF1D3C">
        <w:rPr>
          <w:rFonts w:ascii="Palatino Linotype" w:eastAsia="Calibri" w:hAnsi="Palatino Linotype" w:cs="Arial"/>
        </w:rPr>
        <w:t xml:space="preserve">y se pongan a disposición del </w:t>
      </w:r>
      <w:r w:rsidRPr="00CF1D3C">
        <w:rPr>
          <w:rFonts w:ascii="Palatino Linotype" w:eastAsia="Calibri" w:hAnsi="Palatino Linotype" w:cs="Arial"/>
          <w:b/>
        </w:rPr>
        <w:t>RECURRENTE.</w:t>
      </w:r>
    </w:p>
    <w:p w:rsidR="00D722DF" w:rsidRPr="00CF1D3C" w:rsidRDefault="00D722DF" w:rsidP="00D722DF">
      <w:pPr>
        <w:spacing w:line="360" w:lineRule="auto"/>
        <w:jc w:val="both"/>
        <w:rPr>
          <w:rFonts w:ascii="Palatino Linotype" w:eastAsia="Calibri" w:hAnsi="Palatino Linotype" w:cs="Arial"/>
          <w:b/>
        </w:rPr>
      </w:pPr>
    </w:p>
    <w:p w:rsidR="00D722DF" w:rsidRPr="00CF1D3C" w:rsidRDefault="00D722DF" w:rsidP="00D722DF">
      <w:pPr>
        <w:pStyle w:val="Prrafodelista"/>
        <w:shd w:val="clear" w:color="auto" w:fill="FFFFFF"/>
        <w:tabs>
          <w:tab w:val="left" w:pos="0"/>
        </w:tabs>
        <w:spacing w:line="360" w:lineRule="auto"/>
        <w:ind w:left="0" w:right="49"/>
        <w:jc w:val="both"/>
        <w:rPr>
          <w:rFonts w:ascii="Palatino Linotype" w:hAnsi="Palatino Linotype"/>
        </w:rPr>
      </w:pPr>
      <w:r w:rsidRPr="00CF1D3C">
        <w:rPr>
          <w:rFonts w:ascii="Palatino Linotype" w:hAnsi="Palatino Linotype"/>
        </w:rPr>
        <w:t xml:space="preserve">Se deberá privilegiar la entrega en la modalidad elegida por el particular; sin embargo, si se acredita un impedimento </w:t>
      </w:r>
      <w:r w:rsidR="00F35AB9" w:rsidRPr="00CF1D3C">
        <w:rPr>
          <w:rFonts w:ascii="Palatino Linotype" w:hAnsi="Palatino Linotype"/>
        </w:rPr>
        <w:t>de manera fundada y motivada</w:t>
      </w:r>
      <w:r w:rsidRPr="00CF1D3C">
        <w:rPr>
          <w:rFonts w:ascii="Palatino Linotype" w:hAnsi="Palatino Linotype"/>
        </w:rPr>
        <w:t xml:space="preserve"> para atender la modalidad de entrega de la información elegida, se deberá ofrecer la opción de consulta directa, enviar la información a su correo electrónico; conceder el acceso en disco compacto, con la posibilidad de envío mediante correo certificado, previo pago del costo de CD y del envío; darle la posibilidad de obtener la información de manera gratuita aportando un CD, USB, disco duro, o bien, habilitando una liga electrónica en la que sea posible consultar la información.</w:t>
      </w:r>
    </w:p>
    <w:p w:rsidR="00D722DF" w:rsidRPr="00CF1D3C" w:rsidRDefault="00D722DF" w:rsidP="00D722DF">
      <w:pPr>
        <w:spacing w:line="360" w:lineRule="auto"/>
        <w:jc w:val="both"/>
        <w:rPr>
          <w:rFonts w:ascii="Palatino Linotype" w:eastAsia="Calibri" w:hAnsi="Palatino Linotype" w:cs="Arial"/>
          <w:b/>
        </w:rPr>
      </w:pPr>
    </w:p>
    <w:p w:rsidR="00D722DF" w:rsidRPr="00CF1D3C" w:rsidRDefault="00D722DF" w:rsidP="00D722DF">
      <w:pPr>
        <w:autoSpaceDE w:val="0"/>
        <w:autoSpaceDN w:val="0"/>
        <w:adjustRightInd w:val="0"/>
        <w:spacing w:line="360" w:lineRule="auto"/>
        <w:ind w:right="49"/>
        <w:jc w:val="both"/>
        <w:rPr>
          <w:rFonts w:ascii="Palatino Linotype" w:hAnsi="Palatino Linotype"/>
          <w:color w:val="222222"/>
          <w:shd w:val="clear" w:color="auto" w:fill="FFFFFF"/>
        </w:rPr>
      </w:pPr>
      <w:r w:rsidRPr="00CF1D3C">
        <w:rPr>
          <w:rFonts w:ascii="Palatino Linotype" w:eastAsia="Palatino Linotype" w:hAnsi="Palatino Linotype" w:cs="Palatino Linotype"/>
          <w:b/>
        </w:rPr>
        <w:t xml:space="preserve">TERCERO. Notifíquese </w:t>
      </w:r>
      <w:r w:rsidRPr="00CF1D3C">
        <w:rPr>
          <w:rFonts w:ascii="Palatino Linotype" w:eastAsia="Palatino Linotype" w:hAnsi="Palatino Linotype" w:cs="Palatino Linotype"/>
        </w:rPr>
        <w:t xml:space="preserve">al Titular de la Unidad de Transparencia del </w:t>
      </w:r>
      <w:r w:rsidRPr="00CF1D3C">
        <w:rPr>
          <w:rFonts w:ascii="Palatino Linotype" w:eastAsia="Palatino Linotype" w:hAnsi="Palatino Linotype" w:cs="Palatino Linotype"/>
          <w:b/>
        </w:rPr>
        <w:t>SUJETO OBLIGADO</w:t>
      </w:r>
      <w:r w:rsidR="00511AE7" w:rsidRPr="00CF1D3C">
        <w:rPr>
          <w:rFonts w:ascii="Palatino Linotype" w:eastAsia="Palatino Linotype" w:hAnsi="Palatino Linotype" w:cs="Palatino Linotype"/>
        </w:rPr>
        <w:t xml:space="preserve"> vía SAIMEX</w:t>
      </w:r>
      <w:r w:rsidRPr="00CF1D3C">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CF1D3C">
        <w:rPr>
          <w:rFonts w:ascii="Palatino Linotype" w:hAnsi="Palatino Linotype"/>
          <w:color w:val="222222"/>
          <w:shd w:val="clear" w:color="auto" w:fill="FFFFFF"/>
        </w:rPr>
        <w:t xml:space="preserve">vigente, dé cumplimiento a lo ordenado dentro </w:t>
      </w:r>
      <w:r w:rsidRPr="00CF1D3C">
        <w:rPr>
          <w:rFonts w:ascii="Palatino Linotype" w:hAnsi="Palatino Linotype"/>
          <w:color w:val="222222"/>
          <w:shd w:val="clear" w:color="auto" w:fill="FFFFFF"/>
        </w:rPr>
        <w:lastRenderedPageBreak/>
        <w:t xml:space="preserve">del plazo de </w:t>
      </w:r>
      <w:r w:rsidRPr="00CF1D3C">
        <w:rPr>
          <w:rFonts w:ascii="Palatino Linotype" w:hAnsi="Palatino Linotype"/>
          <w:b/>
          <w:color w:val="222222"/>
          <w:shd w:val="clear" w:color="auto" w:fill="FFFFFF"/>
        </w:rPr>
        <w:t>diez días hábiles</w:t>
      </w:r>
      <w:r w:rsidRPr="00CF1D3C">
        <w:rPr>
          <w:rFonts w:ascii="Palatino Linotype" w:hAnsi="Palatino Linotype"/>
          <w:color w:val="222222"/>
          <w:shd w:val="clear" w:color="auto" w:fill="FFFFFF"/>
        </w:rPr>
        <w:t>, debiendo rendir a este Instituto el informe de cumplimiento de la resolución en un plazo de tres días hábiles posteriores.</w:t>
      </w:r>
    </w:p>
    <w:p w:rsidR="00511AE7" w:rsidRPr="00CF1D3C" w:rsidRDefault="00511AE7" w:rsidP="00D722DF">
      <w:pPr>
        <w:autoSpaceDE w:val="0"/>
        <w:autoSpaceDN w:val="0"/>
        <w:adjustRightInd w:val="0"/>
        <w:spacing w:line="360" w:lineRule="auto"/>
        <w:ind w:right="49"/>
        <w:jc w:val="both"/>
        <w:rPr>
          <w:rFonts w:ascii="Palatino Linotype" w:hAnsi="Palatino Linotype"/>
          <w:color w:val="222222"/>
          <w:shd w:val="clear" w:color="auto" w:fill="FFFFFF"/>
        </w:rPr>
      </w:pPr>
    </w:p>
    <w:p w:rsidR="00D722DF" w:rsidRPr="00CF1D3C" w:rsidRDefault="00D722DF" w:rsidP="00D722DF">
      <w:pPr>
        <w:spacing w:line="360" w:lineRule="auto"/>
        <w:jc w:val="both"/>
        <w:rPr>
          <w:rFonts w:ascii="Palatino Linotype" w:eastAsia="Calibri" w:hAnsi="Palatino Linotype" w:cs="Arial"/>
          <w:bCs/>
        </w:rPr>
      </w:pPr>
      <w:r w:rsidRPr="00CF1D3C">
        <w:rPr>
          <w:rFonts w:ascii="Palatino Linotype" w:hAnsi="Palatino Linotype" w:cs="Arial"/>
          <w:b/>
        </w:rPr>
        <w:t xml:space="preserve">CUARTO. </w:t>
      </w:r>
      <w:r w:rsidRPr="00CF1D3C">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D722DF" w:rsidRPr="00CF1D3C" w:rsidRDefault="00D722DF" w:rsidP="00D722DF">
      <w:pPr>
        <w:spacing w:line="360" w:lineRule="auto"/>
        <w:jc w:val="both"/>
        <w:rPr>
          <w:rFonts w:ascii="Palatino Linotype" w:eastAsia="Calibri" w:hAnsi="Palatino Linotype" w:cs="Arial"/>
          <w:bCs/>
        </w:rPr>
      </w:pPr>
    </w:p>
    <w:p w:rsidR="00D722DF" w:rsidRPr="00CF1D3C" w:rsidRDefault="00D722DF" w:rsidP="00D722DF">
      <w:pPr>
        <w:autoSpaceDE w:val="0"/>
        <w:autoSpaceDN w:val="0"/>
        <w:adjustRightInd w:val="0"/>
        <w:spacing w:line="360" w:lineRule="auto"/>
        <w:ind w:right="49"/>
        <w:jc w:val="both"/>
        <w:rPr>
          <w:rFonts w:ascii="Palatino Linotype" w:hAnsi="Palatino Linotype"/>
        </w:rPr>
      </w:pPr>
      <w:r w:rsidRPr="00CF1D3C">
        <w:rPr>
          <w:rFonts w:ascii="Palatino Linotype" w:hAnsi="Palatino Linotype" w:cs="Arial"/>
          <w:b/>
        </w:rPr>
        <w:t xml:space="preserve">QUINTO. </w:t>
      </w:r>
      <w:r w:rsidRPr="00CF1D3C">
        <w:rPr>
          <w:rFonts w:ascii="Palatino Linotype" w:hAnsi="Palatino Linotype"/>
          <w:b/>
          <w:bCs/>
          <w:color w:val="222222"/>
        </w:rPr>
        <w:t xml:space="preserve">Notifíquese </w:t>
      </w:r>
      <w:r w:rsidRPr="00CF1D3C">
        <w:rPr>
          <w:rFonts w:ascii="Palatino Linotype" w:hAnsi="Palatino Linotype"/>
          <w:bCs/>
          <w:color w:val="222222"/>
        </w:rPr>
        <w:t>a</w:t>
      </w:r>
      <w:r w:rsidRPr="00CF1D3C">
        <w:rPr>
          <w:rFonts w:ascii="Palatino Linotype" w:hAnsi="Palatino Linotype"/>
          <w:b/>
        </w:rPr>
        <w:t xml:space="preserve"> </w:t>
      </w:r>
      <w:r w:rsidRPr="00CF1D3C">
        <w:rPr>
          <w:rFonts w:ascii="Palatino Linotype" w:eastAsia="Calibri" w:hAnsi="Palatino Linotype" w:cs="Arial"/>
          <w:b/>
        </w:rPr>
        <w:t>EL RECURRENTE</w:t>
      </w:r>
      <w:r w:rsidRPr="00CF1D3C">
        <w:rPr>
          <w:rFonts w:ascii="Palatino Linotype" w:hAnsi="Palatino Linotype"/>
        </w:rPr>
        <w:t xml:space="preserve"> la presente resolución, vía SAIMEX.</w:t>
      </w:r>
    </w:p>
    <w:p w:rsidR="00D722DF" w:rsidRPr="00CF1D3C" w:rsidRDefault="00D722DF" w:rsidP="00D722DF">
      <w:pPr>
        <w:autoSpaceDE w:val="0"/>
        <w:autoSpaceDN w:val="0"/>
        <w:adjustRightInd w:val="0"/>
        <w:spacing w:line="360" w:lineRule="auto"/>
        <w:ind w:right="49"/>
        <w:jc w:val="both"/>
        <w:rPr>
          <w:rFonts w:ascii="Palatino Linotype" w:hAnsi="Palatino Linotype"/>
        </w:rPr>
      </w:pPr>
    </w:p>
    <w:p w:rsidR="00D722DF" w:rsidRPr="00CF1D3C" w:rsidRDefault="00D722DF" w:rsidP="00D722DF">
      <w:pPr>
        <w:autoSpaceDE w:val="0"/>
        <w:autoSpaceDN w:val="0"/>
        <w:adjustRightInd w:val="0"/>
        <w:spacing w:line="360" w:lineRule="auto"/>
        <w:ind w:right="49"/>
        <w:jc w:val="both"/>
        <w:rPr>
          <w:rFonts w:ascii="Palatino Linotype" w:eastAsia="MS Mincho" w:hAnsi="Palatino Linotype"/>
        </w:rPr>
      </w:pPr>
      <w:r w:rsidRPr="00CF1D3C">
        <w:rPr>
          <w:rFonts w:ascii="Palatino Linotype" w:eastAsia="MS Mincho" w:hAnsi="Palatino Linotype"/>
          <w:b/>
        </w:rPr>
        <w:t>SEXTO.</w:t>
      </w:r>
      <w:r w:rsidRPr="00CF1D3C">
        <w:rPr>
          <w:rFonts w:ascii="Palatino Linotype" w:eastAsia="MS Mincho" w:hAnsi="Palatino Linotype"/>
        </w:rPr>
        <w:t xml:space="preserve"> </w:t>
      </w:r>
      <w:r w:rsidR="00511AE7" w:rsidRPr="00CF1D3C">
        <w:rPr>
          <w:rFonts w:ascii="Palatino Linotype" w:eastAsia="Times New Roman" w:hAnsi="Palatino Linotype" w:cs="Times New Roman"/>
          <w:lang w:val="es-ES" w:eastAsia="es-MX"/>
        </w:rPr>
        <w:t xml:space="preserve">Se hace del conocimiento de </w:t>
      </w:r>
      <w:r w:rsidR="00511AE7" w:rsidRPr="00CF1D3C">
        <w:rPr>
          <w:rFonts w:ascii="Palatino Linotype" w:eastAsia="Times New Roman" w:hAnsi="Palatino Linotype" w:cs="Times New Roman"/>
          <w:b/>
          <w:lang w:val="es-ES" w:eastAsia="es-MX"/>
        </w:rPr>
        <w:t>EL RECURRENTE</w:t>
      </w:r>
      <w:r w:rsidR="00511AE7" w:rsidRPr="00CF1D3C">
        <w:rPr>
          <w:rFonts w:ascii="Palatino Linotype" w:eastAsia="Times New Roman" w:hAnsi="Palatino Linotype" w:cs="Times New Roman"/>
          <w:lang w:val="es-ES" w:eastAsia="es-MX"/>
        </w:rPr>
        <w:t xml:space="preserve"> </w:t>
      </w:r>
      <w:r w:rsidR="00511AE7" w:rsidRPr="00CF1D3C">
        <w:rPr>
          <w:rFonts w:ascii="Palatino Linotype" w:hAnsi="Palatino Linotype"/>
          <w:color w:val="000000" w:themeColor="text1"/>
          <w:lang w:eastAsia="es-ES_tradnl"/>
        </w:rPr>
        <w:t xml:space="preserve">que </w:t>
      </w:r>
      <w:r w:rsidR="00511AE7" w:rsidRPr="00CF1D3C">
        <w:rPr>
          <w:rFonts w:ascii="Palatino Linotype" w:hAnsi="Palatino Linotype"/>
          <w:color w:val="222222"/>
          <w:lang w:eastAsia="es-ES_tradnl"/>
        </w:rPr>
        <w:t>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rsidR="0021154E" w:rsidRPr="00CF1D3C" w:rsidRDefault="0021154E" w:rsidP="0021154E">
      <w:pPr>
        <w:shd w:val="clear" w:color="auto" w:fill="FFFFFF"/>
        <w:spacing w:line="360" w:lineRule="auto"/>
        <w:jc w:val="both"/>
        <w:rPr>
          <w:rFonts w:ascii="Palatino Linotype" w:eastAsia="Times New Roman" w:hAnsi="Palatino Linotype" w:cs="Times New Roman"/>
          <w:lang w:val="es-ES" w:eastAsia="es-MX"/>
        </w:rPr>
      </w:pPr>
    </w:p>
    <w:p w:rsidR="00D81E05" w:rsidRDefault="00D81E05" w:rsidP="00D81E05">
      <w:pPr>
        <w:spacing w:before="240" w:after="240" w:line="360" w:lineRule="auto"/>
        <w:jc w:val="both"/>
        <w:rPr>
          <w:rFonts w:ascii="Palatino Linotype" w:hAnsi="Palatino Linotype"/>
        </w:rPr>
      </w:pPr>
      <w:r w:rsidRPr="00CF1D3C">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w:t>
      </w:r>
      <w:r w:rsidRPr="00CF1D3C">
        <w:rPr>
          <w:rFonts w:ascii="Palatino Linotype" w:hAnsi="Palatino Linotype"/>
        </w:rPr>
        <w:lastRenderedPageBreak/>
        <w:t>VILCHIS; MARÍA DEL ROSARIO MEJÍA AYALA; SHARON CRISTINA MORALES MARTÍNEZ; LUIS GUSTAVO PARRA NORIEGA</w:t>
      </w:r>
      <w:r w:rsidR="00D00068" w:rsidRPr="00CF1D3C">
        <w:rPr>
          <w:rFonts w:ascii="Palatino Linotype" w:hAnsi="Palatino Linotype"/>
        </w:rPr>
        <w:t xml:space="preserve"> EMITIENDO VOTO PARTICULAR</w:t>
      </w:r>
      <w:r w:rsidRPr="00CF1D3C">
        <w:rPr>
          <w:rFonts w:ascii="Palatino Linotype" w:hAnsi="Palatino Linotype"/>
        </w:rPr>
        <w:t xml:space="preserve"> Y GUADALUPE RAMÍREZ PEÑA EN LA TRIGÉSIMA QUINTA SESIÓN ORDINARIA CELEBRADA EL VEINTIOCHO (28) DE SEPTIEMBRE DE DOS MIL VEINTIDÓS, ANTE EL SECRETARIO TÉCNICO DEL PLENO ALEXIS TAPIA RAMÍREZ.</w:t>
      </w:r>
      <w:bookmarkStart w:id="125" w:name="_GoBack"/>
      <w:bookmarkEnd w:id="125"/>
      <w:r w:rsidRPr="00624AAD">
        <w:rPr>
          <w:rFonts w:ascii="Palatino Linotype" w:hAnsi="Palatino Linotype"/>
        </w:rPr>
        <w:t xml:space="preserve"> </w:t>
      </w:r>
    </w:p>
    <w:p w:rsidR="0021154E" w:rsidRPr="000D0DB4" w:rsidRDefault="0021154E" w:rsidP="0021154E">
      <w:pPr>
        <w:spacing w:line="360" w:lineRule="auto"/>
        <w:jc w:val="both"/>
        <w:rPr>
          <w:rFonts w:ascii="Palatino Linotype" w:hAnsi="Palatino Linotype"/>
        </w:rPr>
      </w:pPr>
    </w:p>
    <w:p w:rsidR="009F09BC" w:rsidRPr="000D0DB4" w:rsidRDefault="009F09BC" w:rsidP="000D0DB4">
      <w:pPr>
        <w:spacing w:line="360" w:lineRule="auto"/>
        <w:jc w:val="both"/>
        <w:rPr>
          <w:rFonts w:ascii="Palatino Linotype" w:hAnsi="Palatino Linotype"/>
        </w:rPr>
      </w:pPr>
    </w:p>
    <w:p w:rsidR="009F09BC" w:rsidRPr="000D0DB4" w:rsidRDefault="009F09BC" w:rsidP="000D0DB4">
      <w:pPr>
        <w:spacing w:line="360" w:lineRule="auto"/>
        <w:jc w:val="both"/>
        <w:rPr>
          <w:rFonts w:ascii="Palatino Linotype" w:hAnsi="Palatino Linotype"/>
        </w:rPr>
      </w:pPr>
    </w:p>
    <w:p w:rsidR="009F09BC" w:rsidRPr="000D0DB4" w:rsidRDefault="009F09BC" w:rsidP="000D0DB4">
      <w:pPr>
        <w:spacing w:line="360" w:lineRule="auto"/>
        <w:jc w:val="both"/>
        <w:rPr>
          <w:rFonts w:ascii="Palatino Linotype" w:hAnsi="Palatino Linotype"/>
        </w:rPr>
      </w:pPr>
    </w:p>
    <w:p w:rsidR="009F09BC" w:rsidRPr="000D0DB4" w:rsidRDefault="009F09BC" w:rsidP="000D0DB4">
      <w:pPr>
        <w:spacing w:line="360" w:lineRule="auto"/>
        <w:jc w:val="both"/>
        <w:rPr>
          <w:rFonts w:ascii="Palatino Linotype" w:hAnsi="Palatino Linotype"/>
        </w:rPr>
      </w:pPr>
    </w:p>
    <w:p w:rsidR="009F09BC" w:rsidRPr="000D0DB4" w:rsidRDefault="009F09BC" w:rsidP="000D0DB4">
      <w:pPr>
        <w:spacing w:line="360" w:lineRule="auto"/>
        <w:jc w:val="both"/>
        <w:rPr>
          <w:rFonts w:ascii="Palatino Linotype" w:hAnsi="Palatino Linotype"/>
        </w:rPr>
      </w:pPr>
    </w:p>
    <w:p w:rsidR="009F09BC" w:rsidRPr="000D0DB4" w:rsidRDefault="009F09BC" w:rsidP="000D0DB4">
      <w:pPr>
        <w:spacing w:line="360" w:lineRule="auto"/>
        <w:rPr>
          <w:rFonts w:ascii="Palatino Linotype" w:hAnsi="Palatino Linotype"/>
        </w:rPr>
      </w:pPr>
    </w:p>
    <w:p w:rsidR="009F09BC" w:rsidRPr="000D0DB4" w:rsidRDefault="009F09BC" w:rsidP="000D0DB4">
      <w:pPr>
        <w:spacing w:line="360" w:lineRule="auto"/>
        <w:rPr>
          <w:rFonts w:ascii="Palatino Linotype" w:hAnsi="Palatino Linotype"/>
        </w:rPr>
      </w:pPr>
    </w:p>
    <w:p w:rsidR="009F09BC" w:rsidRPr="000D0DB4" w:rsidRDefault="009F09BC" w:rsidP="000D0DB4">
      <w:pPr>
        <w:spacing w:line="360" w:lineRule="auto"/>
        <w:rPr>
          <w:rFonts w:ascii="Palatino Linotype" w:hAnsi="Palatino Linotype"/>
        </w:rPr>
      </w:pPr>
    </w:p>
    <w:p w:rsidR="009F09BC" w:rsidRPr="000D0DB4" w:rsidRDefault="009F09BC" w:rsidP="000D0DB4">
      <w:pPr>
        <w:spacing w:line="360" w:lineRule="auto"/>
        <w:rPr>
          <w:rFonts w:ascii="Palatino Linotype" w:hAnsi="Palatino Linotype"/>
        </w:rPr>
      </w:pPr>
    </w:p>
    <w:p w:rsidR="009F09BC" w:rsidRPr="000D0DB4" w:rsidRDefault="009F09BC" w:rsidP="000D0DB4">
      <w:pPr>
        <w:spacing w:line="360" w:lineRule="auto"/>
        <w:rPr>
          <w:rFonts w:ascii="Palatino Linotype" w:hAnsi="Palatino Linotype"/>
        </w:rPr>
      </w:pPr>
    </w:p>
    <w:p w:rsidR="009F09BC" w:rsidRPr="000D0DB4" w:rsidRDefault="009F09BC" w:rsidP="000D0DB4">
      <w:pPr>
        <w:spacing w:line="360" w:lineRule="auto"/>
        <w:rPr>
          <w:rFonts w:ascii="Palatino Linotype" w:hAnsi="Palatino Linotype"/>
        </w:rPr>
      </w:pPr>
    </w:p>
    <w:p w:rsidR="009F09BC" w:rsidRPr="000D0DB4" w:rsidRDefault="009F09BC" w:rsidP="000D0DB4">
      <w:pPr>
        <w:spacing w:line="360" w:lineRule="auto"/>
        <w:rPr>
          <w:rFonts w:ascii="Palatino Linotype" w:hAnsi="Palatino Linotype"/>
        </w:rPr>
      </w:pPr>
    </w:p>
    <w:p w:rsidR="009F09BC" w:rsidRDefault="009F09BC" w:rsidP="000D0DB4">
      <w:pPr>
        <w:tabs>
          <w:tab w:val="left" w:pos="3374"/>
        </w:tabs>
        <w:spacing w:line="360" w:lineRule="auto"/>
        <w:rPr>
          <w:rFonts w:ascii="Palatino Linotype" w:hAnsi="Palatino Linotype"/>
        </w:rPr>
      </w:pPr>
      <w:r w:rsidRPr="000D0DB4">
        <w:rPr>
          <w:rFonts w:ascii="Palatino Linotype" w:hAnsi="Palatino Linotype"/>
        </w:rPr>
        <w:tab/>
      </w:r>
    </w:p>
    <w:p w:rsidR="00511AE7" w:rsidRDefault="00511AE7" w:rsidP="000D0DB4">
      <w:pPr>
        <w:tabs>
          <w:tab w:val="left" w:pos="3374"/>
        </w:tabs>
        <w:spacing w:line="360" w:lineRule="auto"/>
        <w:rPr>
          <w:rFonts w:ascii="Palatino Linotype" w:hAnsi="Palatino Linotype"/>
        </w:rPr>
      </w:pPr>
    </w:p>
    <w:p w:rsidR="00511AE7" w:rsidRDefault="00511AE7" w:rsidP="000D0DB4">
      <w:pPr>
        <w:tabs>
          <w:tab w:val="left" w:pos="3374"/>
        </w:tabs>
        <w:spacing w:line="360" w:lineRule="auto"/>
        <w:rPr>
          <w:rFonts w:ascii="Palatino Linotype" w:hAnsi="Palatino Linotype"/>
        </w:rPr>
      </w:pPr>
    </w:p>
    <w:p w:rsidR="00511AE7" w:rsidRDefault="00511AE7" w:rsidP="000D0DB4">
      <w:pPr>
        <w:tabs>
          <w:tab w:val="left" w:pos="3374"/>
        </w:tabs>
        <w:spacing w:line="360" w:lineRule="auto"/>
        <w:rPr>
          <w:rFonts w:ascii="Palatino Linotype" w:hAnsi="Palatino Linotype"/>
        </w:rPr>
      </w:pPr>
    </w:p>
    <w:p w:rsidR="00511AE7" w:rsidRDefault="00511AE7" w:rsidP="000D0DB4">
      <w:pPr>
        <w:tabs>
          <w:tab w:val="left" w:pos="3374"/>
        </w:tabs>
        <w:spacing w:line="360" w:lineRule="auto"/>
        <w:rPr>
          <w:rFonts w:ascii="Palatino Linotype" w:hAnsi="Palatino Linotype"/>
        </w:rPr>
      </w:pPr>
    </w:p>
    <w:p w:rsidR="00511AE7" w:rsidRDefault="00511AE7" w:rsidP="000D0DB4">
      <w:pPr>
        <w:tabs>
          <w:tab w:val="left" w:pos="3374"/>
        </w:tabs>
        <w:spacing w:line="360" w:lineRule="auto"/>
        <w:rPr>
          <w:rFonts w:ascii="Palatino Linotype" w:hAnsi="Palatino Linotype"/>
        </w:rPr>
      </w:pPr>
    </w:p>
    <w:p w:rsidR="00511AE7" w:rsidRDefault="00511AE7" w:rsidP="000D0DB4">
      <w:pPr>
        <w:tabs>
          <w:tab w:val="left" w:pos="3374"/>
        </w:tabs>
        <w:spacing w:line="360" w:lineRule="auto"/>
        <w:rPr>
          <w:rFonts w:ascii="Palatino Linotype" w:hAnsi="Palatino Linotype"/>
        </w:rPr>
      </w:pPr>
    </w:p>
    <w:p w:rsidR="00511AE7" w:rsidRDefault="00511AE7" w:rsidP="000D0DB4">
      <w:pPr>
        <w:tabs>
          <w:tab w:val="left" w:pos="3374"/>
        </w:tabs>
        <w:spacing w:line="360" w:lineRule="auto"/>
        <w:rPr>
          <w:rFonts w:ascii="Palatino Linotype" w:hAnsi="Palatino Linotype"/>
        </w:rPr>
      </w:pPr>
    </w:p>
    <w:p w:rsidR="00511AE7" w:rsidRDefault="00511AE7" w:rsidP="000D0DB4">
      <w:pPr>
        <w:tabs>
          <w:tab w:val="left" w:pos="3374"/>
        </w:tabs>
        <w:spacing w:line="360" w:lineRule="auto"/>
        <w:rPr>
          <w:rFonts w:ascii="Palatino Linotype" w:hAnsi="Palatino Linotype"/>
        </w:rPr>
      </w:pPr>
    </w:p>
    <w:p w:rsidR="00511AE7" w:rsidRDefault="00511AE7" w:rsidP="000D0DB4">
      <w:pPr>
        <w:tabs>
          <w:tab w:val="left" w:pos="3374"/>
        </w:tabs>
        <w:spacing w:line="360" w:lineRule="auto"/>
        <w:rPr>
          <w:rFonts w:ascii="Palatino Linotype" w:hAnsi="Palatino Linotype"/>
        </w:rPr>
      </w:pPr>
    </w:p>
    <w:p w:rsidR="00511AE7" w:rsidRDefault="00511AE7" w:rsidP="000D0DB4">
      <w:pPr>
        <w:tabs>
          <w:tab w:val="left" w:pos="3374"/>
        </w:tabs>
        <w:spacing w:line="360" w:lineRule="auto"/>
        <w:rPr>
          <w:rFonts w:ascii="Palatino Linotype" w:hAnsi="Palatino Linotype"/>
        </w:rPr>
      </w:pPr>
    </w:p>
    <w:p w:rsidR="00511AE7" w:rsidRDefault="00511AE7" w:rsidP="000D0DB4">
      <w:pPr>
        <w:tabs>
          <w:tab w:val="left" w:pos="3374"/>
        </w:tabs>
        <w:spacing w:line="360" w:lineRule="auto"/>
        <w:rPr>
          <w:rFonts w:ascii="Palatino Linotype" w:hAnsi="Palatino Linotype"/>
        </w:rPr>
      </w:pPr>
    </w:p>
    <w:p w:rsidR="00511AE7" w:rsidRPr="000D0DB4" w:rsidRDefault="00511AE7" w:rsidP="000D0DB4">
      <w:pPr>
        <w:tabs>
          <w:tab w:val="left" w:pos="3374"/>
        </w:tabs>
        <w:spacing w:line="360" w:lineRule="auto"/>
        <w:rPr>
          <w:rFonts w:ascii="Palatino Linotype" w:hAnsi="Palatino Linotype"/>
        </w:rPr>
      </w:pPr>
    </w:p>
    <w:sectPr w:rsidR="00511AE7" w:rsidRPr="000D0DB4" w:rsidSect="009F09BC">
      <w:headerReference w:type="even" r:id="rId20"/>
      <w:headerReference w:type="default" r:id="rId21"/>
      <w:footerReference w:type="default" r:id="rId22"/>
      <w:headerReference w:type="first" r:id="rId23"/>
      <w:footerReference w:type="first" r:id="rId24"/>
      <w:pgSz w:w="12240" w:h="15840"/>
      <w:pgMar w:top="2693" w:right="1701" w:bottom="226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782D" w:rsidRDefault="00C9782D" w:rsidP="003B7751">
      <w:r>
        <w:separator/>
      </w:r>
    </w:p>
  </w:endnote>
  <w:endnote w:type="continuationSeparator" w:id="0">
    <w:p w:rsidR="00C9782D" w:rsidRDefault="00C9782D"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ppleSystemUIFont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347DF3" w:rsidRPr="002D6DD8" w:rsidRDefault="00347DF3"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F1D3C">
              <w:rPr>
                <w:rFonts w:ascii="Palatino Linotype" w:hAnsi="Palatino Linotype"/>
                <w:bCs/>
                <w:noProof/>
                <w:sz w:val="20"/>
              </w:rPr>
              <w:t>71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CF1D3C">
              <w:rPr>
                <w:rFonts w:ascii="Palatino Linotype" w:hAnsi="Palatino Linotype"/>
                <w:bCs/>
                <w:noProof/>
                <w:sz w:val="20"/>
              </w:rPr>
              <w:t>72</w:t>
            </w:r>
            <w:r>
              <w:rPr>
                <w:rFonts w:ascii="Palatino Linotype" w:hAnsi="Palatino Linotype"/>
                <w:bCs/>
                <w:noProof/>
                <w:sz w:val="20"/>
              </w:rPr>
              <w:fldChar w:fldCharType="end"/>
            </w:r>
          </w:p>
        </w:sdtContent>
      </w:sdt>
    </w:sdtContent>
  </w:sdt>
  <w:p w:rsidR="00347DF3" w:rsidRDefault="00347DF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7DF3" w:rsidRPr="000B69FA" w:rsidRDefault="00347DF3"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F1D3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CF1D3C">
      <w:rPr>
        <w:rFonts w:ascii="Palatino Linotype" w:hAnsi="Palatino Linotype"/>
        <w:bCs/>
        <w:noProof/>
        <w:sz w:val="20"/>
      </w:rPr>
      <w:t>72</w:t>
    </w:r>
    <w:r>
      <w:rPr>
        <w:rFonts w:ascii="Palatino Linotype" w:hAnsi="Palatino Linotype"/>
        <w:bCs/>
        <w:noProof/>
        <w:sz w:val="20"/>
      </w:rPr>
      <w:fldChar w:fldCharType="end"/>
    </w:r>
  </w:p>
  <w:p w:rsidR="00347DF3" w:rsidRDefault="00347DF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782D" w:rsidRDefault="00C9782D" w:rsidP="003B7751">
      <w:r>
        <w:separator/>
      </w:r>
    </w:p>
  </w:footnote>
  <w:footnote w:type="continuationSeparator" w:id="0">
    <w:p w:rsidR="00C9782D" w:rsidRDefault="00C9782D" w:rsidP="003B7751">
      <w:r>
        <w:continuationSeparator/>
      </w:r>
    </w:p>
  </w:footnote>
  <w:footnote w:id="1">
    <w:p w:rsidR="00347DF3" w:rsidRPr="00F75272" w:rsidRDefault="00347DF3" w:rsidP="00451985">
      <w:pPr>
        <w:pStyle w:val="Textonotapie"/>
        <w:jc w:val="both"/>
        <w:rPr>
          <w:rFonts w:ascii="Palatino Linotype" w:hAnsi="Palatino Linotype"/>
          <w:sz w:val="16"/>
          <w:szCs w:val="16"/>
        </w:rPr>
      </w:pPr>
      <w:r w:rsidRPr="00F75272">
        <w:rPr>
          <w:rStyle w:val="Refdenotaalpie"/>
          <w:rFonts w:ascii="Palatino Linotype" w:hAnsi="Palatino Linotyp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347DF3" w:rsidRDefault="00347DF3" w:rsidP="0021154E">
      <w:pPr>
        <w:pStyle w:val="Textonotapie"/>
      </w:pPr>
      <w:r>
        <w:rPr>
          <w:rStyle w:val="Refdenotaalpie"/>
        </w:rPr>
        <w:footnoteRef/>
      </w:r>
      <w:r>
        <w:t xml:space="preserve"> Convención Americana sobre Derechos Humanos. Artículo 13.</w:t>
      </w:r>
    </w:p>
  </w:footnote>
  <w:footnote w:id="3">
    <w:p w:rsidR="00347DF3" w:rsidRDefault="00347DF3" w:rsidP="0021154E">
      <w:pPr>
        <w:pStyle w:val="Textonotapie"/>
      </w:pPr>
      <w:r>
        <w:rPr>
          <w:rStyle w:val="Refdenotaalpie"/>
        </w:rPr>
        <w:footnoteRef/>
      </w:r>
      <w:r>
        <w:t xml:space="preserve"> Constitución Política de los Estados Unidos Mexicanos. Artículo sexto, sección A, fracción I.</w:t>
      </w:r>
    </w:p>
  </w:footnote>
  <w:footnote w:id="4">
    <w:p w:rsidR="00347DF3" w:rsidRDefault="00347DF3" w:rsidP="0021154E">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rsidR="00347DF3" w:rsidRDefault="00347DF3" w:rsidP="0021154E">
      <w:pPr>
        <w:pStyle w:val="Textonotapie"/>
      </w:pPr>
      <w:r>
        <w:rPr>
          <w:rStyle w:val="Refdenotaalpie"/>
        </w:rPr>
        <w:footnoteRef/>
      </w:r>
      <w:r>
        <w:t xml:space="preserve"> Ibídem. Parr. 87.</w:t>
      </w:r>
    </w:p>
  </w:footnote>
  <w:footnote w:id="6">
    <w:p w:rsidR="00347DF3" w:rsidRDefault="00347DF3" w:rsidP="007C4943">
      <w:pPr>
        <w:pStyle w:val="Textonotapie"/>
        <w:jc w:val="both"/>
        <w:rPr>
          <w:rFonts w:ascii="Palatino Linotype" w:hAnsi="Palatino Linotype"/>
          <w:i/>
          <w:sz w:val="16"/>
          <w:szCs w:val="16"/>
        </w:rPr>
      </w:pPr>
      <w:r>
        <w:rPr>
          <w:rStyle w:val="Refdenotaalpie"/>
        </w:rPr>
        <w:footnoteRef/>
      </w:r>
      <w:r>
        <w:rPr>
          <w:rFonts w:ascii="Palatino Linotype" w:hAnsi="Palatino Linotype"/>
        </w:rPr>
        <w:t xml:space="preserve"> </w:t>
      </w:r>
      <w:r>
        <w:rPr>
          <w:rFonts w:ascii="Palatino Linotype" w:hAnsi="Palatino Linotype"/>
          <w:i/>
          <w:sz w:val="16"/>
          <w:szCs w:val="16"/>
        </w:rPr>
        <w:t>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footnote>
  <w:footnote w:id="7">
    <w:p w:rsidR="00347DF3" w:rsidRDefault="00347DF3" w:rsidP="007C4943">
      <w:pPr>
        <w:pStyle w:val="Textonotapie"/>
      </w:pPr>
      <w:r>
        <w:rPr>
          <w:rStyle w:val="Refdenotaalpie"/>
        </w:rPr>
        <w:footnoteRef/>
      </w:r>
      <w:r>
        <w:t xml:space="preserve"> </w:t>
      </w:r>
      <w:r w:rsidRPr="0092384F">
        <w:rPr>
          <w:rFonts w:ascii="Palatino Linotype" w:hAnsi="Palatino Linotype"/>
        </w:rPr>
        <w:t>Artículo 165, ibídem.</w:t>
      </w:r>
    </w:p>
  </w:footnote>
  <w:footnote w:id="8">
    <w:p w:rsidR="00347DF3" w:rsidRPr="00985DD4" w:rsidRDefault="00347DF3" w:rsidP="001E3F7A">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rsidR="00347DF3" w:rsidRPr="00985DD4" w:rsidRDefault="00347DF3" w:rsidP="001E3F7A">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rsidR="00347DF3" w:rsidRPr="00BE13A0" w:rsidRDefault="00347DF3" w:rsidP="001E3F7A">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9">
    <w:p w:rsidR="00347DF3" w:rsidRPr="00985DD4" w:rsidRDefault="00347DF3" w:rsidP="001E3F7A">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0">
    <w:p w:rsidR="00347DF3" w:rsidRDefault="00347DF3" w:rsidP="001E3F7A">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Ningún derecho fundamental es absoluto y en esa medida todos admiten restricciones. Sin embargo, la regulación de dichas restricciones no puede ser arbitraria. Para que las medidas emitidas por el legislador ordinario con el propósito de restringir los derechos fundamentales sean válidas, deben satisfacer al menos los siguientes requisitos: a) ser admisibles dentro del ámbito constitucional, esto es, el legislador ordinario solo puede restringir o suspender el ejercicio de las garantías individuales con objetivos que puedan enmarcarse dentro de las previsiones de la Carta Magna; b) ser necesarias para asegurar la obtención de los fines que fundamentan la restricción constitucional, es decir, no basta que la restricción sea en términos amplios útil para la obtención de esos objetivos, sino que debe ser la idónea para su realización,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persecución de un objetivo constitucional no puede hacerse a costa de una afectación innecesaria o desmedida a otros bienes y derechos constitucionalmente protegidos. Así́, el juzgador debe determinar en cada caso si la restricción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distinción legislativa se encuentra dentro de las opciones de tratamiento que pueden considerarse proporcionales. De igual manera, las restricciones deberán estar en consonancia con la ley, incluidas las normas internacionales de derechos humanos, y ser compatibles con la naturaleza de los derechos amparados por la Constitución, en aras de la consecución de los objetivos legítimos perseguidos, y ser estrictamente necesarias para promover el bienestar general en una sociedad democrática. </w:t>
      </w:r>
    </w:p>
    <w:p w:rsidR="00347DF3" w:rsidRPr="00266430" w:rsidRDefault="00347DF3" w:rsidP="001E3F7A">
      <w:pPr>
        <w:pStyle w:val="Textonotapie"/>
        <w:jc w:val="both"/>
      </w:pPr>
      <w:r w:rsidRPr="00266430">
        <w:t xml:space="preserve">1a./J. 2/2012 (9a.). Primera Sala. Decima Época. Semanario Judicial de la Federación y su Gaceta. Libro V, Febrero de 2012, Pág. 533.  </w:t>
      </w:r>
    </w:p>
  </w:footnote>
  <w:footnote w:id="11">
    <w:p w:rsidR="00347DF3" w:rsidRPr="00A870EF" w:rsidRDefault="00347DF3" w:rsidP="001E3F7A">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12">
    <w:p w:rsidR="00347DF3" w:rsidRDefault="00347DF3" w:rsidP="001E3F7A">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347DF3" w:rsidRDefault="00347DF3" w:rsidP="001E3F7A">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347DF3" w:rsidRPr="001E1F95" w:rsidRDefault="00347DF3" w:rsidP="001E3F7A">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3">
    <w:p w:rsidR="00347DF3" w:rsidRPr="00191180" w:rsidRDefault="00347DF3" w:rsidP="001E3F7A">
      <w:pPr>
        <w:pStyle w:val="Textonotapie"/>
        <w:rPr>
          <w:color w:val="000000"/>
        </w:rPr>
      </w:pPr>
      <w:r>
        <w:rPr>
          <w:rStyle w:val="Refdenotaalpie"/>
        </w:rPr>
        <w:footnoteRef/>
      </w:r>
      <w:r>
        <w:t xml:space="preserve"> </w:t>
      </w:r>
      <w:r w:rsidRPr="00191180">
        <w:rPr>
          <w:bCs/>
          <w:color w:val="000000"/>
          <w:bdr w:val="none" w:sz="0" w:space="0" w:color="auto" w:frame="1"/>
          <w:shd w:val="clear" w:color="auto" w:fill="FFFFFF"/>
        </w:rPr>
        <w:t>OVALLE FAVELA, José,</w:t>
      </w:r>
      <w:r w:rsidRPr="00191180">
        <w:rPr>
          <w:rStyle w:val="apple-converted-space"/>
          <w:bCs/>
          <w:color w:val="000000"/>
          <w:bdr w:val="none" w:sz="0" w:space="0" w:color="auto" w:frame="1"/>
          <w:shd w:val="clear" w:color="auto" w:fill="FFFFFF"/>
        </w:rPr>
        <w:t xml:space="preserve"> “</w:t>
      </w:r>
      <w:r w:rsidRPr="00191180">
        <w:rPr>
          <w:bCs/>
          <w:i/>
          <w:iCs/>
          <w:color w:val="000000"/>
          <w:bdr w:val="none" w:sz="0" w:space="0" w:color="auto" w:frame="1"/>
          <w:shd w:val="clear" w:color="auto" w:fill="FFFFFF"/>
        </w:rPr>
        <w:t>Garantías constitucionales del proceso”</w:t>
      </w:r>
      <w:r w:rsidRPr="00191180">
        <w:rPr>
          <w:bCs/>
          <w:color w:val="000000"/>
          <w:bdr w:val="none" w:sz="0" w:space="0" w:color="auto" w:frame="1"/>
          <w:shd w:val="clear" w:color="auto" w:fill="FFFFFF"/>
        </w:rPr>
        <w:t>, 2a. ed., México, Oxford University Press, 2002, 474 pp.</w:t>
      </w:r>
    </w:p>
  </w:footnote>
  <w:footnote w:id="14">
    <w:p w:rsidR="00347DF3" w:rsidRPr="0037004E" w:rsidRDefault="00347DF3" w:rsidP="001E3F7A">
      <w:pPr>
        <w:pStyle w:val="Textonotapie"/>
        <w:jc w:val="both"/>
        <w:rPr>
          <w:lang w:val="es-ES"/>
        </w:rPr>
      </w:pPr>
      <w:r>
        <w:rPr>
          <w:rStyle w:val="Refdenotaalpie"/>
        </w:rPr>
        <w:footnoteRef/>
      </w:r>
      <w:r>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p w:rsidR="00347DF3" w:rsidRDefault="00347DF3" w:rsidP="001E3F7A">
      <w:pPr>
        <w:pStyle w:val="Textonotapie"/>
      </w:pPr>
    </w:p>
  </w:footnote>
  <w:footnote w:id="15">
    <w:p w:rsidR="00347DF3" w:rsidRDefault="00347DF3" w:rsidP="001E3F7A">
      <w:pPr>
        <w:pStyle w:val="Textonotapie"/>
        <w:jc w:val="both"/>
      </w:pPr>
      <w:r>
        <w:rPr>
          <w:rStyle w:val="Refdenotaalpie"/>
        </w:rPr>
        <w:footnoteRef/>
      </w:r>
      <w:r>
        <w:t xml:space="preserve"> Artículo 3. Para los efectos de la presente Ley se entenderá por:</w:t>
      </w:r>
    </w:p>
    <w:p w:rsidR="00347DF3" w:rsidRDefault="00347DF3" w:rsidP="001E3F7A">
      <w:pPr>
        <w:pStyle w:val="Textonotapie"/>
        <w:jc w:val="both"/>
      </w:pPr>
      <w:r>
        <w:t xml:space="preserve"> (…)</w:t>
      </w:r>
    </w:p>
    <w:p w:rsidR="00347DF3" w:rsidRDefault="00347DF3" w:rsidP="001E3F7A">
      <w:pPr>
        <w:pStyle w:val="Textonotapie"/>
        <w:jc w:val="both"/>
      </w:pPr>
      <w:r>
        <w:t>IX. Datos personales: La información concerniente a una persona, identificada o identificable según lo dispuesto por la Ley de Protección de Datos Personales del Estado de México;</w:t>
      </w:r>
    </w:p>
  </w:footnote>
  <w:footnote w:id="16">
    <w:p w:rsidR="00347DF3" w:rsidRPr="00ED2A04" w:rsidRDefault="00347DF3" w:rsidP="001E3F7A">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7">
    <w:p w:rsidR="00347DF3" w:rsidRPr="00ED2A04" w:rsidRDefault="00347DF3" w:rsidP="001E3F7A">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8">
    <w:p w:rsidR="00347DF3" w:rsidRPr="000406A4" w:rsidRDefault="00347DF3" w:rsidP="001E3F7A">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9">
    <w:p w:rsidR="00347DF3" w:rsidRPr="000406A4" w:rsidRDefault="00347DF3" w:rsidP="001E3F7A">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20">
    <w:p w:rsidR="00347DF3" w:rsidRPr="000406A4" w:rsidRDefault="00347DF3" w:rsidP="001E3F7A">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21">
    <w:p w:rsidR="00347DF3" w:rsidRPr="000406A4" w:rsidRDefault="00347DF3" w:rsidP="001E3F7A">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22">
    <w:p w:rsidR="00347DF3" w:rsidRPr="000406A4" w:rsidRDefault="00347DF3" w:rsidP="001E3F7A">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23">
    <w:p w:rsidR="00347DF3" w:rsidRPr="00191180" w:rsidRDefault="00347DF3" w:rsidP="001E3F7A">
      <w:pPr>
        <w:jc w:val="both"/>
        <w:rPr>
          <w:color w:val="000000"/>
          <w:sz w:val="20"/>
          <w:szCs w:val="20"/>
          <w:lang w:eastAsia="es-ES_tradnl"/>
        </w:rPr>
      </w:pPr>
      <w:r>
        <w:rPr>
          <w:rStyle w:val="Refdenotaalpie"/>
        </w:rPr>
        <w:footnoteRef/>
      </w:r>
      <w:r>
        <w:t xml:space="preserve"> </w:t>
      </w:r>
      <w:r>
        <w:rPr>
          <w:lang w:val="es-ES"/>
        </w:rPr>
        <w:t>“</w:t>
      </w:r>
      <w:r w:rsidRPr="00191180">
        <w:rPr>
          <w:color w:val="000000"/>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4">
    <w:p w:rsidR="00347DF3" w:rsidRPr="00A4142C" w:rsidRDefault="00347DF3" w:rsidP="001E3F7A">
      <w:pPr>
        <w:pStyle w:val="Textonotapie"/>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7DF3" w:rsidRDefault="00C9782D">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347DF3" w:rsidTr="005324B7">
      <w:trPr>
        <w:trHeight w:val="227"/>
      </w:trPr>
      <w:tc>
        <w:tcPr>
          <w:tcW w:w="2976" w:type="dxa"/>
          <w:vAlign w:val="center"/>
          <w:hideMark/>
        </w:tcPr>
        <w:p w:rsidR="00347DF3" w:rsidRPr="00674A46" w:rsidRDefault="00347DF3"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347DF3" w:rsidRPr="00485ED8" w:rsidRDefault="00347DF3" w:rsidP="00325454">
          <w:pPr>
            <w:pStyle w:val="Encabezado"/>
            <w:rPr>
              <w:rFonts w:ascii="Palatino Linotype" w:hAnsi="Palatino Linotype"/>
              <w:b/>
              <w:sz w:val="22"/>
              <w:szCs w:val="22"/>
            </w:rPr>
          </w:pPr>
          <w:r>
            <w:rPr>
              <w:rFonts w:ascii="Palatino Linotype" w:hAnsi="Palatino Linotype" w:cs="Arial"/>
              <w:b/>
              <w:bCs/>
              <w:sz w:val="22"/>
              <w:szCs w:val="22"/>
              <w:lang w:eastAsia="es-MX"/>
            </w:rPr>
            <w:t>1230</w:t>
          </w:r>
          <w:r w:rsidRPr="00AB09F8">
            <w:rPr>
              <w:rFonts w:ascii="Palatino Linotype" w:hAnsi="Palatino Linotype" w:cs="Arial"/>
              <w:b/>
              <w:bCs/>
              <w:sz w:val="22"/>
              <w:szCs w:val="22"/>
              <w:lang w:eastAsia="es-MX"/>
            </w:rPr>
            <w:t>8/INFOEM/IP/RR/2022</w:t>
          </w:r>
          <w:r w:rsidRPr="00485ED8">
            <w:rPr>
              <w:rFonts w:ascii="Palatino Linotype" w:hAnsi="Palatino Linotype" w:cs="Arial"/>
              <w:b/>
              <w:bCs/>
              <w:sz w:val="22"/>
              <w:szCs w:val="22"/>
              <w:lang w:eastAsia="es-MX"/>
            </w:rPr>
            <w:t xml:space="preserve"> y acumulado.</w:t>
          </w:r>
        </w:p>
      </w:tc>
    </w:tr>
    <w:tr w:rsidR="00347DF3" w:rsidTr="005324B7">
      <w:trPr>
        <w:trHeight w:val="242"/>
      </w:trPr>
      <w:tc>
        <w:tcPr>
          <w:tcW w:w="2976" w:type="dxa"/>
          <w:vAlign w:val="center"/>
          <w:hideMark/>
        </w:tcPr>
        <w:p w:rsidR="00347DF3" w:rsidRPr="00674A46" w:rsidRDefault="00347DF3"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347DF3" w:rsidRPr="00485ED8" w:rsidRDefault="00347DF3" w:rsidP="009F09BC">
          <w:pPr>
            <w:pStyle w:val="Encabezado"/>
            <w:jc w:val="both"/>
            <w:rPr>
              <w:rFonts w:ascii="Palatino Linotype" w:hAnsi="Palatino Linotype"/>
              <w:b/>
              <w:sz w:val="22"/>
              <w:szCs w:val="22"/>
            </w:rPr>
          </w:pPr>
          <w:r>
            <w:rPr>
              <w:rFonts w:ascii="Palatino Linotype" w:hAnsi="Palatino Linotype"/>
              <w:b/>
              <w:bCs/>
              <w:color w:val="000000"/>
              <w:sz w:val="22"/>
              <w:szCs w:val="22"/>
            </w:rPr>
            <w:t>Secretaría de Movilidad</w:t>
          </w:r>
        </w:p>
      </w:tc>
    </w:tr>
    <w:tr w:rsidR="00347DF3" w:rsidTr="005324B7">
      <w:trPr>
        <w:trHeight w:val="342"/>
      </w:trPr>
      <w:tc>
        <w:tcPr>
          <w:tcW w:w="2976" w:type="dxa"/>
          <w:vAlign w:val="center"/>
          <w:hideMark/>
        </w:tcPr>
        <w:p w:rsidR="00347DF3" w:rsidRPr="00674A46" w:rsidRDefault="00347DF3" w:rsidP="009F09BC">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543" w:type="dxa"/>
          <w:vAlign w:val="center"/>
          <w:hideMark/>
        </w:tcPr>
        <w:p w:rsidR="00347DF3" w:rsidRPr="00485ED8" w:rsidRDefault="00347DF3"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rsidR="00347DF3" w:rsidRPr="00AE046A" w:rsidRDefault="00C9782D"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28.6pt;margin-top:-121.9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347DF3" w:rsidTr="005324B7">
      <w:trPr>
        <w:trHeight w:val="227"/>
      </w:trPr>
      <w:tc>
        <w:tcPr>
          <w:tcW w:w="2977" w:type="dxa"/>
          <w:vAlign w:val="center"/>
          <w:hideMark/>
        </w:tcPr>
        <w:p w:rsidR="00347DF3" w:rsidRPr="00674A46" w:rsidRDefault="00347DF3"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347DF3" w:rsidRPr="00485ED8" w:rsidRDefault="00347DF3" w:rsidP="00325454">
          <w:pPr>
            <w:pStyle w:val="Encabezado"/>
            <w:rPr>
              <w:rFonts w:ascii="Palatino Linotype" w:hAnsi="Palatino Linotype"/>
              <w:b/>
              <w:sz w:val="22"/>
              <w:szCs w:val="22"/>
            </w:rPr>
          </w:pPr>
          <w:r>
            <w:rPr>
              <w:rFonts w:ascii="Palatino Linotype" w:hAnsi="Palatino Linotype" w:cs="Arial"/>
              <w:b/>
              <w:bCs/>
              <w:sz w:val="22"/>
              <w:szCs w:val="22"/>
              <w:lang w:eastAsia="es-MX"/>
            </w:rPr>
            <w:t>1230</w:t>
          </w:r>
          <w:r w:rsidRPr="00AB09F8">
            <w:rPr>
              <w:rFonts w:ascii="Palatino Linotype" w:hAnsi="Palatino Linotype" w:cs="Arial"/>
              <w:b/>
              <w:bCs/>
              <w:sz w:val="22"/>
              <w:szCs w:val="22"/>
              <w:lang w:eastAsia="es-MX"/>
            </w:rPr>
            <w:t>8/INFOEM/IP/RR/2022</w:t>
          </w:r>
          <w:r>
            <w:rPr>
              <w:rFonts w:ascii="Palatino Linotype" w:hAnsi="Palatino Linotype" w:cs="Arial"/>
              <w:b/>
              <w:bCs/>
              <w:sz w:val="22"/>
              <w:szCs w:val="22"/>
              <w:lang w:eastAsia="es-MX"/>
            </w:rPr>
            <w:t xml:space="preserve"> </w:t>
          </w:r>
          <w:r w:rsidRPr="00485ED8">
            <w:rPr>
              <w:rFonts w:ascii="Palatino Linotype" w:hAnsi="Palatino Linotype" w:cs="Arial"/>
              <w:b/>
              <w:bCs/>
              <w:sz w:val="22"/>
              <w:szCs w:val="22"/>
              <w:lang w:eastAsia="es-MX"/>
            </w:rPr>
            <w:t>y acumulado</w:t>
          </w:r>
          <w:r>
            <w:rPr>
              <w:rFonts w:ascii="Palatino Linotype" w:hAnsi="Palatino Linotype" w:cs="Arial"/>
              <w:b/>
              <w:bCs/>
              <w:sz w:val="22"/>
              <w:szCs w:val="22"/>
              <w:lang w:eastAsia="es-MX"/>
            </w:rPr>
            <w:t>s</w:t>
          </w:r>
          <w:r w:rsidRPr="00485ED8">
            <w:rPr>
              <w:rFonts w:ascii="Palatino Linotype" w:hAnsi="Palatino Linotype" w:cs="Arial"/>
              <w:b/>
              <w:bCs/>
              <w:sz w:val="22"/>
              <w:szCs w:val="22"/>
              <w:lang w:eastAsia="es-MX"/>
            </w:rPr>
            <w:t>.</w:t>
          </w:r>
        </w:p>
      </w:tc>
    </w:tr>
    <w:tr w:rsidR="00347DF3" w:rsidTr="005324B7">
      <w:trPr>
        <w:trHeight w:val="242"/>
      </w:trPr>
      <w:tc>
        <w:tcPr>
          <w:tcW w:w="2977" w:type="dxa"/>
          <w:vAlign w:val="center"/>
          <w:hideMark/>
        </w:tcPr>
        <w:p w:rsidR="00347DF3" w:rsidRPr="00674A46" w:rsidRDefault="00347DF3"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rsidR="00347DF3" w:rsidRPr="00B75F20" w:rsidRDefault="00CF1D3C" w:rsidP="009F09BC">
          <w:pPr>
            <w:pStyle w:val="Encabezado"/>
            <w:tabs>
              <w:tab w:val="left" w:pos="521"/>
            </w:tabs>
            <w:rPr>
              <w:rFonts w:ascii="Palatino Linotype" w:hAnsi="Palatino Linotype"/>
              <w:b/>
              <w:sz w:val="22"/>
              <w:szCs w:val="22"/>
            </w:rPr>
          </w:pPr>
          <w:r>
            <w:rPr>
              <w:rFonts w:ascii="Palatino Linotype" w:hAnsi="Palatino Linotype"/>
              <w:b/>
              <w:sz w:val="22"/>
              <w:szCs w:val="22"/>
            </w:rPr>
            <w:t>XXXX XXXX XXXX</w:t>
          </w:r>
        </w:p>
      </w:tc>
    </w:tr>
    <w:tr w:rsidR="00347DF3" w:rsidTr="005324B7">
      <w:trPr>
        <w:trHeight w:val="342"/>
      </w:trPr>
      <w:tc>
        <w:tcPr>
          <w:tcW w:w="2977" w:type="dxa"/>
          <w:vAlign w:val="center"/>
        </w:tcPr>
        <w:p w:rsidR="00347DF3" w:rsidRPr="00674A46" w:rsidRDefault="00347DF3"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347DF3" w:rsidRPr="00AA2C54" w:rsidRDefault="00347DF3" w:rsidP="00AA2C54">
          <w:pPr>
            <w:rPr>
              <w:rFonts w:ascii="Palatino Linotype" w:hAnsi="Palatino Linotype"/>
              <w:b/>
              <w:bCs/>
              <w:color w:val="000000"/>
              <w:sz w:val="22"/>
              <w:szCs w:val="22"/>
            </w:rPr>
          </w:pPr>
          <w:r w:rsidRPr="00185B89">
            <w:rPr>
              <w:rFonts w:ascii="Palatino Linotype" w:hAnsi="Palatino Linotype"/>
              <w:b/>
              <w:bCs/>
              <w:color w:val="000000"/>
              <w:sz w:val="22"/>
              <w:szCs w:val="22"/>
            </w:rPr>
            <w:t>Secretaría de Movilidad</w:t>
          </w:r>
        </w:p>
      </w:tc>
    </w:tr>
    <w:tr w:rsidR="00347DF3" w:rsidTr="005324B7">
      <w:trPr>
        <w:trHeight w:val="342"/>
      </w:trPr>
      <w:tc>
        <w:tcPr>
          <w:tcW w:w="2977" w:type="dxa"/>
          <w:vAlign w:val="center"/>
        </w:tcPr>
        <w:p w:rsidR="00347DF3" w:rsidRPr="00674A46" w:rsidRDefault="00347DF3"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347DF3" w:rsidRPr="00674A46" w:rsidRDefault="00347DF3"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rsidR="00347DF3" w:rsidRPr="00C222C0" w:rsidRDefault="00C9782D">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
    <w:nsid w:val="1BD72C93"/>
    <w:multiLevelType w:val="hybridMultilevel"/>
    <w:tmpl w:val="65E8F3FA"/>
    <w:lvl w:ilvl="0" w:tplc="080A0005">
      <w:start w:val="1"/>
      <w:numFmt w:val="bullet"/>
      <w:lvlText w:val=""/>
      <w:lvlJc w:val="left"/>
      <w:pPr>
        <w:ind w:left="720" w:hanging="360"/>
      </w:pPr>
      <w:rPr>
        <w:rFonts w:ascii="Wingdings" w:hAnsi="Wingdings" w:hint="default"/>
      </w:rPr>
    </w:lvl>
    <w:lvl w:ilvl="1" w:tplc="080A0017">
      <w:start w:val="1"/>
      <w:numFmt w:val="lowerLetter"/>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201C0F04"/>
    <w:multiLevelType w:val="hybridMultilevel"/>
    <w:tmpl w:val="D7B61DCE"/>
    <w:lvl w:ilvl="0" w:tplc="080A0017">
      <w:start w:val="1"/>
      <w:numFmt w:val="lowerLetter"/>
      <w:lvlText w:val="%1)"/>
      <w:lvlJc w:val="left"/>
      <w:pPr>
        <w:ind w:left="720" w:hanging="360"/>
      </w:pPr>
    </w:lvl>
    <w:lvl w:ilvl="1" w:tplc="B54C9D2A">
      <w:start w:val="1"/>
      <w:numFmt w:val="lowerLetter"/>
      <w:lvlText w:val="%2)"/>
      <w:lvlJc w:val="left"/>
      <w:pPr>
        <w:ind w:left="1440" w:hanging="360"/>
      </w:pPr>
      <w:rPr>
        <w:rFonts w:hint="default"/>
        <w:b/>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F5472F8"/>
    <w:multiLevelType w:val="hybridMultilevel"/>
    <w:tmpl w:val="FCF83A2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4317490"/>
    <w:multiLevelType w:val="hybridMultilevel"/>
    <w:tmpl w:val="BBAAFA3C"/>
    <w:lvl w:ilvl="0" w:tplc="F5C4018E">
      <w:start w:val="1"/>
      <w:numFmt w:val="decimal"/>
      <w:lvlText w:val="%1."/>
      <w:lvlJc w:val="left"/>
      <w:pPr>
        <w:ind w:left="360" w:hanging="360"/>
      </w:pPr>
      <w:rPr>
        <w:rFonts w:ascii="Palatino Linotype" w:hAnsi="Palatino Linotype" w:hint="default"/>
        <w:b/>
        <w:i w:val="0"/>
        <w:color w:val="auto"/>
        <w:sz w:val="24"/>
      </w:rPr>
    </w:lvl>
    <w:lvl w:ilvl="1" w:tplc="0C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8">
    <w:nsid w:val="53471522"/>
    <w:multiLevelType w:val="hybridMultilevel"/>
    <w:tmpl w:val="E286B47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1">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E616099"/>
    <w:multiLevelType w:val="hybridMultilevel"/>
    <w:tmpl w:val="C1C6450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3">
    <w:nsid w:val="7BAF3DB4"/>
    <w:multiLevelType w:val="hybridMultilevel"/>
    <w:tmpl w:val="9E92B7F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6"/>
  </w:num>
  <w:num w:numId="2">
    <w:abstractNumId w:val="13"/>
  </w:num>
  <w:num w:numId="3">
    <w:abstractNumId w:val="3"/>
  </w:num>
  <w:num w:numId="4">
    <w:abstractNumId w:val="2"/>
  </w:num>
  <w:num w:numId="5">
    <w:abstractNumId w:val="11"/>
  </w:num>
  <w:num w:numId="6">
    <w:abstractNumId w:val="4"/>
  </w:num>
  <w:num w:numId="7">
    <w:abstractNumId w:val="12"/>
  </w:num>
  <w:num w:numId="8">
    <w:abstractNumId w:val="14"/>
  </w:num>
  <w:num w:numId="9">
    <w:abstractNumId w:val="10"/>
  </w:num>
  <w:num w:numId="10">
    <w:abstractNumId w:val="7"/>
  </w:num>
  <w:num w:numId="11">
    <w:abstractNumId w:val="1"/>
  </w:num>
  <w:num w:numId="12">
    <w:abstractNumId w:val="0"/>
  </w:num>
  <w:num w:numId="13">
    <w:abstractNumId w:val="5"/>
  </w:num>
  <w:num w:numId="14">
    <w:abstractNumId w:val="8"/>
  </w:num>
  <w:num w:numId="15">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1289E"/>
    <w:rsid w:val="00020780"/>
    <w:rsid w:val="00021520"/>
    <w:rsid w:val="00025190"/>
    <w:rsid w:val="00025299"/>
    <w:rsid w:val="000271D4"/>
    <w:rsid w:val="00030FBC"/>
    <w:rsid w:val="00037265"/>
    <w:rsid w:val="000373F6"/>
    <w:rsid w:val="00037BCD"/>
    <w:rsid w:val="00055C1F"/>
    <w:rsid w:val="00064383"/>
    <w:rsid w:val="00067D69"/>
    <w:rsid w:val="00074E79"/>
    <w:rsid w:val="00082E8C"/>
    <w:rsid w:val="00087EFE"/>
    <w:rsid w:val="00095FEA"/>
    <w:rsid w:val="000B3CDC"/>
    <w:rsid w:val="000D0DB4"/>
    <w:rsid w:val="000D6447"/>
    <w:rsid w:val="000E1A02"/>
    <w:rsid w:val="00114502"/>
    <w:rsid w:val="001208D7"/>
    <w:rsid w:val="001352F5"/>
    <w:rsid w:val="00135B6E"/>
    <w:rsid w:val="00163FD1"/>
    <w:rsid w:val="001726CA"/>
    <w:rsid w:val="00185B89"/>
    <w:rsid w:val="001A18E7"/>
    <w:rsid w:val="001C4290"/>
    <w:rsid w:val="001C605C"/>
    <w:rsid w:val="001D23C1"/>
    <w:rsid w:val="001D5404"/>
    <w:rsid w:val="001E3F7A"/>
    <w:rsid w:val="001F1CB6"/>
    <w:rsid w:val="001F4F22"/>
    <w:rsid w:val="0021154E"/>
    <w:rsid w:val="00223C06"/>
    <w:rsid w:val="00230F52"/>
    <w:rsid w:val="002579F2"/>
    <w:rsid w:val="00264645"/>
    <w:rsid w:val="002729B9"/>
    <w:rsid w:val="00277FAC"/>
    <w:rsid w:val="00285A79"/>
    <w:rsid w:val="002877C3"/>
    <w:rsid w:val="002901F4"/>
    <w:rsid w:val="00291500"/>
    <w:rsid w:val="0029376D"/>
    <w:rsid w:val="0029740E"/>
    <w:rsid w:val="002A1D69"/>
    <w:rsid w:val="002C0D3C"/>
    <w:rsid w:val="002C5F41"/>
    <w:rsid w:val="0030094A"/>
    <w:rsid w:val="0030144E"/>
    <w:rsid w:val="00312281"/>
    <w:rsid w:val="00315264"/>
    <w:rsid w:val="00323FFD"/>
    <w:rsid w:val="00325454"/>
    <w:rsid w:val="003277BC"/>
    <w:rsid w:val="00340017"/>
    <w:rsid w:val="003437D9"/>
    <w:rsid w:val="00343D5D"/>
    <w:rsid w:val="00347DF3"/>
    <w:rsid w:val="00362CD9"/>
    <w:rsid w:val="00376B2A"/>
    <w:rsid w:val="003833B3"/>
    <w:rsid w:val="00383DAF"/>
    <w:rsid w:val="00383E67"/>
    <w:rsid w:val="00387C55"/>
    <w:rsid w:val="00392D7B"/>
    <w:rsid w:val="003A15C8"/>
    <w:rsid w:val="003B7751"/>
    <w:rsid w:val="003C13F1"/>
    <w:rsid w:val="003C3882"/>
    <w:rsid w:val="003C6521"/>
    <w:rsid w:val="003E1079"/>
    <w:rsid w:val="003E3D8F"/>
    <w:rsid w:val="003F3113"/>
    <w:rsid w:val="004118FA"/>
    <w:rsid w:val="00425045"/>
    <w:rsid w:val="00431E8D"/>
    <w:rsid w:val="004329D0"/>
    <w:rsid w:val="0044202C"/>
    <w:rsid w:val="00451985"/>
    <w:rsid w:val="00455C18"/>
    <w:rsid w:val="00456CFF"/>
    <w:rsid w:val="004610DB"/>
    <w:rsid w:val="00470E19"/>
    <w:rsid w:val="004722B2"/>
    <w:rsid w:val="004A0952"/>
    <w:rsid w:val="004E5AF0"/>
    <w:rsid w:val="004E6CE4"/>
    <w:rsid w:val="004F34D1"/>
    <w:rsid w:val="004F36BC"/>
    <w:rsid w:val="0050076C"/>
    <w:rsid w:val="00504DC1"/>
    <w:rsid w:val="00506C15"/>
    <w:rsid w:val="00511AE7"/>
    <w:rsid w:val="00514B84"/>
    <w:rsid w:val="005324B7"/>
    <w:rsid w:val="005354A9"/>
    <w:rsid w:val="00542F1C"/>
    <w:rsid w:val="00546076"/>
    <w:rsid w:val="00547ACE"/>
    <w:rsid w:val="005507B0"/>
    <w:rsid w:val="00554A21"/>
    <w:rsid w:val="00556E0A"/>
    <w:rsid w:val="00557370"/>
    <w:rsid w:val="00563F2E"/>
    <w:rsid w:val="00573064"/>
    <w:rsid w:val="005823D4"/>
    <w:rsid w:val="00596170"/>
    <w:rsid w:val="005A5C85"/>
    <w:rsid w:val="005B076D"/>
    <w:rsid w:val="005B35E2"/>
    <w:rsid w:val="005B5914"/>
    <w:rsid w:val="005C5021"/>
    <w:rsid w:val="005C5D34"/>
    <w:rsid w:val="005D2DA4"/>
    <w:rsid w:val="005D5229"/>
    <w:rsid w:val="005D6602"/>
    <w:rsid w:val="005D684A"/>
    <w:rsid w:val="0060589A"/>
    <w:rsid w:val="00607E9D"/>
    <w:rsid w:val="00622CB5"/>
    <w:rsid w:val="00647F7C"/>
    <w:rsid w:val="00657639"/>
    <w:rsid w:val="00662771"/>
    <w:rsid w:val="00674642"/>
    <w:rsid w:val="00692BEF"/>
    <w:rsid w:val="0069398D"/>
    <w:rsid w:val="006A6390"/>
    <w:rsid w:val="006B1C7B"/>
    <w:rsid w:val="006D1A0B"/>
    <w:rsid w:val="006D6CC1"/>
    <w:rsid w:val="006E2021"/>
    <w:rsid w:val="006E7397"/>
    <w:rsid w:val="006E78B2"/>
    <w:rsid w:val="00702EAC"/>
    <w:rsid w:val="00707776"/>
    <w:rsid w:val="00711062"/>
    <w:rsid w:val="00716BCA"/>
    <w:rsid w:val="00720371"/>
    <w:rsid w:val="00727151"/>
    <w:rsid w:val="00733A5C"/>
    <w:rsid w:val="00735EF3"/>
    <w:rsid w:val="00755746"/>
    <w:rsid w:val="00763133"/>
    <w:rsid w:val="007644F5"/>
    <w:rsid w:val="00767686"/>
    <w:rsid w:val="00780D2A"/>
    <w:rsid w:val="007851DB"/>
    <w:rsid w:val="00785DC0"/>
    <w:rsid w:val="00795BD8"/>
    <w:rsid w:val="00797752"/>
    <w:rsid w:val="007A2F5A"/>
    <w:rsid w:val="007C4943"/>
    <w:rsid w:val="007E2D72"/>
    <w:rsid w:val="007E699C"/>
    <w:rsid w:val="007F0E16"/>
    <w:rsid w:val="007F786B"/>
    <w:rsid w:val="0084533B"/>
    <w:rsid w:val="008526F4"/>
    <w:rsid w:val="008563C8"/>
    <w:rsid w:val="0087145E"/>
    <w:rsid w:val="00873EB6"/>
    <w:rsid w:val="008A2152"/>
    <w:rsid w:val="008B0637"/>
    <w:rsid w:val="008C2237"/>
    <w:rsid w:val="008E053B"/>
    <w:rsid w:val="008F197C"/>
    <w:rsid w:val="008F6D18"/>
    <w:rsid w:val="009126F1"/>
    <w:rsid w:val="00920A34"/>
    <w:rsid w:val="00922E30"/>
    <w:rsid w:val="00932FB8"/>
    <w:rsid w:val="00945135"/>
    <w:rsid w:val="009845E7"/>
    <w:rsid w:val="00993F5D"/>
    <w:rsid w:val="0099547B"/>
    <w:rsid w:val="009A051C"/>
    <w:rsid w:val="009A68D8"/>
    <w:rsid w:val="009C5463"/>
    <w:rsid w:val="009D5A32"/>
    <w:rsid w:val="009F09BC"/>
    <w:rsid w:val="009F0F5D"/>
    <w:rsid w:val="00A03D1D"/>
    <w:rsid w:val="00A23E82"/>
    <w:rsid w:val="00A307A0"/>
    <w:rsid w:val="00A3681D"/>
    <w:rsid w:val="00A52ADB"/>
    <w:rsid w:val="00A63BD3"/>
    <w:rsid w:val="00A64267"/>
    <w:rsid w:val="00A81426"/>
    <w:rsid w:val="00A82A24"/>
    <w:rsid w:val="00A82D44"/>
    <w:rsid w:val="00A879CD"/>
    <w:rsid w:val="00A91EDB"/>
    <w:rsid w:val="00A91F5B"/>
    <w:rsid w:val="00AA2C54"/>
    <w:rsid w:val="00AB09F8"/>
    <w:rsid w:val="00AD316E"/>
    <w:rsid w:val="00B23CF9"/>
    <w:rsid w:val="00B32465"/>
    <w:rsid w:val="00B32908"/>
    <w:rsid w:val="00B3303E"/>
    <w:rsid w:val="00B51C61"/>
    <w:rsid w:val="00B52D2A"/>
    <w:rsid w:val="00B959E1"/>
    <w:rsid w:val="00BB05A3"/>
    <w:rsid w:val="00BC3A1C"/>
    <w:rsid w:val="00BF3FB5"/>
    <w:rsid w:val="00C06EDE"/>
    <w:rsid w:val="00C14F2A"/>
    <w:rsid w:val="00C33782"/>
    <w:rsid w:val="00C52B90"/>
    <w:rsid w:val="00C65872"/>
    <w:rsid w:val="00C85E64"/>
    <w:rsid w:val="00C87396"/>
    <w:rsid w:val="00C90814"/>
    <w:rsid w:val="00C91F0F"/>
    <w:rsid w:val="00C9782D"/>
    <w:rsid w:val="00CA6E41"/>
    <w:rsid w:val="00CA7981"/>
    <w:rsid w:val="00CB5D7A"/>
    <w:rsid w:val="00CC3D7D"/>
    <w:rsid w:val="00CE7DF0"/>
    <w:rsid w:val="00CF1D3C"/>
    <w:rsid w:val="00D00068"/>
    <w:rsid w:val="00D021A5"/>
    <w:rsid w:val="00D04644"/>
    <w:rsid w:val="00D10C88"/>
    <w:rsid w:val="00D10DB1"/>
    <w:rsid w:val="00D161B1"/>
    <w:rsid w:val="00D204DB"/>
    <w:rsid w:val="00D27674"/>
    <w:rsid w:val="00D377BC"/>
    <w:rsid w:val="00D43A76"/>
    <w:rsid w:val="00D45F88"/>
    <w:rsid w:val="00D466F7"/>
    <w:rsid w:val="00D47231"/>
    <w:rsid w:val="00D64C86"/>
    <w:rsid w:val="00D722DF"/>
    <w:rsid w:val="00D74DD1"/>
    <w:rsid w:val="00D81329"/>
    <w:rsid w:val="00D81E05"/>
    <w:rsid w:val="00D85062"/>
    <w:rsid w:val="00DA29E4"/>
    <w:rsid w:val="00DA6D37"/>
    <w:rsid w:val="00DB2D0A"/>
    <w:rsid w:val="00DB672B"/>
    <w:rsid w:val="00DC0C2A"/>
    <w:rsid w:val="00DD5A5A"/>
    <w:rsid w:val="00DF2E1E"/>
    <w:rsid w:val="00DF493A"/>
    <w:rsid w:val="00DF515A"/>
    <w:rsid w:val="00E034A7"/>
    <w:rsid w:val="00E118BA"/>
    <w:rsid w:val="00E12D42"/>
    <w:rsid w:val="00E15DD6"/>
    <w:rsid w:val="00E17429"/>
    <w:rsid w:val="00E20807"/>
    <w:rsid w:val="00E23813"/>
    <w:rsid w:val="00E32E51"/>
    <w:rsid w:val="00E40AFE"/>
    <w:rsid w:val="00E548D5"/>
    <w:rsid w:val="00E56172"/>
    <w:rsid w:val="00E5636B"/>
    <w:rsid w:val="00E61DA9"/>
    <w:rsid w:val="00E65734"/>
    <w:rsid w:val="00E85212"/>
    <w:rsid w:val="00E928D1"/>
    <w:rsid w:val="00E92E04"/>
    <w:rsid w:val="00E9643B"/>
    <w:rsid w:val="00EB2D33"/>
    <w:rsid w:val="00ED1D6B"/>
    <w:rsid w:val="00ED4B79"/>
    <w:rsid w:val="00F054D3"/>
    <w:rsid w:val="00F1030F"/>
    <w:rsid w:val="00F20E44"/>
    <w:rsid w:val="00F22511"/>
    <w:rsid w:val="00F24A04"/>
    <w:rsid w:val="00F33074"/>
    <w:rsid w:val="00F35AB9"/>
    <w:rsid w:val="00F35B0C"/>
    <w:rsid w:val="00F41A0F"/>
    <w:rsid w:val="00F42ADB"/>
    <w:rsid w:val="00F7031D"/>
    <w:rsid w:val="00F7371C"/>
    <w:rsid w:val="00F86570"/>
    <w:rsid w:val="00FD5176"/>
    <w:rsid w:val="00FE3FBE"/>
    <w:rsid w:val="00FE6761"/>
    <w:rsid w:val="00FF3F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B7751"/>
    <w:rPr>
      <w:vertAlign w:val="superscript"/>
    </w:rPr>
  </w:style>
  <w:style w:type="character" w:customStyle="1" w:styleId="apple-converted-space">
    <w:name w:val="apple-converted-space"/>
    <w:basedOn w:val="Fuentedeprrafopredeter"/>
    <w:qFormat/>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FE3FBE"/>
    <w:pPr>
      <w:tabs>
        <w:tab w:val="right" w:leader="dot" w:pos="9062"/>
      </w:tabs>
      <w:spacing w:after="100" w:line="360" w:lineRule="auto"/>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3"/>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il">
    <w:name w:val="il"/>
    <w:basedOn w:val="Fuentedeprrafopredeter"/>
    <w:rsid w:val="00376B2A"/>
  </w:style>
  <w:style w:type="table" w:customStyle="1" w:styleId="Tablaconcuadrcula27">
    <w:name w:val="Tabla con cuadrícula27"/>
    <w:basedOn w:val="Tablanormal"/>
    <w:next w:val="Tablaconcuadrcula"/>
    <w:uiPriority w:val="39"/>
    <w:rsid w:val="001E3F7A"/>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dle.rae.es/?id=FdI00O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D3A1D2-8FD5-431D-B6E7-14BA90DCF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72</Pages>
  <Words>12074</Words>
  <Characters>66409</Characters>
  <Application>Microsoft Office Word</Application>
  <DocSecurity>0</DocSecurity>
  <Lines>553</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9</cp:revision>
  <cp:lastPrinted>2021-10-14T14:31:00Z</cp:lastPrinted>
  <dcterms:created xsi:type="dcterms:W3CDTF">2022-09-22T18:59:00Z</dcterms:created>
  <dcterms:modified xsi:type="dcterms:W3CDTF">2022-10-14T18:55:00Z</dcterms:modified>
</cp:coreProperties>
</file>