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3D6D"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1732C9">
        <w:rPr>
          <w:rFonts w:ascii="Palatino Linotype" w:hAnsi="Palatino Linotype" w:cs="Tahoma"/>
          <w:bCs/>
          <w:sz w:val="22"/>
          <w:szCs w:val="22"/>
        </w:rPr>
        <w:t>veintisiete</w:t>
      </w:r>
      <w:r w:rsidR="00C33886">
        <w:rPr>
          <w:rFonts w:ascii="Palatino Linotype" w:hAnsi="Palatino Linotype" w:cs="Tahoma"/>
          <w:bCs/>
          <w:sz w:val="22"/>
          <w:szCs w:val="22"/>
        </w:rPr>
        <w:t xml:space="preserv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6DF64A59" w14:textId="77777777" w:rsidR="00E35DF9" w:rsidRPr="00C33886" w:rsidRDefault="00E35DF9" w:rsidP="00147516">
      <w:pPr>
        <w:spacing w:line="360" w:lineRule="auto"/>
        <w:contextualSpacing/>
        <w:rPr>
          <w:rFonts w:ascii="Palatino Linotype" w:hAnsi="Palatino Linotype" w:cs="Tahoma"/>
          <w:bCs/>
          <w:sz w:val="22"/>
          <w:szCs w:val="22"/>
        </w:rPr>
      </w:pPr>
    </w:p>
    <w:p w14:paraId="1C8F2AAD" w14:textId="7777777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8E075B">
        <w:rPr>
          <w:rFonts w:ascii="Palatino Linotype" w:hAnsi="Palatino Linotype" w:cs="Tahoma"/>
          <w:b/>
          <w:bCs/>
          <w:color w:val="0D0D0D" w:themeColor="text1" w:themeTint="F2"/>
          <w:sz w:val="22"/>
          <w:szCs w:val="22"/>
        </w:rPr>
        <w:t>02061</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5142AA">
        <w:rPr>
          <w:rFonts w:ascii="Palatino Linotype" w:hAnsi="Palatino Linotype" w:cs="Tahoma"/>
          <w:bCs/>
          <w:color w:val="0D0D0D" w:themeColor="text1" w:themeTint="F2"/>
          <w:sz w:val="22"/>
          <w:szCs w:val="22"/>
        </w:rPr>
        <w:t xml:space="preserve">un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5142AA">
        <w:rPr>
          <w:rFonts w:ascii="Palatino Linotype" w:eastAsia="Calibri" w:hAnsi="Palatino Linotype" w:cs="Tahoma"/>
          <w:b/>
          <w:bCs/>
          <w:sz w:val="22"/>
          <w:szCs w:val="22"/>
          <w:lang w:eastAsia="en-US"/>
        </w:rPr>
        <w:t>Ayuntamiento de Metepec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3B64E984"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295F4F69"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48763C8C"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7AFD92AF"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6CF13CE1"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7DB986EF"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5142AA">
        <w:rPr>
          <w:rFonts w:ascii="Palatino Linotype" w:hAnsi="Palatino Linotype" w:cs="Tahoma"/>
          <w:sz w:val="22"/>
          <w:szCs w:val="22"/>
        </w:rPr>
        <w:t>diez</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5142AA">
        <w:rPr>
          <w:rFonts w:ascii="Palatino Linotype" w:hAnsi="Palatino Linotype" w:cs="Tahoma"/>
          <w:b/>
          <w:bCs/>
          <w:sz w:val="22"/>
          <w:szCs w:val="22"/>
        </w:rPr>
        <w:t>Ayuntamiento de Metepec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5142AA" w:rsidRPr="005142AA">
        <w:rPr>
          <w:rFonts w:ascii="Palatino Linotype" w:hAnsi="Palatino Linotype" w:cs="Tahoma"/>
          <w:b/>
          <w:bCs/>
          <w:sz w:val="22"/>
          <w:szCs w:val="22"/>
        </w:rPr>
        <w:t>00594/METEPEC/IP/2022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517A8120"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63B87DAB"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37B9E92E" w14:textId="77777777"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5142AA" w:rsidRPr="005142AA">
        <w:rPr>
          <w:rFonts w:ascii="Palatino Linotype" w:hAnsi="Palatino Linotype"/>
          <w:i/>
          <w:iCs/>
          <w:color w:val="000000"/>
          <w:sz w:val="20"/>
          <w:szCs w:val="20"/>
        </w:rPr>
        <w:t xml:space="preserve">El Presidente anunció que le molestaba que su esposa se enfocara tanto a la Presidencia del DIF, pues es Directora de Finanzas del grupo de empresas de Fernando Gustavo Flores Fernández. Por ello se requiere conocer si no existe un posible conflicto de interés, para lo cual se requiere conocer si ambas personas mencionadas ya realizaron su declaración patrimonial y de intereses. Asi mismo, se requiere conocer todas las empresas que tengan relación jurídica con el Ayuntamiento por cualquier motivo. https://www.facebook.com/FernandoFloresMetepec/videos/1207600263099190 </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72335E4D"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7B5B2F3"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509EDB3C" w14:textId="77777777" w:rsidR="00A01EB6" w:rsidRDefault="007E4927" w:rsidP="0036736E">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794D6728" w14:textId="77777777" w:rsidR="0036736E" w:rsidRPr="00A650C6" w:rsidRDefault="0036736E" w:rsidP="0036736E">
      <w:pPr>
        <w:pStyle w:val="Prrafodelista"/>
        <w:tabs>
          <w:tab w:val="left" w:pos="567"/>
        </w:tabs>
        <w:spacing w:line="360" w:lineRule="auto"/>
        <w:ind w:left="567" w:right="539"/>
        <w:jc w:val="both"/>
        <w:rPr>
          <w:rFonts w:ascii="Palatino Linotype" w:hAnsi="Palatino Linotype" w:cs="Tahoma"/>
          <w:b/>
          <w:sz w:val="20"/>
          <w:szCs w:val="20"/>
        </w:rPr>
      </w:pPr>
    </w:p>
    <w:p w14:paraId="297B6BFC" w14:textId="77777777"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7EEA5F29"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0051A614" w14:textId="77777777" w:rsidR="00E44B7D"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5142AA">
        <w:rPr>
          <w:rFonts w:ascii="Palatino Linotype" w:hAnsi="Palatino Linotype" w:cs="Tahoma"/>
          <w:sz w:val="22"/>
          <w:szCs w:val="22"/>
        </w:rPr>
        <w:t>nueve</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5142AA">
        <w:rPr>
          <w:rFonts w:ascii="Palatino Linotype" w:hAnsi="Palatino Linotype" w:cs="Tahoma"/>
          <w:sz w:val="22"/>
          <w:szCs w:val="22"/>
        </w:rPr>
        <w:t>e</w:t>
      </w:r>
      <w:r w:rsidR="00477AD3">
        <w:rPr>
          <w:rFonts w:ascii="Palatino Linotype" w:hAnsi="Palatino Linotype" w:cs="Tahoma"/>
          <w:sz w:val="22"/>
          <w:szCs w:val="22"/>
        </w:rPr>
        <w:t>l</w:t>
      </w:r>
      <w:r w:rsidR="005142AA">
        <w:rPr>
          <w:rFonts w:ascii="Palatino Linotype" w:hAnsi="Palatino Linotype" w:cs="Tahoma"/>
          <w:sz w:val="22"/>
          <w:szCs w:val="22"/>
        </w:rPr>
        <w:t xml:space="preserve"> archivo denominado </w:t>
      </w:r>
      <w:r w:rsidR="00E44B7D" w:rsidRPr="00E44B7D">
        <w:rPr>
          <w:rFonts w:ascii="Palatino Linotype" w:hAnsi="Palatino Linotype" w:cs="Tahoma"/>
          <w:i/>
          <w:sz w:val="22"/>
          <w:szCs w:val="22"/>
        </w:rPr>
        <w:t>Metepec.pdf</w:t>
      </w:r>
      <w:r w:rsidR="00E44B7D">
        <w:rPr>
          <w:rFonts w:ascii="Palatino Linotype" w:hAnsi="Palatino Linotype" w:cs="Tahoma"/>
          <w:i/>
          <w:sz w:val="22"/>
          <w:szCs w:val="22"/>
        </w:rPr>
        <w:t xml:space="preserve">, </w:t>
      </w:r>
      <w:r w:rsidR="00E44B7D">
        <w:rPr>
          <w:rFonts w:ascii="Palatino Linotype" w:hAnsi="Palatino Linotype" w:cs="Tahoma"/>
          <w:sz w:val="22"/>
          <w:szCs w:val="22"/>
        </w:rPr>
        <w:t>el cual consiste en un oficio suscrito por el Titular de la Unidad de Transparencia, por medio del cual informó que la solicitud del Particular no encuadraba en el derecho de acceso a la información, al considerar que se trataba de manifestaciones subjetivas.</w:t>
      </w:r>
    </w:p>
    <w:p w14:paraId="575CFC3F" w14:textId="77777777" w:rsidR="00E44B7D" w:rsidRPr="00E44B7D" w:rsidRDefault="00E44B7D"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2545D275"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02A7A501"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7471CA50"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C33886">
        <w:rPr>
          <w:rFonts w:ascii="Palatino Linotype" w:hAnsi="Palatino Linotype" w:cs="Tahoma"/>
          <w:sz w:val="22"/>
          <w:szCs w:val="22"/>
        </w:rPr>
        <w:t>veinticuatro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4C6B4CAF"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4B69BC73"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326F70AE"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E44B7D" w:rsidRPr="00E44B7D">
        <w:rPr>
          <w:rFonts w:ascii="Palatino Linotype" w:hAnsi="Palatino Linotype" w:cs="Tahoma"/>
          <w:bCs/>
          <w:i/>
          <w:szCs w:val="22"/>
        </w:rPr>
        <w:t>La respuesta proporcionada por el Sujeto Obligado.</w:t>
      </w:r>
      <w:r w:rsidR="00E55401">
        <w:rPr>
          <w:rFonts w:ascii="Palatino Linotype" w:hAnsi="Palatino Linotype" w:cs="Tahoma"/>
          <w:bCs/>
          <w:i/>
          <w:szCs w:val="22"/>
        </w:rPr>
        <w:t>"</w:t>
      </w:r>
    </w:p>
    <w:p w14:paraId="78428213"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2A84FBF4"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4AC28C97"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E44B7D" w:rsidRPr="00E44B7D">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w:t>
      </w:r>
      <w:r w:rsidR="00E44B7D" w:rsidRPr="00E44B7D">
        <w:rPr>
          <w:rFonts w:ascii="Palatino Linotype" w:hAnsi="Palatino Linotype" w:cs="Tahoma"/>
          <w:i/>
          <w:iCs/>
        </w:rPr>
        <w:lastRenderedPageBreak/>
        <w:t>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24986B9A" w14:textId="77777777" w:rsidR="007E4927" w:rsidRDefault="007E4927" w:rsidP="00147516">
      <w:pPr>
        <w:spacing w:line="360" w:lineRule="auto"/>
        <w:contextualSpacing/>
        <w:jc w:val="both"/>
        <w:rPr>
          <w:rFonts w:ascii="Palatino Linotype" w:hAnsi="Palatino Linotype" w:cs="Tahoma"/>
          <w:b/>
          <w:sz w:val="22"/>
          <w:szCs w:val="22"/>
        </w:rPr>
      </w:pPr>
    </w:p>
    <w:p w14:paraId="0664B842"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60FD7020"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75C365A5"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lastRenderedPageBreak/>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E44B7D">
        <w:rPr>
          <w:rFonts w:ascii="Palatino Linotype" w:eastAsia="Batang" w:hAnsi="Palatino Linotype" w:cs="Tahoma"/>
          <w:bCs/>
          <w:sz w:val="22"/>
          <w:szCs w:val="22"/>
        </w:rPr>
        <w:t>veintiocho</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E44B7D">
        <w:rPr>
          <w:rFonts w:ascii="Palatino Linotype" w:eastAsia="Batang" w:hAnsi="Palatino Linotype" w:cs="Tahoma"/>
          <w:b/>
          <w:bCs/>
          <w:sz w:val="22"/>
          <w:szCs w:val="22"/>
        </w:rPr>
        <w:t>02061</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41F6BF7"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247DDAD8" w14:textId="77777777" w:rsidR="00E44B7D" w:rsidRDefault="009A7587" w:rsidP="00147516">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E44B7D">
        <w:rPr>
          <w:rFonts w:ascii="Palatino Linotype" w:hAnsi="Palatino Linotype" w:cs="Tahoma"/>
          <w:bCs/>
          <w:sz w:val="22"/>
          <w:szCs w:val="22"/>
        </w:rPr>
        <w:t>siete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0B414A77" w14:textId="77777777" w:rsidR="00E44B7D" w:rsidRPr="00E44B7D" w:rsidRDefault="00E44B7D" w:rsidP="00147516">
      <w:pPr>
        <w:spacing w:line="360" w:lineRule="auto"/>
        <w:contextualSpacing/>
        <w:jc w:val="both"/>
        <w:rPr>
          <w:rFonts w:ascii="Palatino Linotype" w:hAnsi="Palatino Linotype" w:cs="Tahoma"/>
          <w:bCs/>
          <w:sz w:val="22"/>
          <w:szCs w:val="22"/>
          <w:lang w:val="es-ES_tradnl"/>
        </w:rPr>
      </w:pPr>
    </w:p>
    <w:p w14:paraId="62D28155" w14:textId="77777777" w:rsidR="00E44B7D" w:rsidRDefault="00E44B7D" w:rsidP="00E44B7D">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w:t>
      </w:r>
      <w:r w:rsidR="00E60A69">
        <w:rPr>
          <w:rFonts w:ascii="Palatino Linotype" w:eastAsia="Batang" w:hAnsi="Palatino Linotype" w:cs="Tahoma"/>
          <w:bCs/>
          <w:sz w:val="22"/>
          <w:szCs w:val="22"/>
          <w:lang w:val="es-ES_tradnl"/>
        </w:rPr>
        <w:t xml:space="preserve">diecinueve de abril </w:t>
      </w:r>
      <w:r>
        <w:rPr>
          <w:rFonts w:ascii="Palatino Linotype" w:eastAsia="Batang" w:hAnsi="Palatino Linotype" w:cs="Tahoma"/>
          <w:bCs/>
          <w:sz w:val="22"/>
          <w:szCs w:val="22"/>
          <w:lang w:val="es-ES_tradnl"/>
        </w:rPr>
        <w:t xml:space="preserve">de dos mil veintidós, a través del Sistema de Acceso a la Información Mexiquense (SAIMEX), se recibió en este Instituto el informe justificado por parte del Sujeto Obligado en el cual </w:t>
      </w:r>
      <w:r w:rsidR="00E60A69">
        <w:rPr>
          <w:rFonts w:ascii="Palatino Linotype" w:eastAsia="Batang" w:hAnsi="Palatino Linotype" w:cs="Tahoma"/>
          <w:bCs/>
          <w:sz w:val="22"/>
          <w:szCs w:val="22"/>
          <w:lang w:val="es-ES_tradnl"/>
        </w:rPr>
        <w:t>manifestó lo siguiente</w:t>
      </w:r>
      <w:r>
        <w:rPr>
          <w:rFonts w:ascii="Palatino Linotype" w:eastAsia="Batang" w:hAnsi="Palatino Linotype" w:cs="Tahoma"/>
          <w:bCs/>
          <w:sz w:val="22"/>
          <w:szCs w:val="22"/>
          <w:lang w:val="es-ES_tradnl"/>
        </w:rPr>
        <w:t>:</w:t>
      </w:r>
    </w:p>
    <w:p w14:paraId="40B88C5F" w14:textId="77777777" w:rsidR="00E44B7D" w:rsidRDefault="00E44B7D" w:rsidP="00E44B7D">
      <w:pPr>
        <w:spacing w:line="360" w:lineRule="auto"/>
        <w:jc w:val="both"/>
        <w:rPr>
          <w:rFonts w:ascii="Palatino Linotype" w:eastAsia="Batang" w:hAnsi="Palatino Linotype" w:cs="Tahoma"/>
          <w:bCs/>
          <w:sz w:val="22"/>
          <w:szCs w:val="22"/>
          <w:lang w:val="es-ES_tradnl"/>
        </w:rPr>
      </w:pPr>
    </w:p>
    <w:p w14:paraId="02EDE0F9" w14:textId="77777777" w:rsidR="00E44B7D" w:rsidRDefault="00E44B7D" w:rsidP="00E44B7D">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7ADC565E" w14:textId="77777777" w:rsidR="00E60A69" w:rsidRPr="00E60A69" w:rsidRDefault="00E60A69" w:rsidP="00E60A69">
      <w:pPr>
        <w:spacing w:line="360" w:lineRule="auto"/>
        <w:ind w:left="567" w:right="539"/>
        <w:jc w:val="both"/>
        <w:rPr>
          <w:rFonts w:ascii="Palatino Linotype" w:eastAsia="Batang" w:hAnsi="Palatino Linotype" w:cs="Tahoma"/>
          <w:bCs/>
          <w:i/>
          <w:szCs w:val="22"/>
          <w:lang w:val="es-ES_tradnl"/>
        </w:rPr>
      </w:pPr>
      <w:r w:rsidRPr="00E60A69">
        <w:rPr>
          <w:rFonts w:ascii="Palatino Linotype" w:eastAsia="Batang" w:hAnsi="Palatino Linotype" w:cs="Tahoma"/>
          <w:b/>
          <w:bCs/>
          <w:i/>
          <w:szCs w:val="22"/>
          <w:u w:val="single"/>
          <w:lang w:val="es-ES_tradnl"/>
        </w:rPr>
        <w:t>El solicitante no funda ni motiva su acto de inconformidad</w:t>
      </w:r>
      <w:r w:rsidRPr="00E60A69">
        <w:rPr>
          <w:rFonts w:ascii="Palatino Linotype" w:eastAsia="Batang" w:hAnsi="Palatino Linotype" w:cs="Tahoma"/>
          <w:bCs/>
          <w:i/>
          <w:szCs w:val="22"/>
          <w:lang w:val="es-ES_tradnl"/>
        </w:rPr>
        <w:t xml:space="preserve"> respecto de la supuesta</w:t>
      </w:r>
      <w:r>
        <w:rPr>
          <w:rFonts w:ascii="Palatino Linotype" w:eastAsia="Batang" w:hAnsi="Palatino Linotype" w:cs="Tahoma"/>
          <w:bCs/>
          <w:i/>
          <w:szCs w:val="22"/>
          <w:lang w:val="es-ES_tradnl"/>
        </w:rPr>
        <w:t xml:space="preserve"> </w:t>
      </w:r>
      <w:r w:rsidRPr="00E60A69">
        <w:rPr>
          <w:rFonts w:ascii="Palatino Linotype" w:eastAsia="Batang" w:hAnsi="Palatino Linotype" w:cs="Tahoma"/>
          <w:bCs/>
          <w:i/>
          <w:szCs w:val="22"/>
          <w:lang w:val="es-ES_tradnl"/>
        </w:rPr>
        <w:t>afectación a sus derechos de acceso a la información.</w:t>
      </w:r>
    </w:p>
    <w:p w14:paraId="71EA50E7" w14:textId="77777777" w:rsidR="00E60A69" w:rsidRDefault="00E60A69" w:rsidP="00E60A69">
      <w:pPr>
        <w:spacing w:line="360" w:lineRule="auto"/>
        <w:ind w:left="567" w:right="539"/>
        <w:jc w:val="both"/>
        <w:rPr>
          <w:rFonts w:ascii="Palatino Linotype" w:eastAsia="Batang" w:hAnsi="Palatino Linotype" w:cs="Tahoma"/>
          <w:bCs/>
          <w:i/>
          <w:szCs w:val="22"/>
          <w:lang w:val="es-ES_tradnl"/>
        </w:rPr>
      </w:pPr>
    </w:p>
    <w:p w14:paraId="452EAF52" w14:textId="77777777" w:rsidR="00E60A69" w:rsidRDefault="00E60A69" w:rsidP="00E60A69">
      <w:pPr>
        <w:spacing w:line="360" w:lineRule="auto"/>
        <w:ind w:left="567" w:right="539"/>
        <w:jc w:val="both"/>
        <w:rPr>
          <w:rFonts w:ascii="Palatino Linotype" w:eastAsia="Batang" w:hAnsi="Palatino Linotype" w:cs="Tahoma"/>
          <w:bCs/>
          <w:i/>
          <w:szCs w:val="22"/>
        </w:rPr>
      </w:pPr>
      <w:r w:rsidRPr="00E60A69">
        <w:rPr>
          <w:rFonts w:ascii="Palatino Linotype" w:eastAsia="Batang" w:hAnsi="Palatino Linotype" w:cs="Tahoma"/>
          <w:bCs/>
          <w:i/>
          <w:szCs w:val="22"/>
          <w:lang w:val="es-ES_tradnl"/>
        </w:rPr>
        <w:t>Que si bien es cierto, dentro de sus motivos de inconformidad hace un relato sin</w:t>
      </w:r>
      <w:r>
        <w:rPr>
          <w:rFonts w:ascii="Palatino Linotype" w:eastAsia="Batang" w:hAnsi="Palatino Linotype" w:cs="Tahoma"/>
          <w:bCs/>
          <w:i/>
          <w:szCs w:val="22"/>
          <w:lang w:val="es-ES_tradnl"/>
        </w:rPr>
        <w:t xml:space="preserve"> </w:t>
      </w:r>
      <w:r w:rsidRPr="00E60A69">
        <w:rPr>
          <w:rFonts w:ascii="Palatino Linotype" w:eastAsia="Batang" w:hAnsi="Palatino Linotype" w:cs="Tahoma"/>
          <w:bCs/>
          <w:i/>
          <w:szCs w:val="22"/>
          <w:lang w:val="es-ES_tradnl"/>
        </w:rPr>
        <w:t xml:space="preserve">que ello implique la exposición de una razón de lo que adolece, dañando y </w:t>
      </w:r>
      <w:r w:rsidRPr="00E60A69">
        <w:rPr>
          <w:rFonts w:ascii="Palatino Linotype" w:eastAsia="Batang" w:hAnsi="Palatino Linotype" w:cs="Tahoma"/>
          <w:bCs/>
          <w:i/>
          <w:szCs w:val="22"/>
        </w:rPr>
        <w:t>entorpeciendo los mecanismos de acceso a la información pública y causando un estado de indefensión a este Sujeto obligado, pues si bien se ha entregado la información en tiempo y forma a la solicitud y a la información solicitada, este sujeto obligado no puede entregar inform</w:t>
      </w:r>
      <w:r>
        <w:rPr>
          <w:rFonts w:ascii="Palatino Linotype" w:eastAsia="Batang" w:hAnsi="Palatino Linotype" w:cs="Tahoma"/>
          <w:bCs/>
          <w:i/>
          <w:szCs w:val="22"/>
        </w:rPr>
        <w:t>ación que no le sea solicitada.</w:t>
      </w:r>
    </w:p>
    <w:p w14:paraId="2B08AAF1" w14:textId="77777777" w:rsidR="00E60A69" w:rsidRDefault="00E60A69" w:rsidP="00E60A69">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lastRenderedPageBreak/>
        <w:t>…</w:t>
      </w:r>
    </w:p>
    <w:p w14:paraId="0692A457" w14:textId="77777777" w:rsidR="00E60A69" w:rsidRDefault="00E60A69" w:rsidP="00E60A69">
      <w:pPr>
        <w:spacing w:line="360" w:lineRule="auto"/>
        <w:ind w:left="567" w:right="539"/>
        <w:jc w:val="both"/>
        <w:rPr>
          <w:rFonts w:ascii="Palatino Linotype" w:eastAsia="Batang" w:hAnsi="Palatino Linotype" w:cs="Tahoma"/>
          <w:bCs/>
          <w:i/>
          <w:szCs w:val="22"/>
        </w:rPr>
      </w:pPr>
      <w:r w:rsidRPr="00E60A69">
        <w:rPr>
          <w:rFonts w:ascii="Palatino Linotype" w:eastAsia="Batang" w:hAnsi="Palatino Linotype" w:cs="Tahoma"/>
          <w:b/>
          <w:bCs/>
          <w:i/>
          <w:szCs w:val="22"/>
        </w:rPr>
        <w:t>SEGUNDO</w:t>
      </w:r>
      <w:r w:rsidRPr="00E60A69">
        <w:rPr>
          <w:rFonts w:ascii="Palatino Linotype" w:eastAsia="Batang" w:hAnsi="Palatino Linotype" w:cs="Tahoma"/>
          <w:bCs/>
          <w:i/>
          <w:szCs w:val="22"/>
        </w:rPr>
        <w:t xml:space="preserve">.- El Ayuntamiento de Metepec, Estado de México, es el </w:t>
      </w:r>
      <w:r w:rsidRPr="00E33737">
        <w:rPr>
          <w:rFonts w:ascii="Palatino Linotype" w:eastAsia="Batang" w:hAnsi="Palatino Linotype" w:cs="Tahoma"/>
          <w:b/>
          <w:bCs/>
          <w:i/>
          <w:szCs w:val="22"/>
        </w:rPr>
        <w:t>segundo</w:t>
      </w:r>
      <w:r w:rsidRPr="00E60A69">
        <w:rPr>
          <w:rFonts w:ascii="Palatino Linotype" w:eastAsia="Batang" w:hAnsi="Palatino Linotype" w:cs="Tahoma"/>
          <w:bCs/>
          <w:i/>
          <w:szCs w:val="22"/>
        </w:rPr>
        <w:t xml:space="preserve"> sujeto obligado con más solicitudes de acceso a la información, con más de 3,152 solicitudes, corte del 1 de enero del 2022 al 8 de abril del 2022, de acuerdo al portal del Instituto de Transparencia, Acceso a la Información Pública y Protección de Datos Personales del Estado de México y Municipios.</w:t>
      </w:r>
    </w:p>
    <w:p w14:paraId="42B74757" w14:textId="77777777" w:rsidR="00E60A69" w:rsidRDefault="00E60A69" w:rsidP="00E60A69">
      <w:pPr>
        <w:spacing w:line="360" w:lineRule="auto"/>
        <w:ind w:left="567" w:right="539"/>
        <w:jc w:val="both"/>
        <w:rPr>
          <w:rFonts w:ascii="Palatino Linotype" w:eastAsia="Batang" w:hAnsi="Palatino Linotype" w:cs="Tahoma"/>
          <w:bCs/>
          <w:i/>
          <w:szCs w:val="22"/>
          <w:lang w:val="es-ES_tradnl"/>
        </w:rPr>
      </w:pPr>
    </w:p>
    <w:p w14:paraId="0C38B51E" w14:textId="77777777" w:rsidR="00E60A69" w:rsidRDefault="00E33737" w:rsidP="00E60A69">
      <w:pPr>
        <w:spacing w:line="360" w:lineRule="auto"/>
        <w:ind w:left="567" w:right="539"/>
        <w:jc w:val="both"/>
        <w:rPr>
          <w:rFonts w:ascii="Palatino Linotype" w:eastAsia="Batang" w:hAnsi="Palatino Linotype" w:cs="Tahoma"/>
          <w:bCs/>
          <w:i/>
          <w:szCs w:val="22"/>
          <w:lang w:val="es-ES_tradnl"/>
        </w:rPr>
      </w:pPr>
      <w:r w:rsidRPr="00E33737">
        <w:rPr>
          <w:rFonts w:ascii="Palatino Linotype" w:eastAsia="Batang" w:hAnsi="Palatino Linotype" w:cs="Tahoma"/>
          <w:b/>
          <w:bCs/>
          <w:i/>
          <w:szCs w:val="22"/>
        </w:rPr>
        <w:t>TERCERO</w:t>
      </w:r>
      <w:r w:rsidRPr="00E33737">
        <w:rPr>
          <w:rFonts w:ascii="Palatino Linotype" w:eastAsia="Batang" w:hAnsi="Palatino Linotype" w:cs="Tahoma"/>
          <w:bCs/>
          <w:i/>
          <w:szCs w:val="22"/>
        </w:rPr>
        <w:t xml:space="preserve">.- El Ayuntamiento de Metepec, Estado de México, es el </w:t>
      </w:r>
      <w:r w:rsidRPr="00E33737">
        <w:rPr>
          <w:rFonts w:ascii="Palatino Linotype" w:eastAsia="Batang" w:hAnsi="Palatino Linotype" w:cs="Tahoma"/>
          <w:b/>
          <w:bCs/>
          <w:i/>
          <w:szCs w:val="22"/>
        </w:rPr>
        <w:t>primer</w:t>
      </w:r>
      <w:r w:rsidRPr="00E33737">
        <w:rPr>
          <w:rFonts w:ascii="Palatino Linotype" w:eastAsia="Batang" w:hAnsi="Palatino Linotype" w:cs="Tahoma"/>
          <w:bCs/>
          <w:i/>
          <w:szCs w:val="22"/>
        </w:rPr>
        <w:t xml:space="preserve"> sujeto obligado con más Recursos de revisión, con más de 1,284 recursos, del 1 de enero del 2022 al 8 de abril del 2022 de acuerdo al portal del Instituto de Transparencia, Acceso a la Información Pública y Protección de Datos Personales del Estado de México y Municipios.</w:t>
      </w:r>
    </w:p>
    <w:p w14:paraId="7688F193" w14:textId="77777777" w:rsidR="00E60A69" w:rsidRDefault="00E60A69" w:rsidP="00E60A69">
      <w:pPr>
        <w:spacing w:line="360" w:lineRule="auto"/>
        <w:ind w:left="567" w:right="539"/>
        <w:jc w:val="both"/>
        <w:rPr>
          <w:rFonts w:ascii="Palatino Linotype" w:eastAsia="Batang" w:hAnsi="Palatino Linotype" w:cs="Tahoma"/>
          <w:bCs/>
          <w:i/>
          <w:szCs w:val="22"/>
          <w:lang w:val="es-ES_tradnl"/>
        </w:rPr>
      </w:pPr>
    </w:p>
    <w:p w14:paraId="7EA87EA6" w14:textId="77777777" w:rsidR="00E60A69" w:rsidRDefault="00E33737" w:rsidP="00E60A69">
      <w:pPr>
        <w:spacing w:line="360" w:lineRule="auto"/>
        <w:ind w:left="567" w:right="539"/>
        <w:jc w:val="both"/>
        <w:rPr>
          <w:rFonts w:ascii="Palatino Linotype" w:eastAsia="Batang" w:hAnsi="Palatino Linotype" w:cs="Tahoma"/>
          <w:bCs/>
          <w:i/>
          <w:szCs w:val="22"/>
          <w:lang w:val="es-ES_tradnl"/>
        </w:rPr>
      </w:pPr>
      <w:r w:rsidRPr="00E33737">
        <w:rPr>
          <w:rFonts w:ascii="Palatino Linotype" w:eastAsia="Batang" w:hAnsi="Palatino Linotype" w:cs="Tahoma"/>
          <w:b/>
          <w:bCs/>
          <w:i/>
          <w:szCs w:val="22"/>
        </w:rPr>
        <w:t>CUARTO</w:t>
      </w:r>
      <w:r w:rsidRPr="00E33737">
        <w:rPr>
          <w:rFonts w:ascii="Palatino Linotype" w:eastAsia="Batang" w:hAnsi="Palatino Linotype" w:cs="Tahoma"/>
          <w:bCs/>
          <w:i/>
          <w:szCs w:val="22"/>
        </w:rPr>
        <w:t>.- El sujeto obligado denominado Ayuntamiento de Metepec 2022-2024, de manera excepcional se encontró en condiciones de dar respuesta a las solicitudes de acceso a la información, aunado al derivado número excesivo de estas, mismas que sobrepasan las capacidades técnicas, administrativas y humanas del sujeto obligado, para cumplir los plazos establecidos por la ley sustantiva en la materia.</w:t>
      </w:r>
    </w:p>
    <w:p w14:paraId="210F9606" w14:textId="77777777" w:rsidR="00E33737" w:rsidRDefault="00E33737"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6DFB376C" w14:textId="77777777" w:rsidR="00E33737" w:rsidRDefault="00E33737" w:rsidP="00E60A69">
      <w:pPr>
        <w:spacing w:line="360" w:lineRule="auto"/>
        <w:ind w:left="567" w:right="539"/>
        <w:jc w:val="both"/>
        <w:rPr>
          <w:rFonts w:ascii="Palatino Linotype" w:eastAsia="Batang" w:hAnsi="Palatino Linotype" w:cs="Tahoma"/>
          <w:bCs/>
          <w:i/>
          <w:szCs w:val="22"/>
        </w:rPr>
      </w:pPr>
      <w:r w:rsidRPr="00E33737">
        <w:rPr>
          <w:rFonts w:ascii="Palatino Linotype" w:eastAsia="Batang" w:hAnsi="Palatino Linotype" w:cs="Tahoma"/>
          <w:b/>
          <w:bCs/>
          <w:i/>
          <w:szCs w:val="22"/>
        </w:rPr>
        <w:t>QUINTO</w:t>
      </w:r>
      <w:r w:rsidRPr="00E33737">
        <w:rPr>
          <w:rFonts w:ascii="Palatino Linotype" w:eastAsia="Batang" w:hAnsi="Palatino Linotype" w:cs="Tahoma"/>
          <w:bCs/>
          <w:i/>
          <w:szCs w:val="22"/>
        </w:rPr>
        <w:t>.- Aunado a lo antes referido, es menester puntualizar que el sujeto obligado dio contestación a la solicitud de acceso a la información en fecha 9 de Febrero del 2022, en la cual se da respuesta a lo requerido por el solicitante. Para lo antes dicho se adjuntan capturas de pantalla del portal SAIMEX, bajo la denominación de “imagen 1” e “imagen 2”.</w:t>
      </w:r>
    </w:p>
    <w:p w14:paraId="598A22DE" w14:textId="77777777" w:rsidR="00E33737" w:rsidRDefault="00E33737"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23688993" w14:textId="77777777" w:rsidR="00E33737" w:rsidRDefault="00E33737" w:rsidP="00E60A69">
      <w:pPr>
        <w:spacing w:line="360" w:lineRule="auto"/>
        <w:ind w:left="567" w:right="539"/>
        <w:jc w:val="both"/>
        <w:rPr>
          <w:rFonts w:ascii="Palatino Linotype" w:eastAsia="Batang" w:hAnsi="Palatino Linotype" w:cs="Tahoma"/>
          <w:bCs/>
          <w:i/>
          <w:szCs w:val="22"/>
          <w:lang w:val="es-ES_tradnl"/>
        </w:rPr>
      </w:pPr>
      <w:r w:rsidRPr="00E33737">
        <w:rPr>
          <w:rFonts w:ascii="Palatino Linotype" w:eastAsia="Batang" w:hAnsi="Palatino Linotype" w:cs="Tahoma"/>
          <w:b/>
          <w:bCs/>
          <w:i/>
          <w:szCs w:val="22"/>
        </w:rPr>
        <w:t>SEXTO</w:t>
      </w:r>
      <w:r w:rsidRPr="00E33737">
        <w:rPr>
          <w:rFonts w:ascii="Palatino Linotype" w:eastAsia="Batang" w:hAnsi="Palatino Linotype" w:cs="Tahoma"/>
          <w:bCs/>
          <w:i/>
          <w:szCs w:val="22"/>
        </w:rPr>
        <w:t>.- Con fundamento en el artículo 192 fracción V, de la Ley de Transparencia y Acceso a la Información Pública del Estado De México y Municipios, que la letra dice:</w:t>
      </w:r>
    </w:p>
    <w:p w14:paraId="7C728798" w14:textId="77777777" w:rsidR="00E33737" w:rsidRDefault="00E44B7D"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50C8BF17" w14:textId="77777777" w:rsidR="00E33737" w:rsidRDefault="00E33737" w:rsidP="00E60A69">
      <w:pPr>
        <w:spacing w:line="360" w:lineRule="auto"/>
        <w:ind w:left="567" w:right="539"/>
        <w:jc w:val="both"/>
        <w:rPr>
          <w:rFonts w:ascii="Palatino Linotype" w:eastAsia="Batang" w:hAnsi="Palatino Linotype" w:cs="Tahoma"/>
          <w:bCs/>
          <w:i/>
          <w:szCs w:val="22"/>
        </w:rPr>
      </w:pPr>
      <w:r w:rsidRPr="00E33737">
        <w:rPr>
          <w:rFonts w:ascii="Palatino Linotype" w:eastAsia="Batang" w:hAnsi="Palatino Linotype" w:cs="Tahoma"/>
          <w:bCs/>
          <w:i/>
          <w:szCs w:val="22"/>
        </w:rPr>
        <w:t>Atento a lo anterior, se tiene que, al haber existido un pronunciamiento por parte del sujeto obligado en el presente Informe Justificado, se concluye que se colma el derecho de acceso a la información del recurrente y, por ende, queda sin materia la inconformidad planteada, por lo que, se considera, que se actualiza la causal de que el recurso sea sobreseído, prevista en el artículo antes expuesto.</w:t>
      </w:r>
    </w:p>
    <w:p w14:paraId="4057AC59" w14:textId="77777777" w:rsidR="00E44B7D" w:rsidRDefault="00E33737"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rPr>
        <w:t>…</w:t>
      </w:r>
      <w:r w:rsidR="00E44B7D">
        <w:rPr>
          <w:rFonts w:ascii="Palatino Linotype" w:eastAsia="Batang" w:hAnsi="Palatino Linotype" w:cs="Tahoma"/>
          <w:bCs/>
          <w:i/>
          <w:szCs w:val="22"/>
          <w:lang w:val="es-ES_tradnl"/>
        </w:rPr>
        <w:t>”</w:t>
      </w:r>
    </w:p>
    <w:p w14:paraId="7E7BA7BF" w14:textId="77777777" w:rsidR="00E44B7D" w:rsidRPr="00A47AF8" w:rsidRDefault="00E44B7D" w:rsidP="00E44B7D">
      <w:pPr>
        <w:spacing w:line="360" w:lineRule="auto"/>
        <w:ind w:left="567" w:right="539"/>
        <w:jc w:val="both"/>
        <w:rPr>
          <w:rFonts w:ascii="Palatino Linotype" w:eastAsia="Batang" w:hAnsi="Palatino Linotype" w:cs="Tahoma"/>
          <w:bCs/>
          <w:i/>
          <w:szCs w:val="22"/>
          <w:lang w:val="es-ES_tradnl"/>
        </w:rPr>
      </w:pPr>
    </w:p>
    <w:p w14:paraId="68DF4D49" w14:textId="77777777" w:rsidR="00E44B7D" w:rsidRDefault="00E44B7D" w:rsidP="00E44B7D">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d</w:t>
      </w:r>
      <w:r w:rsidRPr="00AC4CA4">
        <w:rPr>
          <w:rFonts w:ascii="Palatino Linotype" w:eastAsia="Batang" w:hAnsi="Palatino Linotype" w:cs="Tahoma"/>
          <w:b/>
          <w:bCs/>
          <w:sz w:val="22"/>
          <w:szCs w:val="22"/>
          <w:lang w:val="es-ES_tradnl"/>
        </w:rPr>
        <w:t>)</w:t>
      </w:r>
      <w:r>
        <w:rPr>
          <w:rFonts w:ascii="Palatino Linotype" w:eastAsia="Batang" w:hAnsi="Palatino Linotype" w:cs="Tahoma"/>
          <w:bCs/>
          <w:sz w:val="22"/>
          <w:szCs w:val="22"/>
          <w:lang w:val="es-ES_tradnl"/>
        </w:rPr>
        <w:t xml:space="preserve"> </w:t>
      </w:r>
      <w:r>
        <w:rPr>
          <w:rFonts w:ascii="Palatino Linotype" w:eastAsia="Batang" w:hAnsi="Palatino Linotype" w:cs="Tahoma"/>
          <w:b/>
          <w:bCs/>
          <w:sz w:val="22"/>
          <w:szCs w:val="22"/>
          <w:lang w:val="es-ES_tradnl"/>
        </w:rPr>
        <w:t>Vista del Informe justificado. E</w:t>
      </w:r>
      <w:r>
        <w:rPr>
          <w:rFonts w:ascii="Palatino Linotype" w:eastAsia="Batang" w:hAnsi="Palatino Linotype" w:cs="Tahoma"/>
          <w:bCs/>
          <w:sz w:val="22"/>
          <w:szCs w:val="22"/>
          <w:lang w:val="es-ES_tradnl"/>
        </w:rPr>
        <w:t xml:space="preserve">l </w:t>
      </w:r>
      <w:r w:rsidR="00E60A69">
        <w:rPr>
          <w:rFonts w:ascii="Palatino Linotype" w:eastAsia="Batang" w:hAnsi="Palatino Linotype" w:cs="Tahoma"/>
          <w:bCs/>
          <w:sz w:val="22"/>
          <w:szCs w:val="22"/>
          <w:lang w:val="es-ES_tradnl"/>
        </w:rPr>
        <w:t>diecinueve</w:t>
      </w:r>
      <w:r>
        <w:rPr>
          <w:rFonts w:ascii="Palatino Linotype" w:eastAsia="Batang" w:hAnsi="Palatino Linotype" w:cs="Tahoma"/>
          <w:bCs/>
          <w:sz w:val="22"/>
          <w:szCs w:val="22"/>
          <w:lang w:val="es-ES_tradnl"/>
        </w:rPr>
        <w:t xml:space="preserve"> de abril de dos mil veintidós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59A4CFF2" w14:textId="77777777" w:rsidR="00E44B7D" w:rsidRPr="00E44B7D" w:rsidRDefault="00E44B7D" w:rsidP="003333E6">
      <w:pPr>
        <w:spacing w:line="360" w:lineRule="auto"/>
        <w:jc w:val="both"/>
        <w:rPr>
          <w:rFonts w:ascii="Palatino Linotype" w:eastAsia="Batang" w:hAnsi="Palatino Linotype" w:cs="Tahoma"/>
          <w:bCs/>
          <w:sz w:val="22"/>
          <w:szCs w:val="22"/>
          <w:lang w:val="es-ES_tradnl"/>
        </w:rPr>
      </w:pPr>
    </w:p>
    <w:p w14:paraId="22CA5C5E" w14:textId="77777777" w:rsidR="00ED5DF5" w:rsidRPr="008E3507" w:rsidRDefault="00E33737"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e</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8E075B">
        <w:rPr>
          <w:rFonts w:ascii="Palatino Linotype" w:hAnsi="Palatino Linotype" w:cs="Tahoma"/>
          <w:sz w:val="22"/>
          <w:szCs w:val="22"/>
        </w:rPr>
        <w:t>veinticinco</w:t>
      </w:r>
      <w:r w:rsidR="00C33886">
        <w:rPr>
          <w:rFonts w:ascii="Palatino Linotype" w:hAnsi="Palatino Linotype" w:cs="Tahoma"/>
          <w:sz w:val="22"/>
          <w:szCs w:val="22"/>
        </w:rPr>
        <w:t xml:space="preserve">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84659BD"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4DED8E76"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2D7F26CD"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02004976"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600EF62D"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3907130A"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F722652"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393500C4"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565223">
        <w:rPr>
          <w:rFonts w:ascii="Palatino Linotype" w:eastAsia="Calibri" w:hAnsi="Palatino Linotype" w:cs="Tahoma"/>
          <w:color w:val="000000"/>
          <w:sz w:val="22"/>
          <w:szCs w:val="22"/>
          <w:lang w:eastAsia="es-MX"/>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416B2509"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4678AF33"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1EE604B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4F4AAC"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1F0AE2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56102B"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B72128"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4D7FC5B6"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lastRenderedPageBreak/>
        <w:t>Causales de sobreseimiento.</w:t>
      </w:r>
    </w:p>
    <w:p w14:paraId="39D0AA37"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151EC451"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585E2414"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2E9AE623"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077BA283"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2D162E3E" w14:textId="77777777" w:rsidR="0036736E" w:rsidRDefault="00CE0B4C" w:rsidP="00024A48">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5142AA">
        <w:rPr>
          <w:rFonts w:ascii="Palatino Linotype" w:eastAsia="Calibri" w:hAnsi="Palatino Linotype" w:cs="Tahoma"/>
          <w:iCs/>
          <w:sz w:val="22"/>
          <w:szCs w:val="22"/>
          <w:lang w:val="es-ES" w:eastAsia="es-ES_tradnl"/>
        </w:rPr>
        <w:t>Ayuntamiento de Metepec</w:t>
      </w:r>
      <w:r w:rsidRPr="00986410">
        <w:rPr>
          <w:rFonts w:ascii="Palatino Linotype" w:eastAsia="Calibri" w:hAnsi="Palatino Linotype" w:cs="Tahoma"/>
          <w:iCs/>
          <w:sz w:val="22"/>
          <w:szCs w:val="22"/>
          <w:lang w:val="es-ES" w:eastAsia="es-ES_tradnl"/>
        </w:rPr>
        <w:t>,</w:t>
      </w:r>
      <w:r w:rsidR="0036736E">
        <w:rPr>
          <w:rFonts w:ascii="Palatino Linotype" w:eastAsia="Calibri" w:hAnsi="Palatino Linotype" w:cs="Tahoma"/>
          <w:iCs/>
          <w:sz w:val="22"/>
          <w:szCs w:val="22"/>
          <w:lang w:val="es-ES" w:eastAsia="es-ES_tradnl"/>
        </w:rPr>
        <w:t xml:space="preserve"> la declaración patrimonial y de conflicto de intereses del Presidente Municipal, </w:t>
      </w:r>
      <w:r w:rsidR="0071545A">
        <w:rPr>
          <w:rFonts w:ascii="Palatino Linotype" w:eastAsia="Calibri" w:hAnsi="Palatino Linotype" w:cs="Tahoma"/>
          <w:iCs/>
          <w:sz w:val="22"/>
          <w:szCs w:val="22"/>
          <w:lang w:val="es-ES" w:eastAsia="es-ES_tradnl"/>
        </w:rPr>
        <w:t xml:space="preserve">y </w:t>
      </w:r>
      <w:r w:rsidR="0036736E">
        <w:rPr>
          <w:rFonts w:ascii="Palatino Linotype" w:eastAsia="Calibri" w:hAnsi="Palatino Linotype" w:cs="Tahoma"/>
          <w:iCs/>
          <w:sz w:val="22"/>
          <w:szCs w:val="22"/>
          <w:lang w:val="es-ES" w:eastAsia="es-ES_tradnl"/>
        </w:rPr>
        <w:t>de la Presidente del DIF, así como las empresas que tengan alguna relación jurídica con el Ayuntamiento.</w:t>
      </w:r>
    </w:p>
    <w:p w14:paraId="46F8D245"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52A7816C" w14:textId="77777777"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024A48">
        <w:rPr>
          <w:rFonts w:ascii="Palatino Linotype" w:eastAsia="Calibri" w:hAnsi="Palatino Linotype" w:cs="Tahoma"/>
          <w:iCs/>
          <w:sz w:val="22"/>
          <w:szCs w:val="22"/>
          <w:lang w:val="es-ES" w:eastAsia="es-ES_tradnl"/>
        </w:rPr>
        <w:t xml:space="preserve">señaló </w:t>
      </w:r>
      <w:r w:rsidR="001732C9">
        <w:rPr>
          <w:rFonts w:ascii="Palatino Linotype" w:eastAsia="Calibri" w:hAnsi="Palatino Linotype" w:cs="Tahoma"/>
          <w:iCs/>
          <w:sz w:val="22"/>
          <w:szCs w:val="22"/>
          <w:lang w:val="es-ES" w:eastAsia="es-ES_tradnl"/>
        </w:rPr>
        <w:t>que la solicitud no correspondía a un derecho de acceso a la información sino de petición</w:t>
      </w:r>
      <w:r w:rsidR="00024A48">
        <w:rPr>
          <w:rFonts w:ascii="Palatino Linotype" w:eastAsia="Calibri" w:hAnsi="Palatino Linotype" w:cs="Tahoma"/>
          <w:iCs/>
          <w:sz w:val="22"/>
          <w:szCs w:val="22"/>
          <w:lang w:val="es-ES" w:eastAsia="es-ES_tradnl"/>
        </w:rPr>
        <w:t xml:space="preserve">, razón por la cual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147516">
        <w:rPr>
          <w:rFonts w:ascii="Palatino Linotype" w:eastAsia="Calibri" w:hAnsi="Palatino Linotype" w:cs="Tahoma"/>
          <w:iCs/>
          <w:sz w:val="22"/>
          <w:szCs w:val="22"/>
          <w:lang w:val="es-ES" w:eastAsia="es-ES_tradnl"/>
        </w:rPr>
        <w:t>por</w:t>
      </w:r>
      <w:r w:rsidR="000C0396">
        <w:rPr>
          <w:rFonts w:ascii="Palatino Linotype" w:eastAsia="Calibri" w:hAnsi="Palatino Linotype" w:cs="Tahoma"/>
          <w:iCs/>
          <w:sz w:val="22"/>
          <w:szCs w:val="22"/>
          <w:lang w:val="es-ES" w:eastAsia="es-ES_tradnl"/>
        </w:rPr>
        <w:t xml:space="preserve"> no entregarle la </w:t>
      </w:r>
      <w:r w:rsidR="001732C9">
        <w:rPr>
          <w:rFonts w:ascii="Palatino Linotype" w:eastAsia="Calibri" w:hAnsi="Palatino Linotype" w:cs="Tahoma"/>
          <w:iCs/>
          <w:sz w:val="22"/>
          <w:szCs w:val="22"/>
          <w:lang w:val="es-ES" w:eastAsia="es-ES_tradnl"/>
        </w:rPr>
        <w:t>información solicitada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0C0396">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7F1CFCB3"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6175185"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79F23C6"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4F2C2F35"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6D1BDAA5" w14:textId="77777777" w:rsidR="00CE0B4C" w:rsidRPr="007C0B21" w:rsidRDefault="00CE0B4C" w:rsidP="00147516">
      <w:pPr>
        <w:spacing w:line="360" w:lineRule="auto"/>
        <w:contextualSpacing/>
        <w:jc w:val="both"/>
        <w:rPr>
          <w:rFonts w:ascii="Palatino Linotype" w:hAnsi="Palatino Linotype" w:cs="Tahoma"/>
          <w:sz w:val="22"/>
          <w:szCs w:val="22"/>
        </w:rPr>
      </w:pPr>
    </w:p>
    <w:p w14:paraId="609FD657"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6EEE9EBF" w14:textId="77777777" w:rsidR="00CE0B4C" w:rsidRPr="007C0B21" w:rsidRDefault="00CE0B4C" w:rsidP="00147516">
      <w:pPr>
        <w:spacing w:line="360" w:lineRule="auto"/>
        <w:contextualSpacing/>
        <w:jc w:val="both"/>
        <w:rPr>
          <w:rFonts w:ascii="Palatino Linotype" w:hAnsi="Palatino Linotype" w:cs="Tahoma"/>
          <w:sz w:val="22"/>
          <w:szCs w:val="22"/>
        </w:rPr>
      </w:pPr>
    </w:p>
    <w:p w14:paraId="534CE8BE"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8899578" w14:textId="77777777" w:rsidR="00CE0B4C" w:rsidRPr="007C0B21" w:rsidRDefault="00CE0B4C" w:rsidP="00147516">
      <w:pPr>
        <w:spacing w:line="360" w:lineRule="auto"/>
        <w:jc w:val="both"/>
        <w:rPr>
          <w:rFonts w:ascii="Palatino Linotype" w:hAnsi="Palatino Linotype" w:cs="Tahoma"/>
          <w:sz w:val="22"/>
          <w:szCs w:val="22"/>
        </w:rPr>
      </w:pPr>
    </w:p>
    <w:p w14:paraId="6137EB44"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9498544" w14:textId="77777777" w:rsidR="00CE0B4C" w:rsidRPr="007C0B21" w:rsidRDefault="00CE0B4C" w:rsidP="00147516">
      <w:pPr>
        <w:spacing w:line="360" w:lineRule="auto"/>
        <w:jc w:val="both"/>
        <w:rPr>
          <w:rFonts w:ascii="Palatino Linotype" w:hAnsi="Palatino Linotype" w:cs="Tahoma"/>
          <w:sz w:val="22"/>
          <w:szCs w:val="22"/>
        </w:rPr>
      </w:pPr>
    </w:p>
    <w:p w14:paraId="548A5B51"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E158E" w14:textId="77777777" w:rsidR="00CE0B4C" w:rsidRPr="007C0B21" w:rsidRDefault="00CE0B4C" w:rsidP="00147516">
      <w:pPr>
        <w:spacing w:line="360" w:lineRule="auto"/>
        <w:jc w:val="both"/>
        <w:rPr>
          <w:rFonts w:ascii="Palatino Linotype" w:hAnsi="Palatino Linotype" w:cs="Tahoma"/>
          <w:sz w:val="22"/>
          <w:szCs w:val="22"/>
        </w:rPr>
      </w:pPr>
    </w:p>
    <w:p w14:paraId="14EDCE57"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0211ACB6" w14:textId="77777777" w:rsidR="00CE0B4C" w:rsidRPr="007C0B21" w:rsidRDefault="00CE0B4C" w:rsidP="00147516">
      <w:pPr>
        <w:spacing w:line="360" w:lineRule="auto"/>
        <w:jc w:val="both"/>
        <w:rPr>
          <w:rFonts w:ascii="Palatino Linotype" w:hAnsi="Palatino Linotype" w:cs="Tahoma"/>
          <w:sz w:val="22"/>
          <w:szCs w:val="22"/>
        </w:rPr>
      </w:pPr>
    </w:p>
    <w:p w14:paraId="7B1B7211"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66F3FFF8" w14:textId="77777777" w:rsidR="00EF5683" w:rsidRPr="007C0B21" w:rsidRDefault="00EF5683" w:rsidP="00147516">
      <w:pPr>
        <w:spacing w:line="360" w:lineRule="auto"/>
        <w:jc w:val="both"/>
        <w:rPr>
          <w:rFonts w:ascii="Palatino Linotype" w:hAnsi="Palatino Linotype" w:cs="Tahoma"/>
          <w:sz w:val="22"/>
          <w:szCs w:val="22"/>
        </w:rPr>
      </w:pPr>
    </w:p>
    <w:p w14:paraId="39AFBF5C"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64D0656" w14:textId="77777777" w:rsidR="00CE0B4C" w:rsidRPr="007C0B21" w:rsidRDefault="00CE0B4C" w:rsidP="00147516">
      <w:pPr>
        <w:spacing w:line="360" w:lineRule="auto"/>
        <w:jc w:val="both"/>
        <w:rPr>
          <w:rFonts w:ascii="Palatino Linotype" w:hAnsi="Palatino Linotype" w:cs="Tahoma"/>
          <w:sz w:val="22"/>
          <w:szCs w:val="22"/>
        </w:rPr>
      </w:pPr>
    </w:p>
    <w:p w14:paraId="73F8E9E1"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31585F"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13180344"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1B41F783" w14:textId="77777777" w:rsidR="00CE0B4C" w:rsidRPr="007C0B21" w:rsidRDefault="00CE0B4C" w:rsidP="00147516">
      <w:pPr>
        <w:spacing w:line="360" w:lineRule="auto"/>
        <w:jc w:val="both"/>
        <w:rPr>
          <w:rFonts w:ascii="Palatino Linotype" w:hAnsi="Palatino Linotype" w:cs="Tahoma"/>
          <w:sz w:val="22"/>
          <w:szCs w:val="22"/>
          <w:lang w:val="es-ES"/>
        </w:rPr>
      </w:pPr>
    </w:p>
    <w:p w14:paraId="4CC10BB8"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4EB755A" w14:textId="77777777" w:rsidR="00CE0B4C" w:rsidRPr="007C0B21" w:rsidRDefault="00CE0B4C" w:rsidP="00147516">
      <w:pPr>
        <w:spacing w:line="360" w:lineRule="auto"/>
        <w:jc w:val="both"/>
        <w:rPr>
          <w:rFonts w:ascii="Palatino Linotype" w:hAnsi="Palatino Linotype" w:cs="Tahoma"/>
          <w:sz w:val="22"/>
          <w:szCs w:val="22"/>
        </w:rPr>
      </w:pPr>
    </w:p>
    <w:p w14:paraId="7801B98F"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w:t>
      </w:r>
      <w:r w:rsidRPr="007C0B21">
        <w:rPr>
          <w:rFonts w:ascii="Palatino Linotype" w:eastAsia="Calibri" w:hAnsi="Palatino Linotype" w:cs="Tahoma"/>
          <w:bCs/>
          <w:sz w:val="22"/>
          <w:szCs w:val="22"/>
          <w:lang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538A82B"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1998785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94CE7FD"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666C9499"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E8D9A8E"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496F25C8"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w:t>
      </w:r>
      <w:r w:rsidRPr="0071545A">
        <w:rPr>
          <w:rFonts w:ascii="Palatino Linotype" w:eastAsia="Calibri" w:hAnsi="Palatino Linotype" w:cs="Tahoma"/>
          <w:bCs/>
          <w:sz w:val="22"/>
          <w:szCs w:val="22"/>
          <w:lang w:eastAsia="en-US"/>
        </w:rPr>
        <w:t>a la información pública.</w:t>
      </w:r>
    </w:p>
    <w:p w14:paraId="48094E96"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28189DAC" w14:textId="77777777" w:rsidR="002E57E0" w:rsidRDefault="002E57E0" w:rsidP="00644B7F">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w:t>
      </w:r>
      <w:r w:rsidR="00FF206A">
        <w:rPr>
          <w:rFonts w:ascii="Palatino Linotype" w:eastAsia="Calibri" w:hAnsi="Palatino Linotype" w:cs="Tahoma"/>
          <w:iCs/>
          <w:sz w:val="22"/>
          <w:szCs w:val="22"/>
          <w:lang w:eastAsia="es-ES_tradnl"/>
        </w:rPr>
        <w:t>es necesario recordar que el Particular requiere dos puntos en su solicitud, el primero de ellos relacionado con la declaración patrimonial y de intereses del Presidente Municipal, así como de la Presidenta del DIF, y el segundo punto respecto de las empresas que guardan una relación jurídica con el Ayuntamiento de Metepec.</w:t>
      </w:r>
    </w:p>
    <w:p w14:paraId="53658668" w14:textId="77777777" w:rsidR="002E57E0" w:rsidRDefault="002E57E0" w:rsidP="002E57E0">
      <w:pPr>
        <w:spacing w:line="360" w:lineRule="auto"/>
        <w:contextualSpacing/>
        <w:jc w:val="both"/>
        <w:rPr>
          <w:rFonts w:ascii="Palatino Linotype" w:hAnsi="Palatino Linotype" w:cs="Tahoma"/>
          <w:color w:val="000000" w:themeColor="text1"/>
          <w:sz w:val="22"/>
          <w:szCs w:val="22"/>
        </w:rPr>
      </w:pPr>
    </w:p>
    <w:p w14:paraId="78E22316" w14:textId="77777777" w:rsidR="002E57E0" w:rsidRPr="000722AF" w:rsidRDefault="00FF206A" w:rsidP="002E57E0">
      <w:pPr>
        <w:spacing w:line="360" w:lineRule="auto"/>
        <w:contextualSpacing/>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lastRenderedPageBreak/>
        <w:t xml:space="preserve">En respuesta, el Sujeto Obligado </w:t>
      </w:r>
      <w:r w:rsidR="002E57E0">
        <w:rPr>
          <w:rFonts w:ascii="Palatino Linotype" w:hAnsi="Palatino Linotype" w:cs="Tahoma"/>
          <w:sz w:val="22"/>
          <w:szCs w:val="22"/>
          <w:lang w:val="es-ES"/>
        </w:rPr>
        <w:t xml:space="preserve">manifestó </w:t>
      </w:r>
      <w:r>
        <w:rPr>
          <w:rFonts w:ascii="Palatino Linotype" w:hAnsi="Palatino Linotype" w:cs="Tahoma"/>
          <w:sz w:val="22"/>
          <w:szCs w:val="22"/>
          <w:lang w:val="es-ES"/>
        </w:rPr>
        <w:t>que la solicitud no encuadraba en el derecho de acceso a la información sino que eran manifestaciones subjetivas, situación que resulta parcialmente cierta ya que como se estableció si se identifica de manera clara los documentos a los que quiere tener acceso</w:t>
      </w:r>
      <w:r w:rsidR="002E57E0">
        <w:rPr>
          <w:rFonts w:ascii="Palatino Linotype" w:hAnsi="Palatino Linotype" w:cs="Tahoma"/>
          <w:sz w:val="22"/>
          <w:szCs w:val="22"/>
          <w:lang w:val="es-ES"/>
        </w:rPr>
        <w:t xml:space="preserve">, </w:t>
      </w:r>
      <w:r>
        <w:rPr>
          <w:rFonts w:ascii="Palatino Linotype" w:hAnsi="Palatino Linotype" w:cs="Tahoma"/>
          <w:sz w:val="22"/>
          <w:szCs w:val="22"/>
          <w:lang w:val="es-ES"/>
        </w:rPr>
        <w:t xml:space="preserve">por lo que es preciso referir que </w:t>
      </w:r>
      <w:r w:rsidR="002E57E0">
        <w:rPr>
          <w:rFonts w:ascii="Palatino Linotype" w:hAnsi="Palatino Linotype" w:cs="Tahoma"/>
          <w:sz w:val="22"/>
          <w:szCs w:val="22"/>
          <w:lang w:val="es-ES"/>
        </w:rPr>
        <w:t>no se advierte el turno correspondiente a los servidores públicos que pudieran haber contado con la información, y fue solo el Titular de la Unidad de Trans</w:t>
      </w:r>
      <w:r>
        <w:rPr>
          <w:rFonts w:ascii="Palatino Linotype" w:hAnsi="Palatino Linotype" w:cs="Tahoma"/>
          <w:sz w:val="22"/>
          <w:szCs w:val="22"/>
          <w:lang w:val="es-ES"/>
        </w:rPr>
        <w:t xml:space="preserve">parencia quien otorgó respuesta, por lo que es </w:t>
      </w:r>
      <w:r w:rsidR="002E57E0" w:rsidRPr="000722AF">
        <w:rPr>
          <w:rFonts w:ascii="Palatino Linotype" w:eastAsia="Calibri" w:hAnsi="Palatino Linotype" w:cs="Tahoma"/>
          <w:iCs/>
          <w:sz w:val="22"/>
          <w:szCs w:val="22"/>
          <w:lang w:val="es-ES" w:eastAsia="es-ES_tradnl"/>
        </w:rPr>
        <w:t xml:space="preserve">necesario tomar en cuenta las siguientes disposiciones de la Ley de </w:t>
      </w:r>
      <w:r w:rsidR="002E57E0">
        <w:rPr>
          <w:rFonts w:ascii="Palatino Linotype" w:eastAsia="Calibri" w:hAnsi="Palatino Linotype" w:cs="Tahoma"/>
          <w:iCs/>
          <w:sz w:val="22"/>
          <w:szCs w:val="22"/>
          <w:lang w:val="es-ES" w:eastAsia="es-ES_tradnl"/>
        </w:rPr>
        <w:t>Transparencia y Acceso a la Información Pública del Estado de México y Municipios</w:t>
      </w:r>
      <w:r w:rsidR="002E57E0" w:rsidRPr="000722AF">
        <w:rPr>
          <w:rFonts w:ascii="Palatino Linotype" w:eastAsia="Calibri" w:hAnsi="Palatino Linotype" w:cs="Tahoma"/>
          <w:iCs/>
          <w:sz w:val="22"/>
          <w:szCs w:val="22"/>
          <w:lang w:val="es-ES" w:eastAsia="es-ES_tradnl"/>
        </w:rPr>
        <w:t>.</w:t>
      </w:r>
    </w:p>
    <w:p w14:paraId="166904FF" w14:textId="77777777" w:rsidR="002E57E0" w:rsidRPr="000722AF" w:rsidRDefault="002E57E0" w:rsidP="002E57E0">
      <w:pPr>
        <w:spacing w:line="360" w:lineRule="auto"/>
        <w:jc w:val="both"/>
        <w:rPr>
          <w:rFonts w:ascii="Palatino Linotype" w:eastAsia="Calibri" w:hAnsi="Palatino Linotype" w:cs="Tahoma"/>
          <w:iCs/>
          <w:sz w:val="22"/>
          <w:szCs w:val="22"/>
          <w:lang w:val="es-ES" w:eastAsia="es-ES_tradnl"/>
        </w:rPr>
      </w:pPr>
    </w:p>
    <w:p w14:paraId="55F163CE"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w:t>
      </w:r>
      <w:r w:rsidRPr="000722AF">
        <w:rPr>
          <w:rFonts w:ascii="Palatino Linotype" w:eastAsia="Calibri" w:hAnsi="Palatino Linotype" w:cs="Tahoma"/>
          <w:b/>
          <w:i/>
          <w:iCs/>
          <w:szCs w:val="22"/>
          <w:lang w:val="es-ES" w:eastAsia="es-ES_tradnl"/>
        </w:rPr>
        <w:t>Artículo 50.</w:t>
      </w:r>
      <w:r w:rsidRPr="000722AF">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288EC661"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p>
    <w:p w14:paraId="085D4A56" w14:textId="77777777" w:rsidR="002E57E0" w:rsidRPr="000722AF" w:rsidRDefault="002E57E0" w:rsidP="002E57E0">
      <w:pPr>
        <w:spacing w:line="360" w:lineRule="auto"/>
        <w:ind w:left="567" w:right="539" w:firstLine="141"/>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51.</w:t>
      </w:r>
      <w:r w:rsidRPr="000722AF">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DF98993"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p>
    <w:p w14:paraId="691FBF6A"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946E54">
        <w:rPr>
          <w:rFonts w:ascii="Palatino Linotype" w:eastAsia="Calibri" w:hAnsi="Palatino Linotype" w:cs="Tahoma"/>
          <w:b/>
          <w:i/>
          <w:iCs/>
          <w:szCs w:val="22"/>
          <w:lang w:val="es-ES" w:eastAsia="es-ES_tradnl"/>
        </w:rPr>
        <w:t>Artículo 53</w:t>
      </w:r>
      <w:r w:rsidRPr="000722AF">
        <w:rPr>
          <w:rFonts w:ascii="Palatino Linotype" w:eastAsia="Calibri" w:hAnsi="Palatino Linotype" w:cs="Tahoma"/>
          <w:i/>
          <w:iCs/>
          <w:szCs w:val="22"/>
          <w:lang w:val="es-ES" w:eastAsia="es-ES_tradnl"/>
        </w:rPr>
        <w:t>. Las Unidades de Transparencia tendrán las siguientes funciones:</w:t>
      </w:r>
    </w:p>
    <w:p w14:paraId="01FF3ED2"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819B4B0" w14:textId="77777777" w:rsidR="002E57E0" w:rsidRPr="000722AF" w:rsidRDefault="002E57E0" w:rsidP="002E57E0">
      <w:pPr>
        <w:spacing w:line="360" w:lineRule="auto"/>
        <w:ind w:left="567" w:right="539"/>
        <w:jc w:val="both"/>
        <w:rPr>
          <w:rFonts w:ascii="Palatino Linotype" w:eastAsia="Calibri" w:hAnsi="Palatino Linotype" w:cs="Tahoma"/>
          <w:b/>
          <w:i/>
          <w:iCs/>
          <w:szCs w:val="22"/>
          <w:lang w:val="es-ES" w:eastAsia="es-ES_tradnl"/>
        </w:rPr>
      </w:pPr>
      <w:r w:rsidRPr="000722AF">
        <w:rPr>
          <w:rFonts w:ascii="Palatino Linotype" w:eastAsia="Calibri" w:hAnsi="Palatino Linotype" w:cs="Tahoma"/>
          <w:b/>
          <w:i/>
          <w:iCs/>
          <w:szCs w:val="22"/>
          <w:lang w:val="es-ES" w:eastAsia="es-ES_tradnl"/>
        </w:rPr>
        <w:t>II. Recibir, tramitar y dar respuesta a las solicitudes de acceso a la información;</w:t>
      </w:r>
    </w:p>
    <w:p w14:paraId="4D3598D5"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 xml:space="preserve">III a </w:t>
      </w:r>
      <w:r w:rsidRPr="000722AF">
        <w:rPr>
          <w:rFonts w:ascii="Palatino Linotype" w:eastAsia="Calibri" w:hAnsi="Palatino Linotype" w:cs="Tahoma"/>
          <w:i/>
          <w:iCs/>
          <w:szCs w:val="22"/>
          <w:lang w:val="es-ES" w:eastAsia="es-ES_tradnl"/>
        </w:rPr>
        <w:t>XIV</w:t>
      </w:r>
      <w:r>
        <w:rPr>
          <w:rFonts w:ascii="Palatino Linotype" w:eastAsia="Calibri" w:hAnsi="Palatino Linotype" w:cs="Tahoma"/>
          <w:i/>
          <w:iCs/>
          <w:szCs w:val="22"/>
          <w:lang w:val="es-ES" w:eastAsia="es-ES_tradnl"/>
        </w:rPr>
        <w:t>…</w:t>
      </w:r>
      <w:r w:rsidRPr="000722AF">
        <w:rPr>
          <w:rFonts w:ascii="Palatino Linotype" w:eastAsia="Calibri" w:hAnsi="Palatino Linotype" w:cs="Tahoma"/>
          <w:i/>
          <w:iCs/>
          <w:szCs w:val="22"/>
          <w:lang w:val="es-ES" w:eastAsia="es-ES_tradnl"/>
        </w:rPr>
        <w:t xml:space="preserve"> </w:t>
      </w:r>
    </w:p>
    <w:p w14:paraId="1C350C81" w14:textId="77777777" w:rsidR="002E57E0" w:rsidRDefault="002E57E0" w:rsidP="002E57E0">
      <w:pPr>
        <w:spacing w:line="360" w:lineRule="auto"/>
        <w:ind w:left="567" w:right="539"/>
        <w:jc w:val="both"/>
        <w:rPr>
          <w:rFonts w:ascii="Palatino Linotype" w:eastAsia="Calibri" w:hAnsi="Palatino Linotype" w:cs="Tahoma"/>
          <w:b/>
          <w:i/>
          <w:iCs/>
          <w:szCs w:val="22"/>
          <w:lang w:val="es-ES" w:eastAsia="es-ES_tradnl"/>
        </w:rPr>
      </w:pPr>
    </w:p>
    <w:p w14:paraId="3A2D84A2"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59</w:t>
      </w:r>
      <w:r w:rsidRPr="000722AF">
        <w:rPr>
          <w:rFonts w:ascii="Palatino Linotype" w:eastAsia="Calibri" w:hAnsi="Palatino Linotype" w:cs="Tahoma"/>
          <w:i/>
          <w:iCs/>
          <w:szCs w:val="22"/>
          <w:lang w:val="es-ES" w:eastAsia="es-ES_tradnl"/>
        </w:rPr>
        <w:t>. Los servidores públicos habilitados tendrán las funciones siguientes:</w:t>
      </w:r>
    </w:p>
    <w:p w14:paraId="7F461789"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Localizar la información que le solicite la Unidad de Transparencia;</w:t>
      </w:r>
    </w:p>
    <w:p w14:paraId="3F01D70F"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lastRenderedPageBreak/>
        <w:t>II. Proporcionar la información que obre en los archivos y que le sea solicitada por la Unidad de Transparencia;</w:t>
      </w:r>
    </w:p>
    <w:p w14:paraId="44A430B1"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III. Apoyar a la Unidad de Transparencia en lo que esta le solicite para el cumplimiento de sus funciones;</w:t>
      </w:r>
    </w:p>
    <w:p w14:paraId="69ECD2C3"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IV. Proporcionar a la Unidad de Transparencia, las modificaciones a la información pública de oficio que obre en su poder;</w:t>
      </w:r>
    </w:p>
    <w:p w14:paraId="3D5E6239"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68EB074F"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1B846367"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VII. Dar cuenta a la Unidad de Transparencia del vencimiento de los plazos de reserva.</w:t>
      </w:r>
    </w:p>
    <w:p w14:paraId="40E62A01" w14:textId="77777777" w:rsidR="002E57E0" w:rsidRPr="000722AF" w:rsidRDefault="002E57E0" w:rsidP="002E57E0">
      <w:pPr>
        <w:spacing w:line="360" w:lineRule="auto"/>
        <w:ind w:left="567" w:right="539"/>
        <w:jc w:val="both"/>
        <w:rPr>
          <w:rFonts w:ascii="Palatino Linotype" w:eastAsia="Calibri" w:hAnsi="Palatino Linotype" w:cs="Tahoma"/>
          <w:i/>
          <w:iCs/>
          <w:szCs w:val="22"/>
          <w:lang w:val="es-ES" w:eastAsia="es-ES_tradnl"/>
        </w:rPr>
      </w:pPr>
    </w:p>
    <w:p w14:paraId="58E63C0F" w14:textId="77777777" w:rsidR="002E57E0" w:rsidRPr="000722AF" w:rsidRDefault="002E57E0" w:rsidP="002E57E0">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De la normatividad </w:t>
      </w:r>
      <w:r>
        <w:rPr>
          <w:rFonts w:ascii="Palatino Linotype" w:eastAsia="Calibri" w:hAnsi="Palatino Linotype" w:cs="Tahoma"/>
          <w:iCs/>
          <w:sz w:val="22"/>
          <w:szCs w:val="22"/>
          <w:lang w:val="es-ES" w:eastAsia="es-ES_tradnl"/>
        </w:rPr>
        <w:t xml:space="preserve">anteriormente citada </w:t>
      </w:r>
      <w:r w:rsidRPr="000722AF">
        <w:rPr>
          <w:rFonts w:ascii="Palatino Linotype" w:eastAsia="Calibri" w:hAnsi="Palatino Linotype" w:cs="Tahoma"/>
          <w:iCs/>
          <w:sz w:val="22"/>
          <w:szCs w:val="22"/>
          <w:lang w:val="es-ES" w:eastAsia="es-ES_tradnl"/>
        </w:rPr>
        <w:t xml:space="preserve">se desprende que las Unidades de Transparencia, </w:t>
      </w:r>
      <w:r>
        <w:rPr>
          <w:rFonts w:ascii="Palatino Linotype" w:eastAsia="Calibri" w:hAnsi="Palatino Linotype" w:cs="Tahoma"/>
          <w:iCs/>
          <w:sz w:val="22"/>
          <w:szCs w:val="22"/>
          <w:lang w:val="es-ES" w:eastAsia="es-ES_tradnl"/>
        </w:rPr>
        <w:t xml:space="preserve">son las </w:t>
      </w:r>
      <w:r w:rsidRPr="000722AF">
        <w:rPr>
          <w:rFonts w:ascii="Palatino Linotype" w:eastAsia="Calibri" w:hAnsi="Palatino Linotype" w:cs="Tahoma"/>
          <w:iCs/>
          <w:sz w:val="22"/>
          <w:szCs w:val="22"/>
          <w:lang w:val="es-ES" w:eastAsia="es-ES_tradnl"/>
        </w:rPr>
        <w:t>responsable</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en cada sujeto obligado </w:t>
      </w:r>
      <w:r>
        <w:rPr>
          <w:rFonts w:ascii="Palatino Linotype" w:eastAsia="Calibri" w:hAnsi="Palatino Linotype" w:cs="Tahoma"/>
          <w:iCs/>
          <w:sz w:val="22"/>
          <w:szCs w:val="22"/>
          <w:lang w:val="es-ES" w:eastAsia="es-ES_tradnl"/>
        </w:rPr>
        <w:t xml:space="preserve">de </w:t>
      </w:r>
      <w:r w:rsidRPr="000722AF">
        <w:rPr>
          <w:rFonts w:ascii="Palatino Linotype" w:eastAsia="Calibri" w:hAnsi="Palatino Linotype" w:cs="Tahoma"/>
          <w:iCs/>
          <w:sz w:val="22"/>
          <w:szCs w:val="22"/>
          <w:lang w:val="es-ES" w:eastAsia="es-ES_tradnl"/>
        </w:rPr>
        <w:t xml:space="preserve">la atención de las solicitudes de información que se realicen. El responsable de dicha </w:t>
      </w:r>
      <w:r w:rsidRPr="00ED251B">
        <w:rPr>
          <w:rFonts w:ascii="Palatino Linotype" w:eastAsia="Calibri" w:hAnsi="Palatino Linotype" w:cs="Tahoma"/>
          <w:iCs/>
          <w:sz w:val="22"/>
          <w:szCs w:val="22"/>
          <w:lang w:val="es-ES" w:eastAsia="es-ES_tradnl"/>
        </w:rPr>
        <w:t>área funge como enlace entre el Sujeto Obligado y los solicitantes, y tiene bajo su responsabil</w:t>
      </w:r>
      <w:r w:rsidRPr="000722AF">
        <w:rPr>
          <w:rFonts w:ascii="Palatino Linotype" w:eastAsia="Calibri" w:hAnsi="Palatino Linotype" w:cs="Tahoma"/>
          <w:iCs/>
          <w:sz w:val="22"/>
          <w:szCs w:val="22"/>
          <w:lang w:val="es-ES" w:eastAsia="es-ES_tradnl"/>
        </w:rPr>
        <w:t>idad el tramitar internamente la</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0722AF">
        <w:rPr>
          <w:rFonts w:ascii="Palatino Linotype" w:eastAsia="Calibri" w:hAnsi="Palatino Linotype" w:cs="Tahoma"/>
          <w:iCs/>
          <w:sz w:val="22"/>
          <w:szCs w:val="22"/>
          <w:lang w:val="es-ES" w:eastAsia="es-ES_tradnl"/>
        </w:rPr>
        <w:t xml:space="preserve"> de información.</w:t>
      </w:r>
    </w:p>
    <w:p w14:paraId="139AE12C" w14:textId="77777777" w:rsidR="002E57E0" w:rsidRPr="000722AF" w:rsidRDefault="002E57E0" w:rsidP="002E57E0">
      <w:pPr>
        <w:spacing w:line="360" w:lineRule="auto"/>
        <w:jc w:val="both"/>
        <w:rPr>
          <w:rFonts w:ascii="Palatino Linotype" w:eastAsia="Calibri" w:hAnsi="Palatino Linotype" w:cs="Tahoma"/>
          <w:iCs/>
          <w:sz w:val="22"/>
          <w:szCs w:val="22"/>
          <w:lang w:val="es-ES" w:eastAsia="es-ES_tradnl"/>
        </w:rPr>
      </w:pPr>
    </w:p>
    <w:p w14:paraId="37BD00AB" w14:textId="77777777" w:rsidR="002E57E0" w:rsidRPr="000722AF" w:rsidRDefault="002E57E0" w:rsidP="002E57E0">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68CF75FD" w14:textId="77777777" w:rsidR="002E57E0" w:rsidRPr="000722AF" w:rsidRDefault="002E57E0" w:rsidP="002E57E0">
      <w:pPr>
        <w:spacing w:line="360" w:lineRule="auto"/>
        <w:jc w:val="both"/>
        <w:rPr>
          <w:rFonts w:ascii="Palatino Linotype" w:eastAsia="Calibri" w:hAnsi="Palatino Linotype" w:cs="Tahoma"/>
          <w:iCs/>
          <w:sz w:val="22"/>
          <w:szCs w:val="22"/>
          <w:lang w:val="es-ES" w:eastAsia="es-ES_tradnl"/>
        </w:rPr>
      </w:pPr>
    </w:p>
    <w:p w14:paraId="79EE4AE4" w14:textId="77777777" w:rsidR="002E57E0" w:rsidRDefault="002E57E0" w:rsidP="002E57E0">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Es por ello, que corresponde al Titular de la Unidad de Transparencia el garantizar que las solicitudes se </w:t>
      </w:r>
      <w:r w:rsidRPr="00A879F7">
        <w:rPr>
          <w:rFonts w:ascii="Palatino Linotype" w:eastAsia="Calibri" w:hAnsi="Palatino Linotype" w:cs="Tahoma"/>
          <w:b/>
          <w:iCs/>
          <w:sz w:val="22"/>
          <w:szCs w:val="22"/>
          <w:lang w:val="es-ES" w:eastAsia="es-ES_tradnl"/>
        </w:rPr>
        <w:t>turnen a todas las áreas competentes que puedan contar con la información</w:t>
      </w:r>
      <w:r w:rsidRPr="000722AF">
        <w:rPr>
          <w:rFonts w:ascii="Palatino Linotype" w:eastAsia="Calibri" w:hAnsi="Palatino Linotype" w:cs="Tahoma"/>
          <w:iCs/>
          <w:sz w:val="22"/>
          <w:szCs w:val="22"/>
          <w:lang w:val="es-ES" w:eastAsia="es-ES_tradnl"/>
        </w:rPr>
        <w:t xml:space="preserve">, </w:t>
      </w:r>
      <w:r w:rsidRPr="000722AF">
        <w:rPr>
          <w:rFonts w:ascii="Palatino Linotype" w:eastAsia="Calibri" w:hAnsi="Palatino Linotype" w:cs="Tahoma"/>
          <w:iCs/>
          <w:sz w:val="22"/>
          <w:szCs w:val="22"/>
          <w:lang w:val="es-ES" w:eastAsia="es-ES_tradnl"/>
        </w:rPr>
        <w:lastRenderedPageBreak/>
        <w:t>con el objeto de que se realice una búsqueda exhaustiva y razonab</w:t>
      </w:r>
      <w:r>
        <w:rPr>
          <w:rFonts w:ascii="Palatino Linotype" w:eastAsia="Calibri" w:hAnsi="Palatino Linotype" w:cs="Tahoma"/>
          <w:iCs/>
          <w:sz w:val="22"/>
          <w:szCs w:val="22"/>
          <w:lang w:val="es-ES" w:eastAsia="es-ES_tradnl"/>
        </w:rPr>
        <w:t>le de la información solicitada.</w:t>
      </w:r>
    </w:p>
    <w:p w14:paraId="45BC00D1" w14:textId="77777777" w:rsidR="002E57E0" w:rsidRDefault="002E57E0" w:rsidP="002E57E0">
      <w:pPr>
        <w:spacing w:line="360" w:lineRule="auto"/>
        <w:jc w:val="both"/>
        <w:rPr>
          <w:rFonts w:ascii="Palatino Linotype" w:eastAsia="Calibri" w:hAnsi="Palatino Linotype" w:cs="Tahoma"/>
          <w:iCs/>
          <w:sz w:val="22"/>
          <w:szCs w:val="22"/>
          <w:lang w:val="es-ES" w:eastAsia="es-ES_tradnl"/>
        </w:rPr>
      </w:pPr>
    </w:p>
    <w:p w14:paraId="587832A8" w14:textId="77777777" w:rsidR="002E57E0" w:rsidRPr="00033B8E" w:rsidRDefault="002E57E0" w:rsidP="002E57E0">
      <w:pPr>
        <w:spacing w:line="360" w:lineRule="auto"/>
        <w:jc w:val="both"/>
        <w:rPr>
          <w:rFonts w:ascii="Palatino Linotype" w:hAnsi="Palatino Linotype" w:cs="Tahoma"/>
          <w:bCs/>
          <w:sz w:val="22"/>
          <w:szCs w:val="22"/>
        </w:rPr>
      </w:pPr>
      <w:r>
        <w:rPr>
          <w:rFonts w:ascii="Palatino Linotype" w:eastAsia="Calibri" w:hAnsi="Palatino Linotype" w:cs="Tahoma"/>
          <w:iCs/>
          <w:sz w:val="22"/>
          <w:szCs w:val="22"/>
          <w:lang w:val="es-ES" w:eastAsia="es-ES_tradnl"/>
        </w:rPr>
        <w:t xml:space="preserve">Establecido lo anterior, </w:t>
      </w:r>
      <w:r w:rsidRPr="00033B8E">
        <w:rPr>
          <w:rFonts w:ascii="Palatino Linotype" w:hAnsi="Palatino Linotype" w:cs="Tahoma"/>
          <w:bCs/>
          <w:sz w:val="22"/>
          <w:szCs w:val="22"/>
        </w:rPr>
        <w:t xml:space="preserve">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el cual se encuentra 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163C43FB" w14:textId="77777777" w:rsidR="002E57E0" w:rsidRPr="00033B8E" w:rsidRDefault="002E57E0" w:rsidP="002E57E0">
      <w:pPr>
        <w:spacing w:line="360" w:lineRule="auto"/>
        <w:jc w:val="both"/>
        <w:rPr>
          <w:rFonts w:ascii="Palatino Linotype" w:hAnsi="Palatino Linotype" w:cs="Tahoma"/>
          <w:bCs/>
          <w:iCs/>
          <w:sz w:val="22"/>
          <w:szCs w:val="22"/>
        </w:rPr>
      </w:pPr>
    </w:p>
    <w:p w14:paraId="2108ABB5" w14:textId="77777777" w:rsidR="002E57E0" w:rsidRPr="00033B8E" w:rsidRDefault="002E57E0" w:rsidP="002E57E0">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4B00915" w14:textId="77777777" w:rsidR="002E57E0" w:rsidRPr="00033B8E" w:rsidRDefault="002E57E0" w:rsidP="002E57E0">
      <w:pPr>
        <w:spacing w:line="360" w:lineRule="auto"/>
        <w:jc w:val="both"/>
        <w:rPr>
          <w:rFonts w:ascii="Palatino Linotype" w:hAnsi="Palatino Linotype" w:cs="Tahoma"/>
          <w:bCs/>
          <w:iCs/>
          <w:sz w:val="22"/>
          <w:szCs w:val="22"/>
          <w:lang w:val="es-ES"/>
        </w:rPr>
      </w:pPr>
    </w:p>
    <w:p w14:paraId="50594BA9" w14:textId="77777777" w:rsidR="002E57E0" w:rsidRPr="00033B8E" w:rsidRDefault="002E57E0" w:rsidP="002E57E0">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CB874DB" w14:textId="77777777" w:rsidR="002E57E0" w:rsidRDefault="002E57E0" w:rsidP="002E57E0">
      <w:pPr>
        <w:spacing w:line="360" w:lineRule="auto"/>
        <w:jc w:val="both"/>
        <w:rPr>
          <w:rFonts w:ascii="Palatino Linotype" w:hAnsi="Palatino Linotype" w:cs="Tahoma"/>
          <w:bCs/>
          <w:iCs/>
          <w:sz w:val="22"/>
          <w:szCs w:val="22"/>
        </w:rPr>
      </w:pPr>
    </w:p>
    <w:p w14:paraId="1B679C99" w14:textId="77777777" w:rsidR="00CF7837" w:rsidRPr="00A90971" w:rsidRDefault="002E57E0" w:rsidP="00CF7837">
      <w:pPr>
        <w:tabs>
          <w:tab w:val="left" w:pos="1528"/>
        </w:tabs>
        <w:spacing w:line="360" w:lineRule="auto"/>
        <w:jc w:val="both"/>
        <w:rPr>
          <w:rFonts w:ascii="Palatino Linotype" w:eastAsia="Calibri" w:hAnsi="Palatino Linotype" w:cs="Tahoma"/>
          <w:iCs/>
          <w:sz w:val="22"/>
          <w:szCs w:val="22"/>
          <w:lang w:val="es-ES" w:eastAsia="es-ES_tradnl"/>
        </w:rPr>
      </w:pPr>
      <w:r w:rsidRPr="00CF7837">
        <w:rPr>
          <w:rFonts w:ascii="Palatino Linotype" w:hAnsi="Palatino Linotype" w:cs="Tahoma"/>
          <w:sz w:val="22"/>
          <w:szCs w:val="22"/>
          <w:lang w:val="es-ES"/>
        </w:rPr>
        <w:t xml:space="preserve">Ahora bien, respecto del </w:t>
      </w:r>
      <w:r w:rsidRPr="00CF7837">
        <w:rPr>
          <w:rFonts w:ascii="Palatino Linotype" w:hAnsi="Palatino Linotype" w:cs="Tahoma"/>
          <w:b/>
          <w:sz w:val="22"/>
          <w:szCs w:val="22"/>
          <w:lang w:val="es-ES"/>
        </w:rPr>
        <w:t>punto 1</w:t>
      </w:r>
      <w:r w:rsidRPr="00CF7837">
        <w:rPr>
          <w:rFonts w:ascii="Palatino Linotype" w:hAnsi="Palatino Linotype" w:cs="Tahoma"/>
          <w:sz w:val="22"/>
          <w:szCs w:val="22"/>
          <w:lang w:val="es-ES"/>
        </w:rPr>
        <w:t xml:space="preserve">, </w:t>
      </w:r>
      <w:r w:rsidR="00CF7837" w:rsidRPr="00CF7837">
        <w:rPr>
          <w:rFonts w:ascii="Palatino Linotype" w:hAnsi="Palatino Linotype" w:cs="Tahoma"/>
          <w:sz w:val="22"/>
          <w:szCs w:val="22"/>
          <w:lang w:val="es-ES"/>
        </w:rPr>
        <w:t xml:space="preserve">es decir sobre </w:t>
      </w:r>
      <w:r w:rsidR="00CF7837" w:rsidRPr="00CF7837">
        <w:rPr>
          <w:rFonts w:ascii="Palatino Linotype" w:eastAsia="Calibri" w:hAnsi="Palatino Linotype" w:cs="Tahoma"/>
          <w:iCs/>
          <w:sz w:val="22"/>
          <w:szCs w:val="22"/>
          <w:lang w:eastAsia="es-ES_tradnl"/>
        </w:rPr>
        <w:t>la declaración patrimonial y de intereses del</w:t>
      </w:r>
      <w:r w:rsidR="00CF7837">
        <w:rPr>
          <w:rFonts w:ascii="Palatino Linotype" w:eastAsia="Calibri" w:hAnsi="Palatino Linotype" w:cs="Tahoma"/>
          <w:iCs/>
          <w:sz w:val="22"/>
          <w:szCs w:val="22"/>
          <w:lang w:eastAsia="es-ES_tradnl"/>
        </w:rPr>
        <w:t xml:space="preserve"> Presidente Municipal, así como de la Presidenta del DIF,</w:t>
      </w:r>
      <w:r w:rsidR="00CF7837" w:rsidRPr="004472EA">
        <w:rPr>
          <w:rFonts w:ascii="Palatino Linotype" w:hAnsi="Palatino Linotype" w:cs="Tahoma"/>
          <w:sz w:val="22"/>
          <w:szCs w:val="22"/>
          <w:lang w:val="es-ES"/>
        </w:rPr>
        <w:t xml:space="preserve"> </w:t>
      </w:r>
      <w:r w:rsidR="00CF7837">
        <w:rPr>
          <w:rFonts w:ascii="Palatino Linotype" w:hAnsi="Palatino Linotype" w:cs="Tahoma"/>
          <w:sz w:val="22"/>
          <w:szCs w:val="22"/>
          <w:lang w:val="es-ES"/>
        </w:rPr>
        <w:t>a</w:t>
      </w:r>
      <w:r w:rsidR="00CF7837" w:rsidRPr="00A90971">
        <w:rPr>
          <w:rFonts w:ascii="Palatino Linotype" w:eastAsia="Calibri" w:hAnsi="Palatino Linotype" w:cs="Tahoma"/>
          <w:iCs/>
          <w:sz w:val="22"/>
          <w:szCs w:val="22"/>
          <w:lang w:val="es-ES" w:eastAsia="es-ES_tradnl"/>
        </w:rPr>
        <w:t xml:space="preserve">tento a ello, es importante traer a contexto lo dispuesto en los artículos 110, 111, 112, fracción XVI de la Ley Orgánica Municipal del Estado de México, los cuales disponen: </w:t>
      </w:r>
    </w:p>
    <w:p w14:paraId="70EF6568"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2B124017" w14:textId="77777777" w:rsidR="00CF7837" w:rsidRPr="00A90971" w:rsidRDefault="00CF7837" w:rsidP="00CF7837">
      <w:pPr>
        <w:tabs>
          <w:tab w:val="left" w:pos="1528"/>
        </w:tabs>
        <w:spacing w:line="360" w:lineRule="auto"/>
        <w:ind w:left="567" w:right="680"/>
        <w:jc w:val="center"/>
        <w:rPr>
          <w:rFonts w:ascii="Palatino Linotype" w:eastAsia="Calibri" w:hAnsi="Palatino Linotype" w:cs="Tahoma"/>
          <w:b/>
          <w:i/>
          <w:iCs/>
          <w:szCs w:val="22"/>
          <w:lang w:val="es-ES" w:eastAsia="es-ES_tradnl"/>
        </w:rPr>
      </w:pPr>
      <w:r w:rsidRPr="00A90971">
        <w:rPr>
          <w:rFonts w:ascii="Palatino Linotype" w:eastAsia="Calibri" w:hAnsi="Palatino Linotype" w:cs="Tahoma"/>
          <w:b/>
          <w:i/>
          <w:iCs/>
          <w:szCs w:val="22"/>
          <w:lang w:val="es-ES" w:eastAsia="es-ES_tradnl"/>
        </w:rPr>
        <w:t>CAPITULO CUARTO</w:t>
      </w:r>
    </w:p>
    <w:p w14:paraId="76318F30" w14:textId="77777777" w:rsidR="00CF7837" w:rsidRPr="00A90971" w:rsidRDefault="00CF7837" w:rsidP="00CF7837">
      <w:pPr>
        <w:tabs>
          <w:tab w:val="left" w:pos="1528"/>
        </w:tabs>
        <w:spacing w:line="360" w:lineRule="auto"/>
        <w:ind w:left="567" w:right="680"/>
        <w:jc w:val="center"/>
        <w:rPr>
          <w:rFonts w:ascii="Palatino Linotype" w:eastAsia="Calibri" w:hAnsi="Palatino Linotype" w:cs="Tahoma"/>
          <w:b/>
          <w:i/>
          <w:iCs/>
          <w:szCs w:val="22"/>
          <w:lang w:val="es-ES" w:eastAsia="es-ES_tradnl"/>
        </w:rPr>
      </w:pPr>
      <w:r w:rsidRPr="00A90971">
        <w:rPr>
          <w:rFonts w:ascii="Palatino Linotype" w:eastAsia="Calibri" w:hAnsi="Palatino Linotype" w:cs="Tahoma"/>
          <w:b/>
          <w:i/>
          <w:iCs/>
          <w:szCs w:val="22"/>
          <w:lang w:val="es-ES" w:eastAsia="es-ES_tradnl"/>
        </w:rPr>
        <w:t>De la Contraloría Municipal</w:t>
      </w:r>
    </w:p>
    <w:p w14:paraId="664F26A9"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p>
    <w:p w14:paraId="058B15E9"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r w:rsidRPr="00A90971">
        <w:rPr>
          <w:rFonts w:ascii="Palatino Linotype" w:eastAsia="Calibri" w:hAnsi="Palatino Linotype" w:cs="Tahoma"/>
          <w:b/>
          <w:i/>
          <w:iCs/>
          <w:szCs w:val="22"/>
          <w:lang w:val="es-ES" w:eastAsia="es-ES_tradnl"/>
        </w:rPr>
        <w:lastRenderedPageBreak/>
        <w:t>Artículo 110.</w:t>
      </w:r>
      <w:r w:rsidRPr="00A90971">
        <w:rPr>
          <w:rFonts w:ascii="Palatino Linotype" w:eastAsia="Calibri" w:hAnsi="Palatino Linotype" w:cs="Tahoma"/>
          <w:i/>
          <w:iCs/>
          <w:szCs w:val="22"/>
          <w:lang w:val="es-ES" w:eastAsia="es-ES_tradnl"/>
        </w:rPr>
        <w:t xml:space="preserve">- Las funciones de contraloría interna estarán a cargo del órgano que establezca el Ayuntamiento. </w:t>
      </w:r>
    </w:p>
    <w:p w14:paraId="43D4506E"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r w:rsidRPr="00A90971">
        <w:rPr>
          <w:rFonts w:ascii="Palatino Linotype" w:eastAsia="Calibri" w:hAnsi="Palatino Linotype" w:cs="Tahoma"/>
          <w:b/>
          <w:i/>
          <w:iCs/>
          <w:szCs w:val="22"/>
          <w:lang w:val="es-ES" w:eastAsia="es-ES_tradnl"/>
        </w:rPr>
        <w:t>Artículo 111.-</w:t>
      </w:r>
      <w:r w:rsidRPr="00A90971">
        <w:rPr>
          <w:rFonts w:ascii="Palatino Linotype" w:eastAsia="Calibri" w:hAnsi="Palatino Linotype" w:cs="Tahoma"/>
          <w:i/>
          <w:iCs/>
          <w:szCs w:val="22"/>
          <w:lang w:val="es-ES" w:eastAsia="es-ES_tradnl"/>
        </w:rPr>
        <w:t xml:space="preserve"> La contraloría municipal tendrá un titular denominado Contralor, quien será designado por el ayuntamiento a propuesta del presidente municipal. </w:t>
      </w:r>
    </w:p>
    <w:p w14:paraId="431E5C0F"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r w:rsidRPr="00A90971">
        <w:rPr>
          <w:rFonts w:ascii="Palatino Linotype" w:eastAsia="Calibri" w:hAnsi="Palatino Linotype" w:cs="Tahoma"/>
          <w:b/>
          <w:i/>
          <w:iCs/>
          <w:szCs w:val="22"/>
          <w:lang w:val="es-ES" w:eastAsia="es-ES_tradnl"/>
        </w:rPr>
        <w:t>Artículo 112.</w:t>
      </w:r>
      <w:r w:rsidRPr="00A90971">
        <w:rPr>
          <w:rFonts w:ascii="Palatino Linotype" w:eastAsia="Calibri" w:hAnsi="Palatino Linotype" w:cs="Tahoma"/>
          <w:i/>
          <w:iCs/>
          <w:szCs w:val="22"/>
          <w:lang w:val="es-ES" w:eastAsia="es-ES_tradnl"/>
        </w:rPr>
        <w:t xml:space="preserve"> El órgano interno de control municipal, tendrá a su cargo las funciones siguientes: </w:t>
      </w:r>
    </w:p>
    <w:p w14:paraId="7EBE8BF4"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r w:rsidRPr="00A90971">
        <w:rPr>
          <w:rFonts w:ascii="Palatino Linotype" w:eastAsia="Calibri" w:hAnsi="Palatino Linotype" w:cs="Tahoma"/>
          <w:i/>
          <w:iCs/>
          <w:szCs w:val="22"/>
          <w:lang w:val="es-ES" w:eastAsia="es-ES_tradnl"/>
        </w:rPr>
        <w:t>I a XV…</w:t>
      </w:r>
    </w:p>
    <w:p w14:paraId="6F0C0E0B"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r w:rsidRPr="00A90971">
        <w:rPr>
          <w:rFonts w:ascii="Palatino Linotype" w:eastAsia="Calibri" w:hAnsi="Palatino Linotype" w:cs="Tahoma"/>
          <w:i/>
          <w:iCs/>
          <w:szCs w:val="22"/>
          <w:lang w:val="es-ES" w:eastAsia="es-ES_tradnl"/>
        </w:rPr>
        <w:t>XVI. Verificar que los servidores públicos municipales cumplan con la obligación de presentar oportunamente la manifestación de bienes, en términos de la Ley de Responsabilidades de los Servidores Públicos del Estado y Municipios;</w:t>
      </w:r>
    </w:p>
    <w:p w14:paraId="3C83A652" w14:textId="77777777" w:rsidR="00CF7837" w:rsidRPr="00A90971" w:rsidRDefault="00CF7837" w:rsidP="00CF7837">
      <w:pPr>
        <w:tabs>
          <w:tab w:val="left" w:pos="1528"/>
        </w:tabs>
        <w:spacing w:line="360" w:lineRule="auto"/>
        <w:ind w:left="567" w:right="680"/>
        <w:jc w:val="both"/>
        <w:rPr>
          <w:rFonts w:ascii="Palatino Linotype" w:eastAsia="Calibri" w:hAnsi="Palatino Linotype" w:cs="Tahoma"/>
          <w:i/>
          <w:iCs/>
          <w:szCs w:val="22"/>
          <w:lang w:val="es-ES" w:eastAsia="es-ES_tradnl"/>
        </w:rPr>
      </w:pPr>
      <w:r w:rsidRPr="00A90971">
        <w:rPr>
          <w:rFonts w:ascii="Palatino Linotype" w:eastAsia="Calibri" w:hAnsi="Palatino Linotype" w:cs="Tahoma"/>
          <w:i/>
          <w:iCs/>
          <w:szCs w:val="22"/>
          <w:lang w:val="es-ES" w:eastAsia="es-ES_tradnl"/>
        </w:rPr>
        <w:t>XII a XX…</w:t>
      </w:r>
    </w:p>
    <w:p w14:paraId="2190680A"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BF40FB7"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De lo anterior, se puede advertir que la Contraloría Municipal estará a cargo de un Contralor el cual entre sus funciones se encuentra la de verificar que los servidores públicos municipales cumplan con la obligación de presentar oportunamente la manifestación de bienes. </w:t>
      </w:r>
    </w:p>
    <w:p w14:paraId="1D0BAF48"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645021CA" w14:textId="77777777" w:rsidR="00C80268"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Por su parte la Ley de </w:t>
      </w:r>
      <w:r w:rsidR="00C80268">
        <w:rPr>
          <w:rFonts w:ascii="Palatino Linotype" w:eastAsia="Calibri" w:hAnsi="Palatino Linotype" w:cs="Tahoma"/>
          <w:iCs/>
          <w:sz w:val="22"/>
          <w:szCs w:val="22"/>
          <w:lang w:val="es-ES" w:eastAsia="es-ES_tradnl"/>
        </w:rPr>
        <w:t>Responsabilidades Administrativas del Estado de México y Municipios establece lo siguiente:</w:t>
      </w:r>
    </w:p>
    <w:p w14:paraId="712D2AE8" w14:textId="77777777" w:rsidR="00C80268" w:rsidRDefault="00C80268" w:rsidP="00CF7837">
      <w:pPr>
        <w:tabs>
          <w:tab w:val="left" w:pos="1528"/>
        </w:tabs>
        <w:spacing w:line="360" w:lineRule="auto"/>
        <w:jc w:val="both"/>
        <w:rPr>
          <w:rFonts w:ascii="Palatino Linotype" w:eastAsia="Calibri" w:hAnsi="Palatino Linotype" w:cs="Tahoma"/>
          <w:iCs/>
          <w:sz w:val="22"/>
          <w:szCs w:val="22"/>
          <w:lang w:val="es-ES" w:eastAsia="es-ES_tradnl"/>
        </w:rPr>
      </w:pPr>
    </w:p>
    <w:p w14:paraId="6CD3EF07" w14:textId="77777777" w:rsidR="00C80268" w:rsidRPr="00C80268" w:rsidRDefault="00C80268" w:rsidP="00C80268">
      <w:pPr>
        <w:tabs>
          <w:tab w:val="left" w:pos="1528"/>
        </w:tabs>
        <w:spacing w:line="360" w:lineRule="auto"/>
        <w:ind w:left="567" w:right="680"/>
        <w:jc w:val="both"/>
        <w:rPr>
          <w:rFonts w:ascii="Palatino Linotype" w:eastAsia="Calibri" w:hAnsi="Palatino Linotype" w:cs="Tahoma"/>
          <w:i/>
          <w:iCs/>
          <w:szCs w:val="22"/>
          <w:lang w:val="es-ES" w:eastAsia="es-ES_tradnl"/>
        </w:rPr>
      </w:pPr>
      <w:r w:rsidRPr="00C80268">
        <w:rPr>
          <w:rFonts w:ascii="Palatino Linotype" w:eastAsia="Calibri" w:hAnsi="Palatino Linotype" w:cs="Tahoma"/>
          <w:b/>
          <w:i/>
          <w:iCs/>
          <w:szCs w:val="22"/>
          <w:lang w:val="es-ES" w:eastAsia="es-ES_tradnl"/>
        </w:rPr>
        <w:t>Artículo 33.</w:t>
      </w:r>
      <w:r w:rsidRPr="00C80268">
        <w:rPr>
          <w:rFonts w:ascii="Palatino Linotype" w:eastAsia="Calibri" w:hAnsi="Palatino Linotype" w:cs="Tahoma"/>
          <w:i/>
          <w:iCs/>
          <w:szCs w:val="22"/>
          <w:lang w:val="es-ES" w:eastAsia="es-ES_tradnl"/>
        </w:rPr>
        <w:t xml:space="preserve"> </w:t>
      </w:r>
      <w:r w:rsidRPr="00C80268">
        <w:rPr>
          <w:rFonts w:ascii="Palatino Linotype" w:eastAsia="Calibri" w:hAnsi="Palatino Linotype" w:cs="Tahoma"/>
          <w:b/>
          <w:i/>
          <w:iCs/>
          <w:szCs w:val="22"/>
          <w:u w:val="single"/>
          <w:lang w:val="es-ES" w:eastAsia="es-ES_tradnl"/>
        </w:rPr>
        <w:t>Estarán obligados a presentar las declaraciones de situación patrimonial y de intereses,</w:t>
      </w:r>
      <w:r w:rsidRPr="00C80268">
        <w:rPr>
          <w:rFonts w:ascii="Palatino Linotype" w:eastAsia="Calibri" w:hAnsi="Palatino Linotype" w:cs="Tahoma"/>
          <w:i/>
          <w:iCs/>
          <w:szCs w:val="22"/>
          <w:lang w:val="es-ES" w:eastAsia="es-ES_tradnl"/>
        </w:rPr>
        <w:t xml:space="preserve"> bajo protesta de decir verdad ante la Secretaría de la Contraloría o los órganos internos de control, </w:t>
      </w:r>
      <w:r w:rsidRPr="00C80268">
        <w:rPr>
          <w:rFonts w:ascii="Palatino Linotype" w:eastAsia="Calibri" w:hAnsi="Palatino Linotype" w:cs="Tahoma"/>
          <w:b/>
          <w:i/>
          <w:iCs/>
          <w:szCs w:val="22"/>
          <w:u w:val="single"/>
          <w:lang w:val="es-ES" w:eastAsia="es-ES_tradnl"/>
        </w:rPr>
        <w:t>todos los servidores públicos estatales y municipales</w:t>
      </w:r>
      <w:r w:rsidRPr="00C80268">
        <w:rPr>
          <w:rFonts w:ascii="Palatino Linotype" w:eastAsia="Calibri" w:hAnsi="Palatino Linotype" w:cs="Tahoma"/>
          <w:i/>
          <w:iCs/>
          <w:szCs w:val="22"/>
          <w:lang w:val="es-ES" w:eastAsia="es-ES_tradnl"/>
        </w:rPr>
        <w:t xml:space="preserve">, en los términos previstos en la presente Ley. </w:t>
      </w:r>
    </w:p>
    <w:p w14:paraId="1985DD5A" w14:textId="77777777" w:rsidR="00C80268" w:rsidRPr="00C80268" w:rsidRDefault="00C80268" w:rsidP="00C80268">
      <w:pPr>
        <w:tabs>
          <w:tab w:val="left" w:pos="1528"/>
        </w:tabs>
        <w:spacing w:line="360" w:lineRule="auto"/>
        <w:ind w:left="567" w:right="680"/>
        <w:jc w:val="both"/>
        <w:rPr>
          <w:rFonts w:ascii="Palatino Linotype" w:eastAsia="Calibri" w:hAnsi="Palatino Linotype" w:cs="Tahoma"/>
          <w:i/>
          <w:iCs/>
          <w:szCs w:val="22"/>
          <w:lang w:val="es-ES" w:eastAsia="es-ES_tradnl"/>
        </w:rPr>
      </w:pPr>
    </w:p>
    <w:p w14:paraId="3F897846" w14:textId="77777777" w:rsidR="00CF7837" w:rsidRPr="00C80268" w:rsidRDefault="00C80268" w:rsidP="00C80268">
      <w:pPr>
        <w:tabs>
          <w:tab w:val="left" w:pos="1528"/>
        </w:tabs>
        <w:spacing w:line="360" w:lineRule="auto"/>
        <w:ind w:left="567" w:right="680"/>
        <w:jc w:val="both"/>
        <w:rPr>
          <w:rFonts w:ascii="Palatino Linotype" w:eastAsia="Calibri" w:hAnsi="Palatino Linotype" w:cs="Tahoma"/>
          <w:i/>
          <w:iCs/>
          <w:szCs w:val="22"/>
          <w:lang w:val="es-ES" w:eastAsia="es-ES_tradnl"/>
        </w:rPr>
      </w:pPr>
      <w:r w:rsidRPr="00C80268">
        <w:rPr>
          <w:rFonts w:ascii="Palatino Linotype" w:eastAsia="Calibri" w:hAnsi="Palatino Linotype" w:cs="Tahoma"/>
          <w:i/>
          <w:iCs/>
          <w:szCs w:val="22"/>
          <w:lang w:val="es-ES" w:eastAsia="es-ES_tradnl"/>
        </w:rPr>
        <w:t xml:space="preserve">Asimismo, deberán presentar su declaración fiscal anual, en los términos que disponga la legislación de la materia. </w:t>
      </w:r>
    </w:p>
    <w:p w14:paraId="17D7E036" w14:textId="77777777" w:rsidR="00C80268" w:rsidRDefault="00C80268" w:rsidP="00CF7837">
      <w:pPr>
        <w:tabs>
          <w:tab w:val="left" w:pos="1528"/>
        </w:tabs>
        <w:spacing w:line="360" w:lineRule="auto"/>
        <w:jc w:val="both"/>
        <w:rPr>
          <w:rFonts w:ascii="Palatino Linotype" w:eastAsia="Calibri" w:hAnsi="Palatino Linotype" w:cs="Tahoma"/>
          <w:iCs/>
          <w:sz w:val="22"/>
          <w:szCs w:val="22"/>
          <w:lang w:val="es-ES" w:eastAsia="es-ES_tradnl"/>
        </w:rPr>
      </w:pPr>
    </w:p>
    <w:p w14:paraId="4FC135BB"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En ese contexto, es dable precisar que el artículo 92, fracción XIII, de la Ley de Transparencia y Acceso a la Información Pública del Estado de México y Municipios, estipula lo siguiente:</w:t>
      </w:r>
    </w:p>
    <w:p w14:paraId="42373707" w14:textId="77777777" w:rsidR="00CF7837" w:rsidRDefault="00CF7837" w:rsidP="00CF7837">
      <w:pPr>
        <w:tabs>
          <w:tab w:val="left" w:pos="1528"/>
        </w:tabs>
        <w:spacing w:line="360" w:lineRule="auto"/>
        <w:ind w:left="567" w:right="539"/>
        <w:jc w:val="both"/>
        <w:rPr>
          <w:rFonts w:ascii="Palatino Linotype" w:eastAsia="Calibri" w:hAnsi="Palatino Linotype" w:cs="Tahoma"/>
          <w:b/>
          <w:i/>
          <w:iCs/>
          <w:szCs w:val="22"/>
          <w:lang w:val="es-ES" w:eastAsia="es-ES_tradnl"/>
        </w:rPr>
      </w:pPr>
    </w:p>
    <w:p w14:paraId="5B46D731" w14:textId="77777777" w:rsidR="00CF7837" w:rsidRPr="00562C50"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562C50">
        <w:rPr>
          <w:rFonts w:ascii="Palatino Linotype" w:eastAsia="Calibri" w:hAnsi="Palatino Linotype" w:cs="Tahoma"/>
          <w:b/>
          <w:i/>
          <w:iCs/>
          <w:szCs w:val="22"/>
          <w:lang w:val="es-ES" w:eastAsia="es-ES_tradnl"/>
        </w:rPr>
        <w:t>Artículo 92</w:t>
      </w:r>
      <w:r w:rsidRPr="00562C50">
        <w:rPr>
          <w:rFonts w:ascii="Palatino Linotype" w:eastAsia="Calibri" w:hAnsi="Palatino Linotype" w:cs="Tahoma"/>
          <w:i/>
          <w:iCs/>
          <w:szCs w:val="22"/>
          <w:lang w:val="es-ES"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7BA4FDD" w14:textId="77777777" w:rsidR="00CF7837" w:rsidRPr="00562C50"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C80268">
        <w:rPr>
          <w:rFonts w:ascii="Palatino Linotype" w:eastAsia="Calibri" w:hAnsi="Palatino Linotype" w:cs="Tahoma"/>
          <w:b/>
          <w:i/>
          <w:iCs/>
          <w:szCs w:val="22"/>
          <w:lang w:val="es-ES" w:eastAsia="es-ES_tradnl"/>
        </w:rPr>
        <w:t>I</w:t>
      </w:r>
      <w:r w:rsidRPr="00562C50">
        <w:rPr>
          <w:rFonts w:ascii="Palatino Linotype" w:eastAsia="Calibri" w:hAnsi="Palatino Linotype" w:cs="Tahoma"/>
          <w:i/>
          <w:iCs/>
          <w:szCs w:val="22"/>
          <w:lang w:val="es-ES" w:eastAsia="es-ES_tradnl"/>
        </w:rPr>
        <w:t xml:space="preserve"> a </w:t>
      </w:r>
      <w:r w:rsidRPr="00C80268">
        <w:rPr>
          <w:rFonts w:ascii="Palatino Linotype" w:eastAsia="Calibri" w:hAnsi="Palatino Linotype" w:cs="Tahoma"/>
          <w:b/>
          <w:i/>
          <w:iCs/>
          <w:szCs w:val="22"/>
          <w:lang w:val="es-ES" w:eastAsia="es-ES_tradnl"/>
        </w:rPr>
        <w:t>XII</w:t>
      </w:r>
      <w:r w:rsidRPr="00562C50">
        <w:rPr>
          <w:rFonts w:ascii="Palatino Linotype" w:eastAsia="Calibri" w:hAnsi="Palatino Linotype" w:cs="Tahoma"/>
          <w:i/>
          <w:iCs/>
          <w:szCs w:val="22"/>
          <w:lang w:val="es-ES" w:eastAsia="es-ES_tradnl"/>
        </w:rPr>
        <w:t xml:space="preserve">… </w:t>
      </w:r>
    </w:p>
    <w:p w14:paraId="51969BB0" w14:textId="77777777" w:rsidR="00CF7837" w:rsidRPr="00562C50"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C80268">
        <w:rPr>
          <w:rFonts w:ascii="Palatino Linotype" w:eastAsia="Calibri" w:hAnsi="Palatino Linotype" w:cs="Tahoma"/>
          <w:b/>
          <w:i/>
          <w:iCs/>
          <w:szCs w:val="22"/>
          <w:lang w:val="es-ES" w:eastAsia="es-ES_tradnl"/>
        </w:rPr>
        <w:t>XIII</w:t>
      </w:r>
      <w:r w:rsidRPr="00562C50">
        <w:rPr>
          <w:rFonts w:ascii="Palatino Linotype" w:eastAsia="Calibri" w:hAnsi="Palatino Linotype" w:cs="Tahoma"/>
          <w:i/>
          <w:iCs/>
          <w:szCs w:val="22"/>
          <w:lang w:val="es-ES" w:eastAsia="es-ES_tradnl"/>
        </w:rPr>
        <w:t>. La información en versión pública de las declaraciones patrimoniales y de intereses de los servidores públicos que así lo determinen, en los sistemas habilitados para ello, de acuerdo a la normatividad aplicable;</w:t>
      </w:r>
    </w:p>
    <w:p w14:paraId="19DF96F1" w14:textId="77777777" w:rsidR="00CF7837" w:rsidRPr="00562C50"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C80268">
        <w:rPr>
          <w:rFonts w:ascii="Palatino Linotype" w:eastAsia="Calibri" w:hAnsi="Palatino Linotype" w:cs="Tahoma"/>
          <w:b/>
          <w:i/>
          <w:iCs/>
          <w:szCs w:val="22"/>
          <w:lang w:val="es-ES" w:eastAsia="es-ES_tradnl"/>
        </w:rPr>
        <w:t>XIV</w:t>
      </w:r>
      <w:r w:rsidRPr="00562C50">
        <w:rPr>
          <w:rFonts w:ascii="Palatino Linotype" w:eastAsia="Calibri" w:hAnsi="Palatino Linotype" w:cs="Tahoma"/>
          <w:i/>
          <w:iCs/>
          <w:szCs w:val="22"/>
          <w:lang w:val="es-ES" w:eastAsia="es-ES_tradnl"/>
        </w:rPr>
        <w:t xml:space="preserve"> a </w:t>
      </w:r>
      <w:r w:rsidRPr="00C80268">
        <w:rPr>
          <w:rFonts w:ascii="Palatino Linotype" w:eastAsia="Calibri" w:hAnsi="Palatino Linotype" w:cs="Tahoma"/>
          <w:b/>
          <w:i/>
          <w:iCs/>
          <w:szCs w:val="22"/>
          <w:lang w:val="es-ES" w:eastAsia="es-ES_tradnl"/>
        </w:rPr>
        <w:t>LII</w:t>
      </w:r>
      <w:r w:rsidRPr="00562C50">
        <w:rPr>
          <w:rFonts w:ascii="Palatino Linotype" w:eastAsia="Calibri" w:hAnsi="Palatino Linotype" w:cs="Tahoma"/>
          <w:i/>
          <w:iCs/>
          <w:szCs w:val="22"/>
          <w:lang w:val="es-ES" w:eastAsia="es-ES_tradnl"/>
        </w:rPr>
        <w:t>…”</w:t>
      </w:r>
    </w:p>
    <w:p w14:paraId="31AE5386"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07C70976"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Aunado </w:t>
      </w:r>
      <w:r w:rsidRPr="00A90971">
        <w:rPr>
          <w:rFonts w:ascii="Palatino Linotype" w:eastAsia="Calibri" w:hAnsi="Palatino Linotype" w:cs="Tahoma"/>
          <w:iCs/>
          <w:sz w:val="22"/>
          <w:szCs w:val="22"/>
          <w:lang w:val="es-ES" w:eastAsia="es-ES_tradnl"/>
        </w:rPr>
        <w:t>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14:paraId="79C295CE"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8FA0AE7" w14:textId="77777777" w:rsidR="00CF7837" w:rsidRPr="00BF28CC"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F28CC">
        <w:rPr>
          <w:rFonts w:ascii="Palatino Linotype" w:eastAsia="Calibri" w:hAnsi="Palatino Linotype" w:cs="Tahoma"/>
          <w:i/>
          <w:iCs/>
          <w:szCs w:val="22"/>
          <w:lang w:val="es-ES" w:eastAsia="es-ES_tradnl"/>
        </w:rPr>
        <w:t xml:space="preserve">XII. La información en Versión Pública de las declaraciones patrimoniales, de los Servidores Públicos que así lo determinen, en los sistemas habilitados para ello de acuerdo a la normatividad aplicable </w:t>
      </w:r>
    </w:p>
    <w:p w14:paraId="6B811E8D" w14:textId="77777777" w:rsidR="00CF7837" w:rsidRPr="00BF28CC"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537DF0DF" w14:textId="77777777" w:rsidR="00CF783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F28CC">
        <w:rPr>
          <w:rFonts w:ascii="Palatino Linotype" w:eastAsia="Calibri" w:hAnsi="Palatino Linotype" w:cs="Tahoma"/>
          <w:i/>
          <w:iCs/>
          <w:szCs w:val="22"/>
          <w:lang w:val="es-ES" w:eastAsia="es-ES_tradnl"/>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w:t>
      </w:r>
      <w:r w:rsidRPr="00BF28CC">
        <w:rPr>
          <w:rFonts w:ascii="Palatino Linotype" w:eastAsia="Calibri" w:hAnsi="Palatino Linotype" w:cs="Tahoma"/>
          <w:i/>
          <w:iCs/>
          <w:szCs w:val="22"/>
          <w:lang w:val="es-ES" w:eastAsia="es-ES_tradnl"/>
        </w:rPr>
        <w:lastRenderedPageBreak/>
        <w:t xml:space="preserve">presentar declaración de situación patrimonial en sus tres modalidades: inicio, modificación y de conclusión, de conformidad con la normatividad que resulte aplicable en la materia. </w:t>
      </w:r>
    </w:p>
    <w:p w14:paraId="218E7959" w14:textId="77777777" w:rsidR="00C80268" w:rsidRDefault="00C80268"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71D2191B" w14:textId="77777777" w:rsidR="00C80268" w:rsidRDefault="00C80268"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C80268">
        <w:rPr>
          <w:rFonts w:ascii="Palatino Linotype" w:eastAsia="Calibri" w:hAnsi="Palatino Linotype" w:cs="Tahoma"/>
          <w:i/>
          <w:iCs/>
          <w:szCs w:val="22"/>
          <w:lang w:eastAsia="es-ES_tradnl"/>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14:paraId="241A0F7B" w14:textId="77777777" w:rsidR="00C80268" w:rsidRPr="00BF28CC" w:rsidRDefault="00C80268"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16D0A01A"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Aunado a lo anterior y anqué los preceptos legales descritos, establecen la obligatoriedad de los Sujetos Obligados a que publiquen de manera permanente y actualizada, de forma sencilla, precisa y entendible, la información generada correspondiente a las declaraciones patrimoniales de los servidores públicos que así lo determinen, es decir mediante autorización previa y específica de los mismos; sin embargo, dicha obligatoriedad se encuentra sujeta a la tablas de aplicabilidad de cada uno de los Sujetos Obligados.</w:t>
      </w:r>
    </w:p>
    <w:p w14:paraId="5C9AC4AF"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878531A"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Aunado a lo anterior, es importante resaltar que de acuerdo a las “Tablas de aplicabilidad”, al SUJETO </w:t>
      </w:r>
      <w:r w:rsidRPr="00261069">
        <w:rPr>
          <w:rFonts w:ascii="Palatino Linotype" w:eastAsia="Calibri" w:hAnsi="Palatino Linotype" w:cs="Tahoma"/>
          <w:iCs/>
          <w:sz w:val="22"/>
          <w:szCs w:val="22"/>
          <w:lang w:val="es-ES" w:eastAsia="es-ES_tradnl"/>
        </w:rPr>
        <w:t>OBLIGADO no le aplica el cumplimiento del artículo 92, fracción XIII de la Ley de la Materia, tal como se muestra a continuación:</w:t>
      </w:r>
      <w:r w:rsidRPr="00A90971">
        <w:rPr>
          <w:rFonts w:ascii="Palatino Linotype" w:eastAsia="Calibri" w:hAnsi="Palatino Linotype" w:cs="Tahoma"/>
          <w:iCs/>
          <w:sz w:val="22"/>
          <w:szCs w:val="22"/>
          <w:lang w:val="es-ES" w:eastAsia="es-ES_tradnl"/>
        </w:rPr>
        <w:t xml:space="preserve"> </w:t>
      </w:r>
    </w:p>
    <w:p w14:paraId="7B18EB00" w14:textId="77777777" w:rsidR="00CF7837" w:rsidRPr="00A90971" w:rsidRDefault="00894AAC" w:rsidP="00894AAC">
      <w:pPr>
        <w:tabs>
          <w:tab w:val="left" w:pos="1528"/>
        </w:tabs>
        <w:spacing w:line="360" w:lineRule="auto"/>
        <w:jc w:val="center"/>
        <w:rPr>
          <w:rFonts w:ascii="Palatino Linotype" w:eastAsia="Calibri" w:hAnsi="Palatino Linotype" w:cs="Tahoma"/>
          <w:iCs/>
          <w:sz w:val="22"/>
          <w:szCs w:val="22"/>
          <w:lang w:val="es-ES" w:eastAsia="es-ES_tradnl"/>
        </w:rPr>
      </w:pPr>
      <w:r>
        <w:rPr>
          <w:noProof/>
          <w:lang w:eastAsia="es-MX"/>
        </w:rPr>
        <mc:AlternateContent>
          <mc:Choice Requires="wps">
            <w:drawing>
              <wp:anchor distT="0" distB="0" distL="114300" distR="114300" simplePos="0" relativeHeight="251660288" behindDoc="0" locked="0" layoutInCell="1" allowOverlap="1" wp14:anchorId="5A56A41D" wp14:editId="48E2DF8D">
                <wp:simplePos x="0" y="0"/>
                <wp:positionH relativeFrom="column">
                  <wp:posOffset>772794</wp:posOffset>
                </wp:positionH>
                <wp:positionV relativeFrom="paragraph">
                  <wp:posOffset>2310130</wp:posOffset>
                </wp:positionV>
                <wp:extent cx="4162425" cy="1428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162425" cy="142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2F08" id="Rectángulo 5" o:spid="_x0000_s1026" style="position:absolute;margin-left:60.85pt;margin-top:181.9pt;width:327.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14:anchorId="42A6F718" wp14:editId="1A622984">
                <wp:simplePos x="0" y="0"/>
                <wp:positionH relativeFrom="column">
                  <wp:posOffset>1071880</wp:posOffset>
                </wp:positionH>
                <wp:positionV relativeFrom="paragraph">
                  <wp:posOffset>394970</wp:posOffset>
                </wp:positionV>
                <wp:extent cx="1794295" cy="138023"/>
                <wp:effectExtent l="19050" t="19050" r="15875" b="14605"/>
                <wp:wrapNone/>
                <wp:docPr id="4" name="Rectángulo 4"/>
                <wp:cNvGraphicFramePr/>
                <a:graphic xmlns:a="http://schemas.openxmlformats.org/drawingml/2006/main">
                  <a:graphicData uri="http://schemas.microsoft.com/office/word/2010/wordprocessingShape">
                    <wps:wsp>
                      <wps:cNvSpPr/>
                      <wps:spPr>
                        <a:xfrm>
                          <a:off x="0" y="0"/>
                          <a:ext cx="1794295" cy="13802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02E2D" id="Rectángulo 4" o:spid="_x0000_s1026" style="position:absolute;margin-left:84.4pt;margin-top:31.1pt;width:141.3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" filled="f" strokecolor="red" strokeweight="2.25pt"/>
            </w:pict>
          </mc:Fallback>
        </mc:AlternateContent>
      </w:r>
      <w:r>
        <w:rPr>
          <w:noProof/>
          <w:lang w:eastAsia="es-MX"/>
        </w:rPr>
        <w:drawing>
          <wp:inline distT="0" distB="0" distL="0" distR="0" wp14:anchorId="42DF5F9B" wp14:editId="0E638F0F">
            <wp:extent cx="4185928" cy="260985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3" t="25064" r="57541" b="29525"/>
                    <a:stretch/>
                  </pic:blipFill>
                  <pic:spPr bwMode="auto">
                    <a:xfrm>
                      <a:off x="0" y="0"/>
                      <a:ext cx="4186987" cy="2610510"/>
                    </a:xfrm>
                    <a:prstGeom prst="rect">
                      <a:avLst/>
                    </a:prstGeom>
                    <a:ln>
                      <a:noFill/>
                    </a:ln>
                    <a:extLst>
                      <a:ext uri="{53640926-AAD7-44D8-BBD7-CCE9431645EC}">
                        <a14:shadowObscured xmlns:a14="http://schemas.microsoft.com/office/drawing/2010/main"/>
                      </a:ext>
                    </a:extLst>
                  </pic:spPr>
                </pic:pic>
              </a:graphicData>
            </a:graphic>
          </wp:inline>
        </w:drawing>
      </w:r>
    </w:p>
    <w:p w14:paraId="05FC680C"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F305061"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Con lo anterior, se advierte que únicamente corresponde a la Contraloría Municipal el de verificar que los servidores públicos municipales cumplan con la obligación de presentar oportunamente la declaración de situación patrimonial; asimismo no se encuentra constreñido a tener disponible la información relacionada con </w:t>
      </w:r>
      <w:r w:rsidR="00894AAC">
        <w:rPr>
          <w:rFonts w:ascii="Palatino Linotype" w:eastAsia="Calibri" w:hAnsi="Palatino Linotype" w:cs="Tahoma"/>
          <w:iCs/>
          <w:sz w:val="22"/>
          <w:szCs w:val="22"/>
          <w:lang w:val="es-ES" w:eastAsia="es-ES_tradnl"/>
        </w:rPr>
        <w:t xml:space="preserve">las </w:t>
      </w:r>
      <w:r w:rsidRPr="00A90971">
        <w:rPr>
          <w:rFonts w:ascii="Palatino Linotype" w:eastAsia="Calibri" w:hAnsi="Palatino Linotype" w:cs="Tahoma"/>
          <w:iCs/>
          <w:sz w:val="22"/>
          <w:szCs w:val="22"/>
          <w:lang w:val="es-ES" w:eastAsia="es-ES_tradnl"/>
        </w:rPr>
        <w:t xml:space="preserve">declaraciones de los servidores públicos, materia de la presente solicitud. </w:t>
      </w:r>
    </w:p>
    <w:p w14:paraId="3B885FAC"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79CB196E"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Ahora bien, es importante señalar que el artículo 32 de la Ley General de Responsabilidades Administrativas, establece:</w:t>
      </w:r>
    </w:p>
    <w:p w14:paraId="7F9B89E4"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0D05F6A1" w14:textId="77777777" w:rsidR="00CF7837" w:rsidRPr="00C02551"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C02551">
        <w:rPr>
          <w:rFonts w:ascii="Palatino Linotype" w:eastAsia="Calibri" w:hAnsi="Palatino Linotype" w:cs="Tahoma"/>
          <w:b/>
          <w:i/>
          <w:iCs/>
          <w:szCs w:val="22"/>
          <w:lang w:val="es-ES" w:eastAsia="es-ES_tradnl"/>
        </w:rPr>
        <w:t>Artículo 32.</w:t>
      </w:r>
      <w:r w:rsidRPr="00C02551">
        <w:rPr>
          <w:rFonts w:ascii="Palatino Linotype" w:eastAsia="Calibri" w:hAnsi="Palatino Linotype" w:cs="Tahoma"/>
          <w:i/>
          <w:iCs/>
          <w:szCs w:val="22"/>
          <w:lang w:val="es-ES" w:eastAsia="es-ES_tradnl"/>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14:paraId="38D32946"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17E33168"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w:t>
      </w:r>
      <w:r>
        <w:rPr>
          <w:rFonts w:ascii="Palatino Linotype" w:eastAsia="Calibri" w:hAnsi="Palatino Linotype" w:cs="Tahoma"/>
          <w:iCs/>
          <w:sz w:val="22"/>
          <w:szCs w:val="22"/>
          <w:lang w:val="es-ES" w:eastAsia="es-ES_tradnl"/>
        </w:rPr>
        <w:t>tado Libre y Soberano de México</w:t>
      </w:r>
      <w:r w:rsidRPr="00A90971">
        <w:rPr>
          <w:rFonts w:ascii="Palatino Linotype" w:eastAsia="Calibri" w:hAnsi="Palatino Linotype" w:cs="Tahoma"/>
          <w:iCs/>
          <w:sz w:val="22"/>
          <w:szCs w:val="22"/>
          <w:lang w:val="es-ES" w:eastAsia="es-ES_tradnl"/>
        </w:rPr>
        <w:t>.</w:t>
      </w:r>
    </w:p>
    <w:p w14:paraId="01EB277F"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556D5E8"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Es así que, la obligación de presentar su declaración de situación patrimonial, es exclusiva de aquellas personas que desempeñen un empleo, cargo o comisión en los entes públicos, en el ámbito federal y local, lo que engloba al </w:t>
      </w:r>
      <w:r>
        <w:rPr>
          <w:rFonts w:ascii="Palatino Linotype" w:eastAsia="Calibri" w:hAnsi="Palatino Linotype" w:cs="Tahoma"/>
          <w:iCs/>
          <w:sz w:val="22"/>
          <w:szCs w:val="22"/>
          <w:lang w:val="es-ES" w:eastAsia="es-ES_tradnl"/>
        </w:rPr>
        <w:t>Presidente</w:t>
      </w:r>
      <w:r w:rsidRPr="00A90971">
        <w:rPr>
          <w:rFonts w:ascii="Palatino Linotype" w:eastAsia="Calibri" w:hAnsi="Palatino Linotype" w:cs="Tahoma"/>
          <w:iCs/>
          <w:sz w:val="22"/>
          <w:szCs w:val="22"/>
          <w:lang w:val="es-ES" w:eastAsia="es-ES_tradnl"/>
        </w:rPr>
        <w:t xml:space="preserve"> Municipal.</w:t>
      </w:r>
    </w:p>
    <w:p w14:paraId="5F58E38C"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701E6087"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Aunado a lo anterior, la Ley de Responsabilidades Administrativas del Estado de México y Municipios establece en el artículo 2 fracción VI que tiene como objeto establecer las obligaciones y el procedimiento para la declaración de situación patrimonial, la declaración </w:t>
      </w:r>
      <w:r w:rsidRPr="00A90971">
        <w:rPr>
          <w:rFonts w:ascii="Palatino Linotype" w:eastAsia="Calibri" w:hAnsi="Palatino Linotype" w:cs="Tahoma"/>
          <w:iCs/>
          <w:sz w:val="22"/>
          <w:szCs w:val="22"/>
          <w:lang w:val="es-ES" w:eastAsia="es-ES_tradnl"/>
        </w:rPr>
        <w:lastRenderedPageBreak/>
        <w:t>de intereses y la presentación de la constancia de declaración fiscal de los servidores públicos, del mismo modo la normatividad en mención establece en sus artículos 33, 34 y 35 lo siguiente:</w:t>
      </w:r>
    </w:p>
    <w:p w14:paraId="5869FFBF"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75852105"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b/>
          <w:i/>
          <w:iCs/>
          <w:szCs w:val="22"/>
          <w:lang w:val="es-ES" w:eastAsia="es-ES_tradnl"/>
        </w:rPr>
        <w:t>Artículo 33</w:t>
      </w:r>
      <w:r w:rsidRPr="00B478A6">
        <w:rPr>
          <w:rFonts w:ascii="Palatino Linotype" w:eastAsia="Calibri" w:hAnsi="Palatino Linotype" w:cs="Tahoma"/>
          <w:i/>
          <w:iCs/>
          <w:szCs w:val="22"/>
          <w:lang w:val="es-ES" w:eastAsia="es-ES_tradnl"/>
        </w:rPr>
        <w:t>.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14:paraId="0F50A678"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Asimismo, deberán presentar su declaración fiscal anual, en los términos que disponga la legislación de la materia.” </w:t>
      </w:r>
    </w:p>
    <w:p w14:paraId="240F0191"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6EBBE573"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b/>
          <w:i/>
          <w:iCs/>
          <w:szCs w:val="22"/>
          <w:lang w:val="es-ES" w:eastAsia="es-ES_tradnl"/>
        </w:rPr>
        <w:t>Artículo 34.</w:t>
      </w:r>
      <w:r w:rsidRPr="00B478A6">
        <w:rPr>
          <w:rFonts w:ascii="Palatino Linotype" w:eastAsia="Calibri" w:hAnsi="Palatino Linotype" w:cs="Tahoma"/>
          <w:i/>
          <w:iCs/>
          <w:szCs w:val="22"/>
          <w:lang w:val="es-ES" w:eastAsia="es-ES_tradnl"/>
        </w:rPr>
        <w:t xml:space="preserve"> La declaración de situación patrimonial, deberá presentarse en los siguientes plazos:</w:t>
      </w:r>
    </w:p>
    <w:p w14:paraId="395E5B72"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Declaración inicial, dentro de los sesenta días naturales siguientes a la toma de posesión con motivo del:</w:t>
      </w:r>
    </w:p>
    <w:p w14:paraId="73E70931"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Ingreso al servicio público por primera vez.</w:t>
      </w:r>
    </w:p>
    <w:p w14:paraId="01588268"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b) Reingreso al servicio público después de sesenta días naturales de la conclusión de su último encargo.</w:t>
      </w:r>
    </w:p>
    <w:p w14:paraId="3B8F8EF2"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II. Declaración de modificación patrimonial, durante el mes de mayo de cada año. </w:t>
      </w:r>
    </w:p>
    <w:p w14:paraId="0D6BB87A"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III. Declaración de conclusión del encargo, dentro de los sesenta días naturales siguientes a la conclusión.</w:t>
      </w:r>
    </w:p>
    <w:p w14:paraId="7890E819"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En el caso de cambio de dependencia o ente público en el mismo orden de gobierno, únicamente se dará aviso de dicha situación y no será necesario presentar la declaración de conclusión. </w:t>
      </w:r>
    </w:p>
    <w:p w14:paraId="6A2507BB"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29A68C7E"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w:t>
      </w:r>
    </w:p>
    <w:p w14:paraId="75688567"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b/>
          <w:i/>
          <w:iCs/>
          <w:szCs w:val="22"/>
          <w:lang w:val="es-ES" w:eastAsia="es-ES_tradnl"/>
        </w:rPr>
        <w:t>Artículo 35</w:t>
      </w:r>
      <w:r w:rsidRPr="00B478A6">
        <w:rPr>
          <w:rFonts w:ascii="Palatino Linotype" w:eastAsia="Calibri" w:hAnsi="Palatino Linotype" w:cs="Tahoma"/>
          <w:i/>
          <w:iCs/>
          <w:szCs w:val="22"/>
          <w:lang w:val="es-ES" w:eastAsia="es-ES_tradnl"/>
        </w:rPr>
        <w:t>. La declaración de situación patrimonial, deberá ser presentada a través de medios electrónicos, empleándose medios de identificación electrónica.</w:t>
      </w:r>
    </w:p>
    <w:p w14:paraId="45D2B322"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lastRenderedPageBreak/>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14:paraId="3F2EFCCA"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La Secretaría de la Contraloría tendrá a su cargo el sistema de certificación de los medios de identificación electrónica que utilicen los servidores públicos y llevará el control de dicho medio.</w:t>
      </w:r>
    </w:p>
    <w:p w14:paraId="08A49845"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2D723C1A"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14:paraId="12786B4B" w14:textId="77777777" w:rsidR="00CF7837" w:rsidRPr="00B478A6"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30B8D86A"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E532EE1"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w:t>
      </w:r>
      <w:r w:rsidRPr="00A90971">
        <w:rPr>
          <w:rFonts w:ascii="Palatino Linotype" w:eastAsia="Calibri" w:hAnsi="Palatino Linotype" w:cs="Tahoma"/>
          <w:iCs/>
          <w:sz w:val="22"/>
          <w:szCs w:val="22"/>
          <w:lang w:val="es-ES" w:eastAsia="es-ES_tradnl"/>
        </w:rPr>
        <w:lastRenderedPageBreak/>
        <w:t>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14:paraId="183A3573"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0C2129BD"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6F4AEA89"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2814706C" w14:textId="77777777" w:rsidR="00CF7837" w:rsidRPr="006C01BA"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b/>
          <w:i/>
          <w:iCs/>
          <w:szCs w:val="22"/>
          <w:lang w:val="es-ES" w:eastAsia="es-ES_tradnl"/>
        </w:rPr>
        <w:t>Artículo 24</w:t>
      </w:r>
      <w:r w:rsidRPr="006C01BA">
        <w:rPr>
          <w:rFonts w:ascii="Palatino Linotype" w:eastAsia="Calibri" w:hAnsi="Palatino Linotype" w:cs="Tahoma"/>
          <w:i/>
          <w:iCs/>
          <w:szCs w:val="22"/>
          <w:lang w:val="es-ES" w:eastAsia="es-ES_tradnl"/>
        </w:rPr>
        <w:t>. A la Dirección General de Responsabilidades Administrativas, corresponden las atribuciones siguientes:</w:t>
      </w:r>
    </w:p>
    <w:p w14:paraId="3329B361" w14:textId="77777777" w:rsidR="00CF7837" w:rsidRPr="006C01BA"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I a V…</w:t>
      </w:r>
    </w:p>
    <w:p w14:paraId="61D36967" w14:textId="77777777" w:rsidR="00CF7837" w:rsidRPr="006C01BA"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 xml:space="preserve">VI. Recibir las declaraciones de situación patrimonial, de intereses y el acuse de la presentación de la declaración fiscal de los servidores públicos de la Administración Pública Estatal y Municipal; </w:t>
      </w:r>
    </w:p>
    <w:p w14:paraId="067F741B" w14:textId="77777777" w:rsidR="00CF7837" w:rsidRPr="006C01BA"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6295E18F" w14:textId="77777777" w:rsidR="00CF783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VIII a XLII…</w:t>
      </w:r>
    </w:p>
    <w:p w14:paraId="2AFB1C2B" w14:textId="77777777" w:rsidR="00CF7837" w:rsidRPr="006C01BA"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7E7462B4"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Así que, de los preceptos legales referidos, se advierte que a la Secretaría de la Contraloría le corresponde en a través de la Dirección General de Responsabilidades Administrativas, recibir, registrar y resguardar las declaración fiscal de los servidores públicos de la Administración Pública Estatal y Municipal; atento a ello, se dejan a salvo sus derechos del </w:t>
      </w:r>
      <w:r w:rsidRPr="00A90971">
        <w:rPr>
          <w:rFonts w:ascii="Palatino Linotype" w:eastAsia="Calibri" w:hAnsi="Palatino Linotype" w:cs="Tahoma"/>
          <w:iCs/>
          <w:sz w:val="22"/>
          <w:szCs w:val="22"/>
          <w:lang w:val="es-ES" w:eastAsia="es-ES_tradnl"/>
        </w:rPr>
        <w:lastRenderedPageBreak/>
        <w:t>particular a fin de que formule la solicitud ante el Sujeto Obligado competente; ya que dicha Secretaría se encuentra constreñida al cumplimiento del artículo 92, fracción XIII de la Ley de la Materia , y del que anteriormente, se mencionó su contenido, tal como se muestra a continuación:</w:t>
      </w:r>
    </w:p>
    <w:p w14:paraId="51FB7F5D" w14:textId="77777777" w:rsidR="00CF7837" w:rsidRPr="00A90971"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851E2E2" w14:textId="77777777" w:rsidR="00CF7837" w:rsidRPr="00A90971" w:rsidRDefault="00CF7837" w:rsidP="00CF7837">
      <w:pPr>
        <w:tabs>
          <w:tab w:val="left" w:pos="1528"/>
        </w:tabs>
        <w:spacing w:line="360" w:lineRule="auto"/>
        <w:jc w:val="center"/>
        <w:rPr>
          <w:rFonts w:ascii="Palatino Linotype" w:eastAsia="Calibri" w:hAnsi="Palatino Linotype" w:cs="Tahoma"/>
          <w:iCs/>
          <w:sz w:val="22"/>
          <w:szCs w:val="22"/>
          <w:lang w:val="es-ES" w:eastAsia="es-ES_tradnl"/>
        </w:rPr>
      </w:pPr>
      <w:r>
        <w:rPr>
          <w:noProof/>
          <w:lang w:eastAsia="es-MX"/>
        </w:rPr>
        <mc:AlternateContent>
          <mc:Choice Requires="wps">
            <w:drawing>
              <wp:anchor distT="0" distB="0" distL="114300" distR="114300" simplePos="0" relativeHeight="251662336" behindDoc="0" locked="0" layoutInCell="1" allowOverlap="1" wp14:anchorId="1C73EC72" wp14:editId="26429B85">
                <wp:simplePos x="0" y="0"/>
                <wp:positionH relativeFrom="column">
                  <wp:posOffset>2243778</wp:posOffset>
                </wp:positionH>
                <wp:positionV relativeFrom="paragraph">
                  <wp:posOffset>2340251</wp:posOffset>
                </wp:positionV>
                <wp:extent cx="2286000" cy="154616"/>
                <wp:effectExtent l="19050" t="19050" r="19050" b="17145"/>
                <wp:wrapNone/>
                <wp:docPr id="7" name="Rectángulo 7"/>
                <wp:cNvGraphicFramePr/>
                <a:graphic xmlns:a="http://schemas.openxmlformats.org/drawingml/2006/main">
                  <a:graphicData uri="http://schemas.microsoft.com/office/word/2010/wordprocessingShape">
                    <wps:wsp>
                      <wps:cNvSpPr/>
                      <wps:spPr>
                        <a:xfrm>
                          <a:off x="0" y="0"/>
                          <a:ext cx="2286000" cy="1546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BE0E8" id="Rectángulo 7" o:spid="_x0000_s1026" style="position:absolute;margin-left:176.7pt;margin-top:184.25pt;width:180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61312" behindDoc="0" locked="0" layoutInCell="1" allowOverlap="1" wp14:anchorId="64550971" wp14:editId="2D5822DF">
                <wp:simplePos x="0" y="0"/>
                <wp:positionH relativeFrom="column">
                  <wp:posOffset>1294873</wp:posOffset>
                </wp:positionH>
                <wp:positionV relativeFrom="paragraph">
                  <wp:posOffset>347549</wp:posOffset>
                </wp:positionV>
                <wp:extent cx="2130724" cy="155275"/>
                <wp:effectExtent l="19050" t="19050" r="22225" b="16510"/>
                <wp:wrapNone/>
                <wp:docPr id="6" name="Rectángulo 6"/>
                <wp:cNvGraphicFramePr/>
                <a:graphic xmlns:a="http://schemas.openxmlformats.org/drawingml/2006/main">
                  <a:graphicData uri="http://schemas.microsoft.com/office/word/2010/wordprocessingShape">
                    <wps:wsp>
                      <wps:cNvSpPr/>
                      <wps:spPr>
                        <a:xfrm>
                          <a:off x="0" y="0"/>
                          <a:ext cx="2130724" cy="15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C71EB" id="Rectángulo 6" o:spid="_x0000_s1026" style="position:absolute;margin-left:101.95pt;margin-top:27.35pt;width:167.7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" filled="f" strokecolor="red" strokeweight="2.25pt"/>
            </w:pict>
          </mc:Fallback>
        </mc:AlternateContent>
      </w:r>
      <w:r w:rsidRPr="000F36BC">
        <w:rPr>
          <w:noProof/>
          <w:lang w:eastAsia="es-MX"/>
        </w:rPr>
        <w:drawing>
          <wp:inline distT="0" distB="0" distL="0" distR="0" wp14:anchorId="293E914A" wp14:editId="60589A46">
            <wp:extent cx="4346367" cy="2492926"/>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15" t="10931" r="64868" b="51628"/>
                    <a:stretch/>
                  </pic:blipFill>
                  <pic:spPr bwMode="auto">
                    <a:xfrm>
                      <a:off x="0" y="0"/>
                      <a:ext cx="4373106" cy="2508262"/>
                    </a:xfrm>
                    <a:prstGeom prst="rect">
                      <a:avLst/>
                    </a:prstGeom>
                    <a:ln>
                      <a:noFill/>
                    </a:ln>
                    <a:extLst>
                      <a:ext uri="{53640926-AAD7-44D8-BBD7-CCE9431645EC}">
                        <a14:shadowObscured xmlns:a14="http://schemas.microsoft.com/office/drawing/2010/main"/>
                      </a:ext>
                    </a:extLst>
                  </pic:spPr>
                </pic:pic>
              </a:graphicData>
            </a:graphic>
          </wp:inline>
        </w:drawing>
      </w:r>
    </w:p>
    <w:p w14:paraId="3879D89C"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577B0B7" w14:textId="77777777" w:rsidR="00CF7837" w:rsidRPr="00A77F00"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77F00">
        <w:rPr>
          <w:rFonts w:ascii="Palatino Linotype" w:eastAsia="Calibri" w:hAnsi="Palatino Linotype" w:cs="Tahoma"/>
          <w:iCs/>
          <w:sz w:val="22"/>
          <w:szCs w:val="22"/>
          <w:lang w:val="es-ES" w:eastAsia="es-ES_tradnl"/>
        </w:rPr>
        <w:t>Adicionalmente de la normativa establecida se advierte que la dependencia encargada de controlar y resguardar la información es la Secretaria de Contraloría del Es</w:t>
      </w:r>
      <w:r>
        <w:rPr>
          <w:rFonts w:ascii="Palatino Linotype" w:eastAsia="Calibri" w:hAnsi="Palatino Linotype" w:cs="Tahoma"/>
          <w:iCs/>
          <w:sz w:val="22"/>
          <w:szCs w:val="22"/>
          <w:lang w:val="es-ES" w:eastAsia="es-ES_tradnl"/>
        </w:rPr>
        <w:t xml:space="preserve">tado de México, atento a ello, </w:t>
      </w:r>
      <w:r w:rsidRPr="00A77F00">
        <w:rPr>
          <w:rFonts w:ascii="Palatino Linotype" w:eastAsia="Calibri" w:hAnsi="Palatino Linotype" w:cs="Tahoma"/>
          <w:iCs/>
          <w:sz w:val="22"/>
          <w:szCs w:val="22"/>
          <w:lang w:val="es-ES" w:eastAsia="es-ES_tradnl"/>
        </w:rPr>
        <w:t xml:space="preserve">si bien es cierto la solicitud de información no es competencia del Sujeto Obligado, </w:t>
      </w:r>
      <w:r>
        <w:rPr>
          <w:rFonts w:ascii="Palatino Linotype" w:eastAsia="Calibri" w:hAnsi="Palatino Linotype" w:cs="Tahoma"/>
          <w:iCs/>
          <w:sz w:val="22"/>
          <w:szCs w:val="22"/>
          <w:lang w:val="es-ES" w:eastAsia="es-ES_tradnl"/>
        </w:rPr>
        <w:t xml:space="preserve">resulta conveniente traer a colación lo señalado en la </w:t>
      </w:r>
      <w:r w:rsidRPr="00A77F00">
        <w:rPr>
          <w:rFonts w:ascii="Palatino Linotype" w:eastAsia="Calibri" w:hAnsi="Palatino Linotype" w:cs="Tahoma"/>
          <w:iCs/>
          <w:sz w:val="22"/>
          <w:szCs w:val="22"/>
          <w:lang w:val="es-ES" w:eastAsia="es-ES_tradnl"/>
        </w:rPr>
        <w:t xml:space="preserve">Ley de Transparencia y Acceso a la Información Pública del Estado de México y Municipios, </w:t>
      </w:r>
      <w:r>
        <w:rPr>
          <w:rFonts w:ascii="Palatino Linotype" w:eastAsia="Calibri" w:hAnsi="Palatino Linotype" w:cs="Tahoma"/>
          <w:iCs/>
          <w:sz w:val="22"/>
          <w:szCs w:val="22"/>
          <w:lang w:val="es-ES" w:eastAsia="es-ES_tradnl"/>
        </w:rPr>
        <w:t>en</w:t>
      </w:r>
      <w:r w:rsidRPr="00A77F00">
        <w:rPr>
          <w:rFonts w:ascii="Palatino Linotype" w:eastAsia="Calibri" w:hAnsi="Palatino Linotype" w:cs="Tahoma"/>
          <w:iCs/>
          <w:sz w:val="22"/>
          <w:szCs w:val="22"/>
          <w:lang w:val="es-ES" w:eastAsia="es-ES_tradnl"/>
        </w:rPr>
        <w:t xml:space="preserve"> los artículos 49 fracción II y 167 de la Ley de, los cuales disponen lo siguiente: </w:t>
      </w:r>
    </w:p>
    <w:p w14:paraId="4BC3205D" w14:textId="77777777" w:rsidR="00CF7837" w:rsidRPr="003015D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17BD7F5B" w14:textId="77777777" w:rsidR="00CF7837" w:rsidRPr="003015D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3015D7">
        <w:rPr>
          <w:rFonts w:ascii="Palatino Linotype" w:eastAsia="Calibri" w:hAnsi="Palatino Linotype" w:cs="Tahoma"/>
          <w:b/>
          <w:i/>
          <w:iCs/>
          <w:szCs w:val="22"/>
          <w:lang w:val="es-ES" w:eastAsia="es-ES_tradnl"/>
        </w:rPr>
        <w:t>Artículo 49.</w:t>
      </w:r>
      <w:r w:rsidRPr="003015D7">
        <w:rPr>
          <w:rFonts w:ascii="Palatino Linotype" w:eastAsia="Calibri" w:hAnsi="Palatino Linotype" w:cs="Tahoma"/>
          <w:i/>
          <w:iCs/>
          <w:szCs w:val="22"/>
          <w:lang w:val="es-ES" w:eastAsia="es-ES_tradnl"/>
        </w:rPr>
        <w:t xml:space="preserve"> Los Comités de Transparencia tendrán las siguientes atribuciones:</w:t>
      </w:r>
    </w:p>
    <w:p w14:paraId="5BCB8B4A" w14:textId="77777777" w:rsidR="00CF7837" w:rsidRPr="003015D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3015D7">
        <w:rPr>
          <w:rFonts w:ascii="Palatino Linotype" w:eastAsia="Calibri" w:hAnsi="Palatino Linotype" w:cs="Tahoma"/>
          <w:i/>
          <w:iCs/>
          <w:szCs w:val="22"/>
          <w:lang w:val="es-ES" w:eastAsia="es-ES_tradnl"/>
        </w:rPr>
        <w:t>I…</w:t>
      </w:r>
    </w:p>
    <w:p w14:paraId="2AAB8FCB" w14:textId="77777777" w:rsidR="00CF7837" w:rsidRPr="003015D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3015D7">
        <w:rPr>
          <w:rFonts w:ascii="Palatino Linotype" w:eastAsia="Calibri" w:hAnsi="Palatino Linotype" w:cs="Tahoma"/>
          <w:i/>
          <w:iCs/>
          <w:szCs w:val="22"/>
          <w:lang w:val="es-ES" w:eastAsia="es-ES_tradnl"/>
        </w:rPr>
        <w:t xml:space="preserve">II. Confirmar, modificar o revocar las determinaciones que en materia de ampliación del plazo de respuesta, clasificación de la información y </w:t>
      </w:r>
      <w:r w:rsidRPr="003015D7">
        <w:rPr>
          <w:rFonts w:ascii="Palatino Linotype" w:eastAsia="Calibri" w:hAnsi="Palatino Linotype" w:cs="Tahoma"/>
          <w:b/>
          <w:i/>
          <w:iCs/>
          <w:szCs w:val="22"/>
          <w:lang w:val="es-ES" w:eastAsia="es-ES_tradnl"/>
        </w:rPr>
        <w:t>declaración de inexistencia o de incompetencia</w:t>
      </w:r>
      <w:r w:rsidRPr="003015D7">
        <w:rPr>
          <w:rFonts w:ascii="Palatino Linotype" w:eastAsia="Calibri" w:hAnsi="Palatino Linotype" w:cs="Tahoma"/>
          <w:i/>
          <w:iCs/>
          <w:szCs w:val="22"/>
          <w:lang w:val="es-ES" w:eastAsia="es-ES_tradnl"/>
        </w:rPr>
        <w:t xml:space="preserve"> realicen los titulares de las áreas de los sujetos obligados;</w:t>
      </w:r>
    </w:p>
    <w:p w14:paraId="12B82688" w14:textId="77777777" w:rsidR="00CF7837" w:rsidRPr="003015D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3015D7">
        <w:rPr>
          <w:rFonts w:ascii="Palatino Linotype" w:eastAsia="Calibri" w:hAnsi="Palatino Linotype" w:cs="Tahoma"/>
          <w:i/>
          <w:iCs/>
          <w:szCs w:val="22"/>
          <w:lang w:val="es-ES" w:eastAsia="es-ES_tradnl"/>
        </w:rPr>
        <w:lastRenderedPageBreak/>
        <w:t>III a XVIII…</w:t>
      </w:r>
    </w:p>
    <w:p w14:paraId="3DAAE355" w14:textId="77777777" w:rsidR="00CF783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5FE008FF" w14:textId="77777777" w:rsidR="00CF783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sidRPr="003015D7">
        <w:rPr>
          <w:rFonts w:ascii="Palatino Linotype" w:eastAsia="Calibri" w:hAnsi="Palatino Linotype" w:cs="Tahoma"/>
          <w:b/>
          <w:i/>
          <w:iCs/>
          <w:szCs w:val="22"/>
          <w:lang w:val="es-ES" w:eastAsia="es-ES_tradnl"/>
        </w:rPr>
        <w:t>Artículo 167.</w:t>
      </w:r>
      <w:r w:rsidRPr="003015D7">
        <w:rPr>
          <w:rFonts w:ascii="Palatino Linotype" w:eastAsia="Calibri" w:hAnsi="Palatino Linotype" w:cs="Tahoma"/>
          <w:i/>
          <w:iCs/>
          <w:szCs w:val="22"/>
          <w:lang w:val="es-ES" w:eastAsia="es-ES_tradnl"/>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0C605AA" w14:textId="77777777" w:rsidR="00CF7837" w:rsidRPr="003015D7" w:rsidRDefault="00CF7837" w:rsidP="00CF7837">
      <w:pPr>
        <w:tabs>
          <w:tab w:val="left" w:pos="1528"/>
        </w:tabs>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b/>
          <w:i/>
          <w:iCs/>
          <w:szCs w:val="22"/>
          <w:lang w:val="es-ES" w:eastAsia="es-ES_tradnl"/>
        </w:rPr>
        <w:t>…</w:t>
      </w:r>
    </w:p>
    <w:p w14:paraId="37D41B3B"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5F25836B"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77F00">
        <w:rPr>
          <w:rFonts w:ascii="Palatino Linotype" w:eastAsia="Calibri" w:hAnsi="Palatino Linotype" w:cs="Tahoma"/>
          <w:iCs/>
          <w:sz w:val="22"/>
          <w:szCs w:val="22"/>
          <w:lang w:val="es-ES" w:eastAsia="es-ES_tradnl"/>
        </w:rPr>
        <w:t xml:space="preserve">De esta manera, se sustenta que el Sujeto Obligado a través de su Comité de Transparencia debe confirmar la incompetencia que en el presente asunto encuadra en el supuesto de la Ley, es decir se deberá elaborar el acuerdo mediante el cual se confirme la incompetencia declarada por el Titular de la Unidad de Transparencia, respecto a la solicitud de información presentada por el Recurrente, debiendo notificarle de igual </w:t>
      </w:r>
      <w:r>
        <w:rPr>
          <w:rFonts w:ascii="Palatino Linotype" w:eastAsia="Calibri" w:hAnsi="Palatino Linotype" w:cs="Tahoma"/>
          <w:iCs/>
          <w:sz w:val="22"/>
          <w:szCs w:val="22"/>
          <w:lang w:val="es-ES" w:eastAsia="es-ES_tradnl"/>
        </w:rPr>
        <w:t>forma el Acuerdo de referencia.</w:t>
      </w:r>
    </w:p>
    <w:p w14:paraId="3D2F89AC" w14:textId="77777777" w:rsidR="00CF7837" w:rsidRPr="00A77F00"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63C1513E"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r w:rsidRPr="00A77F00">
        <w:rPr>
          <w:rFonts w:ascii="Palatino Linotype" w:eastAsia="Calibri" w:hAnsi="Palatino Linotype" w:cs="Tahoma"/>
          <w:iCs/>
          <w:sz w:val="22"/>
          <w:szCs w:val="22"/>
          <w:lang w:val="es-ES" w:eastAsia="es-ES_tradnl"/>
        </w:rPr>
        <w:t>Por otra parte, ante la incompetencia, el Sujeto Obligado tiene la potestad de orientar al particular sobre la dependencia pública ante quien deba presentar su solicitud de información. En este orden de ideas, se dejan a salvo los derechos del Recurrente para que formule una nueva solicitud de información ante el Sujeto Obligado competente.</w:t>
      </w:r>
    </w:p>
    <w:p w14:paraId="0A56957D" w14:textId="77777777" w:rsidR="00CF7837" w:rsidRDefault="00CF7837" w:rsidP="00CF7837">
      <w:pPr>
        <w:tabs>
          <w:tab w:val="left" w:pos="1528"/>
        </w:tabs>
        <w:spacing w:line="360" w:lineRule="auto"/>
        <w:jc w:val="both"/>
        <w:rPr>
          <w:rFonts w:ascii="Palatino Linotype" w:eastAsia="Calibri" w:hAnsi="Palatino Linotype" w:cs="Tahoma"/>
          <w:iCs/>
          <w:sz w:val="22"/>
          <w:szCs w:val="22"/>
          <w:lang w:val="es-ES" w:eastAsia="es-ES_tradnl"/>
        </w:rPr>
      </w:pPr>
    </w:p>
    <w:p w14:paraId="36B18758" w14:textId="77777777" w:rsidR="00D12208" w:rsidRDefault="00894AAC" w:rsidP="00D12208">
      <w:pPr>
        <w:spacing w:line="360" w:lineRule="auto"/>
        <w:ind w:right="-93"/>
        <w:jc w:val="both"/>
        <w:rPr>
          <w:rFonts w:ascii="Palatino Linotype" w:eastAsia="Calibri" w:hAnsi="Palatino Linotype" w:cs="Tahoma"/>
          <w:bCs/>
          <w:sz w:val="22"/>
          <w:szCs w:val="22"/>
          <w:lang w:eastAsia="en-US"/>
        </w:rPr>
      </w:pPr>
      <w:r w:rsidRPr="00B36B25">
        <w:rPr>
          <w:rFonts w:ascii="Palatino Linotype" w:hAnsi="Palatino Linotype" w:cs="Tahoma"/>
          <w:sz w:val="22"/>
          <w:szCs w:val="22"/>
        </w:rPr>
        <w:t xml:space="preserve">Ahora bien por lo que hace a </w:t>
      </w:r>
      <w:r w:rsidR="00B36B25" w:rsidRPr="00B36B25">
        <w:rPr>
          <w:rFonts w:ascii="Palatino Linotype" w:hAnsi="Palatino Linotype" w:cs="Tahoma"/>
          <w:sz w:val="22"/>
          <w:szCs w:val="22"/>
        </w:rPr>
        <w:t>las empresas que tengan alguna relación jurídica con el Ay</w:t>
      </w:r>
      <w:r w:rsidR="00B36B25">
        <w:rPr>
          <w:rFonts w:ascii="Palatino Linotype" w:hAnsi="Palatino Linotype" w:cs="Tahoma"/>
          <w:sz w:val="22"/>
          <w:szCs w:val="22"/>
        </w:rPr>
        <w:t xml:space="preserve">untamiento por cualquier motivo, es necesario señalar </w:t>
      </w:r>
      <w:r w:rsidR="00D12208">
        <w:rPr>
          <w:rFonts w:ascii="Palatino Linotype" w:eastAsia="Calibri" w:hAnsi="Palatino Linotype" w:cs="Tahoma"/>
          <w:bCs/>
          <w:sz w:val="22"/>
          <w:szCs w:val="22"/>
          <w:lang w:eastAsia="en-US"/>
        </w:rPr>
        <w:t>la</w:t>
      </w:r>
      <w:r w:rsidR="00D12208" w:rsidRPr="001E0D8F">
        <w:rPr>
          <w:rFonts w:ascii="Palatino Linotype" w:eastAsia="Calibri" w:hAnsi="Palatino Linotype" w:cs="Tahoma"/>
          <w:bCs/>
          <w:sz w:val="22"/>
          <w:szCs w:val="22"/>
          <w:lang w:eastAsia="en-US"/>
        </w:rPr>
        <w:t xml:space="preserve"> </w:t>
      </w:r>
      <w:r w:rsidR="00D12208" w:rsidRPr="00DF2F73">
        <w:rPr>
          <w:rFonts w:ascii="Palatino Linotype" w:eastAsia="Calibri" w:hAnsi="Palatino Linotype" w:cs="Tahoma"/>
          <w:bCs/>
          <w:sz w:val="22"/>
          <w:szCs w:val="22"/>
          <w:lang w:eastAsia="en-US"/>
        </w:rPr>
        <w:t>Ley de Contratación Pública del Estado de México y Municipios</w:t>
      </w:r>
      <w:r w:rsidR="00D12208">
        <w:rPr>
          <w:rFonts w:ascii="Palatino Linotype" w:eastAsia="Calibri" w:hAnsi="Palatino Linotype" w:cs="Tahoma"/>
          <w:bCs/>
          <w:sz w:val="22"/>
          <w:szCs w:val="22"/>
          <w:lang w:eastAsia="en-US"/>
        </w:rPr>
        <w:t>, establece lo siguiente:</w:t>
      </w:r>
    </w:p>
    <w:p w14:paraId="53A217E1" w14:textId="77777777" w:rsidR="00D12208" w:rsidRDefault="00D12208" w:rsidP="00D12208">
      <w:pPr>
        <w:spacing w:line="360" w:lineRule="auto"/>
        <w:ind w:right="-93"/>
        <w:jc w:val="both"/>
        <w:rPr>
          <w:rFonts w:ascii="Palatino Linotype" w:eastAsia="Calibri" w:hAnsi="Palatino Linotype" w:cs="Tahoma"/>
          <w:b/>
          <w:sz w:val="22"/>
          <w:szCs w:val="22"/>
          <w:lang w:eastAsia="en-US"/>
        </w:rPr>
      </w:pPr>
    </w:p>
    <w:p w14:paraId="0C7AF592" w14:textId="77777777" w:rsidR="00D12208" w:rsidRPr="00DF2F73" w:rsidRDefault="00D12208" w:rsidP="00D12208">
      <w:pPr>
        <w:spacing w:line="360" w:lineRule="auto"/>
        <w:ind w:left="567" w:right="539"/>
        <w:jc w:val="both"/>
        <w:rPr>
          <w:rFonts w:ascii="Palatino Linotype" w:eastAsia="Calibri" w:hAnsi="Palatino Linotype" w:cs="Tahoma"/>
          <w:bCs/>
          <w:i/>
          <w:iCs/>
          <w:lang w:eastAsia="en-US"/>
        </w:rPr>
      </w:pPr>
      <w:r w:rsidRPr="00DF2F73">
        <w:rPr>
          <w:rFonts w:ascii="Palatino Linotype" w:eastAsia="Calibri" w:hAnsi="Palatino Linotype" w:cs="Tahoma"/>
          <w:b/>
          <w:i/>
          <w:iCs/>
          <w:lang w:eastAsia="en-US"/>
        </w:rPr>
        <w:t>Artículo 26.-</w:t>
      </w:r>
      <w:r w:rsidRPr="00DF2F73">
        <w:rPr>
          <w:rFonts w:ascii="Palatino Linotype" w:eastAsia="Calibri" w:hAnsi="Palatino Linotype" w:cs="Tahoma"/>
          <w:bCs/>
          <w:i/>
          <w:iCs/>
          <w:lang w:eastAsia="en-US"/>
        </w:rPr>
        <w:t xml:space="preserve"> Las adquisiciones, arrendamientos y servicios se adjudicarán a través de </w:t>
      </w:r>
      <w:r w:rsidRPr="00F35F89">
        <w:rPr>
          <w:rFonts w:ascii="Palatino Linotype" w:eastAsia="Calibri" w:hAnsi="Palatino Linotype" w:cs="Tahoma"/>
          <w:b/>
          <w:i/>
          <w:iCs/>
          <w:u w:val="single"/>
          <w:lang w:eastAsia="en-US"/>
        </w:rPr>
        <w:t>licitaciones públicas, mediante convocatoria pública</w:t>
      </w:r>
      <w:r w:rsidRPr="00DF2F73">
        <w:rPr>
          <w:rFonts w:ascii="Palatino Linotype" w:eastAsia="Calibri" w:hAnsi="Palatino Linotype" w:cs="Tahoma"/>
          <w:bCs/>
          <w:i/>
          <w:iCs/>
          <w:lang w:eastAsia="en-US"/>
        </w:rPr>
        <w:t>.</w:t>
      </w:r>
    </w:p>
    <w:p w14:paraId="642BABEB" w14:textId="77777777" w:rsidR="00D12208" w:rsidRPr="00DF2F73" w:rsidRDefault="00D12208" w:rsidP="00D12208">
      <w:pPr>
        <w:spacing w:line="360" w:lineRule="auto"/>
        <w:ind w:left="567" w:right="539"/>
        <w:jc w:val="both"/>
        <w:rPr>
          <w:rFonts w:ascii="Palatino Linotype" w:eastAsia="Calibri" w:hAnsi="Palatino Linotype" w:cs="Tahoma"/>
          <w:b/>
          <w:i/>
          <w:iCs/>
          <w:lang w:eastAsia="en-US"/>
        </w:rPr>
      </w:pPr>
    </w:p>
    <w:p w14:paraId="7A6F33F4" w14:textId="77777777" w:rsidR="00D12208" w:rsidRPr="00DF2F73" w:rsidRDefault="00D12208" w:rsidP="00D12208">
      <w:pPr>
        <w:spacing w:line="360" w:lineRule="auto"/>
        <w:ind w:left="567" w:right="539"/>
        <w:jc w:val="both"/>
        <w:rPr>
          <w:rFonts w:ascii="Palatino Linotype" w:eastAsia="Calibri" w:hAnsi="Palatino Linotype" w:cs="Tahoma"/>
          <w:bCs/>
          <w:i/>
          <w:iCs/>
          <w:lang w:eastAsia="en-US"/>
        </w:rPr>
      </w:pPr>
      <w:r w:rsidRPr="00DF2F73">
        <w:rPr>
          <w:rFonts w:ascii="Palatino Linotype" w:eastAsia="Calibri" w:hAnsi="Palatino Linotype" w:cs="Tahoma"/>
          <w:b/>
          <w:i/>
          <w:iCs/>
          <w:lang w:eastAsia="en-US"/>
        </w:rPr>
        <w:lastRenderedPageBreak/>
        <w:t>Artículo 27.-</w:t>
      </w:r>
      <w:r w:rsidRPr="00DF2F73">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172912D3" w14:textId="77777777" w:rsidR="00D12208" w:rsidRPr="00F35F89" w:rsidRDefault="00D12208" w:rsidP="00D12208">
      <w:pPr>
        <w:spacing w:line="360" w:lineRule="auto"/>
        <w:ind w:left="567" w:right="539"/>
        <w:jc w:val="both"/>
        <w:rPr>
          <w:rFonts w:ascii="Palatino Linotype" w:eastAsia="Calibri" w:hAnsi="Palatino Linotype" w:cs="Tahoma"/>
          <w:b/>
          <w:i/>
          <w:iCs/>
          <w:u w:val="single"/>
          <w:lang w:eastAsia="en-US"/>
        </w:rPr>
      </w:pPr>
      <w:r w:rsidRPr="00F35F89">
        <w:rPr>
          <w:rFonts w:ascii="Palatino Linotype" w:eastAsia="Calibri" w:hAnsi="Palatino Linotype" w:cs="Tahoma"/>
          <w:b/>
          <w:i/>
          <w:iCs/>
          <w:u w:val="single"/>
          <w:lang w:eastAsia="en-US"/>
        </w:rPr>
        <w:t>I. Invitación restringida.</w:t>
      </w:r>
    </w:p>
    <w:p w14:paraId="1DC3F3CF" w14:textId="77777777" w:rsidR="00D12208" w:rsidRPr="00F35F89" w:rsidRDefault="00D12208" w:rsidP="00D12208">
      <w:pPr>
        <w:spacing w:line="360" w:lineRule="auto"/>
        <w:ind w:left="567" w:right="539"/>
        <w:jc w:val="both"/>
        <w:rPr>
          <w:rFonts w:ascii="Palatino Linotype" w:eastAsia="Calibri" w:hAnsi="Palatino Linotype" w:cs="Tahoma"/>
          <w:b/>
          <w:i/>
          <w:iCs/>
          <w:u w:val="single"/>
          <w:lang w:eastAsia="en-US"/>
        </w:rPr>
      </w:pPr>
      <w:r w:rsidRPr="00F35F89">
        <w:rPr>
          <w:rFonts w:ascii="Palatino Linotype" w:eastAsia="Calibri" w:hAnsi="Palatino Linotype" w:cs="Tahoma"/>
          <w:b/>
          <w:i/>
          <w:iCs/>
          <w:u w:val="single"/>
          <w:lang w:eastAsia="en-US"/>
        </w:rPr>
        <w:t>II. Adjudicación directa.</w:t>
      </w:r>
    </w:p>
    <w:p w14:paraId="016D06CC" w14:textId="77777777" w:rsidR="00D12208" w:rsidRDefault="00D12208" w:rsidP="00D12208">
      <w:pPr>
        <w:spacing w:line="360" w:lineRule="auto"/>
        <w:ind w:left="567" w:right="539"/>
        <w:jc w:val="both"/>
        <w:rPr>
          <w:rFonts w:ascii="Palatino Linotype" w:eastAsia="Calibri" w:hAnsi="Palatino Linotype" w:cs="Tahoma"/>
          <w:bCs/>
          <w:i/>
          <w:iCs/>
          <w:lang w:eastAsia="en-US"/>
        </w:rPr>
      </w:pPr>
    </w:p>
    <w:p w14:paraId="4EAA753C" w14:textId="77777777" w:rsidR="00D12208" w:rsidRDefault="00D12208" w:rsidP="00D12208">
      <w:pPr>
        <w:spacing w:line="360" w:lineRule="auto"/>
        <w:ind w:left="567" w:right="539"/>
        <w:jc w:val="both"/>
        <w:rPr>
          <w:rFonts w:ascii="Palatino Linotype" w:eastAsia="Calibri" w:hAnsi="Palatino Linotype" w:cs="Tahoma"/>
          <w:bCs/>
          <w:i/>
          <w:iCs/>
          <w:lang w:eastAsia="en-US"/>
        </w:rPr>
      </w:pPr>
      <w:r w:rsidRPr="00DF2F73">
        <w:rPr>
          <w:rFonts w:ascii="Palatino Linotype" w:eastAsia="Calibri" w:hAnsi="Palatino Linotype" w:cs="Tahoma"/>
          <w:b/>
          <w:i/>
          <w:iCs/>
          <w:lang w:eastAsia="en-US"/>
        </w:rPr>
        <w:t>Artículo 65.-</w:t>
      </w:r>
      <w:r w:rsidRPr="00DF2F73">
        <w:rPr>
          <w:rFonts w:ascii="Palatino Linotype" w:eastAsia="Calibri" w:hAnsi="Palatino Linotype" w:cs="Tahoma"/>
          <w:bCs/>
          <w:i/>
          <w:iCs/>
          <w:lang w:eastAsia="en-US"/>
        </w:rPr>
        <w:t xml:space="preserve"> La adjudicación de los contratos derivados de los procedimientos de adquisiciones de</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 xml:space="preserve">bienes o servicios, </w:t>
      </w:r>
      <w:r w:rsidRPr="00F35F89">
        <w:rPr>
          <w:rFonts w:ascii="Palatino Linotype" w:eastAsia="Calibri" w:hAnsi="Palatino Linotype" w:cs="Tahoma"/>
          <w:b/>
          <w:i/>
          <w:iCs/>
          <w:u w:val="single"/>
          <w:lang w:eastAsia="en-US"/>
        </w:rPr>
        <w:t>obligará a la convocante y al licitante ganador a suscribir el contrato respectivo</w:t>
      </w:r>
      <w:r w:rsidRPr="00DF2F73">
        <w:rPr>
          <w:rFonts w:ascii="Palatino Linotype" w:eastAsia="Calibri" w:hAnsi="Palatino Linotype" w:cs="Tahoma"/>
          <w:bCs/>
          <w:i/>
          <w:iCs/>
          <w:lang w:eastAsia="en-US"/>
        </w:rPr>
        <w:t>,</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dentro de los diez días hábiles siguientes al de la notificación del fallo. Los contratos podrán</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suscribirse mediante el uso de la firma electrónica, en apego a las disposiciones de la Ley de Medios</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Electrónicos y de su Reglamento.</w:t>
      </w:r>
    </w:p>
    <w:p w14:paraId="7C605051" w14:textId="77777777" w:rsidR="00D12208" w:rsidRDefault="00D12208" w:rsidP="00D12208">
      <w:pPr>
        <w:spacing w:line="360" w:lineRule="auto"/>
        <w:ind w:left="567" w:right="539"/>
        <w:jc w:val="both"/>
        <w:rPr>
          <w:rFonts w:ascii="Palatino Linotype" w:eastAsia="Calibri" w:hAnsi="Palatino Linotype" w:cs="Tahoma"/>
          <w:bCs/>
          <w:i/>
          <w:iCs/>
          <w:lang w:eastAsia="en-US"/>
        </w:rPr>
      </w:pPr>
    </w:p>
    <w:p w14:paraId="15F630B5" w14:textId="77777777" w:rsidR="00D12208" w:rsidRPr="001E0D8F" w:rsidRDefault="00D12208" w:rsidP="00D1220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 anterior se advierte que de todas las </w:t>
      </w:r>
      <w:r w:rsidRPr="00D12208">
        <w:rPr>
          <w:rFonts w:ascii="Palatino Linotype" w:eastAsia="Calibri" w:hAnsi="Palatino Linotype" w:cs="Tahoma"/>
          <w:bCs/>
          <w:sz w:val="22"/>
          <w:szCs w:val="22"/>
          <w:lang w:eastAsia="en-US"/>
        </w:rPr>
        <w:t xml:space="preserve">adquisiciones, arrendamientos y servicios </w:t>
      </w:r>
      <w:r>
        <w:rPr>
          <w:rFonts w:ascii="Palatino Linotype" w:eastAsia="Calibri" w:hAnsi="Palatino Linotype" w:cs="Tahoma"/>
          <w:bCs/>
          <w:sz w:val="22"/>
          <w:szCs w:val="22"/>
          <w:lang w:eastAsia="en-US"/>
        </w:rPr>
        <w:t>adquiridos por el Sujeto Obligado deben tener el soporte documental donde conste tal contratación y por la tanto la existencia de una relación jurídica</w:t>
      </w:r>
      <w:r w:rsidRPr="001E0D8F">
        <w:rPr>
          <w:rFonts w:ascii="Palatino Linotype" w:eastAsia="Calibri" w:hAnsi="Palatino Linotype" w:cs="Tahoma"/>
          <w:bCs/>
          <w:sz w:val="22"/>
          <w:szCs w:val="22"/>
          <w:lang w:eastAsia="en-US"/>
        </w:rPr>
        <w:t>.</w:t>
      </w:r>
    </w:p>
    <w:p w14:paraId="20B75E35" w14:textId="77777777" w:rsidR="00894AAC" w:rsidRPr="00B36B25" w:rsidRDefault="00894AAC" w:rsidP="00CF7837">
      <w:pPr>
        <w:spacing w:line="360" w:lineRule="auto"/>
        <w:ind w:right="-93"/>
        <w:jc w:val="both"/>
        <w:rPr>
          <w:rFonts w:ascii="Palatino Linotype" w:hAnsi="Palatino Linotype" w:cs="Tahoma"/>
          <w:sz w:val="22"/>
          <w:szCs w:val="22"/>
        </w:rPr>
      </w:pPr>
    </w:p>
    <w:p w14:paraId="35A5D18D" w14:textId="77777777" w:rsidR="00D12208" w:rsidRPr="00BF6A0C" w:rsidRDefault="00D12208" w:rsidP="00D12208">
      <w:pPr>
        <w:spacing w:line="360" w:lineRule="auto"/>
        <w:ind w:right="-91"/>
        <w:jc w:val="both"/>
        <w:rPr>
          <w:rFonts w:ascii="Palatino Linotype" w:hAnsi="Palatino Linotype" w:cs="Arial"/>
          <w:bCs/>
          <w:sz w:val="22"/>
          <w:szCs w:val="22"/>
          <w:lang w:val="es-ES"/>
        </w:rPr>
      </w:pPr>
      <w:r w:rsidRPr="001E0D8F">
        <w:rPr>
          <w:rFonts w:ascii="Palatino Linotype" w:eastAsia="Calibri" w:hAnsi="Palatino Linotype" w:cs="Tahoma"/>
          <w:bCs/>
          <w:sz w:val="22"/>
          <w:szCs w:val="22"/>
          <w:lang w:eastAsia="en-US"/>
        </w:rPr>
        <w:t xml:space="preserve">En este sentido, de acuerdo a la naturaleza de la información solicitada se concluye que </w:t>
      </w:r>
      <w:r>
        <w:rPr>
          <w:rFonts w:ascii="Palatino Linotype" w:eastAsia="Calibri" w:hAnsi="Palatino Linotype" w:cs="Tahoma"/>
          <w:bCs/>
          <w:sz w:val="22"/>
          <w:szCs w:val="22"/>
          <w:lang w:eastAsia="en-US"/>
        </w:rPr>
        <w:t>e</w:t>
      </w:r>
      <w:r w:rsidRPr="001E0D8F">
        <w:rPr>
          <w:rFonts w:ascii="Palatino Linotype" w:eastAsia="Calibri" w:hAnsi="Palatino Linotype" w:cs="Tahoma"/>
          <w:bCs/>
          <w:sz w:val="22"/>
          <w:szCs w:val="22"/>
          <w:lang w:eastAsia="en-US"/>
        </w:rPr>
        <w:t>sta</w:t>
      </w:r>
      <w:r w:rsidRPr="001E0D8F">
        <w:rPr>
          <w:rFonts w:ascii="Palatino Linotype" w:hAnsi="Palatino Linotype" w:cs="Arial"/>
          <w:sz w:val="22"/>
          <w:szCs w:val="22"/>
          <w:lang w:val="es-ES"/>
        </w:rPr>
        <w:t xml:space="preserve"> es de</w:t>
      </w:r>
      <w:r w:rsidRPr="001E0D8F">
        <w:rPr>
          <w:rFonts w:ascii="Palatino Linotype" w:hAnsi="Palatino Linotype" w:cs="Arial"/>
          <w:bCs/>
          <w:sz w:val="22"/>
          <w:szCs w:val="22"/>
          <w:lang w:val="es-ES"/>
        </w:rPr>
        <w:t xml:space="preserve"> interés general y de alcance público, puesto que la ciudadanía tiene derecho a saber </w:t>
      </w:r>
      <w:r>
        <w:rPr>
          <w:rFonts w:ascii="Palatino Linotype" w:hAnsi="Palatino Linotype" w:cs="Arial"/>
          <w:bCs/>
          <w:sz w:val="22"/>
          <w:szCs w:val="22"/>
          <w:lang w:val="es-ES"/>
        </w:rPr>
        <w:t>la relación jurídica que guarda el Ayuntamiento con personas jurídico colectivas en el ejercicio de recursos públicos</w:t>
      </w:r>
      <w:r w:rsidRPr="001E0D8F">
        <w:rPr>
          <w:rFonts w:ascii="Palatino Linotype" w:hAnsi="Palatino Linotype" w:cs="Arial"/>
          <w:bCs/>
          <w:sz w:val="22"/>
          <w:szCs w:val="22"/>
          <w:lang w:val="es-ES"/>
        </w:rPr>
        <w:t xml:space="preserve">,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w:t>
      </w:r>
      <w:r w:rsidRPr="001E0D8F">
        <w:rPr>
          <w:rFonts w:ascii="Palatino Linotype" w:eastAsia="Calibri" w:hAnsi="Palatino Linotype" w:cs="Tahoma"/>
          <w:bCs/>
          <w:sz w:val="22"/>
          <w:szCs w:val="22"/>
          <w:lang w:eastAsia="en-US"/>
        </w:rPr>
        <w:t>nombres de las personas a quienes se entreguen recursos públicos y con ello transparentar la forma, términos, causas y finalidad en la disposición de esos recursos.</w:t>
      </w:r>
    </w:p>
    <w:p w14:paraId="3564CDD6" w14:textId="77777777" w:rsidR="00D12208" w:rsidRDefault="00D12208" w:rsidP="00D12208">
      <w:pPr>
        <w:spacing w:line="360" w:lineRule="auto"/>
        <w:ind w:right="-93"/>
        <w:jc w:val="both"/>
        <w:rPr>
          <w:rFonts w:ascii="Palatino Linotype" w:eastAsia="Calibri" w:hAnsi="Palatino Linotype" w:cs="Tahoma"/>
          <w:bCs/>
          <w:sz w:val="22"/>
          <w:szCs w:val="22"/>
          <w:lang w:eastAsia="en-US"/>
        </w:rPr>
      </w:pPr>
    </w:p>
    <w:p w14:paraId="77396CBF" w14:textId="77777777" w:rsidR="00D12208" w:rsidRPr="006863BE" w:rsidRDefault="00D12208" w:rsidP="00D12208">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Pr>
          <w:rFonts w:ascii="Palatino Linotype" w:hAnsi="Palatino Linotype" w:cs="Tahoma"/>
          <w:sz w:val="22"/>
          <w:szCs w:val="22"/>
        </w:rPr>
        <w:t>el Sujeto Obligado debe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w:t>
      </w:r>
      <w:r w:rsidRPr="006863BE">
        <w:rPr>
          <w:rFonts w:ascii="Palatino Linotype" w:hAnsi="Palatino Linotype" w:cs="Tahoma"/>
          <w:sz w:val="22"/>
          <w:szCs w:val="22"/>
        </w:rPr>
        <w:lastRenderedPageBreak/>
        <w:t xml:space="preserve">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14:paraId="710DCBB4" w14:textId="77777777" w:rsidR="00D12208" w:rsidRPr="006863BE" w:rsidRDefault="00D12208" w:rsidP="00D12208">
      <w:pPr>
        <w:tabs>
          <w:tab w:val="left" w:pos="4962"/>
        </w:tabs>
        <w:spacing w:line="360" w:lineRule="auto"/>
        <w:jc w:val="both"/>
        <w:rPr>
          <w:rFonts w:ascii="Palatino Linotype" w:hAnsi="Palatino Linotype" w:cs="Tahoma"/>
          <w:sz w:val="22"/>
          <w:szCs w:val="22"/>
        </w:rPr>
      </w:pPr>
    </w:p>
    <w:p w14:paraId="394C9D05" w14:textId="77777777" w:rsidR="00D12208" w:rsidRPr="006863BE" w:rsidRDefault="00D12208" w:rsidP="00D12208">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B30A08F" w14:textId="77777777" w:rsidR="00D12208" w:rsidRPr="006863BE" w:rsidRDefault="00D12208" w:rsidP="00D12208">
      <w:pPr>
        <w:spacing w:before="73" w:line="360" w:lineRule="auto"/>
        <w:ind w:left="567" w:right="567"/>
        <w:jc w:val="both"/>
        <w:rPr>
          <w:rFonts w:ascii="Palatino Linotype" w:eastAsia="Arial" w:hAnsi="Palatino Linotype" w:cs="Arial"/>
          <w:b/>
          <w:sz w:val="22"/>
        </w:rPr>
      </w:pPr>
    </w:p>
    <w:p w14:paraId="238C5C54" w14:textId="77777777" w:rsidR="00D12208" w:rsidRPr="00B27DDC" w:rsidRDefault="00D12208" w:rsidP="00D12208">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14:paraId="5ABEB5D7" w14:textId="77777777" w:rsidR="00D12208" w:rsidRPr="006863BE" w:rsidRDefault="00D12208" w:rsidP="00D12208">
      <w:pPr>
        <w:spacing w:line="360" w:lineRule="auto"/>
        <w:jc w:val="both"/>
        <w:rPr>
          <w:rFonts w:ascii="Palatino Linotype" w:hAnsi="Palatino Linotype" w:cs="Tahoma"/>
          <w:sz w:val="22"/>
          <w:szCs w:val="22"/>
        </w:rPr>
      </w:pPr>
    </w:p>
    <w:p w14:paraId="6152E334" w14:textId="77777777" w:rsidR="00D12208" w:rsidRPr="006863BE" w:rsidRDefault="00D12208" w:rsidP="00D12208">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lastRenderedPageBreak/>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14:paraId="43E32386" w14:textId="77777777" w:rsidR="00D12208" w:rsidRPr="006863BE" w:rsidRDefault="00D12208" w:rsidP="00D12208">
      <w:pPr>
        <w:spacing w:line="360" w:lineRule="auto"/>
        <w:jc w:val="both"/>
        <w:rPr>
          <w:rFonts w:ascii="Palatino Linotype" w:hAnsi="Palatino Linotype" w:cs="Tahoma"/>
          <w:sz w:val="22"/>
          <w:szCs w:val="22"/>
        </w:rPr>
      </w:pPr>
    </w:p>
    <w:p w14:paraId="7BD69927" w14:textId="3344DD69" w:rsidR="00D12208" w:rsidRPr="0061200B" w:rsidRDefault="00D12208" w:rsidP="00D12208">
      <w:pPr>
        <w:spacing w:line="360" w:lineRule="auto"/>
        <w:jc w:val="both"/>
        <w:rPr>
          <w:rFonts w:ascii="Palatino Linotype" w:eastAsia="Calibri" w:hAnsi="Palatino Linotype" w:cs="Tahoma"/>
          <w:bCs/>
          <w:sz w:val="22"/>
          <w:szCs w:val="22"/>
          <w:lang w:eastAsia="en-US"/>
        </w:rPr>
      </w:pPr>
      <w:r w:rsidRPr="006863BE">
        <w:rPr>
          <w:rFonts w:ascii="Palatino Linotype" w:hAnsi="Palatino Linotype" w:cs="Tahoma"/>
          <w:sz w:val="22"/>
          <w:szCs w:val="22"/>
        </w:rPr>
        <w:t>Conforme a lo anterior, se puede concluir que</w:t>
      </w:r>
      <w:r>
        <w:rPr>
          <w:rFonts w:ascii="Palatino Linotype" w:hAnsi="Palatino Linotype" w:cs="Tahoma"/>
          <w:sz w:val="22"/>
          <w:szCs w:val="22"/>
        </w:rPr>
        <w:t xml:space="preserve"> el documento fuente en donde conste lo solicitado por el Particular</w:t>
      </w:r>
      <w:r w:rsidRPr="006863BE">
        <w:rPr>
          <w:rFonts w:ascii="Palatino Linotype" w:hAnsi="Palatino Linotype" w:cs="Tahoma"/>
          <w:sz w:val="22"/>
          <w:szCs w:val="22"/>
        </w:rPr>
        <w:t xml:space="preserve">, </w:t>
      </w:r>
      <w:r>
        <w:rPr>
          <w:rFonts w:ascii="Palatino Linotype" w:hAnsi="Palatino Linotype" w:cs="Tahoma"/>
          <w:sz w:val="22"/>
          <w:szCs w:val="22"/>
        </w:rPr>
        <w:t>es e</w:t>
      </w:r>
      <w:r w:rsidRPr="006863BE">
        <w:rPr>
          <w:rFonts w:ascii="Palatino Linotype" w:hAnsi="Palatino Linotype" w:cs="Tahoma"/>
          <w:sz w:val="22"/>
          <w:szCs w:val="22"/>
        </w:rPr>
        <w:t xml:space="preserve">l documento que atienden la solicitud </w:t>
      </w:r>
      <w:r>
        <w:rPr>
          <w:rFonts w:ascii="Palatino Linotype" w:hAnsi="Palatino Linotype" w:cs="Tahoma"/>
          <w:sz w:val="22"/>
          <w:szCs w:val="22"/>
        </w:rPr>
        <w:t xml:space="preserve">el Ayuntamiento </w:t>
      </w:r>
      <w:r w:rsidRPr="006863BE">
        <w:rPr>
          <w:rFonts w:ascii="Palatino Linotype" w:hAnsi="Palatino Linotype" w:cs="Tahoma"/>
          <w:sz w:val="22"/>
          <w:szCs w:val="22"/>
        </w:rPr>
        <w:t>no está obligad</w:t>
      </w:r>
      <w:r>
        <w:rPr>
          <w:rFonts w:ascii="Palatino Linotype" w:hAnsi="Palatino Linotype" w:cs="Tahoma"/>
          <w:sz w:val="22"/>
          <w:szCs w:val="22"/>
        </w:rPr>
        <w:t>o</w:t>
      </w:r>
      <w:r w:rsidRPr="006863BE">
        <w:rPr>
          <w:rFonts w:ascii="Palatino Linotype" w:hAnsi="Palatino Linotype" w:cs="Tahoma"/>
          <w:sz w:val="22"/>
          <w:szCs w:val="22"/>
        </w:rPr>
        <w:t xml:space="preserve"> a procesar la información para entregarla conforme a los intereses d</w:t>
      </w:r>
      <w:r>
        <w:rPr>
          <w:rFonts w:ascii="Palatino Linotype" w:hAnsi="Palatino Linotype" w:cs="Tahoma"/>
          <w:sz w:val="22"/>
          <w:szCs w:val="22"/>
        </w:rPr>
        <w:t xml:space="preserve">el ahora Recurrente. </w:t>
      </w:r>
      <w:r>
        <w:rPr>
          <w:rFonts w:ascii="Palatino Linotype" w:eastAsia="Calibri" w:hAnsi="Palatino Linotype" w:cs="Tahoma"/>
          <w:bCs/>
          <w:sz w:val="22"/>
          <w:szCs w:val="22"/>
          <w:lang w:eastAsia="en-US"/>
        </w:rPr>
        <w:t>Por lo anterior</w:t>
      </w:r>
      <w:r w:rsidRPr="0061200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para dar</w:t>
      </w:r>
      <w:r w:rsidRPr="0061200B">
        <w:rPr>
          <w:rFonts w:ascii="Palatino Linotype" w:eastAsia="Calibri" w:hAnsi="Palatino Linotype" w:cs="Tahoma"/>
          <w:bCs/>
          <w:sz w:val="22"/>
          <w:szCs w:val="22"/>
          <w:lang w:eastAsia="en-US"/>
        </w:rPr>
        <w:t xml:space="preserve"> atención </w:t>
      </w:r>
      <w:r>
        <w:rPr>
          <w:rFonts w:ascii="Palatino Linotype" w:eastAsia="Calibri" w:hAnsi="Palatino Linotype" w:cs="Tahoma"/>
          <w:bCs/>
          <w:sz w:val="22"/>
          <w:szCs w:val="22"/>
          <w:lang w:eastAsia="en-US"/>
        </w:rPr>
        <w:t xml:space="preserve">a </w:t>
      </w:r>
      <w:r w:rsidRPr="0061200B">
        <w:rPr>
          <w:rFonts w:ascii="Palatino Linotype" w:eastAsia="Calibri" w:hAnsi="Palatino Linotype" w:cs="Tahoma"/>
          <w:bCs/>
          <w:sz w:val="22"/>
          <w:szCs w:val="22"/>
          <w:lang w:eastAsia="en-US"/>
        </w:rPr>
        <w:t>la</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de acceso a la información</w:t>
      </w:r>
      <w:r>
        <w:rPr>
          <w:rFonts w:ascii="Palatino Linotype" w:eastAsia="Calibri" w:hAnsi="Palatino Linotype" w:cs="Tahoma"/>
          <w:bCs/>
          <w:sz w:val="22"/>
          <w:szCs w:val="22"/>
          <w:lang w:eastAsia="en-US"/>
        </w:rPr>
        <w:t>, debe privilegiar</w:t>
      </w:r>
      <w:r w:rsidRPr="0061200B">
        <w:rPr>
          <w:rFonts w:ascii="Palatino Linotype" w:eastAsia="Calibri" w:hAnsi="Palatino Linotype" w:cs="Tahoma"/>
          <w:bCs/>
          <w:sz w:val="22"/>
          <w:szCs w:val="22"/>
          <w:lang w:eastAsia="en-US"/>
        </w:rPr>
        <w:t xml:space="preserve"> el </w:t>
      </w:r>
      <w:r w:rsidRPr="0061200B">
        <w:rPr>
          <w:rFonts w:ascii="Palatino Linotype" w:eastAsia="Calibri" w:hAnsi="Palatino Linotype" w:cs="Tahoma"/>
          <w:b/>
          <w:bCs/>
          <w:sz w:val="22"/>
          <w:szCs w:val="22"/>
          <w:lang w:eastAsia="en-US"/>
        </w:rPr>
        <w:t>principio de máxima publicidad</w:t>
      </w:r>
      <w:r w:rsidRPr="0061200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r w:rsidR="00297FBA">
        <w:rPr>
          <w:rFonts w:ascii="Palatino Linotype" w:eastAsia="Calibri" w:hAnsi="Palatino Linotype" w:cs="Tahoma"/>
          <w:bCs/>
          <w:sz w:val="22"/>
          <w:szCs w:val="22"/>
          <w:lang w:eastAsia="en-US"/>
        </w:rPr>
        <w:t xml:space="preserve"> Por lo que hace al periodo, se entiende que se trata de la presente administración, por lo que el periodo por el que deberá pronunciarse el Sujeto Obligado es del primero al diez de enero de este añ</w:t>
      </w:r>
      <w:r w:rsidR="002F04A1">
        <w:rPr>
          <w:rFonts w:ascii="Palatino Linotype" w:eastAsia="Calibri" w:hAnsi="Palatino Linotype" w:cs="Tahoma"/>
          <w:bCs/>
          <w:sz w:val="22"/>
          <w:szCs w:val="22"/>
          <w:lang w:eastAsia="en-US"/>
        </w:rPr>
        <w:t>o</w:t>
      </w:r>
      <w:r w:rsidR="00297FBA">
        <w:rPr>
          <w:rFonts w:ascii="Palatino Linotype" w:eastAsia="Calibri" w:hAnsi="Palatino Linotype" w:cs="Tahoma"/>
          <w:bCs/>
          <w:sz w:val="22"/>
          <w:szCs w:val="22"/>
          <w:lang w:eastAsia="en-US"/>
        </w:rPr>
        <w:t xml:space="preserve">. </w:t>
      </w:r>
    </w:p>
    <w:p w14:paraId="72BE6653" w14:textId="77777777" w:rsidR="00D12208" w:rsidRDefault="00D12208" w:rsidP="00D12208">
      <w:pPr>
        <w:spacing w:line="360" w:lineRule="auto"/>
        <w:ind w:right="-93"/>
        <w:jc w:val="both"/>
        <w:rPr>
          <w:rFonts w:ascii="Palatino Linotype" w:eastAsia="Calibri" w:hAnsi="Palatino Linotype" w:cs="Tahoma"/>
          <w:bCs/>
          <w:sz w:val="22"/>
          <w:szCs w:val="22"/>
          <w:lang w:eastAsia="en-US"/>
        </w:rPr>
      </w:pPr>
    </w:p>
    <w:p w14:paraId="0D68736B" w14:textId="77777777" w:rsidR="0071545A" w:rsidRPr="00C928ED" w:rsidRDefault="0071545A" w:rsidP="0071545A">
      <w:pPr>
        <w:spacing w:line="360" w:lineRule="auto"/>
        <w:jc w:val="both"/>
        <w:rPr>
          <w:rFonts w:ascii="Palatino Linotype" w:eastAsia="Calibri" w:hAnsi="Palatino Linotype" w:cs="Tahoma"/>
          <w:b/>
          <w:sz w:val="22"/>
          <w:szCs w:val="22"/>
          <w:lang w:eastAsia="es-ES_tradnl"/>
        </w:rPr>
      </w:pPr>
      <w:r w:rsidRPr="00C928ED">
        <w:rPr>
          <w:rFonts w:ascii="Palatino Linotype" w:eastAsia="Calibri" w:hAnsi="Palatino Linotype" w:cs="Tahoma"/>
          <w:b/>
          <w:sz w:val="22"/>
          <w:szCs w:val="22"/>
          <w:lang w:eastAsia="es-ES_tradnl"/>
        </w:rPr>
        <w:t>Versión Pública</w:t>
      </w:r>
    </w:p>
    <w:p w14:paraId="7B208DAF" w14:textId="77777777" w:rsidR="0071545A" w:rsidRPr="00C928ED" w:rsidRDefault="0071545A" w:rsidP="0071545A">
      <w:pPr>
        <w:spacing w:line="360" w:lineRule="auto"/>
        <w:jc w:val="both"/>
        <w:rPr>
          <w:rFonts w:ascii="Palatino Linotype" w:hAnsi="Palatino Linotype"/>
          <w:b/>
          <w:caps/>
          <w:noProof/>
          <w:szCs w:val="22"/>
          <w:lang w:eastAsia="es-MX"/>
        </w:rPr>
      </w:pPr>
    </w:p>
    <w:p w14:paraId="2AE86D29"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1B077AA"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59EB9052"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D0C7248"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188FB7D"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24C141"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6016A218"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F55577F"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680A88BD"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72CA02F"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060A3000"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C928ED">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C928ED">
        <w:rPr>
          <w:rFonts w:ascii="Palatino Linotype" w:hAnsi="Palatino Linotype" w:cs="Tahoma"/>
          <w:bCs/>
          <w:iCs/>
          <w:sz w:val="22"/>
          <w:szCs w:val="22"/>
          <w:lang w:val="es-ES"/>
        </w:rPr>
        <w:lastRenderedPageBreak/>
        <w:t>terceros o cuando se transmita entre sujetos obligados en términos de los tratados y los acuerdos interinstitucionales.</w:t>
      </w:r>
    </w:p>
    <w:p w14:paraId="4FE02C77"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6616C179"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12091C8C"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p>
    <w:p w14:paraId="0298D552" w14:textId="77777777" w:rsidR="0071545A" w:rsidRPr="00C928ED" w:rsidRDefault="0071545A" w:rsidP="0071545A">
      <w:pPr>
        <w:numPr>
          <w:ilvl w:val="0"/>
          <w:numId w:val="21"/>
        </w:num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3C3C4F94"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p>
    <w:p w14:paraId="70C5C1B9" w14:textId="77777777" w:rsidR="0071545A" w:rsidRPr="00C928ED" w:rsidRDefault="0071545A" w:rsidP="0071545A">
      <w:pPr>
        <w:numPr>
          <w:ilvl w:val="0"/>
          <w:numId w:val="21"/>
        </w:num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 xml:space="preserve">Para la difusión de los datos, se requiera el consentimiento del titular. </w:t>
      </w:r>
    </w:p>
    <w:p w14:paraId="6DA5C8B2"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0C11437D"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D56B867"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52ECFE6A"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Además, en el artículo 5° de dicho ordenamiento jurídico, establece que es la Ley aplicable para todo tratamiento de datos personales.</w:t>
      </w:r>
    </w:p>
    <w:p w14:paraId="68E90EC8"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4FE90C89"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C928ED">
        <w:rPr>
          <w:rFonts w:ascii="Palatino Linotype" w:hAnsi="Palatino Linotype" w:cs="Tahoma"/>
          <w:bCs/>
          <w:iCs/>
          <w:sz w:val="22"/>
          <w:szCs w:val="22"/>
        </w:rPr>
        <w:lastRenderedPageBreak/>
        <w:t>con el consentimiento de su titular, además de que debe estar justificado en ley (principio de finalidad).</w:t>
      </w:r>
    </w:p>
    <w:p w14:paraId="3A92C39A"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B66D100"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C928ED">
        <w:rPr>
          <w:rFonts w:ascii="Palatino Linotype" w:hAnsi="Palatino Linotype" w:cs="Tahoma"/>
          <w:b/>
          <w:bCs/>
          <w:iCs/>
          <w:sz w:val="22"/>
          <w:szCs w:val="22"/>
        </w:rPr>
        <w:t>como su nombre</w:t>
      </w:r>
      <w:r w:rsidRPr="00C928ED">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26CAF9D"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3E99DFDE"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02E2C94"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7670F6F0"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6BE58D6"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F62E921"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w:t>
      </w:r>
      <w:r w:rsidRPr="00C928ED">
        <w:rPr>
          <w:rFonts w:ascii="Palatino Linotype" w:hAnsi="Palatino Linotype" w:cs="Tahoma"/>
          <w:bCs/>
          <w:iCs/>
          <w:sz w:val="22"/>
          <w:szCs w:val="22"/>
        </w:rPr>
        <w:lastRenderedPageBreak/>
        <w:t>en beneficio del interés público (no por eso dejan de ser datos personales, sólo que no están protegidos en la confidencialidad).</w:t>
      </w:r>
    </w:p>
    <w:p w14:paraId="0096533C"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203D9C6"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8C64485"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393F5B26"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Bajo este esquema a continuación se analizan los datos </w:t>
      </w:r>
      <w:r w:rsidR="006E4790">
        <w:rPr>
          <w:rFonts w:ascii="Palatino Linotype" w:hAnsi="Palatino Linotype" w:cs="Tahoma"/>
          <w:bCs/>
          <w:iCs/>
          <w:sz w:val="22"/>
          <w:szCs w:val="22"/>
        </w:rPr>
        <w:t>que no son susceptibles de clasificarse y los que sí</w:t>
      </w:r>
      <w:r w:rsidRPr="00C928ED">
        <w:rPr>
          <w:rFonts w:ascii="Palatino Linotype" w:hAnsi="Palatino Linotype" w:cs="Tahoma"/>
          <w:bCs/>
          <w:iCs/>
          <w:sz w:val="22"/>
          <w:szCs w:val="22"/>
        </w:rPr>
        <w:t xml:space="preserve">, tales como </w:t>
      </w:r>
      <w:r w:rsidR="006E4790">
        <w:rPr>
          <w:rFonts w:ascii="Palatino Linotype" w:hAnsi="Palatino Linotype" w:cs="Tahoma"/>
          <w:bCs/>
          <w:iCs/>
          <w:sz w:val="22"/>
          <w:szCs w:val="22"/>
        </w:rPr>
        <w:t xml:space="preserve">el </w:t>
      </w:r>
      <w:r w:rsidR="006E4790" w:rsidRPr="006E4790">
        <w:rPr>
          <w:rFonts w:ascii="Palatino Linotype" w:hAnsi="Palatino Linotype" w:cs="Tahoma"/>
          <w:b/>
          <w:bCs/>
          <w:iCs/>
          <w:sz w:val="22"/>
          <w:szCs w:val="22"/>
        </w:rPr>
        <w:t>Registro Federal de Contribuyentes de proveedores</w:t>
      </w:r>
      <w:r w:rsidR="006E4790">
        <w:rPr>
          <w:rFonts w:ascii="Palatino Linotype" w:hAnsi="Palatino Linotype" w:cs="Tahoma"/>
          <w:bCs/>
          <w:iCs/>
          <w:sz w:val="22"/>
          <w:szCs w:val="22"/>
        </w:rPr>
        <w:t xml:space="preserve"> y </w:t>
      </w:r>
      <w:r w:rsidRPr="00C928ED">
        <w:rPr>
          <w:rFonts w:ascii="Palatino Linotype" w:hAnsi="Palatino Linotype" w:cs="Tahoma"/>
          <w:bCs/>
          <w:iCs/>
          <w:sz w:val="22"/>
          <w:szCs w:val="22"/>
        </w:rPr>
        <w:t xml:space="preserve">la </w:t>
      </w:r>
      <w:r w:rsidRPr="00C928ED">
        <w:rPr>
          <w:rFonts w:ascii="Palatino Linotype" w:hAnsi="Palatino Linotype" w:cs="Tahoma"/>
          <w:b/>
          <w:bCs/>
          <w:iCs/>
          <w:sz w:val="22"/>
          <w:szCs w:val="22"/>
        </w:rPr>
        <w:t>Clave Única de Registro de Población</w:t>
      </w:r>
      <w:r w:rsidRPr="00C928ED">
        <w:rPr>
          <w:rFonts w:ascii="Palatino Linotype" w:hAnsi="Palatino Linotype" w:cs="Tahoma"/>
          <w:bCs/>
          <w:iCs/>
          <w:sz w:val="22"/>
          <w:szCs w:val="22"/>
        </w:rPr>
        <w:t xml:space="preserve"> (CURP).</w:t>
      </w:r>
      <w:r w:rsidR="006E4790">
        <w:rPr>
          <w:rFonts w:ascii="Palatino Linotype" w:hAnsi="Palatino Linotype" w:cs="Tahoma"/>
          <w:bCs/>
          <w:iCs/>
          <w:sz w:val="22"/>
          <w:szCs w:val="22"/>
        </w:rPr>
        <w:t xml:space="preserve"> </w:t>
      </w:r>
    </w:p>
    <w:p w14:paraId="4E98A52C"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51055B68" w14:textId="77777777" w:rsidR="0071545A" w:rsidRPr="00C928ED" w:rsidRDefault="0071545A" w:rsidP="0071545A">
      <w:pPr>
        <w:pStyle w:val="Prrafodelista"/>
        <w:numPr>
          <w:ilvl w:val="0"/>
          <w:numId w:val="22"/>
        </w:numPr>
        <w:spacing w:line="360" w:lineRule="auto"/>
        <w:ind w:right="-91"/>
        <w:jc w:val="both"/>
        <w:rPr>
          <w:rFonts w:ascii="Palatino Linotype" w:eastAsia="Calibri" w:hAnsi="Palatino Linotype" w:cs="Tahoma"/>
          <w:bCs/>
          <w:szCs w:val="22"/>
          <w:lang w:val="es-ES" w:eastAsia="en-US"/>
        </w:rPr>
      </w:pPr>
      <w:r w:rsidRPr="00C928ED">
        <w:rPr>
          <w:rFonts w:ascii="Palatino Linotype" w:hAnsi="Palatino Linotype" w:cs="Tahoma"/>
          <w:b/>
          <w:bCs/>
          <w:iCs/>
          <w:szCs w:val="22"/>
        </w:rPr>
        <w:t>Registro Federal de Contribuyentes</w:t>
      </w:r>
      <w:r w:rsidRPr="00C928ED">
        <w:rPr>
          <w:rFonts w:ascii="Palatino Linotype" w:hAnsi="Palatino Linotype" w:cs="Tahoma"/>
          <w:bCs/>
          <w:iCs/>
          <w:szCs w:val="22"/>
        </w:rPr>
        <w:t xml:space="preserve"> (RFC) de proveedores </w:t>
      </w:r>
    </w:p>
    <w:p w14:paraId="55907720" w14:textId="77777777" w:rsidR="0071545A" w:rsidRPr="00C928ED" w:rsidRDefault="0071545A" w:rsidP="0071545A">
      <w:pPr>
        <w:pStyle w:val="Prrafodelista"/>
        <w:spacing w:line="360" w:lineRule="auto"/>
        <w:ind w:right="-91"/>
        <w:jc w:val="both"/>
        <w:rPr>
          <w:rFonts w:ascii="Palatino Linotype" w:eastAsia="Calibri" w:hAnsi="Palatino Linotype" w:cs="Tahoma"/>
          <w:bCs/>
          <w:szCs w:val="22"/>
          <w:lang w:val="es-ES" w:eastAsia="en-US"/>
        </w:rPr>
      </w:pPr>
    </w:p>
    <w:p w14:paraId="2236F85E" w14:textId="77777777" w:rsidR="0071545A" w:rsidRPr="00C928ED" w:rsidRDefault="006E4790" w:rsidP="0071545A">
      <w:pPr>
        <w:spacing w:line="360" w:lineRule="auto"/>
        <w:ind w:right="-91"/>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w:t>
      </w:r>
      <w:r w:rsidR="0071545A" w:rsidRPr="00C928ED">
        <w:rPr>
          <w:rFonts w:ascii="Palatino Linotype" w:eastAsia="Calibri" w:hAnsi="Palatino Linotype" w:cs="Tahoma"/>
          <w:bCs/>
          <w:sz w:val="22"/>
          <w:szCs w:val="22"/>
          <w:lang w:val="es-ES" w:eastAsia="en-US"/>
        </w:rPr>
        <w:t>l RFC de proveedores</w:t>
      </w:r>
      <w:r>
        <w:rPr>
          <w:rFonts w:ascii="Palatino Linotype" w:eastAsia="Calibri" w:hAnsi="Palatino Linotype" w:cs="Tahoma"/>
          <w:bCs/>
          <w:sz w:val="22"/>
          <w:szCs w:val="22"/>
          <w:lang w:val="es-ES" w:eastAsia="en-US"/>
        </w:rPr>
        <w:t>,</w:t>
      </w:r>
      <w:r w:rsidR="0071545A" w:rsidRPr="00C928ED">
        <w:rPr>
          <w:rFonts w:ascii="Palatino Linotype" w:eastAsia="Calibri" w:hAnsi="Palatino Linotype" w:cs="Tahoma"/>
          <w:bCs/>
          <w:sz w:val="22"/>
          <w:szCs w:val="22"/>
          <w:lang w:val="es-ES" w:eastAsia="en-US"/>
        </w:rPr>
        <w:t xml:space="preserve">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31E2FDA6"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6C29986D"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lastRenderedPageBreak/>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12C9869C"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583DCFA2"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56536632"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58847F07"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14:paraId="6E0A1AD6"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14B48825" w14:textId="77777777" w:rsidR="0071545A" w:rsidRPr="00C928ED" w:rsidRDefault="0071545A" w:rsidP="0071545A">
      <w:pPr>
        <w:spacing w:line="360" w:lineRule="auto"/>
        <w:ind w:left="567" w:right="539"/>
        <w:jc w:val="both"/>
        <w:rPr>
          <w:rFonts w:ascii="Palatino Linotype" w:eastAsia="Calibri" w:hAnsi="Palatino Linotype" w:cs="Tahoma"/>
          <w:bCs/>
          <w:i/>
          <w:szCs w:val="22"/>
          <w:lang w:val="es-ES" w:eastAsia="en-US"/>
        </w:rPr>
      </w:pPr>
      <w:r w:rsidRPr="00C928ED">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C928ED">
        <w:rPr>
          <w:rFonts w:ascii="Palatino Linotype" w:eastAsia="Calibri" w:hAnsi="Palatino Linotype" w:cs="Tahoma"/>
          <w:bCs/>
          <w:i/>
          <w:szCs w:val="22"/>
          <w:lang w:val="es-ES" w:eastAsia="en-US"/>
        </w:rPr>
        <w:t xml:space="preserve">.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w:t>
      </w:r>
      <w:r w:rsidRPr="00C928ED">
        <w:rPr>
          <w:rFonts w:ascii="Palatino Linotype" w:eastAsia="Calibri" w:hAnsi="Palatino Linotype" w:cs="Tahoma"/>
          <w:bCs/>
          <w:i/>
          <w:szCs w:val="22"/>
          <w:lang w:val="es-ES" w:eastAsia="en-US"/>
        </w:rPr>
        <w:lastRenderedPageBreak/>
        <w:t>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6CD7A56B"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27F1D9A2" w14:textId="77777777" w:rsidR="0071545A" w:rsidRDefault="0071545A" w:rsidP="0071545A">
      <w:pPr>
        <w:spacing w:line="360" w:lineRule="auto"/>
        <w:ind w:right="-93"/>
        <w:contextualSpacing/>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t>Por consiguiente, no procede clasificar como confidencial con fundamento en el artículo 143, fracción I, de la Ley de Transparencia y Acceso a la Información Pública del Estado de México y Municipios y, eliminar RFC de personas físicas ni de personas jurídico-colectivas en los documentos que pudiera proporcionar el Sujeto Obligado</w:t>
      </w:r>
    </w:p>
    <w:p w14:paraId="0436D4BA" w14:textId="77777777" w:rsidR="006E4790" w:rsidRPr="00C928ED" w:rsidRDefault="006E4790" w:rsidP="0071545A">
      <w:pPr>
        <w:spacing w:line="360" w:lineRule="auto"/>
        <w:ind w:right="-93"/>
        <w:contextualSpacing/>
        <w:jc w:val="both"/>
        <w:rPr>
          <w:rFonts w:ascii="Palatino Linotype" w:hAnsi="Palatino Linotype" w:cs="Tahoma"/>
          <w:bCs/>
          <w:iCs/>
          <w:sz w:val="22"/>
          <w:szCs w:val="22"/>
        </w:rPr>
      </w:pPr>
    </w:p>
    <w:p w14:paraId="468B91E0" w14:textId="77777777" w:rsidR="0071545A" w:rsidRDefault="0071545A" w:rsidP="0071545A">
      <w:pPr>
        <w:pStyle w:val="Prrafodelista"/>
        <w:numPr>
          <w:ilvl w:val="0"/>
          <w:numId w:val="22"/>
        </w:numPr>
        <w:spacing w:before="240" w:after="240" w:line="360" w:lineRule="auto"/>
        <w:jc w:val="both"/>
        <w:rPr>
          <w:rFonts w:ascii="Palatino Linotype" w:hAnsi="Palatino Linotype" w:cs="Tahoma"/>
          <w:b/>
          <w:szCs w:val="22"/>
        </w:rPr>
      </w:pPr>
      <w:r w:rsidRPr="00C928ED">
        <w:rPr>
          <w:rFonts w:ascii="Palatino Linotype" w:hAnsi="Palatino Linotype" w:cs="Tahoma"/>
          <w:b/>
          <w:szCs w:val="22"/>
        </w:rPr>
        <w:t xml:space="preserve">Clave </w:t>
      </w:r>
      <w:r w:rsidRPr="00C928ED">
        <w:rPr>
          <w:rFonts w:ascii="Palatino Linotype" w:hAnsi="Palatino Linotype" w:cs="Tahoma"/>
          <w:b/>
          <w:caps/>
          <w:szCs w:val="22"/>
        </w:rPr>
        <w:t>ú</w:t>
      </w:r>
      <w:r w:rsidRPr="00C928ED">
        <w:rPr>
          <w:rFonts w:ascii="Palatino Linotype" w:hAnsi="Palatino Linotype" w:cs="Tahoma"/>
          <w:b/>
          <w:szCs w:val="22"/>
        </w:rPr>
        <w:t>nica de Registro de Población –CURP-.</w:t>
      </w:r>
    </w:p>
    <w:p w14:paraId="736821F4"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CEB76D6"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703AF0D7"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2036671C"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621E7283"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51C0785" w14:textId="77777777" w:rsidR="0071545A" w:rsidRPr="00C928ED" w:rsidRDefault="0071545A" w:rsidP="0071545A">
      <w:pPr>
        <w:spacing w:line="360" w:lineRule="auto"/>
        <w:contextualSpacing/>
        <w:jc w:val="both"/>
        <w:rPr>
          <w:rFonts w:ascii="Palatino Linotype" w:hAnsi="Palatino Linotype" w:cs="Tahoma"/>
          <w:b/>
          <w:sz w:val="22"/>
          <w:szCs w:val="22"/>
          <w:lang w:eastAsia="es-MX"/>
        </w:rPr>
      </w:pPr>
    </w:p>
    <w:p w14:paraId="5F5963CA"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C928ED">
          <w:rPr>
            <w:rStyle w:val="Hipervnculo"/>
            <w:rFonts w:ascii="Palatino Linotype" w:hAnsi="Palatino Linotype" w:cs="Tahoma"/>
            <w:sz w:val="22"/>
            <w:szCs w:val="22"/>
            <w:lang w:eastAsia="es-MX"/>
          </w:rPr>
          <w:t>https://consultas.curp.gob.mx/CurpSP/html/informacionecurpPS.html</w:t>
        </w:r>
      </w:hyperlink>
      <w:r w:rsidRPr="00C928ED">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928ED">
        <w:rPr>
          <w:rFonts w:ascii="Palatino Linotype" w:hAnsi="Palatino Linotype" w:cs="Tahoma"/>
          <w:b/>
          <w:sz w:val="22"/>
          <w:szCs w:val="22"/>
          <w:lang w:eastAsia="es-MX"/>
        </w:rPr>
        <w:t xml:space="preserve">se generan a partir de los datos contenidos en el documento probatorio de la identidad del interesado </w:t>
      </w:r>
      <w:r w:rsidRPr="00C928ED">
        <w:rPr>
          <w:rFonts w:ascii="Palatino Linotype" w:hAnsi="Palatino Linotype" w:cs="Tahoma"/>
          <w:sz w:val="22"/>
          <w:szCs w:val="22"/>
          <w:lang w:eastAsia="es-MX"/>
        </w:rPr>
        <w:t>(acta de nacimiento, carta de naturalización o documento migratorio) de la siguiente forma:</w:t>
      </w:r>
    </w:p>
    <w:p w14:paraId="03561A7F"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19433303"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El primero y segundo apellidos, así como al nombre de pila.</w:t>
      </w:r>
    </w:p>
    <w:p w14:paraId="4208A865"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La fecha de nacimiento.</w:t>
      </w:r>
    </w:p>
    <w:p w14:paraId="61310E45"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El sexo.</w:t>
      </w:r>
    </w:p>
    <w:p w14:paraId="31FD5644"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La entidad federativa de nacimiento.</w:t>
      </w:r>
    </w:p>
    <w:p w14:paraId="5EE34971"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50854C9E"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Los dos últimos elementos de la CURP evitan la duplicidad de la Clave y garantizan su correcta integración.</w:t>
      </w:r>
    </w:p>
    <w:p w14:paraId="24D917B3"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376F00C0" w14:textId="77777777" w:rsidR="0071545A" w:rsidRPr="00C928ED" w:rsidRDefault="0071545A" w:rsidP="0071545A">
      <w:pPr>
        <w:spacing w:line="360" w:lineRule="auto"/>
        <w:contextualSpacing/>
        <w:jc w:val="both"/>
        <w:rPr>
          <w:rFonts w:ascii="Palatino Linotype" w:hAnsi="Palatino Linotype" w:cs="Tahoma"/>
          <w:sz w:val="22"/>
          <w:szCs w:val="22"/>
        </w:rPr>
      </w:pPr>
      <w:r w:rsidRPr="00C928ED">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7C8D9B" w14:textId="77777777" w:rsidR="0071545A" w:rsidRPr="00C928ED" w:rsidRDefault="0071545A" w:rsidP="0071545A">
      <w:pPr>
        <w:spacing w:line="360" w:lineRule="auto"/>
        <w:contextualSpacing/>
        <w:jc w:val="both"/>
        <w:rPr>
          <w:rFonts w:ascii="Palatino Linotype" w:hAnsi="Palatino Linotype" w:cs="Tahoma"/>
          <w:sz w:val="22"/>
          <w:szCs w:val="22"/>
        </w:rPr>
      </w:pPr>
    </w:p>
    <w:p w14:paraId="1D515491"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Resulta aplicable en la especie, como argumento orientador, el Criterio 3/10, emitido por el INAI.</w:t>
      </w:r>
    </w:p>
    <w:p w14:paraId="54260FAC" w14:textId="77777777" w:rsidR="0071545A" w:rsidRPr="00C928ED" w:rsidRDefault="0071545A" w:rsidP="0071545A">
      <w:pPr>
        <w:spacing w:line="360" w:lineRule="auto"/>
        <w:contextualSpacing/>
        <w:jc w:val="both"/>
        <w:rPr>
          <w:rFonts w:ascii="Palatino Linotype" w:hAnsi="Palatino Linotype" w:cs="Tahoma"/>
          <w:sz w:val="22"/>
          <w:szCs w:val="22"/>
        </w:rPr>
      </w:pPr>
    </w:p>
    <w:p w14:paraId="533420E2" w14:textId="77777777" w:rsidR="0071545A" w:rsidRPr="00C928ED" w:rsidRDefault="0071545A" w:rsidP="0071545A">
      <w:pPr>
        <w:autoSpaceDE w:val="0"/>
        <w:autoSpaceDN w:val="0"/>
        <w:adjustRightInd w:val="0"/>
        <w:spacing w:line="360" w:lineRule="auto"/>
        <w:ind w:left="567" w:right="567"/>
        <w:jc w:val="both"/>
        <w:rPr>
          <w:rFonts w:ascii="Palatino Linotype" w:eastAsia="Calibri" w:hAnsi="Palatino Linotype" w:cs="Tahoma"/>
          <w:i/>
          <w:color w:val="000000"/>
        </w:rPr>
      </w:pPr>
      <w:r w:rsidRPr="00C928ED">
        <w:rPr>
          <w:rFonts w:ascii="Palatino Linotype" w:eastAsia="Calibri" w:hAnsi="Palatino Linotype" w:cs="Tahoma"/>
          <w:b/>
          <w:bCs/>
          <w:i/>
          <w:color w:val="000000"/>
        </w:rPr>
        <w:lastRenderedPageBreak/>
        <w:t xml:space="preserve">Clave Única de Registro de Población (CURP) es un dato personal confidencial. </w:t>
      </w:r>
      <w:r w:rsidRPr="00C928ED">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1DE716B" w14:textId="77777777" w:rsidR="0071545A" w:rsidRPr="00C928ED" w:rsidRDefault="0071545A" w:rsidP="0071545A">
      <w:pPr>
        <w:spacing w:before="240" w:after="240" w:line="360" w:lineRule="auto"/>
        <w:jc w:val="both"/>
        <w:rPr>
          <w:rFonts w:ascii="Palatino Linotype" w:hAnsi="Palatino Linotype" w:cs="Tahoma"/>
          <w:sz w:val="22"/>
          <w:szCs w:val="22"/>
        </w:rPr>
      </w:pPr>
      <w:r w:rsidRPr="00C928ED">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1DB1DE41" w14:textId="77777777" w:rsidR="0071545A" w:rsidRPr="00C928ED" w:rsidRDefault="0071545A" w:rsidP="0071545A">
      <w:pPr>
        <w:tabs>
          <w:tab w:val="left" w:pos="4962"/>
        </w:tabs>
        <w:spacing w:line="360" w:lineRule="auto"/>
        <w:jc w:val="both"/>
        <w:rPr>
          <w:rFonts w:ascii="Palatino Linotype" w:eastAsia="Calibri" w:hAnsi="Palatino Linotype" w:cs="Tahoma"/>
          <w:bCs/>
          <w:sz w:val="22"/>
          <w:szCs w:val="22"/>
          <w:lang w:eastAsia="en-US"/>
        </w:rPr>
      </w:pPr>
    </w:p>
    <w:p w14:paraId="4BA828EC" w14:textId="77777777" w:rsidR="0071545A" w:rsidRDefault="0071545A" w:rsidP="0071545A">
      <w:pPr>
        <w:spacing w:line="360" w:lineRule="auto"/>
        <w:ind w:right="-93"/>
        <w:jc w:val="both"/>
        <w:rPr>
          <w:rFonts w:ascii="Palatino Linotype" w:eastAsia="Calibri" w:hAnsi="Palatino Linotype" w:cs="Tahoma"/>
          <w:sz w:val="22"/>
          <w:szCs w:val="22"/>
          <w:lang w:eastAsia="es-ES_tradnl"/>
        </w:rPr>
      </w:pPr>
      <w:r w:rsidRPr="00C928ED">
        <w:rPr>
          <w:rFonts w:ascii="Palatino Linotype" w:eastAsia="Calibri" w:hAnsi="Palatino Linotype" w:cs="Tahoma"/>
          <w:sz w:val="22"/>
          <w:szCs w:val="22"/>
          <w:lang w:eastAsia="es-ES_tradnl"/>
        </w:rPr>
        <w:t>Ahora bien, para el caso de que el Particular no tenga por satisfecho su derecho de acceso a la información cuando el Sujeto Obligado de cumplimiento a la presente Resolución, en términos del artículo 179, último párrafo de la Ley de Transparencia y Acceso a la Información Pública del Estado de México y Municipios, podrá impugnarla de nueva cuenta ante este Instituto.</w:t>
      </w:r>
    </w:p>
    <w:p w14:paraId="0D36C040" w14:textId="77777777" w:rsidR="0071545A" w:rsidRPr="0061200B" w:rsidRDefault="0071545A" w:rsidP="0071545A">
      <w:pPr>
        <w:spacing w:line="360" w:lineRule="auto"/>
        <w:ind w:right="-93"/>
        <w:jc w:val="both"/>
        <w:rPr>
          <w:rFonts w:ascii="Palatino Linotype" w:eastAsia="Calibri" w:hAnsi="Palatino Linotype" w:cs="Tahoma"/>
          <w:bCs/>
          <w:sz w:val="22"/>
          <w:szCs w:val="22"/>
          <w:lang w:eastAsia="en-US"/>
        </w:rPr>
      </w:pPr>
    </w:p>
    <w:p w14:paraId="087A1AEA" w14:textId="77777777" w:rsidR="00D12208" w:rsidRDefault="00CF7837" w:rsidP="00CF783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4F67374F" w14:textId="77777777" w:rsidR="00D12208" w:rsidRDefault="00D12208" w:rsidP="00CF7837">
      <w:pPr>
        <w:spacing w:line="360" w:lineRule="auto"/>
        <w:ind w:right="-93"/>
        <w:jc w:val="both"/>
        <w:rPr>
          <w:rFonts w:ascii="Palatino Linotype" w:hAnsi="Palatino Linotype" w:cs="Tahoma"/>
          <w:b/>
          <w:sz w:val="22"/>
          <w:szCs w:val="22"/>
        </w:rPr>
      </w:pPr>
    </w:p>
    <w:p w14:paraId="45C1A34C" w14:textId="77777777" w:rsidR="00CF7837" w:rsidRDefault="00D12208" w:rsidP="00D12208">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sidR="006E4790">
        <w:rPr>
          <w:rFonts w:ascii="Palatino Linotype" w:hAnsi="Palatino Linotype" w:cs="Tahoma"/>
          <w:b/>
          <w:sz w:val="22"/>
          <w:szCs w:val="22"/>
        </w:rPr>
        <w:t>REVOCAR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5142AA">
        <w:rPr>
          <w:rFonts w:ascii="Palatino Linotype" w:hAnsi="Palatino Linotype" w:cs="Tahoma"/>
          <w:b/>
          <w:bCs/>
          <w:sz w:val="22"/>
          <w:szCs w:val="22"/>
        </w:rPr>
        <w:t>00594/METEPEC/IP/2022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Pr="00D12208">
        <w:rPr>
          <w:rFonts w:ascii="Palatino Linotype" w:hAnsi="Palatino Linotype" w:cs="Tahoma"/>
          <w:b/>
          <w:sz w:val="22"/>
          <w:szCs w:val="22"/>
        </w:rPr>
        <w:t>02061/INFOEM/IP/RR/2022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en su caso en</w:t>
      </w:r>
      <w:r>
        <w:rPr>
          <w:rFonts w:ascii="Palatino Linotype" w:hAnsi="Palatino Linotype" w:cs="Tahoma"/>
          <w:sz w:val="22"/>
          <w:szCs w:val="22"/>
        </w:rPr>
        <w:t xml:space="preserve"> </w:t>
      </w:r>
      <w:r w:rsidRPr="00D12208">
        <w:rPr>
          <w:rFonts w:ascii="Palatino Linotype" w:hAnsi="Palatino Linotype" w:cs="Tahoma"/>
          <w:sz w:val="22"/>
          <w:szCs w:val="22"/>
        </w:rPr>
        <w:lastRenderedPageBreak/>
        <w:t>versión pública a través del Sistema de Acceso a la Información Mexiquense (SAIMEX), el soporte documental en el que</w:t>
      </w:r>
      <w:r>
        <w:rPr>
          <w:rFonts w:ascii="Palatino Linotype" w:hAnsi="Palatino Linotype" w:cs="Tahoma"/>
          <w:sz w:val="22"/>
          <w:szCs w:val="22"/>
        </w:rPr>
        <w:t xml:space="preserve"> </w:t>
      </w:r>
      <w:r w:rsidRPr="00D12208">
        <w:rPr>
          <w:rFonts w:ascii="Palatino Linotype" w:hAnsi="Palatino Linotype" w:cs="Tahoma"/>
          <w:sz w:val="22"/>
          <w:szCs w:val="22"/>
        </w:rPr>
        <w:t>obre lo siguiente:</w:t>
      </w:r>
    </w:p>
    <w:p w14:paraId="30A26D08" w14:textId="77777777" w:rsidR="00D12208" w:rsidRDefault="00D12208" w:rsidP="00D12208">
      <w:pPr>
        <w:spacing w:line="360" w:lineRule="auto"/>
        <w:ind w:right="-93"/>
        <w:jc w:val="both"/>
        <w:rPr>
          <w:rFonts w:ascii="Palatino Linotype" w:hAnsi="Palatino Linotype" w:cs="Tahoma"/>
          <w:sz w:val="22"/>
          <w:szCs w:val="22"/>
        </w:rPr>
      </w:pPr>
    </w:p>
    <w:p w14:paraId="623D9E40" w14:textId="77777777" w:rsidR="00D12208" w:rsidRDefault="00CF7837" w:rsidP="00D12208">
      <w:pPr>
        <w:pStyle w:val="Prrafodelista"/>
        <w:numPr>
          <w:ilvl w:val="0"/>
          <w:numId w:val="18"/>
        </w:numPr>
        <w:spacing w:line="360" w:lineRule="auto"/>
        <w:jc w:val="both"/>
        <w:rPr>
          <w:rFonts w:ascii="Palatino Linotype" w:eastAsia="Calibri" w:hAnsi="Palatino Linotype" w:cs="Tahoma"/>
          <w:iCs/>
          <w:szCs w:val="22"/>
          <w:lang w:eastAsia="es-ES_tradnl"/>
        </w:rPr>
      </w:pPr>
      <w:r>
        <w:rPr>
          <w:rFonts w:ascii="Palatino Linotype" w:hAnsi="Palatino Linotype" w:cs="Arial"/>
          <w:szCs w:val="22"/>
        </w:rPr>
        <w:t>El</w:t>
      </w:r>
      <w:r w:rsidRPr="00A639A2">
        <w:rPr>
          <w:rFonts w:ascii="Palatino Linotype" w:hAnsi="Palatino Linotype" w:cs="Arial"/>
          <w:szCs w:val="22"/>
        </w:rPr>
        <w:t xml:space="preserve"> </w:t>
      </w:r>
      <w:r>
        <w:rPr>
          <w:rFonts w:ascii="Palatino Linotype" w:hAnsi="Palatino Linotype" w:cs="Arial"/>
          <w:szCs w:val="22"/>
        </w:rPr>
        <w:t>Acuerdo</w:t>
      </w:r>
      <w:r w:rsidRPr="00A639A2">
        <w:rPr>
          <w:rFonts w:ascii="Palatino Linotype" w:hAnsi="Palatino Linotype" w:cs="Arial"/>
          <w:szCs w:val="22"/>
        </w:rPr>
        <w:t xml:space="preserve"> </w:t>
      </w:r>
      <w:r>
        <w:rPr>
          <w:rFonts w:ascii="Palatino Linotype" w:hAnsi="Palatino Linotype" w:cs="Arial"/>
          <w:szCs w:val="22"/>
        </w:rPr>
        <w:t xml:space="preserve">emitido por el Comité de Transparencia, donde confirme la incompetencia para conocer la declaración </w:t>
      </w:r>
      <w:r w:rsidR="00D12208">
        <w:rPr>
          <w:rFonts w:ascii="Palatino Linotype" w:hAnsi="Palatino Linotype" w:cs="Arial"/>
          <w:szCs w:val="22"/>
        </w:rPr>
        <w:t>patrimonial y de interés de los servidores públicos mencionados en la solicitud inicial</w:t>
      </w:r>
      <w:r w:rsidRPr="00A639A2">
        <w:rPr>
          <w:rFonts w:ascii="Palatino Linotype" w:hAnsi="Palatino Linotype"/>
          <w:color w:val="000000"/>
          <w:szCs w:val="22"/>
        </w:rPr>
        <w:t>.</w:t>
      </w:r>
      <w:r w:rsidR="00D12208" w:rsidRPr="00D12208">
        <w:rPr>
          <w:rFonts w:ascii="Palatino Linotype" w:eastAsia="Calibri" w:hAnsi="Palatino Linotype" w:cs="Tahoma"/>
          <w:iCs/>
          <w:szCs w:val="22"/>
          <w:lang w:eastAsia="es-ES_tradnl"/>
        </w:rPr>
        <w:t xml:space="preserve"> </w:t>
      </w:r>
    </w:p>
    <w:p w14:paraId="70ECEEFD" w14:textId="77777777" w:rsidR="00D12208" w:rsidRDefault="00D12208" w:rsidP="00D12208">
      <w:pPr>
        <w:pStyle w:val="Prrafodelista"/>
        <w:numPr>
          <w:ilvl w:val="0"/>
          <w:numId w:val="18"/>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La</w:t>
      </w:r>
      <w:r w:rsidRPr="00D12208">
        <w:rPr>
          <w:rFonts w:ascii="Palatino Linotype" w:eastAsia="Calibri" w:hAnsi="Palatino Linotype" w:cs="Tahoma"/>
          <w:iCs/>
          <w:szCs w:val="22"/>
          <w:lang w:eastAsia="es-ES_tradnl"/>
        </w:rPr>
        <w:t>s empresas que tengan relación jurídica con el Ayuntamiento</w:t>
      </w:r>
      <w:r w:rsidR="006E4790">
        <w:rPr>
          <w:rFonts w:ascii="Palatino Linotype" w:eastAsia="Calibri" w:hAnsi="Palatino Linotype" w:cs="Tahoma"/>
          <w:iCs/>
          <w:szCs w:val="22"/>
          <w:lang w:eastAsia="es-ES_tradnl"/>
        </w:rPr>
        <w:t>,</w:t>
      </w:r>
      <w:r w:rsidRPr="00D12208">
        <w:rPr>
          <w:rFonts w:ascii="Palatino Linotype" w:eastAsia="Calibri" w:hAnsi="Palatino Linotype" w:cs="Tahoma"/>
          <w:iCs/>
          <w:szCs w:val="22"/>
          <w:lang w:eastAsia="es-ES_tradnl"/>
        </w:rPr>
        <w:t xml:space="preserve"> </w:t>
      </w:r>
      <w:r>
        <w:rPr>
          <w:rFonts w:ascii="Palatino Linotype" w:eastAsia="Calibri" w:hAnsi="Palatino Linotype" w:cs="Tahoma"/>
          <w:iCs/>
          <w:szCs w:val="22"/>
          <w:lang w:eastAsia="es-ES_tradnl"/>
        </w:rPr>
        <w:t>vigente al diez de enero de dos mil veintidós.</w:t>
      </w:r>
    </w:p>
    <w:p w14:paraId="4C9955C6" w14:textId="77777777" w:rsidR="00CF7837" w:rsidRPr="00A639A2" w:rsidRDefault="00CF7837" w:rsidP="00D12208">
      <w:pPr>
        <w:pStyle w:val="Prrafodelista"/>
        <w:spacing w:line="360" w:lineRule="auto"/>
        <w:jc w:val="both"/>
        <w:rPr>
          <w:rFonts w:ascii="Palatino Linotype" w:hAnsi="Palatino Linotype" w:cs="Arial"/>
          <w:szCs w:val="22"/>
        </w:rPr>
      </w:pPr>
    </w:p>
    <w:p w14:paraId="317C5C21" w14:textId="77777777" w:rsidR="00254293" w:rsidRDefault="00D12208" w:rsidP="00D12208">
      <w:pPr>
        <w:spacing w:line="360" w:lineRule="auto"/>
        <w:ind w:right="-93"/>
        <w:jc w:val="both"/>
        <w:rPr>
          <w:rFonts w:ascii="Palatino Linotype" w:eastAsia="Calibri" w:hAnsi="Palatino Linotype" w:cs="Tahoma"/>
          <w:bCs/>
          <w:sz w:val="22"/>
          <w:szCs w:val="22"/>
          <w:lang w:eastAsia="en-US"/>
        </w:rPr>
      </w:pPr>
      <w:r w:rsidRPr="00D12208">
        <w:rPr>
          <w:rFonts w:ascii="Palatino Linotype" w:eastAsia="Calibri" w:hAnsi="Palatino Linotype" w:cs="Tahoma"/>
          <w:bCs/>
          <w:sz w:val="22"/>
          <w:szCs w:val="22"/>
          <w:lang w:eastAsia="en-US"/>
        </w:rPr>
        <w:t>Junto con las versiones públicas que se entreguen, se deberá proporcionar el Acuerdo de</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Clasificación donde el Comité de Transparencia, confirme la eliminación de los datos y</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documentos confidenciales, de conformidad con los artículos 49, fracciones II y VIII y 132,</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fracción II de la Ley de Transparencia y Acceso a la Información Pública del Estado de</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México y Municipios.</w:t>
      </w:r>
    </w:p>
    <w:p w14:paraId="0AE7379B" w14:textId="77777777" w:rsidR="000C0396" w:rsidRDefault="000C0396" w:rsidP="000C0396">
      <w:pPr>
        <w:spacing w:line="360" w:lineRule="auto"/>
        <w:ind w:right="-93"/>
        <w:jc w:val="both"/>
        <w:rPr>
          <w:rFonts w:ascii="Palatino Linotype" w:eastAsia="Palatino Linotype" w:hAnsi="Palatino Linotype" w:cs="Palatino Linotype"/>
          <w:sz w:val="22"/>
          <w:szCs w:val="22"/>
        </w:rPr>
      </w:pPr>
    </w:p>
    <w:p w14:paraId="634CF213" w14:textId="77777777" w:rsidR="000C0396" w:rsidRPr="00282260"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19EFA8A8" w14:textId="77777777" w:rsidR="000C0396" w:rsidRDefault="000C0396" w:rsidP="000C0396">
      <w:pPr>
        <w:spacing w:line="360" w:lineRule="auto"/>
        <w:jc w:val="both"/>
        <w:rPr>
          <w:rFonts w:ascii="Palatino Linotype" w:eastAsia="Calibri" w:hAnsi="Palatino Linotype" w:cs="Tahoma"/>
          <w:iCs/>
          <w:sz w:val="22"/>
          <w:szCs w:val="22"/>
          <w:lang w:eastAsia="es-ES_tradnl"/>
        </w:rPr>
      </w:pPr>
    </w:p>
    <w:p w14:paraId="1A260223" w14:textId="77777777" w:rsidR="00BD2D83" w:rsidRPr="009100C0" w:rsidRDefault="00BD2D83" w:rsidP="00BD2D83">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3F2CA8AB" w14:textId="77777777" w:rsidR="00BD2D83" w:rsidRDefault="00BD2D83" w:rsidP="00BD2D83">
      <w:pPr>
        <w:spacing w:line="360" w:lineRule="auto"/>
        <w:jc w:val="both"/>
        <w:rPr>
          <w:rFonts w:ascii="Palatino Linotype" w:hAnsi="Palatino Linotype" w:cs="Tahoma"/>
          <w:bCs/>
          <w:sz w:val="22"/>
          <w:szCs w:val="22"/>
          <w:u w:val="single"/>
        </w:rPr>
      </w:pPr>
    </w:p>
    <w:p w14:paraId="2F4F8B8D" w14:textId="77777777" w:rsidR="00BD2D83" w:rsidRDefault="00BD2D83" w:rsidP="00BD2D83">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revocar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solicitada, al considerar que </w:t>
      </w:r>
      <w:r w:rsidR="00BA3897">
        <w:rPr>
          <w:rFonts w:ascii="Palatino Linotype" w:hAnsi="Palatino Linotype" w:cs="Tahoma"/>
          <w:bCs/>
          <w:sz w:val="22"/>
          <w:szCs w:val="22"/>
          <w:u w:val="single"/>
        </w:rPr>
        <w:t>su solicitud solo contenía manifestaciones subjetivas</w:t>
      </w:r>
      <w:r>
        <w:rPr>
          <w:rFonts w:ascii="Palatino Linotype" w:hAnsi="Palatino Linotype" w:cs="Tahoma"/>
          <w:bCs/>
          <w:sz w:val="22"/>
          <w:szCs w:val="22"/>
          <w:u w:val="single"/>
        </w:rPr>
        <w:t>, aunado a que es información considerada pública, por lo que procede la entrega del o los documentos en donde conste lo solicitado.</w:t>
      </w:r>
    </w:p>
    <w:p w14:paraId="19A97B7D" w14:textId="77777777" w:rsidR="00BD2D83" w:rsidRPr="00905EC8" w:rsidRDefault="00BD2D83" w:rsidP="00BD2D83">
      <w:pPr>
        <w:spacing w:line="360" w:lineRule="auto"/>
        <w:jc w:val="both"/>
        <w:rPr>
          <w:rFonts w:ascii="Palatino Linotype" w:hAnsi="Palatino Linotype" w:cs="Tahoma"/>
          <w:bCs/>
          <w:sz w:val="22"/>
          <w:szCs w:val="22"/>
          <w:u w:val="single"/>
        </w:rPr>
      </w:pPr>
    </w:p>
    <w:p w14:paraId="15F32708" w14:textId="77777777" w:rsidR="000C0396" w:rsidRDefault="00BD2D83" w:rsidP="00BD2D83">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14:paraId="2C2D0F5C" w14:textId="77777777" w:rsidR="00BD2D83" w:rsidRPr="007C0B21" w:rsidRDefault="00BD2D83" w:rsidP="00BD2D83">
      <w:pPr>
        <w:spacing w:line="360" w:lineRule="auto"/>
        <w:ind w:right="-93"/>
        <w:jc w:val="both"/>
        <w:rPr>
          <w:rFonts w:ascii="Palatino Linotype" w:hAnsi="Palatino Linotype" w:cs="Tahoma"/>
          <w:sz w:val="22"/>
          <w:szCs w:val="22"/>
        </w:rPr>
      </w:pPr>
    </w:p>
    <w:p w14:paraId="57B311C4" w14:textId="77777777" w:rsidR="000C0396" w:rsidRPr="007C0B21" w:rsidRDefault="000C0396" w:rsidP="000C0396">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0BBD61C6" w14:textId="77777777" w:rsidR="000C0396" w:rsidRPr="007C0B21" w:rsidRDefault="000C0396" w:rsidP="000C0396">
      <w:pPr>
        <w:spacing w:line="360" w:lineRule="auto"/>
        <w:jc w:val="center"/>
        <w:rPr>
          <w:rFonts w:ascii="Palatino Linotype" w:hAnsi="Palatino Linotype" w:cs="Tahoma"/>
          <w:b/>
          <w:bCs/>
          <w:sz w:val="22"/>
          <w:szCs w:val="22"/>
        </w:rPr>
      </w:pPr>
    </w:p>
    <w:p w14:paraId="7B5CAD09" w14:textId="77777777" w:rsidR="00BD2D83" w:rsidRPr="00733CE0" w:rsidRDefault="00BD2D83" w:rsidP="00BD2D83">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Pr>
          <w:rFonts w:ascii="Palatino Linotype" w:hAnsi="Palatino Linotype" w:cs="Tahoma"/>
          <w:b/>
          <w:bCs/>
          <w:sz w:val="22"/>
          <w:szCs w:val="22"/>
        </w:rPr>
        <w:t>REVOCA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5142AA">
        <w:rPr>
          <w:rFonts w:ascii="Palatino Linotype" w:hAnsi="Palatino Linotype" w:cs="Tahoma"/>
          <w:b/>
          <w:bCs/>
          <w:sz w:val="22"/>
          <w:szCs w:val="22"/>
        </w:rPr>
        <w:t>Ayuntamiento de Metepec</w:t>
      </w:r>
      <w:r w:rsidRPr="00BD2D83">
        <w:rPr>
          <w:rFonts w:ascii="Palatino Linotype" w:eastAsia="Calibri" w:hAnsi="Palatino Linotype" w:cs="Tahoma"/>
          <w:b/>
          <w:bCs/>
          <w:sz w:val="22"/>
          <w:szCs w:val="22"/>
        </w:rPr>
        <w:t xml:space="preserve"> </w:t>
      </w:r>
      <w:r w:rsidRPr="00BD2D83">
        <w:rPr>
          <w:rFonts w:ascii="Palatino Linotype" w:eastAsia="Calibri" w:hAnsi="Palatino Linotype" w:cs="Tahoma"/>
          <w:bCs/>
          <w:sz w:val="22"/>
          <w:szCs w:val="22"/>
          <w:lang w:eastAsia="en-US"/>
        </w:rPr>
        <w:t>a</w:t>
      </w:r>
      <w:r w:rsidRPr="00733CE0">
        <w:rPr>
          <w:rFonts w:ascii="Palatino Linotype" w:hAnsi="Palatino Linotype" w:cs="Tahoma"/>
          <w:bCs/>
          <w:sz w:val="22"/>
          <w:szCs w:val="22"/>
        </w:rPr>
        <w:t xml:space="preserve"> la solicitud de información </w:t>
      </w:r>
      <w:r w:rsidR="00BA3897" w:rsidRPr="00BA3897">
        <w:rPr>
          <w:rFonts w:ascii="Palatino Linotype" w:hAnsi="Palatino Linotype"/>
          <w:b/>
          <w:bCs/>
          <w:sz w:val="22"/>
          <w:szCs w:val="22"/>
        </w:rPr>
        <w:t>00594/METEPEC/IP/2022</w:t>
      </w:r>
      <w:r>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BA3897">
        <w:rPr>
          <w:rFonts w:ascii="Palatino Linotype" w:hAnsi="Palatino Linotype" w:cs="Tahoma"/>
          <w:b/>
          <w:bCs/>
          <w:color w:val="0D0D0D" w:themeColor="text1" w:themeTint="F2"/>
          <w:sz w:val="22"/>
          <w:szCs w:val="22"/>
        </w:rPr>
        <w:t>02061</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2D6736BF" w14:textId="77777777" w:rsidR="00BD2D83" w:rsidRPr="00733CE0" w:rsidRDefault="00BD2D83" w:rsidP="00BD2D83">
      <w:pPr>
        <w:spacing w:line="360" w:lineRule="auto"/>
        <w:contextualSpacing/>
        <w:jc w:val="both"/>
        <w:rPr>
          <w:rFonts w:ascii="Palatino Linotype" w:hAnsi="Palatino Linotype" w:cs="Tahoma"/>
          <w:bCs/>
          <w:sz w:val="22"/>
          <w:szCs w:val="22"/>
        </w:rPr>
      </w:pPr>
    </w:p>
    <w:p w14:paraId="6BABF641" w14:textId="77777777" w:rsidR="00BD2D83" w:rsidRPr="00BD2D83" w:rsidRDefault="00BD2D83" w:rsidP="00BD2D83">
      <w:pPr>
        <w:autoSpaceDE w:val="0"/>
        <w:autoSpaceDN w:val="0"/>
        <w:adjustRightInd w:val="0"/>
        <w:spacing w:line="360" w:lineRule="auto"/>
        <w:ind w:right="49"/>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5142AA">
        <w:rPr>
          <w:rFonts w:ascii="Palatino Linotype" w:eastAsia="Calibri" w:hAnsi="Palatino Linotype" w:cs="Tahoma"/>
          <w:b/>
          <w:bCs/>
          <w:sz w:val="22"/>
          <w:szCs w:val="22"/>
          <w:lang w:eastAsia="en-US"/>
        </w:rPr>
        <w:t>Ayuntamiento de Metepec</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sidR="00BA3897">
        <w:rPr>
          <w:rFonts w:ascii="Palatino Linotype" w:hAnsi="Palatino Linotype" w:cs="Arial"/>
          <w:sz w:val="22"/>
          <w:szCs w:val="22"/>
          <w:lang w:val="es-ES"/>
        </w:rPr>
        <w:t xml:space="preserve"> de ser procedente en versión pública</w:t>
      </w:r>
      <w:r w:rsidRPr="00BD2D83">
        <w:rPr>
          <w:rFonts w:ascii="Palatino Linotype" w:hAnsi="Palatino Linotype" w:cs="Arial"/>
          <w:sz w:val="22"/>
          <w:szCs w:val="22"/>
          <w:lang w:val="es-ES"/>
        </w:rPr>
        <w:t xml:space="preserve"> el soporte documental en el que obre lo siguiente:</w:t>
      </w:r>
    </w:p>
    <w:p w14:paraId="3F1316A5" w14:textId="77777777" w:rsidR="00BD2D83" w:rsidRDefault="00BD2D83" w:rsidP="00BD2D83">
      <w:pPr>
        <w:tabs>
          <w:tab w:val="left" w:pos="4962"/>
        </w:tabs>
        <w:spacing w:line="360" w:lineRule="auto"/>
        <w:jc w:val="both"/>
        <w:rPr>
          <w:rFonts w:ascii="Palatino Linotype" w:hAnsi="Palatino Linotype" w:cs="Tahoma"/>
          <w:bCs/>
          <w:iCs/>
          <w:sz w:val="22"/>
          <w:szCs w:val="22"/>
          <w:lang w:val="es-ES_tradnl"/>
        </w:rPr>
      </w:pPr>
    </w:p>
    <w:p w14:paraId="5A589BAB" w14:textId="77777777" w:rsidR="00BA3897" w:rsidRDefault="00BA3897" w:rsidP="00BA3897">
      <w:pPr>
        <w:pStyle w:val="Prrafodelista"/>
        <w:numPr>
          <w:ilvl w:val="0"/>
          <w:numId w:val="20"/>
        </w:numPr>
        <w:spacing w:line="360" w:lineRule="auto"/>
        <w:jc w:val="both"/>
        <w:rPr>
          <w:rFonts w:ascii="Palatino Linotype" w:eastAsia="Calibri" w:hAnsi="Palatino Linotype" w:cs="Tahoma"/>
          <w:iCs/>
          <w:szCs w:val="22"/>
          <w:lang w:eastAsia="es-ES_tradnl"/>
        </w:rPr>
      </w:pPr>
      <w:r>
        <w:rPr>
          <w:rFonts w:ascii="Palatino Linotype" w:hAnsi="Palatino Linotype" w:cs="Arial"/>
          <w:szCs w:val="22"/>
        </w:rPr>
        <w:t>El</w:t>
      </w:r>
      <w:r w:rsidRPr="00A639A2">
        <w:rPr>
          <w:rFonts w:ascii="Palatino Linotype" w:hAnsi="Palatino Linotype" w:cs="Arial"/>
          <w:szCs w:val="22"/>
        </w:rPr>
        <w:t xml:space="preserve"> </w:t>
      </w:r>
      <w:r>
        <w:rPr>
          <w:rFonts w:ascii="Palatino Linotype" w:hAnsi="Palatino Linotype" w:cs="Arial"/>
          <w:szCs w:val="22"/>
        </w:rPr>
        <w:t>Acuerdo</w:t>
      </w:r>
      <w:r w:rsidRPr="00A639A2">
        <w:rPr>
          <w:rFonts w:ascii="Palatino Linotype" w:hAnsi="Palatino Linotype" w:cs="Arial"/>
          <w:szCs w:val="22"/>
        </w:rPr>
        <w:t xml:space="preserve"> </w:t>
      </w:r>
      <w:r>
        <w:rPr>
          <w:rFonts w:ascii="Palatino Linotype" w:hAnsi="Palatino Linotype" w:cs="Arial"/>
          <w:szCs w:val="22"/>
        </w:rPr>
        <w:t>emitido por el Comité de Transparencia, donde confirme la incompetencia para conocer la declaración patrimonial y de interés de los servidores públicos mencionados en la solicitud inicial</w:t>
      </w:r>
      <w:r w:rsidRPr="00A639A2">
        <w:rPr>
          <w:rFonts w:ascii="Palatino Linotype" w:hAnsi="Palatino Linotype"/>
          <w:color w:val="000000"/>
          <w:szCs w:val="22"/>
        </w:rPr>
        <w:t>.</w:t>
      </w:r>
      <w:r w:rsidRPr="00D12208">
        <w:rPr>
          <w:rFonts w:ascii="Palatino Linotype" w:eastAsia="Calibri" w:hAnsi="Palatino Linotype" w:cs="Tahoma"/>
          <w:iCs/>
          <w:szCs w:val="22"/>
          <w:lang w:eastAsia="es-ES_tradnl"/>
        </w:rPr>
        <w:t xml:space="preserve"> </w:t>
      </w:r>
    </w:p>
    <w:p w14:paraId="1458E643" w14:textId="5D12972C" w:rsidR="00BA3897" w:rsidRDefault="00BA3897" w:rsidP="00BA3897">
      <w:pPr>
        <w:pStyle w:val="Prrafodelista"/>
        <w:numPr>
          <w:ilvl w:val="0"/>
          <w:numId w:val="20"/>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La</w:t>
      </w:r>
      <w:r w:rsidRPr="00D12208">
        <w:rPr>
          <w:rFonts w:ascii="Palatino Linotype" w:eastAsia="Calibri" w:hAnsi="Palatino Linotype" w:cs="Tahoma"/>
          <w:iCs/>
          <w:szCs w:val="22"/>
          <w:lang w:eastAsia="es-ES_tradnl"/>
        </w:rPr>
        <w:t>s empresas que tengan relación jurídica con el Ayuntamiento</w:t>
      </w:r>
      <w:r w:rsidR="006E4790">
        <w:rPr>
          <w:rFonts w:ascii="Palatino Linotype" w:eastAsia="Calibri" w:hAnsi="Palatino Linotype" w:cs="Tahoma"/>
          <w:iCs/>
          <w:szCs w:val="22"/>
          <w:lang w:eastAsia="es-ES_tradnl"/>
        </w:rPr>
        <w:t>,</w:t>
      </w:r>
      <w:r w:rsidRPr="00D12208">
        <w:rPr>
          <w:rFonts w:ascii="Palatino Linotype" w:eastAsia="Calibri" w:hAnsi="Palatino Linotype" w:cs="Tahoma"/>
          <w:iCs/>
          <w:szCs w:val="22"/>
          <w:lang w:eastAsia="es-ES_tradnl"/>
        </w:rPr>
        <w:t xml:space="preserve"> </w:t>
      </w:r>
      <w:r w:rsidR="008F296B">
        <w:rPr>
          <w:rFonts w:ascii="Palatino Linotype" w:eastAsia="Calibri" w:hAnsi="Palatino Linotype" w:cs="Tahoma"/>
          <w:iCs/>
          <w:szCs w:val="22"/>
          <w:lang w:eastAsia="es-ES_tradnl"/>
        </w:rPr>
        <w:t>en la presente administración (del primero</w:t>
      </w:r>
      <w:r>
        <w:rPr>
          <w:rFonts w:ascii="Palatino Linotype" w:eastAsia="Calibri" w:hAnsi="Palatino Linotype" w:cs="Tahoma"/>
          <w:iCs/>
          <w:szCs w:val="22"/>
          <w:lang w:eastAsia="es-ES_tradnl"/>
        </w:rPr>
        <w:t xml:space="preserve"> al diez de enero de dos mil veintidós</w:t>
      </w:r>
      <w:r w:rsidR="008F296B">
        <w:rPr>
          <w:rFonts w:ascii="Palatino Linotype" w:eastAsia="Calibri" w:hAnsi="Palatino Linotype" w:cs="Tahoma"/>
          <w:iCs/>
          <w:szCs w:val="22"/>
          <w:lang w:eastAsia="es-ES_tradnl"/>
        </w:rPr>
        <w:t>)</w:t>
      </w:r>
      <w:r>
        <w:rPr>
          <w:rFonts w:ascii="Palatino Linotype" w:eastAsia="Calibri" w:hAnsi="Palatino Linotype" w:cs="Tahoma"/>
          <w:iCs/>
          <w:szCs w:val="22"/>
          <w:lang w:eastAsia="es-ES_tradnl"/>
        </w:rPr>
        <w:t>.</w:t>
      </w:r>
    </w:p>
    <w:p w14:paraId="31864479" w14:textId="77777777" w:rsidR="00BA3897" w:rsidRPr="00A639A2" w:rsidRDefault="00BA3897" w:rsidP="00BA3897">
      <w:pPr>
        <w:pStyle w:val="Prrafodelista"/>
        <w:spacing w:line="360" w:lineRule="auto"/>
        <w:jc w:val="both"/>
        <w:rPr>
          <w:rFonts w:ascii="Palatino Linotype" w:hAnsi="Palatino Linotype" w:cs="Arial"/>
          <w:szCs w:val="22"/>
        </w:rPr>
      </w:pPr>
    </w:p>
    <w:p w14:paraId="06FDAF46" w14:textId="6EF6EA3B" w:rsidR="00BA3897" w:rsidRDefault="00C54B75" w:rsidP="00BA38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que hace al punto 2, de ser necesarias, j</w:t>
      </w:r>
      <w:r w:rsidR="00BA3897" w:rsidRPr="00D12208">
        <w:rPr>
          <w:rFonts w:ascii="Palatino Linotype" w:eastAsia="Calibri" w:hAnsi="Palatino Linotype" w:cs="Tahoma"/>
          <w:bCs/>
          <w:sz w:val="22"/>
          <w:szCs w:val="22"/>
          <w:lang w:eastAsia="en-US"/>
        </w:rPr>
        <w:t>unto con las versiones públicas que se entreguen, se deberá proporcionar el Acuerdo de</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Clasificación donde el Comité de Transparencia, confirme la eliminación de los datos y</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documentos confidenciales, de conformidad con los artículos 49, fracciones II y VIII y 132,</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fracción II de la Ley de Transparencia y Acceso a la Información Pública del Estado de</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México y Municipios.</w:t>
      </w:r>
    </w:p>
    <w:p w14:paraId="4D39D7B0" w14:textId="77777777" w:rsidR="00BA3897" w:rsidRDefault="00BA3897" w:rsidP="00BA3897">
      <w:pPr>
        <w:spacing w:line="360" w:lineRule="auto"/>
        <w:ind w:right="-93"/>
        <w:jc w:val="both"/>
        <w:rPr>
          <w:rFonts w:ascii="Palatino Linotype" w:eastAsia="Palatino Linotype" w:hAnsi="Palatino Linotype" w:cs="Palatino Linotype"/>
          <w:sz w:val="22"/>
          <w:szCs w:val="22"/>
        </w:rPr>
      </w:pPr>
    </w:p>
    <w:p w14:paraId="3F144AD0" w14:textId="77777777" w:rsidR="00BD2D83" w:rsidRPr="00733CE0" w:rsidRDefault="00BD2D83" w:rsidP="00BD2D83">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0886D92B" w14:textId="77777777" w:rsidR="00BD2D83" w:rsidRPr="00733CE0" w:rsidRDefault="00BD2D83" w:rsidP="00BD2D83">
      <w:pPr>
        <w:spacing w:line="360" w:lineRule="auto"/>
        <w:contextualSpacing/>
        <w:jc w:val="both"/>
        <w:rPr>
          <w:rFonts w:ascii="Palatino Linotype" w:hAnsi="Palatino Linotype" w:cs="Tahoma"/>
          <w:sz w:val="22"/>
          <w:szCs w:val="22"/>
        </w:rPr>
      </w:pPr>
    </w:p>
    <w:p w14:paraId="384604AA" w14:textId="77777777" w:rsidR="00BD2D83" w:rsidRPr="00733CE0" w:rsidRDefault="00BD2D83" w:rsidP="00BD2D83">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2DB084" w14:textId="77777777" w:rsidR="00BD2D83" w:rsidRPr="00733CE0" w:rsidRDefault="00BD2D83" w:rsidP="00BD2D83">
      <w:pPr>
        <w:spacing w:line="360" w:lineRule="auto"/>
        <w:contextualSpacing/>
        <w:jc w:val="both"/>
        <w:rPr>
          <w:rFonts w:ascii="Palatino Linotype" w:eastAsia="Calibri" w:hAnsi="Palatino Linotype" w:cs="Tahoma"/>
          <w:color w:val="000000"/>
          <w:sz w:val="22"/>
          <w:szCs w:val="22"/>
          <w:lang w:val="es-ES" w:eastAsia="es-MX"/>
        </w:rPr>
      </w:pPr>
    </w:p>
    <w:p w14:paraId="00D9B217" w14:textId="77777777" w:rsidR="00BD2D83" w:rsidRDefault="00BD2D83" w:rsidP="00BD2D83">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91D2D4" w14:textId="77777777" w:rsidR="000C0396" w:rsidRDefault="000C0396" w:rsidP="00147516">
      <w:pPr>
        <w:spacing w:line="360" w:lineRule="auto"/>
        <w:contextualSpacing/>
        <w:jc w:val="both"/>
        <w:rPr>
          <w:rFonts w:ascii="Palatino Linotype" w:hAnsi="Palatino Linotype" w:cs="Tahoma"/>
          <w:color w:val="000000" w:themeColor="text1"/>
          <w:sz w:val="22"/>
          <w:szCs w:val="22"/>
        </w:rPr>
      </w:pPr>
    </w:p>
    <w:p w14:paraId="51B37CD2" w14:textId="42EEAA24" w:rsidR="000C487A" w:rsidRDefault="00C92916" w:rsidP="000C487A">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BD2D83">
        <w:rPr>
          <w:rFonts w:ascii="Palatino Linotype" w:hAnsi="Palatino Linotype" w:cs="Tahoma"/>
          <w:sz w:val="22"/>
          <w:szCs w:val="22"/>
          <w:lang w:eastAsia="es-MX"/>
        </w:rPr>
        <w:t>QUINTA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BD2D83">
        <w:rPr>
          <w:rFonts w:ascii="Palatino Linotype" w:hAnsi="Palatino Linotype" w:cs="Tahoma"/>
          <w:sz w:val="22"/>
          <w:szCs w:val="22"/>
          <w:lang w:eastAsia="es-MX"/>
        </w:rPr>
        <w:t xml:space="preserve">VEINTISIETE DE ABRIL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r w:rsidR="000C487A">
        <w:rPr>
          <w:rFonts w:ascii="Palatino Linotype" w:hAnsi="Palatino Linotype" w:cs="Tahoma"/>
          <w:sz w:val="22"/>
          <w:szCs w:val="22"/>
        </w:rPr>
        <w:br w:type="page"/>
      </w:r>
    </w:p>
    <w:p w14:paraId="61334C89"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53A5" w14:textId="77777777" w:rsidR="00487878" w:rsidRDefault="00487878" w:rsidP="00B31222">
      <w:r>
        <w:separator/>
      </w:r>
    </w:p>
  </w:endnote>
  <w:endnote w:type="continuationSeparator" w:id="0">
    <w:p w14:paraId="2E655C89" w14:textId="77777777" w:rsidR="00487878" w:rsidRDefault="00487878" w:rsidP="00B31222">
      <w:r>
        <w:continuationSeparator/>
      </w:r>
    </w:p>
  </w:endnote>
  <w:endnote w:type="continuationNotice" w:id="1">
    <w:p w14:paraId="5020575F" w14:textId="77777777" w:rsidR="00487878" w:rsidRDefault="00487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319C49E" w14:textId="77777777" w:rsidR="0071545A" w:rsidRDefault="007154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4790">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4790">
              <w:rPr>
                <w:b/>
                <w:bCs/>
                <w:noProof/>
              </w:rPr>
              <w:t>38</w:t>
            </w:r>
            <w:r>
              <w:rPr>
                <w:b/>
                <w:bCs/>
                <w:sz w:val="24"/>
                <w:szCs w:val="24"/>
              </w:rPr>
              <w:fldChar w:fldCharType="end"/>
            </w:r>
          </w:p>
        </w:sdtContent>
      </w:sdt>
    </w:sdtContent>
  </w:sdt>
  <w:p w14:paraId="5E989998" w14:textId="77777777" w:rsidR="0071545A" w:rsidRDefault="007154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1EBA25C" w14:textId="77777777" w:rsidR="0071545A" w:rsidRDefault="007154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479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4790">
              <w:rPr>
                <w:b/>
                <w:bCs/>
                <w:noProof/>
              </w:rPr>
              <w:t>40</w:t>
            </w:r>
            <w:r>
              <w:rPr>
                <w:b/>
                <w:bCs/>
                <w:sz w:val="24"/>
                <w:szCs w:val="24"/>
              </w:rPr>
              <w:fldChar w:fldCharType="end"/>
            </w:r>
          </w:p>
        </w:sdtContent>
      </w:sdt>
    </w:sdtContent>
  </w:sdt>
  <w:p w14:paraId="07C089C7" w14:textId="77777777" w:rsidR="0071545A" w:rsidRDefault="007154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2D81" w14:textId="77777777" w:rsidR="00487878" w:rsidRDefault="00487878" w:rsidP="00B31222">
      <w:r>
        <w:separator/>
      </w:r>
    </w:p>
  </w:footnote>
  <w:footnote w:type="continuationSeparator" w:id="0">
    <w:p w14:paraId="73985FE3" w14:textId="77777777" w:rsidR="00487878" w:rsidRDefault="00487878" w:rsidP="00B31222">
      <w:r>
        <w:continuationSeparator/>
      </w:r>
    </w:p>
  </w:footnote>
  <w:footnote w:type="continuationNotice" w:id="1">
    <w:p w14:paraId="1878B2C8" w14:textId="77777777" w:rsidR="00487878" w:rsidRDefault="00487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3394" w14:textId="77777777" w:rsidR="0071545A" w:rsidRDefault="000C487A">
    <w:pPr>
      <w:pStyle w:val="Encabezado"/>
    </w:pPr>
    <w:r>
      <w:rPr>
        <w:noProof/>
        <w:lang w:eastAsia="es-MX"/>
      </w:rPr>
      <w:pict w14:anchorId="67CD5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1545A" w:rsidRPr="005C106F" w14:paraId="7CFFC2FB" w14:textId="77777777" w:rsidTr="00202DB8">
      <w:trPr>
        <w:trHeight w:val="1435"/>
      </w:trPr>
      <w:tc>
        <w:tcPr>
          <w:tcW w:w="2835" w:type="dxa"/>
          <w:shd w:val="clear" w:color="auto" w:fill="auto"/>
        </w:tcPr>
        <w:p w14:paraId="1EED6B39" w14:textId="77777777" w:rsidR="0071545A" w:rsidRPr="005C106F" w:rsidRDefault="0071545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BAD117C" wp14:editId="4984919F">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5373516" w14:textId="77777777" w:rsidR="0071545A" w:rsidRDefault="0071545A"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1545A" w14:paraId="2CE27634" w14:textId="77777777" w:rsidTr="00DF3BE8">
            <w:trPr>
              <w:trHeight w:val="144"/>
            </w:trPr>
            <w:tc>
              <w:tcPr>
                <w:tcW w:w="2589" w:type="dxa"/>
              </w:tcPr>
              <w:p w14:paraId="01FC5C7F" w14:textId="77777777" w:rsidR="0071545A" w:rsidRPr="00431A70" w:rsidRDefault="0071545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751CE6" w14:textId="77777777" w:rsidR="0071545A" w:rsidRPr="00431A70" w:rsidRDefault="0071545A" w:rsidP="008E431C">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02061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71545A" w14:paraId="40A27F8B" w14:textId="77777777" w:rsidTr="00DF3BE8">
            <w:trPr>
              <w:trHeight w:val="283"/>
            </w:trPr>
            <w:tc>
              <w:tcPr>
                <w:tcW w:w="2589" w:type="dxa"/>
              </w:tcPr>
              <w:p w14:paraId="06DD80C9" w14:textId="77777777" w:rsidR="0071545A" w:rsidRPr="00431A70" w:rsidRDefault="0071545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A254F7" w14:textId="77777777" w:rsidR="0071545A" w:rsidRPr="005F13CF" w:rsidRDefault="0071545A" w:rsidP="005F13CF">
                <w:pPr>
                  <w:tabs>
                    <w:tab w:val="left" w:pos="2834"/>
                    <w:tab w:val="right" w:pos="8838"/>
                  </w:tabs>
                  <w:ind w:left="-106" w:right="171"/>
                  <w:jc w:val="both"/>
                  <w:rPr>
                    <w:rFonts w:ascii="Palatino Linotype" w:eastAsia="Calibri" w:hAnsi="Palatino Linotype" w:cs="Tahoma"/>
                    <w:bCs/>
                    <w:sz w:val="22"/>
                    <w:szCs w:val="22"/>
                    <w:lang w:eastAsia="en-US"/>
                  </w:rPr>
                </w:pPr>
                <w:r w:rsidRPr="005142AA">
                  <w:rPr>
                    <w:rFonts w:ascii="Palatino Linotype" w:eastAsia="Calibri" w:hAnsi="Palatino Linotype" w:cs="Tahoma"/>
                    <w:bCs/>
                    <w:sz w:val="22"/>
                    <w:szCs w:val="22"/>
                    <w:lang w:val="es-MX" w:eastAsia="en-US"/>
                  </w:rPr>
                  <w:t>Ayuntamiento de Metepec</w:t>
                </w:r>
              </w:p>
            </w:tc>
          </w:tr>
          <w:tr w:rsidR="0071545A" w14:paraId="4E6CEE73" w14:textId="77777777" w:rsidTr="00DF3BE8">
            <w:trPr>
              <w:trHeight w:val="283"/>
            </w:trPr>
            <w:tc>
              <w:tcPr>
                <w:tcW w:w="2589" w:type="dxa"/>
              </w:tcPr>
              <w:p w14:paraId="3503BC0E" w14:textId="77777777" w:rsidR="0071545A" w:rsidRPr="00431A70" w:rsidRDefault="0071545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B5246A4" w14:textId="77777777" w:rsidR="0071545A" w:rsidRPr="00431A70" w:rsidRDefault="0071545A"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40488C5" w14:textId="77777777" w:rsidR="0071545A" w:rsidRPr="005C106F" w:rsidRDefault="0071545A" w:rsidP="005743D2">
          <w:pPr>
            <w:tabs>
              <w:tab w:val="right" w:pos="8838"/>
            </w:tabs>
            <w:ind w:left="-28"/>
            <w:jc w:val="both"/>
            <w:rPr>
              <w:rFonts w:ascii="Arial" w:eastAsia="Calibri" w:hAnsi="Arial" w:cs="Arial"/>
              <w:b/>
              <w:sz w:val="22"/>
              <w:szCs w:val="22"/>
              <w:lang w:eastAsia="en-US"/>
            </w:rPr>
          </w:pPr>
        </w:p>
      </w:tc>
    </w:tr>
  </w:tbl>
  <w:p w14:paraId="7AE81A14" w14:textId="77777777" w:rsidR="0071545A" w:rsidRPr="00A25151" w:rsidRDefault="0071545A"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1545A" w:rsidRPr="00330DA7" w14:paraId="663ADDD7" w14:textId="77777777" w:rsidTr="003B165A">
      <w:trPr>
        <w:trHeight w:val="1435"/>
      </w:trPr>
      <w:tc>
        <w:tcPr>
          <w:tcW w:w="2835" w:type="dxa"/>
          <w:shd w:val="clear" w:color="auto" w:fill="auto"/>
        </w:tcPr>
        <w:p w14:paraId="57FEDFDC" w14:textId="77777777" w:rsidR="0071545A" w:rsidRPr="00330DA7" w:rsidRDefault="0071545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DD356DA" wp14:editId="2FB7DE1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1545A" w:rsidRPr="00431A70" w14:paraId="5F5CBF7C" w14:textId="77777777" w:rsidTr="00DF3BE8">
            <w:trPr>
              <w:trHeight w:val="144"/>
            </w:trPr>
            <w:tc>
              <w:tcPr>
                <w:tcW w:w="2589" w:type="dxa"/>
              </w:tcPr>
              <w:p w14:paraId="67DEE0BF" w14:textId="77777777" w:rsidR="0071545A" w:rsidRPr="00431A70" w:rsidRDefault="0071545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C60F9D1" w14:textId="77777777" w:rsidR="0071545A" w:rsidRPr="00431A70" w:rsidRDefault="0071545A" w:rsidP="008E431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02061/INFOEM/IP/RR/2022 </w:t>
                </w:r>
              </w:p>
            </w:tc>
          </w:tr>
          <w:tr w:rsidR="0071545A" w:rsidRPr="00286D0C" w14:paraId="78A05C73" w14:textId="77777777" w:rsidTr="00DF3BE8">
            <w:trPr>
              <w:trHeight w:val="144"/>
            </w:trPr>
            <w:tc>
              <w:tcPr>
                <w:tcW w:w="2589" w:type="dxa"/>
              </w:tcPr>
              <w:p w14:paraId="042ADBEE" w14:textId="77777777" w:rsidR="0071545A" w:rsidRPr="00431A70" w:rsidRDefault="0071545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B43F1CE" w14:textId="77777777" w:rsidR="0071545A" w:rsidRPr="00286D0C" w:rsidRDefault="0071545A"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1545A" w:rsidRPr="00431A70" w14:paraId="4A3D4762" w14:textId="77777777" w:rsidTr="00DF3BE8">
            <w:trPr>
              <w:trHeight w:val="283"/>
            </w:trPr>
            <w:tc>
              <w:tcPr>
                <w:tcW w:w="2589" w:type="dxa"/>
              </w:tcPr>
              <w:p w14:paraId="3B07A848" w14:textId="77777777" w:rsidR="0071545A" w:rsidRPr="00431A70" w:rsidRDefault="0071545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FCF996A" w14:textId="77777777" w:rsidR="0071545A" w:rsidRPr="005F13CF" w:rsidRDefault="0071545A" w:rsidP="005F13CF">
                <w:pPr>
                  <w:tabs>
                    <w:tab w:val="left" w:pos="2834"/>
                    <w:tab w:val="right" w:pos="8838"/>
                  </w:tabs>
                  <w:ind w:left="-106" w:right="-105"/>
                  <w:jc w:val="both"/>
                  <w:rPr>
                    <w:rFonts w:ascii="Palatino Linotype" w:eastAsia="Calibri" w:hAnsi="Palatino Linotype" w:cs="Tahoma"/>
                    <w:bCs/>
                    <w:sz w:val="22"/>
                    <w:szCs w:val="22"/>
                    <w:lang w:eastAsia="en-US"/>
                  </w:rPr>
                </w:pPr>
                <w:r w:rsidRPr="005142AA">
                  <w:rPr>
                    <w:rFonts w:ascii="Palatino Linotype" w:eastAsia="Calibri" w:hAnsi="Palatino Linotype" w:cs="Tahoma"/>
                    <w:bCs/>
                    <w:sz w:val="22"/>
                    <w:szCs w:val="22"/>
                    <w:lang w:val="es-MX" w:eastAsia="en-US"/>
                  </w:rPr>
                  <w:t>Ayuntamiento de Metepec</w:t>
                </w:r>
              </w:p>
            </w:tc>
          </w:tr>
          <w:tr w:rsidR="0071545A" w:rsidRPr="00431A70" w14:paraId="32A2AF5F" w14:textId="77777777" w:rsidTr="00DF3BE8">
            <w:trPr>
              <w:trHeight w:val="283"/>
            </w:trPr>
            <w:tc>
              <w:tcPr>
                <w:tcW w:w="2589" w:type="dxa"/>
              </w:tcPr>
              <w:p w14:paraId="2BE84635" w14:textId="77777777" w:rsidR="0071545A" w:rsidRPr="00431A70" w:rsidRDefault="0071545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8DA1D4C" w14:textId="77777777" w:rsidR="0071545A" w:rsidRPr="00431A70" w:rsidRDefault="0071545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62EA349" w14:textId="77777777" w:rsidR="0071545A" w:rsidRPr="00330DA7" w:rsidRDefault="0071545A" w:rsidP="00DB7E5F">
          <w:pPr>
            <w:tabs>
              <w:tab w:val="right" w:pos="8838"/>
            </w:tabs>
            <w:ind w:left="-28"/>
            <w:jc w:val="both"/>
            <w:rPr>
              <w:rFonts w:ascii="Arial" w:eastAsia="Calibri" w:hAnsi="Arial" w:cs="Arial"/>
              <w:b/>
              <w:sz w:val="22"/>
              <w:szCs w:val="22"/>
              <w:lang w:eastAsia="en-US"/>
            </w:rPr>
          </w:pPr>
        </w:p>
      </w:tc>
    </w:tr>
  </w:tbl>
  <w:p w14:paraId="7B5D7564" w14:textId="77777777" w:rsidR="0071545A" w:rsidRPr="00330DA7" w:rsidRDefault="0071545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F56D78"/>
    <w:multiLevelType w:val="hybridMultilevel"/>
    <w:tmpl w:val="BEC4F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D883F0A"/>
    <w:multiLevelType w:val="hybridMultilevel"/>
    <w:tmpl w:val="D3726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77328031">
    <w:abstractNumId w:val="0"/>
  </w:num>
  <w:num w:numId="2" w16cid:durableId="1753887954">
    <w:abstractNumId w:val="16"/>
  </w:num>
  <w:num w:numId="3" w16cid:durableId="1901134751">
    <w:abstractNumId w:val="15"/>
  </w:num>
  <w:num w:numId="4" w16cid:durableId="2084645240">
    <w:abstractNumId w:val="11"/>
  </w:num>
  <w:num w:numId="5" w16cid:durableId="1189443425">
    <w:abstractNumId w:val="8"/>
  </w:num>
  <w:num w:numId="6" w16cid:durableId="1722754741">
    <w:abstractNumId w:val="1"/>
  </w:num>
  <w:num w:numId="7" w16cid:durableId="994844644">
    <w:abstractNumId w:val="5"/>
  </w:num>
  <w:num w:numId="8" w16cid:durableId="686294416">
    <w:abstractNumId w:val="9"/>
  </w:num>
  <w:num w:numId="9" w16cid:durableId="811873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282350">
    <w:abstractNumId w:val="4"/>
  </w:num>
  <w:num w:numId="11" w16cid:durableId="453864453">
    <w:abstractNumId w:val="14"/>
  </w:num>
  <w:num w:numId="12" w16cid:durableId="1181816581">
    <w:abstractNumId w:val="7"/>
  </w:num>
  <w:num w:numId="13" w16cid:durableId="2101101774">
    <w:abstractNumId w:val="18"/>
  </w:num>
  <w:num w:numId="14" w16cid:durableId="1934510587">
    <w:abstractNumId w:val="13"/>
  </w:num>
  <w:num w:numId="15" w16cid:durableId="716122481">
    <w:abstractNumId w:val="3"/>
  </w:num>
  <w:num w:numId="16" w16cid:durableId="684480719">
    <w:abstractNumId w:val="10"/>
  </w:num>
  <w:num w:numId="17" w16cid:durableId="1282688324">
    <w:abstractNumId w:val="19"/>
  </w:num>
  <w:num w:numId="18" w16cid:durableId="1330645280">
    <w:abstractNumId w:val="2"/>
  </w:num>
  <w:num w:numId="19" w16cid:durableId="20783644">
    <w:abstractNumId w:val="21"/>
  </w:num>
  <w:num w:numId="20" w16cid:durableId="868832877">
    <w:abstractNumId w:val="6"/>
  </w:num>
  <w:num w:numId="21" w16cid:durableId="845706848">
    <w:abstractNumId w:val="12"/>
  </w:num>
  <w:num w:numId="22" w16cid:durableId="207627817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185"/>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9FF"/>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487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583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2C9"/>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3"/>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97FBA"/>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57E0"/>
    <w:rsid w:val="002E6FFD"/>
    <w:rsid w:val="002E7343"/>
    <w:rsid w:val="002E7ACF"/>
    <w:rsid w:val="002F04A1"/>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33E6"/>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36E"/>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47A7"/>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291"/>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87878"/>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42AA"/>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76"/>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4EA9"/>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4B7F"/>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429"/>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4790"/>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545A"/>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0D6"/>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AAC"/>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75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296B"/>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A56"/>
    <w:rsid w:val="00973E34"/>
    <w:rsid w:val="00973F40"/>
    <w:rsid w:val="00974529"/>
    <w:rsid w:val="00974C1A"/>
    <w:rsid w:val="00975F0E"/>
    <w:rsid w:val="00980900"/>
    <w:rsid w:val="00982BC9"/>
    <w:rsid w:val="009830F7"/>
    <w:rsid w:val="009836C1"/>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10"/>
    <w:rsid w:val="009A306D"/>
    <w:rsid w:val="009A347A"/>
    <w:rsid w:val="009A3661"/>
    <w:rsid w:val="009A5A3D"/>
    <w:rsid w:val="009A620E"/>
    <w:rsid w:val="009A7587"/>
    <w:rsid w:val="009B0214"/>
    <w:rsid w:val="009B02EF"/>
    <w:rsid w:val="009B0A91"/>
    <w:rsid w:val="009B19CD"/>
    <w:rsid w:val="009B6452"/>
    <w:rsid w:val="009B6A6F"/>
    <w:rsid w:val="009B736C"/>
    <w:rsid w:val="009C00C6"/>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36B25"/>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897"/>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D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4B75"/>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268"/>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52E"/>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0D9"/>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CF7837"/>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208"/>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2A94"/>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146"/>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3737"/>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4B7D"/>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0A69"/>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206A"/>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A67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815B-12FF-425E-8501-34B5CAF7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10330</Words>
  <Characters>56815</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Oswaldo Hernández</cp:lastModifiedBy>
  <cp:revision>7</cp:revision>
  <cp:lastPrinted>2020-01-16T18:20:00Z</cp:lastPrinted>
  <dcterms:created xsi:type="dcterms:W3CDTF">2022-04-22T00:34:00Z</dcterms:created>
  <dcterms:modified xsi:type="dcterms:W3CDTF">2022-04-28T23:58:00Z</dcterms:modified>
</cp:coreProperties>
</file>