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8EDA5" w14:textId="77777777" w:rsidR="004F2352" w:rsidRDefault="00DE78D5">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julio de dos mil veintidós.</w:t>
      </w:r>
    </w:p>
    <w:p w14:paraId="5781B087"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04129/INFOEM/IP/RR/2022</w:t>
      </w:r>
      <w:r>
        <w:rPr>
          <w:rFonts w:ascii="Palatino Linotype" w:eastAsia="Palatino Linotype" w:hAnsi="Palatino Linotype" w:cs="Palatino Linotype"/>
          <w:sz w:val="24"/>
          <w:szCs w:val="24"/>
        </w:rPr>
        <w:t xml:space="preserve">, interpuesto por un particular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00504/OASMETEPEC/IP/2022</w:t>
      </w:r>
      <w:r>
        <w:rPr>
          <w:rFonts w:ascii="Palatino Linotype" w:eastAsia="Palatino Linotype" w:hAnsi="Palatino Linotype" w:cs="Palatino Linotype"/>
          <w:sz w:val="24"/>
          <w:szCs w:val="24"/>
        </w:rPr>
        <w:t xml:space="preserve">, por parte del Organismo Público Descentralizado para la Prestación de Los Servicios de Agua Potable Alcantarillado y Saneamiento del Municipio de Metepec,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255DFFDD" w14:textId="77777777" w:rsidR="004F2352" w:rsidRDefault="00DE78D5">
      <w:pPr>
        <w:spacing w:before="240" w:after="24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 N T E C E D E N T E S   </w:t>
      </w:r>
    </w:p>
    <w:p w14:paraId="222D8C71" w14:textId="77777777" w:rsidR="004F2352" w:rsidRDefault="00DE78D5">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quince de febrero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00504/OASMETEPEC/IP/2022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487185A5" w14:textId="77777777" w:rsidR="004F2352" w:rsidRDefault="00DE78D5">
      <w:pPr>
        <w:spacing w:before="240" w:after="240" w:line="276" w:lineRule="auto"/>
        <w:ind w:left="709" w:right="758"/>
        <w:jc w:val="both"/>
        <w:rPr>
          <w:rFonts w:ascii="Palatino Linotype" w:eastAsia="Palatino Linotype" w:hAnsi="Palatino Linotype" w:cs="Palatino Linotype"/>
          <w:i/>
          <w:color w:val="000000"/>
        </w:rPr>
      </w:pPr>
      <w:bookmarkStart w:id="0" w:name="_heading=h.30j0zll" w:colFirst="0" w:colLast="0"/>
      <w:bookmarkEnd w:id="0"/>
      <w:r>
        <w:rPr>
          <w:rFonts w:ascii="Palatino Linotype" w:eastAsia="Palatino Linotype" w:hAnsi="Palatino Linotype" w:cs="Palatino Linotype"/>
          <w:i/>
          <w:color w:val="000000"/>
        </w:rPr>
        <w:lastRenderedPageBreak/>
        <w:t xml:space="preserve">“Se solicita conocer el monto y nombre de las personas que hayan recibido alguna condonación por cualquier concepto del día 3 de </w:t>
      </w:r>
      <w:proofErr w:type="gramStart"/>
      <w:r>
        <w:rPr>
          <w:rFonts w:ascii="Palatino Linotype" w:eastAsia="Palatino Linotype" w:hAnsi="Palatino Linotype" w:cs="Palatino Linotype"/>
          <w:i/>
          <w:color w:val="000000"/>
        </w:rPr>
        <w:t>Enero</w:t>
      </w:r>
      <w:proofErr w:type="gramEnd"/>
      <w:r>
        <w:rPr>
          <w:rFonts w:ascii="Palatino Linotype" w:eastAsia="Palatino Linotype" w:hAnsi="Palatino Linotype" w:cs="Palatino Linotype"/>
          <w:i/>
          <w:color w:val="000000"/>
        </w:rPr>
        <w:t xml:space="preserve"> de 2022” (Sic).</w:t>
      </w:r>
    </w:p>
    <w:p w14:paraId="4620E66E" w14:textId="77777777" w:rsidR="004F2352" w:rsidRDefault="00DE78D5">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7734DB7B" w14:textId="77777777" w:rsidR="004F2352" w:rsidRDefault="00DE78D5">
      <w:pPr>
        <w:spacing w:before="240" w:after="24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nueve de marzo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41D4EF80" w14:textId="77777777" w:rsidR="004F2352" w:rsidRDefault="00DE78D5">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F4D80B" w14:textId="77777777" w:rsidR="004F2352" w:rsidRDefault="00DE78D5">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SE ANEXA RESPUESTA</w:t>
      </w:r>
    </w:p>
    <w:p w14:paraId="6C10EFF7" w14:textId="77777777" w:rsidR="004F2352" w:rsidRDefault="00DE78D5">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60D2CBFE" w14:textId="77777777" w:rsidR="004F2352" w:rsidRDefault="00DE78D5">
      <w:pPr>
        <w:ind w:left="851" w:right="900"/>
        <w:jc w:val="both"/>
      </w:pPr>
      <w:r>
        <w:rPr>
          <w:rFonts w:ascii="Palatino Linotype" w:eastAsia="Palatino Linotype" w:hAnsi="Palatino Linotype" w:cs="Palatino Linotype"/>
          <w:i/>
        </w:rPr>
        <w:t xml:space="preserve">C. </w:t>
      </w:r>
      <w:proofErr w:type="spellStart"/>
      <w:r>
        <w:rPr>
          <w:rFonts w:ascii="Palatino Linotype" w:eastAsia="Palatino Linotype" w:hAnsi="Palatino Linotype" w:cs="Palatino Linotype"/>
          <w:i/>
        </w:rPr>
        <w:t>Marìa</w:t>
      </w:r>
      <w:proofErr w:type="spellEnd"/>
      <w:r>
        <w:rPr>
          <w:rFonts w:ascii="Palatino Linotype" w:eastAsia="Palatino Linotype" w:hAnsi="Palatino Linotype" w:cs="Palatino Linotype"/>
          <w:i/>
        </w:rPr>
        <w:t xml:space="preserve"> Guadalupe </w:t>
      </w:r>
      <w:proofErr w:type="spellStart"/>
      <w:r>
        <w:rPr>
          <w:rFonts w:ascii="Palatino Linotype" w:eastAsia="Palatino Linotype" w:hAnsi="Palatino Linotype" w:cs="Palatino Linotype"/>
          <w:i/>
        </w:rPr>
        <w:t>Hernàndez</w:t>
      </w:r>
      <w:proofErr w:type="spellEnd"/>
      <w:r>
        <w:rPr>
          <w:rFonts w:ascii="Palatino Linotype" w:eastAsia="Palatino Linotype" w:hAnsi="Palatino Linotype" w:cs="Palatino Linotype"/>
          <w:i/>
        </w:rPr>
        <w:t xml:space="preserve"> Cajero</w:t>
      </w:r>
    </w:p>
    <w:p w14:paraId="11E8B375" w14:textId="77777777" w:rsidR="004F2352" w:rsidRDefault="004F2352"/>
    <w:p w14:paraId="27393D5D"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el siguiente archivo electrónico: </w:t>
      </w:r>
    </w:p>
    <w:p w14:paraId="59F3D28E"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PADRÓN.pdf</w:t>
      </w:r>
      <w:r>
        <w:rPr>
          <w:rFonts w:ascii="Palatino Linotype" w:eastAsia="Palatino Linotype" w:hAnsi="Palatino Linotype" w:cs="Palatino Linotype"/>
          <w:sz w:val="24"/>
          <w:szCs w:val="24"/>
        </w:rPr>
        <w:t>” el cual contiene en su parte medular el oficio de fecha cuatro de febrero de dos mil veintidós, signado por la L.C. María Guadalupe Hernández Cajero, Titular de la Unidad de Transparencia mediante el cual menciona que envía la respuesta emitida por la Dirección de Comercialización en la cual señala que la información puede ser consultada en liga del IPOMEX que indica, tal como se advierte a continuación:</w:t>
      </w:r>
    </w:p>
    <w:p w14:paraId="79E16D25" w14:textId="77777777" w:rsidR="004F2352" w:rsidRDefault="00DE78D5">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57055450" wp14:editId="02805FA0">
            <wp:extent cx="5337287" cy="6714651"/>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3775" t="16898" r="34655" b="12493"/>
                    <a:stretch>
                      <a:fillRect/>
                    </a:stretch>
                  </pic:blipFill>
                  <pic:spPr>
                    <a:xfrm>
                      <a:off x="0" y="0"/>
                      <a:ext cx="5337287" cy="6714651"/>
                    </a:xfrm>
                    <a:prstGeom prst="rect">
                      <a:avLst/>
                    </a:prstGeom>
                    <a:ln/>
                  </pic:spPr>
                </pic:pic>
              </a:graphicData>
            </a:graphic>
          </wp:inline>
        </w:drawing>
      </w:r>
    </w:p>
    <w:p w14:paraId="5825234B" w14:textId="77777777" w:rsidR="004F2352" w:rsidRDefault="00DE78D5">
      <w:pPr>
        <w:spacing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11E13972" wp14:editId="0865865D">
            <wp:extent cx="5001051" cy="6639814"/>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4793" t="23838" r="35164" b="5251"/>
                    <a:stretch>
                      <a:fillRect/>
                    </a:stretch>
                  </pic:blipFill>
                  <pic:spPr>
                    <a:xfrm>
                      <a:off x="0" y="0"/>
                      <a:ext cx="5001051" cy="6639814"/>
                    </a:xfrm>
                    <a:prstGeom prst="rect">
                      <a:avLst/>
                    </a:prstGeom>
                    <a:ln/>
                  </pic:spPr>
                </pic:pic>
              </a:graphicData>
            </a:graphic>
          </wp:inline>
        </w:drawing>
      </w:r>
    </w:p>
    <w:p w14:paraId="23C7E205" w14:textId="77777777" w:rsidR="004F2352" w:rsidRDefault="00DE78D5">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veintidós de marzo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04129/INFOEM/IP/RR/2022</w:t>
      </w:r>
      <w:r>
        <w:rPr>
          <w:rFonts w:ascii="Palatino Linotype" w:eastAsia="Palatino Linotype" w:hAnsi="Palatino Linotype" w:cs="Palatino Linotype"/>
          <w:sz w:val="24"/>
          <w:szCs w:val="24"/>
        </w:rPr>
        <w:t>, en el cual manifiesta, lo siguiente:</w:t>
      </w:r>
    </w:p>
    <w:p w14:paraId="46369143" w14:textId="77777777" w:rsidR="004F2352" w:rsidRDefault="00DE78D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366FA111" w14:textId="77777777" w:rsidR="004F2352" w:rsidRDefault="00DE78D5">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respuesta proporcionada por el Sujeto Obligado.</w:t>
      </w:r>
      <w:r>
        <w:rPr>
          <w:rFonts w:ascii="Palatino Linotype" w:eastAsia="Palatino Linotype" w:hAnsi="Palatino Linotype" w:cs="Palatino Linotype"/>
          <w:i/>
        </w:rPr>
        <w:t>” [sic]</w:t>
      </w:r>
    </w:p>
    <w:p w14:paraId="7382C7F6" w14:textId="77777777" w:rsidR="004F2352" w:rsidRDefault="00DE78D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7B3E30CF" w14:textId="77777777" w:rsidR="004F2352" w:rsidRDefault="00DE78D5">
      <w:pPr>
        <w:spacing w:before="240" w:after="240" w:line="276" w:lineRule="auto"/>
        <w:ind w:left="851"/>
        <w:jc w:val="both"/>
        <w:rPr>
          <w:rFonts w:ascii="Palatino Linotype" w:eastAsia="Palatino Linotype" w:hAnsi="Palatino Linotype" w:cs="Palatino Linotype"/>
          <w:i/>
          <w:color w:val="FF0000"/>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w:t>
      </w:r>
      <w:r>
        <w:rPr>
          <w:rFonts w:ascii="Palatino Linotype" w:eastAsia="Palatino Linotype" w:hAnsi="Palatino Linotype" w:cs="Palatino Linotype"/>
          <w:i/>
          <w:color w:val="000000"/>
        </w:rPr>
        <w:lastRenderedPageBreak/>
        <w:t xml:space="preserve">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w:t>
      </w:r>
      <w:proofErr w:type="gramStart"/>
      <w:r>
        <w:rPr>
          <w:rFonts w:ascii="Palatino Linotype" w:eastAsia="Palatino Linotype" w:hAnsi="Palatino Linotype" w:cs="Palatino Linotype"/>
          <w:i/>
          <w:color w:val="000000"/>
        </w:rPr>
        <w:t>de acuerdo a</w:t>
      </w:r>
      <w:proofErr w:type="gramEnd"/>
      <w:r>
        <w:rPr>
          <w:rFonts w:ascii="Palatino Linotype" w:eastAsia="Palatino Linotype" w:hAnsi="Palatino Linotype" w:cs="Palatino Linotype"/>
          <w:i/>
          <w:color w:val="000000"/>
        </w:rPr>
        <w:t xml:space="preserve"> lo señalado por el artículo 177 de la ley en mención. La respuesta proporcionada por el Sujeto Obligado, mencionan no haber recibido oficios en </w:t>
      </w:r>
      <w:proofErr w:type="spellStart"/>
      <w:r>
        <w:rPr>
          <w:rFonts w:ascii="Palatino Linotype" w:eastAsia="Palatino Linotype" w:hAnsi="Palatino Linotype" w:cs="Palatino Linotype"/>
          <w:i/>
          <w:color w:val="000000"/>
        </w:rPr>
        <w:t>está</w:t>
      </w:r>
      <w:proofErr w:type="spellEnd"/>
      <w:r>
        <w:rPr>
          <w:rFonts w:ascii="Palatino Linotype" w:eastAsia="Palatino Linotype" w:hAnsi="Palatino Linotype" w:cs="Palatino Linotype"/>
          <w:i/>
          <w:color w:val="000000"/>
        </w:rPr>
        <w:t xml:space="preserve"> fecha sin embargo en otra solicitud suben un archivo correspondiente a ese día, lo cual hace evidente la falta de interés en realizar la búsqueda exhaustiva de la documentación relativo a las solicitudes que reciben.” [sic]  </w:t>
      </w:r>
    </w:p>
    <w:p w14:paraId="1BE36C90"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Pr>
          <w:rFonts w:ascii="Palatino Linotype" w:eastAsia="Palatino Linotype" w:hAnsi="Palatino Linotype" w:cs="Palatino Linotype"/>
          <w:sz w:val="24"/>
          <w:szCs w:val="24"/>
        </w:rPr>
        <w:lastRenderedPageBreak/>
        <w:t xml:space="preserve">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7EC8916C"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veinticinco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6F7FD684"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MANIFESTACIONES. </w:t>
      </w:r>
      <w:r>
        <w:rPr>
          <w:rFonts w:ascii="Palatino Linotype" w:eastAsia="Palatino Linotype" w:hAnsi="Palatino Linotype" w:cs="Palatino Linotype"/>
          <w:sz w:val="24"/>
          <w:szCs w:val="24"/>
        </w:rPr>
        <w:t xml:space="preserve">De </w:t>
      </w:r>
      <w:r w:rsidR="00376A17">
        <w:rPr>
          <w:rFonts w:ascii="Palatino Linotype" w:eastAsia="Palatino Linotype" w:hAnsi="Palatino Linotype" w:cs="Palatino Linotype"/>
          <w:sz w:val="24"/>
          <w:szCs w:val="24"/>
        </w:rPr>
        <w:t>las constancias que obran en el</w:t>
      </w:r>
      <w:r>
        <w:rPr>
          <w:rFonts w:ascii="Palatino Linotype" w:eastAsia="Palatino Linotype" w:hAnsi="Palatino Linotype" w:cs="Palatino Linotype"/>
          <w:sz w:val="24"/>
          <w:szCs w:val="24"/>
        </w:rPr>
        <w:t xml:space="preserve">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w:t>
      </w:r>
      <w:r w:rsidR="00376A17">
        <w:rPr>
          <w:rFonts w:ascii="Palatino Linotype" w:eastAsia="Palatino Linotype" w:hAnsi="Palatino Linotype" w:cs="Palatino Linotype"/>
          <w:sz w:val="24"/>
          <w:szCs w:val="24"/>
        </w:rPr>
        <w:t xml:space="preserve"> informe justificado</w:t>
      </w:r>
      <w:r>
        <w:rPr>
          <w:rFonts w:ascii="Palatino Linotype" w:eastAsia="Palatino Linotype" w:hAnsi="Palatino Linotype" w:cs="Palatino Linotype"/>
          <w:sz w:val="24"/>
          <w:szCs w:val="24"/>
        </w:rPr>
        <w:t xml:space="preserve">,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14:paraId="16557094" w14:textId="77777777" w:rsidR="004F2352" w:rsidRDefault="00DE78D5">
      <w:pPr>
        <w:spacing w:before="240" w:after="240" w:line="360" w:lineRule="auto"/>
        <w:jc w:val="both"/>
        <w:rPr>
          <w:rFonts w:ascii="Palatino Linotype" w:eastAsia="Palatino Linotype" w:hAnsi="Palatino Linotype" w:cs="Palatino Linotype"/>
          <w:sz w:val="24"/>
          <w:szCs w:val="24"/>
        </w:rPr>
      </w:pPr>
      <w:r>
        <w:rPr>
          <w:noProof/>
        </w:rPr>
        <w:drawing>
          <wp:inline distT="0" distB="0" distL="0" distR="0" wp14:anchorId="39E04DE4" wp14:editId="6D18EED4">
            <wp:extent cx="5740211" cy="1633393"/>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5601" t="25046" r="52647" b="53832"/>
                    <a:stretch>
                      <a:fillRect/>
                    </a:stretch>
                  </pic:blipFill>
                  <pic:spPr>
                    <a:xfrm>
                      <a:off x="0" y="0"/>
                      <a:ext cx="5740211" cy="1633393"/>
                    </a:xfrm>
                    <a:prstGeom prst="rect">
                      <a:avLst/>
                    </a:prstGeom>
                    <a:ln/>
                  </pic:spPr>
                </pic:pic>
              </a:graphicData>
            </a:graphic>
          </wp:inline>
        </w:drawing>
      </w:r>
    </w:p>
    <w:p w14:paraId="66CCA386" w14:textId="77777777" w:rsidR="004F2352" w:rsidRDefault="00DE78D5">
      <w:pPr>
        <w:spacing w:after="0" w:line="360" w:lineRule="auto"/>
        <w:jc w:val="both"/>
        <w:rPr>
          <w:rFonts w:ascii="Palatino Linotype" w:eastAsia="Palatino Linotype" w:hAnsi="Palatino Linotype" w:cs="Palatino Linotype"/>
          <w:b/>
          <w:sz w:val="24"/>
          <w:szCs w:val="24"/>
        </w:rPr>
      </w:pPr>
      <w:bookmarkStart w:id="1" w:name="_heading=h.gjdgxs" w:colFirst="0" w:colLast="0"/>
      <w:bookmarkEnd w:id="1"/>
      <w:r>
        <w:rPr>
          <w:rFonts w:ascii="Palatino Linotype" w:eastAsia="Palatino Linotype" w:hAnsi="Palatino Linotype" w:cs="Palatino Linotype"/>
          <w:b/>
          <w:sz w:val="24"/>
          <w:szCs w:val="24"/>
        </w:rPr>
        <w:lastRenderedPageBreak/>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 xml:space="preserve">fecha veintiocho de junio </w:t>
      </w:r>
      <w:r>
        <w:rPr>
          <w:rFonts w:ascii="Palatino Linotype" w:eastAsia="Palatino Linotype" w:hAnsi="Palatino Linotype" w:cs="Palatino Linotype"/>
          <w:sz w:val="24"/>
          <w:szCs w:val="24"/>
        </w:rPr>
        <w:t>de dos mil veintidós, se amplió el término para resolver el recurso de revisión en términos del artículo 181 párrafo tercero de la Ley de Transparencia y Acceso a la Información Pública del Estado de México y Municipios.</w:t>
      </w:r>
      <w:r>
        <w:rPr>
          <w:rFonts w:ascii="Palatino Linotype" w:eastAsia="Palatino Linotype" w:hAnsi="Palatino Linotype" w:cs="Palatino Linotype"/>
          <w:b/>
          <w:sz w:val="24"/>
          <w:szCs w:val="24"/>
        </w:rPr>
        <w:t xml:space="preserve"> </w:t>
      </w:r>
    </w:p>
    <w:p w14:paraId="53AA29A4" w14:textId="77777777" w:rsidR="004F2352" w:rsidRDefault="004F2352">
      <w:pPr>
        <w:spacing w:after="0" w:line="360" w:lineRule="auto"/>
        <w:jc w:val="both"/>
        <w:rPr>
          <w:rFonts w:ascii="Palatino Linotype" w:eastAsia="Palatino Linotype" w:hAnsi="Palatino Linotype" w:cs="Palatino Linotype"/>
          <w:b/>
          <w:sz w:val="24"/>
          <w:szCs w:val="24"/>
        </w:rPr>
      </w:pPr>
    </w:p>
    <w:p w14:paraId="7DDF313C"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670C9F2"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6000528E"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Por ello, es menester precisar </w:t>
      </w:r>
      <w:proofErr w:type="gramStart"/>
      <w:r w:rsidRPr="00445709">
        <w:rPr>
          <w:rFonts w:ascii="Palatino Linotype" w:eastAsia="Palatino Linotype" w:hAnsi="Palatino Linotype" w:cs="Palatino Linotype"/>
        </w:rPr>
        <w:t>que</w:t>
      </w:r>
      <w:proofErr w:type="gramEnd"/>
      <w:r w:rsidRPr="00445709">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76C055B"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56161986"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DDFCA1"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673162E2"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AB735B"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0875628C" w14:textId="77777777" w:rsidR="00783B28" w:rsidRPr="00445709" w:rsidRDefault="00783B28" w:rsidP="00783B28">
      <w:pPr>
        <w:spacing w:line="360" w:lineRule="auto"/>
        <w:contextualSpacing/>
        <w:jc w:val="both"/>
        <w:rPr>
          <w:rFonts w:ascii="Palatino Linotype" w:eastAsia="Palatino Linotype" w:hAnsi="Palatino Linotype" w:cs="Palatino Linotype"/>
          <w:strike/>
          <w:color w:val="FF0000"/>
        </w:rPr>
      </w:pPr>
      <w:r w:rsidRPr="0044570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A524B56"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6220D7BD" w14:textId="77777777" w:rsidR="00783B28" w:rsidRPr="00445709" w:rsidRDefault="00783B28" w:rsidP="00783B28">
      <w:pPr>
        <w:numPr>
          <w:ilvl w:val="0"/>
          <w:numId w:val="4"/>
        </w:numPr>
        <w:spacing w:after="0"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1016207" w14:textId="77777777" w:rsidR="00783B28" w:rsidRPr="00445709" w:rsidRDefault="00783B28" w:rsidP="00783B28">
      <w:pPr>
        <w:spacing w:line="360" w:lineRule="auto"/>
        <w:ind w:left="927"/>
        <w:contextualSpacing/>
        <w:jc w:val="both"/>
        <w:rPr>
          <w:rFonts w:ascii="Palatino Linotype" w:eastAsia="Palatino Linotype" w:hAnsi="Palatino Linotype" w:cs="Palatino Linotype"/>
        </w:rPr>
      </w:pPr>
    </w:p>
    <w:p w14:paraId="4D1A5D64" w14:textId="77777777" w:rsidR="00783B28" w:rsidRPr="00445709" w:rsidRDefault="00783B28" w:rsidP="00783B28">
      <w:pPr>
        <w:numPr>
          <w:ilvl w:val="0"/>
          <w:numId w:val="4"/>
        </w:numPr>
        <w:spacing w:after="0"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Actividad Procesal del interesado. Acciones u omisiones del interesado.</w:t>
      </w:r>
    </w:p>
    <w:p w14:paraId="077D9DAC"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791688E0" w14:textId="77777777" w:rsidR="00783B28" w:rsidRPr="00445709" w:rsidRDefault="00783B28" w:rsidP="00783B28">
      <w:pPr>
        <w:numPr>
          <w:ilvl w:val="0"/>
          <w:numId w:val="4"/>
        </w:numPr>
        <w:spacing w:after="0"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Conducta de la Autoridad: Las Acciones u omisiones realizadas en el procedimiento. Así como si la autoridad actuó con la debida diligencia.</w:t>
      </w:r>
    </w:p>
    <w:p w14:paraId="708DFED2" w14:textId="77777777" w:rsidR="00783B28" w:rsidRPr="00445709" w:rsidRDefault="00783B28" w:rsidP="00783B28">
      <w:pPr>
        <w:spacing w:line="360" w:lineRule="auto"/>
        <w:ind w:left="708"/>
        <w:contextualSpacing/>
        <w:rPr>
          <w:rFonts w:ascii="Palatino Linotype" w:eastAsia="Palatino Linotype" w:hAnsi="Palatino Linotype" w:cs="Palatino Linotype"/>
        </w:rPr>
      </w:pPr>
    </w:p>
    <w:p w14:paraId="1275AB76" w14:textId="77777777" w:rsidR="00783B28" w:rsidRPr="00445709" w:rsidRDefault="00783B28" w:rsidP="00783B28">
      <w:pPr>
        <w:spacing w:line="360" w:lineRule="auto"/>
        <w:ind w:left="567"/>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d) La afectación generada en la situación jurídica de la persona involucrada en el proceso: Violación a sus derechos humanos.</w:t>
      </w:r>
    </w:p>
    <w:p w14:paraId="473F9A5E"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6E11F371"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45709">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41B53A73"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6090261E" w14:textId="77777777" w:rsidR="00783B28" w:rsidRPr="00445709" w:rsidRDefault="00783B28" w:rsidP="00783B28">
      <w:pPr>
        <w:spacing w:line="360" w:lineRule="auto"/>
        <w:contextualSpacing/>
        <w:jc w:val="both"/>
        <w:rPr>
          <w:rFonts w:ascii="Palatino Linotype" w:eastAsia="Palatino Linotype" w:hAnsi="Palatino Linotype" w:cs="Palatino Linotype"/>
          <w:b/>
        </w:rPr>
      </w:pPr>
      <w:r w:rsidRPr="0044570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4570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45709">
        <w:rPr>
          <w:rFonts w:ascii="Palatino Linotype" w:eastAsia="Palatino Linotype" w:hAnsi="Palatino Linotype" w:cs="Palatino Linotype"/>
        </w:rPr>
        <w:t>, visible en la Gaceta del Seminario Judicial de la Federación con el registro digital 205635.</w:t>
      </w:r>
    </w:p>
    <w:p w14:paraId="15132CA9"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1BA5081E"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352DA2"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04246550"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98E4397"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lastRenderedPageBreak/>
        <w:t xml:space="preserve"> </w:t>
      </w:r>
      <w:r w:rsidRPr="00445709">
        <w:rPr>
          <w:rFonts w:ascii="Palatino Linotype" w:eastAsia="Palatino Linotype" w:hAnsi="Palatino Linotype" w:cs="Palatino Linotype"/>
          <w:i/>
        </w:rPr>
        <w:t>“PLAZO RAZONABLE PARA RESOLVER. DIMENSIÓN Y EFECTOS DE ESTE CONCEPTO CUANDO SE ADUCE EXCESIVA CARGA DE TRABAJO.”</w:t>
      </w:r>
      <w:r w:rsidRPr="00445709">
        <w:rPr>
          <w:rFonts w:ascii="Palatino Linotype" w:eastAsia="Palatino Linotype" w:hAnsi="Palatino Linotype" w:cs="Palatino Linotype"/>
        </w:rPr>
        <w:t xml:space="preserve"> consultable en el Seminario Judicial de la Federación y su gaceta, con el registro digital 2002351.</w:t>
      </w:r>
    </w:p>
    <w:p w14:paraId="01C3ACE9" w14:textId="77777777" w:rsidR="00783B28" w:rsidRPr="00445709" w:rsidRDefault="00783B28" w:rsidP="00783B28">
      <w:pPr>
        <w:spacing w:line="360" w:lineRule="auto"/>
        <w:contextualSpacing/>
        <w:jc w:val="both"/>
        <w:rPr>
          <w:rFonts w:ascii="Palatino Linotype" w:eastAsia="Palatino Linotype" w:hAnsi="Palatino Linotype" w:cs="Palatino Linotype"/>
          <w:b/>
        </w:rPr>
      </w:pPr>
    </w:p>
    <w:p w14:paraId="4ACD21D6"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i/>
        </w:rPr>
        <w:t>“PLAZO RAZONABLE PARA RESOLVER. CONCEPTO Y ELEMENTOS QUE LO INTEGRAN A LA LUZ DEL DERECHO INTERNACIONAL DE LOS DERECHOS HUMANOS.”</w:t>
      </w:r>
      <w:r w:rsidRPr="00445709">
        <w:rPr>
          <w:rFonts w:ascii="Palatino Linotype" w:eastAsia="Palatino Linotype" w:hAnsi="Palatino Linotype" w:cs="Palatino Linotype"/>
        </w:rPr>
        <w:t>, visible en el Seminario Judicial de la Federación y su gaceta, con el registro digital 2002350.</w:t>
      </w:r>
    </w:p>
    <w:p w14:paraId="3A97FB9E" w14:textId="77777777" w:rsidR="00783B28" w:rsidRPr="00445709" w:rsidRDefault="00783B28" w:rsidP="00783B28">
      <w:pPr>
        <w:spacing w:line="360" w:lineRule="auto"/>
        <w:contextualSpacing/>
        <w:jc w:val="both"/>
        <w:rPr>
          <w:rFonts w:ascii="Palatino Linotype" w:eastAsia="Palatino Linotype" w:hAnsi="Palatino Linotype" w:cs="Palatino Linotype"/>
        </w:rPr>
      </w:pPr>
    </w:p>
    <w:p w14:paraId="739CA3F4" w14:textId="77777777" w:rsidR="00783B28" w:rsidRPr="00445709" w:rsidRDefault="00783B28" w:rsidP="00783B28">
      <w:pPr>
        <w:spacing w:line="360" w:lineRule="auto"/>
        <w:contextualSpacing/>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Por ello, este organismo garante comprometido con la tutela de los derechos humanos </w:t>
      </w:r>
      <w:proofErr w:type="gramStart"/>
      <w:r w:rsidRPr="00445709">
        <w:rPr>
          <w:rFonts w:ascii="Palatino Linotype" w:eastAsia="Palatino Linotype" w:hAnsi="Palatino Linotype" w:cs="Palatino Linotype"/>
        </w:rPr>
        <w:t>confiados,</w:t>
      </w:r>
      <w:proofErr w:type="gramEnd"/>
      <w:r w:rsidRPr="00445709">
        <w:rPr>
          <w:rFonts w:ascii="Palatino Linotype" w:eastAsia="Palatino Linotype" w:hAnsi="Palatino Linotype" w:cs="Palatino Linotype"/>
        </w:rPr>
        <w:t xml:space="preserve"> señala que este exceso del plazo legal para resolver el presente asunto, resulta de carácter excepcional.</w:t>
      </w:r>
    </w:p>
    <w:p w14:paraId="78E60FF4" w14:textId="77777777" w:rsidR="004F2352" w:rsidRDefault="004F2352">
      <w:pPr>
        <w:spacing w:after="0" w:line="360" w:lineRule="auto"/>
        <w:jc w:val="both"/>
        <w:rPr>
          <w:rFonts w:ascii="Palatino Linotype" w:eastAsia="Palatino Linotype" w:hAnsi="Palatino Linotype" w:cs="Palatino Linotype"/>
          <w:sz w:val="24"/>
          <w:szCs w:val="24"/>
        </w:rPr>
      </w:pPr>
    </w:p>
    <w:p w14:paraId="2CFEFD40" w14:textId="77777777" w:rsidR="004F2352" w:rsidRDefault="00DE78D5">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color w:val="000000"/>
          <w:sz w:val="24"/>
          <w:szCs w:val="24"/>
        </w:rPr>
        <w:t>El veintinueve de junio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D465E22" w14:textId="77777777" w:rsidR="004F2352" w:rsidRDefault="00DE78D5">
      <w:pPr>
        <w:spacing w:before="240" w:after="240" w:line="360" w:lineRule="auto"/>
        <w:jc w:val="both"/>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z w:val="24"/>
          <w:szCs w:val="24"/>
        </w:rPr>
        <w:t>En razón de</w:t>
      </w:r>
      <w:proofErr w:type="gramEnd"/>
      <w:r>
        <w:rPr>
          <w:rFonts w:ascii="Palatino Linotype" w:eastAsia="Palatino Linotype" w:hAnsi="Palatino Linotype" w:cs="Palatino Linotype"/>
          <w:sz w:val="24"/>
          <w:szCs w:val="24"/>
        </w:rPr>
        <w:t xml:space="preserve"> que fue debidamente sustanciado el expediente electrónico y no existe diligencia pendiente de desahogo, se emite la Resolución que conforme a Derecho proceda, de acuerdo con los siguientes: </w:t>
      </w:r>
    </w:p>
    <w:p w14:paraId="1F962F0C" w14:textId="77777777" w:rsidR="004F2352" w:rsidRDefault="00DE78D5">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C O N S I D E R A N D O S</w:t>
      </w:r>
    </w:p>
    <w:p w14:paraId="5F979A07"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5FCE0FF"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1508A66"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Pr>
          <w:rFonts w:ascii="Palatino Linotype" w:eastAsia="Palatino Linotype" w:hAnsi="Palatino Linotype" w:cs="Palatino Linotype"/>
          <w:sz w:val="24"/>
          <w:szCs w:val="24"/>
        </w:rPr>
        <w:lastRenderedPageBreak/>
        <w:t xml:space="preserve">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nueve de marzo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veintidós de marzo de dos mil veintidós</w:t>
      </w:r>
      <w:r>
        <w:rPr>
          <w:rFonts w:ascii="Palatino Linotype" w:eastAsia="Palatino Linotype" w:hAnsi="Palatino Linotype" w:cs="Palatino Linotype"/>
          <w:sz w:val="24"/>
          <w:szCs w:val="24"/>
        </w:rPr>
        <w:t>, esto es, al octavo día hábil en que tuvo conocimiento de la respuesta impugnada.</w:t>
      </w:r>
    </w:p>
    <w:p w14:paraId="69DA5D3E" w14:textId="77777777" w:rsidR="004F2352" w:rsidRDefault="00DE78D5">
      <w:pPr>
        <w:spacing w:before="240" w:after="240" w:line="360" w:lineRule="auto"/>
        <w:jc w:val="both"/>
        <w:rPr>
          <w:rFonts w:ascii="Palatino Linotype" w:eastAsia="Palatino Linotype" w:hAnsi="Palatino Linotype" w:cs="Palatino Linotype"/>
          <w:sz w:val="24"/>
          <w:szCs w:val="24"/>
        </w:rPr>
      </w:pPr>
      <w:bookmarkStart w:id="2" w:name="_heading=h.3znysh7" w:colFirst="0" w:colLast="0"/>
      <w:bookmarkEnd w:id="2"/>
      <w:r>
        <w:rPr>
          <w:rFonts w:ascii="Palatino Linotype" w:eastAsia="Palatino Linotype" w:hAnsi="Palatino Linotype" w:cs="Palatino Linotype"/>
          <w:sz w:val="24"/>
          <w:szCs w:val="24"/>
        </w:rPr>
        <w:t xml:space="preserve">En este sentido,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79380CD4"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512423" w14:textId="77777777" w:rsidR="004F2352" w:rsidRDefault="00DE78D5">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21E44E20"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4E95DB65" w14:textId="77777777" w:rsidR="004F2352" w:rsidRDefault="00DE78D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w:t>
      </w:r>
      <w:proofErr w:type="gramStart"/>
      <w:r>
        <w:rPr>
          <w:rFonts w:ascii="Palatino Linotype" w:eastAsia="Palatino Linotype" w:hAnsi="Palatino Linotype" w:cs="Palatino Linotype"/>
          <w:sz w:val="24"/>
          <w:szCs w:val="24"/>
        </w:rPr>
        <w:t>de acuerdo al</w:t>
      </w:r>
      <w:proofErr w:type="gramEnd"/>
      <w:r>
        <w:rPr>
          <w:rFonts w:ascii="Palatino Linotype" w:eastAsia="Palatino Linotype" w:hAnsi="Palatino Linotype" w:cs="Palatino Linotype"/>
          <w:sz w:val="24"/>
          <w:szCs w:val="24"/>
        </w:rPr>
        <w:t xml:space="preserve"> artículo 179, fracción I de la Ley de Transparencia y Acceso a la Información Pública del Estado de México y Municipios; que a la letra dice:</w:t>
      </w:r>
    </w:p>
    <w:p w14:paraId="660E8D40" w14:textId="77777777" w:rsidR="004F2352" w:rsidRDefault="00DE78D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574DCF1A" w14:textId="77777777" w:rsidR="004F2352" w:rsidRDefault="00DE78D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F0F0624" w14:textId="77777777" w:rsidR="004F2352" w:rsidRDefault="00DE78D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 (Sic)</w:t>
      </w:r>
    </w:p>
    <w:p w14:paraId="5E6B69EB"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w:t>
      </w:r>
      <w:r>
        <w:rPr>
          <w:rFonts w:ascii="Palatino Linotype" w:eastAsia="Palatino Linotype" w:hAnsi="Palatino Linotype" w:cs="Palatino Linotype"/>
          <w:sz w:val="24"/>
          <w:szCs w:val="24"/>
        </w:rPr>
        <w:lastRenderedPageBreak/>
        <w:t xml:space="preserve">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59CB4A37" w14:textId="77777777" w:rsidR="004F2352" w:rsidRDefault="00DE78D5">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w:t>
      </w:r>
      <w:proofErr w:type="gramStart"/>
      <w:r>
        <w:rPr>
          <w:rFonts w:ascii="Palatino Linotype" w:eastAsia="Palatino Linotype" w:hAnsi="Palatino Linotype" w:cs="Palatino Linotype"/>
          <w:sz w:val="24"/>
          <w:szCs w:val="24"/>
        </w:rPr>
        <w:t>en razón de</w:t>
      </w:r>
      <w:proofErr w:type="gramEnd"/>
      <w:r>
        <w:rPr>
          <w:rFonts w:ascii="Palatino Linotype" w:eastAsia="Palatino Linotype" w:hAnsi="Palatino Linotype" w:cs="Palatino Linotype"/>
          <w:sz w:val="24"/>
          <w:szCs w:val="24"/>
        </w:rPr>
        <w:t xml:space="preserve"> que tiene el carácter de ser pública, tal y como se lee a continuación:</w:t>
      </w:r>
    </w:p>
    <w:p w14:paraId="66EB04C2" w14:textId="77777777" w:rsidR="004F2352" w:rsidRDefault="00DE78D5">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226C14" w14:textId="77777777" w:rsidR="004F2352" w:rsidRDefault="00DE78D5">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9920CC" w14:textId="77777777" w:rsidR="004F2352" w:rsidRDefault="00DE78D5">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sz w:val="24"/>
          <w:szCs w:val="24"/>
        </w:rPr>
        <w:lastRenderedPageBreak/>
        <w:t>así lo establece el artículo 12 de la Ley de Transparencia y Acceso a la Información Pública del Estado de México y Municipios, el cual a la letra dice:</w:t>
      </w:r>
    </w:p>
    <w:p w14:paraId="0D8BEA4F" w14:textId="77777777" w:rsidR="004F2352" w:rsidRDefault="00DE78D5">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BA89504" w14:textId="77777777" w:rsidR="004F2352" w:rsidRDefault="00DE78D5">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Pr>
          <w:rFonts w:ascii="Palatino Linotype" w:eastAsia="Palatino Linotype" w:hAnsi="Palatino Linotype" w:cs="Palatino Linotype"/>
          <w:i/>
        </w:rPr>
        <w:t>la misma</w:t>
      </w:r>
      <w:proofErr w:type="gramEnd"/>
      <w:r>
        <w:rPr>
          <w:rFonts w:ascii="Palatino Linotype" w:eastAsia="Palatino Linotype" w:hAnsi="Palatino Linotype" w:cs="Palatino Linotype"/>
          <w:i/>
        </w:rPr>
        <w:t>, ni el presentarla conforme al interés del solicitante; no estarán obligados a generarla, resumirla, efectuar cálculos o practicar investigaciones.</w:t>
      </w:r>
    </w:p>
    <w:p w14:paraId="1D69A843"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7968E069"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dispone que los Sujetos Obligados sólo proporcionarán la información pública que generen, administren o </w:t>
      </w:r>
      <w:r>
        <w:rPr>
          <w:rFonts w:ascii="Palatino Linotype" w:eastAsia="Palatino Linotype" w:hAnsi="Palatino Linotype" w:cs="Palatino Linotype"/>
          <w:sz w:val="24"/>
          <w:szCs w:val="24"/>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477626B0" w14:textId="77777777" w:rsidR="004F2352" w:rsidRDefault="00DE78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14:paraId="1AB7023C" w14:textId="77777777" w:rsidR="004F2352" w:rsidRDefault="00DE78D5">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79DD7888" w14:textId="77777777" w:rsidR="004F2352" w:rsidRDefault="00DE78D5">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065F736" w14:textId="77777777" w:rsidR="004F2352" w:rsidRDefault="00DE78D5">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Pr>
          <w:rFonts w:ascii="Palatino Linotype" w:eastAsia="Palatino Linotype" w:hAnsi="Palatino Linotype" w:cs="Palatino Linotype"/>
          <w:i/>
        </w:rPr>
        <w:t>holográfico;</w:t>
      </w:r>
      <w:r>
        <w:rPr>
          <w:rFonts w:ascii="Palatino Linotype" w:eastAsia="Palatino Linotype" w:hAnsi="Palatino Linotype" w:cs="Palatino Linotype"/>
          <w:b/>
          <w:i/>
        </w:rPr>
        <w:t>…</w:t>
      </w:r>
      <w:proofErr w:type="gramEnd"/>
      <w:r>
        <w:rPr>
          <w:rFonts w:ascii="Palatino Linotype" w:eastAsia="Palatino Linotype" w:hAnsi="Palatino Linotype" w:cs="Palatino Linotype"/>
          <w:i/>
        </w:rPr>
        <w:t>”</w:t>
      </w:r>
    </w:p>
    <w:p w14:paraId="22C9AB8F"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DC757BB" w14:textId="77777777" w:rsidR="004F2352" w:rsidRDefault="004F2352">
      <w:pPr>
        <w:spacing w:line="360" w:lineRule="auto"/>
        <w:jc w:val="both"/>
        <w:rPr>
          <w:rFonts w:ascii="Palatino Linotype" w:eastAsia="Palatino Linotype" w:hAnsi="Palatino Linotype" w:cs="Palatino Linotype"/>
          <w:sz w:val="24"/>
          <w:szCs w:val="24"/>
        </w:rPr>
      </w:pPr>
    </w:p>
    <w:p w14:paraId="537D5F0C" w14:textId="77777777" w:rsidR="004F2352" w:rsidRDefault="00DE78D5">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0BB43F75"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w:t>
      </w:r>
      <w:proofErr w:type="gramStart"/>
      <w:r>
        <w:rPr>
          <w:rFonts w:ascii="Palatino Linotype" w:eastAsia="Palatino Linotype" w:hAnsi="Palatino Linotype" w:cs="Palatino Linotype"/>
          <w:i/>
        </w:rPr>
        <w:t>pública,</w:t>
      </w:r>
      <w:proofErr w:type="gramEnd"/>
      <w:r>
        <w:rPr>
          <w:rFonts w:ascii="Palatino Linotype" w:eastAsia="Palatino Linotype" w:hAnsi="Palatino Linotype" w:cs="Palatino Linotype"/>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F314CB"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34716672" w14:textId="77777777" w:rsidR="004F2352" w:rsidRDefault="00DE78D5">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1) Que se trate de información registrada en cualquier soporte documental, </w:t>
      </w:r>
      <w:proofErr w:type="gramStart"/>
      <w:r>
        <w:rPr>
          <w:rFonts w:ascii="Palatino Linotype" w:eastAsia="Palatino Linotype" w:hAnsi="Palatino Linotype" w:cs="Palatino Linotype"/>
          <w:b/>
          <w:i/>
        </w:rPr>
        <w:t>que</w:t>
      </w:r>
      <w:proofErr w:type="gramEnd"/>
      <w:r>
        <w:rPr>
          <w:rFonts w:ascii="Palatino Linotype" w:eastAsia="Palatino Linotype" w:hAnsi="Palatino Linotype" w:cs="Palatino Linotype"/>
          <w:b/>
          <w:i/>
        </w:rPr>
        <w:t xml:space="preserve"> en ejercicio de las atribuciones conferidas, sea generada por los Sujetos Obligados;</w:t>
      </w:r>
    </w:p>
    <w:p w14:paraId="7D73EDD0"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637752ED"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w:t>
      </w:r>
    </w:p>
    <w:p w14:paraId="73B52C6E" w14:textId="77777777" w:rsidR="004F2352" w:rsidRDefault="00DE78D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14:paraId="08766C1B" w14:textId="77777777" w:rsidR="004F2352" w:rsidRDefault="00DE78D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40"/>
          <w:szCs w:val="40"/>
        </w:rPr>
      </w:pPr>
      <w:r>
        <w:rPr>
          <w:rFonts w:ascii="Palatino Linotype" w:eastAsia="Palatino Linotype" w:hAnsi="Palatino Linotype" w:cs="Palatino Linotype"/>
          <w:color w:val="000000"/>
          <w:sz w:val="24"/>
          <w:szCs w:val="24"/>
        </w:rPr>
        <w:t xml:space="preserve">Monto y nombre de las personas que hayan recibido alguna condonación por cualquier concepto </w:t>
      </w:r>
      <w:r>
        <w:rPr>
          <w:rFonts w:ascii="Palatino Linotype" w:eastAsia="Palatino Linotype" w:hAnsi="Palatino Linotype" w:cs="Palatino Linotype"/>
          <w:b/>
          <w:color w:val="000000"/>
          <w:sz w:val="24"/>
          <w:szCs w:val="24"/>
          <w:u w:val="single"/>
        </w:rPr>
        <w:t>del día 3 de enero de 2022.</w:t>
      </w:r>
    </w:p>
    <w:p w14:paraId="421DE9E7" w14:textId="77777777" w:rsidR="004F2352" w:rsidRDefault="004F2352">
      <w:pPr>
        <w:spacing w:after="0" w:line="360" w:lineRule="auto"/>
        <w:jc w:val="both"/>
        <w:rPr>
          <w:rFonts w:ascii="Palatino Linotype" w:eastAsia="Palatino Linotype" w:hAnsi="Palatino Linotype" w:cs="Palatino Linotype"/>
          <w:color w:val="000000"/>
          <w:sz w:val="24"/>
          <w:szCs w:val="24"/>
        </w:rPr>
      </w:pPr>
    </w:p>
    <w:p w14:paraId="10A30F33" w14:textId="77777777" w:rsidR="004F2352" w:rsidRDefault="00DE78D5">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el </w:t>
      </w:r>
      <w:r w:rsidR="00376A17">
        <w:rPr>
          <w:rFonts w:ascii="Palatino Linotype" w:eastAsia="Palatino Linotype" w:hAnsi="Palatino Linotype" w:cs="Palatino Linotype"/>
          <w:b/>
          <w:color w:val="000000"/>
          <w:sz w:val="24"/>
          <w:szCs w:val="24"/>
        </w:rPr>
        <w:t xml:space="preserve">SUJETO OBLIGADO </w:t>
      </w:r>
      <w:r w:rsidR="00376A17">
        <w:rPr>
          <w:rFonts w:ascii="Palatino Linotype" w:eastAsia="Palatino Linotype" w:hAnsi="Palatino Linotype" w:cs="Palatino Linotype"/>
          <w:color w:val="000000"/>
          <w:sz w:val="24"/>
          <w:szCs w:val="24"/>
        </w:rPr>
        <w:t xml:space="preserve">señala que la información está disponible en </w:t>
      </w:r>
      <w:r>
        <w:rPr>
          <w:rFonts w:ascii="Palatino Linotype" w:eastAsia="Palatino Linotype" w:hAnsi="Palatino Linotype" w:cs="Palatino Linotype"/>
          <w:color w:val="000000"/>
          <w:sz w:val="24"/>
          <w:szCs w:val="24"/>
        </w:rPr>
        <w:t xml:space="preserve">la siguiente liga electrónica </w:t>
      </w:r>
      <w:hyperlink r:id="rId11">
        <w:r>
          <w:rPr>
            <w:rFonts w:ascii="Palatino Linotype" w:eastAsia="Palatino Linotype" w:hAnsi="Palatino Linotype" w:cs="Palatino Linotype"/>
            <w:color w:val="0000FF"/>
            <w:sz w:val="24"/>
            <w:szCs w:val="24"/>
            <w:u w:val="single"/>
          </w:rPr>
          <w:t>https://www.ipomex.org.mx/ipo3/lgt/indice/OASMETEPEC/art_92_xiv_b/4.web</w:t>
        </w:r>
      </w:hyperlink>
      <w:r>
        <w:rPr>
          <w:rFonts w:ascii="Palatino Linotype" w:eastAsia="Palatino Linotype" w:hAnsi="Palatino Linotype" w:cs="Palatino Linotype"/>
          <w:color w:val="000000"/>
          <w:sz w:val="24"/>
          <w:szCs w:val="24"/>
        </w:rPr>
        <w:t>.</w:t>
      </w:r>
    </w:p>
    <w:p w14:paraId="5A8AC78E" w14:textId="77777777" w:rsidR="004F2352" w:rsidRDefault="004F2352">
      <w:pPr>
        <w:spacing w:after="0" w:line="360" w:lineRule="auto"/>
        <w:jc w:val="both"/>
        <w:rPr>
          <w:rFonts w:ascii="Palatino Linotype" w:eastAsia="Palatino Linotype" w:hAnsi="Palatino Linotype" w:cs="Palatino Linotype"/>
          <w:sz w:val="24"/>
          <w:szCs w:val="24"/>
        </w:rPr>
      </w:pPr>
    </w:p>
    <w:p w14:paraId="19167CFD" w14:textId="77777777" w:rsidR="004F2352" w:rsidRDefault="00DE78D5">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Conocida la respuesta por el particular, al no estar conforme con los términos de </w:t>
      </w:r>
      <w:proofErr w:type="gramStart"/>
      <w:r>
        <w:rPr>
          <w:rFonts w:ascii="Palatino Linotype" w:eastAsia="Palatino Linotype" w:hAnsi="Palatino Linotype" w:cs="Palatino Linotype"/>
          <w:sz w:val="24"/>
          <w:szCs w:val="24"/>
        </w:rPr>
        <w:t>la misma</w:t>
      </w:r>
      <w:proofErr w:type="gramEnd"/>
      <w:r>
        <w:rPr>
          <w:rFonts w:ascii="Palatino Linotype" w:eastAsia="Palatino Linotype" w:hAnsi="Palatino Linotype" w:cs="Palatino Linotype"/>
          <w:sz w:val="24"/>
          <w:szCs w:val="24"/>
        </w:rPr>
        <w:t xml:space="preserve">, presentó el recurso de revisión que nos ocupa, mediante el cual señaló como motivo de inconformidad, en lo medular por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color w:val="000000"/>
          <w:sz w:val="24"/>
          <w:szCs w:val="24"/>
        </w:rPr>
        <w:t>.</w:t>
      </w:r>
    </w:p>
    <w:p w14:paraId="0EC5A6B1" w14:textId="77777777" w:rsidR="004F2352" w:rsidRDefault="004F2352">
      <w:pPr>
        <w:tabs>
          <w:tab w:val="left" w:pos="8647"/>
        </w:tabs>
        <w:spacing w:after="0" w:line="360" w:lineRule="auto"/>
        <w:ind w:right="141"/>
        <w:jc w:val="both"/>
        <w:rPr>
          <w:rFonts w:ascii="Palatino Linotype" w:eastAsia="Palatino Linotype" w:hAnsi="Palatino Linotype" w:cs="Palatino Linotype"/>
          <w:sz w:val="24"/>
          <w:szCs w:val="24"/>
        </w:rPr>
      </w:pPr>
    </w:p>
    <w:p w14:paraId="4F98914B" w14:textId="6257BB05" w:rsidR="004F2352" w:rsidRDefault="00DE78D5">
      <w:pPr>
        <w:tabs>
          <w:tab w:val="left" w:pos="8647"/>
        </w:tabs>
        <w:spacing w:after="0" w:line="360" w:lineRule="auto"/>
        <w:ind w:right="141"/>
        <w:jc w:val="both"/>
        <w:rPr>
          <w:sz w:val="24"/>
          <w:szCs w:val="24"/>
        </w:rPr>
      </w:pPr>
      <w:r>
        <w:rPr>
          <w:rFonts w:ascii="Palatino Linotype" w:eastAsia="Palatino Linotype" w:hAnsi="Palatino Linotype" w:cs="Palatino Linotype"/>
          <w:sz w:val="24"/>
          <w:szCs w:val="24"/>
        </w:rPr>
        <w:t xml:space="preserve">Cabe resaltar que </w:t>
      </w:r>
      <w:r>
        <w:rPr>
          <w:rFonts w:ascii="Palatino Linotype" w:eastAsia="Palatino Linotype" w:hAnsi="Palatino Linotype" w:cs="Palatino Linotype"/>
          <w:color w:val="000000"/>
          <w:sz w:val="24"/>
          <w:szCs w:val="24"/>
        </w:rPr>
        <w:t>durante la etapa de manifestaciones</w:t>
      </w:r>
      <w:r w:rsidR="00D72315">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w:t>
      </w:r>
      <w:r w:rsidR="00D72315">
        <w:rPr>
          <w:rFonts w:ascii="Palatino Linotype" w:eastAsia="Palatino Linotype" w:hAnsi="Palatino Linotype" w:cs="Palatino Linotype"/>
          <w:color w:val="000000"/>
          <w:sz w:val="24"/>
          <w:szCs w:val="24"/>
        </w:rPr>
        <w:t>o</w:t>
      </w:r>
      <w:r>
        <w:rPr>
          <w:rFonts w:ascii="Palatino Linotype" w:eastAsia="Palatino Linotype" w:hAnsi="Palatino Linotype" w:cs="Palatino Linotype"/>
          <w:color w:val="000000"/>
          <w:sz w:val="24"/>
          <w:szCs w:val="24"/>
        </w:rPr>
        <w:t xml:space="preserve">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también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omiso de remitir su informe justificado conforme a derecho les corresponde. </w:t>
      </w:r>
      <w:r>
        <w:rPr>
          <w:sz w:val="24"/>
          <w:szCs w:val="24"/>
        </w:rPr>
        <w:t xml:space="preserve"> </w:t>
      </w:r>
    </w:p>
    <w:p w14:paraId="2B0ABE8B" w14:textId="77777777" w:rsidR="004F2352" w:rsidRDefault="004F2352">
      <w:pPr>
        <w:spacing w:after="0" w:line="360" w:lineRule="auto"/>
        <w:jc w:val="both"/>
        <w:rPr>
          <w:rFonts w:ascii="Palatino Linotype" w:eastAsia="Palatino Linotype" w:hAnsi="Palatino Linotype" w:cs="Palatino Linotype"/>
          <w:color w:val="000000"/>
          <w:sz w:val="24"/>
          <w:szCs w:val="24"/>
        </w:rPr>
      </w:pPr>
    </w:p>
    <w:p w14:paraId="563C9B3C" w14:textId="77777777" w:rsidR="004F2352" w:rsidRPr="00376A17" w:rsidRDefault="00DE78D5">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Precisado lo anterior, conviene señalar, en primer lugar, que a través de la respuesta proporcionada por la Dirección de Comercialización, se asumió la existencia de la </w:t>
      </w:r>
      <w:r>
        <w:rPr>
          <w:rFonts w:ascii="Palatino Linotype" w:eastAsia="Palatino Linotype" w:hAnsi="Palatino Linotype" w:cs="Palatino Linotype"/>
          <w:color w:val="000000"/>
          <w:sz w:val="24"/>
          <w:szCs w:val="24"/>
        </w:rPr>
        <w:lastRenderedPageBreak/>
        <w:t xml:space="preserve">información peticionada tan es así que proporcionó una dirección electrónica con la </w:t>
      </w:r>
      <w:r w:rsidRPr="00376A17">
        <w:rPr>
          <w:rFonts w:ascii="Palatino Linotype" w:eastAsia="Palatino Linotype" w:hAnsi="Palatino Linotype" w:cs="Palatino Linotype"/>
          <w:color w:val="000000"/>
          <w:sz w:val="24"/>
          <w:szCs w:val="24"/>
        </w:rPr>
        <w:t xml:space="preserve">finalidad de que el particular realizará la consulta de la información que es de su interés, en consecuencia, se asume que cuenta con la información y por ende se obvia el análisis de las atribuciones del </w:t>
      </w:r>
      <w:r w:rsidRPr="00376A17">
        <w:rPr>
          <w:rFonts w:ascii="Palatino Linotype" w:eastAsia="Palatino Linotype" w:hAnsi="Palatino Linotype" w:cs="Palatino Linotype"/>
          <w:b/>
          <w:color w:val="000000"/>
          <w:sz w:val="24"/>
          <w:szCs w:val="24"/>
        </w:rPr>
        <w:t>SUJETO OBLIGADO</w:t>
      </w:r>
      <w:r w:rsidRPr="00376A17">
        <w:rPr>
          <w:rFonts w:ascii="Palatino Linotype" w:eastAsia="Palatino Linotype" w:hAnsi="Palatino Linotype" w:cs="Palatino Linotype"/>
          <w:color w:val="000000"/>
          <w:sz w:val="24"/>
          <w:szCs w:val="24"/>
        </w:rPr>
        <w:t xml:space="preserve"> para generar, administrar, o poseer la misma.</w:t>
      </w:r>
    </w:p>
    <w:p w14:paraId="6E1C243C" w14:textId="77777777" w:rsidR="004F2352" w:rsidRDefault="004F2352">
      <w:pPr>
        <w:spacing w:after="0" w:line="360" w:lineRule="auto"/>
        <w:jc w:val="both"/>
        <w:rPr>
          <w:rFonts w:ascii="Palatino Linotype" w:eastAsia="Palatino Linotype" w:hAnsi="Palatino Linotype" w:cs="Palatino Linotype"/>
          <w:sz w:val="24"/>
          <w:szCs w:val="24"/>
          <w:highlight w:val="green"/>
        </w:rPr>
      </w:pPr>
    </w:p>
    <w:p w14:paraId="48A71106" w14:textId="77777777" w:rsidR="004F2352" w:rsidRPr="00EA4DBF" w:rsidRDefault="00DE78D5">
      <w:pPr>
        <w:spacing w:after="240" w:line="360" w:lineRule="auto"/>
        <w:jc w:val="both"/>
        <w:rPr>
          <w:rFonts w:ascii="Palatino Linotype" w:eastAsia="Palatino Linotype" w:hAnsi="Palatino Linotype" w:cs="Palatino Linotype"/>
          <w:color w:val="000000"/>
          <w:sz w:val="24"/>
          <w:szCs w:val="24"/>
        </w:rPr>
      </w:pPr>
      <w:r w:rsidRPr="00EA4DBF">
        <w:rPr>
          <w:rFonts w:ascii="Palatino Linotype" w:eastAsia="Palatino Linotype" w:hAnsi="Palatino Linotype" w:cs="Palatino Linotype"/>
          <w:color w:val="000000"/>
          <w:sz w:val="24"/>
          <w:szCs w:val="24"/>
        </w:rPr>
        <w:t xml:space="preserve">En este tenor, toda vez que hubo un pronunciamiento por parte del </w:t>
      </w:r>
      <w:r w:rsidRPr="00EA4DBF">
        <w:rPr>
          <w:rFonts w:ascii="Palatino Linotype" w:eastAsia="Palatino Linotype" w:hAnsi="Palatino Linotype" w:cs="Palatino Linotype"/>
          <w:b/>
          <w:color w:val="000000"/>
          <w:sz w:val="24"/>
          <w:szCs w:val="24"/>
        </w:rPr>
        <w:t>SUJETO OBLIGADO</w:t>
      </w:r>
      <w:r w:rsidRPr="00EA4DBF">
        <w:rPr>
          <w:rFonts w:ascii="Palatino Linotype" w:eastAsia="Palatino Linotype" w:hAnsi="Palatino Linotype" w:cs="Palatino Linotype"/>
          <w:color w:val="000000"/>
          <w:sz w:val="24"/>
          <w:szCs w:val="24"/>
        </w:rPr>
        <w:t xml:space="preserve">, se estima oportuno efectuar el análisis de la información proporcionada, a efecto de determinar si es suficiente para tener por colmado el derecho de acceso a la información de la parte </w:t>
      </w:r>
      <w:r w:rsidRPr="00EA4DBF">
        <w:rPr>
          <w:rFonts w:ascii="Palatino Linotype" w:eastAsia="Palatino Linotype" w:hAnsi="Palatino Linotype" w:cs="Palatino Linotype"/>
          <w:b/>
          <w:color w:val="000000"/>
          <w:sz w:val="24"/>
          <w:szCs w:val="24"/>
        </w:rPr>
        <w:t>RECURRENTE</w:t>
      </w:r>
      <w:r w:rsidR="00376A17" w:rsidRPr="00EA4DBF">
        <w:rPr>
          <w:rFonts w:ascii="Palatino Linotype" w:eastAsia="Palatino Linotype" w:hAnsi="Palatino Linotype" w:cs="Palatino Linotype"/>
          <w:color w:val="000000"/>
          <w:sz w:val="24"/>
          <w:szCs w:val="24"/>
        </w:rPr>
        <w:t xml:space="preserve">. </w:t>
      </w:r>
    </w:p>
    <w:p w14:paraId="4C44FD81" w14:textId="77777777" w:rsidR="00EA4DBF" w:rsidRPr="00EA4DBF" w:rsidRDefault="00EA4DBF" w:rsidP="00EA4DBF">
      <w:pPr>
        <w:spacing w:before="240" w:after="240" w:line="360" w:lineRule="auto"/>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En tal contexto, en primer lugar, debemos traer a colación el artículo 161</w:t>
      </w:r>
      <w:r w:rsidRPr="00EA4DBF">
        <w:rPr>
          <w:rFonts w:ascii="Palatino Linotype" w:eastAsia="Palatino Linotype" w:hAnsi="Palatino Linotype" w:cs="Palatino Linotype"/>
          <w:sz w:val="24"/>
          <w:szCs w:val="24"/>
          <w:vertAlign w:val="superscript"/>
        </w:rPr>
        <w:footnoteReference w:id="2"/>
      </w:r>
      <w:r w:rsidRPr="00EA4DBF">
        <w:rPr>
          <w:rFonts w:ascii="Palatino Linotype" w:eastAsia="Palatino Linotype" w:hAnsi="Palatino Linotype" w:cs="Palatino Linotype"/>
          <w:sz w:val="24"/>
          <w:szCs w:val="24"/>
        </w:rPr>
        <w:t xml:space="preserve"> de la Ley de Transparencia y Acceso a la Información Pública del Estado de México y Municipios</w:t>
      </w:r>
      <w:r w:rsidRPr="00EA4DBF">
        <w:rPr>
          <w:rFonts w:ascii="Palatino Linotype" w:eastAsia="Palatino Linotype" w:hAnsi="Palatino Linotype" w:cs="Palatino Linotype"/>
          <w:i/>
          <w:sz w:val="24"/>
          <w:szCs w:val="24"/>
        </w:rPr>
        <w:t xml:space="preserve">, </w:t>
      </w:r>
      <w:r w:rsidRPr="00EA4DBF">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w:t>
      </w:r>
      <w:r w:rsidRPr="00EA4DBF">
        <w:rPr>
          <w:rFonts w:ascii="Palatino Linotype" w:eastAsia="Palatino Linotype" w:hAnsi="Palatino Linotype" w:cs="Palatino Linotype"/>
          <w:sz w:val="24"/>
          <w:szCs w:val="24"/>
        </w:rPr>
        <w:lastRenderedPageBreak/>
        <w:t>reproducir o adquirir la información, en un plazo no mayor a cinco días hábiles, comprendiendo:</w:t>
      </w:r>
    </w:p>
    <w:p w14:paraId="0DBE0E0A" w14:textId="77777777" w:rsidR="00EA4DBF" w:rsidRPr="00EA4DBF" w:rsidRDefault="00EA4DBF" w:rsidP="00EA4DBF">
      <w:pPr>
        <w:spacing w:before="240" w:after="240" w:line="276" w:lineRule="auto"/>
        <w:ind w:left="284"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a) La fuente</w:t>
      </w:r>
    </w:p>
    <w:p w14:paraId="4F2D56BF" w14:textId="77777777" w:rsidR="00EA4DBF" w:rsidRPr="00EA4DBF" w:rsidRDefault="00EA4DBF" w:rsidP="00EA4DBF">
      <w:pPr>
        <w:spacing w:before="240" w:after="240" w:line="276" w:lineRule="auto"/>
        <w:ind w:left="284"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b) El lugar y</w:t>
      </w:r>
    </w:p>
    <w:p w14:paraId="1965B14F" w14:textId="77777777" w:rsidR="00EA4DBF" w:rsidRPr="00EA4DBF" w:rsidRDefault="00EA4DBF" w:rsidP="00EA4DBF">
      <w:pPr>
        <w:spacing w:before="240" w:after="240" w:line="276" w:lineRule="auto"/>
        <w:ind w:left="284"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c) La forma</w:t>
      </w:r>
    </w:p>
    <w:p w14:paraId="6D4FE7F5" w14:textId="77777777" w:rsidR="00EA4DBF" w:rsidRPr="00EA4DBF" w:rsidRDefault="00EA4DBF" w:rsidP="00EA4DBF">
      <w:pPr>
        <w:spacing w:before="240" w:after="240" w:line="360" w:lineRule="auto"/>
        <w:ind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Asimismo, se establece que la fuente de la información deberá ser:</w:t>
      </w:r>
    </w:p>
    <w:p w14:paraId="2D828E0D" w14:textId="77777777" w:rsidR="00EA4DBF" w:rsidRPr="00EA4DBF" w:rsidRDefault="00EA4DBF" w:rsidP="00EA4DBF">
      <w:pPr>
        <w:spacing w:before="240" w:after="240" w:line="276" w:lineRule="auto"/>
        <w:ind w:left="284"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a) Precisa</w:t>
      </w:r>
    </w:p>
    <w:p w14:paraId="04905FDE" w14:textId="77777777" w:rsidR="00EA4DBF" w:rsidRPr="00EA4DBF" w:rsidRDefault="00EA4DBF" w:rsidP="00EA4DBF">
      <w:pPr>
        <w:spacing w:before="240" w:after="240" w:line="276" w:lineRule="auto"/>
        <w:ind w:left="284"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b) Concreta</w:t>
      </w:r>
    </w:p>
    <w:p w14:paraId="31BA84A4" w14:textId="77777777" w:rsidR="00EA4DBF" w:rsidRPr="00EA4DBF" w:rsidRDefault="00EA4DBF" w:rsidP="00EA4DBF">
      <w:pPr>
        <w:spacing w:before="240" w:after="240" w:line="276" w:lineRule="auto"/>
        <w:ind w:left="284"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c) Y no debe implicar que el solicitante realice una búsqueda en toda la información que se encuentre disponible.</w:t>
      </w:r>
    </w:p>
    <w:p w14:paraId="5B7F5BDF" w14:textId="77777777" w:rsidR="00EA4DBF" w:rsidRPr="00EA4DBF" w:rsidRDefault="00EA4DBF" w:rsidP="00EA4DBF">
      <w:pPr>
        <w:spacing w:before="240" w:after="240" w:line="360" w:lineRule="auto"/>
        <w:ind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 xml:space="preserve">Imperativos legales que establecen el procedimiento que debe seguir el </w:t>
      </w:r>
      <w:r w:rsidRPr="00EA4DBF">
        <w:rPr>
          <w:rFonts w:ascii="Palatino Linotype" w:eastAsia="Palatino Linotype" w:hAnsi="Palatino Linotype" w:cs="Palatino Linotype"/>
          <w:b/>
          <w:sz w:val="24"/>
          <w:szCs w:val="24"/>
        </w:rPr>
        <w:t>Sujeto Obligado</w:t>
      </w:r>
      <w:r w:rsidRPr="00EA4DBF">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3FF4611D" w14:textId="77777777" w:rsidR="00EA4DBF" w:rsidRPr="00EA4DBF" w:rsidRDefault="00EA4DBF" w:rsidP="00EA4DBF">
      <w:pPr>
        <w:spacing w:before="120" w:after="120" w:line="360" w:lineRule="auto"/>
        <w:ind w:right="49"/>
        <w:jc w:val="both"/>
        <w:rPr>
          <w:rFonts w:ascii="Palatino Linotype" w:eastAsia="Palatino Linotype" w:hAnsi="Palatino Linotype" w:cs="Palatino Linotype"/>
          <w:sz w:val="24"/>
          <w:szCs w:val="24"/>
        </w:rPr>
      </w:pPr>
      <w:r w:rsidRPr="00EA4DBF">
        <w:rPr>
          <w:rFonts w:ascii="Palatino Linotype" w:eastAsia="Palatino Linotype" w:hAnsi="Palatino Linotype" w:cs="Palatino Linotype"/>
          <w:sz w:val="24"/>
          <w:szCs w:val="24"/>
        </w:rPr>
        <w:t xml:space="preserve">Así, en el presente caso,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señala que la información está disponible en la siguiente liga electrónica </w:t>
      </w:r>
      <w:hyperlink r:id="rId12">
        <w:r>
          <w:rPr>
            <w:rFonts w:ascii="Palatino Linotype" w:eastAsia="Palatino Linotype" w:hAnsi="Palatino Linotype" w:cs="Palatino Linotype"/>
            <w:color w:val="0000FF"/>
            <w:sz w:val="24"/>
            <w:szCs w:val="24"/>
            <w:u w:val="single"/>
          </w:rPr>
          <w:t>https://www.ipomex.org.mx/ipo3/lgt/indice/OASMETEPEC/art_92_xiv_b/4.web</w:t>
        </w:r>
      </w:hyperlink>
      <w:r>
        <w:rPr>
          <w:rFonts w:ascii="Palatino Linotype" w:eastAsia="Palatino Linotype" w:hAnsi="Palatino Linotype" w:cs="Palatino Linotype"/>
          <w:sz w:val="24"/>
          <w:szCs w:val="24"/>
        </w:rPr>
        <w:t xml:space="preserve">, </w:t>
      </w:r>
      <w:r w:rsidRPr="00EA4DBF">
        <w:rPr>
          <w:rFonts w:ascii="Palatino Linotype" w:eastAsia="Palatino Linotype" w:hAnsi="Palatino Linotype" w:cs="Palatino Linotype"/>
          <w:sz w:val="24"/>
          <w:szCs w:val="24"/>
        </w:rPr>
        <w:t xml:space="preserve">por lo que este </w:t>
      </w:r>
      <w:r>
        <w:rPr>
          <w:rFonts w:ascii="Palatino Linotype" w:eastAsia="Palatino Linotype" w:hAnsi="Palatino Linotype" w:cs="Palatino Linotype"/>
          <w:sz w:val="24"/>
          <w:szCs w:val="24"/>
        </w:rPr>
        <w:t>Organismo</w:t>
      </w:r>
      <w:r w:rsidRPr="00EA4DBF">
        <w:rPr>
          <w:rFonts w:ascii="Palatino Linotype" w:eastAsia="Palatino Linotype" w:hAnsi="Palatino Linotype" w:cs="Palatino Linotype"/>
          <w:sz w:val="24"/>
          <w:szCs w:val="24"/>
        </w:rPr>
        <w:t xml:space="preserve"> Garante procedió a consultar la información disponible en dicho portal, en el cual se observa lo siguiente:</w:t>
      </w:r>
    </w:p>
    <w:p w14:paraId="1D3E6CFB" w14:textId="77777777" w:rsidR="004F2352" w:rsidRDefault="00DE78D5">
      <w:pPr>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708F3466" wp14:editId="40DA10C9">
            <wp:extent cx="2608370" cy="359726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8343" t="19613" r="40765" b="4646"/>
                    <a:stretch>
                      <a:fillRect/>
                    </a:stretch>
                  </pic:blipFill>
                  <pic:spPr>
                    <a:xfrm>
                      <a:off x="0" y="0"/>
                      <a:ext cx="2608370" cy="3597260"/>
                    </a:xfrm>
                    <a:prstGeom prst="rect">
                      <a:avLst/>
                    </a:prstGeom>
                    <a:ln/>
                  </pic:spPr>
                </pic:pic>
              </a:graphicData>
            </a:graphic>
          </wp:inline>
        </w:drawing>
      </w:r>
    </w:p>
    <w:p w14:paraId="7EE78BAF" w14:textId="77777777" w:rsidR="004F2352" w:rsidRDefault="00EA4DBF" w:rsidP="00D72315">
      <w:pPr>
        <w:spacing w:after="0" w:line="360" w:lineRule="auto"/>
        <w:contextualSpacing/>
        <w:jc w:val="both"/>
        <w:rPr>
          <w:rFonts w:ascii="Palatino Linotype" w:eastAsia="Palatino Linotype" w:hAnsi="Palatino Linotype" w:cs="Palatino Linotype"/>
          <w:color w:val="000000"/>
          <w:sz w:val="24"/>
          <w:szCs w:val="24"/>
        </w:rPr>
      </w:pPr>
      <w:r w:rsidRPr="00EA4DBF">
        <w:rPr>
          <w:rFonts w:ascii="Palatino Linotype" w:hAnsi="Palatino Linotype"/>
          <w:color w:val="000000"/>
          <w:sz w:val="24"/>
          <w:szCs w:val="24"/>
        </w:rPr>
        <w:t xml:space="preserve">Como se advierte, la dirección electrónica proporcionada dirige al portal de Información Pública de Oficio Mexiquense, IPOMEX, del </w:t>
      </w:r>
      <w:r w:rsidRPr="00EA4DBF">
        <w:rPr>
          <w:rFonts w:ascii="Palatino Linotype" w:hAnsi="Palatino Linotype"/>
          <w:b/>
          <w:bCs/>
          <w:color w:val="000000"/>
          <w:sz w:val="24"/>
          <w:szCs w:val="24"/>
        </w:rPr>
        <w:t>Sujeto Obligado</w:t>
      </w:r>
      <w:r w:rsidRPr="00EA4DBF">
        <w:rPr>
          <w:rFonts w:ascii="Palatino Linotype" w:hAnsi="Palatino Linotype"/>
          <w:color w:val="000000"/>
          <w:sz w:val="24"/>
          <w:szCs w:val="24"/>
        </w:rPr>
        <w:t xml:space="preserve">, específicamente al cumplimiento de la obligación de transparencia establecida en </w:t>
      </w:r>
      <w:r w:rsidR="00DE78D5" w:rsidRPr="00EA4DBF">
        <w:rPr>
          <w:rFonts w:ascii="Palatino Linotype" w:eastAsia="Palatino Linotype" w:hAnsi="Palatino Linotype" w:cs="Palatino Linotype"/>
          <w:color w:val="000000"/>
          <w:sz w:val="24"/>
          <w:szCs w:val="24"/>
        </w:rPr>
        <w:t>la fracción XIV</w:t>
      </w:r>
      <w:r w:rsidRPr="00EA4DBF">
        <w:rPr>
          <w:rFonts w:ascii="Palatino Linotype" w:eastAsia="Palatino Linotype" w:hAnsi="Palatino Linotype" w:cs="Palatino Linotype"/>
          <w:color w:val="000000"/>
          <w:sz w:val="24"/>
          <w:szCs w:val="24"/>
        </w:rPr>
        <w:t xml:space="preserve"> del artículo 92 de la Ley de Transparencia y Acceso a la Información pública del Estado de México y Municipios, de manera particular </w:t>
      </w:r>
      <w:r w:rsidR="00DE78D5" w:rsidRPr="00EA4DBF">
        <w:rPr>
          <w:rFonts w:ascii="Palatino Linotype" w:eastAsia="Palatino Linotype" w:hAnsi="Palatino Linotype" w:cs="Palatino Linotype"/>
          <w:color w:val="000000"/>
          <w:sz w:val="24"/>
          <w:szCs w:val="24"/>
        </w:rPr>
        <w:t xml:space="preserve">al padrón de beneficiarios del </w:t>
      </w:r>
      <w:r w:rsidR="00DE78D5" w:rsidRPr="00EA4DBF">
        <w:rPr>
          <w:rFonts w:ascii="Palatino Linotype" w:eastAsia="Palatino Linotype" w:hAnsi="Palatino Linotype" w:cs="Palatino Linotype"/>
          <w:b/>
          <w:color w:val="000000"/>
          <w:sz w:val="24"/>
          <w:szCs w:val="24"/>
        </w:rPr>
        <w:t>SUJETO OBLIGADO</w:t>
      </w:r>
      <w:r w:rsidR="00DE78D5" w:rsidRPr="00EA4DBF">
        <w:rPr>
          <w:rFonts w:ascii="Palatino Linotype" w:eastAsia="Palatino Linotype" w:hAnsi="Palatino Linotype" w:cs="Palatino Linotype"/>
          <w:color w:val="000000"/>
          <w:sz w:val="24"/>
          <w:szCs w:val="24"/>
        </w:rPr>
        <w:t>.</w:t>
      </w:r>
    </w:p>
    <w:p w14:paraId="13E6A2C0" w14:textId="2F654D47" w:rsidR="00EA4DBF" w:rsidRDefault="00EA4DBF" w:rsidP="00D72315">
      <w:pPr>
        <w:spacing w:after="0" w:line="360" w:lineRule="auto"/>
        <w:contextualSpacing/>
        <w:jc w:val="both"/>
        <w:rPr>
          <w:rFonts w:ascii="Palatino Linotype" w:eastAsia="Palatino Linotype" w:hAnsi="Palatino Linotype" w:cs="Palatino Linotype"/>
          <w:color w:val="000000"/>
          <w:sz w:val="24"/>
          <w:szCs w:val="24"/>
        </w:rPr>
      </w:pPr>
    </w:p>
    <w:p w14:paraId="3DEBCD9D" w14:textId="61BB4B59" w:rsid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 xml:space="preserve">Artículo 92. Los sujetos obligados deberán poner a disposición del público de manera permanente </w:t>
      </w:r>
      <w:proofErr w:type="spellStart"/>
      <w:r w:rsidRPr="00D72315">
        <w:rPr>
          <w:rFonts w:ascii="Palatino Linotype" w:eastAsia="Palatino Linotype" w:hAnsi="Palatino Linotype" w:cs="Palatino Linotype"/>
          <w:i/>
        </w:rPr>
        <w:t>yactualizada</w:t>
      </w:r>
      <w:proofErr w:type="spellEnd"/>
      <w:r w:rsidRPr="00D72315">
        <w:rPr>
          <w:rFonts w:ascii="Palatino Linotype" w:eastAsia="Palatino Linotype" w:hAnsi="Palatino Linotype" w:cs="Palatino Linotype"/>
          <w:i/>
        </w:rPr>
        <w:t xml:space="preserve"> de forma sencilla, precisa y entendible, en </w:t>
      </w:r>
      <w:r w:rsidRPr="00D72315">
        <w:rPr>
          <w:rFonts w:ascii="Palatino Linotype" w:eastAsia="Palatino Linotype" w:hAnsi="Palatino Linotype" w:cs="Palatino Linotype"/>
          <w:i/>
        </w:rPr>
        <w:lastRenderedPageBreak/>
        <w:t>los respectivos medios electrónicos, de acuerdo</w:t>
      </w:r>
      <w:r>
        <w:rPr>
          <w:rFonts w:ascii="Palatino Linotype" w:eastAsia="Palatino Linotype" w:hAnsi="Palatino Linotype" w:cs="Palatino Linotype"/>
          <w:i/>
        </w:rPr>
        <w:t xml:space="preserve"> </w:t>
      </w:r>
      <w:r w:rsidRPr="00D72315">
        <w:rPr>
          <w:rFonts w:ascii="Palatino Linotype" w:eastAsia="Palatino Linotype" w:hAnsi="Palatino Linotype" w:cs="Palatino Linotype"/>
          <w:i/>
        </w:rPr>
        <w:t>con sus facultades, atribuciones, funciones u objeto social, según corresponda, la información, por lo</w:t>
      </w:r>
      <w:r>
        <w:rPr>
          <w:rFonts w:ascii="Palatino Linotype" w:eastAsia="Palatino Linotype" w:hAnsi="Palatino Linotype" w:cs="Palatino Linotype"/>
          <w:i/>
        </w:rPr>
        <w:t xml:space="preserve"> </w:t>
      </w:r>
      <w:r w:rsidRPr="00D72315">
        <w:rPr>
          <w:rFonts w:ascii="Palatino Linotype" w:eastAsia="Palatino Linotype" w:hAnsi="Palatino Linotype" w:cs="Palatino Linotype"/>
          <w:i/>
        </w:rPr>
        <w:t>menos, de los temas, documentos y políticas que a continuación se señalan:</w:t>
      </w:r>
    </w:p>
    <w:p w14:paraId="69466F2B" w14:textId="0B6FCF1A" w:rsid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C042351" w14:textId="2401BB74"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XIV. La información de los programas de subsidios, estímulos y apoyos, en el que se deberá informar</w:t>
      </w:r>
      <w:r>
        <w:rPr>
          <w:rFonts w:ascii="Palatino Linotype" w:eastAsia="Palatino Linotype" w:hAnsi="Palatino Linotype" w:cs="Palatino Linotype"/>
          <w:i/>
        </w:rPr>
        <w:t xml:space="preserve"> </w:t>
      </w:r>
      <w:r w:rsidRPr="00D72315">
        <w:rPr>
          <w:rFonts w:ascii="Palatino Linotype" w:eastAsia="Palatino Linotype" w:hAnsi="Palatino Linotype" w:cs="Palatino Linotype"/>
          <w:i/>
        </w:rPr>
        <w:t>respecto de los programas de transferencia, de servicios, de infraestructura social y de subsidio, en los</w:t>
      </w:r>
      <w:r>
        <w:rPr>
          <w:rFonts w:ascii="Palatino Linotype" w:eastAsia="Palatino Linotype" w:hAnsi="Palatino Linotype" w:cs="Palatino Linotype"/>
          <w:i/>
        </w:rPr>
        <w:t xml:space="preserve"> </w:t>
      </w:r>
      <w:r w:rsidRPr="00D72315">
        <w:rPr>
          <w:rFonts w:ascii="Palatino Linotype" w:eastAsia="Palatino Linotype" w:hAnsi="Palatino Linotype" w:cs="Palatino Linotype"/>
          <w:i/>
        </w:rPr>
        <w:t>que se deberá contener lo siguiente:</w:t>
      </w:r>
    </w:p>
    <w:p w14:paraId="05CBC0A2"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a) Área;</w:t>
      </w:r>
    </w:p>
    <w:p w14:paraId="5B68BD29" w14:textId="71811C84" w:rsid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b) Denominación del programa;</w:t>
      </w:r>
    </w:p>
    <w:p w14:paraId="38B31C06"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c) Periodo de vigencia;</w:t>
      </w:r>
    </w:p>
    <w:p w14:paraId="4A46D6AA"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d) Diseño, objetivos y alcances;</w:t>
      </w:r>
    </w:p>
    <w:p w14:paraId="1AA61259"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e) Metas físicas;</w:t>
      </w:r>
    </w:p>
    <w:p w14:paraId="701AAAF5"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f) Población beneficiada estimada;</w:t>
      </w:r>
    </w:p>
    <w:p w14:paraId="4A1D75E9"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g) Monto aprobado, modificado y ejercido, así como los calendarios de su programación</w:t>
      </w:r>
    </w:p>
    <w:p w14:paraId="67413DB0"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presupuestal;</w:t>
      </w:r>
    </w:p>
    <w:p w14:paraId="4CE8852B"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h) Requisitos y procedimientos de acceso;</w:t>
      </w:r>
    </w:p>
    <w:p w14:paraId="0F49A29C"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i) Procedimiento de queja o inconformidad ciudadana;</w:t>
      </w:r>
    </w:p>
    <w:p w14:paraId="16EFE1F0"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j) Mecanismos de exigibilidad;</w:t>
      </w:r>
    </w:p>
    <w:p w14:paraId="0BBB6E8F"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k) Mecanismos e informes de evaluación y seguimiento de recomendaciones;</w:t>
      </w:r>
    </w:p>
    <w:p w14:paraId="308D2A88"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l) Indicadores con nombre, definición, método de cálculo, unidad de medida; dimensión,</w:t>
      </w:r>
    </w:p>
    <w:p w14:paraId="32A5814B"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lastRenderedPageBreak/>
        <w:t>frecuencia de medición, nombre de las bases de datos utilizadas para su cálculo;</w:t>
      </w:r>
    </w:p>
    <w:p w14:paraId="125DE494"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m)Formas de participación social;</w:t>
      </w:r>
    </w:p>
    <w:p w14:paraId="3716BC6F"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n) Articulación con otros programas sociales;</w:t>
      </w:r>
    </w:p>
    <w:p w14:paraId="7E47D0C7"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ñ) Vínculo a las reglas de operación o documento equivalente;</w:t>
      </w:r>
    </w:p>
    <w:p w14:paraId="2421560F"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o) Informes periódicos sobre la ejecución y los resultados de las evaluaciones realizadas; y</w:t>
      </w:r>
    </w:p>
    <w:p w14:paraId="7F425935" w14:textId="3F8A0AAC" w:rsid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r w:rsidRPr="00D72315">
        <w:rPr>
          <w:rFonts w:ascii="Palatino Linotype" w:eastAsia="Palatino Linotype" w:hAnsi="Palatino Linotype" w:cs="Palatino Linotype"/>
          <w:i/>
        </w:rPr>
        <w:t>p) Padrón de beneficiarios mismo que deberá contener los siguientes datos: nombre de la</w:t>
      </w:r>
      <w:r>
        <w:rPr>
          <w:rFonts w:ascii="Palatino Linotype" w:eastAsia="Palatino Linotype" w:hAnsi="Palatino Linotype" w:cs="Palatino Linotype"/>
          <w:i/>
        </w:rPr>
        <w:t xml:space="preserve"> </w:t>
      </w:r>
      <w:r w:rsidRPr="00D72315">
        <w:rPr>
          <w:rFonts w:ascii="Palatino Linotype" w:eastAsia="Palatino Linotype" w:hAnsi="Palatino Linotype" w:cs="Palatino Linotype"/>
          <w:i/>
        </w:rPr>
        <w:t>persona física o denominación social de las personas jurídicas colectivas beneficiadas, el</w:t>
      </w:r>
      <w:r>
        <w:rPr>
          <w:rFonts w:ascii="Palatino Linotype" w:eastAsia="Palatino Linotype" w:hAnsi="Palatino Linotype" w:cs="Palatino Linotype"/>
          <w:i/>
        </w:rPr>
        <w:t xml:space="preserve"> </w:t>
      </w:r>
      <w:r w:rsidRPr="00D72315">
        <w:rPr>
          <w:rFonts w:ascii="Palatino Linotype" w:eastAsia="Palatino Linotype" w:hAnsi="Palatino Linotype" w:cs="Palatino Linotype"/>
          <w:i/>
        </w:rPr>
        <w:t>monto, recurso, beneficio o apoyo otorgado para cada una de ellas, unidad territorial, en</w:t>
      </w:r>
      <w:r>
        <w:rPr>
          <w:rFonts w:ascii="Palatino Linotype" w:eastAsia="Palatino Linotype" w:hAnsi="Palatino Linotype" w:cs="Palatino Linotype"/>
          <w:i/>
        </w:rPr>
        <w:t xml:space="preserve"> </w:t>
      </w:r>
      <w:r w:rsidRPr="00D72315">
        <w:rPr>
          <w:rFonts w:ascii="Palatino Linotype" w:eastAsia="Palatino Linotype" w:hAnsi="Palatino Linotype" w:cs="Palatino Linotype"/>
          <w:i/>
        </w:rPr>
        <w:t>su caso, edad y sexo.</w:t>
      </w:r>
    </w:p>
    <w:p w14:paraId="2DC83E94" w14:textId="77777777" w:rsidR="00D72315" w:rsidRPr="00D72315" w:rsidRDefault="00D72315" w:rsidP="00D72315">
      <w:pPr>
        <w:spacing w:before="120" w:after="120" w:line="360" w:lineRule="auto"/>
        <w:ind w:left="1134" w:right="902"/>
        <w:contextualSpacing/>
        <w:jc w:val="both"/>
        <w:rPr>
          <w:rFonts w:ascii="Palatino Linotype" w:eastAsia="Palatino Linotype" w:hAnsi="Palatino Linotype" w:cs="Palatino Linotype"/>
          <w:i/>
        </w:rPr>
      </w:pPr>
    </w:p>
    <w:p w14:paraId="6704D022" w14:textId="4E6B239F" w:rsidR="004F2352" w:rsidRPr="00EA4DBF" w:rsidRDefault="00DE78D5" w:rsidP="00EA4DBF">
      <w:pPr>
        <w:spacing w:after="0" w:line="360" w:lineRule="auto"/>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 xml:space="preserve">Es así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se procedió a ingresar de manera aleatoria, advirtiéndose que en dichos registros no se puede visualizar el monto y nombre de las personas que hayan recibido alguna condonación por cualquier concepto del día tres de enero de dos mil veintidós, ya que en dicha página únicamente se visualiza información descriptiva general, pero no es posible consultar los documentos solicitados, tal como se advierte a continuación: </w:t>
      </w:r>
    </w:p>
    <w:p w14:paraId="3EB19DC4" w14:textId="77777777" w:rsidR="004F2352" w:rsidRDefault="00DE78D5">
      <w:pPr>
        <w:spacing w:before="240" w:after="24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08C2BFDF" wp14:editId="3247811D">
            <wp:extent cx="5612130" cy="4344035"/>
            <wp:effectExtent l="0" t="0" r="0" b="0"/>
            <wp:docPr id="30" name="image5.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Texto&#10;&#10;Descripción generada automáticamente"/>
                    <pic:cNvPicPr preferRelativeResize="0"/>
                  </pic:nvPicPr>
                  <pic:blipFill>
                    <a:blip r:embed="rId14"/>
                    <a:srcRect/>
                    <a:stretch>
                      <a:fillRect/>
                    </a:stretch>
                  </pic:blipFill>
                  <pic:spPr>
                    <a:xfrm>
                      <a:off x="0" y="0"/>
                      <a:ext cx="5612130" cy="4344035"/>
                    </a:xfrm>
                    <a:prstGeom prst="rect">
                      <a:avLst/>
                    </a:prstGeom>
                    <a:ln/>
                  </pic:spPr>
                </pic:pic>
              </a:graphicData>
            </a:graphic>
          </wp:inline>
        </w:drawing>
      </w:r>
    </w:p>
    <w:p w14:paraId="3EFE33E2" w14:textId="77777777" w:rsidR="004F2352" w:rsidRPr="00546B68" w:rsidRDefault="00DE78D5">
      <w:pPr>
        <w:spacing w:after="0" w:line="360" w:lineRule="auto"/>
        <w:jc w:val="both"/>
        <w:rPr>
          <w:rFonts w:ascii="Palatino Linotype" w:hAnsi="Palatino Linotype"/>
          <w:color w:val="000000"/>
          <w:sz w:val="24"/>
          <w:szCs w:val="24"/>
        </w:rPr>
      </w:pPr>
      <w:r w:rsidRPr="00546B68">
        <w:rPr>
          <w:rFonts w:ascii="Palatino Linotype" w:eastAsia="Palatino Linotype" w:hAnsi="Palatino Linotype" w:cs="Palatino Linotype"/>
          <w:sz w:val="24"/>
          <w:szCs w:val="24"/>
        </w:rPr>
        <w:t xml:space="preserve">Por lo que se estima que </w:t>
      </w:r>
      <w:r w:rsidRPr="00546B68">
        <w:rPr>
          <w:rFonts w:ascii="Palatino Linotype" w:eastAsia="Palatino Linotype" w:hAnsi="Palatino Linotype" w:cs="Palatino Linotype"/>
          <w:color w:val="000000"/>
          <w:sz w:val="24"/>
          <w:szCs w:val="24"/>
        </w:rPr>
        <w:t>la fuente proporcionada no cumple con lo señalado en el artículo 161</w:t>
      </w:r>
      <w:r w:rsidRPr="00546B68">
        <w:rPr>
          <w:sz w:val="24"/>
          <w:szCs w:val="24"/>
        </w:rPr>
        <w:t xml:space="preserve"> </w:t>
      </w:r>
      <w:r w:rsidRPr="00546B68">
        <w:rPr>
          <w:rFonts w:ascii="Palatino Linotype" w:eastAsia="Palatino Linotype" w:hAnsi="Palatino Linotype" w:cs="Palatino Linotype"/>
          <w:color w:val="000000"/>
          <w:sz w:val="24"/>
          <w:szCs w:val="24"/>
        </w:rPr>
        <w:t>de la de Transparencia y Acceso a la Información Pública del Estado de México y Municipios</w:t>
      </w:r>
      <w:r w:rsidR="00546B68" w:rsidRPr="00546B68">
        <w:rPr>
          <w:rFonts w:ascii="Palatino Linotype" w:eastAsia="Palatino Linotype" w:hAnsi="Palatino Linotype" w:cs="Palatino Linotype"/>
          <w:color w:val="000000"/>
          <w:sz w:val="24"/>
          <w:szCs w:val="24"/>
        </w:rPr>
        <w:t xml:space="preserve"> al no advertirse la información </w:t>
      </w:r>
      <w:proofErr w:type="gramStart"/>
      <w:r w:rsidR="00546B68" w:rsidRPr="00546B68">
        <w:rPr>
          <w:rFonts w:ascii="Palatino Linotype" w:eastAsia="Palatino Linotype" w:hAnsi="Palatino Linotype" w:cs="Palatino Linotype"/>
          <w:color w:val="000000"/>
          <w:sz w:val="24"/>
          <w:szCs w:val="24"/>
        </w:rPr>
        <w:t xml:space="preserve">solicitada, </w:t>
      </w:r>
      <w:r w:rsidRPr="00546B68">
        <w:rPr>
          <w:rFonts w:ascii="Palatino Linotype" w:eastAsia="Palatino Linotype" w:hAnsi="Palatino Linotype" w:cs="Palatino Linotype"/>
          <w:color w:val="000000"/>
          <w:sz w:val="24"/>
          <w:szCs w:val="24"/>
        </w:rPr>
        <w:t xml:space="preserve"> </w:t>
      </w:r>
      <w:r w:rsidR="00546B68" w:rsidRPr="00546B68">
        <w:rPr>
          <w:rFonts w:ascii="Palatino Linotype" w:hAnsi="Palatino Linotype"/>
          <w:color w:val="000000"/>
          <w:sz w:val="24"/>
          <w:szCs w:val="24"/>
        </w:rPr>
        <w:t>aunado</w:t>
      </w:r>
      <w:proofErr w:type="gramEnd"/>
      <w:r w:rsidR="00546B68" w:rsidRPr="00546B68">
        <w:rPr>
          <w:rFonts w:ascii="Palatino Linotype" w:hAnsi="Palatino Linotype"/>
          <w:color w:val="000000"/>
          <w:sz w:val="24"/>
          <w:szCs w:val="24"/>
        </w:rPr>
        <w:t xml:space="preserve"> al hecho de que dicha prerrogativa debe ejercerse dentro de los primeros cinco días hábiles posteriores a la recepción de la solicitud, situación que tampoco se observó. </w:t>
      </w:r>
    </w:p>
    <w:p w14:paraId="39192A1C" w14:textId="77777777" w:rsidR="00546B68" w:rsidRDefault="00546B68">
      <w:pPr>
        <w:spacing w:after="0" w:line="360" w:lineRule="auto"/>
        <w:jc w:val="both"/>
        <w:rPr>
          <w:rFonts w:ascii="Palatino Linotype" w:eastAsia="Palatino Linotype" w:hAnsi="Palatino Linotype" w:cs="Palatino Linotype"/>
          <w:sz w:val="24"/>
          <w:szCs w:val="24"/>
        </w:rPr>
      </w:pPr>
    </w:p>
    <w:p w14:paraId="1571592E" w14:textId="77777777" w:rsidR="004F2352" w:rsidRDefault="00DE78D5">
      <w:pPr>
        <w:spacing w:after="0" w:line="360" w:lineRule="auto"/>
        <w:jc w:val="both"/>
        <w:rPr>
          <w:rFonts w:ascii="Palatino Linotype" w:eastAsia="Palatino Linotype" w:hAnsi="Palatino Linotype" w:cs="Palatino Linotype"/>
          <w:color w:val="000000"/>
          <w:sz w:val="24"/>
          <w:szCs w:val="24"/>
          <w:highlight w:val="cyan"/>
        </w:rPr>
      </w:pPr>
      <w:r>
        <w:rPr>
          <w:rFonts w:ascii="Palatino Linotype" w:eastAsia="Palatino Linotype" w:hAnsi="Palatino Linotype" w:cs="Palatino Linotype"/>
          <w:sz w:val="24"/>
          <w:szCs w:val="24"/>
        </w:rPr>
        <w:lastRenderedPageBreak/>
        <w:t>Asimismo,</w:t>
      </w:r>
      <w:r>
        <w:rPr>
          <w:rFonts w:ascii="Palatino Linotype" w:eastAsia="Palatino Linotype" w:hAnsi="Palatino Linotype" w:cs="Palatino Linotype"/>
          <w:color w:val="000000"/>
          <w:sz w:val="24"/>
          <w:szCs w:val="24"/>
        </w:rPr>
        <w:t xml:space="preserve"> se advierte que la respuesta a la solicitud de información fue proporcionada por el Servidor Público Habilitado Competente, toda vez que la Dirección de Comercialización tiene entre sus facultades y atribuciones, de conformidad con lo señalado en la siguiente normatividad:</w:t>
      </w:r>
    </w:p>
    <w:p w14:paraId="3876E77E" w14:textId="77777777" w:rsidR="004F2352" w:rsidRDefault="004F2352">
      <w:pPr>
        <w:spacing w:after="0" w:line="360" w:lineRule="auto"/>
        <w:jc w:val="both"/>
        <w:rPr>
          <w:rFonts w:ascii="Palatino Linotype" w:eastAsia="Palatino Linotype" w:hAnsi="Palatino Linotype" w:cs="Palatino Linotype"/>
          <w:color w:val="000000"/>
          <w:sz w:val="24"/>
          <w:szCs w:val="24"/>
          <w:highlight w:val="cyan"/>
        </w:rPr>
      </w:pPr>
    </w:p>
    <w:p w14:paraId="449BA5F0" w14:textId="77777777" w:rsidR="004F2352" w:rsidRDefault="00DE78D5">
      <w:pPr>
        <w:spacing w:after="240" w:line="276" w:lineRule="auto"/>
        <w:ind w:left="851" w:right="900"/>
        <w:jc w:val="both"/>
        <w:rPr>
          <w:rFonts w:ascii="Palatino Linotype" w:eastAsia="Palatino Linotype" w:hAnsi="Palatino Linotype" w:cs="Palatino Linotype"/>
          <w:b/>
          <w:i/>
          <w:color w:val="000000"/>
          <w:highlight w:val="cyan"/>
        </w:rPr>
      </w:pPr>
      <w:r>
        <w:rPr>
          <w:rFonts w:ascii="Palatino Linotype" w:eastAsia="Palatino Linotype" w:hAnsi="Palatino Linotype" w:cs="Palatino Linotype"/>
          <w:b/>
          <w:i/>
          <w:color w:val="000000"/>
        </w:rPr>
        <w:t>MANUAL DE ORGANIZACIÓN DEL ORGANISMO PÚBLICO DESCENTRALIZADO PARA LA PRESTACIÓN DE LOS SERVICIOS DE AGUA POTABLE, ALCANTARILLADO Y SANEAMIENTO (OPDAPAS) DE METEPEC</w:t>
      </w:r>
    </w:p>
    <w:p w14:paraId="2239C7E0" w14:textId="77777777" w:rsidR="004F2352" w:rsidRDefault="00DE78D5">
      <w:pPr>
        <w:spacing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1.3. DIRECCIÓN DE COMERCIALIZACIÓN:</w:t>
      </w:r>
    </w:p>
    <w:p w14:paraId="1DB58E21" w14:textId="77777777" w:rsidR="004F2352" w:rsidRDefault="00DE78D5">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OBJETIVO: Establecer, </w:t>
      </w:r>
      <w:r>
        <w:rPr>
          <w:rFonts w:ascii="Palatino Linotype" w:eastAsia="Palatino Linotype" w:hAnsi="Palatino Linotype" w:cs="Palatino Linotype"/>
          <w:i/>
          <w:color w:val="000000"/>
          <w:u w:val="single"/>
        </w:rPr>
        <w:t>coordinar y evaluar las acciones necesarias para realizar el cobro de derechos por concepto de suministro de agua potable, drenaje, alcantarillado y recepción de los caudales de aguas residuales para su tratamiento o manejo y conducción y recolección de aguas residuales</w:t>
      </w:r>
      <w:r>
        <w:rPr>
          <w:rFonts w:ascii="Palatino Linotype" w:eastAsia="Palatino Linotype" w:hAnsi="Palatino Linotype" w:cs="Palatino Linotype"/>
          <w:i/>
          <w:color w:val="000000"/>
        </w:rPr>
        <w:t>; establecer y controlar las normas, lineamientos y políticas para el servicio de agua potable y drenaje en el Municipio, considerando las políticas Estatales, a fin de coadyuvar en la atención y solución a los problemas que se presenten en beneficio de los usuarios;</w:t>
      </w:r>
    </w:p>
    <w:p w14:paraId="591A52D7" w14:textId="77777777" w:rsidR="004F2352" w:rsidRDefault="00DE78D5">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FUNCIONES:</w:t>
      </w:r>
    </w:p>
    <w:p w14:paraId="61E8ED8D" w14:textId="77777777" w:rsidR="004F2352" w:rsidRDefault="00DE78D5">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 </w:t>
      </w:r>
      <w:r>
        <w:rPr>
          <w:rFonts w:ascii="Palatino Linotype" w:eastAsia="Palatino Linotype" w:hAnsi="Palatino Linotype" w:cs="Palatino Linotype"/>
          <w:i/>
          <w:color w:val="000000"/>
          <w:u w:val="single"/>
        </w:rPr>
        <w:t>Dirigir y supervisar la elaboración anual del estudio de tarifas por el suministro del Servicio de Agua Potable, Drenaje, Alcantarillado y recepción de los caudales de Aguas Residuales para su tratamiento y recolección de Aguas Residuales</w:t>
      </w:r>
      <w:r>
        <w:rPr>
          <w:rFonts w:ascii="Palatino Linotype" w:eastAsia="Palatino Linotype" w:hAnsi="Palatino Linotype" w:cs="Palatino Linotype"/>
          <w:i/>
          <w:color w:val="000000"/>
        </w:rPr>
        <w:t xml:space="preserve">, según lo establecido por el Código Financiero del Estado de México y presentarlo al </w:t>
      </w:r>
      <w:proofErr w:type="gramStart"/>
      <w:r>
        <w:rPr>
          <w:rFonts w:ascii="Palatino Linotype" w:eastAsia="Palatino Linotype" w:hAnsi="Palatino Linotype" w:cs="Palatino Linotype"/>
          <w:i/>
          <w:color w:val="000000"/>
        </w:rPr>
        <w:t>Director General</w:t>
      </w:r>
      <w:proofErr w:type="gramEnd"/>
      <w:r>
        <w:rPr>
          <w:rFonts w:ascii="Palatino Linotype" w:eastAsia="Palatino Linotype" w:hAnsi="Palatino Linotype" w:cs="Palatino Linotype"/>
          <w:i/>
          <w:color w:val="000000"/>
        </w:rPr>
        <w:t xml:space="preserve"> del Organismo con informe al Director de Administración y Finanzas para lo conducente.</w:t>
      </w:r>
      <w:r>
        <w:rPr>
          <w:rFonts w:ascii="Palatino Linotype" w:eastAsia="Palatino Linotype" w:hAnsi="Palatino Linotype" w:cs="Palatino Linotype"/>
          <w:i/>
          <w:color w:val="000000"/>
        </w:rPr>
        <w:br/>
        <w:t>(…)</w:t>
      </w:r>
    </w:p>
    <w:p w14:paraId="3FEE2632" w14:textId="77777777" w:rsidR="004F2352" w:rsidRDefault="00DE78D5">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15</w:t>
      </w:r>
      <w:r>
        <w:rPr>
          <w:rFonts w:ascii="Palatino Linotype" w:eastAsia="Palatino Linotype" w:hAnsi="Palatino Linotype" w:cs="Palatino Linotype"/>
          <w:i/>
          <w:u w:val="single"/>
        </w:rPr>
        <w:t>. Fomentar el uso y pago del agua</w:t>
      </w:r>
      <w:r>
        <w:rPr>
          <w:rFonts w:ascii="Palatino Linotype" w:eastAsia="Palatino Linotype" w:hAnsi="Palatino Linotype" w:cs="Palatino Linotype"/>
          <w:i/>
        </w:rPr>
        <w:t xml:space="preserve"> a través de actividades relacionadas al Departamento de Cultura del Agua.</w:t>
      </w:r>
    </w:p>
    <w:p w14:paraId="2E3C1C30" w14:textId="77777777" w:rsidR="004F2352" w:rsidRDefault="00DE78D5">
      <w:pPr>
        <w:spacing w:before="240" w:after="240" w:line="276"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REGLAMENTO INTERIOR DEL ORGANISMO PÚBLICO DESCENTRALIZADO PARA LA PRESTACIÓN DE LOS SERVICIOS DE AGUA POTABLE, ALCANTARILLADO Y SANEAMIENTO DEL MUNICIPIO DE METEPEC.</w:t>
      </w:r>
    </w:p>
    <w:p w14:paraId="531236FA" w14:textId="77777777" w:rsidR="004F2352" w:rsidRDefault="00DE78D5">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59. La Dirección de Comercialización tendrá las siguientes atribuciones:</w:t>
      </w:r>
    </w:p>
    <w:p w14:paraId="7CD3F0FB" w14:textId="77777777" w:rsidR="004F2352" w:rsidRDefault="00DE78D5">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9D0B70E" w14:textId="77777777" w:rsidR="004F2352" w:rsidRDefault="00DE78D5">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w:t>
      </w:r>
      <w:r>
        <w:rPr>
          <w:rFonts w:ascii="Palatino Linotype" w:eastAsia="Palatino Linotype" w:hAnsi="Palatino Linotype" w:cs="Palatino Linotype"/>
          <w:i/>
          <w:color w:val="000000"/>
          <w:u w:val="single"/>
        </w:rPr>
        <w:t>Supervisar y dirigir la ejecución de los diversos programas y acciones tendientes a reducir el rezago en el pago</w:t>
      </w:r>
      <w:r>
        <w:rPr>
          <w:rFonts w:ascii="Palatino Linotype" w:eastAsia="Palatino Linotype" w:hAnsi="Palatino Linotype" w:cs="Palatino Linotype"/>
          <w:i/>
          <w:color w:val="000000"/>
        </w:rPr>
        <w:t xml:space="preserve"> de derechos por suministro de agua potable y drenaje</w:t>
      </w:r>
    </w:p>
    <w:p w14:paraId="070B8741" w14:textId="77777777" w:rsidR="004F2352" w:rsidRDefault="00DE78D5">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w:t>
      </w:r>
    </w:p>
    <w:p w14:paraId="6050830E" w14:textId="77777777" w:rsidR="004F2352" w:rsidRDefault="00DE78D5">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VII. </w:t>
      </w:r>
      <w:r>
        <w:rPr>
          <w:rFonts w:ascii="Palatino Linotype" w:eastAsia="Palatino Linotype" w:hAnsi="Palatino Linotype" w:cs="Palatino Linotype"/>
          <w:i/>
          <w:color w:val="000000"/>
          <w:u w:val="single"/>
        </w:rPr>
        <w:t xml:space="preserve">Innovar y proponer a la Dirección General distintos programas y políticas para alcanzar los objetivos de recaudación </w:t>
      </w:r>
      <w:r>
        <w:rPr>
          <w:rFonts w:ascii="Palatino Linotype" w:eastAsia="Palatino Linotype" w:hAnsi="Palatino Linotype" w:cs="Palatino Linotype"/>
          <w:i/>
          <w:color w:val="000000"/>
        </w:rPr>
        <w:t>de la Dirección, a fin de disminuir el rezago.</w:t>
      </w:r>
    </w:p>
    <w:p w14:paraId="0BC0A401" w14:textId="77777777" w:rsidR="004F2352" w:rsidRPr="00546B68" w:rsidRDefault="00DE78D5">
      <w:pPr>
        <w:spacing w:before="240" w:after="0" w:line="360" w:lineRule="auto"/>
        <w:jc w:val="both"/>
        <w:rPr>
          <w:rFonts w:ascii="Palatino Linotype" w:eastAsia="Palatino Linotype" w:hAnsi="Palatino Linotype" w:cs="Palatino Linotype"/>
          <w:color w:val="000000"/>
          <w:sz w:val="24"/>
          <w:szCs w:val="24"/>
        </w:rPr>
      </w:pPr>
      <w:r w:rsidRPr="00546B68">
        <w:rPr>
          <w:rFonts w:ascii="Palatino Linotype" w:eastAsia="Palatino Linotype" w:hAnsi="Palatino Linotype" w:cs="Palatino Linotype"/>
          <w:color w:val="000000"/>
          <w:sz w:val="24"/>
          <w:szCs w:val="24"/>
        </w:rPr>
        <w:t xml:space="preserve">Conforme a lo anterior se observa que la Dirección de Comercialización del Organismo Público Descentralizado para la Prestación de los Servicios de Agua Potable, Alcantarillado y Saneamiento (OPDAPAS) de Metepec, establece, coordina, y evalúa las acciones necesarias para realizar el cobro de derechos con la elaboración anual del estudio de tarifas, por lo que supervisa y dirige la ejecución de los diversos programas y acciones tendientes a reducir el rezago en el pago innovando y proponiendo distintos programas y políticas para alcanzar los objetivos de </w:t>
      </w:r>
      <w:r w:rsidRPr="00546B68">
        <w:rPr>
          <w:rFonts w:ascii="Palatino Linotype" w:eastAsia="Palatino Linotype" w:hAnsi="Palatino Linotype" w:cs="Palatino Linotype"/>
          <w:color w:val="000000"/>
          <w:sz w:val="24"/>
          <w:szCs w:val="24"/>
        </w:rPr>
        <w:lastRenderedPageBreak/>
        <w:t>recaudación, lo que le conlleva a realizar activ</w:t>
      </w:r>
      <w:r w:rsidR="00546B68" w:rsidRPr="00546B68">
        <w:rPr>
          <w:rFonts w:ascii="Palatino Linotype" w:eastAsia="Palatino Linotype" w:hAnsi="Palatino Linotype" w:cs="Palatino Linotype"/>
          <w:color w:val="000000"/>
          <w:sz w:val="24"/>
          <w:szCs w:val="24"/>
        </w:rPr>
        <w:t xml:space="preserve">idades por el pago de servicios, por lo cual en efecto puede conocer la información relacionada de la condonación que por cualquier concepto se haya otorgado. </w:t>
      </w:r>
    </w:p>
    <w:p w14:paraId="78606DC3" w14:textId="77777777" w:rsidR="00546B68" w:rsidRPr="00546B68" w:rsidRDefault="00546B68">
      <w:pPr>
        <w:spacing w:before="240" w:after="0" w:line="360" w:lineRule="auto"/>
        <w:jc w:val="both"/>
        <w:rPr>
          <w:rFonts w:ascii="Palatino Linotype" w:eastAsia="Palatino Linotype" w:hAnsi="Palatino Linotype" w:cs="Palatino Linotype"/>
          <w:color w:val="000000"/>
          <w:sz w:val="24"/>
          <w:szCs w:val="24"/>
        </w:rPr>
      </w:pPr>
      <w:r w:rsidRPr="00546B68">
        <w:rPr>
          <w:rFonts w:ascii="Palatino Linotype" w:eastAsia="Palatino Linotype" w:hAnsi="Palatino Linotype" w:cs="Palatino Linotype"/>
          <w:color w:val="000000"/>
          <w:sz w:val="24"/>
          <w:szCs w:val="24"/>
        </w:rPr>
        <w:t xml:space="preserve">Aunado al hecho de que el Sujeto Obligado </w:t>
      </w:r>
      <w:r w:rsidRPr="00546B68">
        <w:rPr>
          <w:rFonts w:ascii="Palatino Linotype" w:hAnsi="Palatino Linotype"/>
          <w:color w:val="000000"/>
          <w:sz w:val="24"/>
          <w:szCs w:val="24"/>
        </w:rPr>
        <w:t xml:space="preserve">ha reconocido de forma expresa que cuenta con la información solicitada al remitir a la página electrónica antes señalada. </w:t>
      </w:r>
    </w:p>
    <w:p w14:paraId="265FC2E9" w14:textId="77777777" w:rsidR="00546B68" w:rsidRPr="00546B68" w:rsidRDefault="00DE78D5">
      <w:pPr>
        <w:spacing w:after="0" w:line="360" w:lineRule="auto"/>
        <w:jc w:val="both"/>
        <w:rPr>
          <w:rFonts w:ascii="Palatino Linotype" w:eastAsia="Palatino Linotype" w:hAnsi="Palatino Linotype" w:cs="Palatino Linotype"/>
          <w:color w:val="000000"/>
          <w:sz w:val="24"/>
          <w:szCs w:val="24"/>
        </w:rPr>
      </w:pPr>
      <w:r w:rsidRPr="00546B68">
        <w:rPr>
          <w:rFonts w:ascii="Palatino Linotype" w:eastAsia="Palatino Linotype" w:hAnsi="Palatino Linotype" w:cs="Palatino Linotype"/>
          <w:color w:val="000000"/>
          <w:sz w:val="24"/>
          <w:szCs w:val="24"/>
        </w:rPr>
        <w:t xml:space="preserve"> </w:t>
      </w:r>
    </w:p>
    <w:p w14:paraId="42C51BDE" w14:textId="77777777" w:rsidR="004F2352" w:rsidRPr="00546B68" w:rsidRDefault="00DE78D5">
      <w:pPr>
        <w:spacing w:after="0" w:line="360" w:lineRule="auto"/>
        <w:jc w:val="both"/>
        <w:rPr>
          <w:rFonts w:ascii="Palatino Linotype" w:eastAsia="Palatino Linotype" w:hAnsi="Palatino Linotype" w:cs="Palatino Linotype"/>
          <w:color w:val="000000"/>
          <w:sz w:val="24"/>
          <w:szCs w:val="24"/>
        </w:rPr>
      </w:pPr>
      <w:r w:rsidRPr="00546B68">
        <w:rPr>
          <w:rFonts w:ascii="Palatino Linotype" w:eastAsia="Palatino Linotype" w:hAnsi="Palatino Linotype" w:cs="Palatino Linotype"/>
          <w:color w:val="000000"/>
          <w:sz w:val="24"/>
          <w:szCs w:val="24"/>
        </w:rPr>
        <w:t>Razones por las cuales lo procedente, es ordenar la entrega de los documentos donde consten monto y nombre de las personas que hayan recibido alguna cond</w:t>
      </w:r>
      <w:r w:rsidR="00546B68" w:rsidRPr="00546B68">
        <w:rPr>
          <w:rFonts w:ascii="Palatino Linotype" w:eastAsia="Palatino Linotype" w:hAnsi="Palatino Linotype" w:cs="Palatino Linotype"/>
          <w:color w:val="000000"/>
          <w:sz w:val="24"/>
          <w:szCs w:val="24"/>
        </w:rPr>
        <w:t xml:space="preserve">onación por cualquier concepto </w:t>
      </w:r>
      <w:r w:rsidRPr="00546B68">
        <w:rPr>
          <w:rFonts w:ascii="Palatino Linotype" w:eastAsia="Palatino Linotype" w:hAnsi="Palatino Linotype" w:cs="Palatino Linotype"/>
          <w:color w:val="000000"/>
          <w:sz w:val="24"/>
          <w:szCs w:val="24"/>
        </w:rPr>
        <w:t xml:space="preserve">el día tres de enero de dos mil veintidós con los que cuenta el </w:t>
      </w:r>
      <w:r w:rsidRPr="00546B68">
        <w:rPr>
          <w:rFonts w:ascii="Palatino Linotype" w:eastAsia="Palatino Linotype" w:hAnsi="Palatino Linotype" w:cs="Palatino Linotype"/>
          <w:b/>
          <w:color w:val="000000"/>
          <w:sz w:val="24"/>
          <w:szCs w:val="24"/>
        </w:rPr>
        <w:t>SUJETO OBLIGADO</w:t>
      </w:r>
      <w:r w:rsidRPr="00546B68">
        <w:rPr>
          <w:rFonts w:ascii="Palatino Linotype" w:eastAsia="Palatino Linotype" w:hAnsi="Palatino Linotype" w:cs="Palatino Linotype"/>
          <w:color w:val="000000"/>
          <w:sz w:val="24"/>
          <w:szCs w:val="24"/>
        </w:rPr>
        <w:t>, de ser procedente en versión pública en atención a lo señalado en el considerando quinto del presente fallo.</w:t>
      </w:r>
    </w:p>
    <w:p w14:paraId="1ECAE878" w14:textId="77777777" w:rsidR="004F2352" w:rsidRDefault="004F2352">
      <w:pPr>
        <w:spacing w:after="0" w:line="360" w:lineRule="auto"/>
        <w:jc w:val="both"/>
        <w:rPr>
          <w:rFonts w:ascii="Palatino Linotype" w:eastAsia="Palatino Linotype" w:hAnsi="Palatino Linotype" w:cs="Palatino Linotype"/>
          <w:color w:val="000000"/>
          <w:sz w:val="24"/>
          <w:szCs w:val="24"/>
        </w:rPr>
      </w:pPr>
    </w:p>
    <w:p w14:paraId="69450EBF" w14:textId="77777777" w:rsidR="004F2352" w:rsidRDefault="00DE78D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w:t>
      </w:r>
      <w:r>
        <w:rPr>
          <w:rFonts w:ascii="Palatino Linotype" w:eastAsia="Palatino Linotype" w:hAnsi="Palatino Linotype" w:cs="Palatino Linotype"/>
          <w:sz w:val="24"/>
          <w:szCs w:val="24"/>
        </w:rPr>
        <w:lastRenderedPageBreak/>
        <w:t>instaurar procedimientos de responsabilidad administrativa, no obstante, se dejan a salvo sus derechos para que en caso de considerarlo oportuno a sus intereses, ejerza dicha acción ante las instancias correspondientes.</w:t>
      </w:r>
    </w:p>
    <w:p w14:paraId="19539659" w14:textId="77777777" w:rsidR="004F2352" w:rsidRDefault="004F2352">
      <w:pPr>
        <w:spacing w:after="0" w:line="360" w:lineRule="auto"/>
        <w:jc w:val="both"/>
        <w:rPr>
          <w:rFonts w:ascii="Palatino Linotype" w:eastAsia="Palatino Linotype" w:hAnsi="Palatino Linotype" w:cs="Palatino Linotype"/>
          <w:sz w:val="24"/>
          <w:szCs w:val="24"/>
        </w:rPr>
      </w:pPr>
    </w:p>
    <w:p w14:paraId="36BB8975" w14:textId="77777777" w:rsidR="004F2352" w:rsidRDefault="00DE78D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respecto de los motivos de inconformidad en donde señaló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w:t>
      </w:r>
      <w:r>
        <w:rPr>
          <w:rFonts w:ascii="Palatino Linotype" w:eastAsia="Palatino Linotype" w:hAnsi="Palatino Linotype" w:cs="Palatino Linotype"/>
          <w:i/>
          <w:color w:val="000000"/>
          <w:sz w:val="24"/>
          <w:szCs w:val="24"/>
        </w:rPr>
        <w:t xml:space="preserve">La respuesta proporcionada por el Sujeto Obligado, mencionan no haber recibido oficios en </w:t>
      </w:r>
      <w:proofErr w:type="spellStart"/>
      <w:r>
        <w:rPr>
          <w:rFonts w:ascii="Palatino Linotype" w:eastAsia="Palatino Linotype" w:hAnsi="Palatino Linotype" w:cs="Palatino Linotype"/>
          <w:i/>
          <w:color w:val="000000"/>
          <w:sz w:val="24"/>
          <w:szCs w:val="24"/>
        </w:rPr>
        <w:t>está</w:t>
      </w:r>
      <w:proofErr w:type="spellEnd"/>
      <w:r>
        <w:rPr>
          <w:rFonts w:ascii="Palatino Linotype" w:eastAsia="Palatino Linotype" w:hAnsi="Palatino Linotype" w:cs="Palatino Linotype"/>
          <w:i/>
          <w:color w:val="000000"/>
          <w:sz w:val="24"/>
          <w:szCs w:val="24"/>
        </w:rPr>
        <w:t xml:space="preserve"> fecha sin embargo en otra solicitud suben un archivo correspondiente a ese día, lo cual hace evidente la falta de interés en realizar la búsqueda exhaustiva de la documentación relativo a las solicitudes que reciben” (Sic), </w:t>
      </w:r>
      <w:r>
        <w:rPr>
          <w:rFonts w:ascii="Palatino Linotype" w:eastAsia="Palatino Linotype" w:hAnsi="Palatino Linotype" w:cs="Palatino Linotype"/>
          <w:color w:val="000000"/>
          <w:sz w:val="24"/>
          <w:szCs w:val="24"/>
        </w:rPr>
        <w:t xml:space="preserve">se observa que se </w:t>
      </w:r>
      <w:r w:rsidR="00546B68">
        <w:rPr>
          <w:rFonts w:ascii="Palatino Linotype" w:eastAsia="Palatino Linotype" w:hAnsi="Palatino Linotype" w:cs="Palatino Linotype"/>
          <w:color w:val="000000"/>
          <w:sz w:val="24"/>
          <w:szCs w:val="24"/>
        </w:rPr>
        <w:t xml:space="preserve">inconforma </w:t>
      </w:r>
      <w:r>
        <w:rPr>
          <w:rFonts w:ascii="Palatino Linotype" w:eastAsia="Palatino Linotype" w:hAnsi="Palatino Linotype" w:cs="Palatino Linotype"/>
          <w:color w:val="000000"/>
          <w:sz w:val="24"/>
          <w:szCs w:val="24"/>
        </w:rPr>
        <w:t xml:space="preserve">de unos oficios; sin embargo, la materia de la presente solicitud de accesos a la información es conocer el monto y nombre de las personas que hayan recibido alguna condonación por cualquier concepto del día tres de enero de dos mil veintidós, </w:t>
      </w:r>
      <w:r>
        <w:rPr>
          <w:rFonts w:ascii="Palatino Linotype" w:eastAsia="Palatino Linotype" w:hAnsi="Palatino Linotype" w:cs="Palatino Linotype"/>
          <w:sz w:val="24"/>
          <w:szCs w:val="24"/>
        </w:rPr>
        <w:t xml:space="preserve">es decir, dichos motivos de inconformidad no son acordes con lo solicitado y lo entregado en respuesta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color w:val="000000"/>
          <w:sz w:val="24"/>
          <w:szCs w:val="24"/>
        </w:rPr>
        <w:t xml:space="preserve">, por lo que, este Organismo Garante determina que esa parte de los motivos de inconformidad son inoperantes en términos de lo señalado por la fracción IV del artículo </w:t>
      </w:r>
      <w:r>
        <w:rPr>
          <w:rFonts w:ascii="Palatino Linotype" w:eastAsia="Palatino Linotype" w:hAnsi="Palatino Linotype" w:cs="Palatino Linotype"/>
          <w:sz w:val="24"/>
          <w:szCs w:val="24"/>
        </w:rPr>
        <w:t>192 de la Ley de Transparencia y Acceso a información Pública del Estado de México y Municipios, que disponen lo siguiente:</w:t>
      </w:r>
    </w:p>
    <w:p w14:paraId="53951F06" w14:textId="77777777" w:rsidR="004F2352" w:rsidRDefault="004F2352">
      <w:pPr>
        <w:spacing w:after="0" w:line="360" w:lineRule="auto"/>
        <w:jc w:val="both"/>
        <w:rPr>
          <w:rFonts w:ascii="Palatino Linotype" w:eastAsia="Palatino Linotype" w:hAnsi="Palatino Linotype" w:cs="Palatino Linotype"/>
          <w:sz w:val="24"/>
          <w:szCs w:val="24"/>
        </w:rPr>
      </w:pPr>
    </w:p>
    <w:p w14:paraId="1AD41B00" w14:textId="77777777" w:rsidR="004F2352" w:rsidRDefault="00DE78D5">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191.</w:t>
      </w:r>
      <w:r>
        <w:rPr>
          <w:rFonts w:ascii="Palatino Linotype" w:eastAsia="Palatino Linotype" w:hAnsi="Palatino Linotype" w:cs="Palatino Linotype"/>
          <w:i/>
        </w:rPr>
        <w:t xml:space="preserve"> El recurso será </w:t>
      </w:r>
      <w:r>
        <w:rPr>
          <w:rFonts w:ascii="Palatino Linotype" w:eastAsia="Palatino Linotype" w:hAnsi="Palatino Linotype" w:cs="Palatino Linotype"/>
          <w:i/>
          <w:u w:val="single"/>
        </w:rPr>
        <w:t>desechado</w:t>
      </w:r>
      <w:r>
        <w:rPr>
          <w:rFonts w:ascii="Palatino Linotype" w:eastAsia="Palatino Linotype" w:hAnsi="Palatino Linotype" w:cs="Palatino Linotype"/>
          <w:i/>
        </w:rPr>
        <w:t xml:space="preserve"> por improcedente cuando:</w:t>
      </w:r>
    </w:p>
    <w:p w14:paraId="561C7F1A" w14:textId="77777777" w:rsidR="004F2352" w:rsidRDefault="00DE78D5">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E44F9D0" w14:textId="77777777" w:rsidR="004F2352" w:rsidRDefault="00DE78D5">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No actualice alguno de los supuestos previstos en la presente Ley…” (Sic)</w:t>
      </w:r>
    </w:p>
    <w:p w14:paraId="78CEFEDB" w14:textId="77777777" w:rsidR="004F2352" w:rsidRDefault="00DE78D5">
      <w:pPr>
        <w:spacing w:after="24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QUINTO. VERSIÓN PÚBLICA.</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38140EB2"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484954F"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14:paraId="1D60DEF4"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855F5CF"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4C3BE66"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646C0B5F"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FFD1DD2"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C6DC0C1"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988802F"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4AA5D45"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14:paraId="46C903DF"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28A659C1"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10CE0F7E"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14:paraId="4C350819"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984912F"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DC27357"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7CFC473"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8B01C36"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27371272"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La información confidencial no estará sujeta a temporalidad alguna y sólo podrán tener acceso a ella los titulares de </w:t>
      </w:r>
      <w:proofErr w:type="gramStart"/>
      <w:r>
        <w:rPr>
          <w:rFonts w:ascii="Palatino Linotype" w:eastAsia="Palatino Linotype" w:hAnsi="Palatino Linotype" w:cs="Palatino Linotype"/>
          <w:i/>
        </w:rPr>
        <w:t>la misma</w:t>
      </w:r>
      <w:proofErr w:type="gramEnd"/>
      <w:r>
        <w:rPr>
          <w:rFonts w:ascii="Palatino Linotype" w:eastAsia="Palatino Linotype" w:hAnsi="Palatino Linotype" w:cs="Palatino Linotype"/>
          <w:i/>
        </w:rPr>
        <w:t>, sus representantes y los servidores públicos facultados para ello.</w:t>
      </w:r>
    </w:p>
    <w:p w14:paraId="06CB5631"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14:paraId="41B640CF" w14:textId="77777777" w:rsidR="004F2352" w:rsidRDefault="00DE78D5">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7E12915" w14:textId="77777777" w:rsidR="004F2352" w:rsidRDefault="004F2352">
      <w:pPr>
        <w:spacing w:after="0" w:line="360" w:lineRule="auto"/>
        <w:jc w:val="both"/>
        <w:rPr>
          <w:rFonts w:ascii="Palatino Linotype" w:eastAsia="Palatino Linotype" w:hAnsi="Palatino Linotype" w:cs="Palatino Linotype"/>
          <w:sz w:val="24"/>
          <w:szCs w:val="24"/>
        </w:rPr>
      </w:pPr>
    </w:p>
    <w:p w14:paraId="63F1C2F9" w14:textId="77777777" w:rsidR="004F2352" w:rsidRDefault="00DE78D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4CD1BB13" w14:textId="77777777" w:rsidR="004F2352" w:rsidRDefault="00DE78D5">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xml:space="preserve">. La versión pública del documento o expediente que contenga partes o secciones reservadas o </w:t>
      </w:r>
      <w:proofErr w:type="gramStart"/>
      <w:r>
        <w:rPr>
          <w:rFonts w:ascii="Palatino Linotype" w:eastAsia="Palatino Linotype" w:hAnsi="Palatino Linotype" w:cs="Palatino Linotype"/>
          <w:i/>
        </w:rPr>
        <w:t>confidenciales,</w:t>
      </w:r>
      <w:proofErr w:type="gramEnd"/>
      <w:r>
        <w:rPr>
          <w:rFonts w:ascii="Palatino Linotype" w:eastAsia="Palatino Linotype" w:hAnsi="Palatino Linotype" w:cs="Palatino Linotype"/>
          <w:i/>
        </w:rPr>
        <w:t xml:space="preserve"> será elaborada por los sujetos obligados, previo pago de los costos de reproducción, a través de sus áreas y deberá ser aprobada por su Comité de Transparencia</w:t>
      </w:r>
    </w:p>
    <w:p w14:paraId="2502A1F8"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14:paraId="710C674E"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3E40EBB"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w:t>
      </w:r>
      <w:r>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F15C4EB" w14:textId="77777777" w:rsidR="004F2352" w:rsidRDefault="00DE78D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w:t>
      </w:r>
      <w:proofErr w:type="gramStart"/>
      <w:r>
        <w:rPr>
          <w:rFonts w:ascii="Palatino Linotype" w:eastAsia="Palatino Linotype" w:hAnsi="Palatino Linotype" w:cs="Palatino Linotype"/>
          <w:i/>
        </w:rPr>
        <w:t>los mismos</w:t>
      </w:r>
      <w:proofErr w:type="gramEnd"/>
      <w:r>
        <w:rPr>
          <w:rFonts w:ascii="Palatino Linotype" w:eastAsia="Palatino Linotype" w:hAnsi="Palatino Linotype" w:cs="Palatino Linotype"/>
          <w:i/>
        </w:rPr>
        <w:t>.</w:t>
      </w:r>
    </w:p>
    <w:p w14:paraId="613052EC"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rPr>
        <w:t>internaciones suscritos</w:t>
      </w:r>
      <w:proofErr w:type="gramEnd"/>
      <w:r>
        <w:rPr>
          <w:rFonts w:ascii="Palatino Linotype" w:eastAsia="Palatino Linotype" w:hAnsi="Palatino Linotype" w:cs="Palatino Linotype"/>
          <w:i/>
        </w:rPr>
        <w:t xml:space="preserve"> por el Estado mexicano. </w:t>
      </w:r>
    </w:p>
    <w:p w14:paraId="15EA02A0" w14:textId="77777777" w:rsidR="004F2352" w:rsidRDefault="00DE78D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w:t>
      </w:r>
      <w:proofErr w:type="gramStart"/>
      <w:r>
        <w:rPr>
          <w:rFonts w:ascii="Palatino Linotype" w:eastAsia="Palatino Linotype" w:hAnsi="Palatino Linotype" w:cs="Palatino Linotype"/>
          <w:i/>
        </w:rPr>
        <w:t>la misma</w:t>
      </w:r>
      <w:proofErr w:type="gramEnd"/>
      <w:r>
        <w:rPr>
          <w:rFonts w:ascii="Palatino Linotype" w:eastAsia="Palatino Linotype" w:hAnsi="Palatino Linotype" w:cs="Palatino Linotype"/>
          <w:i/>
        </w:rPr>
        <w:t>.”</w:t>
      </w:r>
    </w:p>
    <w:p w14:paraId="4D737443"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1401AC2"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relación directa con ello, los Lineamientos en estudio establecen los formatos para la clasificación parcial y total de los documentos, que atienden a lo siguiente:</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4F2352" w14:paraId="5AA906DC" w14:textId="77777777">
        <w:tc>
          <w:tcPr>
            <w:tcW w:w="4414" w:type="dxa"/>
            <w:gridSpan w:val="2"/>
          </w:tcPr>
          <w:p w14:paraId="734F7E4F" w14:textId="77777777" w:rsidR="004F2352" w:rsidRDefault="00DE78D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4BAD83E0" w14:textId="77777777" w:rsidR="004F2352" w:rsidRDefault="00DE78D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4F2352" w14:paraId="6A999A1F" w14:textId="77777777">
        <w:tc>
          <w:tcPr>
            <w:tcW w:w="993" w:type="dxa"/>
          </w:tcPr>
          <w:p w14:paraId="217901A3" w14:textId="77777777" w:rsidR="004F2352" w:rsidRDefault="00DE78D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3A408A47" w14:textId="77777777" w:rsidR="004F2352" w:rsidRDefault="00DE78D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5905AB3F" w14:textId="77777777" w:rsidR="004F2352" w:rsidRDefault="00DE78D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4987677A" w14:textId="77777777" w:rsidR="004F2352" w:rsidRDefault="00DE78D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4F2352" w14:paraId="09C83627" w14:textId="77777777">
        <w:tc>
          <w:tcPr>
            <w:tcW w:w="8828" w:type="dxa"/>
            <w:gridSpan w:val="4"/>
          </w:tcPr>
          <w:p w14:paraId="21BA7932" w14:textId="77777777" w:rsidR="004F2352" w:rsidRDefault="00DE78D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4F2352" w14:paraId="5A332456" w14:textId="77777777">
        <w:tc>
          <w:tcPr>
            <w:tcW w:w="993" w:type="dxa"/>
          </w:tcPr>
          <w:p w14:paraId="60D2387A"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7BCD9701"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926F6C7"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06D5FC0D"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F2352" w14:paraId="376288AE" w14:textId="77777777">
        <w:tc>
          <w:tcPr>
            <w:tcW w:w="993" w:type="dxa"/>
          </w:tcPr>
          <w:p w14:paraId="7705D81F"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36411825"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7A481915"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AF72C12"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4F2352" w14:paraId="74427E6E" w14:textId="77777777">
        <w:tc>
          <w:tcPr>
            <w:tcW w:w="993" w:type="dxa"/>
          </w:tcPr>
          <w:p w14:paraId="5A224264"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6F59E598"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6C9EE4E"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6BC80A5D"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4F2352" w14:paraId="1974B097" w14:textId="77777777">
        <w:tc>
          <w:tcPr>
            <w:tcW w:w="993" w:type="dxa"/>
          </w:tcPr>
          <w:p w14:paraId="35F92A7D"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32DFBFDF"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CD0AC45"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7C6DC03C"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anotará el número de años o meses por los que se mantendrá el documento o las partes </w:t>
            </w:r>
            <w:proofErr w:type="gramStart"/>
            <w:r>
              <w:rPr>
                <w:rFonts w:ascii="Palatino Linotype" w:eastAsia="Palatino Linotype" w:hAnsi="Palatino Linotype" w:cs="Palatino Linotype"/>
                <w:sz w:val="12"/>
                <w:szCs w:val="12"/>
              </w:rPr>
              <w:t>del mismo</w:t>
            </w:r>
            <w:proofErr w:type="gramEnd"/>
            <w:r>
              <w:rPr>
                <w:rFonts w:ascii="Palatino Linotype" w:eastAsia="Palatino Linotype" w:hAnsi="Palatino Linotype" w:cs="Palatino Linotype"/>
                <w:sz w:val="12"/>
                <w:szCs w:val="12"/>
              </w:rPr>
              <w:t xml:space="preserve"> como reservado. Si el expediente no es reservado, sino confidencial, deberá tacharse este apartado.</w:t>
            </w:r>
          </w:p>
        </w:tc>
      </w:tr>
      <w:tr w:rsidR="004F2352" w14:paraId="2E7712C1" w14:textId="77777777">
        <w:tc>
          <w:tcPr>
            <w:tcW w:w="993" w:type="dxa"/>
          </w:tcPr>
          <w:p w14:paraId="2CA74ED3"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2987B072"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588DD4E"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7E9ED5A5"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F2352" w14:paraId="0B9BB3FB" w14:textId="77777777">
        <w:tc>
          <w:tcPr>
            <w:tcW w:w="993" w:type="dxa"/>
          </w:tcPr>
          <w:p w14:paraId="29173AAD"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7B32BA0A"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417FE80"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078B71DC"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F2352" w14:paraId="603FFBBC" w14:textId="77777777">
        <w:tc>
          <w:tcPr>
            <w:tcW w:w="993" w:type="dxa"/>
          </w:tcPr>
          <w:p w14:paraId="6F545A5B"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121B3B6A"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39C309C8"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0A5B00F2"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4F2352" w14:paraId="63649528" w14:textId="77777777">
        <w:tc>
          <w:tcPr>
            <w:tcW w:w="993" w:type="dxa"/>
          </w:tcPr>
          <w:p w14:paraId="11A94181"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25429C0D"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07695C51"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70074EBD"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F2352" w14:paraId="4FB5D935" w14:textId="77777777">
        <w:tc>
          <w:tcPr>
            <w:tcW w:w="993" w:type="dxa"/>
          </w:tcPr>
          <w:p w14:paraId="24BAF9F9"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34148226"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11D1CA98"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3855D414"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4F2352" w14:paraId="25ADE3DE" w14:textId="77777777">
        <w:tc>
          <w:tcPr>
            <w:tcW w:w="993" w:type="dxa"/>
          </w:tcPr>
          <w:p w14:paraId="0E5AAD35"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14:paraId="47B393C2"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4F385A95"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3FF7EF8E"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4F2352" w14:paraId="4DB58797" w14:textId="77777777">
        <w:tc>
          <w:tcPr>
            <w:tcW w:w="993" w:type="dxa"/>
          </w:tcPr>
          <w:p w14:paraId="1B0B87DA" w14:textId="77777777" w:rsidR="004F2352" w:rsidRDefault="004F2352">
            <w:pPr>
              <w:jc w:val="both"/>
              <w:rPr>
                <w:rFonts w:ascii="Palatino Linotype" w:eastAsia="Palatino Linotype" w:hAnsi="Palatino Linotype" w:cs="Palatino Linotype"/>
                <w:sz w:val="12"/>
                <w:szCs w:val="12"/>
              </w:rPr>
            </w:pPr>
          </w:p>
        </w:tc>
        <w:tc>
          <w:tcPr>
            <w:tcW w:w="3421" w:type="dxa"/>
          </w:tcPr>
          <w:p w14:paraId="2467859F" w14:textId="77777777" w:rsidR="004F2352" w:rsidRDefault="004F2352">
            <w:pPr>
              <w:jc w:val="both"/>
              <w:rPr>
                <w:rFonts w:ascii="Palatino Linotype" w:eastAsia="Palatino Linotype" w:hAnsi="Palatino Linotype" w:cs="Palatino Linotype"/>
                <w:sz w:val="12"/>
                <w:szCs w:val="12"/>
              </w:rPr>
            </w:pPr>
          </w:p>
        </w:tc>
        <w:tc>
          <w:tcPr>
            <w:tcW w:w="968" w:type="dxa"/>
          </w:tcPr>
          <w:p w14:paraId="327DECEB"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23F6CA24" w14:textId="77777777" w:rsidR="004F2352" w:rsidRDefault="00DE78D5">
            <w:pPr>
              <w:jc w:val="both"/>
              <w:rPr>
                <w:rFonts w:ascii="Palatino Linotype" w:eastAsia="Palatino Linotype" w:hAnsi="Palatino Linotype" w:cs="Palatino Linotype"/>
                <w:sz w:val="12"/>
                <w:szCs w:val="12"/>
              </w:rPr>
            </w:pPr>
            <w:proofErr w:type="gramStart"/>
            <w:r>
              <w:rPr>
                <w:rFonts w:ascii="Palatino Linotype" w:eastAsia="Palatino Linotype" w:hAnsi="Palatino Linotype" w:cs="Palatino Linotype"/>
                <w:sz w:val="12"/>
                <w:szCs w:val="12"/>
              </w:rPr>
              <w:t>En caso que</w:t>
            </w:r>
            <w:proofErr w:type="gramEnd"/>
            <w:r>
              <w:rPr>
                <w:rFonts w:ascii="Palatino Linotype" w:eastAsia="Palatino Linotype" w:hAnsi="Palatino Linotype" w:cs="Palatino Linotype"/>
                <w:sz w:val="12"/>
                <w:szCs w:val="12"/>
              </w:rPr>
              <w:t xml:space="preserv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4F2352" w14:paraId="2469EBEE" w14:textId="77777777">
        <w:tc>
          <w:tcPr>
            <w:tcW w:w="993" w:type="dxa"/>
          </w:tcPr>
          <w:p w14:paraId="481F94C1" w14:textId="77777777" w:rsidR="004F2352" w:rsidRDefault="004F2352">
            <w:pPr>
              <w:jc w:val="both"/>
              <w:rPr>
                <w:rFonts w:ascii="Palatino Linotype" w:eastAsia="Palatino Linotype" w:hAnsi="Palatino Linotype" w:cs="Palatino Linotype"/>
                <w:sz w:val="12"/>
                <w:szCs w:val="12"/>
              </w:rPr>
            </w:pPr>
          </w:p>
        </w:tc>
        <w:tc>
          <w:tcPr>
            <w:tcW w:w="3421" w:type="dxa"/>
          </w:tcPr>
          <w:p w14:paraId="7E9A9557" w14:textId="77777777" w:rsidR="004F2352" w:rsidRDefault="004F2352">
            <w:pPr>
              <w:jc w:val="both"/>
              <w:rPr>
                <w:rFonts w:ascii="Palatino Linotype" w:eastAsia="Palatino Linotype" w:hAnsi="Palatino Linotype" w:cs="Palatino Linotype"/>
                <w:sz w:val="12"/>
                <w:szCs w:val="12"/>
              </w:rPr>
            </w:pPr>
          </w:p>
        </w:tc>
        <w:tc>
          <w:tcPr>
            <w:tcW w:w="968" w:type="dxa"/>
          </w:tcPr>
          <w:p w14:paraId="0B6013A9" w14:textId="77777777" w:rsidR="004F2352" w:rsidRDefault="00DE78D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7FDEE0FB" w14:textId="77777777" w:rsidR="004F2352" w:rsidRDefault="00DE78D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0E8CCEEC" w14:textId="77777777" w:rsidR="004F2352" w:rsidRDefault="004F2352"/>
    <w:p w14:paraId="4AEAF5D2" w14:textId="77777777" w:rsidR="004F2352" w:rsidRDefault="00DE78D5">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2E55B12" w14:textId="77777777" w:rsidR="004F2352" w:rsidRDefault="00DE78D5">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23E39CF4" w14:textId="77777777" w:rsidR="004F2352" w:rsidRDefault="00DE78D5">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Resultan</w:t>
      </w:r>
      <w:r>
        <w:rPr>
          <w:rFonts w:ascii="Palatino Linotype" w:eastAsia="Palatino Linotype" w:hAnsi="Palatino Linotype" w:cs="Palatino Linotype"/>
          <w:b/>
          <w:sz w:val="24"/>
          <w:szCs w:val="24"/>
        </w:rPr>
        <w:t xml:space="preserve"> fundados</w:t>
      </w:r>
      <w:r>
        <w:rPr>
          <w:rFonts w:ascii="Palatino Linotype" w:eastAsia="Palatino Linotype" w:hAnsi="Palatino Linotype" w:cs="Palatino Linotype"/>
          <w:sz w:val="24"/>
          <w:szCs w:val="24"/>
        </w:rPr>
        <w:t xml:space="preserve"> los motivos de inconformidad hechos valer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en el recurso de revisión </w:t>
      </w:r>
      <w:r>
        <w:rPr>
          <w:rFonts w:ascii="Palatino Linotype" w:eastAsia="Palatino Linotype" w:hAnsi="Palatino Linotype" w:cs="Palatino Linotype"/>
          <w:b/>
          <w:sz w:val="24"/>
          <w:szCs w:val="24"/>
        </w:rPr>
        <w:t xml:space="preserve">04129/INFOEM/IP/RR/2022,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de la presente resolución, se</w:t>
      </w:r>
      <w:r>
        <w:rPr>
          <w:rFonts w:ascii="Palatino Linotype" w:eastAsia="Palatino Linotype" w:hAnsi="Palatino Linotype" w:cs="Palatino Linotype"/>
          <w:b/>
          <w:sz w:val="24"/>
          <w:szCs w:val="24"/>
        </w:rPr>
        <w:t xml:space="preserve"> REVOCA </w:t>
      </w:r>
      <w:r>
        <w:rPr>
          <w:rFonts w:ascii="Palatino Linotype" w:eastAsia="Palatino Linotype" w:hAnsi="Palatino Linotype" w:cs="Palatino Linotype"/>
          <w:sz w:val="24"/>
          <w:szCs w:val="24"/>
        </w:rPr>
        <w:t>la respuesta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SUJETO OBLIGADO.</w:t>
      </w:r>
    </w:p>
    <w:p w14:paraId="6E090731" w14:textId="77777777" w:rsidR="004F2352" w:rsidRDefault="00DE78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 los Considerandos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 xml:space="preserve">de esta resolución, haga entrega, vía SAIMEX, en versión pública de ser procedente, </w:t>
      </w:r>
      <w:r w:rsidR="00546B68">
        <w:rPr>
          <w:rFonts w:ascii="Palatino Linotype" w:eastAsia="Palatino Linotype" w:hAnsi="Palatino Linotype" w:cs="Palatino Linotype"/>
          <w:sz w:val="24"/>
          <w:szCs w:val="24"/>
        </w:rPr>
        <w:t>del documento donde conste o de cuenta del</w:t>
      </w:r>
      <w:r>
        <w:rPr>
          <w:rFonts w:ascii="Palatino Linotype" w:eastAsia="Palatino Linotype" w:hAnsi="Palatino Linotype" w:cs="Palatino Linotype"/>
        </w:rPr>
        <w:t>:</w:t>
      </w:r>
    </w:p>
    <w:p w14:paraId="6B65D8BC" w14:textId="77777777" w:rsidR="004F2352" w:rsidRDefault="00DE78D5">
      <w:pPr>
        <w:numPr>
          <w:ilvl w:val="0"/>
          <w:numId w:val="2"/>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Monto y nombre de las personas que</w:t>
      </w:r>
      <w:r>
        <w:rPr>
          <w:rFonts w:ascii="Palatino Linotype" w:eastAsia="Palatino Linotype" w:hAnsi="Palatino Linotype" w:cs="Palatino Linotype"/>
          <w:sz w:val="24"/>
          <w:szCs w:val="24"/>
        </w:rPr>
        <w:t xml:space="preserve"> recibieron</w:t>
      </w:r>
      <w:r>
        <w:rPr>
          <w:rFonts w:ascii="Palatino Linotype" w:eastAsia="Palatino Linotype" w:hAnsi="Palatino Linotype" w:cs="Palatino Linotype"/>
          <w:color w:val="000000"/>
          <w:sz w:val="24"/>
          <w:szCs w:val="24"/>
        </w:rPr>
        <w:t xml:space="preserve"> alguna condonación por cualquier concepto </w:t>
      </w:r>
      <w:r>
        <w:rPr>
          <w:rFonts w:ascii="Palatino Linotype" w:eastAsia="Palatino Linotype" w:hAnsi="Palatino Linotype" w:cs="Palatino Linotype"/>
          <w:sz w:val="24"/>
          <w:szCs w:val="24"/>
        </w:rPr>
        <w:t>el</w:t>
      </w:r>
      <w:r>
        <w:rPr>
          <w:rFonts w:ascii="Palatino Linotype" w:eastAsia="Palatino Linotype" w:hAnsi="Palatino Linotype" w:cs="Palatino Linotype"/>
          <w:color w:val="000000"/>
          <w:sz w:val="24"/>
          <w:szCs w:val="24"/>
        </w:rPr>
        <w:t xml:space="preserve"> día tres de enero de dos mil veintidós. </w:t>
      </w:r>
    </w:p>
    <w:p w14:paraId="3D38A0E7" w14:textId="77777777" w:rsidR="004F2352" w:rsidRDefault="00DE78D5">
      <w:pPr>
        <w:spacing w:after="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40819A74" w14:textId="77777777" w:rsidR="004F2352" w:rsidRDefault="00DE78D5">
      <w:pPr>
        <w:spacing w:before="12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vía</w:t>
      </w:r>
      <w:r>
        <w:rPr>
          <w:rFonts w:ascii="Palatino Linotype" w:eastAsia="Palatino Linotype" w:hAnsi="Palatino Linotype" w:cs="Palatino Linotype"/>
          <w:b/>
          <w:sz w:val="24"/>
          <w:szCs w:val="24"/>
        </w:rPr>
        <w:t xml:space="preserve"> SAIMEX, </w:t>
      </w:r>
      <w:r>
        <w:rPr>
          <w:rFonts w:ascii="Palatino Linotype" w:eastAsia="Palatino Linotype" w:hAnsi="Palatino Linotype" w:cs="Palatino Linotype"/>
          <w:sz w:val="24"/>
          <w:szCs w:val="24"/>
        </w:rPr>
        <w:t xml:space="preserve">al </w:t>
      </w:r>
      <w:proofErr w:type="gramStart"/>
      <w:r>
        <w:rPr>
          <w:rFonts w:ascii="Palatino Linotype" w:eastAsia="Palatino Linotype" w:hAnsi="Palatino Linotype" w:cs="Palatino Linotype"/>
          <w:sz w:val="24"/>
          <w:szCs w:val="24"/>
        </w:rPr>
        <w:t>Responsable</w:t>
      </w:r>
      <w:proofErr w:type="gramEnd"/>
      <w:r>
        <w:rPr>
          <w:rFonts w:ascii="Palatino Linotype" w:eastAsia="Palatino Linotype" w:hAnsi="Palatino Linotype" w:cs="Palatino Linotype"/>
          <w:sz w:val="24"/>
          <w:szCs w:val="24"/>
        </w:rPr>
        <w:t xml:space="preserve">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sz w:val="24"/>
          <w:szCs w:val="24"/>
        </w:rPr>
        <w:t>.</w:t>
      </w:r>
    </w:p>
    <w:p w14:paraId="470F3A7E" w14:textId="77777777" w:rsidR="004F2352" w:rsidRDefault="00DE78D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E43D242" w14:textId="77777777" w:rsidR="004F2352" w:rsidRDefault="00DE78D5">
      <w:pPr>
        <w:spacing w:before="240" w:after="240" w:line="360" w:lineRule="auto"/>
        <w:jc w:val="both"/>
        <w:rPr>
          <w:rFonts w:ascii="Palatino Linotype" w:eastAsia="Palatino Linotype" w:hAnsi="Palatino Linotype" w:cs="Palatino Linotype"/>
          <w:sz w:val="24"/>
          <w:szCs w:val="24"/>
        </w:rPr>
      </w:pPr>
      <w:bookmarkStart w:id="3" w:name="_heading=h.4d34og8" w:colFirst="0" w:colLast="0"/>
      <w:bookmarkEnd w:id="3"/>
      <w:r>
        <w:rPr>
          <w:rFonts w:ascii="Palatino Linotype" w:eastAsia="Palatino Linotype" w:hAnsi="Palatino Linotype" w:cs="Palatino Linotype"/>
          <w:b/>
          <w:sz w:val="24"/>
          <w:szCs w:val="24"/>
        </w:rPr>
        <w:t xml:space="preserve">CUARTO.  Notifíquese,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w:t>
      </w:r>
      <w:r>
        <w:rPr>
          <w:rFonts w:ascii="Palatino Linotype" w:eastAsia="Palatino Linotype" w:hAnsi="Palatino Linotype" w:cs="Palatino Linotype"/>
          <w:sz w:val="24"/>
          <w:szCs w:val="24"/>
        </w:rPr>
        <w:lastRenderedPageBreak/>
        <w:t>Municipios, en caso de que considere que le causa algún perjuicio podrá impugnarla vía Juicio de Amparo en los términos de las leyes aplicables.</w:t>
      </w:r>
    </w:p>
    <w:p w14:paraId="7AE609AF" w14:textId="77777777" w:rsidR="004F2352" w:rsidRDefault="00DE78D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SEXTA SESIÓN ORDINARIA CELEBRADA EL TRECE DE JULIO DE DOS MIL VEINTIDÓS, ANTE EL SECRETARIO TÉCNICO DEL PLENO ALEXIS TAPIA RAMÍREZ.</w:t>
      </w:r>
    </w:p>
    <w:p w14:paraId="660E8B5D" w14:textId="77777777" w:rsidR="004F2352" w:rsidRDefault="004F2352">
      <w:pPr>
        <w:spacing w:line="360" w:lineRule="auto"/>
        <w:jc w:val="both"/>
        <w:rPr>
          <w:rFonts w:ascii="Palatino Linotype" w:eastAsia="Palatino Linotype" w:hAnsi="Palatino Linotype" w:cs="Palatino Linotype"/>
          <w:sz w:val="24"/>
          <w:szCs w:val="24"/>
        </w:rPr>
      </w:pPr>
    </w:p>
    <w:sectPr w:rsidR="004F2352">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88A7" w14:textId="77777777" w:rsidR="006E1661" w:rsidRDefault="006E1661">
      <w:pPr>
        <w:spacing w:after="0" w:line="240" w:lineRule="auto"/>
      </w:pPr>
      <w:r>
        <w:separator/>
      </w:r>
    </w:p>
  </w:endnote>
  <w:endnote w:type="continuationSeparator" w:id="0">
    <w:p w14:paraId="788B6172" w14:textId="77777777" w:rsidR="006E1661" w:rsidRDefault="006E1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5FC" w14:textId="77777777" w:rsidR="004F2352" w:rsidRDefault="00DE78D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46B68">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46B68">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4203D999" w14:textId="77777777" w:rsidR="004F2352" w:rsidRDefault="004F235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41450" w14:textId="77777777" w:rsidR="006E1661" w:rsidRDefault="006E1661">
      <w:pPr>
        <w:spacing w:after="0" w:line="240" w:lineRule="auto"/>
      </w:pPr>
      <w:r>
        <w:separator/>
      </w:r>
    </w:p>
  </w:footnote>
  <w:footnote w:type="continuationSeparator" w:id="0">
    <w:p w14:paraId="15B696EE" w14:textId="77777777" w:rsidR="006E1661" w:rsidRDefault="006E1661">
      <w:pPr>
        <w:spacing w:after="0" w:line="240" w:lineRule="auto"/>
      </w:pPr>
      <w:r>
        <w:continuationSeparator/>
      </w:r>
    </w:p>
  </w:footnote>
  <w:footnote w:id="1">
    <w:p w14:paraId="1806D799" w14:textId="77777777" w:rsidR="004F2352" w:rsidRDefault="00DE78D5">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w:t>
      </w:r>
      <w:proofErr w:type="gramStart"/>
      <w:r>
        <w:rPr>
          <w:rFonts w:ascii="Palatino Linotype" w:eastAsia="Palatino Linotype" w:hAnsi="Palatino Linotype" w:cs="Palatino Linotype"/>
          <w:i/>
          <w:sz w:val="16"/>
          <w:szCs w:val="16"/>
        </w:rPr>
        <w:t>de acuerdo a</w:t>
      </w:r>
      <w:proofErr w:type="gramEnd"/>
      <w:r>
        <w:rPr>
          <w:rFonts w:ascii="Palatino Linotype" w:eastAsia="Palatino Linotype" w:hAnsi="Palatino Linotype" w:cs="Palatino Linotype"/>
          <w:i/>
          <w:sz w:val="16"/>
          <w:szCs w:val="16"/>
        </w:rPr>
        <w:t xml:space="preserve"> su naturaleza:</w:t>
      </w:r>
    </w:p>
    <w:p w14:paraId="5989C413" w14:textId="77777777" w:rsidR="004F2352" w:rsidRDefault="00DE78D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533EF49" w14:textId="77777777" w:rsidR="004F2352" w:rsidRDefault="00DE78D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w:t>
      </w:r>
      <w:proofErr w:type="gramStart"/>
      <w:r>
        <w:rPr>
          <w:rFonts w:ascii="Palatino Linotype" w:eastAsia="Palatino Linotype" w:hAnsi="Palatino Linotype" w:cs="Palatino Linotype"/>
          <w:i/>
          <w:sz w:val="16"/>
          <w:szCs w:val="16"/>
        </w:rPr>
        <w:t>.”(</w:t>
      </w:r>
      <w:proofErr w:type="gramEnd"/>
      <w:r>
        <w:rPr>
          <w:rFonts w:ascii="Palatino Linotype" w:eastAsia="Palatino Linotype" w:hAnsi="Palatino Linotype" w:cs="Palatino Linotype"/>
          <w:i/>
          <w:sz w:val="16"/>
          <w:szCs w:val="16"/>
        </w:rPr>
        <w:t>Sic)</w:t>
      </w:r>
    </w:p>
  </w:footnote>
  <w:footnote w:id="2">
    <w:p w14:paraId="046F89F5" w14:textId="77777777" w:rsidR="00EA4DBF" w:rsidRDefault="00EA4DBF" w:rsidP="00EA4D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63DB" w14:textId="77777777" w:rsidR="004F2352" w:rsidRDefault="004F2352">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2"/>
      <w:tblW w:w="10346" w:type="dxa"/>
      <w:tblInd w:w="-1303" w:type="dxa"/>
      <w:tblLayout w:type="fixed"/>
      <w:tblLook w:val="0400" w:firstRow="0" w:lastRow="0" w:firstColumn="0" w:lastColumn="0" w:noHBand="0" w:noVBand="1"/>
    </w:tblPr>
    <w:tblGrid>
      <w:gridCol w:w="5684"/>
      <w:gridCol w:w="4662"/>
    </w:tblGrid>
    <w:tr w:rsidR="004F2352" w14:paraId="64EF0493" w14:textId="77777777">
      <w:trPr>
        <w:trHeight w:val="244"/>
      </w:trPr>
      <w:tc>
        <w:tcPr>
          <w:tcW w:w="5684" w:type="dxa"/>
        </w:tcPr>
        <w:p w14:paraId="485D9237" w14:textId="77777777" w:rsidR="004F2352" w:rsidRDefault="00DE78D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48BF10A9" w14:textId="77777777" w:rsidR="004F2352" w:rsidRDefault="00DE78D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04129/INFOEM/IP/RR/2022</w:t>
          </w:r>
        </w:p>
      </w:tc>
    </w:tr>
    <w:tr w:rsidR="004F2352" w14:paraId="5059C1A4" w14:textId="77777777">
      <w:trPr>
        <w:trHeight w:val="210"/>
      </w:trPr>
      <w:tc>
        <w:tcPr>
          <w:tcW w:w="5684" w:type="dxa"/>
        </w:tcPr>
        <w:p w14:paraId="408F6BCC" w14:textId="77777777" w:rsidR="004F2352" w:rsidRDefault="00DE78D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9273644" w14:textId="77777777" w:rsidR="004F2352" w:rsidRDefault="004F2352">
          <w:pPr>
            <w:spacing w:after="120"/>
            <w:ind w:left="-486" w:right="214" w:firstLine="567"/>
            <w:jc w:val="right"/>
            <w:rPr>
              <w:rFonts w:ascii="Palatino Linotype" w:eastAsia="Palatino Linotype" w:hAnsi="Palatino Linotype" w:cs="Palatino Linotype"/>
              <w:sz w:val="24"/>
              <w:szCs w:val="24"/>
            </w:rPr>
          </w:pPr>
        </w:p>
      </w:tc>
    </w:tr>
    <w:tr w:rsidR="004F2352" w14:paraId="57B0A9CA" w14:textId="77777777">
      <w:trPr>
        <w:trHeight w:val="261"/>
      </w:trPr>
      <w:tc>
        <w:tcPr>
          <w:tcW w:w="5684" w:type="dxa"/>
        </w:tcPr>
        <w:p w14:paraId="1E66A2D9" w14:textId="77777777" w:rsidR="004F2352" w:rsidRDefault="00DE78D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2821262" w14:textId="77777777" w:rsidR="004F2352" w:rsidRDefault="00DE78D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para la Prestación de Los Servicios de </w:t>
          </w:r>
        </w:p>
        <w:p w14:paraId="3308123E" w14:textId="77777777" w:rsidR="004F2352" w:rsidRDefault="00DE78D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Agua Potable Alcantarillado </w:t>
          </w:r>
          <w:proofErr w:type="gramStart"/>
          <w:r>
            <w:rPr>
              <w:rFonts w:ascii="Palatino Linotype" w:eastAsia="Palatino Linotype" w:hAnsi="Palatino Linotype" w:cs="Palatino Linotype"/>
              <w:sz w:val="24"/>
              <w:szCs w:val="24"/>
            </w:rPr>
            <w:t>y  Saneamiento</w:t>
          </w:r>
          <w:proofErr w:type="gramEnd"/>
          <w:r>
            <w:rPr>
              <w:rFonts w:ascii="Palatino Linotype" w:eastAsia="Palatino Linotype" w:hAnsi="Palatino Linotype" w:cs="Palatino Linotype"/>
              <w:sz w:val="24"/>
              <w:szCs w:val="24"/>
            </w:rPr>
            <w:t xml:space="preserve"> del Municipio de Metepec</w:t>
          </w:r>
        </w:p>
      </w:tc>
    </w:tr>
    <w:tr w:rsidR="004F2352" w14:paraId="5E512F0C" w14:textId="77777777">
      <w:trPr>
        <w:trHeight w:val="368"/>
      </w:trPr>
      <w:tc>
        <w:tcPr>
          <w:tcW w:w="5684" w:type="dxa"/>
        </w:tcPr>
        <w:p w14:paraId="2F6E9F59" w14:textId="77777777" w:rsidR="004F2352" w:rsidRDefault="00DE78D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1E3E190" w14:textId="77777777" w:rsidR="004F2352" w:rsidRDefault="00DE78D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B86C21D" w14:textId="77777777" w:rsidR="004F2352" w:rsidRDefault="00DE78D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3B39B7FA" wp14:editId="3053C059">
          <wp:simplePos x="0" y="0"/>
          <wp:positionH relativeFrom="column">
            <wp:posOffset>-797775</wp:posOffset>
          </wp:positionH>
          <wp:positionV relativeFrom="paragraph">
            <wp:posOffset>-2230118</wp:posOffset>
          </wp:positionV>
          <wp:extent cx="7753350" cy="9942731"/>
          <wp:effectExtent l="0" t="0" r="0" b="0"/>
          <wp:wrapNone/>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271D"/>
    <w:multiLevelType w:val="multilevel"/>
    <w:tmpl w:val="8DDCAC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567730C"/>
    <w:multiLevelType w:val="multilevel"/>
    <w:tmpl w:val="AFD03A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9783480"/>
    <w:multiLevelType w:val="multilevel"/>
    <w:tmpl w:val="B1187B3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2830306">
    <w:abstractNumId w:val="0"/>
  </w:num>
  <w:num w:numId="2" w16cid:durableId="1632174483">
    <w:abstractNumId w:val="3"/>
  </w:num>
  <w:num w:numId="3" w16cid:durableId="1181627796">
    <w:abstractNumId w:val="2"/>
  </w:num>
  <w:num w:numId="4" w16cid:durableId="1149901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352"/>
    <w:rsid w:val="00376A17"/>
    <w:rsid w:val="004F2352"/>
    <w:rsid w:val="00546B68"/>
    <w:rsid w:val="00674175"/>
    <w:rsid w:val="006E1661"/>
    <w:rsid w:val="00783B28"/>
    <w:rsid w:val="008442A0"/>
    <w:rsid w:val="00C32EC2"/>
    <w:rsid w:val="00D72315"/>
    <w:rsid w:val="00DE78D5"/>
    <w:rsid w:val="00EA4D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A09E1"/>
  <w15:docId w15:val="{72567E4F-78CF-45B7-BFC7-62E1A80A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6E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909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0983"/>
  </w:style>
  <w:style w:type="paragraph" w:styleId="Piedepgina">
    <w:name w:val="footer"/>
    <w:basedOn w:val="Normal"/>
    <w:link w:val="PiedepginaCar"/>
    <w:uiPriority w:val="99"/>
    <w:unhideWhenUsed/>
    <w:rsid w:val="00B909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0983"/>
  </w:style>
  <w:style w:type="character" w:styleId="Hipervnculo">
    <w:name w:val="Hyperlink"/>
    <w:basedOn w:val="Fuentedeprrafopredeter"/>
    <w:uiPriority w:val="99"/>
    <w:unhideWhenUsed/>
    <w:rsid w:val="00335E1F"/>
    <w:rPr>
      <w:color w:val="0000FF"/>
      <w:u w:val="single"/>
    </w:rPr>
  </w:style>
  <w:style w:type="paragraph" w:styleId="Prrafodelista">
    <w:name w:val="List Paragraph"/>
    <w:basedOn w:val="Normal"/>
    <w:uiPriority w:val="34"/>
    <w:qFormat/>
    <w:rsid w:val="001F1CF3"/>
    <w:pPr>
      <w:ind w:left="720"/>
      <w:contextualSpacing/>
    </w:pPr>
  </w:style>
  <w:style w:type="character" w:styleId="Hipervnculovisitado">
    <w:name w:val="FollowedHyperlink"/>
    <w:basedOn w:val="Fuentedeprrafopredeter"/>
    <w:uiPriority w:val="99"/>
    <w:semiHidden/>
    <w:unhideWhenUsed/>
    <w:rsid w:val="001F1CF3"/>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OASMETEPEC/art_92_xiv_b/4.we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ASMETEPEC/art_92_xiv_b/4.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pwpfZz2EgSup8Jb/wuJYkI59Ig==">AMUW2mXVgC6T6Cv6ah85E+LU54WLmYa95MFhzx3XsbL9IdCVhOWnLVMuemB0x3dISTIxtr8kmBlJFwWgUtg3QQZIb1XoW/BOoDVtRrrSMcBrXWIBR5ReSBaVHnnzPyqx/+RQ6Vlc7VRW6wwG0ckkzGnwD6arkMGEaeyxpt/qXYTtsUeYICf+/Gg=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7450</Words>
  <Characters>40978</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3</cp:revision>
  <dcterms:created xsi:type="dcterms:W3CDTF">2022-07-07T15:57:00Z</dcterms:created>
  <dcterms:modified xsi:type="dcterms:W3CDTF">2022-07-07T16:24:00Z</dcterms:modified>
</cp:coreProperties>
</file>