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DBBE0"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1E28C4">
        <w:rPr>
          <w:rFonts w:ascii="Palatino Linotype" w:eastAsia="Palatino Linotype" w:hAnsi="Palatino Linotype" w:cs="Palatino Linotype"/>
        </w:rPr>
        <w:t xml:space="preserve"> de México, de fecha cuatro</w:t>
      </w:r>
      <w:r>
        <w:rPr>
          <w:rFonts w:ascii="Palatino Linotype" w:eastAsia="Palatino Linotype" w:hAnsi="Palatino Linotype" w:cs="Palatino Linotype"/>
        </w:rPr>
        <w:t xml:space="preserve"> de febrero de dos mil veintidós.</w:t>
      </w:r>
    </w:p>
    <w:p w14:paraId="045D4563" w14:textId="2B62AF48" w:rsidR="00777CC2" w:rsidRDefault="00405FBF">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05014/INFOEM/IP/RR/2021 y 05125/INFOEM/IP/RR/202 acumulados,</w:t>
      </w:r>
      <w:r>
        <w:rPr>
          <w:rFonts w:ascii="Palatino Linotype" w:eastAsia="Palatino Linotype" w:hAnsi="Palatino Linotype" w:cs="Palatino Linotype"/>
        </w:rPr>
        <w:t xml:space="preserve"> interpuestos </w:t>
      </w:r>
      <w:r w:rsidRPr="00753BDD">
        <w:rPr>
          <w:rFonts w:ascii="Palatino Linotype" w:eastAsia="Palatino Linotype" w:hAnsi="Palatino Linotype" w:cs="Palatino Linotype"/>
        </w:rPr>
        <w:t xml:space="preserve">por </w:t>
      </w:r>
      <w:r w:rsidR="00753BDD" w:rsidRPr="00753BDD">
        <w:rPr>
          <w:rFonts w:ascii="Palatino Linotype" w:eastAsia="Palatino Linotype" w:hAnsi="Palatino Linotype" w:cs="Palatino Linotype"/>
          <w:b/>
        </w:rPr>
        <w:t>xxxxxx xxxxx Xxxxxxx</w:t>
      </w:r>
      <w:r w:rsidRPr="00753BDD">
        <w:rPr>
          <w:rFonts w:ascii="Palatino Linotype" w:eastAsia="Palatino Linotype" w:hAnsi="Palatino Linotype" w:cs="Palatino Linotype"/>
        </w:rPr>
        <w:t>, en</w:t>
      </w:r>
      <w:r>
        <w:rPr>
          <w:rFonts w:ascii="Palatino Linotype" w:eastAsia="Palatino Linotype" w:hAnsi="Palatino Linotype" w:cs="Palatino Linotype"/>
        </w:rPr>
        <w:t xml:space="preserve"> lo sucesivo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emitidas a las solicitudes de información con número de folio </w:t>
      </w:r>
      <w:r>
        <w:rPr>
          <w:rFonts w:ascii="Palatino Linotype" w:eastAsia="Palatino Linotype" w:hAnsi="Palatino Linotype" w:cs="Palatino Linotype"/>
          <w:b/>
        </w:rPr>
        <w:t xml:space="preserve">00429/NEZA/IP/2021 y 00446/NEZA/IP/2021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Nezahualcóyotl</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093BA59C" w14:textId="77777777" w:rsidR="00777CC2" w:rsidRDefault="00405FBF">
      <w:pPr>
        <w:numPr>
          <w:ilvl w:val="0"/>
          <w:numId w:val="8"/>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504CFF74" w14:textId="77777777" w:rsidR="00777CC2" w:rsidRDefault="00405FBF">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Con fecha nueve y veinticuatro de septiembre de dos mil veintiuno,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5890"/>
      </w:tblGrid>
      <w:tr w:rsidR="00777CC2" w14:paraId="1F5E35EF" w14:textId="77777777">
        <w:tc>
          <w:tcPr>
            <w:tcW w:w="2938" w:type="dxa"/>
            <w:shd w:val="clear" w:color="auto" w:fill="D9D9D9"/>
          </w:tcPr>
          <w:p w14:paraId="34F0DE4E" w14:textId="77777777" w:rsidR="00777CC2" w:rsidRDefault="00405FBF">
            <w:pPr>
              <w:jc w:val="both"/>
              <w:rPr>
                <w:rFonts w:ascii="Palatino Linotype" w:eastAsia="Palatino Linotype" w:hAnsi="Palatino Linotype" w:cs="Palatino Linotype"/>
                <w:b/>
                <w:i/>
                <w:sz w:val="22"/>
                <w:szCs w:val="22"/>
              </w:rPr>
            </w:pPr>
            <w:bookmarkStart w:id="2" w:name="_heading=h.1fob9te" w:colFirst="0" w:colLast="0"/>
            <w:bookmarkEnd w:id="2"/>
            <w:r>
              <w:rPr>
                <w:rFonts w:ascii="Palatino Linotype" w:eastAsia="Palatino Linotype" w:hAnsi="Palatino Linotype" w:cs="Palatino Linotype"/>
                <w:b/>
                <w:i/>
                <w:sz w:val="22"/>
                <w:szCs w:val="22"/>
              </w:rPr>
              <w:t>Número de solicitud</w:t>
            </w:r>
          </w:p>
        </w:tc>
        <w:tc>
          <w:tcPr>
            <w:tcW w:w="5890" w:type="dxa"/>
            <w:shd w:val="clear" w:color="auto" w:fill="D9D9D9"/>
          </w:tcPr>
          <w:p w14:paraId="178D3606" w14:textId="77777777" w:rsidR="00777CC2" w:rsidRDefault="00405FB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777CC2" w14:paraId="021C5D5F" w14:textId="77777777">
        <w:tc>
          <w:tcPr>
            <w:tcW w:w="2938" w:type="dxa"/>
          </w:tcPr>
          <w:p w14:paraId="7C47DCAD" w14:textId="77777777" w:rsidR="00777CC2" w:rsidRDefault="00405FBF">
            <w:pPr>
              <w:jc w:val="both"/>
              <w:rPr>
                <w:rFonts w:ascii="Palatino Linotype" w:eastAsia="Palatino Linotype" w:hAnsi="Palatino Linotype" w:cs="Palatino Linotype"/>
                <w:b/>
                <w:i/>
                <w:sz w:val="22"/>
                <w:szCs w:val="22"/>
              </w:rPr>
            </w:pPr>
            <w:bookmarkStart w:id="3" w:name="_heading=h.3znysh7" w:colFirst="0" w:colLast="0"/>
            <w:bookmarkEnd w:id="3"/>
            <w:r>
              <w:rPr>
                <w:rFonts w:ascii="Palatino Linotype" w:eastAsia="Palatino Linotype" w:hAnsi="Palatino Linotype" w:cs="Palatino Linotype"/>
                <w:b/>
                <w:i/>
                <w:sz w:val="22"/>
                <w:szCs w:val="22"/>
              </w:rPr>
              <w:t>00429/NEZA/IP/2021 = 05014/INFOEM/IP/RR/2021</w:t>
            </w:r>
          </w:p>
        </w:tc>
        <w:tc>
          <w:tcPr>
            <w:tcW w:w="5890" w:type="dxa"/>
          </w:tcPr>
          <w:p w14:paraId="6BE9C44B" w14:textId="77777777" w:rsidR="00777CC2" w:rsidRDefault="00405FBF">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“Buenas Tardes, solicito de favor y siempre de la manera más respetuosa me puedan hacer llegar por este medio, la nómina de la </w:t>
            </w:r>
            <w:r>
              <w:rPr>
                <w:rFonts w:ascii="Palatino Linotype" w:eastAsia="Palatino Linotype" w:hAnsi="Palatino Linotype" w:cs="Palatino Linotype"/>
                <w:b/>
                <w:i/>
                <w:sz w:val="22"/>
                <w:szCs w:val="22"/>
              </w:rPr>
              <w:t>segunda quincena de abril del año 2020,</w:t>
            </w:r>
            <w:r>
              <w:rPr>
                <w:rFonts w:ascii="Palatino Linotype" w:eastAsia="Palatino Linotype" w:hAnsi="Palatino Linotype" w:cs="Palatino Linotype"/>
                <w:i/>
                <w:sz w:val="22"/>
                <w:szCs w:val="22"/>
              </w:rPr>
              <w:t xml:space="preserve"> de todos los sindicalizados, solicitando me la puedan hacer llegar por Excel esperando contar con su valiosa respuesta le envió un saludo gracias. (En caso de que me mande a su portal para la información sería mejor que me nadaran los </w:t>
            </w:r>
            <w:r>
              <w:rPr>
                <w:rFonts w:ascii="Palatino Linotype" w:eastAsia="Palatino Linotype" w:hAnsi="Palatino Linotype" w:cs="Palatino Linotype"/>
                <w:b/>
                <w:i/>
                <w:sz w:val="22"/>
                <w:szCs w:val="22"/>
              </w:rPr>
              <w:t>recibos del CFDI la nómina de la segunda quincena de abril del año 2020</w:t>
            </w:r>
            <w:r>
              <w:rPr>
                <w:rFonts w:ascii="Palatino Linotype" w:eastAsia="Palatino Linotype" w:hAnsi="Palatino Linotype" w:cs="Palatino Linotype"/>
                <w:i/>
                <w:sz w:val="22"/>
                <w:szCs w:val="22"/>
              </w:rPr>
              <w:t xml:space="preserve">, de </w:t>
            </w:r>
            <w:r>
              <w:rPr>
                <w:rFonts w:ascii="Palatino Linotype" w:eastAsia="Palatino Linotype" w:hAnsi="Palatino Linotype" w:cs="Palatino Linotype"/>
                <w:i/>
                <w:sz w:val="22"/>
                <w:szCs w:val="22"/>
              </w:rPr>
              <w:lastRenderedPageBreak/>
              <w:t>todos los sindicalizados) hago de su conocimiento que en su portal de IPOMEX no cuenta con la información que requiero al no estar actualizada esperando con la información me despido quedando de usted.” (sic)</w:t>
            </w:r>
          </w:p>
        </w:tc>
      </w:tr>
      <w:tr w:rsidR="00777CC2" w14:paraId="7988D565" w14:textId="77777777">
        <w:tc>
          <w:tcPr>
            <w:tcW w:w="2938" w:type="dxa"/>
          </w:tcPr>
          <w:p w14:paraId="1536BD30" w14:textId="77777777" w:rsidR="00777CC2" w:rsidRDefault="00405FBF">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00446/NEZA/IP/2021 = 05125/INFOEM/IP/RR/2021</w:t>
            </w:r>
          </w:p>
        </w:tc>
        <w:tc>
          <w:tcPr>
            <w:tcW w:w="5890" w:type="dxa"/>
          </w:tcPr>
          <w:p w14:paraId="70048C57" w14:textId="77777777" w:rsidR="00777CC2" w:rsidRDefault="00405FBF">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“BUENAS TARDDES SIEMPRE DE LA MANERA MAS RESPUTUOSA SOLICITO ME HAGAN LLEGAR LA PRMERA QUINCENA DE SEPTIEMBRE DEL 2021, DE TODOS LOS TRABAJADORES SINDICALIZADOS Y DE CONFIANZA QUE SE ENCUENTRAN TRABAJANDO, A SI MISMO UN LISTADO DE TODOS LOS TRABAJADORES QUE HAN SIDO DADOS DE BAJA, COMO SINDICALIZADOS Y DE CONFIANZA, CONTANDO CON QUE LA INFORMACION QUE EL SERVIDOR PUBLICO HABILITADO SERA VERAZ, AUTENTICA Y REAL ENVIO UN CORDIAL SALUDO.” (sic)</w:t>
            </w:r>
          </w:p>
        </w:tc>
      </w:tr>
    </w:tbl>
    <w:p w14:paraId="116F8432"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7E2F396B" w14:textId="77777777" w:rsidR="00777CC2" w:rsidRDefault="00405FBF">
      <w:pPr>
        <w:spacing w:before="240" w:after="24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b/>
        </w:rPr>
        <w:t xml:space="preserve">2. Prórroga. </w:t>
      </w:r>
      <w:r>
        <w:rPr>
          <w:rFonts w:ascii="Palatino Linotype" w:eastAsia="Palatino Linotype" w:hAnsi="Palatino Linotype" w:cs="Palatino Linotype"/>
        </w:rPr>
        <w:t xml:space="preserve">El veintinueve de septiembre de dos mil veintiuno, en el recurso de revisión </w:t>
      </w:r>
      <w:r>
        <w:rPr>
          <w:rFonts w:ascii="Palatino Linotype" w:eastAsia="Palatino Linotype" w:hAnsi="Palatino Linotype" w:cs="Palatino Linotype"/>
          <w:b/>
        </w:rPr>
        <w:t xml:space="preserve">05014/INFOEM/IP/RR/2021,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hizo del conocimiento de la entonces solicitante lo siguiente: </w:t>
      </w:r>
    </w:p>
    <w:p w14:paraId="74BAB41B" w14:textId="77777777" w:rsidR="00777CC2" w:rsidRDefault="00405FBF">
      <w:pPr>
        <w:spacing w:before="240" w:after="240" w:line="36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i/>
        </w:rPr>
        <w:t xml:space="preserve">l.El pleno de este Órgano Colegiado, ARUEBA por unanimidad de votos, la ampliación de plazo para dar respuesta a la solicitud de acceso a la información publica numero 00429/NEZA/IP/2021, solicitada por el Servidor Publico Habilitado de la Tesorería Municipal por siete días hábiles mas, en términos de lo establecido por el articulo 163,parrafo segundo de la Ley de Transparencia y Acceso a la Información Púbica del Estado de México. ll. Se ordena a la Unidad de Transparencia notifique el ACUERDO TERCERO, FRACCION I, a la Tesorería Municipal de Nezahualcóyotl.” </w:t>
      </w:r>
    </w:p>
    <w:p w14:paraId="399C61ED" w14:textId="77777777" w:rsidR="00777CC2" w:rsidRDefault="00405FB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Manifestación a la que adjuntó el archivo electrónico identificado como </w:t>
      </w:r>
      <w:r>
        <w:rPr>
          <w:rFonts w:ascii="Palatino Linotype" w:eastAsia="Palatino Linotype" w:hAnsi="Palatino Linotype" w:cs="Palatino Linotype"/>
          <w:b/>
          <w:i/>
        </w:rPr>
        <w:t xml:space="preserve">ACT-CT-NEZA-EXT-XXVII-2021.pdf. </w:t>
      </w:r>
      <w:r>
        <w:rPr>
          <w:rFonts w:ascii="Palatino Linotype" w:eastAsia="Palatino Linotype" w:hAnsi="Palatino Linotype" w:cs="Palatino Linotype"/>
        </w:rPr>
        <w:t>Consistente en el Acta de la Vigésima Séptima Sesión Extraordinaria del Comité de Transparencia del H. Ayuntamiento Nezahualcóyotl</w:t>
      </w:r>
    </w:p>
    <w:p w14:paraId="3F658D26"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se observa que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en fecha once y quince de octubre de dos mil veintiuno, respondió a las solicitudes de información en los siguientes términos: </w:t>
      </w:r>
    </w:p>
    <w:p w14:paraId="35E4D2A8" w14:textId="77777777" w:rsidR="00777CC2" w:rsidRDefault="00777CC2">
      <w:pPr>
        <w:ind w:right="1043"/>
        <w:jc w:val="both"/>
        <w:rPr>
          <w:rFonts w:ascii="Palatino Linotype" w:eastAsia="Palatino Linotype" w:hAnsi="Palatino Linotype" w:cs="Palatino Linotype"/>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777CC2" w14:paraId="560390BD" w14:textId="77777777">
        <w:tc>
          <w:tcPr>
            <w:tcW w:w="3256" w:type="dxa"/>
            <w:shd w:val="clear" w:color="auto" w:fill="D9D9D9"/>
          </w:tcPr>
          <w:p w14:paraId="2672476E" w14:textId="77777777" w:rsidR="00777CC2" w:rsidRDefault="00405FBF">
            <w:pPr>
              <w:jc w:val="both"/>
              <w:rPr>
                <w:rFonts w:ascii="Palatino Linotype" w:eastAsia="Palatino Linotype" w:hAnsi="Palatino Linotype" w:cs="Palatino Linotype"/>
                <w:b/>
                <w:i/>
              </w:rPr>
            </w:pPr>
            <w:r>
              <w:rPr>
                <w:rFonts w:ascii="Palatino Linotype" w:eastAsia="Palatino Linotype" w:hAnsi="Palatino Linotype" w:cs="Palatino Linotype"/>
                <w:b/>
                <w:i/>
              </w:rPr>
              <w:t>Número de solicitud</w:t>
            </w:r>
          </w:p>
        </w:tc>
        <w:tc>
          <w:tcPr>
            <w:tcW w:w="5572" w:type="dxa"/>
            <w:shd w:val="clear" w:color="auto" w:fill="D9D9D9"/>
          </w:tcPr>
          <w:p w14:paraId="092B1CFB" w14:textId="77777777" w:rsidR="00777CC2" w:rsidRDefault="00405FBF">
            <w:pPr>
              <w:jc w:val="center"/>
              <w:rPr>
                <w:rFonts w:ascii="Palatino Linotype" w:eastAsia="Palatino Linotype" w:hAnsi="Palatino Linotype" w:cs="Palatino Linotype"/>
                <w:b/>
                <w:i/>
              </w:rPr>
            </w:pPr>
            <w:r>
              <w:rPr>
                <w:rFonts w:ascii="Palatino Linotype" w:eastAsia="Palatino Linotype" w:hAnsi="Palatino Linotype" w:cs="Palatino Linotype"/>
                <w:b/>
                <w:i/>
              </w:rPr>
              <w:t>Respuesta</w:t>
            </w:r>
          </w:p>
        </w:tc>
      </w:tr>
      <w:tr w:rsidR="00777CC2" w14:paraId="6112C37B" w14:textId="77777777">
        <w:tc>
          <w:tcPr>
            <w:tcW w:w="3256" w:type="dxa"/>
          </w:tcPr>
          <w:p w14:paraId="61D48E68" w14:textId="77777777" w:rsidR="00777CC2" w:rsidRDefault="00405FBF">
            <w:pPr>
              <w:jc w:val="both"/>
              <w:rPr>
                <w:rFonts w:ascii="Palatino Linotype" w:eastAsia="Palatino Linotype" w:hAnsi="Palatino Linotype" w:cs="Palatino Linotype"/>
                <w:b/>
                <w:i/>
              </w:rPr>
            </w:pPr>
            <w:r>
              <w:rPr>
                <w:rFonts w:ascii="Palatino Linotype" w:eastAsia="Palatino Linotype" w:hAnsi="Palatino Linotype" w:cs="Palatino Linotype"/>
                <w:b/>
                <w:i/>
              </w:rPr>
              <w:t>00429/NEZA/IP/2021 = 05014/INFOEM/IP/RR/2021</w:t>
            </w:r>
          </w:p>
        </w:tc>
        <w:tc>
          <w:tcPr>
            <w:tcW w:w="5572" w:type="dxa"/>
          </w:tcPr>
          <w:p w14:paraId="32680D44" w14:textId="77777777" w:rsidR="00777CC2" w:rsidRDefault="00405FBF">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atención a la solicitud de información identificada con el número de folio 00429/NEZA/IP/2021, me permito hacer la entregar de la información requerida en formato PDF; mismos que se anexan al presente. (Sic)</w:t>
            </w:r>
          </w:p>
          <w:p w14:paraId="5CD1A93E" w14:textId="77777777" w:rsidR="00777CC2" w:rsidRDefault="00777CC2">
            <w:pPr>
              <w:jc w:val="both"/>
              <w:rPr>
                <w:rFonts w:ascii="Palatino Linotype" w:eastAsia="Palatino Linotype" w:hAnsi="Palatino Linotype" w:cs="Palatino Linotype"/>
                <w:b/>
                <w:i/>
              </w:rPr>
            </w:pPr>
          </w:p>
          <w:p w14:paraId="72568A8F" w14:textId="77777777" w:rsidR="00777CC2" w:rsidRDefault="00405FBF">
            <w:pPr>
              <w:numPr>
                <w:ilvl w:val="0"/>
                <w:numId w:val="3"/>
              </w:numPr>
              <w:pBdr>
                <w:top w:val="nil"/>
                <w:left w:val="nil"/>
                <w:bottom w:val="nil"/>
                <w:right w:val="nil"/>
                <w:between w:val="nil"/>
              </w:pBdr>
              <w:ind w:left="176" w:hanging="14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Archivo de Transparencia _2021_10_11_17_18_52_796.pdf:  </w:t>
            </w:r>
            <w:r>
              <w:rPr>
                <w:rFonts w:ascii="Palatino Linotype" w:eastAsia="Palatino Linotype" w:hAnsi="Palatino Linotype" w:cs="Palatino Linotype"/>
                <w:color w:val="000000"/>
              </w:rPr>
              <w:t xml:space="preserve">Integrado por 8 páginas que contiene el oficio de respuesta de la  Titular de la Unidad de Transparencia mediante el cual remite los oficios suscritos y signados por los Servidores Públicos Habilitados de la Tesorería Municipal, de la Dirección de Administración y del Instituto Municipal de Cultura Física y del Deporte. </w:t>
            </w:r>
          </w:p>
          <w:p w14:paraId="7D0E8462" w14:textId="77777777" w:rsidR="00777CC2" w:rsidRDefault="00777CC2">
            <w:pPr>
              <w:pBdr>
                <w:top w:val="nil"/>
                <w:left w:val="nil"/>
                <w:bottom w:val="nil"/>
                <w:right w:val="nil"/>
                <w:between w:val="nil"/>
              </w:pBdr>
              <w:ind w:left="176"/>
              <w:jc w:val="both"/>
              <w:rPr>
                <w:rFonts w:ascii="Palatino Linotype" w:eastAsia="Palatino Linotype" w:hAnsi="Palatino Linotype" w:cs="Palatino Linotype"/>
                <w:b/>
                <w:i/>
                <w:color w:val="000000"/>
              </w:rPr>
            </w:pPr>
          </w:p>
          <w:p w14:paraId="30F9AE4C" w14:textId="77777777" w:rsidR="00777CC2" w:rsidRDefault="00405FBF">
            <w:pPr>
              <w:numPr>
                <w:ilvl w:val="0"/>
                <w:numId w:val="3"/>
              </w:numPr>
              <w:pBdr>
                <w:top w:val="nil"/>
                <w:left w:val="nil"/>
                <w:bottom w:val="nil"/>
                <w:right w:val="nil"/>
                <w:between w:val="nil"/>
              </w:pBdr>
              <w:ind w:left="176" w:hanging="14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ACT_CT_NEZA_EXT__XXVIII_2021.pdf: </w:t>
            </w:r>
            <w:r>
              <w:rPr>
                <w:rFonts w:ascii="Palatino Linotype" w:eastAsia="Palatino Linotype" w:hAnsi="Palatino Linotype" w:cs="Palatino Linotype"/>
                <w:color w:val="000000"/>
              </w:rPr>
              <w:t xml:space="preserve">Acta de la Vigésima Séptima Sesión Extraordinaria del Comité de Transparencia del H. Ayuntamiento Nezahualcóyotl; en el que se acuerda la versión pública de los recibos de nómina correspondientes a la segunda quincena de abril de dos mil veinte. </w:t>
            </w:r>
          </w:p>
          <w:p w14:paraId="75A05579" w14:textId="77777777" w:rsidR="00777CC2" w:rsidRDefault="00777CC2">
            <w:pPr>
              <w:pBdr>
                <w:top w:val="nil"/>
                <w:left w:val="nil"/>
                <w:bottom w:val="nil"/>
                <w:right w:val="nil"/>
                <w:between w:val="nil"/>
              </w:pBdr>
              <w:ind w:left="176"/>
              <w:jc w:val="both"/>
              <w:rPr>
                <w:rFonts w:ascii="Palatino Linotype" w:eastAsia="Palatino Linotype" w:hAnsi="Palatino Linotype" w:cs="Palatino Linotype"/>
                <w:b/>
                <w:i/>
                <w:color w:val="000000"/>
              </w:rPr>
            </w:pPr>
          </w:p>
          <w:p w14:paraId="22FC082F" w14:textId="77777777" w:rsidR="00777CC2" w:rsidRDefault="00405FBF">
            <w:pPr>
              <w:numPr>
                <w:ilvl w:val="0"/>
                <w:numId w:val="3"/>
              </w:numPr>
              <w:pBdr>
                <w:top w:val="nil"/>
                <w:left w:val="nil"/>
                <w:bottom w:val="nil"/>
                <w:right w:val="nil"/>
                <w:between w:val="nil"/>
              </w:pBdr>
              <w:ind w:left="176" w:hanging="142"/>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16 AL 30 DE ABRIL 20.rar: </w:t>
            </w:r>
            <w:r>
              <w:rPr>
                <w:rFonts w:ascii="Palatino Linotype" w:eastAsia="Palatino Linotype" w:hAnsi="Palatino Linotype" w:cs="Palatino Linotype"/>
                <w:color w:val="000000"/>
              </w:rPr>
              <w:t xml:space="preserve">Contiene el archivo electrónico identificado como </w:t>
            </w:r>
            <w:r>
              <w:rPr>
                <w:rFonts w:ascii="Palatino Linotype" w:eastAsia="Palatino Linotype" w:hAnsi="Palatino Linotype" w:cs="Palatino Linotype"/>
                <w:b/>
                <w:i/>
                <w:color w:val="000000"/>
              </w:rPr>
              <w:t xml:space="preserve">“16 AL 30 DE ABRIL 20.pdf” </w:t>
            </w:r>
            <w:r>
              <w:rPr>
                <w:rFonts w:ascii="Palatino Linotype" w:eastAsia="Palatino Linotype" w:hAnsi="Palatino Linotype" w:cs="Palatino Linotype"/>
                <w:color w:val="000000"/>
              </w:rPr>
              <w:t xml:space="preserve">integrado por 810 páginas en las que se visualiza la versión pública de los Comprobantes Fiscales por Internet (CFDI) correspondientes a la segunda quincena del mes de abril de dos mil veinte. </w:t>
            </w:r>
          </w:p>
          <w:p w14:paraId="39D2A50D" w14:textId="77777777" w:rsidR="00777CC2" w:rsidRDefault="00777CC2">
            <w:pPr>
              <w:pBdr>
                <w:top w:val="nil"/>
                <w:left w:val="nil"/>
                <w:bottom w:val="nil"/>
                <w:right w:val="nil"/>
                <w:between w:val="nil"/>
              </w:pBdr>
              <w:ind w:left="176"/>
              <w:jc w:val="both"/>
              <w:rPr>
                <w:rFonts w:ascii="Palatino Linotype" w:eastAsia="Palatino Linotype" w:hAnsi="Palatino Linotype" w:cs="Palatino Linotype"/>
                <w:color w:val="000000"/>
              </w:rPr>
            </w:pPr>
          </w:p>
        </w:tc>
      </w:tr>
      <w:tr w:rsidR="00777CC2" w14:paraId="1AD26704" w14:textId="77777777">
        <w:tc>
          <w:tcPr>
            <w:tcW w:w="3256" w:type="dxa"/>
          </w:tcPr>
          <w:p w14:paraId="27E224C5" w14:textId="77777777" w:rsidR="00777CC2" w:rsidRDefault="00405FBF">
            <w:pPr>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00446/NEZA/IP/2021 = 05125/INFOEM/IP/RR/2021</w:t>
            </w:r>
          </w:p>
        </w:tc>
        <w:tc>
          <w:tcPr>
            <w:tcW w:w="5572" w:type="dxa"/>
          </w:tcPr>
          <w:p w14:paraId="29A9604D" w14:textId="77777777" w:rsidR="00777CC2" w:rsidRDefault="00405FBF">
            <w:pPr>
              <w:jc w:val="both"/>
              <w:rPr>
                <w:rFonts w:ascii="Palatino Linotype" w:eastAsia="Palatino Linotype" w:hAnsi="Palatino Linotype" w:cs="Palatino Linotype"/>
                <w:i/>
              </w:rPr>
            </w:pPr>
            <w:r>
              <w:rPr>
                <w:rFonts w:ascii="Palatino Linotype" w:eastAsia="Palatino Linotype" w:hAnsi="Palatino Linotype" w:cs="Palatino Linotype"/>
                <w:i/>
              </w:rPr>
              <w:t>“En atención a la solicitud de información identificada con el número de folio 00446NEZA/IP/2021, me permito remitir a Usted las respuestas generadas por los Servidores Públicos Habilitados​​ , bajo su más estricta responsabilidad” (Sic)</w:t>
            </w:r>
          </w:p>
          <w:p w14:paraId="61E02F6E" w14:textId="77777777" w:rsidR="00777CC2" w:rsidRDefault="00777CC2">
            <w:pPr>
              <w:jc w:val="both"/>
              <w:rPr>
                <w:rFonts w:ascii="Palatino Linotype" w:eastAsia="Palatino Linotype" w:hAnsi="Palatino Linotype" w:cs="Palatino Linotype"/>
                <w:i/>
              </w:rPr>
            </w:pPr>
          </w:p>
          <w:p w14:paraId="70887769" w14:textId="77777777" w:rsidR="00777CC2" w:rsidRDefault="00405FBF">
            <w:pPr>
              <w:numPr>
                <w:ilvl w:val="0"/>
                <w:numId w:val="3"/>
              </w:numPr>
              <w:pBdr>
                <w:top w:val="nil"/>
                <w:left w:val="nil"/>
                <w:bottom w:val="nil"/>
                <w:right w:val="nil"/>
                <w:between w:val="nil"/>
              </w:pBdr>
              <w:ind w:left="176" w:hanging="14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juridico.pdf: </w:t>
            </w:r>
            <w:r>
              <w:rPr>
                <w:rFonts w:ascii="Palatino Linotype" w:eastAsia="Palatino Linotype" w:hAnsi="Palatino Linotype" w:cs="Palatino Linotype"/>
                <w:color w:val="000000"/>
              </w:rPr>
              <w:t xml:space="preserve">Contiene el documento titulado </w:t>
            </w:r>
            <w:r>
              <w:rPr>
                <w:rFonts w:ascii="Palatino Linotype" w:eastAsia="Palatino Linotype" w:hAnsi="Palatino Linotype" w:cs="Palatino Linotype"/>
                <w:i/>
                <w:color w:val="000000"/>
              </w:rPr>
              <w:t xml:space="preserve">“Nomina general de la 1ra quincena de septiembre de 2021” </w:t>
            </w:r>
            <w:r>
              <w:rPr>
                <w:rFonts w:ascii="Palatino Linotype" w:eastAsia="Palatino Linotype" w:hAnsi="Palatino Linotype" w:cs="Palatino Linotype"/>
                <w:color w:val="000000"/>
              </w:rPr>
              <w:t xml:space="preserve">en la que se advierte un el nombre y apellidos de los servidores públicos del Instituto Municipal de Cultura Física y del Deporte, en el que se observa la plaza y el total neto percibido. </w:t>
            </w:r>
          </w:p>
          <w:p w14:paraId="3E59D8ED" w14:textId="77777777" w:rsidR="00777CC2" w:rsidRDefault="00777CC2">
            <w:pPr>
              <w:pBdr>
                <w:top w:val="nil"/>
                <w:left w:val="nil"/>
                <w:bottom w:val="nil"/>
                <w:right w:val="nil"/>
                <w:between w:val="nil"/>
              </w:pBdr>
              <w:ind w:left="176"/>
              <w:jc w:val="both"/>
              <w:rPr>
                <w:rFonts w:ascii="Palatino Linotype" w:eastAsia="Palatino Linotype" w:hAnsi="Palatino Linotype" w:cs="Palatino Linotype"/>
                <w:b/>
                <w:i/>
                <w:color w:val="000000"/>
              </w:rPr>
            </w:pPr>
          </w:p>
          <w:p w14:paraId="17E3D796" w14:textId="77777777" w:rsidR="00777CC2" w:rsidRDefault="00405FBF">
            <w:pPr>
              <w:numPr>
                <w:ilvl w:val="0"/>
                <w:numId w:val="3"/>
              </w:numPr>
              <w:pBdr>
                <w:top w:val="nil"/>
                <w:left w:val="nil"/>
                <w:bottom w:val="nil"/>
                <w:right w:val="nil"/>
                <w:between w:val="nil"/>
              </w:pBdr>
              <w:ind w:left="176" w:hanging="14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446.pdf: </w:t>
            </w:r>
            <w:r>
              <w:rPr>
                <w:rFonts w:ascii="Palatino Linotype" w:eastAsia="Palatino Linotype" w:hAnsi="Palatino Linotype" w:cs="Palatino Linotype"/>
                <w:color w:val="000000"/>
              </w:rPr>
              <w:t>Integrado por 8 páginas en las que se observa el oficio de respuesta de la Titular de la Unidad de Transparencia mediante el cual remite los oficios suscritos y signados por los Servidores Públicos Habilitados de la Tesorería Municipal, la Dirección de Administración y el Instituto Municipal de Cultura Física y del Deporte; así como el reporte de altas y bajas del personal, correspondiente a la primer quincena del mes de septiembre de dos mil veintiuno.</w:t>
            </w:r>
          </w:p>
        </w:tc>
      </w:tr>
    </w:tbl>
    <w:p w14:paraId="14C6CFE9" w14:textId="77777777" w:rsidR="00777CC2" w:rsidRDefault="00777CC2">
      <w:pPr>
        <w:spacing w:before="240" w:after="240" w:line="360" w:lineRule="auto"/>
        <w:jc w:val="both"/>
        <w:rPr>
          <w:rFonts w:ascii="Palatino Linotype" w:eastAsia="Palatino Linotype" w:hAnsi="Palatino Linotype" w:cs="Palatino Linotype"/>
          <w:b/>
        </w:rPr>
      </w:pPr>
    </w:p>
    <w:p w14:paraId="2A22CDC0"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4. Interposición de los recursos de revisión. </w:t>
      </w:r>
      <w:r>
        <w:rPr>
          <w:rFonts w:ascii="Palatino Linotype" w:eastAsia="Palatino Linotype" w:hAnsi="Palatino Linotype" w:cs="Palatino Linotype"/>
        </w:rPr>
        <w:t xml:space="preserve">Inconforme con las respuestas del Sujeto Obligado, en fechas doce y dieciocho de octubre de dos mil veintiuno,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2019"/>
        <w:gridCol w:w="3871"/>
      </w:tblGrid>
      <w:tr w:rsidR="00777CC2" w14:paraId="79FEA666" w14:textId="77777777">
        <w:tc>
          <w:tcPr>
            <w:tcW w:w="2938" w:type="dxa"/>
            <w:shd w:val="clear" w:color="auto" w:fill="D9D9D9"/>
          </w:tcPr>
          <w:p w14:paraId="143C09C2" w14:textId="77777777" w:rsidR="00777CC2" w:rsidRDefault="00405FB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Recurso de revisión</w:t>
            </w:r>
          </w:p>
        </w:tc>
        <w:tc>
          <w:tcPr>
            <w:tcW w:w="2019" w:type="dxa"/>
            <w:shd w:val="clear" w:color="auto" w:fill="D9D9D9"/>
          </w:tcPr>
          <w:p w14:paraId="5E4F0422" w14:textId="77777777" w:rsidR="00777CC2" w:rsidRDefault="00405FB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Acto impugnado.</w:t>
            </w:r>
          </w:p>
        </w:tc>
        <w:tc>
          <w:tcPr>
            <w:tcW w:w="3871" w:type="dxa"/>
            <w:shd w:val="clear" w:color="auto" w:fill="D9D9D9"/>
          </w:tcPr>
          <w:p w14:paraId="185E7015" w14:textId="77777777" w:rsidR="00777CC2" w:rsidRDefault="00405FB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Motivos de inconformidad.</w:t>
            </w:r>
          </w:p>
        </w:tc>
      </w:tr>
      <w:tr w:rsidR="00777CC2" w14:paraId="691B75E8" w14:textId="77777777">
        <w:tc>
          <w:tcPr>
            <w:tcW w:w="2938" w:type="dxa"/>
          </w:tcPr>
          <w:p w14:paraId="39428FEA" w14:textId="77777777" w:rsidR="00777CC2" w:rsidRDefault="00405FBF">
            <w:pPr>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05014/INFOEM/IP/RR/2021</w:t>
            </w:r>
          </w:p>
        </w:tc>
        <w:tc>
          <w:tcPr>
            <w:tcW w:w="2019" w:type="dxa"/>
            <w:shd w:val="clear" w:color="auto" w:fill="auto"/>
          </w:tcPr>
          <w:p w14:paraId="4997DD66" w14:textId="77777777" w:rsidR="00777CC2" w:rsidRDefault="00405FBF">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(sic)</w:t>
            </w:r>
          </w:p>
        </w:tc>
        <w:tc>
          <w:tcPr>
            <w:tcW w:w="3871" w:type="dxa"/>
            <w:shd w:val="clear" w:color="auto" w:fill="auto"/>
          </w:tcPr>
          <w:p w14:paraId="62156047" w14:textId="77777777" w:rsidR="00777CC2" w:rsidRDefault="00405FBF">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archivo que manda como varios que han mandado no tiene la información de verdad, que la servidora publica habilitada la Lic. Sonia López Herrera trasgrede un derecho muy fundamental, negándome dicha información y burladose de mi persona mandando archivos sin información un derecho que todos tenemos acceso solicito de nueva cuenta la intervención del órgano garante no hay mas que decir. las pruebas pueden ver ustedes mismo como autoridad.” (sic)</w:t>
            </w:r>
          </w:p>
        </w:tc>
      </w:tr>
      <w:tr w:rsidR="00777CC2" w14:paraId="0B288184" w14:textId="77777777">
        <w:tc>
          <w:tcPr>
            <w:tcW w:w="2938" w:type="dxa"/>
          </w:tcPr>
          <w:p w14:paraId="5D87379F" w14:textId="77777777" w:rsidR="00777CC2" w:rsidRDefault="00405FBF">
            <w:pPr>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05125/INFOEM/IP/RR/2021</w:t>
            </w:r>
          </w:p>
        </w:tc>
        <w:tc>
          <w:tcPr>
            <w:tcW w:w="2019" w:type="dxa"/>
            <w:shd w:val="clear" w:color="auto" w:fill="auto"/>
          </w:tcPr>
          <w:p w14:paraId="276DAFA5" w14:textId="77777777" w:rsidR="00777CC2" w:rsidRDefault="00405FBF">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i/>
                <w:color w:val="000000"/>
                <w:sz w:val="22"/>
                <w:szCs w:val="22"/>
              </w:rPr>
              <w:t>“la contestación.” (Sic)</w:t>
            </w:r>
          </w:p>
        </w:tc>
        <w:tc>
          <w:tcPr>
            <w:tcW w:w="3871" w:type="dxa"/>
            <w:shd w:val="clear" w:color="auto" w:fill="auto"/>
          </w:tcPr>
          <w:p w14:paraId="35F82176" w14:textId="77777777" w:rsidR="00777CC2" w:rsidRDefault="00405FBF">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“se analice dicha respuesta ya que es verdaderamente preocupante este tipo de acciones. no soy abogado pero espero el INFOEM pueda ser el medio por el cual se me pueda mandar la información, sus criterios que utiliza la servidora publica habilitada y no mandar la información, solo lo que considera ella que si y que no y solo estoy pidiendo información publica. la nomina la niega como es normal y su ipomex no cuenta con la información que debe ser . son dolosos.” (Sic)</w:t>
            </w:r>
          </w:p>
        </w:tc>
      </w:tr>
    </w:tbl>
    <w:p w14:paraId="2BFD49AB" w14:textId="77777777" w:rsidR="00777CC2" w:rsidRDefault="00777CC2">
      <w:pPr>
        <w:spacing w:before="240" w:after="240" w:line="360" w:lineRule="auto"/>
        <w:jc w:val="both"/>
        <w:rPr>
          <w:rFonts w:ascii="Palatino Linotype" w:eastAsia="Palatino Linotype" w:hAnsi="Palatino Linotype" w:cs="Palatino Linotype"/>
          <w:b/>
        </w:rPr>
      </w:pPr>
    </w:p>
    <w:p w14:paraId="2EFFFF1D" w14:textId="77777777" w:rsidR="00777CC2" w:rsidRDefault="00405FB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xml:space="preserve">, los recursos de revisión número </w:t>
      </w:r>
      <w:r>
        <w:rPr>
          <w:rFonts w:ascii="Palatino Linotype" w:eastAsia="Palatino Linotype" w:hAnsi="Palatino Linotype" w:cs="Palatino Linotype"/>
          <w:b/>
        </w:rPr>
        <w:lastRenderedPageBreak/>
        <w:t xml:space="preserve">05014/INFOEM/IP/RR/2021 y 05125/INFOEM/IP/RR/2021, </w:t>
      </w:r>
      <w:r>
        <w:rPr>
          <w:rFonts w:ascii="Palatino Linotype" w:eastAsia="Palatino Linotype" w:hAnsi="Palatino Linotype" w:cs="Palatino Linotype"/>
          <w:b/>
          <w:sz w:val="23"/>
          <w:szCs w:val="23"/>
        </w:rPr>
        <w:t xml:space="preserve">acumulados </w:t>
      </w:r>
      <w:r>
        <w:rPr>
          <w:rFonts w:ascii="Palatino Linotype" w:eastAsia="Palatino Linotype" w:hAnsi="Palatino Linotype" w:cs="Palatino Linotype"/>
        </w:rPr>
        <w:t>fueron</w:t>
      </w:r>
      <w:r>
        <w:rPr>
          <w:rFonts w:ascii="Palatino Linotype" w:eastAsia="Palatino Linotype" w:hAnsi="Palatino Linotype" w:cs="Palatino Linotype"/>
          <w:b/>
        </w:rPr>
        <w:t xml:space="preserve"> </w:t>
      </w:r>
      <w:r>
        <w:rPr>
          <w:rFonts w:ascii="Palatino Linotype" w:eastAsia="Palatino Linotype" w:hAnsi="Palatino Linotype" w:cs="Palatino Linotype"/>
        </w:rPr>
        <w:t>turnados a los Comisionados Guadalupe Ramírez Peña, José Martínez Vilchis, respectivamente; a efecto de presentar al Pleno los proyectos de resolución correspondientes.</w:t>
      </w:r>
    </w:p>
    <w:p w14:paraId="2DEAB4C8"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w:t>
      </w:r>
      <w:r>
        <w:rPr>
          <w:rFonts w:ascii="Palatino Linotype" w:eastAsia="Palatino Linotype" w:hAnsi="Palatino Linotype" w:cs="Palatino Linotype"/>
        </w:rPr>
        <w:t>El veintidós y veintiocho de octubre de dos mil veintiuno, en términos de lo dispuesto en el artículo 185 fracciones I, II y IV de la Ley de Transparencia y Acceso a la Información Pública del Estado de México y Municipios, se admitieron a trámite los recursos de revisión.</w:t>
      </w:r>
    </w:p>
    <w:p w14:paraId="20262DCE"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Trigésima Novena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cuatro de noviembre de dos mil veintiuno</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w:t>
      </w:r>
    </w:p>
    <w:p w14:paraId="73B806CF" w14:textId="77777777" w:rsidR="00777CC2" w:rsidRDefault="00405FBF">
      <w:pPr>
        <w:spacing w:before="240"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b/>
        </w:rPr>
        <w:t xml:space="preserve">8. Informes de justificación. </w:t>
      </w:r>
      <w:r>
        <w:rPr>
          <w:rFonts w:ascii="Palatino Linotype" w:eastAsia="Palatino Linotype" w:hAnsi="Palatino Linotype" w:cs="Palatino Linotype"/>
        </w:rPr>
        <w:t xml:space="preserve">De las constancias que obran en los expedientes electrónicos del SAIMEX se desprende que el veintisiete y veintiocho de octubre de dos mil veintiuno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ambos recursos de revisión rindió su informe justificado a los que adjuntó los archivos que a continuación se describen: </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777CC2" w14:paraId="35F52E86" w14:textId="77777777">
        <w:tc>
          <w:tcPr>
            <w:tcW w:w="3114" w:type="dxa"/>
            <w:shd w:val="clear" w:color="auto" w:fill="D9D9D9"/>
          </w:tcPr>
          <w:p w14:paraId="75EA1E45" w14:textId="77777777" w:rsidR="00777CC2" w:rsidRDefault="00405FB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Recurso de Revisión</w:t>
            </w:r>
          </w:p>
        </w:tc>
        <w:tc>
          <w:tcPr>
            <w:tcW w:w="5714" w:type="dxa"/>
            <w:shd w:val="clear" w:color="auto" w:fill="D9D9D9"/>
          </w:tcPr>
          <w:p w14:paraId="31982CA3" w14:textId="77777777" w:rsidR="00777CC2" w:rsidRDefault="00405FB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Informe Justificado</w:t>
            </w:r>
          </w:p>
        </w:tc>
      </w:tr>
      <w:tr w:rsidR="00777CC2" w14:paraId="3C4DCBC6" w14:textId="77777777">
        <w:tc>
          <w:tcPr>
            <w:tcW w:w="3114" w:type="dxa"/>
          </w:tcPr>
          <w:p w14:paraId="1A06A532" w14:textId="77777777" w:rsidR="00777CC2" w:rsidRDefault="00405FBF">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05014/INFOEM/IP/RR/2021</w:t>
            </w:r>
          </w:p>
        </w:tc>
        <w:tc>
          <w:tcPr>
            <w:tcW w:w="5714" w:type="dxa"/>
          </w:tcPr>
          <w:p w14:paraId="0BFC32D4" w14:textId="77777777" w:rsidR="00777CC2" w:rsidRDefault="00405FBF">
            <w:pPr>
              <w:numPr>
                <w:ilvl w:val="0"/>
                <w:numId w:val="3"/>
              </w:numPr>
              <w:pBdr>
                <w:top w:val="nil"/>
                <w:left w:val="nil"/>
                <w:bottom w:val="nil"/>
                <w:right w:val="nil"/>
                <w:between w:val="nil"/>
              </w:pBdr>
              <w:ind w:left="176" w:hanging="142"/>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 xml:space="preserve">ACT_CT_NEZA_EXT__XXVIII_2021.pdf: </w:t>
            </w:r>
            <w:r>
              <w:rPr>
                <w:rFonts w:ascii="Palatino Linotype" w:eastAsia="Palatino Linotype" w:hAnsi="Palatino Linotype" w:cs="Palatino Linotype"/>
                <w:color w:val="000000"/>
                <w:sz w:val="22"/>
                <w:szCs w:val="22"/>
              </w:rPr>
              <w:t xml:space="preserve">Acta de la Vigésima Séptima Sesión Extraordinaria del Comité de </w:t>
            </w:r>
            <w:r>
              <w:rPr>
                <w:rFonts w:ascii="Palatino Linotype" w:eastAsia="Palatino Linotype" w:hAnsi="Palatino Linotype" w:cs="Palatino Linotype"/>
                <w:color w:val="000000"/>
                <w:sz w:val="22"/>
                <w:szCs w:val="22"/>
              </w:rPr>
              <w:lastRenderedPageBreak/>
              <w:t xml:space="preserve">Transparencia del H. Ayuntamiento Nezahualcóyotl; en el que se acuerda la versión pública de los recibos de nómina correspondientes a la segunda quincena de abril de dos mil veinte. </w:t>
            </w:r>
          </w:p>
          <w:p w14:paraId="6536A350" w14:textId="77777777" w:rsidR="00777CC2" w:rsidRDefault="00777CC2">
            <w:pPr>
              <w:jc w:val="both"/>
              <w:rPr>
                <w:rFonts w:ascii="Palatino Linotype" w:eastAsia="Palatino Linotype" w:hAnsi="Palatino Linotype" w:cs="Palatino Linotype"/>
                <w:b/>
                <w:i/>
                <w:sz w:val="22"/>
                <w:szCs w:val="22"/>
              </w:rPr>
            </w:pPr>
          </w:p>
          <w:p w14:paraId="7C242C05" w14:textId="77777777" w:rsidR="00777CC2" w:rsidRDefault="00405FBF">
            <w:pPr>
              <w:numPr>
                <w:ilvl w:val="0"/>
                <w:numId w:val="3"/>
              </w:numPr>
              <w:pBdr>
                <w:top w:val="nil"/>
                <w:left w:val="nil"/>
                <w:bottom w:val="nil"/>
                <w:right w:val="nil"/>
                <w:between w:val="nil"/>
              </w:pBdr>
              <w:ind w:left="176" w:hanging="14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5014_INFOEM_IP_2021.pdf: </w:t>
            </w:r>
            <w:r>
              <w:rPr>
                <w:rFonts w:ascii="Palatino Linotype" w:eastAsia="Palatino Linotype" w:hAnsi="Palatino Linotype" w:cs="Palatino Linotype"/>
                <w:color w:val="000000"/>
                <w:sz w:val="22"/>
                <w:szCs w:val="22"/>
              </w:rPr>
              <w:t xml:space="preserve">Contiene el escrito de fecha veintiuno de octubre de dos mil veintiuno, suscrito por la Titular de la Unidad de Transparencia, por medio del cual remitió las manifestaciones emitidas por el IMCUFIDENE, la Tesorería Municipal y el Acta de la Vigésima Octava Sesión Extraordinaria del Comité de Transparencia. </w:t>
            </w:r>
          </w:p>
          <w:p w14:paraId="12B9B49B" w14:textId="77777777" w:rsidR="00777CC2" w:rsidRDefault="00777CC2">
            <w:pPr>
              <w:pBdr>
                <w:top w:val="nil"/>
                <w:left w:val="nil"/>
                <w:bottom w:val="nil"/>
                <w:right w:val="nil"/>
                <w:between w:val="nil"/>
              </w:pBdr>
              <w:ind w:left="176"/>
              <w:jc w:val="both"/>
              <w:rPr>
                <w:rFonts w:ascii="Palatino Linotype" w:eastAsia="Palatino Linotype" w:hAnsi="Palatino Linotype" w:cs="Palatino Linotype"/>
                <w:b/>
                <w:i/>
                <w:color w:val="000000"/>
                <w:sz w:val="22"/>
                <w:szCs w:val="22"/>
              </w:rPr>
            </w:pPr>
          </w:p>
          <w:p w14:paraId="79524A4A" w14:textId="77777777" w:rsidR="00777CC2" w:rsidRDefault="00405FBF">
            <w:pPr>
              <w:numPr>
                <w:ilvl w:val="0"/>
                <w:numId w:val="3"/>
              </w:numPr>
              <w:pBdr>
                <w:top w:val="nil"/>
                <w:left w:val="nil"/>
                <w:bottom w:val="nil"/>
                <w:right w:val="nil"/>
                <w:between w:val="nil"/>
              </w:pBdr>
              <w:ind w:left="176" w:hanging="142"/>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 xml:space="preserve">2da de abril.pdf: </w:t>
            </w:r>
            <w:r>
              <w:rPr>
                <w:rFonts w:ascii="Palatino Linotype" w:eastAsia="Palatino Linotype" w:hAnsi="Palatino Linotype" w:cs="Palatino Linotype"/>
                <w:color w:val="000000"/>
                <w:sz w:val="22"/>
                <w:szCs w:val="22"/>
              </w:rPr>
              <w:t xml:space="preserve">integrado por 810 páginas en las que se visualiza la versión pública de los Comprobantes Fiscales por Internet (CFDI)  correspondientes a la segunda quincena del mes de abril de dos mil veinte.  </w:t>
            </w:r>
          </w:p>
          <w:p w14:paraId="64F8EA9F" w14:textId="77777777" w:rsidR="00777CC2" w:rsidRDefault="00777CC2">
            <w:pPr>
              <w:pBdr>
                <w:top w:val="nil"/>
                <w:left w:val="nil"/>
                <w:bottom w:val="nil"/>
                <w:right w:val="nil"/>
                <w:between w:val="nil"/>
              </w:pBdr>
              <w:ind w:left="176"/>
              <w:jc w:val="both"/>
              <w:rPr>
                <w:rFonts w:ascii="Palatino Linotype" w:eastAsia="Palatino Linotype" w:hAnsi="Palatino Linotype" w:cs="Palatino Linotype"/>
                <w:color w:val="000000"/>
                <w:sz w:val="22"/>
                <w:szCs w:val="22"/>
              </w:rPr>
            </w:pPr>
          </w:p>
        </w:tc>
      </w:tr>
      <w:tr w:rsidR="00777CC2" w14:paraId="679293DC" w14:textId="77777777">
        <w:tc>
          <w:tcPr>
            <w:tcW w:w="3114" w:type="dxa"/>
          </w:tcPr>
          <w:p w14:paraId="0F8F47FE" w14:textId="77777777" w:rsidR="00777CC2" w:rsidRDefault="00405FBF">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05125/INFOEM/IP/RR/2021</w:t>
            </w:r>
          </w:p>
        </w:tc>
        <w:tc>
          <w:tcPr>
            <w:tcW w:w="5714" w:type="dxa"/>
          </w:tcPr>
          <w:p w14:paraId="06C9A5AE" w14:textId="77777777" w:rsidR="00777CC2" w:rsidRDefault="00777CC2">
            <w:pPr>
              <w:jc w:val="both"/>
              <w:rPr>
                <w:rFonts w:ascii="Palatino Linotype" w:eastAsia="Palatino Linotype" w:hAnsi="Palatino Linotype" w:cs="Palatino Linotype"/>
                <w:b/>
                <w:i/>
                <w:sz w:val="22"/>
                <w:szCs w:val="22"/>
              </w:rPr>
            </w:pPr>
          </w:p>
          <w:p w14:paraId="00E5C5DA" w14:textId="77777777" w:rsidR="00777CC2" w:rsidRDefault="00405FBF">
            <w:pPr>
              <w:numPr>
                <w:ilvl w:val="0"/>
                <w:numId w:val="3"/>
              </w:numPr>
              <w:pBdr>
                <w:top w:val="nil"/>
                <w:left w:val="nil"/>
                <w:bottom w:val="nil"/>
                <w:right w:val="nil"/>
                <w:between w:val="nil"/>
              </w:pBdr>
              <w:ind w:left="178" w:hanging="14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rec446.pdf: </w:t>
            </w:r>
            <w:r>
              <w:rPr>
                <w:rFonts w:ascii="Palatino Linotype" w:eastAsia="Palatino Linotype" w:hAnsi="Palatino Linotype" w:cs="Palatino Linotype"/>
                <w:color w:val="000000"/>
                <w:sz w:val="22"/>
                <w:szCs w:val="22"/>
              </w:rPr>
              <w:t xml:space="preserve">Contiene el escrito de fecha 26 de octubre de 2021 suscrito por la Titular de la Unidad de Transparencia mediante el cual remitió las manifestaciones realizadas por  la Dirección de Administración, la Tesorería Municipal y el IMCUFIDENE. </w:t>
            </w:r>
          </w:p>
          <w:p w14:paraId="09E3F42C" w14:textId="77777777" w:rsidR="00777CC2" w:rsidRDefault="00777CC2">
            <w:pPr>
              <w:pBdr>
                <w:top w:val="nil"/>
                <w:left w:val="nil"/>
                <w:bottom w:val="nil"/>
                <w:right w:val="nil"/>
                <w:between w:val="nil"/>
              </w:pBdr>
              <w:ind w:left="459" w:hanging="294"/>
              <w:jc w:val="both"/>
              <w:rPr>
                <w:rFonts w:ascii="Palatino Linotype" w:eastAsia="Palatino Linotype" w:hAnsi="Palatino Linotype" w:cs="Palatino Linotype"/>
                <w:b/>
                <w:i/>
                <w:color w:val="000000"/>
                <w:sz w:val="22"/>
                <w:szCs w:val="22"/>
              </w:rPr>
            </w:pPr>
          </w:p>
          <w:p w14:paraId="091AE367" w14:textId="77777777" w:rsidR="00777CC2" w:rsidRDefault="00405FBF">
            <w:pPr>
              <w:numPr>
                <w:ilvl w:val="0"/>
                <w:numId w:val="3"/>
              </w:numPr>
              <w:pBdr>
                <w:top w:val="nil"/>
                <w:left w:val="nil"/>
                <w:bottom w:val="nil"/>
                <w:right w:val="nil"/>
                <w:between w:val="nil"/>
              </w:pBdr>
              <w:ind w:left="178" w:hanging="178"/>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juridico.pdf: </w:t>
            </w:r>
            <w:r>
              <w:rPr>
                <w:rFonts w:ascii="Palatino Linotype" w:eastAsia="Palatino Linotype" w:hAnsi="Palatino Linotype" w:cs="Palatino Linotype"/>
                <w:color w:val="000000"/>
                <w:sz w:val="22"/>
                <w:szCs w:val="22"/>
              </w:rPr>
              <w:t xml:space="preserve">Contiene la nómina general del INCUFIDENE correspondiente a la 1ra quincena de septiembre de 2021. </w:t>
            </w:r>
          </w:p>
        </w:tc>
      </w:tr>
    </w:tbl>
    <w:p w14:paraId="7D3F5245"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señalar que, en el veintiocho de octubre de dos mil veintiuno y el diez de enero de dos mil veintidós se notificaron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los archivos remitidos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informe justificado, con excepción del archivo electrónico identificado  como</w:t>
      </w:r>
      <w:r>
        <w:rPr>
          <w:rFonts w:ascii="Palatino Linotype" w:eastAsia="Palatino Linotype" w:hAnsi="Palatino Linotype" w:cs="Palatino Linotype"/>
          <w:b/>
          <w:i/>
        </w:rPr>
        <w:t xml:space="preserve">“2da de abril.pdf”, </w:t>
      </w:r>
      <w:r>
        <w:rPr>
          <w:rFonts w:ascii="Palatino Linotype" w:eastAsia="Palatino Linotype" w:hAnsi="Palatino Linotype" w:cs="Palatino Linotype"/>
        </w:rPr>
        <w:t xml:space="preserve">el cual no se puso a la vista particular por </w:t>
      </w:r>
      <w:r>
        <w:rPr>
          <w:rFonts w:ascii="Palatino Linotype" w:eastAsia="Palatino Linotype" w:hAnsi="Palatino Linotype" w:cs="Palatino Linotype"/>
        </w:rPr>
        <w:lastRenderedPageBreak/>
        <w:t xml:space="preserve">observarse en su contenido datos personales susceptibles de clasificar como información confidencial. </w:t>
      </w:r>
    </w:p>
    <w:p w14:paraId="01442671" w14:textId="77777777" w:rsidR="00777CC2" w:rsidRDefault="00405FB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El cuatro de noviembre del año dos mil veintiuno y dieciocho de enero de dos mil veintidós, con fundamento en lo establecido en los artículos 185, fracción VI de la 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2E837CD1"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10. Ampliación del plazo. </w:t>
      </w:r>
      <w:r>
        <w:rPr>
          <w:rFonts w:ascii="Palatino Linotype" w:eastAsia="Palatino Linotype" w:hAnsi="Palatino Linotype" w:cs="Palatino Linotype"/>
        </w:rPr>
        <w:t>En fecha dieciocho de enero de dos mil veintidós,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5582783" w14:textId="77777777" w:rsidR="00777CC2" w:rsidRDefault="00405FBF">
      <w:pPr>
        <w:spacing w:before="240" w:after="240" w:line="360" w:lineRule="auto"/>
        <w:jc w:val="both"/>
      </w:pPr>
      <w:r>
        <w:rPr>
          <w:rFonts w:ascii="Palatino Linotype" w:eastAsia="Palatino Linotype" w:hAnsi="Palatino Linotype" w:cs="Palatino Linotype"/>
          <w:b/>
        </w:rPr>
        <w:t xml:space="preserve">11. Recurso de Revisión desistido. </w:t>
      </w:r>
      <w:r>
        <w:rPr>
          <w:rFonts w:ascii="Palatino Linotype" w:eastAsia="Palatino Linotype" w:hAnsi="Palatino Linotype" w:cs="Palatino Linotype"/>
        </w:rPr>
        <w:t xml:space="preserve">El diecinueve de enero de dos mil veintidós, la </w:t>
      </w:r>
      <w:r>
        <w:rPr>
          <w:rFonts w:ascii="Palatino Linotype" w:eastAsia="Palatino Linotype" w:hAnsi="Palatino Linotype" w:cs="Palatino Linotype"/>
          <w:b/>
        </w:rPr>
        <w:t xml:space="preserve">RECURRETE </w:t>
      </w:r>
      <w:r>
        <w:rPr>
          <w:rFonts w:ascii="Palatino Linotype" w:eastAsia="Palatino Linotype" w:hAnsi="Palatino Linotype" w:cs="Palatino Linotype"/>
        </w:rPr>
        <w:t xml:space="preserve"> se desistió de la interposición del recurso de revisión número </w:t>
      </w:r>
      <w:r>
        <w:rPr>
          <w:rFonts w:ascii="Palatino Linotype" w:eastAsia="Palatino Linotype" w:hAnsi="Palatino Linotype" w:cs="Palatino Linotype"/>
          <w:b/>
          <w:sz w:val="21"/>
          <w:szCs w:val="21"/>
        </w:rPr>
        <w:t>05125/INFOEM/IP/RR/2021</w:t>
      </w:r>
      <w:r>
        <w:rPr>
          <w:rFonts w:ascii="Palatino Linotype" w:eastAsia="Palatino Linotype" w:hAnsi="Palatino Linotype" w:cs="Palatino Linotype"/>
        </w:rPr>
        <w:t xml:space="preserve">  y manifestó:</w:t>
      </w:r>
      <w:r>
        <w:t xml:space="preserve"> </w:t>
      </w:r>
    </w:p>
    <w:p w14:paraId="21F07371" w14:textId="77777777" w:rsidR="00777CC2" w:rsidRDefault="00405FBF">
      <w:pPr>
        <w:spacing w:before="240" w:after="240" w:line="360" w:lineRule="auto"/>
        <w:ind w:left="851"/>
        <w:jc w:val="both"/>
        <w:rPr>
          <w:rFonts w:ascii="Palatino Linotype" w:eastAsia="Palatino Linotype" w:hAnsi="Palatino Linotype" w:cs="Palatino Linotype"/>
          <w:i/>
        </w:rPr>
      </w:pPr>
      <w:r>
        <w:t>“</w:t>
      </w:r>
      <w:r>
        <w:rPr>
          <w:rFonts w:ascii="Palatino Linotype" w:eastAsia="Palatino Linotype" w:hAnsi="Palatino Linotype" w:cs="Palatino Linotype"/>
          <w:i/>
        </w:rPr>
        <w:t>Ya tengo la información” (Sic)</w:t>
      </w:r>
    </w:p>
    <w:p w14:paraId="208983A4" w14:textId="77777777" w:rsidR="00777CC2" w:rsidRDefault="00405FBF">
      <w:pPr>
        <w:numPr>
          <w:ilvl w:val="0"/>
          <w:numId w:val="8"/>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568BF4A5" w14:textId="77777777" w:rsidR="00777CC2" w:rsidRDefault="00405FB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w:t>
      </w:r>
      <w:r>
        <w:rPr>
          <w:rFonts w:ascii="Palatino Linotype" w:eastAsia="Palatino Linotype" w:hAnsi="Palatino Linotype" w:cs="Palatino Linotype"/>
          <w:highlight w:val="white"/>
        </w:rPr>
        <w:lastRenderedPageBreak/>
        <w:t xml:space="preserve">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523539C4"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5EF5F1DD"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recursos de revisión fueron interpuestos dentro del plazo de quince días hábiles, previsto en el artículo 178 de la Ley de Transparencia y Acceso a la Información Pública del Estado de México y Municipios, ya que el Sujeto Obligado proporcionó respuestas a las solicitudes de información el once y quince de octubre  de dos mil veintiuno, mientras que la recurrente interpuso los recursos de revisión el doce y dieciocho de octubre del mismo año, esto es al primer y segundo día posterior al que se notificaron las respuestas respectivamente; por ende, dentro del término legal que prevé el arábigo de referencia.</w:t>
      </w:r>
    </w:p>
    <w:p w14:paraId="1C4C8713" w14:textId="77777777" w:rsidR="00777CC2" w:rsidRDefault="00405FBF">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lastRenderedPageBreak/>
        <w:t>Por lo tanto, se acreditan los elementos formales exigidos por el artículo 180 de la Ley de Transparencia y Acceso a la Información Pública del Estado de México y Municipios, en atención a que fue presentado mediante el formato visible en el</w:t>
      </w:r>
      <w:r>
        <w:rPr>
          <w:rFonts w:ascii="Palatino Linotype" w:eastAsia="Palatino Linotype" w:hAnsi="Palatino Linotype" w:cs="Palatino Linotype"/>
          <w:b/>
        </w:rPr>
        <w:t xml:space="preserve"> SAIMEX. </w:t>
      </w:r>
    </w:p>
    <w:p w14:paraId="3EE6AAEF" w14:textId="77777777" w:rsidR="00777CC2" w:rsidRDefault="00777CC2">
      <w:pPr>
        <w:spacing w:line="360" w:lineRule="auto"/>
        <w:ind w:right="-150"/>
        <w:jc w:val="both"/>
        <w:rPr>
          <w:rFonts w:ascii="Palatino Linotype" w:eastAsia="Palatino Linotype" w:hAnsi="Palatino Linotype" w:cs="Palatino Linotype"/>
          <w:b/>
        </w:rPr>
      </w:pPr>
    </w:p>
    <w:p w14:paraId="32387428" w14:textId="77777777" w:rsidR="00777CC2" w:rsidRDefault="00405FBF">
      <w:pP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Asimismo, se advierte que resulta procedente la interposición del recurso, según lo manifestado por el recurrente en sus motivos de inconformidad, de acuerdo al artículo 179, fracción IX del ordenamiento legal citado, que a la letra dice:</w:t>
      </w:r>
    </w:p>
    <w:p w14:paraId="3ACCFA7F" w14:textId="77777777" w:rsidR="00777CC2" w:rsidRDefault="00405FBF">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4B2BD6A" w14:textId="77777777" w:rsidR="00777CC2" w:rsidRDefault="00405FBF">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38197F33" w14:textId="77777777" w:rsidR="00777CC2" w:rsidRDefault="00405FBF">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IX.</w:t>
      </w:r>
      <w:r>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45318C63" w14:textId="77777777" w:rsidR="00777CC2" w:rsidRDefault="00405FBF">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18E38909"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Causales de sobreseimiento del Recurso de revisión </w:t>
      </w:r>
      <w:r>
        <w:rPr>
          <w:rFonts w:ascii="Palatino Linotype" w:eastAsia="Palatino Linotype" w:hAnsi="Palatino Linotype" w:cs="Palatino Linotype"/>
          <w:b/>
          <w:sz w:val="21"/>
          <w:szCs w:val="21"/>
        </w:rPr>
        <w:t>05125/INFOEM/IP/RR/2021.</w:t>
      </w:r>
    </w:p>
    <w:p w14:paraId="6C0CD44A"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términos de lo dispuesto por los artículos 176 y 179 de la Ley de Transparencia y Acceso a la Información Pública del Estado de México y Municipios, el recurso de revisión es la garantía secundaria que la Ley otorga a los particulares para reparar cualquier posible afectación a su derecho de acceso a la información pública, reconocido en el artículo 6 de la Constitución Política de los Estados Unidos Mexicanos, al prever que toda la información en posesión de cualquier autoridad, entidad, órgano y organismo federal, estatal y municipal, es pública y sólo podrá ser </w:t>
      </w:r>
      <w:r>
        <w:rPr>
          <w:rFonts w:ascii="Palatino Linotype" w:eastAsia="Palatino Linotype" w:hAnsi="Palatino Linotype" w:cs="Palatino Linotype"/>
        </w:rPr>
        <w:lastRenderedPageBreak/>
        <w:t>reservada temporalmente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433919A9" w14:textId="77777777" w:rsidR="00777CC2" w:rsidRDefault="00405FBF">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Así como en el diverso 5, párrafo vigésimo cuarto, fracción I de la Constitución Política del Estado Libre y Soberano de México dispone que </w:t>
      </w:r>
      <w:r>
        <w:rPr>
          <w:rFonts w:ascii="Palatino Linotype" w:eastAsia="Palatino Linotype" w:hAnsi="Palatino Linotype" w:cs="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009A4F20"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para efectos del presente considerando, cabe hacer alusión al contenido de la Ley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Pr>
          <w:rFonts w:ascii="Palatino Linotype" w:eastAsia="Palatino Linotype" w:hAnsi="Palatino Linotype" w:cs="Palatino Linotype"/>
          <w:sz w:val="20"/>
          <w:szCs w:val="20"/>
          <w:vertAlign w:val="superscript"/>
        </w:rPr>
        <w:footnoteReference w:id="1"/>
      </w:r>
      <w:r>
        <w:rPr>
          <w:rFonts w:ascii="Palatino Linotype" w:eastAsia="Palatino Linotype" w:hAnsi="Palatino Linotype" w:cs="Palatino Linotype"/>
        </w:rPr>
        <w:t xml:space="preserve"> o en cualquier momento siempre que el sujeto obligado no atienda la solicitud, de allí que, surge el hecho de que este Instituto deba resolver 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3ADA333A" w14:textId="77777777" w:rsidR="00777CC2" w:rsidRDefault="00405FBF">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186.</w:t>
      </w:r>
      <w:r>
        <w:rPr>
          <w:rFonts w:ascii="Palatino Linotype" w:eastAsia="Palatino Linotype" w:hAnsi="Palatino Linotype" w:cs="Palatino Linotype"/>
          <w:i/>
          <w:sz w:val="20"/>
          <w:szCs w:val="20"/>
        </w:rPr>
        <w:t xml:space="preserve"> Las resoluciones del Instituto podrán: </w:t>
      </w:r>
    </w:p>
    <w:p w14:paraId="5FEBFF2D" w14:textId="77777777" w:rsidR="00777CC2" w:rsidRDefault="00405FBF">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I. Desechar o sobreseer el recurso; …</w:t>
      </w:r>
    </w:p>
    <w:p w14:paraId="7BA9551C" w14:textId="77777777" w:rsidR="00777CC2" w:rsidRDefault="00405FBF">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192.</w:t>
      </w:r>
      <w:r>
        <w:rPr>
          <w:rFonts w:ascii="Palatino Linotype" w:eastAsia="Palatino Linotype" w:hAnsi="Palatino Linotype" w:cs="Palatino Linotype"/>
          <w:i/>
          <w:sz w:val="20"/>
          <w:szCs w:val="20"/>
        </w:rPr>
        <w:t xml:space="preserve"> El recurso será sobreseído, en todo o en parte, cuando una vez admitido, se actualicen alguno de los siguientes supuestos:  </w:t>
      </w:r>
    </w:p>
    <w:p w14:paraId="2A33055D" w14:textId="77777777" w:rsidR="00777CC2" w:rsidRDefault="00405FBF">
      <w:pPr>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 El recurrente se desista expresamente del recurso; </w:t>
      </w:r>
    </w:p>
    <w:p w14:paraId="026193BC" w14:textId="77777777" w:rsidR="00777CC2" w:rsidRDefault="00405FBF">
      <w:pPr>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 El recurrente fallezca o, tratándose de personas jurídicas colectivas, se disuelva; </w:t>
      </w:r>
    </w:p>
    <w:p w14:paraId="746D49B1" w14:textId="77777777" w:rsidR="00777CC2" w:rsidRDefault="00405FBF">
      <w:pPr>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III. El sujeto obligado responsable del acto lo modifique o revoque de tal manera que el recurso de revisión quede sin materia; </w:t>
      </w:r>
    </w:p>
    <w:p w14:paraId="1FB10690" w14:textId="77777777" w:rsidR="00777CC2" w:rsidRDefault="00405FBF">
      <w:pPr>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IV. Admitido el recurso de revisión, aparezca alguna causal de improcedencia en los términos de la presente Ley; y </w:t>
      </w:r>
    </w:p>
    <w:p w14:paraId="65558512" w14:textId="77777777" w:rsidR="00777CC2" w:rsidRDefault="00405FBF">
      <w:pPr>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 Cuando por cualquier motivo quede sin materia el recurso</w:t>
      </w:r>
      <w:r>
        <w:t>.</w:t>
      </w:r>
      <w:r>
        <w:rPr>
          <w:rFonts w:ascii="Palatino Linotype" w:eastAsia="Palatino Linotype" w:hAnsi="Palatino Linotype" w:cs="Palatino Linotype"/>
          <w:i/>
          <w:sz w:val="20"/>
          <w:szCs w:val="20"/>
        </w:rPr>
        <w:t>”</w:t>
      </w:r>
    </w:p>
    <w:p w14:paraId="1CDEFDAD" w14:textId="77777777" w:rsidR="00777CC2" w:rsidRDefault="00405FB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función de la disposición normativa señalada, se configura la causal de sobreseimiento prevista en la fracción I del citado artículo 192, toda vez la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se desistió al recurso de revisión, dejando sin materia el medio de impugnación que nos ocupa.</w:t>
      </w:r>
    </w:p>
    <w:p w14:paraId="31B68C2C" w14:textId="77777777" w:rsidR="00777CC2" w:rsidRDefault="00405FBF">
      <w:pPr>
        <w:tabs>
          <w:tab w:val="left" w:pos="709"/>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Acto jurídico que trae implícito que se </w:t>
      </w:r>
      <w:r>
        <w:rPr>
          <w:rFonts w:ascii="Palatino Linotype" w:eastAsia="Palatino Linotype" w:hAnsi="Palatino Linotype" w:cs="Palatino Linotype"/>
          <w:i/>
        </w:rPr>
        <w:t>renuncie o abandone al ejercicio de una acción procesal o de un derecho reconocido por ley</w:t>
      </w:r>
      <w:r>
        <w:rPr>
          <w:rFonts w:ascii="Palatino Linotype" w:eastAsia="Palatino Linotype" w:hAnsi="Palatino Linotype" w:cs="Palatino Linotype"/>
          <w:i/>
          <w:vertAlign w:val="superscript"/>
        </w:rPr>
        <w:footnoteReference w:id="2"/>
      </w:r>
      <w:r>
        <w:rPr>
          <w:rFonts w:ascii="Palatino Linotype" w:eastAsia="Palatino Linotype" w:hAnsi="Palatino Linotype" w:cs="Palatino Linotype"/>
          <w:i/>
        </w:rPr>
        <w:t xml:space="preserve">, </w:t>
      </w:r>
      <w:r>
        <w:rPr>
          <w:rFonts w:ascii="Palatino Linotype" w:eastAsia="Palatino Linotype" w:hAnsi="Palatino Linotype" w:cs="Palatino Linotype"/>
        </w:rPr>
        <w:t>al considerarse que el</w:t>
      </w:r>
      <w:r>
        <w:rPr>
          <w:rFonts w:ascii="Palatino Linotype" w:eastAsia="Palatino Linotype" w:hAnsi="Palatino Linotype" w:cs="Palatino Linotype"/>
          <w:i/>
        </w:rPr>
        <w:t xml:space="preserve"> </w:t>
      </w:r>
      <w:r>
        <w:rPr>
          <w:rFonts w:ascii="Palatino Linotype" w:eastAsia="Palatino Linotype" w:hAnsi="Palatino Linotype" w:cs="Palatino Linotype"/>
        </w:rPr>
        <w:t>desistimiento es un acto procesal que permite manifestar el propósito de abandonar una instancia, la reclamación de un derecho o la realización de cualquier otro trámite de un procedimiento iniciado, por el particular; que tiene efectos legales, como lo es, la anulación de todos los actos procesales verificados y sus consecuencias, es decir, se tendría por no accionado el derecho de acceso a la información y por ende a que no haya acto reclamado, en el caso del recurso de revisión.</w:t>
      </w:r>
    </w:p>
    <w:p w14:paraId="432C41E9"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se entiende que el acceder a la información pública tiene la naturaleza de un derecho subjetivo, por lo que quien lo ejerza contará con la posibilidad, de así </w:t>
      </w:r>
      <w:r>
        <w:rPr>
          <w:rFonts w:ascii="Palatino Linotype" w:eastAsia="Palatino Linotype" w:hAnsi="Palatino Linotype" w:cs="Palatino Linotype"/>
        </w:rPr>
        <w:lastRenderedPageBreak/>
        <w:t>considerarlo conveniente a sus intereses, de desistirse del mismo, así en el caso el recurrente ejerció su derecho de acceso a la información pública y posteriormente de interponer el recurso de revisión contra la respuesta que le fue otorgada a su solicitud; sin embargo, también fue su deseo desistirse del  referido recurso, por ende dicha circunstancia es la que se toma en consideración para el dictado de la presente resolución.</w:t>
      </w:r>
    </w:p>
    <w:p w14:paraId="13E95DE4"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de las constancias que obran en el expediente electrónico,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fecha diecinueve de enero de dos mil veintidós, manifestó su desistimiento al recurso de revisión interpuesto, tal como se advierte en la siguiente captura de pantalla:</w:t>
      </w:r>
    </w:p>
    <w:p w14:paraId="7AC3A9EC" w14:textId="4E2A4D1C" w:rsidR="00777CC2" w:rsidRDefault="00753BDD">
      <w:pPr>
        <w:spacing w:before="240" w:after="240" w:line="360" w:lineRule="auto"/>
        <w:jc w:val="both"/>
        <w:rPr>
          <w:rFonts w:ascii="Palatino Linotype" w:eastAsia="Palatino Linotype" w:hAnsi="Palatino Linotype" w:cs="Palatino Linotype"/>
        </w:rPr>
      </w:pPr>
      <w:r w:rsidRPr="00753BDD">
        <w:rPr>
          <w:rFonts w:ascii="Palatino Linotype" w:eastAsia="Palatino Linotype" w:hAnsi="Palatino Linotype" w:cs="Palatino Linotype"/>
          <w:noProof/>
          <w:lang w:val="es-MX" w:eastAsia="es-MX"/>
        </w:rPr>
        <w:drawing>
          <wp:inline distT="0" distB="0" distL="0" distR="0" wp14:anchorId="743FFF74" wp14:editId="47DD108D">
            <wp:extent cx="5612130" cy="37230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723005"/>
                    </a:xfrm>
                    <a:prstGeom prst="rect">
                      <a:avLst/>
                    </a:prstGeom>
                  </pic:spPr>
                </pic:pic>
              </a:graphicData>
            </a:graphic>
          </wp:inline>
        </w:drawing>
      </w:r>
    </w:p>
    <w:p w14:paraId="3F5AC87B"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Bajo dicho pronunciamiento no resulta proced</w:t>
      </w:r>
      <w:bookmarkStart w:id="6" w:name="_GoBack"/>
      <w:bookmarkEnd w:id="6"/>
      <w:r>
        <w:rPr>
          <w:rFonts w:ascii="Palatino Linotype" w:eastAsia="Palatino Linotype" w:hAnsi="Palatino Linotype" w:cs="Palatino Linotype"/>
        </w:rPr>
        <w:t xml:space="preserve">ente analizar el recurso de revisión bajo un plano de legalidad, toda vez que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realizó la manifestación expresa de su voluntad para desistirse del medio de impugnación, situación que conlleva a emitir la resolución con la que se finaliza el procedimiento del recurso, independientemente de la etapa en que este se encuentre y sin necesidad de examinar las razones o motivos de inconformidad, por lo cual debe precisarse que en el presente asunto, el sobreseimiento se origina en virtud de las propias expresiones y actuaciones del particular, que declina la continuación del recurso de revisión que instó originalmente, en consecuencia, este Órgano Garante determina que el efecto inmediato en el asunto, es sobreseerlo.</w:t>
      </w:r>
    </w:p>
    <w:p w14:paraId="18C9F95E"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se fortalece con las siguientes tesis jurisprudenciales:</w:t>
      </w:r>
    </w:p>
    <w:p w14:paraId="17704718" w14:textId="77777777" w:rsidR="00777CC2" w:rsidRDefault="00405FBF">
      <w:pPr>
        <w:spacing w:after="120"/>
        <w:ind w:left="851" w:right="85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“DESISTIMIENTO DE LA ACCIÓN DE AMPARO. SUS CONSECUENCIAS. </w:t>
      </w:r>
      <w:r>
        <w:rPr>
          <w:rFonts w:ascii="Palatino Linotype" w:eastAsia="Palatino Linotype" w:hAnsi="Palatino Linotype" w:cs="Palatino Linotype"/>
          <w:i/>
          <w:sz w:val="20"/>
          <w:szCs w:val="20"/>
        </w:rPr>
        <w:t xml:space="preserve">El </w:t>
      </w:r>
      <w:r>
        <w:rPr>
          <w:rFonts w:ascii="Palatino Linotype" w:eastAsia="Palatino Linotype" w:hAnsi="Palatino Linotype" w:cs="Palatino Linotype"/>
          <w:b/>
          <w:i/>
          <w:sz w:val="20"/>
          <w:szCs w:val="20"/>
        </w:rPr>
        <w:t>desistimiento de la acción de amparo consiste en la declaración de voluntad del quejoso de no proseguir con el juicio</w:t>
      </w:r>
      <w:r>
        <w:rPr>
          <w:rFonts w:ascii="Palatino Linotype" w:eastAsia="Palatino Linotype" w:hAnsi="Palatino Linotype" w:cs="Palatino Linotype"/>
          <w:i/>
          <w:sz w:val="20"/>
          <w:szCs w:val="20"/>
        </w:rPr>
        <w:t xml:space="preserve">, el cual, debidamente ratificado, </w:t>
      </w:r>
      <w:r>
        <w:rPr>
          <w:rFonts w:ascii="Palatino Linotype" w:eastAsia="Palatino Linotype" w:hAnsi="Palatino Linotype" w:cs="Palatino Linotype"/>
          <w:b/>
          <w:i/>
          <w:sz w:val="20"/>
          <w:szCs w:val="20"/>
        </w:rPr>
        <w:t>conlleva emitir una resolución con la que finaliza la instancia de amparo, independientemente de la etapa en que se encuentre</w:t>
      </w:r>
      <w:r>
        <w:rPr>
          <w:rFonts w:ascii="Palatino Linotype" w:eastAsia="Palatino Linotype" w:hAnsi="Palatino Linotype" w:cs="Palatino Linotype"/>
          <w:i/>
          <w:sz w:val="20"/>
          <w:szCs w:val="20"/>
        </w:rPr>
        <w:t xml:space="preserve"> (desde el inicio del juicio hasta antes de que cause ejecutoria la sentencia que se dicte) </w:t>
      </w:r>
      <w:r>
        <w:rPr>
          <w:rFonts w:ascii="Palatino Linotype" w:eastAsia="Palatino Linotype" w:hAnsi="Palatino Linotype" w:cs="Palatino Linotype"/>
          <w:b/>
          <w:i/>
          <w:sz w:val="20"/>
          <w:szCs w:val="20"/>
        </w:rPr>
        <w:t>y sin necesidad de examinar los conceptos de violación o, en su caso, los agravios</w:t>
      </w:r>
      <w:r>
        <w:rPr>
          <w:rFonts w:ascii="Palatino Linotype" w:eastAsia="Palatino Linotype" w:hAnsi="Palatino Linotype" w:cs="Palatino Linotype"/>
          <w:i/>
          <w:sz w:val="20"/>
          <w:szCs w:val="20"/>
        </w:rPr>
        <w:t>.”</w:t>
      </w:r>
    </w:p>
    <w:p w14:paraId="4964232F" w14:textId="77777777" w:rsidR="00777CC2" w:rsidRDefault="00777CC2">
      <w:pPr>
        <w:spacing w:after="120"/>
        <w:ind w:left="851" w:right="851"/>
        <w:jc w:val="both"/>
        <w:rPr>
          <w:rFonts w:ascii="Palatino Linotype" w:eastAsia="Palatino Linotype" w:hAnsi="Palatino Linotype" w:cs="Palatino Linotype"/>
          <w:i/>
          <w:sz w:val="20"/>
          <w:szCs w:val="20"/>
        </w:rPr>
      </w:pPr>
    </w:p>
    <w:p w14:paraId="21A69625" w14:textId="77777777" w:rsidR="00777CC2" w:rsidRDefault="00405FBF">
      <w:pPr>
        <w:spacing w:after="120"/>
        <w:ind w:left="851" w:right="85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“DESISTIMIENTO DE LA DEMANDA DE AMPARO DIRECTO. NO ACTUALIZA LA HIPÓTESIS DEL SEGUNDO PÁRRAFO DEL ARTÍCULO 64 DE LA LEY DE LA MATERIA, EN EL SENTIDO DE DAR VISTA AL QUEJOSO PARA QUE MANIFIESTE LO QUE A SU DERECHO CONVENGA. Cuando el quejoso desiste expresamente de su demanda de amparo directo, debe decretarse el sobreseimiento en el juicio</w:t>
      </w:r>
      <w:r>
        <w:rPr>
          <w:rFonts w:ascii="Palatino Linotype" w:eastAsia="Palatino Linotype" w:hAnsi="Palatino Linotype" w:cs="Palatino Linotype"/>
          <w:i/>
          <w:sz w:val="20"/>
          <w:szCs w:val="20"/>
        </w:rPr>
        <w:t xml:space="preserve">. En esa hipótesis, </w:t>
      </w:r>
      <w:r>
        <w:rPr>
          <w:rFonts w:ascii="Palatino Linotype" w:eastAsia="Palatino Linotype" w:hAnsi="Palatino Linotype" w:cs="Palatino Linotype"/>
          <w:b/>
          <w:i/>
          <w:sz w:val="20"/>
          <w:szCs w:val="20"/>
        </w:rPr>
        <w:t>es innecesario acatar la obligación procesal prevista en el segundo párrafo del artículo 64 de la ley de la materia</w:t>
      </w:r>
      <w:r>
        <w:rPr>
          <w:rFonts w:ascii="Palatino Linotype" w:eastAsia="Palatino Linotype" w:hAnsi="Palatino Linotype" w:cs="Palatino Linotype"/>
          <w:i/>
          <w:sz w:val="20"/>
          <w:szCs w:val="20"/>
        </w:rPr>
        <w:t xml:space="preserve">, en tanto que no se actualiza el supuesto normativo ni jurisprudencial consistente en que, cuando un órgano jurisdiccional de amparo advierta de oficio una causal de improcedencia no alegada por alguna de las partes ni analizada por un órgano jurisdiccional inferior, dará vista al quejoso para que, en el plazo de tres días, manifieste lo que a su derecho </w:t>
      </w:r>
      <w:r>
        <w:rPr>
          <w:rFonts w:ascii="Palatino Linotype" w:eastAsia="Palatino Linotype" w:hAnsi="Palatino Linotype" w:cs="Palatino Linotype"/>
          <w:i/>
          <w:sz w:val="20"/>
          <w:szCs w:val="20"/>
        </w:rPr>
        <w:lastRenderedPageBreak/>
        <w:t xml:space="preserve">convenga. Lo anterior, porque no se trata de una causa legal de improcedencia ni de sobreseimiento oficiosa, que no haya sido analizada en la primera instancia del juicio primigenio. De ahí que </w:t>
      </w:r>
      <w:r>
        <w:rPr>
          <w:rFonts w:ascii="Palatino Linotype" w:eastAsia="Palatino Linotype" w:hAnsi="Palatino Linotype" w:cs="Palatino Linotype"/>
          <w:b/>
          <w:i/>
          <w:sz w:val="20"/>
          <w:szCs w:val="20"/>
        </w:rPr>
        <w:t>si el sobreseimiento se origina en virtud de las propias expresiones y actuaciones del quejoso, que declina la continuación del juicio que instó originalmente, sería ilógico y contrario al artículo 17 de la Constitución Política de los Estados Unidos Mexicanos, dar el trámite citado contra la propia voluntad del accionante que abdica su petición y antepone el desistimiento, el que debe producir efectos jurídicos con inmediatez y prontitud en el haber de aquél</w:t>
      </w:r>
      <w:r>
        <w:rPr>
          <w:rFonts w:ascii="Palatino Linotype" w:eastAsia="Palatino Linotype" w:hAnsi="Palatino Linotype" w:cs="Palatino Linotype"/>
          <w:i/>
          <w:sz w:val="20"/>
          <w:szCs w:val="20"/>
        </w:rPr>
        <w:t>.”</w:t>
      </w:r>
    </w:p>
    <w:p w14:paraId="0EDADBA4" w14:textId="77777777" w:rsidR="00777CC2" w:rsidRDefault="00777CC2">
      <w:pPr>
        <w:ind w:left="851" w:right="851"/>
        <w:jc w:val="both"/>
        <w:rPr>
          <w:rFonts w:ascii="Palatino Linotype" w:eastAsia="Palatino Linotype" w:hAnsi="Palatino Linotype" w:cs="Palatino Linotype"/>
          <w:i/>
          <w:sz w:val="22"/>
          <w:szCs w:val="22"/>
        </w:rPr>
      </w:pPr>
    </w:p>
    <w:p w14:paraId="7D28E004" w14:textId="77777777" w:rsidR="00777CC2" w:rsidRDefault="00405FBF">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este Órgano Garante determina sobreseer el asunto en lo principal, después de analizar las constancias que integran el recurso de revisión al rubro anotado, razón por la cual se tiene por terminada la controversia planteada por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debido a que se</w:t>
      </w:r>
      <w:r>
        <w:rPr>
          <w:rFonts w:ascii="Palatino Linotype" w:eastAsia="Palatino Linotype" w:hAnsi="Palatino Linotype" w:cs="Palatino Linotype"/>
          <w:b/>
        </w:rPr>
        <w:t xml:space="preserve"> </w:t>
      </w:r>
      <w:r>
        <w:rPr>
          <w:rFonts w:ascii="Palatino Linotype" w:eastAsia="Palatino Linotype" w:hAnsi="Palatino Linotype" w:cs="Palatino Linotype"/>
        </w:rPr>
        <w:t>actualiza la causal de sobreseimiento prevista en la fracción I del artículo 192 de la Ley de Transparencia y Acceso a la Información Pública del Estado de México y Municipios, que dispone lo siguiente:</w:t>
      </w:r>
    </w:p>
    <w:p w14:paraId="2426F78F" w14:textId="77777777" w:rsidR="00777CC2" w:rsidRDefault="00405FBF">
      <w:pPr>
        <w:spacing w:after="120"/>
        <w:ind w:left="851"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192. </w:t>
      </w:r>
      <w:r>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05F3F767" w14:textId="77777777" w:rsidR="00777CC2" w:rsidRDefault="00405FBF">
      <w:pPr>
        <w:spacing w:after="120"/>
        <w:ind w:left="1134" w:right="104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El recurrente se desista expresamente del recurso…”</w:t>
      </w:r>
    </w:p>
    <w:p w14:paraId="7B66E4B5"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parte recurrente, el sobreseimiento tiene por efecto dar por concluido el recurso administrativo sin entrar al estudio de fondo del asunto de que se trate; lo anterior con apoyo en el criterio del Poder Judicial de la Federación </w:t>
      </w:r>
      <w:r>
        <w:rPr>
          <w:rFonts w:ascii="Palatino Linotype" w:eastAsia="Palatino Linotype" w:hAnsi="Palatino Linotype" w:cs="Palatino Linotype"/>
        </w:rPr>
        <w:lastRenderedPageBreak/>
        <w:t xml:space="preserve">con rubro: </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SOBRESEIMIENTO, NO PERMITE ENTRAR AL ESTUDIO DE LAS CUESTIONES DE FONDO”</w:t>
      </w:r>
      <w:r>
        <w:rPr>
          <w:rFonts w:ascii="Palatino Linotype" w:eastAsia="Palatino Linotype" w:hAnsi="Palatino Linotype" w:cs="Palatino Linotype"/>
          <w:b/>
          <w:vertAlign w:val="superscript"/>
        </w:rPr>
        <w:footnoteReference w:id="3"/>
      </w:r>
      <w:r>
        <w:rPr>
          <w:rFonts w:ascii="Palatino Linotype" w:eastAsia="Palatino Linotype" w:hAnsi="Palatino Linotype" w:cs="Palatino Linotype"/>
          <w:b/>
        </w:rPr>
        <w:t>.</w:t>
      </w:r>
    </w:p>
    <w:p w14:paraId="35610018"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cabe destacar que la decisión de este órgano colegiado de sobreseer el recurso de revisión no implica una limitación o negación a la justicia, según lo ha establecido la Suprema corte de Justicia de la Nación, en el criterio con rubro y texto siguiente, que es aplicable por analogía:</w:t>
      </w:r>
    </w:p>
    <w:p w14:paraId="654D7ACC" w14:textId="77777777" w:rsidR="00777CC2" w:rsidRDefault="00405FBF">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rPr>
        <w:t xml:space="preserve"> </w:t>
      </w: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 xml:space="preserve">DESECHAMIENTO O SOBRESEIMIENTO EN EL JUICIO DE AMPARO. NO IMPLICA DENEGACIÓN DE JUSTICIA NI GENERA INSEGURIDAD JURÍDICA. </w:t>
      </w:r>
      <w:r>
        <w:rPr>
          <w:rFonts w:ascii="Palatino Linotype" w:eastAsia="Palatino Linotype" w:hAnsi="Palatino Linotype" w:cs="Palatino Linotype"/>
          <w:i/>
          <w:sz w:val="20"/>
          <w:szCs w:val="20"/>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686CDB65"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en términos del artículo 192 fracción I de la Ley de Transparencia y Acceso a la Información Pública del Estado de México y Municipios, este Órgano Garante </w:t>
      </w:r>
      <w:r>
        <w:rPr>
          <w:rFonts w:ascii="Palatino Linotype" w:eastAsia="Palatino Linotype" w:hAnsi="Palatino Linotype" w:cs="Palatino Linotype"/>
        </w:rPr>
        <w:lastRenderedPageBreak/>
        <w:t xml:space="preserve">considera procedente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 xml:space="preserve">el recurso de revisión </w:t>
      </w:r>
      <w:r>
        <w:rPr>
          <w:rFonts w:ascii="Palatino Linotype" w:eastAsia="Palatino Linotype" w:hAnsi="Palatino Linotype" w:cs="Palatino Linotype"/>
          <w:b/>
        </w:rPr>
        <w:t xml:space="preserve">05125/INFOEM/IP/RR/2021. </w:t>
      </w:r>
    </w:p>
    <w:p w14:paraId="33299220" w14:textId="77777777" w:rsidR="00777CC2" w:rsidRDefault="00405FBF">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Materia de la revisión en el recurso de revisión </w:t>
      </w:r>
      <w:r>
        <w:rPr>
          <w:rFonts w:ascii="Palatino Linotype" w:eastAsia="Palatino Linotype" w:hAnsi="Palatino Linotype" w:cs="Palatino Linotype"/>
          <w:b/>
          <w:sz w:val="21"/>
          <w:szCs w:val="21"/>
        </w:rPr>
        <w:t>05014/INFOEM/IP/RR/2021</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la revisión a las constancias que obran en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parte del SUJETO OBLIGADO satisface los requerimientos de la ahora recurrente, o en su caso procede ordenar la entrega de la información faltante; </w:t>
      </w:r>
      <w:r>
        <w:rPr>
          <w:rFonts w:ascii="Palatino Linotype" w:eastAsia="Palatino Linotype" w:hAnsi="Palatino Linotype" w:cs="Palatino Linotype"/>
        </w:rPr>
        <w:t xml:space="preserve">y así, determinar si se actualiza la causal de procedencia prevista en el artículo 179, fracción IX de la </w:t>
      </w:r>
      <w:r>
        <w:rPr>
          <w:rFonts w:ascii="Palatino Linotype" w:eastAsia="Palatino Linotype" w:hAnsi="Palatino Linotype" w:cs="Palatino Linotype"/>
          <w:b/>
        </w:rPr>
        <w:t xml:space="preserve">Ley de Transparencia y Acceso a la Información Pública del Estado de México y Municipios, </w:t>
      </w:r>
      <w:r>
        <w:rPr>
          <w:rFonts w:ascii="Palatino Linotype" w:eastAsia="Palatino Linotype" w:hAnsi="Palatino Linotype" w:cs="Palatino Linotype"/>
        </w:rPr>
        <w:t xml:space="preserve">que a la letra dice: </w:t>
      </w:r>
    </w:p>
    <w:p w14:paraId="5CD7A6B2" w14:textId="77777777" w:rsidR="00777CC2" w:rsidRDefault="00405FB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822E908" w14:textId="77777777" w:rsidR="00777CC2" w:rsidRDefault="00405FBF">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E52C719" w14:textId="77777777" w:rsidR="00777CC2" w:rsidRDefault="00405FBF">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IX.</w:t>
      </w:r>
      <w:r>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58ACF933" w14:textId="77777777" w:rsidR="00777CC2" w:rsidRDefault="00405FBF">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i/>
          <w:sz w:val="22"/>
          <w:szCs w:val="22"/>
        </w:rPr>
        <w:t>”</w:t>
      </w:r>
    </w:p>
    <w:p w14:paraId="7EE101AD" w14:textId="77777777" w:rsidR="00777CC2" w:rsidRDefault="00777CC2">
      <w:pPr>
        <w:spacing w:before="120" w:after="120"/>
        <w:ind w:left="993" w:right="902"/>
        <w:jc w:val="both"/>
        <w:rPr>
          <w:rFonts w:ascii="Palatino Linotype" w:eastAsia="Palatino Linotype" w:hAnsi="Palatino Linotype" w:cs="Palatino Linotype"/>
          <w:i/>
          <w:sz w:val="22"/>
          <w:szCs w:val="22"/>
        </w:rPr>
      </w:pPr>
    </w:p>
    <w:p w14:paraId="190A361F" w14:textId="77777777" w:rsidR="00777CC2" w:rsidRDefault="00405FBF">
      <w:pPr>
        <w:spacing w:before="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QUINTO. Estudio del asunto. </w:t>
      </w:r>
      <w:r>
        <w:rPr>
          <w:rFonts w:ascii="Palatino Linotype" w:eastAsia="Palatino Linotype" w:hAnsi="Palatino Linotype" w:cs="Palatino Linotype"/>
        </w:rPr>
        <w:t xml:space="preserve">El Derecho de Acceso a la Información Público, es el derecho humano reconocido en el </w:t>
      </w:r>
      <w:r>
        <w:rPr>
          <w:rFonts w:ascii="Palatino Linotype" w:eastAsia="Palatino Linotype" w:hAnsi="Palatino Linotype" w:cs="Palatino Linotype"/>
          <w:color w:val="000000"/>
        </w:rPr>
        <w:t xml:space="preserve">artículo sexto de la Constitución Política de los Estados Unidos Mexicanos y en el artículo quinto de la Particular del Estado de México, por lo que al respecto,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ser cuidadoso del debido cumplimiento de las obligaciones constitucionales que se le imponen, que de acuerdo a lo dispuesto en el tercer párrafo del artículo primero de la </w:t>
      </w:r>
      <w:r>
        <w:rPr>
          <w:rFonts w:ascii="Palatino Linotype" w:eastAsia="Palatino Linotype" w:hAnsi="Palatino Linotype" w:cs="Palatino Linotype"/>
          <w:b/>
          <w:color w:val="000000"/>
        </w:rPr>
        <w:t xml:space="preserve">Constitución </w:t>
      </w:r>
      <w:r>
        <w:rPr>
          <w:rFonts w:ascii="Palatino Linotype" w:eastAsia="Palatino Linotype" w:hAnsi="Palatino Linotype" w:cs="Palatino Linotype"/>
          <w:b/>
          <w:color w:val="000000"/>
        </w:rPr>
        <w:lastRenderedPageBreak/>
        <w:t xml:space="preserve">Política de los Estados Unidos Mexicanos </w:t>
      </w:r>
      <w:r>
        <w:rPr>
          <w:rFonts w:ascii="Palatino Linotype" w:eastAsia="Palatino Linotype" w:hAnsi="Palatino Linotype" w:cs="Palatino Linotype"/>
          <w:color w:val="000000"/>
        </w:rPr>
        <w:t xml:space="preserve">tiene el deber de  “promover, </w:t>
      </w:r>
      <w:r>
        <w:rPr>
          <w:rFonts w:ascii="Palatino Linotype" w:eastAsia="Palatino Linotype" w:hAnsi="Palatino Linotype" w:cs="Palatino Linotype"/>
          <w:b/>
          <w:color w:val="000000"/>
        </w:rPr>
        <w:t>respetar</w:t>
      </w:r>
      <w:r>
        <w:rPr>
          <w:rFonts w:ascii="Palatino Linotype" w:eastAsia="Palatino Linotype" w:hAnsi="Palatino Linotype" w:cs="Palatino Linotype"/>
          <w:color w:val="000000"/>
        </w:rPr>
        <w:t xml:space="preserve">, proteger y </w:t>
      </w:r>
      <w:r>
        <w:rPr>
          <w:rFonts w:ascii="Palatino Linotype" w:eastAsia="Palatino Linotype" w:hAnsi="Palatino Linotype" w:cs="Palatino Linotype"/>
          <w:b/>
          <w:color w:val="000000"/>
        </w:rPr>
        <w:t>garantizar</w:t>
      </w:r>
      <w:r>
        <w:rPr>
          <w:rFonts w:ascii="Palatino Linotype" w:eastAsia="Palatino Linotype" w:hAnsi="Palatino Linotype" w:cs="Palatino Linotype"/>
          <w:color w:val="000000"/>
        </w:rPr>
        <w:t xml:space="preserve"> los derechos humanos”, entre los cuales se encuentra este derecho. </w:t>
      </w:r>
    </w:p>
    <w:p w14:paraId="37CB08DF" w14:textId="77777777" w:rsidR="00777CC2" w:rsidRDefault="00777CC2">
      <w:pPr>
        <w:spacing w:line="360" w:lineRule="auto"/>
        <w:jc w:val="both"/>
        <w:rPr>
          <w:rFonts w:ascii="Palatino Linotype" w:eastAsia="Palatino Linotype" w:hAnsi="Palatino Linotype" w:cs="Palatino Linotype"/>
          <w:color w:val="000000"/>
        </w:rPr>
      </w:pPr>
    </w:p>
    <w:p w14:paraId="0320230A" w14:textId="77777777" w:rsidR="00777CC2" w:rsidRDefault="00405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se deduce que el derecho de acceso a la información pública es un derecho humano constitucionalmente reconocido y, por lo tanto, todas las autoridades en el ámbito de sus competencias, funciones y atribuciones tienen la obligación de respetarlo, protegerlo y garantizarlo.</w:t>
      </w:r>
    </w:p>
    <w:p w14:paraId="02ECE9D0" w14:textId="77777777" w:rsidR="00777CC2" w:rsidRDefault="00777CC2">
      <w:pPr>
        <w:spacing w:line="360" w:lineRule="auto"/>
        <w:jc w:val="both"/>
        <w:rPr>
          <w:rFonts w:ascii="Palatino Linotype" w:eastAsia="Palatino Linotype" w:hAnsi="Palatino Linotype" w:cs="Palatino Linotype"/>
        </w:rPr>
      </w:pPr>
    </w:p>
    <w:p w14:paraId="55D2865D" w14:textId="77777777" w:rsidR="00777CC2" w:rsidRDefault="00405FBF">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Asimismo, el artículo primero Constitucional dispone de manera clara  y precisa que, como consecuencia de la obligación que tienen las autoridades de promover, respetar, proteger y garantizar el derecho humano; el Estado deberá </w:t>
      </w:r>
      <w:r>
        <w:rPr>
          <w:rFonts w:ascii="Palatino Linotype" w:eastAsia="Palatino Linotype" w:hAnsi="Palatino Linotype" w:cs="Palatino Linotype"/>
          <w:u w:val="single"/>
        </w:rPr>
        <w:t>prevenir, investigar, sancionar y reparar las violaciones a los derechos humanos</w:t>
      </w:r>
      <w:r>
        <w:rPr>
          <w:rFonts w:ascii="Palatino Linotype" w:eastAsia="Palatino Linotype" w:hAnsi="Palatino Linotype" w:cs="Palatino Linotype"/>
        </w:rPr>
        <w:t xml:space="preserve">. </w:t>
      </w:r>
    </w:p>
    <w:p w14:paraId="0879784C" w14:textId="77777777" w:rsidR="00777CC2" w:rsidRDefault="00777CC2">
      <w:pPr>
        <w:spacing w:line="360" w:lineRule="auto"/>
        <w:ind w:left="360"/>
        <w:jc w:val="both"/>
        <w:rPr>
          <w:rFonts w:ascii="Palatino Linotype" w:eastAsia="Palatino Linotype" w:hAnsi="Palatino Linotype" w:cs="Palatino Linotype"/>
        </w:rPr>
      </w:pPr>
    </w:p>
    <w:p w14:paraId="3708B7A1" w14:textId="77777777" w:rsidR="00777CC2" w:rsidRDefault="00405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la </w:t>
      </w:r>
      <w:r>
        <w:rPr>
          <w:rFonts w:ascii="Palatino Linotype" w:eastAsia="Palatino Linotype" w:hAnsi="Palatino Linotype" w:cs="Palatino Linotype"/>
          <w:b/>
        </w:rPr>
        <w:t xml:space="preserve">Ley de Transparencia y Acceso a la Información Pública del Estado de México y Municipios </w:t>
      </w:r>
      <w:r>
        <w:rPr>
          <w:rFonts w:ascii="Palatino Linotype" w:eastAsia="Palatino Linotype" w:hAnsi="Palatino Linotype" w:cs="Palatino Linotype"/>
        </w:rPr>
        <w:t>establece principios, bases generales y procedimientos para tutelar y garantizar la transparencia y el derecho humano de acceso a la información pública en posesión de los sujetos obligados; y para tal efecto, el artículo 176</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establece que </w:t>
      </w:r>
      <w:r>
        <w:rPr>
          <w:rFonts w:ascii="Palatino Linotype" w:eastAsia="Palatino Linotype" w:hAnsi="Palatino Linotype" w:cs="Palatino Linotype"/>
          <w:b/>
          <w:i/>
          <w:u w:val="single"/>
        </w:rPr>
        <w:t>el recurso de revisión es la garantía secundaria</w:t>
      </w:r>
      <w:r>
        <w:rPr>
          <w:rFonts w:ascii="Palatino Linotype" w:eastAsia="Palatino Linotype" w:hAnsi="Palatino Linotype" w:cs="Palatino Linotype"/>
          <w:b/>
          <w:i/>
        </w:rPr>
        <w:t xml:space="preserve"> mediante la cual se pretende reparar cualquier posible afectación al derecho de acceso a la información pública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siendo el medio para que este Órgano Garante después de realizar el análisis al procedimiento de acceso a la información, </w:t>
      </w:r>
      <w:r>
        <w:rPr>
          <w:rFonts w:ascii="Palatino Linotype" w:eastAsia="Palatino Linotype" w:hAnsi="Palatino Linotype" w:cs="Palatino Linotype"/>
        </w:rPr>
        <w:lastRenderedPageBreak/>
        <w:t xml:space="preserve">determine la posible afectación y de ser el caso ordene la reparación del derecho en cuestión. </w:t>
      </w:r>
    </w:p>
    <w:p w14:paraId="647961EB"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Sujeto Obligado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FAE6AAF" w14:textId="77777777" w:rsidR="00777CC2" w:rsidRDefault="00405FBF">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13F8E26" w14:textId="77777777" w:rsidR="00777CC2" w:rsidRDefault="00405FBF">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3D01B9" w14:textId="77777777" w:rsidR="00777CC2" w:rsidRDefault="00405FBF">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0577FFB6" w14:textId="77777777" w:rsidR="00777CC2" w:rsidRDefault="00777CC2">
      <w:pPr>
        <w:ind w:left="709" w:right="760"/>
        <w:jc w:val="both"/>
        <w:rPr>
          <w:rFonts w:ascii="Palatino Linotype" w:eastAsia="Palatino Linotype" w:hAnsi="Palatino Linotype" w:cs="Palatino Linotype"/>
          <w:i/>
        </w:rPr>
      </w:pPr>
    </w:p>
    <w:p w14:paraId="67999E8A"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B640188" w14:textId="77777777" w:rsidR="00777CC2" w:rsidRDefault="00405FBF">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9B7961" w14:textId="77777777" w:rsidR="00777CC2" w:rsidRDefault="00405FBF">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58C2FD7" w14:textId="77777777" w:rsidR="00777CC2" w:rsidRDefault="00777CC2">
      <w:pPr>
        <w:spacing w:line="360" w:lineRule="auto"/>
        <w:ind w:right="-93"/>
        <w:jc w:val="both"/>
        <w:rPr>
          <w:rFonts w:ascii="Palatino Linotype" w:eastAsia="Palatino Linotype" w:hAnsi="Palatino Linotype" w:cs="Palatino Linotype"/>
          <w:color w:val="000000"/>
        </w:rPr>
      </w:pPr>
    </w:p>
    <w:p w14:paraId="4E142E63" w14:textId="77777777" w:rsidR="00777CC2" w:rsidRDefault="00405FB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7744594A" w14:textId="77777777" w:rsidR="00777CC2" w:rsidRDefault="00777CC2">
      <w:pPr>
        <w:spacing w:line="360" w:lineRule="auto"/>
        <w:jc w:val="both"/>
        <w:rPr>
          <w:rFonts w:ascii="Palatino Linotype" w:eastAsia="Palatino Linotype" w:hAnsi="Palatino Linotype" w:cs="Palatino Linotype"/>
          <w:color w:val="000000"/>
        </w:rPr>
      </w:pPr>
    </w:p>
    <w:p w14:paraId="1422571C" w14:textId="77777777" w:rsidR="00777CC2" w:rsidRDefault="00405FB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4747DF4" w14:textId="77777777" w:rsidR="00777CC2" w:rsidRDefault="00777CC2">
      <w:pPr>
        <w:spacing w:line="360" w:lineRule="auto"/>
        <w:ind w:right="49"/>
        <w:jc w:val="both"/>
        <w:rPr>
          <w:rFonts w:ascii="Palatino Linotype" w:eastAsia="Palatino Linotype" w:hAnsi="Palatino Linotype" w:cs="Palatino Linotype"/>
        </w:rPr>
      </w:pPr>
    </w:p>
    <w:p w14:paraId="0410B6A3" w14:textId="77777777" w:rsidR="00777CC2" w:rsidRDefault="00405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03B3926" w14:textId="77777777" w:rsidR="00777CC2" w:rsidRDefault="00777CC2">
      <w:pPr>
        <w:ind w:left="851" w:right="899"/>
        <w:jc w:val="both"/>
        <w:rPr>
          <w:rFonts w:ascii="Palatino Linotype" w:eastAsia="Palatino Linotype" w:hAnsi="Palatino Linotype" w:cs="Palatino Linotype"/>
          <w:i/>
          <w:sz w:val="22"/>
          <w:szCs w:val="22"/>
        </w:rPr>
      </w:pPr>
    </w:p>
    <w:p w14:paraId="4B0C278B" w14:textId="77777777" w:rsidR="00777CC2" w:rsidRDefault="00405FB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2C55D6F0" w14:textId="77777777" w:rsidR="00777CC2" w:rsidRDefault="00405FB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4238E0D" w14:textId="77777777" w:rsidR="00777CC2" w:rsidRDefault="00405FBF">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30D72E6" w14:textId="77777777" w:rsidR="00777CC2" w:rsidRDefault="00777CC2">
      <w:pPr>
        <w:ind w:left="851" w:right="899"/>
        <w:jc w:val="both"/>
        <w:rPr>
          <w:rFonts w:ascii="Palatino Linotype" w:eastAsia="Palatino Linotype" w:hAnsi="Palatino Linotype" w:cs="Palatino Linotype"/>
          <w:sz w:val="22"/>
          <w:szCs w:val="22"/>
        </w:rPr>
      </w:pPr>
    </w:p>
    <w:p w14:paraId="05FDA3DF" w14:textId="77777777" w:rsidR="00777CC2" w:rsidRDefault="00405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6E844BF8" w14:textId="77777777" w:rsidR="00777CC2" w:rsidRDefault="00777CC2">
      <w:pPr>
        <w:ind w:left="851" w:right="899"/>
        <w:jc w:val="both"/>
        <w:rPr>
          <w:rFonts w:ascii="Palatino Linotype" w:eastAsia="Palatino Linotype" w:hAnsi="Palatino Linotype" w:cs="Palatino Linotype"/>
        </w:rPr>
      </w:pPr>
    </w:p>
    <w:p w14:paraId="64635E81" w14:textId="77777777" w:rsidR="00777CC2" w:rsidRDefault="00405FBF">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532D6CFA" w14:textId="77777777" w:rsidR="00777CC2" w:rsidRDefault="00405FB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BAA52A" w14:textId="77777777" w:rsidR="00777CC2" w:rsidRDefault="00405FB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35EF6C6" w14:textId="77777777" w:rsidR="00777CC2" w:rsidRDefault="00405FB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D2E04D0" w14:textId="77777777" w:rsidR="00777CC2" w:rsidRDefault="00405FB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97B7534" w14:textId="77777777" w:rsidR="00777CC2" w:rsidRDefault="00405FB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104C3D56" w14:textId="77777777" w:rsidR="00777CC2" w:rsidRDefault="00405FBF">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este sentido, es de suma importancia mencionar que del análisis de la solicitud de información motivo del recurso de revisión que ahora se resuelve se advierte que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 solicitud número </w:t>
      </w:r>
      <w:r>
        <w:rPr>
          <w:rFonts w:ascii="Palatino Linotype" w:eastAsia="Palatino Linotype" w:hAnsi="Palatino Linotype" w:cs="Palatino Linotype"/>
          <w:b/>
        </w:rPr>
        <w:t xml:space="preserve">00429/NEZA/IP/2021, </w:t>
      </w:r>
      <w:r>
        <w:rPr>
          <w:rFonts w:ascii="Palatino Linotype" w:eastAsia="Palatino Linotype" w:hAnsi="Palatino Linotype" w:cs="Palatino Linotype"/>
        </w:rPr>
        <w:t xml:space="preserve">requirió que se le proporcionara la nómina de la segunda quincena de abril de dos mil veinte de todo el personal sindicalizado; o en su caso, los Comprobantes Fiscales por Internet. </w:t>
      </w:r>
    </w:p>
    <w:p w14:paraId="57D9C004"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a la solicitud de información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entregó en una carpeta comprimida </w:t>
      </w:r>
      <w:r>
        <w:rPr>
          <w:rFonts w:ascii="Palatino Linotype" w:eastAsia="Palatino Linotype" w:hAnsi="Palatino Linotype" w:cs="Palatino Linotype"/>
          <w:b/>
        </w:rPr>
        <w:t>“.rar”</w:t>
      </w:r>
      <w:r>
        <w:rPr>
          <w:rFonts w:ascii="Palatino Linotype" w:eastAsia="Palatino Linotype" w:hAnsi="Palatino Linotype" w:cs="Palatino Linotype"/>
        </w:rPr>
        <w:t xml:space="preserve">  la versión pública de los Comprobantes Fiscales por </w:t>
      </w:r>
      <w:r>
        <w:rPr>
          <w:rFonts w:ascii="Palatino Linotype" w:eastAsia="Palatino Linotype" w:hAnsi="Palatino Linotype" w:cs="Palatino Linotype"/>
        </w:rPr>
        <w:lastRenderedPageBreak/>
        <w:t xml:space="preserve">Internet (CFDI) por concepto de nómina correspondientes a segunda quincena de abril de dos mil veinte; así como el Acta de la Vigésima Octava Sesión Extraordinaria del Comité de Transparencia de Nezahualcóyotl en la que se aprobó la clasificación de los datos personales y el oficio de respuesta a la solicitud, suscrito y signado por el Titular de la Unidad de Transparencia, mediante el cual remitió la respuesta al requerimiento formulado, de los Servidores Públicos Habilitados.  </w:t>
      </w:r>
    </w:p>
    <w:p w14:paraId="57A846FF"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presente medio de impugnación en el que argumentó como razones o motivos de inconformidad que el archivo enviado no contiene la información. </w:t>
      </w:r>
    </w:p>
    <w:p w14:paraId="6DB893E7"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interpuesto el recurso de revisión,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uso de su derecho remitió su informe justificado, mediante el cual remitió los Comprobantes Fiscales por Internet (CFDI) por concepto de nómina del personal sindicalizado correspondientes a la segunda quincena de abril de dos mil veinte; sin embargo, es conveniente precisar que si bien es cierto que la información se entregó en formato .pdf, sin comprimir, que seguramente garantizaría el acceso a la documentación solicitada, este Órgano Garante, se vio impedido para notificar la información novedosa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al advertirse datos personales susceptibles de clasificarse como confidenciales. </w:t>
      </w:r>
    </w:p>
    <w:p w14:paraId="5D0EFB01" w14:textId="77777777" w:rsidR="00777CC2" w:rsidRDefault="00405FBF">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estima pertinente mencionar que, del análisis realizado a la información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tanto en respuesta a la solicitud de información como al rendir su informe justificado asume que genera, administra y </w:t>
      </w:r>
      <w:r>
        <w:rPr>
          <w:rFonts w:ascii="Palatino Linotype" w:eastAsia="Palatino Linotype" w:hAnsi="Palatino Linotype" w:cs="Palatino Linotype"/>
          <w:color w:val="000000"/>
        </w:rPr>
        <w:lastRenderedPageBreak/>
        <w:t xml:space="preserve">posee el soporte documental en donde consta lo requerido por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motivo por el cual se omitirá insertar su fuente obligacional.</w:t>
      </w:r>
    </w:p>
    <w:p w14:paraId="22C03965" w14:textId="77777777" w:rsidR="00777CC2" w:rsidRDefault="00405FBF">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debe mencionarse que en el presente asunto se determinará si los archivos electrónicos proporcionados por el Sujeto Obligado al momento emitir respuesta se encuentran dañados, razón por lo cual se considera pertinente mencionar que de las constancias que integran el recurso de revisión al rubro indicado, se aprecia que el Sujeto Obligado adjuntó los archivos electrónicos siguientes:</w:t>
      </w:r>
    </w:p>
    <w:p w14:paraId="43669DF9" w14:textId="77777777" w:rsidR="00777CC2" w:rsidRDefault="00405FBF">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62926DDD" wp14:editId="268DAED6">
            <wp:extent cx="5612130" cy="2369820"/>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2369820"/>
                    </a:xfrm>
                    <a:prstGeom prst="rect">
                      <a:avLst/>
                    </a:prstGeom>
                    <a:ln/>
                  </pic:spPr>
                </pic:pic>
              </a:graphicData>
            </a:graphic>
          </wp:inline>
        </w:drawing>
      </w:r>
    </w:p>
    <w:p w14:paraId="52C741D5" w14:textId="77777777" w:rsidR="00777CC2" w:rsidRDefault="00405FBF">
      <w:pPr>
        <w:spacing w:before="240" w:line="360" w:lineRule="auto"/>
        <w:jc w:val="both"/>
        <w:rPr>
          <w:rFonts w:ascii="Palatino Linotype" w:eastAsia="Palatino Linotype" w:hAnsi="Palatino Linotype" w:cs="Palatino Linotype"/>
          <w:b/>
          <w:i/>
        </w:rPr>
      </w:pPr>
      <w:r>
        <w:rPr>
          <w:rFonts w:ascii="Palatino Linotype" w:eastAsia="Palatino Linotype" w:hAnsi="Palatino Linotype" w:cs="Palatino Linotype"/>
          <w:color w:val="000000"/>
        </w:rPr>
        <w:t xml:space="preserve">De la imagen se aprecia que el Sujeto Obligado adjuntó 3 archivos electrónicos, por lo que personal adscrito a este Instituto procedió a realizar la consulta de los mismos con la finalidad de verificar si es posible consultar su contenido, obteniendo el </w:t>
      </w:r>
      <w:r>
        <w:rPr>
          <w:rFonts w:ascii="Palatino Linotype" w:eastAsia="Palatino Linotype" w:hAnsi="Palatino Linotype" w:cs="Palatino Linotype"/>
          <w:color w:val="000000"/>
        </w:rPr>
        <w:lastRenderedPageBreak/>
        <w:t>resultado siguiente:</w:t>
      </w:r>
      <w:r>
        <w:rPr>
          <w:rFonts w:ascii="Palatino Linotype" w:eastAsia="Palatino Linotype" w:hAnsi="Palatino Linotype" w:cs="Palatino Linotype"/>
          <w:b/>
          <w:i/>
        </w:rPr>
        <w:t>“Archivo de Transparencia _2021_10_11_17_18_52_796.pdf”</w:t>
      </w:r>
      <w:r>
        <w:rPr>
          <w:rFonts w:ascii="Palatino Linotype" w:eastAsia="Palatino Linotype" w:hAnsi="Palatino Linotype" w:cs="Palatino Linotype"/>
          <w:b/>
          <w:i/>
          <w:noProof/>
          <w:lang w:val="es-MX" w:eastAsia="es-MX"/>
        </w:rPr>
        <w:drawing>
          <wp:inline distT="0" distB="0" distL="0" distR="0" wp14:anchorId="247906FC" wp14:editId="520DB0B6">
            <wp:extent cx="5543384" cy="3261360"/>
            <wp:effectExtent l="19050" t="19050" r="19685" b="15240"/>
            <wp:docPr id="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l="7962" r="3888"/>
                    <a:stretch>
                      <a:fillRect/>
                    </a:stretch>
                  </pic:blipFill>
                  <pic:spPr>
                    <a:xfrm>
                      <a:off x="0" y="0"/>
                      <a:ext cx="5553663" cy="3267407"/>
                    </a:xfrm>
                    <a:prstGeom prst="rect">
                      <a:avLst/>
                    </a:prstGeom>
                    <a:ln w="9525">
                      <a:solidFill>
                        <a:srgbClr val="000000"/>
                      </a:solidFill>
                      <a:prstDash val="solid"/>
                    </a:ln>
                  </pic:spPr>
                </pic:pic>
              </a:graphicData>
            </a:graphic>
          </wp:inline>
        </w:drawing>
      </w:r>
    </w:p>
    <w:p w14:paraId="41356331" w14:textId="77777777" w:rsidR="00AC3AAB" w:rsidRDefault="00AC3AAB">
      <w:pPr>
        <w:spacing w:before="240"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noProof/>
          <w:lang w:val="es-MX" w:eastAsia="es-MX"/>
        </w:rPr>
        <mc:AlternateContent>
          <mc:Choice Requires="wps">
            <w:drawing>
              <wp:anchor distT="0" distB="0" distL="114300" distR="114300" simplePos="0" relativeHeight="251659264" behindDoc="0" locked="0" layoutInCell="1" allowOverlap="1" wp14:anchorId="724114AD" wp14:editId="45C31387">
                <wp:simplePos x="0" y="0"/>
                <wp:positionH relativeFrom="column">
                  <wp:posOffset>276225</wp:posOffset>
                </wp:positionH>
                <wp:positionV relativeFrom="paragraph">
                  <wp:posOffset>113665</wp:posOffset>
                </wp:positionV>
                <wp:extent cx="5311140" cy="3322320"/>
                <wp:effectExtent l="0" t="0" r="22860" b="30480"/>
                <wp:wrapNone/>
                <wp:docPr id="2" name="Conector recto 2"/>
                <wp:cNvGraphicFramePr/>
                <a:graphic xmlns:a="http://schemas.openxmlformats.org/drawingml/2006/main">
                  <a:graphicData uri="http://schemas.microsoft.com/office/word/2010/wordprocessingShape">
                    <wps:wsp>
                      <wps:cNvCnPr/>
                      <wps:spPr>
                        <a:xfrm>
                          <a:off x="0" y="0"/>
                          <a:ext cx="5311140" cy="332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53B0D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5pt,8.95pt" to="439.95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" strokecolor="#4472c4 [3204]" strokeweight=".5pt">
                <v:stroke joinstyle="miter"/>
              </v:line>
            </w:pict>
          </mc:Fallback>
        </mc:AlternateContent>
      </w:r>
    </w:p>
    <w:p w14:paraId="382B2E56" w14:textId="77777777" w:rsidR="00AC3AAB" w:rsidRDefault="00AC3AAB">
      <w:pPr>
        <w:spacing w:before="240" w:line="360" w:lineRule="auto"/>
        <w:jc w:val="both"/>
        <w:rPr>
          <w:rFonts w:ascii="Palatino Linotype" w:eastAsia="Palatino Linotype" w:hAnsi="Palatino Linotype" w:cs="Palatino Linotype"/>
          <w:b/>
          <w:i/>
        </w:rPr>
      </w:pPr>
    </w:p>
    <w:p w14:paraId="6B9D636B" w14:textId="77777777" w:rsidR="00AC3AAB" w:rsidRDefault="00AC3AAB">
      <w:pPr>
        <w:spacing w:before="240" w:line="360" w:lineRule="auto"/>
        <w:jc w:val="both"/>
        <w:rPr>
          <w:rFonts w:ascii="Palatino Linotype" w:eastAsia="Palatino Linotype" w:hAnsi="Palatino Linotype" w:cs="Palatino Linotype"/>
          <w:b/>
          <w:i/>
        </w:rPr>
      </w:pPr>
    </w:p>
    <w:p w14:paraId="0FFBF955" w14:textId="77777777" w:rsidR="00AC3AAB" w:rsidRDefault="00AC3AAB">
      <w:pPr>
        <w:spacing w:before="240" w:line="360" w:lineRule="auto"/>
        <w:jc w:val="both"/>
        <w:rPr>
          <w:rFonts w:ascii="Palatino Linotype" w:eastAsia="Palatino Linotype" w:hAnsi="Palatino Linotype" w:cs="Palatino Linotype"/>
          <w:b/>
          <w:i/>
        </w:rPr>
      </w:pPr>
    </w:p>
    <w:p w14:paraId="5098F64A" w14:textId="77777777" w:rsidR="00AC3AAB" w:rsidRDefault="00AC3AAB">
      <w:pPr>
        <w:spacing w:before="240" w:line="360" w:lineRule="auto"/>
        <w:jc w:val="both"/>
        <w:rPr>
          <w:rFonts w:ascii="Palatino Linotype" w:eastAsia="Palatino Linotype" w:hAnsi="Palatino Linotype" w:cs="Palatino Linotype"/>
          <w:b/>
          <w:i/>
        </w:rPr>
      </w:pPr>
    </w:p>
    <w:p w14:paraId="172D4881" w14:textId="77777777" w:rsidR="00AC3AAB" w:rsidRDefault="00AC3AAB">
      <w:pPr>
        <w:spacing w:before="240" w:line="360" w:lineRule="auto"/>
        <w:jc w:val="both"/>
        <w:rPr>
          <w:rFonts w:ascii="Palatino Linotype" w:eastAsia="Palatino Linotype" w:hAnsi="Palatino Linotype" w:cs="Palatino Linotype"/>
          <w:b/>
          <w:i/>
        </w:rPr>
      </w:pPr>
    </w:p>
    <w:p w14:paraId="3F434B9D" w14:textId="77777777" w:rsidR="00AC3AAB" w:rsidRDefault="00AC3AAB">
      <w:pPr>
        <w:spacing w:before="240" w:line="360" w:lineRule="auto"/>
        <w:jc w:val="both"/>
        <w:rPr>
          <w:rFonts w:ascii="Palatino Linotype" w:eastAsia="Palatino Linotype" w:hAnsi="Palatino Linotype" w:cs="Palatino Linotype"/>
          <w:b/>
          <w:i/>
        </w:rPr>
      </w:pPr>
    </w:p>
    <w:p w14:paraId="13B89C35" w14:textId="77777777" w:rsidR="00777CC2" w:rsidRDefault="00405FBF">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“ACT_CT_NEZA_EXT__XXVIII_2021.pdf”</w:t>
      </w:r>
    </w:p>
    <w:p w14:paraId="2C4D4C63" w14:textId="77777777" w:rsidR="00777CC2" w:rsidRDefault="00405FBF">
      <w:pPr>
        <w:spacing w:before="240" w:after="240" w:line="360" w:lineRule="auto"/>
        <w:ind w:left="360"/>
        <w:jc w:val="both"/>
        <w:rPr>
          <w:rFonts w:ascii="Palatino Linotype" w:eastAsia="Palatino Linotype" w:hAnsi="Palatino Linotype" w:cs="Palatino Linotype"/>
          <w:b/>
          <w:i/>
        </w:rPr>
      </w:pPr>
      <w:r>
        <w:rPr>
          <w:rFonts w:ascii="Palatino Linotype" w:eastAsia="Palatino Linotype" w:hAnsi="Palatino Linotype" w:cs="Palatino Linotype"/>
          <w:b/>
          <w:i/>
          <w:noProof/>
          <w:lang w:val="es-MX" w:eastAsia="es-MX"/>
        </w:rPr>
        <w:drawing>
          <wp:inline distT="0" distB="0" distL="0" distR="0" wp14:anchorId="67D1046C" wp14:editId="58A39007">
            <wp:extent cx="5229959" cy="6639857"/>
            <wp:effectExtent l="9525" t="9525" r="9525" b="9525"/>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2645" r="3528"/>
                    <a:stretch>
                      <a:fillRect/>
                    </a:stretch>
                  </pic:blipFill>
                  <pic:spPr>
                    <a:xfrm>
                      <a:off x="0" y="0"/>
                      <a:ext cx="5229959" cy="6639857"/>
                    </a:xfrm>
                    <a:prstGeom prst="rect">
                      <a:avLst/>
                    </a:prstGeom>
                    <a:ln w="9525">
                      <a:solidFill>
                        <a:srgbClr val="000000"/>
                      </a:solidFill>
                      <a:prstDash val="solid"/>
                    </a:ln>
                  </pic:spPr>
                </pic:pic>
              </a:graphicData>
            </a:graphic>
          </wp:inline>
        </w:drawing>
      </w:r>
    </w:p>
    <w:p w14:paraId="2C782F1C" w14:textId="77777777" w:rsidR="00777CC2" w:rsidRDefault="00405FBF">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“16 AL 30 DE ABRIL 20.rar”</w:t>
      </w:r>
    </w:p>
    <w:p w14:paraId="19B4010B" w14:textId="77777777" w:rsidR="00777CC2" w:rsidRDefault="00405FBF">
      <w:pPr>
        <w:spacing w:before="240" w:after="240"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noProof/>
          <w:lang w:val="es-MX" w:eastAsia="es-MX"/>
        </w:rPr>
        <w:drawing>
          <wp:inline distT="0" distB="0" distL="0" distR="0" wp14:anchorId="15D952DC" wp14:editId="4D4C6E21">
            <wp:extent cx="5612130" cy="1720850"/>
            <wp:effectExtent l="9525" t="9525" r="9525" b="9525"/>
            <wp:docPr id="4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1720850"/>
                    </a:xfrm>
                    <a:prstGeom prst="rect">
                      <a:avLst/>
                    </a:prstGeom>
                    <a:ln w="9525">
                      <a:solidFill>
                        <a:srgbClr val="000000"/>
                      </a:solidFill>
                      <a:prstDash val="solid"/>
                    </a:ln>
                  </pic:spPr>
                </pic:pic>
              </a:graphicData>
            </a:graphic>
          </wp:inline>
        </w:drawing>
      </w:r>
    </w:p>
    <w:p w14:paraId="2998BB7E" w14:textId="77777777" w:rsidR="00777CC2" w:rsidRDefault="00777CC2">
      <w:pPr>
        <w:spacing w:before="240" w:after="240" w:line="360" w:lineRule="auto"/>
        <w:jc w:val="both"/>
        <w:rPr>
          <w:rFonts w:ascii="Palatino Linotype" w:eastAsia="Palatino Linotype" w:hAnsi="Palatino Linotype" w:cs="Palatino Linotype"/>
          <w:b/>
          <w:i/>
        </w:rPr>
      </w:pPr>
    </w:p>
    <w:p w14:paraId="635DA8F6" w14:textId="77777777" w:rsidR="00777CC2" w:rsidRDefault="00405FBF">
      <w:pPr>
        <w:spacing w:before="240" w:after="240"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noProof/>
          <w:lang w:val="es-MX" w:eastAsia="es-MX"/>
        </w:rPr>
        <w:drawing>
          <wp:inline distT="0" distB="0" distL="0" distR="0" wp14:anchorId="0829C846" wp14:editId="45F4E891">
            <wp:extent cx="5612130" cy="3295650"/>
            <wp:effectExtent l="9525" t="9525" r="9525" b="9525"/>
            <wp:docPr id="4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612130" cy="3295650"/>
                    </a:xfrm>
                    <a:prstGeom prst="rect">
                      <a:avLst/>
                    </a:prstGeom>
                    <a:ln w="9525">
                      <a:solidFill>
                        <a:srgbClr val="000000"/>
                      </a:solidFill>
                      <a:prstDash val="solid"/>
                    </a:ln>
                  </pic:spPr>
                </pic:pic>
              </a:graphicData>
            </a:graphic>
          </wp:inline>
        </w:drawing>
      </w:r>
    </w:p>
    <w:p w14:paraId="1B27DD8E" w14:textId="77777777" w:rsidR="00777CC2" w:rsidRDefault="00777CC2">
      <w:pPr>
        <w:spacing w:before="240" w:after="240" w:line="360" w:lineRule="auto"/>
        <w:jc w:val="both"/>
        <w:rPr>
          <w:rFonts w:ascii="Palatino Linotype" w:eastAsia="Palatino Linotype" w:hAnsi="Palatino Linotype" w:cs="Palatino Linotype"/>
        </w:rPr>
      </w:pPr>
    </w:p>
    <w:p w14:paraId="636B518C" w14:textId="77777777" w:rsidR="00777CC2" w:rsidRDefault="00777CC2">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color w:val="000000"/>
          <w:sz w:val="22"/>
          <w:szCs w:val="22"/>
        </w:rPr>
      </w:pPr>
    </w:p>
    <w:p w14:paraId="27245435" w14:textId="77777777" w:rsidR="00777CC2" w:rsidRDefault="00405FBF">
      <w:pP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De las imágenes se aprecia que</w:t>
      </w:r>
      <w:r>
        <w:rPr>
          <w:rFonts w:ascii="Palatino Linotype" w:eastAsia="Palatino Linotype" w:hAnsi="Palatino Linotype" w:cs="Palatino Linotype"/>
        </w:rPr>
        <w:t xml:space="preserve"> cada uno de los archivos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al momento de emitir respuesta contiene la información solicitada por la </w:t>
      </w:r>
      <w:r>
        <w:rPr>
          <w:rFonts w:ascii="Palatino Linotype" w:eastAsia="Palatino Linotype" w:hAnsi="Palatino Linotype" w:cs="Palatino Linotype"/>
          <w:b/>
        </w:rPr>
        <w:t>RECURRENTE; no</w:t>
      </w:r>
      <w:r>
        <w:rPr>
          <w:rFonts w:ascii="Palatino Linotype" w:eastAsia="Palatino Linotype" w:hAnsi="Palatino Linotype" w:cs="Palatino Linotype"/>
        </w:rPr>
        <w:t xml:space="preserve"> obstante, no puede pasar inadvertido para este Órgano Garante, que si bien, los archivos electrónicos contienen los documentos requeridos, también lo es, que la misma no satisface el derecho de acceso a la información del particular, toda vez que realizó una versión pública excesiva, al clasificar datos que no actualizan el supuesto de confidencialidad, en atención a las consideraciones siguientes: </w:t>
      </w:r>
    </w:p>
    <w:p w14:paraId="37BF41C2" w14:textId="77777777" w:rsidR="00777CC2" w:rsidRDefault="00405FBF">
      <w:pPr>
        <w:pStyle w:val="Ttulo3"/>
        <w:numPr>
          <w:ilvl w:val="0"/>
          <w:numId w:val="6"/>
        </w:numP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Nombre y Firma de los servidores públicos</w:t>
      </w:r>
    </w:p>
    <w:p w14:paraId="3F4A7469" w14:textId="77777777" w:rsidR="00777CC2" w:rsidRDefault="00777CC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660BE2E" w14:textId="77777777" w:rsidR="00777CC2" w:rsidRDefault="00405FB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La firma autógrafa corresponde a un dato personal; sin embargo, cuando se trata de servidores púbicos dicha consideración se encuentra limitada, lo anterior ya que en ejercicio de sus obligaciones y atribuciones desempeña diversos actos mismos que únicamente se validan a través de su rúbrica o firma, por lo que la misma es pública, sirve de apoyo a lo anterior el siguiente criterio orientador: </w:t>
      </w:r>
    </w:p>
    <w:p w14:paraId="686CC2F9" w14:textId="77777777" w:rsidR="00777CC2" w:rsidRDefault="00777CC2">
      <w:pPr>
        <w:tabs>
          <w:tab w:val="left" w:pos="567"/>
        </w:tabs>
        <w:spacing w:line="360" w:lineRule="auto"/>
        <w:jc w:val="both"/>
        <w:rPr>
          <w:rFonts w:ascii="Palatino Linotype" w:eastAsia="Palatino Linotype" w:hAnsi="Palatino Linotype" w:cs="Palatino Linotype"/>
          <w:b/>
          <w:i/>
          <w:color w:val="000000"/>
        </w:rPr>
      </w:pPr>
    </w:p>
    <w:p w14:paraId="2F80C99D" w14:textId="77777777" w:rsidR="00777CC2" w:rsidRDefault="00405FBF">
      <w:pPr>
        <w:tabs>
          <w:tab w:val="left" w:pos="567"/>
        </w:tabs>
        <w:spacing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Pr>
          <w:rFonts w:ascii="Palatino Linotype" w:eastAsia="Palatino Linotype" w:hAnsi="Palatino Linotype" w:cs="Palatino Linotype"/>
          <w:i/>
          <w:color w:val="000000"/>
          <w:sz w:val="22"/>
          <w:szCs w:val="22"/>
        </w:rPr>
        <w:t>.</w:t>
      </w:r>
    </w:p>
    <w:p w14:paraId="7AC348E0" w14:textId="77777777" w:rsidR="00777CC2" w:rsidRDefault="00777CC2">
      <w:pPr>
        <w:tabs>
          <w:tab w:val="left" w:pos="567"/>
        </w:tabs>
        <w:spacing w:line="360" w:lineRule="auto"/>
        <w:ind w:left="567" w:right="616"/>
        <w:jc w:val="both"/>
        <w:rPr>
          <w:rFonts w:ascii="Palatino Linotype" w:eastAsia="Palatino Linotype" w:hAnsi="Palatino Linotype" w:cs="Palatino Linotype"/>
          <w:i/>
          <w:color w:val="000000"/>
          <w:sz w:val="22"/>
          <w:szCs w:val="22"/>
        </w:rPr>
      </w:pPr>
    </w:p>
    <w:p w14:paraId="30CFA619" w14:textId="77777777" w:rsidR="00777CC2" w:rsidRDefault="00405FBF">
      <w:pPr>
        <w:tabs>
          <w:tab w:val="left" w:pos="567"/>
        </w:tabs>
        <w:spacing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Resoluciones:</w:t>
      </w:r>
    </w:p>
    <w:p w14:paraId="2923D624" w14:textId="77777777" w:rsidR="00777CC2" w:rsidRDefault="00405FBF">
      <w:pPr>
        <w:numPr>
          <w:ilvl w:val="0"/>
          <w:numId w:val="7"/>
        </w:numPr>
        <w:tabs>
          <w:tab w:val="left" w:pos="567"/>
        </w:tabs>
        <w:spacing w:line="360" w:lineRule="auto"/>
        <w:ind w:left="567" w:right="616"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RRA 0185/17. Secretaría de Cultura. 08 de febrero de 2017. Por unanimidad. Comisionado Ponente Oscar Mauricio Guerra Ford.</w:t>
      </w:r>
    </w:p>
    <w:p w14:paraId="5EDADA60" w14:textId="77777777" w:rsidR="00777CC2" w:rsidRDefault="00753BDD">
      <w:pPr>
        <w:numPr>
          <w:ilvl w:val="1"/>
          <w:numId w:val="7"/>
        </w:numPr>
        <w:tabs>
          <w:tab w:val="left" w:pos="567"/>
        </w:tabs>
        <w:spacing w:line="360" w:lineRule="auto"/>
        <w:ind w:left="567" w:right="616" w:firstLine="0"/>
        <w:jc w:val="both"/>
        <w:rPr>
          <w:rFonts w:ascii="Palatino Linotype" w:eastAsia="Palatino Linotype" w:hAnsi="Palatino Linotype" w:cs="Palatino Linotype"/>
          <w:i/>
          <w:color w:val="000000"/>
          <w:sz w:val="22"/>
          <w:szCs w:val="22"/>
        </w:rPr>
      </w:pPr>
      <w:hyperlink r:id="rId14">
        <w:r w:rsidR="00405FBF">
          <w:rPr>
            <w:rFonts w:ascii="Palatino Linotype" w:eastAsia="Palatino Linotype" w:hAnsi="Palatino Linotype" w:cs="Palatino Linotype"/>
            <w:i/>
            <w:color w:val="000000"/>
            <w:sz w:val="22"/>
            <w:szCs w:val="22"/>
            <w:u w:val="single"/>
          </w:rPr>
          <w:t>http://consultas.ifai.org.mx/descargar.php?r=./pdf/resoluciones/2017/&amp;a=RRA%20185.pdf</w:t>
        </w:r>
      </w:hyperlink>
      <w:r w:rsidR="00405FBF">
        <w:rPr>
          <w:rFonts w:ascii="Palatino Linotype" w:eastAsia="Palatino Linotype" w:hAnsi="Palatino Linotype" w:cs="Palatino Linotype"/>
          <w:i/>
          <w:color w:val="000000"/>
          <w:sz w:val="22"/>
          <w:szCs w:val="22"/>
        </w:rPr>
        <w:t xml:space="preserve"> </w:t>
      </w:r>
    </w:p>
    <w:p w14:paraId="0CF870AA" w14:textId="77777777" w:rsidR="00777CC2" w:rsidRDefault="00405FBF">
      <w:pPr>
        <w:numPr>
          <w:ilvl w:val="0"/>
          <w:numId w:val="7"/>
        </w:numPr>
        <w:tabs>
          <w:tab w:val="left" w:pos="567"/>
        </w:tabs>
        <w:spacing w:line="360" w:lineRule="auto"/>
        <w:ind w:left="567" w:right="616"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RRA 1588/17. Centro de Investigación en Materiales Avanzados, S.C. 26 de abril de 2017. Por unanimidad. Comisionada Ponente Ximena Puente de la Mora.</w:t>
      </w:r>
    </w:p>
    <w:p w14:paraId="3206F0CA" w14:textId="77777777" w:rsidR="00777CC2" w:rsidRDefault="00753BDD">
      <w:pPr>
        <w:numPr>
          <w:ilvl w:val="1"/>
          <w:numId w:val="7"/>
        </w:numPr>
        <w:tabs>
          <w:tab w:val="left" w:pos="567"/>
        </w:tabs>
        <w:spacing w:line="360" w:lineRule="auto"/>
        <w:ind w:left="567" w:right="616" w:firstLine="0"/>
        <w:jc w:val="both"/>
        <w:rPr>
          <w:rFonts w:ascii="Palatino Linotype" w:eastAsia="Palatino Linotype" w:hAnsi="Palatino Linotype" w:cs="Palatino Linotype"/>
          <w:i/>
          <w:color w:val="000000"/>
          <w:sz w:val="22"/>
          <w:szCs w:val="22"/>
        </w:rPr>
      </w:pPr>
      <w:hyperlink r:id="rId15">
        <w:r w:rsidR="00405FBF">
          <w:rPr>
            <w:rFonts w:ascii="Palatino Linotype" w:eastAsia="Palatino Linotype" w:hAnsi="Palatino Linotype" w:cs="Palatino Linotype"/>
            <w:i/>
            <w:color w:val="000000"/>
            <w:sz w:val="22"/>
            <w:szCs w:val="22"/>
            <w:u w:val="single"/>
          </w:rPr>
          <w:t>http://consultas.ifai.org.mx/descargar.php?r=./pdf/resoluciones/2017/&amp;a=RRA%201588.pdf</w:t>
        </w:r>
      </w:hyperlink>
      <w:r w:rsidR="00405FBF">
        <w:rPr>
          <w:rFonts w:ascii="Palatino Linotype" w:eastAsia="Palatino Linotype" w:hAnsi="Palatino Linotype" w:cs="Palatino Linotype"/>
          <w:i/>
          <w:color w:val="000000"/>
          <w:sz w:val="22"/>
          <w:szCs w:val="22"/>
        </w:rPr>
        <w:t xml:space="preserve"> </w:t>
      </w:r>
    </w:p>
    <w:p w14:paraId="4F5056B7" w14:textId="77777777" w:rsidR="00777CC2" w:rsidRDefault="00405FBF">
      <w:pPr>
        <w:numPr>
          <w:ilvl w:val="0"/>
          <w:numId w:val="7"/>
        </w:numPr>
        <w:tabs>
          <w:tab w:val="left" w:pos="567"/>
        </w:tabs>
        <w:spacing w:line="360" w:lineRule="auto"/>
        <w:ind w:left="567" w:right="616"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RRA 3472/17. Instituto Nacional de Migración. 21 de junio de 2017. Por unanimidad. Comisionado Ponente Joel Salas Suárez.</w:t>
      </w:r>
    </w:p>
    <w:p w14:paraId="581B8272" w14:textId="77777777" w:rsidR="00777CC2" w:rsidRDefault="00753BDD">
      <w:pPr>
        <w:numPr>
          <w:ilvl w:val="1"/>
          <w:numId w:val="7"/>
        </w:numPr>
        <w:tabs>
          <w:tab w:val="left" w:pos="567"/>
        </w:tabs>
        <w:spacing w:line="360" w:lineRule="auto"/>
        <w:ind w:left="567" w:right="616" w:firstLine="0"/>
        <w:jc w:val="both"/>
        <w:rPr>
          <w:rFonts w:ascii="Palatino Linotype" w:eastAsia="Palatino Linotype" w:hAnsi="Palatino Linotype" w:cs="Palatino Linotype"/>
          <w:i/>
          <w:color w:val="000000"/>
          <w:sz w:val="22"/>
          <w:szCs w:val="22"/>
        </w:rPr>
      </w:pPr>
      <w:hyperlink r:id="rId16">
        <w:r w:rsidR="00405FBF">
          <w:rPr>
            <w:rFonts w:ascii="Palatino Linotype" w:eastAsia="Palatino Linotype" w:hAnsi="Palatino Linotype" w:cs="Palatino Linotype"/>
            <w:i/>
            <w:color w:val="000000"/>
            <w:sz w:val="22"/>
            <w:szCs w:val="22"/>
            <w:u w:val="single"/>
          </w:rPr>
          <w:t>http://consultas.ifai.org.mx/descargar.php?r=./pdf/resoluciones/2017/&amp;a=RRA%203472.pdf</w:t>
        </w:r>
      </w:hyperlink>
      <w:r w:rsidR="00405FBF">
        <w:rPr>
          <w:rFonts w:ascii="Palatino Linotype" w:eastAsia="Palatino Linotype" w:hAnsi="Palatino Linotype" w:cs="Palatino Linotype"/>
          <w:i/>
          <w:color w:val="000000"/>
          <w:sz w:val="22"/>
          <w:szCs w:val="22"/>
        </w:rPr>
        <w:t xml:space="preserve"> “</w:t>
      </w:r>
    </w:p>
    <w:p w14:paraId="326832B2" w14:textId="77777777" w:rsidR="00777CC2" w:rsidRDefault="00777CC2">
      <w:pPr>
        <w:spacing w:line="360" w:lineRule="auto"/>
        <w:jc w:val="both"/>
        <w:rPr>
          <w:rFonts w:ascii="Palatino Linotype" w:eastAsia="Palatino Linotype" w:hAnsi="Palatino Linotype" w:cs="Palatino Linotype"/>
        </w:rPr>
      </w:pPr>
    </w:p>
    <w:p w14:paraId="626DA3FD" w14:textId="77777777" w:rsidR="00777CC2" w:rsidRDefault="00405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mismo los </w:t>
      </w:r>
      <w:r>
        <w:rPr>
          <w:rFonts w:ascii="Palatino Linotype" w:eastAsia="Palatino Linotype" w:hAnsi="Palatino Linotype" w:cs="Palatino Linotype"/>
          <w:b/>
        </w:rPr>
        <w:t xml:space="preserve">Lineamientos Generales en Materia de Clasificación y Desclasificación de la Información, así como para la Elaboración de Versiones Públicas </w:t>
      </w:r>
      <w:r>
        <w:rPr>
          <w:rFonts w:ascii="Palatino Linotype" w:eastAsia="Palatino Linotype" w:hAnsi="Palatino Linotype" w:cs="Palatino Linotype"/>
        </w:rPr>
        <w:t>que señalan lo siguiente:</w:t>
      </w:r>
    </w:p>
    <w:p w14:paraId="23390C22" w14:textId="77777777" w:rsidR="00777CC2" w:rsidRDefault="00777CC2">
      <w:pPr>
        <w:spacing w:line="360" w:lineRule="auto"/>
        <w:jc w:val="both"/>
        <w:rPr>
          <w:rFonts w:ascii="Palatino Linotype" w:eastAsia="Palatino Linotype" w:hAnsi="Palatino Linotype" w:cs="Palatino Linotype"/>
        </w:rPr>
      </w:pPr>
    </w:p>
    <w:p w14:paraId="5E934B6B" w14:textId="77777777" w:rsidR="00777CC2" w:rsidRDefault="00405FBF">
      <w:pPr>
        <w:shd w:val="clear" w:color="auto" w:fill="FFFFFF"/>
        <w:spacing w:after="200"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considera, en principio, como información pública</w:t>
      </w:r>
      <w:r>
        <w:rPr>
          <w:rFonts w:ascii="Palatino Linotype" w:eastAsia="Palatino Linotype" w:hAnsi="Palatino Linotype" w:cs="Palatino Linotype"/>
          <w:i/>
          <w:sz w:val="22"/>
          <w:szCs w:val="22"/>
        </w:rPr>
        <w:t xml:space="preserve"> y no podrá omitirse de las versiones públicas la siguiente:</w:t>
      </w:r>
    </w:p>
    <w:p w14:paraId="53C12442" w14:textId="77777777" w:rsidR="00777CC2" w:rsidRDefault="00405FBF">
      <w:pPr>
        <w:shd w:val="clear" w:color="auto" w:fill="FFFFFF"/>
        <w:spacing w:after="200"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relativa a las Obligaciones de Transparencia que contempla el Título V de la Ley General y las demás disposiciones legales aplicables;</w:t>
      </w:r>
    </w:p>
    <w:p w14:paraId="3398D065" w14:textId="77777777" w:rsidR="00777CC2" w:rsidRDefault="00405FBF">
      <w:pPr>
        <w:shd w:val="clear" w:color="auto" w:fill="FFFFFF"/>
        <w:spacing w:after="200"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El nombre de los servidores públicos en los documentos, y sus firmas autógrafas, cuando sean utilizados en el ejercicio de las facultades conferidas para el desempeño del servicio público, y</w:t>
      </w:r>
    </w:p>
    <w:p w14:paraId="087F730F" w14:textId="77777777" w:rsidR="00777CC2" w:rsidRDefault="00405FBF">
      <w:pPr>
        <w:shd w:val="clear" w:color="auto" w:fill="FFFFFF"/>
        <w:spacing w:after="200"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La información que documente decisiones y los actos de autoridad concluidos de los sujetos obligados, así como el ejercicio de las facultades o actividades de </w:t>
      </w:r>
      <w:r>
        <w:rPr>
          <w:rFonts w:ascii="Palatino Linotype" w:eastAsia="Palatino Linotype" w:hAnsi="Palatino Linotype" w:cs="Palatino Linotype"/>
          <w:b/>
          <w:i/>
          <w:sz w:val="22"/>
          <w:szCs w:val="22"/>
        </w:rPr>
        <w:lastRenderedPageBreak/>
        <w:t>los servidores públicos, de manera que se pueda valorar el desempeño de los mismos.</w:t>
      </w:r>
    </w:p>
    <w:p w14:paraId="1C6DBB0D" w14:textId="77777777" w:rsidR="00777CC2" w:rsidRDefault="00405FBF">
      <w:pPr>
        <w:shd w:val="clear" w:color="auto" w:fill="FFFFFF"/>
        <w:spacing w:after="200"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 anterior, siempre y cuando no se acredite alguna causal de clasificación, prevista en las leyes o en los tratados internaciones suscritos por el Estado mexicano.</w:t>
      </w:r>
    </w:p>
    <w:p w14:paraId="38ADA8D5" w14:textId="77777777" w:rsidR="00777CC2" w:rsidRDefault="00405F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w:t>
      </w:r>
    </w:p>
    <w:p w14:paraId="7932B550" w14:textId="77777777" w:rsidR="00777CC2" w:rsidRDefault="00777CC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62B846" w14:textId="77777777" w:rsidR="00777CC2" w:rsidRDefault="00405F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Entonces, aún y cuando la firma se encuentra en un recibo de nómina, a nada práctico nos conduciría clasificarla como confidencial, cuando ese mismo dato personal tiene naturaleza de información pública en otros documentos, como pueden ser oficios, en consecuencia, se determina que ese dato personal será público en todos los documentos que se encuentren en posesión de los Sujetos Obligados.</w:t>
      </w:r>
    </w:p>
    <w:p w14:paraId="4B4412CC" w14:textId="77777777" w:rsidR="00777CC2" w:rsidRDefault="00777CC2">
      <w:pPr>
        <w:pBdr>
          <w:top w:val="nil"/>
          <w:left w:val="nil"/>
          <w:bottom w:val="nil"/>
          <w:right w:val="nil"/>
          <w:between w:val="nil"/>
        </w:pBdr>
        <w:ind w:left="708"/>
        <w:rPr>
          <w:rFonts w:ascii="Palatino Linotype" w:eastAsia="Palatino Linotype" w:hAnsi="Palatino Linotype" w:cs="Palatino Linotype"/>
          <w:color w:val="000000"/>
        </w:rPr>
      </w:pPr>
    </w:p>
    <w:p w14:paraId="0D91ECE3" w14:textId="77777777" w:rsidR="00777CC2" w:rsidRDefault="00405F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corresponde al nombre de los servidores públicos; en las versiones públicas que remitió el Sujeto Obligado se advierte que testó entre otros datos, los apellidos; clasificación que  resulta excesiva, toda vez que, aún y cuando se tratan de servidores públicos sindicalizados, la información concerniente a su nombre es de dominio público, toda vez, mantienen una relación laboral con una institución pública y perciben un salario de los recursos públicos, en consecuencia, gozan de un </w:t>
      </w:r>
      <w:r>
        <w:rPr>
          <w:rFonts w:ascii="Palatino Linotype" w:eastAsia="Palatino Linotype" w:hAnsi="Palatino Linotype" w:cs="Palatino Linotype"/>
          <w:color w:val="000000"/>
        </w:rPr>
        <w:lastRenderedPageBreak/>
        <w:t xml:space="preserve">régimen de protección menor en cuanto a sus datos personales, en comparación a una persona física ajena al quehacer gubernamental. </w:t>
      </w:r>
    </w:p>
    <w:p w14:paraId="32396C99" w14:textId="77777777" w:rsidR="00777CC2" w:rsidRDefault="00777CC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0802E5" w14:textId="77777777" w:rsidR="00777CC2" w:rsidRDefault="00405FB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Folio fiscal, el número de serie del certificado del CSD,  así como sello digital del contribuyente emisor, el sello del SAT y la cadena original del complemento de certificación digital del SAT. </w:t>
      </w:r>
    </w:p>
    <w:p w14:paraId="2E63F8D0" w14:textId="77777777" w:rsidR="00777CC2" w:rsidRDefault="00405FB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del número de serie del certificado del CSD, el folio fiscal, el número de serie del certificado del SAT, el sello digital del CFDI, el sello del SAT y la cadena original del complemento de certificación digital del SAT, es importante señalar que dichos datos no son susceptibles de clasificarse como confidenciales, lo anterior es así, toda vez que no se encuentran relacionados con información de particulares, sino más bien de un ente público,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4C4D1370" w14:textId="77777777" w:rsidR="00777CC2" w:rsidRDefault="00405FB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Se afirma lo anterior en virtud de que de conformidad con la</w:t>
      </w:r>
      <w:r>
        <w:rPr>
          <w:rFonts w:ascii="Palatino Linotype" w:eastAsia="Palatino Linotype" w:hAnsi="Palatino Linotype" w:cs="Palatino Linotype"/>
          <w:i/>
        </w:rPr>
        <w:t xml:space="preserve"> </w:t>
      </w:r>
      <w:r>
        <w:rPr>
          <w:rFonts w:ascii="Palatino Linotype" w:eastAsia="Palatino Linotype" w:hAnsi="Palatino Linotype" w:cs="Palatino Linotype"/>
        </w:rPr>
        <w:t>regla 2.7.1.7 de Resolución Miscelánea Fiscal</w:t>
      </w:r>
      <w:r>
        <w:rPr>
          <w:rFonts w:ascii="Palatino Linotype" w:eastAsia="Palatino Linotype" w:hAnsi="Palatino Linotype" w:cs="Palatino Linotype"/>
          <w:i/>
        </w:rPr>
        <w:t xml:space="preserve">, </w:t>
      </w:r>
      <w:r>
        <w:rPr>
          <w:rFonts w:ascii="Palatino Linotype" w:eastAsia="Palatino Linotype" w:hAnsi="Palatino Linotype" w:cs="Palatino Linotype"/>
        </w:rPr>
        <w:t>para los efectos del artículo 29 segundo párrafo fracción V del Código Fiscal de la Federación, las representaciones impresas del Comprobante Fiscal Digital por Internet o CFDI,</w:t>
      </w:r>
      <w:r>
        <w:rPr>
          <w:rFonts w:ascii="Palatino Linotype" w:eastAsia="Palatino Linotype" w:hAnsi="Palatino Linotype" w:cs="Palatino Linotype"/>
          <w:i/>
        </w:rPr>
        <w:t xml:space="preserve"> </w:t>
      </w:r>
      <w:r>
        <w:rPr>
          <w:rFonts w:ascii="Palatino Linotype" w:eastAsia="Palatino Linotype" w:hAnsi="Palatino Linotype" w:cs="Palatino Linotype"/>
        </w:rPr>
        <w:t>deben cumplir con los requisitos señalados en el artículo 29-A del Código Fiscal de la Federación, y contener lo siguiente:</w:t>
      </w:r>
    </w:p>
    <w:p w14:paraId="43EF7B4A" w14:textId="77777777" w:rsidR="00777CC2" w:rsidRDefault="00405FBF">
      <w:pPr>
        <w:tabs>
          <w:tab w:val="left" w:pos="709"/>
        </w:tabs>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Código de barras generado conforme a la especificación técnica que se establece en el rubro I.D del Anexo 20 o el número de folio fiscal del comprobante. </w:t>
      </w:r>
    </w:p>
    <w:p w14:paraId="5559AA49" w14:textId="77777777" w:rsidR="00777CC2" w:rsidRDefault="00405FBF">
      <w:pPr>
        <w:tabs>
          <w:tab w:val="left" w:pos="709"/>
        </w:tabs>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Número de serie del CSD del emisor y del SAT</w:t>
      </w:r>
      <w:r>
        <w:rPr>
          <w:rFonts w:ascii="Palatino Linotype" w:eastAsia="Palatino Linotype" w:hAnsi="Palatino Linotype" w:cs="Palatino Linotype"/>
          <w:i/>
          <w:sz w:val="22"/>
          <w:szCs w:val="22"/>
        </w:rPr>
        <w:t xml:space="preserve">, que establecen los rubros I.A y III.B del Anexo 20. </w:t>
      </w:r>
    </w:p>
    <w:p w14:paraId="6BE69BA4" w14:textId="77777777" w:rsidR="00777CC2" w:rsidRDefault="00405FBF">
      <w:pPr>
        <w:tabs>
          <w:tab w:val="left" w:pos="709"/>
        </w:tabs>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leyenda: “Este documento es una representación impresa de un CFDI”</w:t>
      </w:r>
    </w:p>
    <w:p w14:paraId="08EDDCB7" w14:textId="77777777" w:rsidR="00777CC2" w:rsidRDefault="00405FBF">
      <w:pPr>
        <w:tabs>
          <w:tab w:val="left" w:pos="709"/>
        </w:tabs>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Fecha y hora de emisión y de certificación del CFDI </w:t>
      </w:r>
      <w:r>
        <w:rPr>
          <w:rFonts w:ascii="Palatino Linotype" w:eastAsia="Palatino Linotype" w:hAnsi="Palatino Linotype" w:cs="Palatino Linotype"/>
          <w:i/>
          <w:sz w:val="22"/>
          <w:szCs w:val="22"/>
        </w:rPr>
        <w:t xml:space="preserve">en adición a lo señalado en el artículo 29- A, fracción III del CFF. </w:t>
      </w:r>
    </w:p>
    <w:p w14:paraId="28390EF5" w14:textId="77777777" w:rsidR="00777CC2" w:rsidRDefault="00405FBF">
      <w:pPr>
        <w:tabs>
          <w:tab w:val="left" w:pos="709"/>
        </w:tabs>
        <w:spacing w:before="120" w:after="12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Cadena original del complemento de certificación digital del SAT. </w:t>
      </w:r>
    </w:p>
    <w:p w14:paraId="2FFF8281" w14:textId="77777777" w:rsidR="00777CC2" w:rsidRDefault="00405FBF">
      <w:pPr>
        <w:tabs>
          <w:tab w:val="left" w:pos="709"/>
        </w:tabs>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Tratándose de las representaciones impresas del CFDI que amparen retenciones e información de pagos emitidos conforme a lo dispuesto en la regla 2.7.5.4., adicional a lo anteriormente señalado deberán incluir: </w:t>
      </w:r>
    </w:p>
    <w:p w14:paraId="783E5CDC" w14:textId="77777777" w:rsidR="00777CC2" w:rsidRDefault="00405FBF">
      <w:pPr>
        <w:tabs>
          <w:tab w:val="left" w:pos="709"/>
        </w:tabs>
        <w:spacing w:before="120" w:after="12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Los datos que establece el Anexo 20, apartado II.A., así como los correspondientes a los complementos que incorpore.</w:t>
      </w:r>
    </w:p>
    <w:p w14:paraId="0B7D6780" w14:textId="77777777" w:rsidR="00777CC2" w:rsidRDefault="00405FBF">
      <w:pPr>
        <w:tabs>
          <w:tab w:val="left" w:pos="709"/>
        </w:tabs>
        <w:spacing w:before="120" w:after="12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El código de barras generado conforme a la especificación técnica establecida en el Anexo 20, rubro II.D. </w:t>
      </w:r>
    </w:p>
    <w:p w14:paraId="64F84B7A" w14:textId="77777777" w:rsidR="00777CC2" w:rsidRDefault="00405FBF">
      <w:pPr>
        <w:tabs>
          <w:tab w:val="left" w:pos="709"/>
        </w:tabs>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Tratándose de las representaciones impresas de un CFDI emitidas conforme a lo dispuesto en la regla 2.7.2.14., y la Sección 2.7.3., se deberá estar a lo siguiente: </w:t>
      </w:r>
    </w:p>
    <w:p w14:paraId="24746715" w14:textId="77777777" w:rsidR="00777CC2" w:rsidRDefault="00405FBF">
      <w:pPr>
        <w:tabs>
          <w:tab w:val="left" w:pos="709"/>
        </w:tabs>
        <w:spacing w:before="120" w:after="12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Espacio para registrar la firma autógrafa de la persona que emite el CFDI. </w:t>
      </w:r>
    </w:p>
    <w:p w14:paraId="20A3495A" w14:textId="77777777" w:rsidR="00777CC2" w:rsidRDefault="00405FBF">
      <w:pPr>
        <w:tabs>
          <w:tab w:val="left" w:pos="709"/>
        </w:tabs>
        <w:spacing w:before="120" w:after="12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Respecto a lo señalado en la fracción II de esta regla, se incluirá el número de serie de CESD del proveedor de certificación de CFDI o del SAT según corresponda en sustitución del número de CSD del emisor. </w:t>
      </w:r>
    </w:p>
    <w:p w14:paraId="3341C86E" w14:textId="77777777" w:rsidR="00777CC2" w:rsidRDefault="00405FBF">
      <w:pPr>
        <w:tabs>
          <w:tab w:val="left" w:pos="709"/>
        </w:tabs>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14:paraId="7DB2E96B" w14:textId="77777777" w:rsidR="00777CC2" w:rsidRDefault="00405FBF">
      <w:pPr>
        <w:tabs>
          <w:tab w:val="left" w:pos="709"/>
        </w:tabs>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archivo electrónico que en su caso genere la representación impresa deberá estar en formato electrónico PDF o algún otro similar que permita su impresión. </w:t>
      </w:r>
    </w:p>
    <w:p w14:paraId="53B19652" w14:textId="77777777" w:rsidR="00777CC2" w:rsidRDefault="00405FBF">
      <w:pPr>
        <w:tabs>
          <w:tab w:val="left" w:pos="709"/>
        </w:tabs>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 establecido en esta regla no será aplicable a la representación impresa del CFDI que se expida a través de “Mis cuentas”.</w:t>
      </w:r>
    </w:p>
    <w:p w14:paraId="5EE0A9B8" w14:textId="77777777" w:rsidR="00777CC2" w:rsidRDefault="00405FB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 conformidad con el Anexo 20 de la Tercera Resolución de modificaciones a la Resolución Miscelánea Fiscal, los elementos utilizados en la generación de sellos digitales son la cadena original del elemento a sellar, el certificado de sello digital y su correspondiente clave privada, los algoritmos de </w:t>
      </w:r>
      <w:r>
        <w:rPr>
          <w:rFonts w:ascii="Palatino Linotype" w:eastAsia="Palatino Linotype" w:hAnsi="Palatino Linotype" w:cs="Palatino Linotype"/>
        </w:rPr>
        <w:lastRenderedPageBreak/>
        <w:t>criptografía de clave pública para firma electrónica avanzada, y las especificaciones de conversión de la firma avanzada a base 64.</w:t>
      </w:r>
    </w:p>
    <w:p w14:paraId="6BDBE131" w14:textId="77777777" w:rsidR="00777CC2" w:rsidRDefault="00405FB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generación de sellos digitales se utiliza criptografía de clave pública aplicada a una cadena original, que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14:paraId="6D5AFD79" w14:textId="77777777" w:rsidR="00777CC2" w:rsidRDefault="00405FB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14:paraId="56BB01B8" w14:textId="77777777" w:rsidR="00777CC2" w:rsidRDefault="00405FB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w:t>
      </w:r>
    </w:p>
    <w:p w14:paraId="5F3DC5EF" w14:textId="77777777" w:rsidR="00777CC2" w:rsidRDefault="00405FBF">
      <w:pPr>
        <w:numPr>
          <w:ilvl w:val="0"/>
          <w:numId w:val="1"/>
        </w:numPr>
        <w:pBdr>
          <w:top w:val="nil"/>
          <w:left w:val="nil"/>
          <w:bottom w:val="nil"/>
          <w:right w:val="nil"/>
          <w:between w:val="nil"/>
        </w:pBdr>
        <w:tabs>
          <w:tab w:val="left" w:pos="284"/>
          <w:tab w:val="left" w:pos="426"/>
          <w:tab w:val="left" w:pos="567"/>
          <w:tab w:val="left" w:pos="709"/>
          <w:tab w:val="left" w:pos="851"/>
        </w:tabs>
        <w:spacing w:before="240" w:line="276"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integridad (facilidad para detectar si un mensaje firmado ha sido alterado),</w:t>
      </w:r>
    </w:p>
    <w:p w14:paraId="5FDF56B6" w14:textId="77777777" w:rsidR="00777CC2" w:rsidRDefault="00405FBF">
      <w:pPr>
        <w:numPr>
          <w:ilvl w:val="0"/>
          <w:numId w:val="1"/>
        </w:numPr>
        <w:pBdr>
          <w:top w:val="nil"/>
          <w:left w:val="nil"/>
          <w:bottom w:val="nil"/>
          <w:right w:val="nil"/>
          <w:between w:val="nil"/>
        </w:pBdr>
        <w:tabs>
          <w:tab w:val="left" w:pos="284"/>
          <w:tab w:val="left" w:pos="426"/>
          <w:tab w:val="left" w:pos="567"/>
          <w:tab w:val="left" w:pos="709"/>
          <w:tab w:val="left" w:pos="851"/>
        </w:tabs>
        <w:spacing w:line="276"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autenticidad,</w:t>
      </w:r>
    </w:p>
    <w:p w14:paraId="160E6BBF" w14:textId="77777777" w:rsidR="00777CC2" w:rsidRDefault="00405FBF">
      <w:pPr>
        <w:numPr>
          <w:ilvl w:val="0"/>
          <w:numId w:val="1"/>
        </w:numPr>
        <w:pBdr>
          <w:top w:val="nil"/>
          <w:left w:val="nil"/>
          <w:bottom w:val="nil"/>
          <w:right w:val="nil"/>
          <w:between w:val="nil"/>
        </w:pBdr>
        <w:tabs>
          <w:tab w:val="left" w:pos="284"/>
          <w:tab w:val="left" w:pos="426"/>
          <w:tab w:val="left" w:pos="567"/>
          <w:tab w:val="left" w:pos="851"/>
        </w:tabs>
        <w:spacing w:line="276"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Certidumbre de origen (facilidad para determinar qué persona es el autor de la firma que valida el contenido del mensaje) y</w:t>
      </w:r>
    </w:p>
    <w:p w14:paraId="424839E1" w14:textId="77777777" w:rsidR="00777CC2" w:rsidRDefault="00405FBF">
      <w:pPr>
        <w:numPr>
          <w:ilvl w:val="0"/>
          <w:numId w:val="1"/>
        </w:numPr>
        <w:pBdr>
          <w:top w:val="nil"/>
          <w:left w:val="nil"/>
          <w:bottom w:val="nil"/>
          <w:right w:val="nil"/>
          <w:between w:val="nil"/>
        </w:pBdr>
        <w:tabs>
          <w:tab w:val="left" w:pos="284"/>
          <w:tab w:val="left" w:pos="426"/>
          <w:tab w:val="left" w:pos="567"/>
          <w:tab w:val="left" w:pos="709"/>
          <w:tab w:val="left" w:pos="851"/>
        </w:tabs>
        <w:spacing w:after="240" w:line="360" w:lineRule="auto"/>
        <w:ind w:left="567" w:firstLine="0"/>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color w:val="000000"/>
        </w:rPr>
        <w:t>No repudiación del mensaje firmado (capacidad de impedir que el autor de la firma niegue haber firmado el mensaje).</w:t>
      </w:r>
    </w:p>
    <w:p w14:paraId="67E14F1E" w14:textId="77777777" w:rsidR="00777CC2" w:rsidRDefault="00405FBF">
      <w:pPr>
        <w:tabs>
          <w:tab w:val="left" w:pos="284"/>
          <w:tab w:val="left" w:pos="709"/>
          <w:tab w:val="left" w:pos="851"/>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Estos servicios de seguridad proporcionan las siguientes características a un mensaje con firma electrónica avanzada:</w:t>
      </w:r>
    </w:p>
    <w:p w14:paraId="49A51EB2" w14:textId="77777777" w:rsidR="00777CC2" w:rsidRDefault="00405FBF">
      <w:pPr>
        <w:numPr>
          <w:ilvl w:val="0"/>
          <w:numId w:val="2"/>
        </w:numPr>
        <w:pBdr>
          <w:top w:val="nil"/>
          <w:left w:val="nil"/>
          <w:bottom w:val="nil"/>
          <w:right w:val="nil"/>
          <w:between w:val="nil"/>
        </w:pBdr>
        <w:tabs>
          <w:tab w:val="left" w:pos="284"/>
          <w:tab w:val="left" w:pos="851"/>
        </w:tabs>
        <w:spacing w:before="240" w:line="360"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infalsificable.</w:t>
      </w:r>
    </w:p>
    <w:p w14:paraId="5E97629C" w14:textId="77777777" w:rsidR="00777CC2" w:rsidRDefault="00405FBF">
      <w:pPr>
        <w:numPr>
          <w:ilvl w:val="0"/>
          <w:numId w:val="2"/>
        </w:numPr>
        <w:pBdr>
          <w:top w:val="nil"/>
          <w:left w:val="nil"/>
          <w:bottom w:val="nil"/>
          <w:right w:val="nil"/>
          <w:between w:val="nil"/>
        </w:pBdr>
        <w:tabs>
          <w:tab w:val="left" w:pos="284"/>
          <w:tab w:val="left" w:pos="851"/>
        </w:tabs>
        <w:spacing w:line="360"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firma electrónica avanzada no es reciclable (es única por mensaje).</w:t>
      </w:r>
    </w:p>
    <w:p w14:paraId="70AEF39A" w14:textId="77777777" w:rsidR="00777CC2" w:rsidRDefault="00405FBF">
      <w:pPr>
        <w:numPr>
          <w:ilvl w:val="0"/>
          <w:numId w:val="2"/>
        </w:numPr>
        <w:pBdr>
          <w:top w:val="nil"/>
          <w:left w:val="nil"/>
          <w:bottom w:val="nil"/>
          <w:right w:val="nil"/>
          <w:between w:val="nil"/>
        </w:pBdr>
        <w:tabs>
          <w:tab w:val="left" w:pos="284"/>
          <w:tab w:val="left" w:pos="851"/>
        </w:tabs>
        <w:spacing w:line="360"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 mensaje con firma electrónica avanzada alterado, es detectable.</w:t>
      </w:r>
    </w:p>
    <w:p w14:paraId="02C46198" w14:textId="77777777" w:rsidR="00777CC2" w:rsidRDefault="00405FBF">
      <w:pPr>
        <w:numPr>
          <w:ilvl w:val="0"/>
          <w:numId w:val="2"/>
        </w:numPr>
        <w:pBdr>
          <w:top w:val="nil"/>
          <w:left w:val="nil"/>
          <w:bottom w:val="nil"/>
          <w:right w:val="nil"/>
          <w:between w:val="nil"/>
        </w:pBdr>
        <w:tabs>
          <w:tab w:val="left" w:pos="284"/>
          <w:tab w:val="left" w:pos="851"/>
        </w:tabs>
        <w:spacing w:after="240" w:line="360" w:lineRule="auto"/>
        <w:ind w:left="56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 mensaje con firma electrónica avanzada, no puede ser repudiado.</w:t>
      </w:r>
    </w:p>
    <w:p w14:paraId="42E0C76E" w14:textId="77777777" w:rsidR="00777CC2" w:rsidRDefault="00405FB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certificados de sello digital se generan de manera idéntica a los certificados de e.firma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de sello digital del emisor.</w:t>
      </w:r>
    </w:p>
    <w:p w14:paraId="444F9E2E" w14:textId="77777777" w:rsidR="00777CC2" w:rsidRDefault="00405FB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w:t>
      </w:r>
      <w:r>
        <w:rPr>
          <w:rFonts w:ascii="Palatino Linotype" w:eastAsia="Palatino Linotype" w:hAnsi="Palatino Linotype" w:cs="Palatino Linotype"/>
        </w:rPr>
        <w:lastRenderedPageBreak/>
        <w:t xml:space="preserve">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3D7425AD" w14:textId="77777777" w:rsidR="00777CC2" w:rsidRDefault="00405FB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expuesto, se reitera que los datos señalados, no pueden ser considerados como confidenciales, en virtud de que los mismos no se encuentran relacionados con información de particulares, sino más bien de entes públicos, es decir, el Servicio de Administración Tributaria y el contribuyente, que en el caso concreto es el </w:t>
      </w:r>
      <w:r>
        <w:rPr>
          <w:rFonts w:ascii="Palatino Linotype" w:eastAsia="Palatino Linotype" w:hAnsi="Palatino Linotype" w:cs="Palatino Linotype"/>
          <w:b/>
        </w:rPr>
        <w:t>Sujeto Obligado</w:t>
      </w:r>
      <w:r>
        <w:rPr>
          <w:rFonts w:ascii="Palatino Linotype" w:eastAsia="Palatino Linotype" w:hAnsi="Palatino Linotype" w:cs="Palatino Linotype"/>
        </w:rPr>
        <w:t>, motivo por el cual, no es procedente la versión pública en la que estos datos se testaron.</w:t>
      </w:r>
    </w:p>
    <w:p w14:paraId="2BD624F5" w14:textId="77777777" w:rsidR="00777CC2" w:rsidRDefault="00405FB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Como resultado de lo anterior, se aprecia que las versiones públicas proporcionadas en respuesta son excesivas y a la vez restringen el derecho del recurrente a acceder a información pública.</w:t>
      </w:r>
    </w:p>
    <w:p w14:paraId="51548CF1" w14:textId="77777777" w:rsidR="00AC3AAB" w:rsidRDefault="00AC3AA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AFCD66" w14:textId="77777777" w:rsidR="00777CC2" w:rsidRDefault="00405FBF">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a pesar de que los Comprobantes Fiscales Digitales por Internet remitidos, son las documentales idóneas para atender el requerimiento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del estudio efectuado se concluyó que estos no se remitieron en una correcta versión pública, por consiguiente, este Órgano Garante  estima necesario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remita nuevamente el soporte documental en una correcta versión pública, en la cual se deje visible la información relativa al nombre y firma de los servidores público,  el folio fiscal, el número de serie del certificado del CSD; así como, sello digital del contribuyente emisor, el sello del SAT y la cadena original del complemento de certificación digital del SAT. </w:t>
      </w:r>
    </w:p>
    <w:p w14:paraId="7A677F58"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Contrario a lo anterior, es conveniente señalar que, 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omitió testar las deducciones relativas a las cuotas sindicales; las cuales,  deben clasificarse como información confidencial ya que el patrimonio sindical que se obtiene por aportaciones de sus afiliados.</w:t>
      </w:r>
    </w:p>
    <w:p w14:paraId="6F8D4322"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A fin de robustecer lo anterior, se inserta el criterio 09/17 emitido por el Instituto Nacional de Transparencia, Acceso a la Información Pública y Protección de Datos Personales, que en su texto literal señala: </w:t>
      </w:r>
    </w:p>
    <w:p w14:paraId="19556C69" w14:textId="77777777" w:rsidR="00777CC2" w:rsidRDefault="00405FBF">
      <w:pPr>
        <w:spacing w:before="240"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“Cuotas sindicales. No están sujetas al escrutinio público</w:t>
      </w:r>
      <w:r>
        <w:rPr>
          <w:rFonts w:ascii="Palatino Linotype" w:eastAsia="Palatino Linotype" w:hAnsi="Palatino Linotype" w:cs="Palatino Linotype"/>
          <w:i/>
          <w:sz w:val="22"/>
          <w:szCs w:val="22"/>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 </w:t>
      </w:r>
    </w:p>
    <w:p w14:paraId="7D2CB1C3" w14:textId="77777777" w:rsidR="00777CC2" w:rsidRDefault="00405FBF">
      <w:pPr>
        <w:spacing w:before="240"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Resoluciones: </w:t>
      </w:r>
      <w:r>
        <w:rPr>
          <w:rFonts w:ascii="Symbol" w:eastAsia="Symbol" w:hAnsi="Symbol" w:cs="Symbol"/>
          <w:i/>
          <w:sz w:val="22"/>
          <w:szCs w:val="22"/>
        </w:rPr>
        <w:t>∙</w:t>
      </w:r>
      <w:r>
        <w:rPr>
          <w:rFonts w:ascii="Palatino Linotype" w:eastAsia="Palatino Linotype" w:hAnsi="Palatino Linotype" w:cs="Palatino Linotype"/>
          <w:i/>
          <w:sz w:val="22"/>
          <w:szCs w:val="22"/>
        </w:rPr>
        <w:t xml:space="preserve"> RRA 4169/16. Sindicato Nacional de Trabajadores de la Secretaría de Comunicaciones y Transportes. 22 de febrero de 2017. Por unanimidad. Comisionada Ponente María Patricia Kurczyn Villalobos. </w:t>
      </w:r>
    </w:p>
    <w:p w14:paraId="36AC79D4" w14:textId="77777777" w:rsidR="00777CC2" w:rsidRDefault="00405FBF">
      <w:pPr>
        <w:spacing w:before="240" w:after="240" w:line="360" w:lineRule="auto"/>
        <w:ind w:left="851" w:right="616"/>
        <w:jc w:val="both"/>
        <w:rPr>
          <w:rFonts w:ascii="Palatino Linotype" w:eastAsia="Palatino Linotype" w:hAnsi="Palatino Linotype" w:cs="Palatino Linotype"/>
          <w:i/>
          <w:sz w:val="22"/>
          <w:szCs w:val="22"/>
        </w:rPr>
      </w:pPr>
      <w:r>
        <w:rPr>
          <w:rFonts w:ascii="Symbol" w:eastAsia="Symbol" w:hAnsi="Symbol" w:cs="Symbol"/>
          <w:i/>
          <w:sz w:val="22"/>
          <w:szCs w:val="22"/>
        </w:rPr>
        <w:t>∙</w:t>
      </w:r>
      <w:r>
        <w:rPr>
          <w:rFonts w:ascii="Palatino Linotype" w:eastAsia="Palatino Linotype" w:hAnsi="Palatino Linotype" w:cs="Palatino Linotype"/>
          <w:i/>
          <w:sz w:val="22"/>
          <w:szCs w:val="22"/>
        </w:rPr>
        <w:t xml:space="preserve"> RRA 0089/17. Sindicato Nacional de Trabajadores de la Educación. 22 de febrero de 2017. Por unanimidad. Comisionado Ponente Rosendoevgueni Monterrey Chepov. </w:t>
      </w:r>
    </w:p>
    <w:p w14:paraId="11CA9AC0" w14:textId="77777777" w:rsidR="00777CC2" w:rsidRDefault="00405FBF">
      <w:pPr>
        <w:spacing w:before="240" w:after="240" w:line="360" w:lineRule="auto"/>
        <w:ind w:left="851" w:right="616"/>
        <w:jc w:val="both"/>
        <w:rPr>
          <w:rFonts w:ascii="Palatino Linotype" w:eastAsia="Palatino Linotype" w:hAnsi="Palatino Linotype" w:cs="Palatino Linotype"/>
          <w:i/>
          <w:sz w:val="22"/>
          <w:szCs w:val="22"/>
        </w:rPr>
      </w:pPr>
      <w:r>
        <w:rPr>
          <w:rFonts w:ascii="Symbol" w:eastAsia="Symbol" w:hAnsi="Symbol" w:cs="Symbol"/>
          <w:i/>
          <w:sz w:val="22"/>
          <w:szCs w:val="22"/>
        </w:rPr>
        <w:t>∙</w:t>
      </w:r>
      <w:r>
        <w:rPr>
          <w:rFonts w:ascii="Palatino Linotype" w:eastAsia="Palatino Linotype" w:hAnsi="Palatino Linotype" w:cs="Palatino Linotype"/>
          <w:i/>
          <w:sz w:val="22"/>
          <w:szCs w:val="22"/>
        </w:rPr>
        <w:t xml:space="preserve"> RRA 0304/17. Sindicato Nacional de Trabajadores del Instituto de Seguridad y Servicios Sociales de los Trabajadores del Estado. 01 de marzo de 2017. Por unanimidad. Comisionado Ponente Oscar Mauricio Guerra Ford. “</w:t>
      </w:r>
    </w:p>
    <w:p w14:paraId="249F7E56"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Corolario a todo lo anterior, es menester señalar que la Ley de Protección de Datos Personales del Estado de México reconoce que tanto las personas físicas como las jurídico colectivas poseen datos personales que los pueden hacer identificables, en ese entendido el derecho de protección a datos personales también alcanza a las personas morales y/o jurídicas respecto a la intromisión por parte de terceros, cuando solicitan cierta información económica, comercial o relativa a la identidad, que pudiera en algún momento menoscabar su desarrollo.</w:t>
      </w:r>
    </w:p>
    <w:p w14:paraId="15BE60C4"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la Ley de Protección Datos en la entidad dispone en los artículos 4 fracciones VII y VIII y 17 en relación directa con el precepto legal 3 fracciones XX y XXI de la Ley en la Materia, lo siguiente: </w:t>
      </w:r>
    </w:p>
    <w:p w14:paraId="43930988" w14:textId="77777777" w:rsidR="00777CC2" w:rsidRDefault="00405FBF">
      <w:pPr>
        <w:spacing w:before="120" w:after="24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“Artículo 4.- </w:t>
      </w:r>
      <w:r>
        <w:rPr>
          <w:rFonts w:ascii="Palatino Linotype" w:eastAsia="Palatino Linotype" w:hAnsi="Palatino Linotype" w:cs="Palatino Linotype"/>
          <w:i/>
          <w:sz w:val="20"/>
          <w:szCs w:val="20"/>
        </w:rPr>
        <w:t>Para los efectos de esta Ley se entiende por:</w:t>
      </w:r>
      <w:r>
        <w:rPr>
          <w:rFonts w:ascii="Palatino Linotype" w:eastAsia="Palatino Linotype" w:hAnsi="Palatino Linotype" w:cs="Palatino Linotype"/>
          <w:b/>
          <w:i/>
          <w:sz w:val="20"/>
          <w:szCs w:val="20"/>
        </w:rPr>
        <w:t xml:space="preserve"> </w:t>
      </w:r>
    </w:p>
    <w:p w14:paraId="7AE1876F" w14:textId="77777777" w:rsidR="00777CC2" w:rsidRDefault="00405FBF">
      <w:pPr>
        <w:spacing w:before="120" w:after="24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w:t>
      </w:r>
    </w:p>
    <w:p w14:paraId="3915B625" w14:textId="77777777" w:rsidR="00777CC2" w:rsidRDefault="00405FBF">
      <w:pPr>
        <w:spacing w:before="120" w:after="24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lastRenderedPageBreak/>
        <w:t xml:space="preserve">VII. Datos personales: </w:t>
      </w:r>
      <w:r>
        <w:rPr>
          <w:rFonts w:ascii="Palatino Linotype" w:eastAsia="Palatino Linotype" w:hAnsi="Palatino Linotype" w:cs="Palatino Linotype"/>
          <w:i/>
          <w:sz w:val="20"/>
          <w:szCs w:val="20"/>
        </w:rPr>
        <w:t xml:space="preserve">Cualquier información concerniente a una </w:t>
      </w:r>
      <w:r>
        <w:rPr>
          <w:rFonts w:ascii="Palatino Linotype" w:eastAsia="Palatino Linotype" w:hAnsi="Palatino Linotype" w:cs="Palatino Linotype"/>
          <w:b/>
          <w:i/>
          <w:sz w:val="20"/>
          <w:szCs w:val="20"/>
          <w:u w:val="single"/>
        </w:rPr>
        <w:t>persona física o jurídica colectiva</w:t>
      </w:r>
      <w:r>
        <w:rPr>
          <w:rFonts w:ascii="Palatino Linotype" w:eastAsia="Palatino Linotype" w:hAnsi="Palatino Linotype" w:cs="Palatino Linotype"/>
          <w:i/>
          <w:sz w:val="20"/>
          <w:szCs w:val="20"/>
        </w:rPr>
        <w:t xml:space="preserve"> identificada o identificable, establecida en cualquier formato o modalidad y que esté almacenada en bases de datos, conforme a lo establecido en esta Ley.</w:t>
      </w:r>
      <w:r>
        <w:rPr>
          <w:rFonts w:ascii="Palatino Linotype" w:eastAsia="Palatino Linotype" w:hAnsi="Palatino Linotype" w:cs="Palatino Linotype"/>
          <w:b/>
          <w:i/>
          <w:sz w:val="20"/>
          <w:szCs w:val="20"/>
        </w:rPr>
        <w:t xml:space="preserve"> </w:t>
      </w:r>
    </w:p>
    <w:p w14:paraId="10F976FF" w14:textId="77777777" w:rsidR="00777CC2" w:rsidRDefault="00405FBF">
      <w:pPr>
        <w:spacing w:before="120" w:after="24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VIII. Datos personales sensibles: </w:t>
      </w:r>
      <w:r>
        <w:rPr>
          <w:rFonts w:ascii="Palatino Linotype" w:eastAsia="Palatino Linotype" w:hAnsi="Palatino Linotype" w:cs="Palatino Linotype"/>
          <w:i/>
          <w:sz w:val="20"/>
          <w:szCs w:val="20"/>
        </w:rPr>
        <w:t>Aquellos que afectan la esfera más íntima de su Titular, o cuya utilización indebida pueda dar origen a discriminación o conlleve un riesgo grave para éste.</w:t>
      </w:r>
      <w:r>
        <w:rPr>
          <w:rFonts w:ascii="Palatino Linotype" w:eastAsia="Palatino Linotype" w:hAnsi="Palatino Linotype" w:cs="Palatino Linotype"/>
          <w:b/>
          <w:i/>
          <w:sz w:val="20"/>
          <w:szCs w:val="20"/>
        </w:rPr>
        <w:t xml:space="preserve"> </w:t>
      </w:r>
    </w:p>
    <w:p w14:paraId="4D56C809" w14:textId="77777777" w:rsidR="00777CC2" w:rsidRDefault="00405FBF">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17.- </w:t>
      </w:r>
      <w:r>
        <w:rPr>
          <w:rFonts w:ascii="Palatino Linotype" w:eastAsia="Palatino Linotype" w:hAnsi="Palatino Linotype" w:cs="Palatino Linotype"/>
          <w:i/>
          <w:sz w:val="20"/>
          <w:szCs w:val="20"/>
        </w:rPr>
        <w:t>Los datos personales sensibles son irrenunciables, intransferibles e indelegables, por lo que no podrán transmitirse salvo disposición legal o cuando medie el consentimiento del titular. Dicha obligación subsistirá aún después de finalizada la relación entre el sujeto obligado con el titular de los datos personales, así como después de finalizada la relación laboral entre el sujeto obligado y el responsable del sistema de datos personales o los usuarios.”</w:t>
      </w:r>
    </w:p>
    <w:p w14:paraId="1544F257" w14:textId="77777777" w:rsidR="00777CC2" w:rsidRDefault="00405FBF">
      <w:pPr>
        <w:spacing w:before="120" w:after="24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“Artículo 3. </w:t>
      </w:r>
      <w:r>
        <w:rPr>
          <w:rFonts w:ascii="Palatino Linotype" w:eastAsia="Palatino Linotype" w:hAnsi="Palatino Linotype" w:cs="Palatino Linotype"/>
          <w:i/>
          <w:sz w:val="20"/>
          <w:szCs w:val="20"/>
        </w:rPr>
        <w:t>Para los efectos de la presente Ley se entenderá por:</w:t>
      </w:r>
      <w:r>
        <w:rPr>
          <w:rFonts w:ascii="Palatino Linotype" w:eastAsia="Palatino Linotype" w:hAnsi="Palatino Linotype" w:cs="Palatino Linotype"/>
          <w:b/>
          <w:i/>
          <w:sz w:val="20"/>
          <w:szCs w:val="20"/>
        </w:rPr>
        <w:t xml:space="preserve"> </w:t>
      </w:r>
    </w:p>
    <w:p w14:paraId="1111AAC2" w14:textId="77777777" w:rsidR="00777CC2" w:rsidRDefault="00405FBF">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XX. Información clasificada: </w:t>
      </w:r>
      <w:r>
        <w:rPr>
          <w:rFonts w:ascii="Palatino Linotype" w:eastAsia="Palatino Linotype" w:hAnsi="Palatino Linotype" w:cs="Palatino Linotype"/>
          <w:i/>
          <w:sz w:val="20"/>
          <w:szCs w:val="20"/>
        </w:rPr>
        <w:t>Aquella considerada por la presente Ley como reservada o confidencial;</w:t>
      </w:r>
    </w:p>
    <w:p w14:paraId="6DD07BF6" w14:textId="77777777" w:rsidR="00777CC2" w:rsidRDefault="00405FBF">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XXI. Información confidencial: </w:t>
      </w:r>
      <w:r>
        <w:rPr>
          <w:rFonts w:ascii="Palatino Linotype" w:eastAsia="Palatino Linotype" w:hAnsi="Palatino Linotype" w:cs="Palatino Linotype"/>
          <w:i/>
          <w:sz w:val="20"/>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308200" w14:textId="77777777" w:rsidR="00777CC2" w:rsidRDefault="00405FBF">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143. </w:t>
      </w:r>
      <w:r>
        <w:rPr>
          <w:rFonts w:ascii="Palatino Linotype" w:eastAsia="Palatino Linotype" w:hAnsi="Palatino Linotype" w:cs="Palatino Linotype"/>
          <w:i/>
          <w:sz w:val="20"/>
          <w:szCs w:val="20"/>
        </w:rPr>
        <w:t>Para los efectos de esta Ley se considera información confidencial, la clasificada como tal, de manera permanente, por su naturaleza, cuando:</w:t>
      </w:r>
    </w:p>
    <w:p w14:paraId="49F84118" w14:textId="77777777" w:rsidR="00777CC2" w:rsidRDefault="00405FBF">
      <w:pPr>
        <w:spacing w:before="120" w:after="240"/>
        <w:ind w:left="1134"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 </w:t>
      </w:r>
      <w:r>
        <w:rPr>
          <w:rFonts w:ascii="Palatino Linotype" w:eastAsia="Palatino Linotype" w:hAnsi="Palatino Linotype" w:cs="Palatino Linotype"/>
          <w:i/>
          <w:sz w:val="20"/>
          <w:szCs w:val="20"/>
        </w:rPr>
        <w:t>Se refiera a la información privada y los datos personales concernientes a una persona física o jurídico colectiva identificada o identificable;…”</w:t>
      </w:r>
    </w:p>
    <w:p w14:paraId="53E622BD" w14:textId="77777777" w:rsidR="00777CC2" w:rsidRDefault="00405FBF">
      <w:pPr>
        <w:spacing w:before="120" w:after="24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3ECF9184"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en cita, se advierte que los datos personales constituyen la información relativa a una persona física o jurídica que la hace identificables, y que algunos casos pueden afectar su esfera íntima, ya sea porque conlleve a un riesgo grave o porque pueda ser motivo de discriminación, por lo tanto son datos </w:t>
      </w:r>
      <w:r>
        <w:rPr>
          <w:rFonts w:ascii="Palatino Linotype" w:eastAsia="Palatino Linotype" w:hAnsi="Palatino Linotype" w:cs="Palatino Linotype"/>
        </w:rPr>
        <w:lastRenderedPageBreak/>
        <w:t>personales sensibles, los cuales pueden ser clasificados como reservados o confidenciales.</w:t>
      </w:r>
    </w:p>
    <w:p w14:paraId="3C0E3B29" w14:textId="77777777" w:rsidR="00777CC2" w:rsidRDefault="00405FBF">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la información relativa al monto de las cuotas que aportan sus afiliados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debe permanecer ajena al conocimiento de terceros, con independencia del principio de máxima publicidad que opera en materia de trasparencia e información pública, toda vez que sobre éste prima el derecho de protección a datos personales de las personas físicas y colectivas; por lo tanto, debe clasificarse como información confidencial. </w:t>
      </w:r>
    </w:p>
    <w:p w14:paraId="0900754E"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de suma importancia hacer notar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momento de emitir respuesta adjuntó el archivo electrónico denominado “</w:t>
      </w:r>
      <w:r>
        <w:rPr>
          <w:rFonts w:ascii="Palatino Linotype" w:eastAsia="Palatino Linotype" w:hAnsi="Palatino Linotype" w:cs="Palatino Linotype"/>
          <w:b/>
          <w:i/>
        </w:rPr>
        <w:t>16 al 30 DE ABRIL 20.rar</w:t>
      </w:r>
      <w:r>
        <w:rPr>
          <w:rFonts w:ascii="Palatino Linotype" w:eastAsia="Palatino Linotype" w:hAnsi="Palatino Linotype" w:cs="Palatino Linotype"/>
        </w:rPr>
        <w:t xml:space="preserve">” integrado por Comprobantes Fiscales por Internet (CDFI) por concepto de nómina del personal sindicalizado, en los que se observan inconsistentica, lo anterior es así, en virtud de que se dejaron visibles los datos correspondientes a retenciones de cuotas sindicales;  datos que de acuerdo a la naturaleza jurídica de los mismos debieron testarse, en atención a que los mismos identifican y hacen identificable al titular de los mismos, motivo por el cual la conducta desplegada por el Sujeto Obligado puede ser considerada como violatoria a la Ley de Transparencia y Acceso a la Información Pública del Estado de México y Municipios, así como de la Ley de Protección de Datos Personales en Posesión de Sujetos Obligados del Estado de México y Municipios; ante tal circunstancia el Pleno de este Organismo Garante de conformidad con el artículo 190 de la Ley de Transparencia y Acceso a la Información Pública del Estado de México y Municipios </w:t>
      </w:r>
      <w:r>
        <w:rPr>
          <w:rFonts w:ascii="Palatino Linotype" w:eastAsia="Palatino Linotype" w:hAnsi="Palatino Linotype" w:cs="Palatino Linotype"/>
        </w:rPr>
        <w:lastRenderedPageBreak/>
        <w:t xml:space="preserve">determina dar vista al Titular de la Contraloría Interna y Órgano de Control y Vigilancia de este Instituto a fin de que en ejercicio de sus funciones realice las actuaciones necesarias y determine el grado de responsabilidad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71A0E9E7" w14:textId="77777777" w:rsidR="00777CC2" w:rsidRDefault="00405FB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SEXTO. Versión Pública. </w:t>
      </w:r>
      <w:r>
        <w:rPr>
          <w:rFonts w:ascii="Palatino Linotype" w:eastAsia="Palatino Linotype" w:hAnsi="Palatino Linotype" w:cs="Palatino Linotype"/>
        </w:rPr>
        <w:t>Como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53A4871" w14:textId="77777777" w:rsidR="00777CC2" w:rsidRDefault="00405FB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7F9E4E6" w14:textId="77777777" w:rsidR="00777CC2" w:rsidRDefault="00405FB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8CF4130" w14:textId="77777777" w:rsidR="00777CC2" w:rsidRDefault="00405FB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los artículos 3, fracciones IX, XX, XXI, XXXII, XLV; 6, 91, 137, 143 fracción I, de la Ley de Transparencia y Acceso a la Información Pública del Estado de México y Municipios vigente establecen:</w:t>
      </w:r>
    </w:p>
    <w:p w14:paraId="4204D562" w14:textId="77777777" w:rsidR="00777CC2" w:rsidRDefault="00405FB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4E7AEFAF" w14:textId="77777777" w:rsidR="00777CC2" w:rsidRDefault="00405FBF">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49F9AB" w14:textId="77777777" w:rsidR="00777CC2" w:rsidRDefault="00405FBF">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9FC00F1" w14:textId="77777777" w:rsidR="00777CC2" w:rsidRDefault="00405FBF">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3BD0600" w14:textId="77777777" w:rsidR="00777CC2" w:rsidRDefault="00405FBF">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159C0FEF" w14:textId="77777777" w:rsidR="00777CC2" w:rsidRDefault="00405FBF">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1C06D0" w14:textId="77777777" w:rsidR="00777CC2" w:rsidRDefault="00405FBF">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13E1BE1" w14:textId="77777777" w:rsidR="00777CC2" w:rsidRDefault="00405FBF">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6C030B3" w14:textId="77777777" w:rsidR="00777CC2" w:rsidRDefault="00405FBF">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6191213" w14:textId="77777777" w:rsidR="00777CC2" w:rsidRDefault="00405FBF">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AD754F1" w14:textId="77777777" w:rsidR="00777CC2" w:rsidRDefault="00405FB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1E28CEC" w14:textId="77777777" w:rsidR="00777CC2" w:rsidRDefault="00405FB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14:paraId="4B451ED0" w14:textId="77777777" w:rsidR="00777CC2" w:rsidRDefault="00405FB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14:paraId="35BBECAD" w14:textId="77777777" w:rsidR="00777CC2" w:rsidRDefault="00405FB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737DE5" w14:textId="77777777" w:rsidR="00777CC2" w:rsidRDefault="00405FB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AB173E3" w14:textId="77777777" w:rsidR="00777CC2" w:rsidRDefault="00405FBF">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4B7A00F" w14:textId="77777777" w:rsidR="00777CC2" w:rsidRDefault="00405FBF">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3843C0F" w14:textId="77777777" w:rsidR="00777CC2" w:rsidRDefault="00405FBF">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300F8C6"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la </w:t>
      </w:r>
      <w:r>
        <w:rPr>
          <w:rFonts w:ascii="Palatino Linotype" w:eastAsia="Palatino Linotype" w:hAnsi="Palatino Linotype" w:cs="Palatino Linotype"/>
          <w:b/>
        </w:rPr>
        <w:t>Clave de cualquier tipo de seguridad social</w:t>
      </w:r>
      <w:r>
        <w:rPr>
          <w:rFonts w:ascii="Palatino Linotype" w:eastAsia="Palatino Linotype" w:hAnsi="Palatino Linotype" w:cs="Palatino Linotype"/>
        </w:rPr>
        <w:t xml:space="preserve"> (ISSEMYM, u otros), los </w:t>
      </w:r>
      <w:r>
        <w:rPr>
          <w:rFonts w:ascii="Palatino Linotype" w:eastAsia="Palatino Linotype" w:hAnsi="Palatino Linotype" w:cs="Palatino Linotype"/>
          <w:b/>
        </w:rPr>
        <w:t>números de cuentas bancarias</w:t>
      </w:r>
      <w:r>
        <w:rPr>
          <w:rFonts w:ascii="Palatino Linotype" w:eastAsia="Palatino Linotype" w:hAnsi="Palatino Linotype" w:cs="Palatino Linotype"/>
        </w:rPr>
        <w:t xml:space="preserve">, claves estandarizadas – interbancarias - (CLABES) y de tarjetas,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que se le hagan a la persona y que no tengan relación con los impuestos o la cuota por seguridad social, así como los </w:t>
      </w:r>
      <w:r>
        <w:rPr>
          <w:rFonts w:ascii="Palatino Linotype" w:eastAsia="Palatino Linotype" w:hAnsi="Palatino Linotype" w:cs="Palatino Linotype"/>
          <w:b/>
        </w:rPr>
        <w:t xml:space="preserve">códigos bidimensionales o códigos QR </w:t>
      </w:r>
      <w:r>
        <w:rPr>
          <w:rFonts w:ascii="Palatino Linotype" w:eastAsia="Palatino Linotype" w:hAnsi="Palatino Linotype" w:cs="Palatino Linotype"/>
        </w:rPr>
        <w:t>y</w:t>
      </w:r>
      <w:r>
        <w:rPr>
          <w:rFonts w:ascii="Palatino Linotype" w:eastAsia="Palatino Linotype" w:hAnsi="Palatino Linotype" w:cs="Palatino Linotype"/>
          <w:b/>
        </w:rPr>
        <w:t xml:space="preserve"> el número de empleado.</w:t>
      </w:r>
    </w:p>
    <w:p w14:paraId="275477EF"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w:t>
      </w:r>
      <w:r>
        <w:rPr>
          <w:rFonts w:ascii="Palatino Linotype" w:eastAsia="Palatino Linotype" w:hAnsi="Palatino Linotype" w:cs="Palatino Linotype"/>
        </w:rPr>
        <w:lastRenderedPageBreak/>
        <w:t>del nombre y la fecha de nacimiento de cada persona, y finalmente la homoclave, por lo que para su obtención es necesario acreditar ante la autoridad fiscal previamente la identidad de la persona, su fecha de nacimiento, entre otros aspectos.</w:t>
      </w:r>
    </w:p>
    <w:p w14:paraId="6E89C18C"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5D2FAC4"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79EB020C" w14:textId="77777777" w:rsidR="00777CC2" w:rsidRDefault="00405FB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“Registro Federal de Contribuyentes (RFC) de personas físicas</w:t>
      </w:r>
      <w:r>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7BA8630" w14:textId="77777777" w:rsidR="00777CC2" w:rsidRDefault="00405FB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9BAB4C8" w14:textId="77777777" w:rsidR="00777CC2" w:rsidRDefault="00405FB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AB63239" w14:textId="77777777" w:rsidR="00777CC2" w:rsidRDefault="00405FB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Argumento que es compartido por el Instituto Nacional de Transparencia, Acceso a la Información y Protección de Datos Personales, INAI, conforme al criterio 18/17, el cual refiere:</w:t>
      </w:r>
    </w:p>
    <w:p w14:paraId="6AB19F2E" w14:textId="77777777" w:rsidR="00777CC2" w:rsidRDefault="00405FBF">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“Clave Única de Registro de Población (CURP). </w:t>
      </w:r>
      <w:r>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B3485D2"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8FEA885"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números de cuentas bancarias, claves estandarizadas –interbancarias- (CLABES) y de tarjetas, el Pleno de este Instituto ha determinado que </w:t>
      </w:r>
      <w:r>
        <w:rPr>
          <w:rFonts w:ascii="Palatino Linotype" w:eastAsia="Palatino Linotype" w:hAnsi="Palatino Linotype" w:cs="Palatino Linotype"/>
        </w:rPr>
        <w:lastRenderedPageBreak/>
        <w:t>esa información debe clasificarse como confidencial, y elaborarse una versión pública en la que se teste la misma.</w:t>
      </w:r>
    </w:p>
    <w:p w14:paraId="0C93F15A"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29EC6EA"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041C1D8" w14:textId="77777777" w:rsidR="00777CC2" w:rsidRDefault="00405FB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esa virtud, este Pleno determina que dicha información no puede ser del dominio público, toda vez que se podría dar un uso inadecuado a la misma o cometer algún ilícito o fraude como ya ha sido expuesto. </w:t>
      </w:r>
    </w:p>
    <w:p w14:paraId="35B65635"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2F1607D2"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7B36D196" w14:textId="77777777" w:rsidR="00777CC2" w:rsidRDefault="00405FBF">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Cuentas bancarias y/o CLABE interbancaria de personas físicas y morales privadas.</w:t>
      </w:r>
      <w:r>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1136095" w14:textId="77777777" w:rsidR="00777CC2" w:rsidRDefault="00405FBF">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F6CD59F"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préstamos o descuentos de carácter personal, en virtud de no tener relación con la prestación del servicio y al no involucrar instituciones públicas, se consideran datos confidenciales.</w:t>
      </w:r>
    </w:p>
    <w:p w14:paraId="6D4C1604"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1AF59A48" w14:textId="77777777" w:rsidR="00777CC2" w:rsidRDefault="00405FBF">
      <w:pPr>
        <w:spacing w:before="240" w:after="24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84. </w:t>
      </w:r>
      <w:r>
        <w:rPr>
          <w:rFonts w:ascii="Palatino Linotype" w:eastAsia="Palatino Linotype" w:hAnsi="Palatino Linotype" w:cs="Palatino Linotype"/>
          <w:i/>
          <w:sz w:val="22"/>
          <w:szCs w:val="22"/>
        </w:rPr>
        <w:t>Sólo podrán hacerse retenciones, descuentos o deducciones al sueldo de los servidores públicos por concepto de:</w:t>
      </w:r>
    </w:p>
    <w:p w14:paraId="5B2C7553" w14:textId="77777777" w:rsidR="00777CC2" w:rsidRDefault="00405FBF">
      <w:pPr>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14:paraId="539DE1B2" w14:textId="77777777" w:rsidR="00777CC2" w:rsidRDefault="00405FBF">
      <w:pPr>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6AE83CC2" w14:textId="77777777" w:rsidR="00777CC2" w:rsidRDefault="00405FBF">
      <w:pPr>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Cuotas sindicales;</w:t>
      </w:r>
    </w:p>
    <w:p w14:paraId="6A6FC92C" w14:textId="77777777" w:rsidR="00777CC2" w:rsidRDefault="00405FBF">
      <w:pPr>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5D858FFF" w14:textId="77777777" w:rsidR="00777CC2" w:rsidRDefault="00405FBF">
      <w:pPr>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 Descuentos ordenados por el Instituto de Seguridad Social del Estado de México y Municipios, con motivo de cuotas y obligaciones contraídas con éste por los servidores públicos;</w:t>
      </w:r>
    </w:p>
    <w:p w14:paraId="67F222DE" w14:textId="77777777" w:rsidR="00777CC2" w:rsidRDefault="00405FBF">
      <w:pPr>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4F309ACE" w14:textId="77777777" w:rsidR="00777CC2" w:rsidRDefault="00405FBF">
      <w:pPr>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14:paraId="16AFA9DB" w14:textId="77777777" w:rsidR="00777CC2" w:rsidRDefault="00405FBF">
      <w:pPr>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14:paraId="6C13E1F1" w14:textId="77777777" w:rsidR="00777CC2" w:rsidRDefault="00405FBF">
      <w:pPr>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14:paraId="51CFBAE8" w14:textId="77777777" w:rsidR="00777CC2" w:rsidRDefault="00405FBF">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294246E6"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EA6BF9E"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w:t>
      </w:r>
      <w:r>
        <w:rPr>
          <w:rFonts w:ascii="Palatino Linotype" w:eastAsia="Palatino Linotype" w:hAnsi="Palatino Linotype" w:cs="Palatino Linotype"/>
          <w:b/>
        </w:rPr>
        <w:t>códigos bidimensionales</w:t>
      </w:r>
      <w:r>
        <w:rPr>
          <w:rFonts w:ascii="Palatino Linotype" w:eastAsia="Palatino Linotype" w:hAnsi="Palatino Linotype" w:cs="Palatino Linotype"/>
        </w:rPr>
        <w:t xml:space="preserve"> o </w:t>
      </w:r>
      <w:r>
        <w:rPr>
          <w:rFonts w:ascii="Palatino Linotype" w:eastAsia="Palatino Linotype" w:hAnsi="Palatino Linotype" w:cs="Palatino Linotype"/>
          <w:b/>
        </w:rPr>
        <w:t xml:space="preserve">códigos QR, </w:t>
      </w:r>
      <w:r>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0E11F6FB"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relación al </w:t>
      </w:r>
      <w:r>
        <w:rPr>
          <w:rFonts w:ascii="Palatino Linotype" w:eastAsia="Palatino Linotype" w:hAnsi="Palatino Linotype" w:cs="Palatino Linotype"/>
          <w:b/>
        </w:rPr>
        <w:t>número de empleado</w:t>
      </w:r>
      <w:r>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w:t>
      </w:r>
    </w:p>
    <w:p w14:paraId="623CA1EB"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4B1CB10D" w14:textId="77777777" w:rsidR="00777CC2" w:rsidRDefault="00405FBF">
      <w:pPr>
        <w:tabs>
          <w:tab w:val="left" w:pos="7655"/>
        </w:tabs>
        <w:spacing w:before="240" w:after="240"/>
        <w:ind w:left="993"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“Número de empleado, o su equivalente, si se integra con datos personales del trabajador o permite acceder a éstos sin necesidad de una contraseña, constituye información confidencial</w:t>
      </w:r>
      <w:r>
        <w:rPr>
          <w:rFonts w:ascii="Palatino Linotype" w:eastAsia="Palatino Linotype" w:hAnsi="Palatino Linotype" w:cs="Palatino Linotype"/>
          <w:i/>
          <w:sz w:val="22"/>
          <w:szCs w:val="22"/>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w:t>
      </w:r>
      <w:r>
        <w:rPr>
          <w:rFonts w:ascii="Palatino Linotype" w:eastAsia="Palatino Linotype" w:hAnsi="Palatino Linotype" w:cs="Palatino Linotype"/>
          <w:i/>
          <w:sz w:val="22"/>
          <w:szCs w:val="22"/>
        </w:rPr>
        <w:lastRenderedPageBreak/>
        <w:t>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26C12328"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A6E6A6E" w14:textId="77777777" w:rsidR="00777CC2" w:rsidRDefault="00405FBF">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8F5E0F1" w14:textId="77777777" w:rsidR="00777CC2" w:rsidRDefault="00405FB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6BC3555D" w14:textId="77777777" w:rsidR="00777CC2" w:rsidRDefault="00405FBF">
      <w:pPr>
        <w:spacing w:before="120" w:after="12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3FAECC7E" w14:textId="77777777" w:rsidR="00777CC2" w:rsidRDefault="00405FB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2FE7D36B" w14:textId="77777777" w:rsidR="00777CC2" w:rsidRDefault="00405FBF">
      <w:pPr>
        <w:spacing w:before="120" w:after="12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6BA67AF2" w14:textId="77777777" w:rsidR="00777CC2" w:rsidRDefault="00405FB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6CC79644" w14:textId="77777777" w:rsidR="00777CC2" w:rsidRDefault="00405FB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3FDC8E63"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B4F4429" w14:textId="77777777" w:rsidR="00777CC2" w:rsidRDefault="00405FB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w:t>
      </w:r>
      <w:r>
        <w:rPr>
          <w:rFonts w:ascii="Palatino Linotype" w:eastAsia="Palatino Linotype" w:hAnsi="Palatino Linotype" w:cs="Palatino Linotype"/>
        </w:rPr>
        <w:lastRenderedPageBreak/>
        <w:t>Décimo Primero de los “Lineamientos Generales en materia de Clasificación y Desclasificación de la Información, así como para la elaboración de Versiones Públicas”, que literalmente expresan:</w:t>
      </w:r>
    </w:p>
    <w:p w14:paraId="7AF6845A" w14:textId="77777777" w:rsidR="00777CC2" w:rsidRDefault="00405FBF">
      <w:pPr>
        <w:tabs>
          <w:tab w:val="left" w:pos="8222"/>
        </w:tabs>
        <w:spacing w:before="120" w:after="120"/>
        <w:ind w:left="851" w:right="1134"/>
        <w:jc w:val="both"/>
        <w:rPr>
          <w:rFonts w:ascii="Palatino Linotype" w:eastAsia="Palatino Linotype" w:hAnsi="Palatino Linotype" w:cs="Palatino Linotype"/>
          <w:b/>
          <w:i/>
          <w:sz w:val="21"/>
          <w:szCs w:val="21"/>
        </w:rPr>
      </w:pPr>
      <w:r>
        <w:rPr>
          <w:rFonts w:ascii="Palatino Linotype" w:eastAsia="Palatino Linotype" w:hAnsi="Palatino Linotype" w:cs="Palatino Linotype"/>
          <w:i/>
          <w:sz w:val="21"/>
          <w:szCs w:val="21"/>
        </w:rPr>
        <w:t>“</w:t>
      </w:r>
      <w:r>
        <w:rPr>
          <w:rFonts w:ascii="Palatino Linotype" w:eastAsia="Palatino Linotype" w:hAnsi="Palatino Linotype" w:cs="Palatino Linotype"/>
          <w:b/>
          <w:i/>
          <w:sz w:val="21"/>
          <w:szCs w:val="21"/>
        </w:rPr>
        <w:t>Artículo 132.</w:t>
      </w: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b/>
          <w:i/>
          <w:sz w:val="21"/>
          <w:szCs w:val="21"/>
        </w:rPr>
        <w:t>La clasificación de la información se llevará a cabo en el momento en que:</w:t>
      </w:r>
    </w:p>
    <w:p w14:paraId="5E405805" w14:textId="77777777" w:rsidR="00777CC2" w:rsidRDefault="00405FBF">
      <w:pPr>
        <w:tabs>
          <w:tab w:val="left" w:pos="8222"/>
        </w:tabs>
        <w:spacing w:before="120" w:after="120"/>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14:paraId="657DA43C" w14:textId="77777777" w:rsidR="00777CC2" w:rsidRDefault="00405FBF">
      <w:pPr>
        <w:tabs>
          <w:tab w:val="left" w:pos="8222"/>
        </w:tabs>
        <w:spacing w:before="120" w:after="120"/>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w:t>
      </w:r>
      <w:r>
        <w:rPr>
          <w:rFonts w:ascii="Palatino Linotype" w:eastAsia="Palatino Linotype" w:hAnsi="Palatino Linotype" w:cs="Palatino Linotype"/>
          <w:i/>
          <w:sz w:val="21"/>
          <w:szCs w:val="21"/>
        </w:rPr>
        <w:t xml:space="preserve"> Se determine mediante resolución de autoridad competente; o</w:t>
      </w:r>
    </w:p>
    <w:p w14:paraId="20128BA2" w14:textId="77777777" w:rsidR="00777CC2" w:rsidRDefault="00405FBF">
      <w:pPr>
        <w:tabs>
          <w:tab w:val="left" w:pos="8222"/>
        </w:tabs>
        <w:spacing w:before="120" w:after="120"/>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III</w:t>
      </w: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b/>
          <w:i/>
          <w:sz w:val="21"/>
          <w:szCs w:val="21"/>
        </w:rPr>
        <w:t>Se generen versiones públicas para dar cumplimiento a las obligaciones de transparencia previstas en esta Ley</w:t>
      </w:r>
      <w:r>
        <w:rPr>
          <w:rFonts w:ascii="Palatino Linotype" w:eastAsia="Palatino Linotype" w:hAnsi="Palatino Linotype" w:cs="Palatino Linotype"/>
          <w:i/>
          <w:sz w:val="21"/>
          <w:szCs w:val="21"/>
        </w:rPr>
        <w:t>.”</w:t>
      </w:r>
    </w:p>
    <w:p w14:paraId="028386AB"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r>
        <w:rPr>
          <w:rFonts w:ascii="Palatino Linotype" w:eastAsia="Palatino Linotype" w:hAnsi="Palatino Linotype" w:cs="Palatino Linotype"/>
          <w:b/>
          <w:i/>
          <w:sz w:val="21"/>
          <w:szCs w:val="21"/>
        </w:rPr>
        <w:t>Segundo.-</w:t>
      </w:r>
      <w:r>
        <w:rPr>
          <w:rFonts w:ascii="Palatino Linotype" w:eastAsia="Palatino Linotype" w:hAnsi="Palatino Linotype" w:cs="Palatino Linotype"/>
          <w:i/>
          <w:sz w:val="21"/>
          <w:szCs w:val="21"/>
        </w:rPr>
        <w:t xml:space="preserve"> Para efectos de los presentes Lineamientos Generales, se entenderá por:</w:t>
      </w:r>
    </w:p>
    <w:p w14:paraId="0AD2062C" w14:textId="77777777" w:rsidR="00777CC2" w:rsidRDefault="00405FBF">
      <w:pPr>
        <w:tabs>
          <w:tab w:val="left" w:pos="8222"/>
        </w:tabs>
        <w:spacing w:before="120" w:after="120"/>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XVIII.</w:t>
      </w: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b/>
          <w:i/>
          <w:sz w:val="21"/>
          <w:szCs w:val="21"/>
        </w:rPr>
        <w:t>Versión pública:</w:t>
      </w:r>
      <w:r>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1"/>
          <w:szCs w:val="21"/>
        </w:rPr>
        <w:t>fundando y motivando la</w:t>
      </w:r>
      <w:r>
        <w:rPr>
          <w:rFonts w:ascii="Palatino Linotype" w:eastAsia="Palatino Linotype" w:hAnsi="Palatino Linotype" w:cs="Palatino Linotype"/>
          <w:i/>
          <w:sz w:val="21"/>
          <w:szCs w:val="21"/>
        </w:rPr>
        <w:t xml:space="preserve"> reserva o </w:t>
      </w:r>
      <w:r>
        <w:rPr>
          <w:rFonts w:ascii="Palatino Linotype" w:eastAsia="Palatino Linotype" w:hAnsi="Palatino Linotype" w:cs="Palatino Linotype"/>
          <w:b/>
          <w:i/>
          <w:sz w:val="21"/>
          <w:szCs w:val="21"/>
        </w:rPr>
        <w:t>confidencialidad</w:t>
      </w:r>
      <w:r>
        <w:rPr>
          <w:rFonts w:ascii="Palatino Linotype" w:eastAsia="Palatino Linotype" w:hAnsi="Palatino Linotype" w:cs="Palatino Linotype"/>
          <w:i/>
          <w:sz w:val="21"/>
          <w:szCs w:val="21"/>
        </w:rPr>
        <w:t>, a través de la resolución que para tal efecto emita el Comité de Transparencia.</w:t>
      </w:r>
    </w:p>
    <w:p w14:paraId="3643745E"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Cuarto.</w:t>
      </w: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b/>
          <w:i/>
          <w:sz w:val="21"/>
          <w:szCs w:val="21"/>
        </w:rPr>
        <w:t>Para clasificar la información como</w:t>
      </w:r>
      <w:r>
        <w:rPr>
          <w:rFonts w:ascii="Palatino Linotype" w:eastAsia="Palatino Linotype" w:hAnsi="Palatino Linotype" w:cs="Palatino Linotype"/>
          <w:i/>
          <w:sz w:val="21"/>
          <w:szCs w:val="21"/>
        </w:rPr>
        <w:t xml:space="preserve"> reservada o </w:t>
      </w:r>
      <w:r>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D41553"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6743043D"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Quinto.</w:t>
      </w:r>
      <w:r>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106985E"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lastRenderedPageBreak/>
        <w:t>Sexto.</w:t>
      </w:r>
      <w:r>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50FF975"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10E1D6E6"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Séptimo.</w:t>
      </w:r>
      <w:r>
        <w:rPr>
          <w:rFonts w:ascii="Palatino Linotype" w:eastAsia="Palatino Linotype" w:hAnsi="Palatino Linotype" w:cs="Palatino Linotype"/>
          <w:i/>
          <w:sz w:val="21"/>
          <w:szCs w:val="21"/>
        </w:rPr>
        <w:t xml:space="preserve"> La clasificación de la información se llevará a cabo en el momento en que:</w:t>
      </w:r>
    </w:p>
    <w:p w14:paraId="42FDDD6B" w14:textId="77777777" w:rsidR="00777CC2" w:rsidRDefault="00405FBF">
      <w:pPr>
        <w:tabs>
          <w:tab w:val="left" w:pos="8222"/>
        </w:tabs>
        <w:spacing w:before="120" w:after="120"/>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w:t>
      </w:r>
      <w:r>
        <w:rPr>
          <w:rFonts w:ascii="Palatino Linotype" w:eastAsia="Palatino Linotype" w:hAnsi="Palatino Linotype" w:cs="Palatino Linotype"/>
          <w:i/>
          <w:sz w:val="21"/>
          <w:szCs w:val="21"/>
        </w:rPr>
        <w:t xml:space="preserve"> Se reciba una solicitud de acceso a la información;</w:t>
      </w:r>
    </w:p>
    <w:p w14:paraId="20241DA0" w14:textId="77777777" w:rsidR="00777CC2" w:rsidRDefault="00405FBF">
      <w:pPr>
        <w:tabs>
          <w:tab w:val="left" w:pos="8222"/>
        </w:tabs>
        <w:spacing w:before="120" w:after="120"/>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w:t>
      </w:r>
      <w:r>
        <w:rPr>
          <w:rFonts w:ascii="Palatino Linotype" w:eastAsia="Palatino Linotype" w:hAnsi="Palatino Linotype" w:cs="Palatino Linotype"/>
          <w:i/>
          <w:sz w:val="21"/>
          <w:szCs w:val="21"/>
        </w:rPr>
        <w:t xml:space="preserve"> Se determine mediante resolución de autoridad competente, o</w:t>
      </w:r>
    </w:p>
    <w:p w14:paraId="24914F1B" w14:textId="77777777" w:rsidR="00777CC2" w:rsidRDefault="00405FBF">
      <w:pPr>
        <w:tabs>
          <w:tab w:val="left" w:pos="8222"/>
        </w:tabs>
        <w:spacing w:before="120" w:after="120"/>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III.</w:t>
      </w:r>
      <w:r>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75947953"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5BFF6009"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Octavo.</w:t>
      </w:r>
      <w:r>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140EE9"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6F8CF215"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0D301022"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07E7AF9D"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5E48C38B"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Noveno.</w:t>
      </w:r>
      <w:r>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w:t>
      </w:r>
      <w:r>
        <w:rPr>
          <w:rFonts w:ascii="Palatino Linotype" w:eastAsia="Palatino Linotype" w:hAnsi="Palatino Linotype" w:cs="Palatino Linotype"/>
          <w:i/>
          <w:sz w:val="21"/>
          <w:szCs w:val="21"/>
        </w:rPr>
        <w:lastRenderedPageBreak/>
        <w:t>se testen, siguiendo los procedimientos establecidos en el Capítulo IX de los presentes lineamientos.</w:t>
      </w:r>
    </w:p>
    <w:p w14:paraId="28829D77"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Décimo.</w:t>
      </w:r>
      <w:r>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DF9C46"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5E7AEC30" w14:textId="77777777" w:rsidR="00777CC2" w:rsidRDefault="00405FBF">
      <w:pPr>
        <w:tabs>
          <w:tab w:val="left" w:pos="8222"/>
        </w:tabs>
        <w:spacing w:before="120" w:after="120"/>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Décimo primero.</w:t>
      </w:r>
      <w:r>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2CC3E792" w14:textId="77777777" w:rsidR="00777CC2" w:rsidRDefault="00405FBF">
      <w:pPr>
        <w:ind w:left="851" w:right="90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“Artículo 143. </w:t>
      </w:r>
      <w:r>
        <w:rPr>
          <w:rFonts w:ascii="Palatino Linotype" w:eastAsia="Palatino Linotype" w:hAnsi="Palatino Linotype" w:cs="Palatino Linotype"/>
          <w:i/>
          <w:sz w:val="21"/>
          <w:szCs w:val="21"/>
        </w:rPr>
        <w:t>Para los efectos de esta Ley se considera información confidencial, la clasificada como tal, de manera permanente, por su naturaleza, cuando:</w:t>
      </w:r>
    </w:p>
    <w:p w14:paraId="7297A8B9" w14:textId="77777777" w:rsidR="00777CC2" w:rsidRDefault="00405FBF">
      <w:pPr>
        <w:ind w:left="1134" w:right="90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 </w:t>
      </w:r>
      <w:r>
        <w:rPr>
          <w:rFonts w:ascii="Palatino Linotype" w:eastAsia="Palatino Linotype" w:hAnsi="Palatino Linotype" w:cs="Palatino Linotype"/>
          <w:i/>
          <w:sz w:val="21"/>
          <w:szCs w:val="21"/>
        </w:rPr>
        <w:t>Se refiera a la información privada y los datos personales concernientes a una persona física o jurídico colectiva identificada o identificable;</w:t>
      </w:r>
    </w:p>
    <w:p w14:paraId="3F30B57F" w14:textId="77777777" w:rsidR="00777CC2" w:rsidRDefault="00405FBF">
      <w:pPr>
        <w:ind w:left="1134" w:right="90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II. </w:t>
      </w:r>
      <w:r>
        <w:rPr>
          <w:rFonts w:ascii="Palatino Linotype" w:eastAsia="Palatino Linotype" w:hAnsi="Palatino Linotype" w:cs="Palatino Linotype"/>
          <w:i/>
          <w:sz w:val="21"/>
          <w:szCs w:val="21"/>
        </w:rPr>
        <w:t>Los secretos bancario, fiduciario, industrial, comercial, fiscal, bursátil y postal, cuya titularidad corresponda a particulares, sujetos de derecho internacional o a sujetos obligados cuando no involucren el ejercicio de recursos públicos; y</w:t>
      </w:r>
    </w:p>
    <w:p w14:paraId="4AAF9F61" w14:textId="77777777" w:rsidR="00777CC2" w:rsidRDefault="00405FBF">
      <w:pPr>
        <w:ind w:left="1134" w:right="90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III. </w:t>
      </w:r>
      <w:r>
        <w:rPr>
          <w:rFonts w:ascii="Palatino Linotype" w:eastAsia="Palatino Linotype" w:hAnsi="Palatino Linotype" w:cs="Palatino Linotype"/>
          <w:i/>
          <w:sz w:val="21"/>
          <w:szCs w:val="21"/>
        </w:rPr>
        <w:t>La que presenten los particulares a los sujetos obligados, de conformidad con lo dispuesto por las leyes o los tratados internacionales.</w:t>
      </w:r>
    </w:p>
    <w:p w14:paraId="4E8228B3" w14:textId="77777777" w:rsidR="00777CC2" w:rsidRDefault="00405FBF">
      <w:pPr>
        <w:spacing w:before="240" w:after="24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La información confidencial no estará sujeta a temporalidad alguna y sólo podrán tener acceso a ella los titulares de la misma, sus representantes y los servidores públicos facultados para ello.</w:t>
      </w:r>
    </w:p>
    <w:p w14:paraId="72603A69" w14:textId="77777777" w:rsidR="00777CC2" w:rsidRDefault="00405FBF">
      <w:pPr>
        <w:spacing w:before="240" w:after="240"/>
        <w:ind w:left="851" w:right="902"/>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No se considerará confidencial la información que se encuentre en los registros públicos o en fuentes de acceso público, ni tampoco la que sea considerada por la presente ley como información pública.”</w:t>
      </w:r>
    </w:p>
    <w:p w14:paraId="70ADB0BF"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w:t>
      </w:r>
      <w:r>
        <w:rPr>
          <w:rFonts w:ascii="Palatino Linotype" w:eastAsia="Palatino Linotype" w:hAnsi="Palatino Linotype" w:cs="Palatino Linotype"/>
        </w:rPr>
        <w:lastRenderedPageBreak/>
        <w:t xml:space="preserve">de la Información supraindicados, que establecen los formatos para la clasificación parcial y total de los documentos, conforme a lo siguiente: </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777CC2" w14:paraId="7B65EB1D" w14:textId="77777777">
        <w:tc>
          <w:tcPr>
            <w:tcW w:w="4414" w:type="dxa"/>
            <w:gridSpan w:val="2"/>
          </w:tcPr>
          <w:p w14:paraId="52629116" w14:textId="77777777" w:rsidR="00777CC2" w:rsidRDefault="00405FBF">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2A64E304" w14:textId="77777777" w:rsidR="00777CC2" w:rsidRDefault="00405FBF">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777CC2" w14:paraId="5C70209C" w14:textId="77777777">
        <w:tc>
          <w:tcPr>
            <w:tcW w:w="993" w:type="dxa"/>
          </w:tcPr>
          <w:p w14:paraId="0FF9AF80" w14:textId="77777777" w:rsidR="00777CC2" w:rsidRDefault="00405FBF">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14:paraId="78CE6DA1" w14:textId="77777777" w:rsidR="00777CC2" w:rsidRDefault="00405FBF">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2250B92B" w14:textId="77777777" w:rsidR="00777CC2" w:rsidRDefault="00405FBF">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0DDC6DE2" w14:textId="77777777" w:rsidR="00777CC2" w:rsidRDefault="00405FBF">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777CC2" w14:paraId="172C3B9F" w14:textId="77777777">
        <w:tc>
          <w:tcPr>
            <w:tcW w:w="8828" w:type="dxa"/>
            <w:gridSpan w:val="4"/>
          </w:tcPr>
          <w:p w14:paraId="549FF2A3" w14:textId="77777777" w:rsidR="00777CC2" w:rsidRDefault="00405FBF">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777CC2" w14:paraId="0B2280C7" w14:textId="77777777">
        <w:tc>
          <w:tcPr>
            <w:tcW w:w="993" w:type="dxa"/>
          </w:tcPr>
          <w:p w14:paraId="16F80587"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43F8B973"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37EF4D77"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727B9C27"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77CC2" w14:paraId="108C9F34" w14:textId="77777777">
        <w:tc>
          <w:tcPr>
            <w:tcW w:w="993" w:type="dxa"/>
          </w:tcPr>
          <w:p w14:paraId="45B30877"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0058A396"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6388699D"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034887C1"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777CC2" w14:paraId="3E4E1B24" w14:textId="77777777">
        <w:tc>
          <w:tcPr>
            <w:tcW w:w="993" w:type="dxa"/>
          </w:tcPr>
          <w:p w14:paraId="7DC4482F"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14:paraId="6E12300D"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ACA6207"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511F7165"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777CC2" w14:paraId="52EA12EC" w14:textId="77777777">
        <w:tc>
          <w:tcPr>
            <w:tcW w:w="993" w:type="dxa"/>
          </w:tcPr>
          <w:p w14:paraId="5573F9AF"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5D3EA4F6"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474B4AE8"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2E858272"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77CC2" w14:paraId="48DD49D2" w14:textId="77777777">
        <w:tc>
          <w:tcPr>
            <w:tcW w:w="993" w:type="dxa"/>
          </w:tcPr>
          <w:p w14:paraId="78E4DAD2"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7EABAA7D"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AB87586"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31814FC0"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77CC2" w14:paraId="3DCDBABF" w14:textId="77777777">
        <w:tc>
          <w:tcPr>
            <w:tcW w:w="993" w:type="dxa"/>
          </w:tcPr>
          <w:p w14:paraId="6C65EBA8"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14:paraId="1D0E7B3A"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F9A28D3"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681D0ECD"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77CC2" w14:paraId="64FFD20D" w14:textId="77777777">
        <w:tc>
          <w:tcPr>
            <w:tcW w:w="993" w:type="dxa"/>
          </w:tcPr>
          <w:p w14:paraId="1881F6EC"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4CEA84CA"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BF5170B"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6481DCC8"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777CC2" w14:paraId="379BAB1B" w14:textId="77777777">
        <w:tc>
          <w:tcPr>
            <w:tcW w:w="993" w:type="dxa"/>
          </w:tcPr>
          <w:p w14:paraId="452A1E0E"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14:paraId="7BCFD70C"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6F79F100"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341F80C4"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77CC2" w14:paraId="2A97BB98" w14:textId="77777777">
        <w:tc>
          <w:tcPr>
            <w:tcW w:w="993" w:type="dxa"/>
          </w:tcPr>
          <w:p w14:paraId="6A0004B8"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14:paraId="1DC205DA"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37672B1A"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0BED530C"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777CC2" w14:paraId="3C60F635" w14:textId="77777777">
        <w:tc>
          <w:tcPr>
            <w:tcW w:w="993" w:type="dxa"/>
          </w:tcPr>
          <w:p w14:paraId="1A046D98"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36ED1C9D"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416F75F2"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6C0CA69E"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777CC2" w14:paraId="1F00D477" w14:textId="77777777">
        <w:tc>
          <w:tcPr>
            <w:tcW w:w="993" w:type="dxa"/>
          </w:tcPr>
          <w:p w14:paraId="6ED21E00" w14:textId="77777777" w:rsidR="00777CC2" w:rsidRDefault="00777CC2">
            <w:pPr>
              <w:jc w:val="both"/>
              <w:rPr>
                <w:rFonts w:ascii="Palatino Linotype" w:eastAsia="Palatino Linotype" w:hAnsi="Palatino Linotype" w:cs="Palatino Linotype"/>
                <w:sz w:val="12"/>
                <w:szCs w:val="12"/>
              </w:rPr>
            </w:pPr>
          </w:p>
        </w:tc>
        <w:tc>
          <w:tcPr>
            <w:tcW w:w="3421" w:type="dxa"/>
          </w:tcPr>
          <w:p w14:paraId="0DD5E289" w14:textId="77777777" w:rsidR="00777CC2" w:rsidRDefault="00777CC2">
            <w:pPr>
              <w:jc w:val="both"/>
              <w:rPr>
                <w:rFonts w:ascii="Palatino Linotype" w:eastAsia="Palatino Linotype" w:hAnsi="Palatino Linotype" w:cs="Palatino Linotype"/>
                <w:sz w:val="12"/>
                <w:szCs w:val="12"/>
              </w:rPr>
            </w:pPr>
          </w:p>
        </w:tc>
        <w:tc>
          <w:tcPr>
            <w:tcW w:w="968" w:type="dxa"/>
          </w:tcPr>
          <w:p w14:paraId="6160510C"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47122ACD"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777CC2" w14:paraId="4A7E32C5" w14:textId="77777777">
        <w:tc>
          <w:tcPr>
            <w:tcW w:w="993" w:type="dxa"/>
          </w:tcPr>
          <w:p w14:paraId="7DE39279" w14:textId="77777777" w:rsidR="00777CC2" w:rsidRDefault="00777CC2">
            <w:pPr>
              <w:jc w:val="both"/>
              <w:rPr>
                <w:rFonts w:ascii="Palatino Linotype" w:eastAsia="Palatino Linotype" w:hAnsi="Palatino Linotype" w:cs="Palatino Linotype"/>
                <w:sz w:val="12"/>
                <w:szCs w:val="12"/>
              </w:rPr>
            </w:pPr>
          </w:p>
        </w:tc>
        <w:tc>
          <w:tcPr>
            <w:tcW w:w="3421" w:type="dxa"/>
          </w:tcPr>
          <w:p w14:paraId="1E772378" w14:textId="77777777" w:rsidR="00777CC2" w:rsidRDefault="00777CC2">
            <w:pPr>
              <w:jc w:val="both"/>
              <w:rPr>
                <w:rFonts w:ascii="Palatino Linotype" w:eastAsia="Palatino Linotype" w:hAnsi="Palatino Linotype" w:cs="Palatino Linotype"/>
                <w:sz w:val="12"/>
                <w:szCs w:val="12"/>
              </w:rPr>
            </w:pPr>
          </w:p>
        </w:tc>
        <w:tc>
          <w:tcPr>
            <w:tcW w:w="968" w:type="dxa"/>
          </w:tcPr>
          <w:p w14:paraId="5B9881A4" w14:textId="77777777" w:rsidR="00777CC2" w:rsidRDefault="00405FBF">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04B2629F" w14:textId="77777777" w:rsidR="00777CC2" w:rsidRDefault="00405FBF">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666E9491" w14:textId="77777777" w:rsidR="00777CC2" w:rsidRDefault="00405FBF">
      <w:pPr>
        <w:pBdr>
          <w:top w:val="nil"/>
          <w:left w:val="nil"/>
          <w:bottom w:val="nil"/>
          <w:right w:val="nil"/>
          <w:between w:val="nil"/>
        </w:pBdr>
        <w:tabs>
          <w:tab w:val="left" w:pos="142"/>
          <w:tab w:val="left" w:pos="284"/>
          <w:tab w:val="left" w:pos="426"/>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consecuencia y en mérito de lo expuesto en líneas anteriores, resultan parcialmente fundadas las razones o motivos de inconformidad hechos valer por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dentro del recurso de revisión </w:t>
      </w:r>
      <w:r>
        <w:rPr>
          <w:rFonts w:ascii="Palatino Linotype" w:eastAsia="Palatino Linotype" w:hAnsi="Palatino Linotype" w:cs="Palatino Linotype"/>
          <w:b/>
          <w:color w:val="000000"/>
        </w:rPr>
        <w:t>05014/INFOEM/IP/RR/2021</w:t>
      </w:r>
      <w:r>
        <w:rPr>
          <w:rFonts w:ascii="Palatino Linotype" w:eastAsia="Palatino Linotype" w:hAnsi="Palatino Linotype" w:cs="Palatino Linotype"/>
          <w:color w:val="000000"/>
        </w:rPr>
        <w:t xml:space="preserve">; por ello, y con fundamento en la fracción III del numeral 186 de la Ley de Transparencia y </w:t>
      </w:r>
      <w:r>
        <w:rPr>
          <w:rFonts w:ascii="Palatino Linotype" w:eastAsia="Palatino Linotype" w:hAnsi="Palatino Linotype" w:cs="Palatino Linotype"/>
          <w:color w:val="000000"/>
        </w:rPr>
        <w:lastRenderedPageBreak/>
        <w:t xml:space="preserve">Acceso a la Información Pública del Estado de México y Municipios, se </w:t>
      </w:r>
      <w:r>
        <w:rPr>
          <w:rFonts w:ascii="Palatino Linotype" w:eastAsia="Palatino Linotype" w:hAnsi="Palatino Linotype" w:cs="Palatino Linotype"/>
          <w:b/>
          <w:color w:val="000000"/>
        </w:rPr>
        <w:t>MODIFICA</w:t>
      </w:r>
      <w:r>
        <w:rPr>
          <w:rFonts w:ascii="Palatino Linotype" w:eastAsia="Palatino Linotype" w:hAnsi="Palatino Linotype" w:cs="Palatino Linotype"/>
          <w:color w:val="000000"/>
        </w:rPr>
        <w:t xml:space="preserve"> la respuesta a la solicitud de información número </w:t>
      </w:r>
      <w:r>
        <w:rPr>
          <w:rFonts w:ascii="Palatino Linotype" w:eastAsia="Palatino Linotype" w:hAnsi="Palatino Linotype" w:cs="Palatino Linotype"/>
          <w:b/>
          <w:color w:val="000000"/>
        </w:rPr>
        <w:t>00429/NEZA/IP/2021</w:t>
      </w:r>
      <w:r>
        <w:rPr>
          <w:rFonts w:ascii="Palatino Linotype" w:eastAsia="Palatino Linotype" w:hAnsi="Palatino Linotype" w:cs="Palatino Linotype"/>
          <w:color w:val="000000"/>
        </w:rPr>
        <w:t>.</w:t>
      </w:r>
    </w:p>
    <w:p w14:paraId="3B46792F"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9A3D93E" w14:textId="77777777" w:rsidR="00777CC2" w:rsidRDefault="00405FBF">
      <w:pPr>
        <w:spacing w:before="240"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3DD1D8D8" w14:textId="77777777" w:rsidR="00777CC2" w:rsidRDefault="00777CC2">
      <w:pPr>
        <w:spacing w:line="360" w:lineRule="auto"/>
        <w:ind w:left="360"/>
        <w:jc w:val="center"/>
        <w:rPr>
          <w:rFonts w:ascii="Palatino Linotype" w:eastAsia="Palatino Linotype" w:hAnsi="Palatino Linotype" w:cs="Palatino Linotype"/>
          <w:b/>
        </w:rPr>
      </w:pPr>
    </w:p>
    <w:p w14:paraId="3678AE96" w14:textId="77777777" w:rsidR="00777CC2" w:rsidRDefault="00405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Se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número </w:t>
      </w:r>
      <w:r>
        <w:rPr>
          <w:rFonts w:ascii="Palatino Linotype" w:eastAsia="Palatino Linotype" w:hAnsi="Palatino Linotype" w:cs="Palatino Linotype"/>
          <w:b/>
        </w:rPr>
        <w:t>05125/INFOEM/IP/RR/2021</w:t>
      </w:r>
      <w:r>
        <w:rPr>
          <w:rFonts w:ascii="Palatino Linotype" w:eastAsia="Palatino Linotype" w:hAnsi="Palatino Linotype" w:cs="Palatino Linotype"/>
        </w:rPr>
        <w:t xml:space="preserve">, </w:t>
      </w:r>
      <w:r>
        <w:rPr>
          <w:rFonts w:ascii="Palatino Linotype" w:eastAsia="Palatino Linotype" w:hAnsi="Palatino Linotype" w:cs="Palatino Linotype"/>
          <w:b/>
        </w:rPr>
        <w:t>por haberse desistido expresamente</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Considerando TERCERO de la presente resolución.</w:t>
      </w:r>
    </w:p>
    <w:p w14:paraId="4ECE7B58" w14:textId="77777777" w:rsidR="00777CC2" w:rsidRDefault="00405FBF">
      <w:pPr>
        <w:spacing w:before="240" w:after="240" w:line="360" w:lineRule="auto"/>
        <w:jc w:val="both"/>
        <w:rPr>
          <w:rFonts w:ascii="Palatino Linotype" w:eastAsia="Palatino Linotype" w:hAnsi="Palatino Linotype" w:cs="Palatino Linotype"/>
          <w:b/>
          <w:highlight w:val="whit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Resultan parcialmente fundados los motivos de inconformidad hechos valer por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05014/INFOEM/IP/RR/2021, </w:t>
      </w:r>
      <w:r>
        <w:rPr>
          <w:rFonts w:ascii="Palatino Linotype" w:eastAsia="Palatino Linotype" w:hAnsi="Palatino Linotype" w:cs="Palatino Linotype"/>
        </w:rPr>
        <w:t xml:space="preserve">en términos del Considerando QUINTO. </w:t>
      </w:r>
    </w:p>
    <w:p w14:paraId="625ECA6A"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 xml:space="preserve">TERCERO.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la solicitud de información número</w:t>
      </w:r>
      <w:r>
        <w:rPr>
          <w:rFonts w:ascii="Palatino Linotype" w:eastAsia="Palatino Linotype" w:hAnsi="Palatino Linotype" w:cs="Palatino Linotype"/>
          <w:b/>
        </w:rPr>
        <w:t xml:space="preserve"> 00429/NEZA/IP/2021 </w:t>
      </w:r>
      <w:r>
        <w:rPr>
          <w:rFonts w:ascii="Palatino Linotype" w:eastAsia="Palatino Linotype" w:hAnsi="Palatino Linotype" w:cs="Palatino Linotype"/>
        </w:rPr>
        <w:t xml:space="preserve">y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haga entrega, </w:t>
      </w:r>
      <w:r>
        <w:rPr>
          <w:rFonts w:ascii="Palatino Linotype" w:eastAsia="Palatino Linotype" w:hAnsi="Palatino Linotype" w:cs="Palatino Linotype"/>
          <w:b/>
        </w:rPr>
        <w:t xml:space="preserve">vía SAIMEX, </w:t>
      </w:r>
      <w:r>
        <w:rPr>
          <w:rFonts w:ascii="Palatino Linotype" w:eastAsia="Palatino Linotype" w:hAnsi="Palatino Linotype" w:cs="Palatino Linotype"/>
        </w:rPr>
        <w:t>en versión pública correcta, la siguiente información:</w:t>
      </w:r>
    </w:p>
    <w:p w14:paraId="6988307A" w14:textId="77777777" w:rsidR="00777CC2" w:rsidRDefault="00405FBF">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Comprobantes fiscales por Inernet (CFDI) por concepto de nómina del personal sindicalizado del Ayuntamiento de Nezahualcóyotl correspondientes a la segunda quincena de abril de dos mil veinte. </w:t>
      </w:r>
    </w:p>
    <w:p w14:paraId="28B8AEB5" w14:textId="77777777" w:rsidR="00777CC2" w:rsidRDefault="00405FBF">
      <w:pPr>
        <w:pBdr>
          <w:top w:val="nil"/>
          <w:left w:val="nil"/>
          <w:bottom w:val="nil"/>
          <w:right w:val="nil"/>
          <w:between w:val="nil"/>
        </w:pBdr>
        <w:tabs>
          <w:tab w:val="left" w:pos="8080"/>
        </w:tabs>
        <w:spacing w:line="360" w:lineRule="auto"/>
        <w:ind w:left="72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w:t>
      </w:r>
    </w:p>
    <w:p w14:paraId="50132F4B"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 xml:space="preserve">CUARTO.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B0A2C69" w14:textId="77777777" w:rsidR="00777CC2" w:rsidRDefault="00405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567BA8" w14:textId="77777777" w:rsidR="00777CC2" w:rsidRDefault="00405FB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SEXTO. Notifíquese </w:t>
      </w:r>
      <w:r>
        <w:rPr>
          <w:rFonts w:ascii="Palatino Linotype" w:eastAsia="Palatino Linotype" w:hAnsi="Palatino Linotype" w:cs="Palatino Linotype"/>
        </w:rPr>
        <w:t xml:space="preserve">vía SAIMEX 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30D2A8C2" w14:textId="77777777" w:rsidR="006F59A2" w:rsidRDefault="006F59A2" w:rsidP="006F59A2">
      <w:pPr>
        <w:widowControl w:val="0"/>
        <w:tabs>
          <w:tab w:val="left" w:pos="1701"/>
        </w:tabs>
        <w:spacing w:line="360" w:lineRule="auto"/>
        <w:ind w:right="51"/>
        <w:jc w:val="both"/>
        <w:rPr>
          <w:rFonts w:ascii="Palatino Linotype" w:eastAsia="Palatino Linotype" w:hAnsi="Palatino Linotype" w:cs="Palatino Linotype"/>
          <w:highlight w:val="white"/>
        </w:rPr>
      </w:pPr>
      <w:bookmarkStart w:id="7" w:name="_heading=h.3dy6vkm" w:colFirst="0" w:colLast="0"/>
      <w:bookmarkEnd w:id="7"/>
      <w:r>
        <w:rPr>
          <w:rFonts w:ascii="Palatino Linotype" w:eastAsia="Palatino Linotype" w:hAnsi="Palatino Linotype" w:cs="Palatino Linotype"/>
          <w:b/>
        </w:rPr>
        <w:t xml:space="preserve">SÉPTIMO. </w:t>
      </w:r>
      <w:r>
        <w:rPr>
          <w:rFonts w:ascii="Palatino Linotype" w:eastAsia="Palatino Linotype" w:hAnsi="Palatino Linotype" w:cs="Palatino Linotype"/>
          <w:b/>
          <w:highlight w:val="white"/>
        </w:rPr>
        <w:t>Gírese</w:t>
      </w:r>
      <w:r>
        <w:rPr>
          <w:rFonts w:ascii="Palatino Linotype" w:eastAsia="Palatino Linotype" w:hAnsi="Palatino Linotype" w:cs="Palatino Linotype"/>
          <w:highlight w:val="white"/>
        </w:rPr>
        <w:t xml:space="preserve"> oficio al Contralor Interno y Órgano de Control y Vigilancia de este Instituto para hacer de su conocimiento la presente resolución, a fin de que en </w:t>
      </w:r>
      <w:r>
        <w:rPr>
          <w:rFonts w:ascii="Palatino Linotype" w:eastAsia="Palatino Linotype" w:hAnsi="Palatino Linotype" w:cs="Palatino Linotype"/>
          <w:highlight w:val="white"/>
        </w:rPr>
        <w:lastRenderedPageBreak/>
        <w:t xml:space="preserve">ejercicio de sus atribuciones y de conformidad al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highlight w:val="white"/>
        </w:rPr>
        <w:t xml:space="preserve">Considerando CUARTO </w:t>
      </w:r>
      <w:r>
        <w:rPr>
          <w:rFonts w:ascii="Palatino Linotype" w:eastAsia="Palatino Linotype" w:hAnsi="Palatino Linotype" w:cs="Palatino Linotype"/>
          <w:highlight w:val="white"/>
        </w:rPr>
        <w:t xml:space="preserve">de la presente resolución. </w:t>
      </w:r>
    </w:p>
    <w:p w14:paraId="1CA0F451" w14:textId="77777777" w:rsidR="006F59A2" w:rsidRDefault="006F59A2" w:rsidP="006F59A2"/>
    <w:p w14:paraId="65C99918" w14:textId="77777777" w:rsidR="00777CC2" w:rsidRDefault="00405FBF">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w:t>
      </w:r>
      <w:r w:rsidR="001E28C4">
        <w:rPr>
          <w:rFonts w:ascii="Palatino Linotype" w:eastAsia="Palatino Linotype" w:hAnsi="Palatino Linotype" w:cs="Palatino Linotype"/>
        </w:rPr>
        <w:t>ESIÓN ORDINARIA CELEBRADA EL CUATRO</w:t>
      </w:r>
      <w:r>
        <w:rPr>
          <w:rFonts w:ascii="Palatino Linotype" w:eastAsia="Palatino Linotype" w:hAnsi="Palatino Linotype" w:cs="Palatino Linotype"/>
        </w:rPr>
        <w:t xml:space="preserve"> DE FEBRERO DE DOS MIL VEINTIDÓS, ANTE EL SECRETARIO TÉCNICO DEL PLENO, ALEXIS TAPIA RAMÍREZ.</w:t>
      </w:r>
    </w:p>
    <w:p w14:paraId="02032D7A" w14:textId="77777777" w:rsidR="00777CC2" w:rsidRDefault="00777CC2">
      <w:pPr>
        <w:spacing w:before="240" w:after="240" w:line="360" w:lineRule="auto"/>
        <w:jc w:val="both"/>
      </w:pPr>
    </w:p>
    <w:p w14:paraId="4EF4492E" w14:textId="77777777" w:rsidR="00777CC2" w:rsidRDefault="00777CC2"/>
    <w:p w14:paraId="0CA85BD5" w14:textId="77777777" w:rsidR="00777CC2" w:rsidRDefault="00777CC2"/>
    <w:p w14:paraId="31D7B6FF" w14:textId="77777777" w:rsidR="00777CC2" w:rsidRDefault="00777CC2"/>
    <w:p w14:paraId="3B942C74" w14:textId="77777777" w:rsidR="00777CC2" w:rsidRDefault="00777CC2"/>
    <w:p w14:paraId="3E7A337C" w14:textId="77777777" w:rsidR="00777CC2" w:rsidRDefault="00777CC2"/>
    <w:p w14:paraId="7115F19D" w14:textId="77777777" w:rsidR="00777CC2" w:rsidRDefault="00777CC2"/>
    <w:p w14:paraId="71E2FE81" w14:textId="77777777" w:rsidR="00777CC2" w:rsidRDefault="00777CC2"/>
    <w:p w14:paraId="2C4A9F6A" w14:textId="77777777" w:rsidR="00777CC2" w:rsidRDefault="00777CC2"/>
    <w:p w14:paraId="45D2656C" w14:textId="77777777" w:rsidR="006F59A2" w:rsidRDefault="006F59A2">
      <w:pPr>
        <w:sectPr w:rsidR="006F59A2">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pPr>
    </w:p>
    <w:p w14:paraId="3389B7C0" w14:textId="77777777" w:rsidR="00777CC2" w:rsidRDefault="00777CC2"/>
    <w:p w14:paraId="455B2095" w14:textId="77777777" w:rsidR="00777CC2" w:rsidRDefault="00777CC2"/>
    <w:p w14:paraId="53FDDA2E" w14:textId="77777777" w:rsidR="00777CC2" w:rsidRDefault="00777CC2"/>
    <w:p w14:paraId="4CA7FFAF" w14:textId="77777777" w:rsidR="00777CC2" w:rsidRDefault="00777CC2"/>
    <w:p w14:paraId="6408C8C5" w14:textId="77777777" w:rsidR="00777CC2" w:rsidRDefault="00777CC2"/>
    <w:p w14:paraId="400B127F" w14:textId="77777777" w:rsidR="00777CC2" w:rsidRDefault="00777CC2"/>
    <w:p w14:paraId="03D15F51" w14:textId="77777777" w:rsidR="00777CC2" w:rsidRDefault="00777CC2"/>
    <w:p w14:paraId="12425D5A" w14:textId="77777777" w:rsidR="00777CC2" w:rsidRDefault="00777CC2"/>
    <w:p w14:paraId="1703FEA5" w14:textId="77777777" w:rsidR="00777CC2" w:rsidRDefault="00777CC2"/>
    <w:p w14:paraId="0F4CB538" w14:textId="77777777" w:rsidR="00777CC2" w:rsidRDefault="00777CC2"/>
    <w:p w14:paraId="0CD0DE71" w14:textId="77777777" w:rsidR="00777CC2" w:rsidRDefault="00777CC2"/>
    <w:p w14:paraId="43F25843" w14:textId="77777777" w:rsidR="00777CC2" w:rsidRDefault="00777CC2">
      <w:pPr>
        <w:jc w:val="right"/>
      </w:pPr>
    </w:p>
    <w:p w14:paraId="4330D98E" w14:textId="77777777" w:rsidR="00777CC2" w:rsidRDefault="00777CC2">
      <w:pPr>
        <w:jc w:val="right"/>
      </w:pPr>
    </w:p>
    <w:sectPr w:rsidR="00777CC2">
      <w:head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732A" w14:textId="77777777" w:rsidR="003424E3" w:rsidRDefault="003424E3">
      <w:r>
        <w:separator/>
      </w:r>
    </w:p>
  </w:endnote>
  <w:endnote w:type="continuationSeparator" w:id="0">
    <w:p w14:paraId="536B9683" w14:textId="77777777" w:rsidR="003424E3" w:rsidRDefault="0034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70F0A" w14:textId="77777777" w:rsidR="00753BDD" w:rsidRDefault="00753BD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92AC9">
      <w:rPr>
        <w:rFonts w:ascii="Arial" w:eastAsia="Arial" w:hAnsi="Arial" w:cs="Arial"/>
        <w:b/>
        <w:noProof/>
        <w:color w:val="000000"/>
        <w:sz w:val="20"/>
        <w:szCs w:val="20"/>
      </w:rPr>
      <w:t>58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2AC9">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00D8C97B" w14:textId="77777777" w:rsidR="00753BDD" w:rsidRDefault="00753BDD">
    <w:pPr>
      <w:pBdr>
        <w:top w:val="nil"/>
        <w:left w:val="nil"/>
        <w:bottom w:val="nil"/>
        <w:right w:val="nil"/>
        <w:between w:val="nil"/>
      </w:pBdr>
      <w:tabs>
        <w:tab w:val="center" w:pos="4252"/>
        <w:tab w:val="right" w:pos="8504"/>
      </w:tabs>
      <w:rPr>
        <w:color w:val="000000"/>
      </w:rPr>
    </w:pPr>
  </w:p>
  <w:p w14:paraId="17B614CE" w14:textId="77777777" w:rsidR="00753BDD" w:rsidRDefault="00753BD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ED628" w14:textId="04877D28" w:rsidR="00753BDD" w:rsidRDefault="00753BD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Página 59</w:t>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2AC9">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033AC894" w14:textId="77777777" w:rsidR="00753BDD" w:rsidRDefault="00753BD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40D37" w14:textId="77777777" w:rsidR="003424E3" w:rsidRDefault="003424E3">
      <w:r>
        <w:separator/>
      </w:r>
    </w:p>
  </w:footnote>
  <w:footnote w:type="continuationSeparator" w:id="0">
    <w:p w14:paraId="291ACD8C" w14:textId="77777777" w:rsidR="003424E3" w:rsidRDefault="003424E3">
      <w:r>
        <w:continuationSeparator/>
      </w:r>
    </w:p>
  </w:footnote>
  <w:footnote w:id="1">
    <w:p w14:paraId="007F7105" w14:textId="77777777" w:rsidR="00753BDD" w:rsidRDefault="00753BDD">
      <w:pPr>
        <w:pBdr>
          <w:top w:val="nil"/>
          <w:left w:val="nil"/>
          <w:bottom w:val="nil"/>
          <w:right w:val="nil"/>
          <w:between w:val="nil"/>
        </w:pBdr>
        <w:rPr>
          <w:rFonts w:ascii="Palatino Linotype" w:eastAsia="Palatino Linotype" w:hAnsi="Palatino Linotype" w:cs="Palatino Linotype"/>
          <w:color w:val="000000"/>
          <w:sz w:val="12"/>
          <w:szCs w:val="12"/>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178 de la Ley de Transparencia y Acceso a la Información Pública del Estado de México y Municipios.</w:t>
      </w:r>
    </w:p>
  </w:footnote>
  <w:footnote w:id="2">
    <w:p w14:paraId="341F80AB" w14:textId="77777777" w:rsidR="00753BDD" w:rsidRDefault="00753BD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https://archivos.juridicas.unam.mx/www/bjv/libros/7/3270/24.pdf</w:t>
      </w:r>
    </w:p>
  </w:footnote>
  <w:footnote w:id="3">
    <w:p w14:paraId="3797EE46" w14:textId="77777777" w:rsidR="00753BDD" w:rsidRDefault="00753BDD">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14:paraId="5A9CC3B7" w14:textId="77777777" w:rsidR="00753BDD" w:rsidRDefault="00753BDD">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4">
    <w:p w14:paraId="4B0D2231" w14:textId="77777777" w:rsidR="00753BDD" w:rsidRDefault="00753BDD">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BEFF7" w14:textId="77777777" w:rsidR="00753BDD" w:rsidRDefault="00753BDD">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753BDD" w14:paraId="6E4FDE14" w14:textId="77777777">
      <w:tc>
        <w:tcPr>
          <w:tcW w:w="2552" w:type="dxa"/>
          <w:vAlign w:val="center"/>
        </w:tcPr>
        <w:p w14:paraId="7241B85C" w14:textId="77777777" w:rsidR="00753BDD" w:rsidRDefault="00753BD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E4A9556" w14:textId="77777777" w:rsidR="00753BDD" w:rsidRDefault="00753BD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05014/INFOEM/IP/RR/2021 y acumulado</w:t>
          </w:r>
        </w:p>
      </w:tc>
    </w:tr>
    <w:tr w:rsidR="00753BDD" w14:paraId="6A91B9C0" w14:textId="77777777">
      <w:trPr>
        <w:trHeight w:val="228"/>
      </w:trPr>
      <w:tc>
        <w:tcPr>
          <w:tcW w:w="2552" w:type="dxa"/>
          <w:vAlign w:val="center"/>
        </w:tcPr>
        <w:p w14:paraId="09079D4E" w14:textId="77777777" w:rsidR="00753BDD" w:rsidRDefault="00753BD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042A6C84" w14:textId="77777777" w:rsidR="00753BDD" w:rsidRDefault="00753BD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Nezahualcóyotl</w:t>
          </w:r>
        </w:p>
      </w:tc>
    </w:tr>
    <w:tr w:rsidR="00753BDD" w14:paraId="003B770A" w14:textId="77777777">
      <w:tc>
        <w:tcPr>
          <w:tcW w:w="2552" w:type="dxa"/>
          <w:vAlign w:val="center"/>
        </w:tcPr>
        <w:p w14:paraId="738FE49F" w14:textId="77777777" w:rsidR="00753BDD" w:rsidRDefault="00753BD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72429AD9" w14:textId="77777777" w:rsidR="00753BDD" w:rsidRDefault="00753BD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4526605" w14:textId="77777777" w:rsidR="00753BDD" w:rsidRDefault="00753BD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1B7B45DB" wp14:editId="6333A65E">
          <wp:simplePos x="0" y="0"/>
          <wp:positionH relativeFrom="column">
            <wp:posOffset>0</wp:posOffset>
          </wp:positionH>
          <wp:positionV relativeFrom="paragraph">
            <wp:posOffset>-1249679</wp:posOffset>
          </wp:positionV>
          <wp:extent cx="7635163" cy="9944100"/>
          <wp:effectExtent l="0" t="0" r="0" b="0"/>
          <wp:wrapNone/>
          <wp:docPr id="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6455A" w14:textId="77777777" w:rsidR="00753BDD" w:rsidRDefault="00753BD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F824CBF" wp14:editId="54C72B1B">
          <wp:simplePos x="0" y="0"/>
          <wp:positionH relativeFrom="page">
            <wp:align>right</wp:align>
          </wp:positionH>
          <wp:positionV relativeFrom="paragraph">
            <wp:posOffset>-450850</wp:posOffset>
          </wp:positionV>
          <wp:extent cx="7635240" cy="9942830"/>
          <wp:effectExtent l="0" t="0" r="3810" b="1270"/>
          <wp:wrapNone/>
          <wp:docPr id="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753BDD" w14:paraId="55DF2C10" w14:textId="77777777">
      <w:tc>
        <w:tcPr>
          <w:tcW w:w="2551" w:type="dxa"/>
          <w:vAlign w:val="center"/>
        </w:tcPr>
        <w:p w14:paraId="27CF81D6" w14:textId="77777777" w:rsidR="00753BDD" w:rsidRDefault="00753BD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5EB4B70C" w14:textId="77777777" w:rsidR="00753BDD" w:rsidRDefault="00753BD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05014/INFOEM/IP/RR/2021 y acumulado</w:t>
          </w:r>
        </w:p>
      </w:tc>
    </w:tr>
    <w:tr w:rsidR="00753BDD" w14:paraId="74BB2725" w14:textId="77777777">
      <w:tc>
        <w:tcPr>
          <w:tcW w:w="2551" w:type="dxa"/>
          <w:vAlign w:val="center"/>
        </w:tcPr>
        <w:p w14:paraId="6DAA4072" w14:textId="77777777" w:rsidR="00753BDD" w:rsidRDefault="00753BDD">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7773F10" w14:textId="0CE8E2C6" w:rsidR="00753BDD" w:rsidRDefault="00753BDD" w:rsidP="00753BD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 xxxxx Xxxxxxx</w:t>
          </w:r>
        </w:p>
      </w:tc>
    </w:tr>
    <w:tr w:rsidR="00753BDD" w14:paraId="7A74ECC4" w14:textId="77777777">
      <w:trPr>
        <w:trHeight w:val="228"/>
      </w:trPr>
      <w:tc>
        <w:tcPr>
          <w:tcW w:w="2551" w:type="dxa"/>
          <w:vAlign w:val="center"/>
        </w:tcPr>
        <w:p w14:paraId="4AD9AA94" w14:textId="77777777" w:rsidR="00753BDD" w:rsidRDefault="00753BD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1B71DE96" w14:textId="77777777" w:rsidR="00753BDD" w:rsidRDefault="00753BD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Nezahualcóyotl</w:t>
          </w:r>
        </w:p>
      </w:tc>
    </w:tr>
    <w:tr w:rsidR="00753BDD" w14:paraId="1925B282" w14:textId="77777777">
      <w:tc>
        <w:tcPr>
          <w:tcW w:w="2551" w:type="dxa"/>
          <w:vAlign w:val="center"/>
        </w:tcPr>
        <w:p w14:paraId="72AC17F5" w14:textId="77777777" w:rsidR="00753BDD" w:rsidRDefault="00753BD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F1FFC7A" w14:textId="77777777" w:rsidR="00753BDD" w:rsidRDefault="00753BD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63DE510" w14:textId="77777777" w:rsidR="00753BDD" w:rsidRDefault="00753BD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C315" w14:textId="77777777" w:rsidR="00753BDD" w:rsidRDefault="00753BD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77CD7DFA" wp14:editId="2166D17D">
          <wp:simplePos x="0" y="0"/>
          <wp:positionH relativeFrom="page">
            <wp:align>right</wp:align>
          </wp:positionH>
          <wp:positionV relativeFrom="paragraph">
            <wp:posOffset>-306070</wp:posOffset>
          </wp:positionV>
          <wp:extent cx="7635240" cy="9942830"/>
          <wp:effectExtent l="0" t="0" r="3810" b="127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6238" w:type="dxa"/>
      <w:tblInd w:w="3119" w:type="dxa"/>
      <w:tblLayout w:type="fixed"/>
      <w:tblLook w:val="0400" w:firstRow="0" w:lastRow="0" w:firstColumn="0" w:lastColumn="0" w:noHBand="0" w:noVBand="1"/>
    </w:tblPr>
    <w:tblGrid>
      <w:gridCol w:w="2551"/>
      <w:gridCol w:w="3687"/>
    </w:tblGrid>
    <w:tr w:rsidR="00753BDD" w14:paraId="6CB12143" w14:textId="77777777">
      <w:tc>
        <w:tcPr>
          <w:tcW w:w="2551" w:type="dxa"/>
          <w:vAlign w:val="center"/>
        </w:tcPr>
        <w:p w14:paraId="2019CC33" w14:textId="77777777" w:rsidR="00753BDD" w:rsidRDefault="00753BD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18BB8384" w14:textId="77777777" w:rsidR="00753BDD" w:rsidRDefault="00753BD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05014/INFOEM/IP/RR/2021 y acumulado</w:t>
          </w:r>
        </w:p>
      </w:tc>
    </w:tr>
    <w:tr w:rsidR="00753BDD" w14:paraId="31B88FE6" w14:textId="77777777">
      <w:tc>
        <w:tcPr>
          <w:tcW w:w="2551" w:type="dxa"/>
          <w:vAlign w:val="center"/>
        </w:tcPr>
        <w:p w14:paraId="6255FE06" w14:textId="77777777" w:rsidR="00753BDD" w:rsidRDefault="00753BDD">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17FF2198" w14:textId="77777777" w:rsidR="00753BDD" w:rsidRDefault="00753BD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karina tapia Sánchez</w:t>
          </w:r>
        </w:p>
      </w:tc>
    </w:tr>
    <w:tr w:rsidR="00753BDD" w14:paraId="1549D393" w14:textId="77777777">
      <w:trPr>
        <w:trHeight w:val="228"/>
      </w:trPr>
      <w:tc>
        <w:tcPr>
          <w:tcW w:w="2551" w:type="dxa"/>
          <w:vAlign w:val="center"/>
        </w:tcPr>
        <w:p w14:paraId="10752F91" w14:textId="77777777" w:rsidR="00753BDD" w:rsidRDefault="00753BD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7AAE8C50" w14:textId="77777777" w:rsidR="00753BDD" w:rsidRDefault="00753BD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Nezahualcóyotl</w:t>
          </w:r>
        </w:p>
      </w:tc>
    </w:tr>
    <w:tr w:rsidR="00753BDD" w14:paraId="29063469" w14:textId="77777777">
      <w:tc>
        <w:tcPr>
          <w:tcW w:w="2551" w:type="dxa"/>
          <w:vAlign w:val="center"/>
        </w:tcPr>
        <w:p w14:paraId="4C466147" w14:textId="77777777" w:rsidR="00753BDD" w:rsidRDefault="00753BD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30EC772" w14:textId="77777777" w:rsidR="00753BDD" w:rsidRDefault="00753BD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E156B5F" w14:textId="77777777" w:rsidR="00753BDD" w:rsidRDefault="00753BD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68D"/>
    <w:multiLevelType w:val="multilevel"/>
    <w:tmpl w:val="59C427C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BB102E"/>
    <w:multiLevelType w:val="multilevel"/>
    <w:tmpl w:val="C9F68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27C1B"/>
    <w:multiLevelType w:val="multilevel"/>
    <w:tmpl w:val="F8B26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D54536"/>
    <w:multiLevelType w:val="multilevel"/>
    <w:tmpl w:val="E8A0C9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1573CF"/>
    <w:multiLevelType w:val="multilevel"/>
    <w:tmpl w:val="3208E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356C1D"/>
    <w:multiLevelType w:val="multilevel"/>
    <w:tmpl w:val="CF5458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847E04"/>
    <w:multiLevelType w:val="multilevel"/>
    <w:tmpl w:val="66BC94B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611817F6"/>
    <w:multiLevelType w:val="multilevel"/>
    <w:tmpl w:val="B88EA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7"/>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C2"/>
    <w:rsid w:val="000C45BD"/>
    <w:rsid w:val="000F5E21"/>
    <w:rsid w:val="001E28C4"/>
    <w:rsid w:val="003424E3"/>
    <w:rsid w:val="00354A22"/>
    <w:rsid w:val="00405FBF"/>
    <w:rsid w:val="004A2079"/>
    <w:rsid w:val="006F59A2"/>
    <w:rsid w:val="00753BDD"/>
    <w:rsid w:val="00777CC2"/>
    <w:rsid w:val="00851B93"/>
    <w:rsid w:val="00A92AC9"/>
    <w:rsid w:val="00AC3AAB"/>
    <w:rsid w:val="00E33760"/>
    <w:rsid w:val="00F75799"/>
    <w:rsid w:val="00FF33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2B92E"/>
  <w15:docId w15:val="{E58A91EF-21B6-4B1A-A8EF-0C67E70B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ultas.ifai.org.mx/descargar.php?r=./pdf/resoluciones/2017/&amp;a=RRA%20347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onsultas.ifai.org.mx/descargar.php?r=./pdf/resoluciones/2017/&amp;a=RRA%201588.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7/&amp;a=RRA%20185.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uhotUz3/SpUe3Wbpug/gDoK+Aw==">AMUW2mVQPwCKIsgIkfjVZqZ/zNM5wPeE92z+JXSkxy9Us/FquCsA3JuU/f0HrepaAvM6RCVz4Lk/PcehLAa2kT2VSxkXGOfkAuPcKsv6sbMmt34ZfpN3ecwDU5TDYus0ip1ctC2mVcL2XjvRgIb3GLnbFpNKCFAlHSzJtFilftc0Jk6Uxn0KLbf3NUReYmmpwWPzfRE2R/mCeTufE35zpXOSWaXvQF90kA==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59</Pages>
  <Words>14178</Words>
  <Characters>77980</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3</cp:revision>
  <cp:lastPrinted>2022-02-04T20:16:00Z</cp:lastPrinted>
  <dcterms:created xsi:type="dcterms:W3CDTF">2022-03-04T02:21:00Z</dcterms:created>
  <dcterms:modified xsi:type="dcterms:W3CDTF">2022-03-04T02:32:00Z</dcterms:modified>
</cp:coreProperties>
</file>