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ocho de junio de dos mil veintidós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highlight w:val="yellow"/>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formado con motivo de los recursos de revisión </w:t>
      </w:r>
      <w:r w:rsidDel="00000000" w:rsidR="00000000" w:rsidRPr="00000000">
        <w:rPr>
          <w:rFonts w:ascii="Palatino Linotype" w:cs="Palatino Linotype" w:eastAsia="Palatino Linotype" w:hAnsi="Palatino Linotype"/>
          <w:b w:val="1"/>
          <w:rtl w:val="0"/>
        </w:rPr>
        <w:t xml:space="preserve">02829/INFOEM/IP/RR/2022, 02906/INFOEM/IP/RR/2022,  y 03047/INFOEM/IP/RR/2022  acumulados, </w:t>
      </w:r>
      <w:r w:rsidDel="00000000" w:rsidR="00000000" w:rsidRPr="00000000">
        <w:rPr>
          <w:rFonts w:ascii="Palatino Linotype" w:cs="Palatino Linotype" w:eastAsia="Palatino Linotype" w:hAnsi="Palatino Linotype"/>
          <w:rtl w:val="0"/>
        </w:rPr>
        <w:t xml:space="preserve">interpuestos por</w:t>
      </w:r>
      <w:r w:rsidDel="00000000" w:rsidR="00000000" w:rsidRPr="00000000">
        <w:rPr>
          <w:rFonts w:ascii="Palatino Linotype" w:cs="Palatino Linotype" w:eastAsia="Palatino Linotype" w:hAnsi="Palatino Linotype"/>
          <w:b w:val="1"/>
          <w:rtl w:val="0"/>
        </w:rPr>
        <w:t xml:space="preserve"> un particular de manera anónima, </w:t>
      </w:r>
      <w:r w:rsidDel="00000000" w:rsidR="00000000" w:rsidRPr="00000000">
        <w:rPr>
          <w:rFonts w:ascii="Palatino Linotype" w:cs="Palatino Linotype" w:eastAsia="Palatino Linotype" w:hAnsi="Palatino Linotype"/>
          <w:rtl w:val="0"/>
        </w:rPr>
        <w:t xml:space="preserve">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identificado como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contra de las respuestas en las solicitudes de información con número de folio </w:t>
      </w:r>
      <w:r w:rsidDel="00000000" w:rsidR="00000000" w:rsidRPr="00000000">
        <w:rPr>
          <w:rFonts w:ascii="Palatino Linotype" w:cs="Palatino Linotype" w:eastAsia="Palatino Linotype" w:hAnsi="Palatino Linotype"/>
          <w:b w:val="1"/>
          <w:rtl w:val="0"/>
        </w:rPr>
        <w:t xml:space="preserve">00562/DIFMETEPEC/IP/2022, 00494/DIFMETEPEC/IP/2022 y 00335/DIFMETEPEC/IP/2022, </w:t>
      </w:r>
      <w:r w:rsidDel="00000000" w:rsidR="00000000" w:rsidRPr="00000000">
        <w:rPr>
          <w:rFonts w:ascii="Palatino Linotype" w:cs="Palatino Linotype" w:eastAsia="Palatino Linotype" w:hAnsi="Palatino Linotype"/>
          <w:rtl w:val="0"/>
        </w:rPr>
        <w:t xml:space="preserve">por parte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Sistema Municipal Para el Desarrollo Integral de la Familia de Metepec,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5">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tres, ocho y</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nueve,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formuló solicitudes de acceso a información pública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las que requirió lo siguiente: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tl w:val="0"/>
        </w:rPr>
      </w:r>
    </w:p>
    <w:tbl>
      <w:tblPr>
        <w:tblStyle w:val="Table1"/>
        <w:tblW w:w="89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bfbfbf" w:val="clear"/>
          </w:tcPr>
          <w:p w:rsidR="00000000" w:rsidDel="00000000" w:rsidP="00000000" w:rsidRDefault="00000000" w:rsidRPr="00000000" w14:paraId="00000008">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solicitud y recurso</w:t>
            </w:r>
          </w:p>
        </w:tc>
        <w:tc>
          <w:tcPr>
            <w:shd w:fill="bfbfbf" w:val="clear"/>
          </w:tcPr>
          <w:p w:rsidR="00000000" w:rsidDel="00000000" w:rsidP="00000000" w:rsidRDefault="00000000" w:rsidRPr="00000000" w14:paraId="00000009">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Requerimientos</w:t>
            </w:r>
          </w:p>
        </w:tc>
      </w:tr>
      <w:tr>
        <w:trPr>
          <w:cantSplit w:val="0"/>
          <w:trHeight w:val="1110" w:hRule="atLeast"/>
          <w:tblHeader w:val="0"/>
        </w:trPr>
        <w:tc>
          <w:tcPr/>
          <w:p w:rsidR="00000000" w:rsidDel="00000000" w:rsidP="00000000" w:rsidRDefault="00000000" w:rsidRPr="00000000" w14:paraId="0000000A">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00562/DIFMETEPEC/IP/2022,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02829/INFOEM/IP/RR/2022</w:t>
            </w:r>
          </w:p>
        </w:tc>
        <w:tc>
          <w:tcPr/>
          <w:p w:rsidR="00000000" w:rsidDel="00000000" w:rsidP="00000000" w:rsidRDefault="00000000" w:rsidRPr="00000000" w14:paraId="0000000B">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 el documento que de cuenta de altas y bajas en nómina de servidores públicos el 9 de febrero de 2022.” (Sic)</w:t>
            </w:r>
          </w:p>
        </w:tc>
      </w:tr>
      <w:tr>
        <w:trPr>
          <w:cantSplit w:val="0"/>
          <w:tblHeader w:val="0"/>
        </w:trPr>
        <w:tc>
          <w:tcPr/>
          <w:p w:rsidR="00000000" w:rsidDel="00000000" w:rsidP="00000000" w:rsidRDefault="00000000" w:rsidRPr="00000000" w14:paraId="0000000C">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00494/DIFMETEPEC/IP/2022,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02906/INFOEM/IP/RR/2022</w:t>
            </w:r>
            <w:r w:rsidDel="00000000" w:rsidR="00000000" w:rsidRPr="00000000">
              <w:rPr>
                <w:rtl w:val="0"/>
              </w:rPr>
            </w:r>
          </w:p>
        </w:tc>
        <w:tc>
          <w:tcPr/>
          <w:p w:rsidR="00000000" w:rsidDel="00000000" w:rsidP="00000000" w:rsidRDefault="00000000" w:rsidRPr="00000000" w14:paraId="0000000D">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solicita el documento que de cuenta de altas y bajas de servidores públicos el 8 de febrero de 2022.” (Sic)</w:t>
            </w:r>
          </w:p>
        </w:tc>
      </w:tr>
      <w:tr>
        <w:trPr>
          <w:cantSplit w:val="0"/>
          <w:tblHeader w:val="0"/>
        </w:trPr>
        <w:tc>
          <w:tcPr/>
          <w:p w:rsidR="00000000" w:rsidDel="00000000" w:rsidP="00000000" w:rsidRDefault="00000000" w:rsidRPr="00000000" w14:paraId="0000000E">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00335/DIFMETEPEC/IP/2022, </w:t>
            </w:r>
            <w:r w:rsidDel="00000000" w:rsidR="00000000" w:rsidRPr="00000000">
              <w:rPr>
                <w:rFonts w:ascii="Palatino Linotype" w:cs="Palatino Linotype" w:eastAsia="Palatino Linotype" w:hAnsi="Palatino Linotype"/>
                <w:sz w:val="20"/>
                <w:szCs w:val="20"/>
                <w:rtl w:val="0"/>
              </w:rPr>
              <w:t xml:space="preserve">correspondiente al Recurso de Revisión</w:t>
            </w:r>
            <w:r w:rsidDel="00000000" w:rsidR="00000000" w:rsidRPr="00000000">
              <w:rPr>
                <w:rFonts w:ascii="Palatino Linotype" w:cs="Palatino Linotype" w:eastAsia="Palatino Linotype" w:hAnsi="Palatino Linotype"/>
                <w:b w:val="1"/>
                <w:sz w:val="20"/>
                <w:szCs w:val="20"/>
                <w:rtl w:val="0"/>
              </w:rPr>
              <w:t xml:space="preserve"> 03047/INFOEM/IP/RR/2022</w:t>
            </w:r>
          </w:p>
        </w:tc>
        <w:tc>
          <w:tcPr/>
          <w:p w:rsidR="00000000" w:rsidDel="00000000" w:rsidP="00000000" w:rsidRDefault="00000000" w:rsidRPr="00000000" w14:paraId="0000000F">
            <w:pPr>
              <w:spacing w:after="240" w:before="240" w:line="276"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una copia digitalizada de las altas y bajas generadas en nómina durante la segunda quincena de enero 2022” (Sic)</w:t>
            </w:r>
          </w:p>
        </w:tc>
      </w:tr>
    </w:tbl>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Requerimientos de aclaración.  En fechas catorce y quince de febrero de dos mil veintidós, el Sujeto Obligado </w:t>
      </w:r>
      <w:r w:rsidDel="00000000" w:rsidR="00000000" w:rsidRPr="00000000">
        <w:rPr>
          <w:rFonts w:ascii="Palatino Linotype" w:cs="Palatino Linotype" w:eastAsia="Palatino Linotype" w:hAnsi="Palatino Linotype"/>
          <w:rtl w:val="0"/>
        </w:rPr>
        <w:t xml:space="preserve">requirió las aclaraciones en las solicitudes que recayeron en los recursos de revisión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02809/INFOEM/IP/RR/2022, y 02906/INFOEM/IP/RR/2022</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medularmente en los siguientes términos: </w:t>
      </w:r>
    </w:p>
    <w:p w:rsidR="00000000" w:rsidDel="00000000" w:rsidP="00000000" w:rsidRDefault="00000000" w:rsidRPr="00000000" w14:paraId="00000012">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13">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SOLICITUD NO ES PRECISA, SE SOLICITA EL PARTICULAR HAGA ACLARACIÓN TOTAL DE LA INFORMACIÓN A OBTENER</w:t>
      </w:r>
    </w:p>
    <w:p w:rsidR="00000000" w:rsidDel="00000000" w:rsidP="00000000" w:rsidRDefault="00000000" w:rsidRPr="00000000" w14:paraId="0000001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00000" w:rsidDel="00000000" w:rsidP="00000000" w:rsidRDefault="00000000" w:rsidRPr="00000000" w14:paraId="0000001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 (Sic) (Énfasis añadido)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Mismas que fueron  desahogadas en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fecha</w:t>
      </w:r>
      <w:r w:rsidDel="00000000" w:rsidR="00000000" w:rsidRPr="00000000">
        <w:rPr>
          <w:rFonts w:ascii="Palatino Linotype" w:cs="Palatino Linotype" w:eastAsia="Palatino Linotype" w:hAnsi="Palatino Linotype"/>
          <w:b w:val="1"/>
          <w:rtl w:val="0"/>
        </w:rPr>
        <w:t xml:space="preserve"> quince de febrero de dos mil veintidós, </w:t>
      </w:r>
      <w:r w:rsidDel="00000000" w:rsidR="00000000" w:rsidRPr="00000000">
        <w:rPr>
          <w:rFonts w:ascii="Palatino Linotype" w:cs="Palatino Linotype" w:eastAsia="Palatino Linotype" w:hAnsi="Palatino Linotype"/>
          <w:rtl w:val="0"/>
        </w:rPr>
        <w:t xml:space="preserve">reiterando las solicitudes de información.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Prórroga.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veinticuatro de febrero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una prórroga para dar respuesta a la solicitud </w:t>
      </w:r>
      <w:r w:rsidDel="00000000" w:rsidR="00000000" w:rsidRPr="00000000">
        <w:rPr>
          <w:rFonts w:ascii="Palatino Linotype" w:cs="Palatino Linotype" w:eastAsia="Palatino Linotype" w:hAnsi="Palatino Linotype"/>
          <w:b w:val="1"/>
          <w:rtl w:val="0"/>
        </w:rPr>
        <w:t xml:space="preserve">00335/DIFMETEPEC/IP/2022,</w:t>
      </w:r>
      <w:r w:rsidDel="00000000" w:rsidR="00000000" w:rsidRPr="00000000">
        <w:rPr>
          <w:rFonts w:ascii="Palatino Linotype" w:cs="Palatino Linotype" w:eastAsia="Palatino Linotype" w:hAnsi="Palatino Linotype"/>
          <w:rtl w:val="0"/>
        </w:rPr>
        <w:t xml:space="preserve">  a través de la cual, indicó lo siguiente:</w:t>
      </w:r>
    </w:p>
    <w:p w:rsidR="00000000" w:rsidDel="00000000" w:rsidP="00000000" w:rsidRDefault="00000000" w:rsidRPr="00000000" w14:paraId="00000019">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A">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PRORROGA APROBADA</w:t>
      </w:r>
    </w:p>
    <w:p w:rsidR="00000000" w:rsidDel="00000000" w:rsidP="00000000" w:rsidRDefault="00000000" w:rsidRPr="00000000" w14:paraId="0000001B">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w:t>
      </w:r>
    </w:p>
    <w:p w:rsidR="00000000" w:rsidDel="00000000" w:rsidP="00000000" w:rsidRDefault="00000000" w:rsidRPr="00000000" w14:paraId="0000001C">
      <w:pPr>
        <w:spacing w:after="240" w:before="240"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 (Sic)</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Respuestas. </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uno de marzo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notificó a la</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la totalidad de los expedientes, las respuestas a sus solicitudes en los términos siguientes: </w:t>
      </w:r>
    </w:p>
    <w:p w:rsidR="00000000" w:rsidDel="00000000" w:rsidP="00000000" w:rsidRDefault="00000000" w:rsidRPr="00000000" w14:paraId="0000001E">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w:t>
      </w:r>
      <w:r w:rsidDel="00000000" w:rsidR="00000000" w:rsidRPr="00000000">
        <w:rPr>
          <w:rFonts w:ascii="Palatino Linotype" w:cs="Palatino Linotype" w:eastAsia="Palatino Linotype" w:hAnsi="Palatino Linotype"/>
          <w:b w:val="1"/>
          <w:i w:val="1"/>
          <w:sz w:val="22"/>
          <w:szCs w:val="22"/>
          <w:u w:val="single"/>
          <w:rtl w:val="0"/>
        </w:rPr>
        <w:t xml:space="preserve">el Comité de Transparencia aprobó el cambio de modalidad de entrega mediante consulta directa (in situ),</w:t>
      </w:r>
      <w:r w:rsidDel="00000000" w:rsidR="00000000" w:rsidRPr="00000000">
        <w:rPr>
          <w:rFonts w:ascii="Palatino Linotype" w:cs="Palatino Linotype" w:eastAsia="Palatino Linotype" w:hAnsi="Palatino Linotype"/>
          <w:i w:val="1"/>
          <w:sz w:val="22"/>
          <w:szCs w:val="22"/>
          <w:rtl w:val="0"/>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000000" w:rsidDel="00000000" w:rsidP="00000000" w:rsidRDefault="00000000" w:rsidRPr="00000000" w14:paraId="0000001F">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20">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 (Sic) (Énfasis añadido)</w:t>
      </w:r>
    </w:p>
    <w:p w:rsidR="00000000" w:rsidDel="00000000" w:rsidP="00000000" w:rsidRDefault="00000000" w:rsidRPr="00000000" w14:paraId="00000021">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 adjunto: </w:t>
      </w:r>
      <w:r w:rsidDel="00000000" w:rsidR="00000000" w:rsidRPr="00000000">
        <w:rPr>
          <w:rFonts w:ascii="Palatino Linotype" w:cs="Palatino Linotype" w:eastAsia="Palatino Linotype" w:hAnsi="Palatino Linotype"/>
          <w:b w:val="1"/>
          <w:i w:val="1"/>
          <w:sz w:val="22"/>
          <w:szCs w:val="22"/>
          <w:rtl w:val="0"/>
        </w:rPr>
        <w:t xml:space="preserve">“acta primer sesión extraordinaria Comité de transparencia.pdf”: </w:t>
      </w:r>
      <w:r w:rsidDel="00000000" w:rsidR="00000000" w:rsidRPr="00000000">
        <w:rPr>
          <w:rFonts w:ascii="Palatino Linotype" w:cs="Palatino Linotype" w:eastAsia="Palatino Linotype" w:hAnsi="Palatino Linotype"/>
          <w:sz w:val="22"/>
          <w:szCs w:val="22"/>
          <w:rtl w:val="0"/>
        </w:rPr>
        <w:t xml:space="preserve">Documento de cuatro fojas que consiste en el Acta de la Primera Sesión Extraordinaria del Comité de Transparencia, la cual se celebró el veinticinco de febrero de dos mil veintidós y en ella se aprobó el cambio de modalidad de entrega de la información a consulta directa, de los soportes documentales que se otorgarán para dar respuesta a las solicitudes de información.  </w:t>
      </w:r>
    </w:p>
    <w:p w:rsidR="00000000" w:rsidDel="00000000" w:rsidP="00000000" w:rsidRDefault="00000000" w:rsidRPr="00000000" w14:paraId="00000022">
      <w:pPr>
        <w:ind w:right="49"/>
        <w:jc w:val="center"/>
        <w:rPr/>
      </w:pPr>
      <w:r w:rsidDel="00000000" w:rsidR="00000000" w:rsidRPr="00000000">
        <w:rPr>
          <w:rtl w:val="0"/>
        </w:rPr>
      </w:r>
    </w:p>
    <w:p w:rsidR="00000000" w:rsidDel="00000000" w:rsidP="00000000" w:rsidRDefault="00000000" w:rsidRPr="00000000" w14:paraId="00000023">
      <w:pPr>
        <w:ind w:right="49"/>
        <w:jc w:val="center"/>
        <w:rPr/>
      </w:pPr>
      <w:r w:rsidDel="00000000" w:rsidR="00000000" w:rsidRPr="00000000">
        <w:rPr/>
        <w:pict>
          <v:shape id="_x0000_i1026" style="width:384pt;height:534.75pt" o:ole="" type="#_x0000_t75">
            <v:imagedata r:id="rId3" o:title=""/>
          </v:shape>
          <o:OLEObject DrawAspect="Content" r:id="rId4" ObjectID="_1715681558" ProgID="PBrush" ShapeID="_x0000_i1026" Type="Embed"/>
        </w:pict>
      </w:r>
      <w:r w:rsidDel="00000000" w:rsidR="00000000" w:rsidRPr="00000000">
        <w:rPr>
          <w:rtl w:val="0"/>
        </w:rPr>
      </w:r>
    </w:p>
    <w:p w:rsidR="00000000" w:rsidDel="00000000" w:rsidP="00000000" w:rsidRDefault="00000000" w:rsidRPr="00000000" w14:paraId="00000024">
      <w:pPr>
        <w:ind w:right="49"/>
        <w:jc w:val="center"/>
        <w:rPr>
          <w:rFonts w:ascii="Palatino Linotype" w:cs="Palatino Linotype" w:eastAsia="Palatino Linotype" w:hAnsi="Palatino Linotype"/>
          <w:i w:val="1"/>
          <w:sz w:val="22"/>
          <w:szCs w:val="22"/>
        </w:rPr>
      </w:pPr>
      <w:r w:rsidDel="00000000" w:rsidR="00000000" w:rsidRPr="00000000">
        <w:rPr/>
        <w:pict>
          <v:shape id="_x0000_i1027" style="width:366.75pt;height:549pt" o:ole="" type="#_x0000_t75">
            <v:imagedata r:id="rId5" o:title=""/>
          </v:shape>
          <o:OLEObject DrawAspect="Content" r:id="rId6" ObjectID="_1715681559" ProgID="PBrush" ShapeID="_x0000_i1027" Type="Embed"/>
        </w:pict>
      </w:r>
      <w:r w:rsidDel="00000000" w:rsidR="00000000" w:rsidRPr="00000000">
        <w:rPr>
          <w:rtl w:val="0"/>
        </w:rPr>
        <w:t xml:space="preserve"> </w:t>
      </w:r>
      <w:r w:rsidDel="00000000" w:rsidR="00000000" w:rsidRPr="00000000">
        <w:rPr/>
        <w:pict>
          <v:shape id="_x0000_i1028" style="width:394.5pt;height:567.75pt" o:ole="" type="#_x0000_t75">
            <v:imagedata r:id="rId7" o:title=""/>
          </v:shape>
          <o:OLEObject DrawAspect="Content" r:id="rId8" ObjectID="_1715681560" ProgID="PBrush" ShapeID="_x0000_i1028" Type="Embed"/>
        </w:pict>
      </w:r>
      <w:r w:rsidDel="00000000" w:rsidR="00000000" w:rsidRPr="00000000">
        <w:rPr>
          <w:rtl w:val="0"/>
        </w:rPr>
      </w:r>
    </w:p>
    <w:p w:rsidR="00000000" w:rsidDel="00000000" w:rsidP="00000000" w:rsidRDefault="00000000" w:rsidRPr="00000000" w14:paraId="00000025">
      <w:pPr>
        <w:spacing w:after="240" w:before="240" w:line="360" w:lineRule="auto"/>
        <w:ind w:right="49"/>
        <w:jc w:val="both"/>
        <w:rPr>
          <w:rFonts w:ascii="Palatino Linotype" w:cs="Palatino Linotype" w:eastAsia="Palatino Linotype" w:hAnsi="Palatino Linotype"/>
          <w:i w:val="1"/>
          <w:sz w:val="2"/>
          <w:szCs w:val="2"/>
        </w:rPr>
      </w:pPr>
      <w:r w:rsidDel="00000000" w:rsidR="00000000" w:rsidRPr="00000000">
        <w:rPr>
          <w:rFonts w:ascii="Palatino Linotype" w:cs="Palatino Linotype" w:eastAsia="Palatino Linotype" w:hAnsi="Palatino Linotype"/>
          <w:b w:val="1"/>
          <w:rtl w:val="0"/>
        </w:rPr>
        <w:t xml:space="preserve">5. Interposición de los recursos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dos de marzo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veintidós, la parte Recurrente </w:t>
      </w:r>
      <w:r w:rsidDel="00000000" w:rsidR="00000000" w:rsidRPr="00000000">
        <w:rPr>
          <w:rFonts w:ascii="Palatino Linotype" w:cs="Palatino Linotype" w:eastAsia="Palatino Linotype" w:hAnsi="Palatino Linotype"/>
          <w:rtl w:val="0"/>
        </w:rPr>
        <w:t xml:space="preserve">inconforme con las respuestas, interpuso los recursos de revisión que nos ocupan, expresando en la totalidad de los expedientes, las siguientes manifestaciones:</w:t>
      </w:r>
      <w:r w:rsidDel="00000000" w:rsidR="00000000" w:rsidRPr="00000000">
        <w:rPr>
          <w:rtl w:val="0"/>
        </w:rPr>
      </w:r>
    </w:p>
    <w:p w:rsidR="00000000" w:rsidDel="00000000" w:rsidP="00000000" w:rsidRDefault="00000000" w:rsidRPr="00000000" w14:paraId="00000026">
      <w:pPr>
        <w:spacing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27">
      <w:pPr>
        <w:spacing w:after="240"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respuesta proporcionada por el Sujeto Obligado.” (Sic)</w:t>
      </w:r>
    </w:p>
    <w:p w:rsidR="00000000" w:rsidDel="00000000" w:rsidP="00000000" w:rsidRDefault="00000000" w:rsidRPr="00000000" w14:paraId="00000028">
      <w:pPr>
        <w:spacing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29">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 “La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w:t>
      </w:r>
      <w:r w:rsidDel="00000000" w:rsidR="00000000" w:rsidRPr="00000000">
        <w:rPr>
          <w:rFonts w:ascii="Palatino Linotype" w:cs="Palatino Linotype" w:eastAsia="Palatino Linotype" w:hAnsi="Palatino Linotype"/>
          <w:b w:val="1"/>
          <w:i w:val="1"/>
          <w:sz w:val="22"/>
          <w:szCs w:val="22"/>
          <w:rtl w:val="0"/>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w:t>
      </w:r>
      <w:r w:rsidDel="00000000" w:rsidR="00000000" w:rsidRPr="00000000">
        <w:rPr>
          <w:rFonts w:ascii="Palatino Linotype" w:cs="Palatino Linotype" w:eastAsia="Palatino Linotype" w:hAnsi="Palatino Linotype"/>
          <w:i w:val="1"/>
          <w:sz w:val="22"/>
          <w:szCs w:val="22"/>
          <w:rtl w:val="0"/>
        </w:rPr>
        <w:t xml:space="preserve"> a lo anteriormente expuesto, aunado a lo previsto por el artículo 222 fracciones I, III, XV y XXI del mismo ordenamiento jurídico..” (Sic)</w:t>
      </w: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turnados de la siguiente manera a efecto de presentar al Pleno los proyectos de resolución correspondientes: </w:t>
      </w:r>
    </w:p>
    <w:tbl>
      <w:tblPr>
        <w:tblStyle w:val="Table2"/>
        <w:tblW w:w="89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bfbfbf" w:val="clear"/>
          </w:tcPr>
          <w:p w:rsidR="00000000" w:rsidDel="00000000" w:rsidP="00000000" w:rsidRDefault="00000000" w:rsidRPr="00000000" w14:paraId="0000002E">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bfbfbf" w:val="clear"/>
          </w:tcPr>
          <w:p w:rsidR="00000000" w:rsidDel="00000000" w:rsidP="00000000" w:rsidRDefault="00000000" w:rsidRPr="00000000" w14:paraId="0000002F">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Comisionada/o</w:t>
            </w:r>
          </w:p>
        </w:tc>
      </w:tr>
      <w:tr>
        <w:trPr>
          <w:cantSplit w:val="0"/>
          <w:tblHeader w:val="0"/>
        </w:trPr>
        <w:tc>
          <w:tcPr/>
          <w:p w:rsidR="00000000" w:rsidDel="00000000" w:rsidP="00000000" w:rsidRDefault="00000000" w:rsidRPr="00000000" w14:paraId="00000030">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02829/INFOEM/IP/RR/2022 </w:t>
            </w:r>
            <w:r w:rsidDel="00000000" w:rsidR="00000000" w:rsidRPr="00000000">
              <w:rPr>
                <w:rtl w:val="0"/>
              </w:rPr>
            </w:r>
          </w:p>
        </w:tc>
        <w:tc>
          <w:tcPr/>
          <w:p w:rsidR="00000000" w:rsidDel="00000000" w:rsidP="00000000" w:rsidRDefault="00000000" w:rsidRPr="00000000" w14:paraId="00000031">
            <w:pPr>
              <w:spacing w:after="240" w:befor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Comisionada Guadalupe Ramírez Peña</w:t>
            </w:r>
          </w:p>
        </w:tc>
      </w:tr>
      <w:tr>
        <w:trPr>
          <w:cantSplit w:val="0"/>
          <w:tblHeader w:val="0"/>
        </w:trPr>
        <w:tc>
          <w:tcPr/>
          <w:p w:rsidR="00000000" w:rsidDel="00000000" w:rsidP="00000000" w:rsidRDefault="00000000" w:rsidRPr="00000000" w14:paraId="00000032">
            <w:pPr>
              <w:spacing w:after="240" w:before="24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02906/INFOEM/IP/RR/2022</w:t>
            </w:r>
          </w:p>
        </w:tc>
        <w:tc>
          <w:tcPr/>
          <w:p w:rsidR="00000000" w:rsidDel="00000000" w:rsidP="00000000" w:rsidRDefault="00000000" w:rsidRPr="00000000" w14:paraId="00000033">
            <w:pPr>
              <w:spacing w:after="240" w:before="240" w:lineRule="auto"/>
              <w:jc w:val="center"/>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Comisionado Luis Gustavo Parra Noriega</w:t>
            </w:r>
            <w:r w:rsidDel="00000000" w:rsidR="00000000" w:rsidRPr="00000000">
              <w:rPr>
                <w:rtl w:val="0"/>
              </w:rPr>
            </w:r>
          </w:p>
        </w:tc>
      </w:tr>
      <w:tr>
        <w:trPr>
          <w:cantSplit w:val="0"/>
          <w:tblHeader w:val="0"/>
        </w:trPr>
        <w:tc>
          <w:tcPr/>
          <w:p w:rsidR="00000000" w:rsidDel="00000000" w:rsidP="00000000" w:rsidRDefault="00000000" w:rsidRPr="00000000" w14:paraId="00000034">
            <w:pPr>
              <w:spacing w:after="240" w:before="24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03047/INFOEM/IP/RR/2022</w:t>
            </w:r>
          </w:p>
        </w:tc>
        <w:tc>
          <w:tcPr/>
          <w:p w:rsidR="00000000" w:rsidDel="00000000" w:rsidP="00000000" w:rsidRDefault="00000000" w:rsidRPr="00000000" w14:paraId="00000035">
            <w:pPr>
              <w:spacing w:after="240" w:before="240" w:lineRule="auto"/>
              <w:jc w:val="center"/>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Comisionada Sharon Cristina Morales Martínez</w:t>
            </w:r>
            <w:r w:rsidDel="00000000" w:rsidR="00000000" w:rsidRPr="00000000">
              <w:rPr>
                <w:rtl w:val="0"/>
              </w:rPr>
            </w:r>
          </w:p>
        </w:tc>
      </w:tr>
    </w:tbl>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Admisión. </w:t>
      </w:r>
      <w:r w:rsidDel="00000000" w:rsidR="00000000" w:rsidRPr="00000000">
        <w:rPr>
          <w:rFonts w:ascii="Palatino Linotype" w:cs="Palatino Linotype" w:eastAsia="Palatino Linotype" w:hAnsi="Palatino Linotype"/>
          <w:rtl w:val="0"/>
        </w:rPr>
        <w:t xml:space="preserve">En fechas, </w:t>
      </w:r>
      <w:r w:rsidDel="00000000" w:rsidR="00000000" w:rsidRPr="00000000">
        <w:rPr>
          <w:rFonts w:ascii="Palatino Linotype" w:cs="Palatino Linotype" w:eastAsia="Palatino Linotype" w:hAnsi="Palatino Linotype"/>
          <w:b w:val="1"/>
          <w:rtl w:val="0"/>
        </w:rPr>
        <w:t xml:space="preserve">cuatro y ocho de marzo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Acumulación. </w:t>
      </w:r>
      <w:r w:rsidDel="00000000" w:rsidR="00000000" w:rsidRPr="00000000">
        <w:rPr>
          <w:rFonts w:ascii="Palatino Linotype" w:cs="Palatino Linotype" w:eastAsia="Palatino Linotype" w:hAnsi="Palatino Linotype"/>
          <w:rtl w:val="0"/>
        </w:rPr>
        <w:t xml:space="preserve">En la </w:t>
      </w:r>
      <w:r w:rsidDel="00000000" w:rsidR="00000000" w:rsidRPr="00000000">
        <w:rPr>
          <w:rFonts w:ascii="Palatino Linotype" w:cs="Palatino Linotype" w:eastAsia="Palatino Linotype" w:hAnsi="Palatino Linotype"/>
          <w:b w:val="1"/>
          <w:rtl w:val="0"/>
        </w:rPr>
        <w:t xml:space="preserve">Décima Sesión Ordinaria</w:t>
      </w:r>
      <w:r w:rsidDel="00000000" w:rsidR="00000000" w:rsidRPr="00000000">
        <w:rPr>
          <w:rFonts w:ascii="Palatino Linotype" w:cs="Palatino Linotype" w:eastAsia="Palatino Linotype" w:hAnsi="Palatino Linotype"/>
          <w:rtl w:val="0"/>
        </w:rPr>
        <w:t xml:space="preserve"> celebrada el </w:t>
      </w:r>
      <w:r w:rsidDel="00000000" w:rsidR="00000000" w:rsidRPr="00000000">
        <w:rPr>
          <w:rFonts w:ascii="Palatino Linotype" w:cs="Palatino Linotype" w:eastAsia="Palatino Linotype" w:hAnsi="Palatino Linotype"/>
          <w:b w:val="1"/>
          <w:rtl w:val="0"/>
        </w:rPr>
        <w:t xml:space="preserve">dieciséis de marzo de dos mil veintidós</w:t>
      </w:r>
      <w:r w:rsidDel="00000000" w:rsidR="00000000" w:rsidRPr="00000000">
        <w:rPr>
          <w:rFonts w:ascii="Palatino Linotype" w:cs="Palatino Linotype" w:eastAsia="Palatino Linotype" w:hAnsi="Palatino Linotype"/>
          <w:rtl w:val="0"/>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Manifestaciones. </w:t>
      </w:r>
      <w:r w:rsidDel="00000000" w:rsidR="00000000" w:rsidRPr="00000000">
        <w:rPr>
          <w:rFonts w:ascii="Palatino Linotype" w:cs="Palatino Linotype" w:eastAsia="Palatino Linotype" w:hAnsi="Palatino Linotype"/>
          <w:rtl w:val="0"/>
        </w:rPr>
        <w:t xml:space="preserve">De las constancias que obran en los expedientes electrónicos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informes justificados, asimismo resulta pertinente apuntar que por su parte,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 Recurrente </w:t>
      </w:r>
      <w:r w:rsidDel="00000000" w:rsidR="00000000" w:rsidRPr="00000000">
        <w:rPr>
          <w:rFonts w:ascii="Palatino Linotype" w:cs="Palatino Linotype" w:eastAsia="Palatino Linotype" w:hAnsi="Palatino Linotype"/>
          <w:rtl w:val="0"/>
        </w:rPr>
        <w:t xml:space="preserve">omitió realizar manifestaciones, formular alegatos y ofrecer algún medio de prueba. </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701222" cy="1717236"/>
            <wp:effectExtent b="0" l="0" r="0" t="0"/>
            <wp:docPr id="36" name="image7.png"/>
            <a:graphic>
              <a:graphicData uri="http://schemas.openxmlformats.org/drawingml/2006/picture">
                <pic:pic>
                  <pic:nvPicPr>
                    <pic:cNvPr id="0" name="image7.png"/>
                    <pic:cNvPicPr preferRelativeResize="0"/>
                  </pic:nvPicPr>
                  <pic:blipFill>
                    <a:blip r:embed="rId14"/>
                    <a:srcRect b="53530" l="5262" r="52478" t="23839"/>
                    <a:stretch>
                      <a:fillRect/>
                    </a:stretch>
                  </pic:blipFill>
                  <pic:spPr>
                    <a:xfrm>
                      <a:off x="0" y="0"/>
                      <a:ext cx="5701222" cy="171723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606334" cy="1691167"/>
            <wp:effectExtent b="0" l="0" r="0" t="0"/>
            <wp:docPr id="38" name="image5.png"/>
            <a:graphic>
              <a:graphicData uri="http://schemas.openxmlformats.org/drawingml/2006/picture">
                <pic:pic>
                  <pic:nvPicPr>
                    <pic:cNvPr id="0" name="image5.png"/>
                    <pic:cNvPicPr preferRelativeResize="0"/>
                  </pic:nvPicPr>
                  <pic:blipFill>
                    <a:blip r:embed="rId15"/>
                    <a:srcRect b="52625" l="5769" r="53157" t="25347"/>
                    <a:stretch>
                      <a:fillRect/>
                    </a:stretch>
                  </pic:blipFill>
                  <pic:spPr>
                    <a:xfrm>
                      <a:off x="0" y="0"/>
                      <a:ext cx="5606334" cy="169116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587477" cy="1536556"/>
            <wp:effectExtent b="0" l="0" r="0" t="0"/>
            <wp:docPr id="37" name="image4.png"/>
            <a:graphic>
              <a:graphicData uri="http://schemas.openxmlformats.org/drawingml/2006/picture">
                <pic:pic>
                  <pic:nvPicPr>
                    <pic:cNvPr id="0" name="image4.png"/>
                    <pic:cNvPicPr preferRelativeResize="0"/>
                  </pic:nvPicPr>
                  <pic:blipFill>
                    <a:blip r:embed="rId16"/>
                    <a:srcRect b="54737" l="5771" r="53496" t="25347"/>
                    <a:stretch>
                      <a:fillRect/>
                    </a:stretch>
                  </pic:blipFill>
                  <pic:spPr>
                    <a:xfrm>
                      <a:off x="0" y="0"/>
                      <a:ext cx="5587477" cy="153655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Ampliación del plazo para emitir resolución.</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dieciséis de mayo de dos mil veintidós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primero de junio</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la Comisionada Ponente notificó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3F">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las solicitudes de información el día </w:t>
      </w:r>
      <w:r w:rsidDel="00000000" w:rsidR="00000000" w:rsidRPr="00000000">
        <w:rPr>
          <w:rFonts w:ascii="Palatino Linotype" w:cs="Palatino Linotype" w:eastAsia="Palatino Linotype" w:hAnsi="Palatino Linotype"/>
          <w:b w:val="1"/>
          <w:rtl w:val="0"/>
        </w:rPr>
        <w:t xml:space="preserve">uno de marzo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por su parte  los recursos de revisión se interpusieron el día </w:t>
      </w:r>
      <w:r w:rsidDel="00000000" w:rsidR="00000000" w:rsidRPr="00000000">
        <w:rPr>
          <w:rFonts w:ascii="Palatino Linotype" w:cs="Palatino Linotype" w:eastAsia="Palatino Linotype" w:hAnsi="Palatino Linotype"/>
          <w:b w:val="1"/>
          <w:rtl w:val="0"/>
        </w:rPr>
        <w:t xml:space="preserve">tres de marzo de dos mil veintidós</w:t>
      </w:r>
      <w:r w:rsidDel="00000000" w:rsidR="00000000" w:rsidRPr="00000000">
        <w:rPr>
          <w:rFonts w:ascii="Palatino Linotype" w:cs="Palatino Linotype" w:eastAsia="Palatino Linotype" w:hAnsi="Palatino Linotype"/>
          <w:rtl w:val="0"/>
        </w:rPr>
        <w:t xml:space="preserve">, estos son </w:t>
      </w:r>
      <w:r w:rsidDel="00000000" w:rsidR="00000000" w:rsidRPr="00000000">
        <w:rPr>
          <w:rFonts w:ascii="Palatino Linotype" w:cs="Palatino Linotype" w:eastAsia="Palatino Linotype" w:hAnsi="Palatino Linotype"/>
          <w:b w:val="1"/>
          <w:rtl w:val="0"/>
        </w:rPr>
        <w:t xml:space="preserve">al siguiente día hábil después de conocerse la respuesta</w:t>
      </w:r>
      <w:r w:rsidDel="00000000" w:rsidR="00000000" w:rsidRPr="00000000">
        <w:rPr>
          <w:rFonts w:ascii="Palatino Linotype" w:cs="Palatino Linotype" w:eastAsia="Palatino Linotype" w:hAnsi="Palatino Linotype"/>
          <w:rtl w:val="0"/>
        </w:rPr>
        <w:t xml:space="preserve"> por lo que se encuentra dentro de los márgenes temporales establecidos por la Ley en la materia.</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por cuanto hace a la procedibilidad de los recursos de revisión, es de suma importancia señalar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el recurrente en sus motivos de inconformidad, de acuerdo al artículo 179, fracción VIII del ordenamiento legal citado, que a la letra dice: </w:t>
      </w:r>
    </w:p>
    <w:p w:rsidR="00000000" w:rsidDel="00000000" w:rsidP="00000000" w:rsidRDefault="00000000" w:rsidRPr="00000000" w14:paraId="00000047">
      <w:pPr>
        <w:tabs>
          <w:tab w:val="left"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8">
      <w:pPr>
        <w:tabs>
          <w:tab w:val="left"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tabs>
          <w:tab w:val="left" w:pos="7088"/>
        </w:tabs>
        <w:spacing w:after="120" w:before="120"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La notificación, entrega o puesta a disposición de información en una modalidad o formato distinto al solicitado;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A">
      <w:pPr>
        <w:tabs>
          <w:tab w:val="left"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4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las respuestas otorgadas por el Sujeto Obligado son adecuadas y suficientes para satisfacer el derecho de acceso a la información pública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D">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E">
      <w:pPr>
        <w:tabs>
          <w:tab w:val="left"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F">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0">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7">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5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5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62">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3">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dichos dispositivos legales.</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5">
      <w:pPr>
        <w:spacing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6">
      <w:pPr>
        <w:spacing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7">
      <w:pPr>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6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C">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los cuales señalan lo siguiente:</w:t>
      </w:r>
    </w:p>
    <w:p w:rsidR="00000000" w:rsidDel="00000000" w:rsidP="00000000" w:rsidRDefault="00000000" w:rsidRPr="00000000" w14:paraId="00000070">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1">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72">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 ACIÓN.</w:t>
      </w:r>
    </w:p>
    <w:p w:rsidR="00000000" w:rsidDel="00000000" w:rsidP="00000000" w:rsidRDefault="00000000" w:rsidRPr="00000000" w14:paraId="00000073">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7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78">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9">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B">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7C">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D">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7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8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w:t>
      </w:r>
      <w:r w:rsidDel="00000000" w:rsidR="00000000" w:rsidRPr="00000000">
        <w:rPr>
          <w:rFonts w:ascii="Palatino Linotype" w:cs="Palatino Linotype" w:eastAsia="Palatino Linotype" w:hAnsi="Palatino Linotype"/>
          <w:b w:val="1"/>
          <w:rtl w:val="0"/>
        </w:rPr>
        <w:t xml:space="preserve">electrónico</w:t>
      </w:r>
      <w:r w:rsidDel="00000000" w:rsidR="00000000" w:rsidRPr="00000000">
        <w:rPr>
          <w:rFonts w:ascii="Palatino Linotype" w:cs="Palatino Linotype" w:eastAsia="Palatino Linotype" w:hAnsi="Palatino Linotype"/>
          <w:rtl w:val="0"/>
        </w:rPr>
        <w:t xml:space="preserve">, informático u holográfico, esto es, </w:t>
      </w:r>
      <w:r w:rsidDel="00000000" w:rsidR="00000000" w:rsidRPr="00000000">
        <w:rPr>
          <w:rFonts w:ascii="Palatino Linotype" w:cs="Palatino Linotype" w:eastAsia="Palatino Linotype" w:hAnsi="Palatino Linotype"/>
          <w:b w:val="1"/>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100 de la Ley de la Materia.</w:t>
      </w:r>
    </w:p>
    <w:p w:rsidR="00000000" w:rsidDel="00000000" w:rsidP="00000000" w:rsidRDefault="00000000" w:rsidRPr="00000000" w14:paraId="00000083">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cabe reiterar que el particular solicitó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lo siguiente: </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pos="709"/>
        </w:tabs>
        <w:spacing w:line="360" w:lineRule="auto"/>
        <w:ind w:left="144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color w:val="000000"/>
          <w:rtl w:val="0"/>
        </w:rPr>
        <w:t xml:space="preserve">Se solicita el documento que de cuenta de altas y bajas en nómina de servidores públicos el 9 de febrero de 2022.” (Sic)</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pos="709"/>
        </w:tabs>
        <w:spacing w:line="360" w:lineRule="auto"/>
        <w:ind w:left="720"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pos="709"/>
        </w:tabs>
        <w:spacing w:line="360" w:lineRule="auto"/>
        <w:ind w:left="144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“Se solicita el documento que de cuenta de altas y bajas de servidores públicos el 8 de febrero de 2022.” (Sic)</w:t>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pos="709"/>
        </w:tabs>
        <w:spacing w:line="360" w:lineRule="auto"/>
        <w:ind w:left="720"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pos="709"/>
        </w:tabs>
        <w:spacing w:line="360" w:lineRule="auto"/>
        <w:ind w:left="144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“Solicito una copia digitalizada de las altas y bajas generadas en nómina durante la segunda quincena de enero 2022” (Sic)</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pos="709"/>
        </w:tabs>
        <w:spacing w:line="360" w:lineRule="auto"/>
        <w:ind w:left="720"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pos="709"/>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notificó el documento electrónico denominado </w:t>
      </w:r>
      <w:r w:rsidDel="00000000" w:rsidR="00000000" w:rsidRPr="00000000">
        <w:rPr>
          <w:rFonts w:ascii="Palatino Linotype" w:cs="Palatino Linotype" w:eastAsia="Palatino Linotype" w:hAnsi="Palatino Linotype"/>
          <w:b w:val="1"/>
          <w:i w:val="1"/>
          <w:rtl w:val="0"/>
        </w:rPr>
        <w:t xml:space="preserve">“acta primer sesión extraordinaria Comité de transparencia.pdf”</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cual consiste en el Acta de la Primera Sesión Extraordinaria del Comité de Transparencia, la cual se celebró el veinticinco de febrero de dos mil veintidós y </w:t>
      </w:r>
      <w:r w:rsidDel="00000000" w:rsidR="00000000" w:rsidRPr="00000000">
        <w:rPr>
          <w:rFonts w:ascii="Palatino Linotype" w:cs="Palatino Linotype" w:eastAsia="Palatino Linotype" w:hAnsi="Palatino Linotype"/>
          <w:b w:val="1"/>
          <w:rtl w:val="0"/>
        </w:rPr>
        <w:t xml:space="preserve">en ella </w:t>
      </w:r>
      <w:r w:rsidDel="00000000" w:rsidR="00000000" w:rsidRPr="00000000">
        <w:rPr>
          <w:rFonts w:ascii="Palatino Linotype" w:cs="Palatino Linotype" w:eastAsia="Palatino Linotype" w:hAnsi="Palatino Linotype"/>
          <w:b w:val="1"/>
          <w:u w:val="single"/>
          <w:rtl w:val="0"/>
        </w:rPr>
        <w:t xml:space="preserve">se aprobó el cambio de modalidad de entrega de la información a consulta directa, de los soportes documentales que se otorgarán para dar respuesta a las solicitudes de información, </w:t>
      </w:r>
      <w:r w:rsidDel="00000000" w:rsidR="00000000" w:rsidRPr="00000000">
        <w:rPr>
          <w:rFonts w:ascii="Palatino Linotype" w:cs="Palatino Linotype" w:eastAsia="Palatino Linotype" w:hAnsi="Palatino Linotype"/>
          <w:rtl w:val="0"/>
        </w:rPr>
        <w:t xml:space="preserve">ello en virtud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709"/>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estima importante referir,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al momento de presentar las solicitudes de información que dieron origen a los recursos de revisión que nos ocupan, eligió como modalidad de entrega </w:t>
      </w:r>
      <w:r w:rsidDel="00000000" w:rsidR="00000000" w:rsidRPr="00000000">
        <w:rPr>
          <w:rFonts w:ascii="Palatino Linotype" w:cs="Palatino Linotype" w:eastAsia="Palatino Linotype" w:hAnsi="Palatino Linotype"/>
          <w:b w:val="1"/>
          <w:rtl w:val="0"/>
        </w:rPr>
        <w:t xml:space="preserve">vía 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debe tener en cuenta que el artículo 155, fracción V, de la Ley de Transparencia y Acceso a la Información Pública del Estado de México y Municipios, se precisa que para presentar una solicitud, el particular podrá señalar la modalidad en la que prefiere que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158, dispone que de manera excepcional, </w:t>
      </w:r>
      <w:r w:rsidDel="00000000" w:rsidR="00000000" w:rsidRPr="00000000">
        <w:rPr>
          <w:rFonts w:ascii="Palatino Linotype" w:cs="Palatino Linotype" w:eastAsia="Palatino Linotype" w:hAnsi="Palatino Linotype"/>
          <w:b w:val="1"/>
          <w:rtl w:val="0"/>
        </w:rPr>
        <w:t xml:space="preserve">cuando de manera fundada y motivada lo determine el Sujeto Obligado</w:t>
      </w:r>
      <w:r w:rsidDel="00000000" w:rsidR="00000000" w:rsidRPr="00000000">
        <w:rPr>
          <w:rFonts w:ascii="Palatino Linotype" w:cs="Palatino Linotype" w:eastAsia="Palatino Linotype" w:hAnsi="Palatino Linotype"/>
          <w:rtl w:val="0"/>
        </w:rPr>
        <w:t xml:space="preserve">, en los casos en que la entrega de la información que se encuentre a su disposición, </w:t>
      </w:r>
      <w:r w:rsidDel="00000000" w:rsidR="00000000" w:rsidRPr="00000000">
        <w:rPr>
          <w:rFonts w:ascii="Palatino Linotype" w:cs="Palatino Linotype" w:eastAsia="Palatino Linotype" w:hAnsi="Palatino Linotype"/>
          <w:b w:val="1"/>
          <w:rtl w:val="0"/>
        </w:rPr>
        <w:t xml:space="preserve">sobrepase las capacidades técnicas del Sujeto Obligado </w:t>
      </w:r>
      <w:r w:rsidDel="00000000" w:rsidR="00000000" w:rsidRPr="00000000">
        <w:rPr>
          <w:rFonts w:ascii="Palatino Linotype" w:cs="Palatino Linotype" w:eastAsia="Palatino Linotype" w:hAnsi="Palatino Linotype"/>
          <w:rtl w:val="0"/>
        </w:rPr>
        <w:t xml:space="preserve">para cumplir con la solicitud, se podrá poner a disposición del solicitante la información en consulta directa.</w:t>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importante mencionar que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otras modalidades.</w:t>
      </w:r>
    </w:p>
    <w:p w:rsidR="00000000" w:rsidDel="00000000" w:rsidP="00000000" w:rsidRDefault="00000000" w:rsidRPr="00000000" w14:paraId="000000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9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Del="00000000" w:rsidR="00000000" w:rsidRPr="00000000">
        <w:rPr>
          <w:rFonts w:ascii="Palatino Linotype" w:cs="Palatino Linotype" w:eastAsia="Palatino Linotype" w:hAnsi="Palatino Linotype"/>
          <w:b w:val="1"/>
          <w:rtl w:val="0"/>
        </w:rPr>
        <w:t xml:space="preserve">información en todas las modalidades que lo permitan, procurando reducir los costos de entrega.</w:t>
      </w:r>
    </w:p>
    <w:p w:rsidR="00000000" w:rsidDel="00000000" w:rsidP="00000000" w:rsidRDefault="00000000" w:rsidRPr="00000000" w14:paraId="0000009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Así las cosas, debe resaltarse que en el presente asunto, </w:t>
      </w:r>
      <w:r w:rsidDel="00000000" w:rsidR="00000000" w:rsidRPr="00000000">
        <w:rPr>
          <w:rFonts w:ascii="Palatino Linotype" w:cs="Palatino Linotype" w:eastAsia="Palatino Linotype" w:hAnsi="Palatino Linotype"/>
          <w:color w:val="000000"/>
          <w:rtl w:val="0"/>
        </w:rPr>
        <w:t xml:space="preserve">se aludieron imposibilidades materiales y humanas, sin aportar mayores elementos que permitan a este organismo determinar que efectivamente, existen impedimentos de carácter humano, administrativo o material para entregar la información requerida.</w:t>
      </w: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9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numPr>
          <w:ilvl w:val="0"/>
          <w:numId w:val="3"/>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0A1">
      <w:pPr>
        <w:spacing w:line="360" w:lineRule="auto"/>
        <w:ind w:left="567" w:right="900" w:hanging="28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numPr>
          <w:ilvl w:val="0"/>
          <w:numId w:val="3"/>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0A3">
      <w:pPr>
        <w:spacing w:line="360" w:lineRule="auto"/>
        <w:ind w:left="567" w:right="900" w:hanging="283"/>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numPr>
          <w:ilvl w:val="0"/>
          <w:numId w:val="3"/>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cantidad de recursos humanos y materiales con los que cuenta el Sujeto Obligado son insuficientes.</w:t>
      </w:r>
    </w:p>
    <w:p w:rsidR="00000000" w:rsidDel="00000000" w:rsidP="00000000" w:rsidRDefault="00000000" w:rsidRPr="00000000" w14:paraId="000000A5">
      <w:pPr>
        <w:spacing w:line="360" w:lineRule="auto"/>
        <w:ind w:right="-28"/>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contexto, este Instituto reitera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no señaló de manera puntual</w:t>
      </w:r>
      <w:r w:rsidDel="00000000" w:rsidR="00000000" w:rsidRPr="00000000">
        <w:rPr>
          <w:rtl w:val="0"/>
        </w:rPr>
        <w:t xml:space="preserve"> las </w:t>
      </w:r>
      <w:r w:rsidDel="00000000" w:rsidR="00000000" w:rsidRPr="00000000">
        <w:rPr>
          <w:rFonts w:ascii="Palatino Linotype" w:cs="Palatino Linotype" w:eastAsia="Palatino Linotype" w:hAnsi="Palatino Linotype"/>
          <w:color w:val="000000"/>
          <w:rtl w:val="0"/>
        </w:rPr>
        <w:t xml:space="preserve">imposibilidades técnicas, administrativas y humanas, esto en observancia a las siguientes circunstancias:</w:t>
      </w:r>
    </w:p>
    <w:p w:rsidR="00000000" w:rsidDel="00000000" w:rsidP="00000000" w:rsidRDefault="00000000" w:rsidRPr="00000000" w14:paraId="000000A7">
      <w:pPr>
        <w:spacing w:line="360" w:lineRule="auto"/>
        <w:ind w:right="90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8">
      <w:pPr>
        <w:numPr>
          <w:ilvl w:val="0"/>
          <w:numId w:val="4"/>
        </w:numPr>
        <w:spacing w:line="360" w:lineRule="auto"/>
        <w:ind w:left="78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formato, en que se encontraba la información, es decir, de manera digital o física, y</w:t>
      </w:r>
    </w:p>
    <w:p w:rsidR="00000000" w:rsidDel="00000000" w:rsidP="00000000" w:rsidRDefault="00000000" w:rsidRPr="00000000" w14:paraId="000000A9">
      <w:pPr>
        <w:spacing w:line="360" w:lineRule="auto"/>
        <w:ind w:left="780"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A">
      <w:pPr>
        <w:numPr>
          <w:ilvl w:val="0"/>
          <w:numId w:val="4"/>
        </w:numPr>
        <w:spacing w:line="360" w:lineRule="auto"/>
        <w:ind w:left="78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número de hojas o peso aproximado de la información, solicitad</w:t>
      </w:r>
      <w:r w:rsidDel="00000000" w:rsidR="00000000" w:rsidRPr="00000000">
        <w:rPr>
          <w:rFonts w:ascii="Palatino Linotype" w:cs="Palatino Linotype" w:eastAsia="Palatino Linotype" w:hAnsi="Palatino Linotype"/>
          <w:rtl w:val="0"/>
        </w:rPr>
        <w:t xml:space="preserve">a</w:t>
      </w:r>
      <w:r w:rsidDel="00000000" w:rsidR="00000000" w:rsidRPr="00000000">
        <w:rPr>
          <w:rFonts w:ascii="Palatino Linotype" w:cs="Palatino Linotype" w:eastAsia="Palatino Linotype" w:hAnsi="Palatino Linotype"/>
          <w:color w:val="000000"/>
          <w:rtl w:val="0"/>
        </w:rPr>
        <w:t xml:space="preserve">, del cual se pudiera conocer cuántos documentos había generado y recibido las áreas, o bien, cuando menos un aproximado, y</w:t>
      </w:r>
    </w:p>
    <w:p w:rsidR="00000000" w:rsidDel="00000000" w:rsidP="00000000" w:rsidRDefault="00000000" w:rsidRPr="00000000" w14:paraId="000000AB">
      <w:pPr>
        <w:spacing w:line="360" w:lineRule="auto"/>
        <w:ind w:left="708"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b w:val="1"/>
          <w:highlight w:val="yellow"/>
          <w:u w:val="single"/>
        </w:rPr>
      </w:pPr>
      <w:r w:rsidDel="00000000" w:rsidR="00000000" w:rsidRPr="00000000">
        <w:rPr>
          <w:rFonts w:ascii="Palatino Linotype" w:cs="Palatino Linotype" w:eastAsia="Palatino Linotype" w:hAnsi="Palatino Linotype"/>
          <w:rtl w:val="0"/>
        </w:rPr>
        <w:t xml:space="preserve">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w:t>
      </w:r>
      <w:r w:rsidDel="00000000" w:rsidR="00000000" w:rsidRPr="00000000">
        <w:rPr>
          <w:rFonts w:ascii="Palatino Linotype" w:cs="Palatino Linotype" w:eastAsia="Palatino Linotype" w:hAnsi="Palatino Linotype"/>
          <w:b w:val="1"/>
          <w:rtl w:val="0"/>
        </w:rPr>
        <w:t xml:space="preserve">se basó únicamente en que sobrepasaba las capacidades, sin acreditar su dicho.</w:t>
      </w: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000000" w:rsidDel="00000000" w:rsidP="00000000" w:rsidRDefault="00000000" w:rsidRPr="00000000" w14:paraId="000000A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widowControl w:val="0"/>
        <w:spacing w:line="360" w:lineRule="auto"/>
        <w:jc w:val="both"/>
        <w:rPr>
          <w:rFonts w:ascii="Palatino Linotype" w:cs="Palatino Linotype" w:eastAsia="Palatino Linotype" w:hAnsi="Palatino Linotype"/>
          <w:b w:val="1"/>
          <w:u w:val="single"/>
        </w:rPr>
      </w:pPr>
      <w:bookmarkStart w:colFirst="0" w:colLast="0" w:name="_heading=h.2et92p0" w:id="2"/>
      <w:bookmarkEnd w:id="2"/>
      <w:r w:rsidDel="00000000" w:rsidR="00000000" w:rsidRPr="00000000">
        <w:rPr>
          <w:rFonts w:ascii="Palatino Linotype" w:cs="Palatino Linotype" w:eastAsia="Palatino Linotype" w:hAnsi="Palatino Linotype"/>
          <w:rtl w:val="0"/>
        </w:rPr>
        <w:t xml:space="preserve">Conforme a lo expuesto, este Instituto no tiene certeza que la información solicitada implicará un análisis, procesamiento y estudio, pues </w:t>
      </w:r>
      <w:r w:rsidDel="00000000" w:rsidR="00000000" w:rsidRPr="00000000">
        <w:rPr>
          <w:rFonts w:ascii="Palatino Linotype" w:cs="Palatino Linotype" w:eastAsia="Palatino Linotype" w:hAnsi="Palatino Linotype"/>
          <w:b w:val="1"/>
          <w:u w:val="single"/>
          <w:rtl w:val="0"/>
        </w:rPr>
        <w:t xml:space="preserve">se desconoce si la misma obra en un solo expediente o en varios, o bien, la cantidad de la documentación excede las capacidades de las unidades administrativas en cuestión, para atender la solicitud, dentro del plazo establecido en la normatividad aplicable.</w:t>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b w:val="1"/>
          <w:u w:val="single"/>
        </w:rPr>
      </w:pPr>
      <w:bookmarkStart w:colFirst="0" w:colLast="0" w:name="_heading=h.tyjcwt" w:id="3"/>
      <w:bookmarkEnd w:id="3"/>
      <w:r w:rsidDel="00000000" w:rsidR="00000000" w:rsidRPr="00000000">
        <w:rPr>
          <w:rFonts w:ascii="Palatino Linotype" w:cs="Palatino Linotype" w:eastAsia="Palatino Linotype" w:hAnsi="Palatino Linotype"/>
          <w:rtl w:val="0"/>
        </w:rPr>
        <w:t xml:space="preserve">Por lo anterior, se advierte que </w:t>
      </w:r>
      <w:r w:rsidDel="00000000" w:rsidR="00000000" w:rsidRPr="00000000">
        <w:rPr>
          <w:rFonts w:ascii="Palatino Linotype" w:cs="Palatino Linotype" w:eastAsia="Palatino Linotype" w:hAnsi="Palatino Linotype"/>
          <w:b w:val="1"/>
          <w:u w:val="single"/>
          <w:rtl w:val="0"/>
        </w:rPr>
        <w:t xml:space="preserve">el Sujeto Obligado, no acreditó la imposibilidad humana, técnica y administrativa, establecida en el artículo 158 de la Ley de Transparencia y Acceso a la Información Pública del Estado de México y Municipios, para validar el cambio de modalidad a consulta directa;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las cosas así, cabe invocar el contenido del Capítulo X de Lineamientos Generales en Materia de Clasificación y Desclasificación de la Información, así como para la Elaboración de Versiones Públicas, respecto a la consulta directa, que señala: </w:t>
      </w:r>
    </w:p>
    <w:p w:rsidR="00000000" w:rsidDel="00000000" w:rsidP="00000000" w:rsidRDefault="00000000" w:rsidRPr="00000000" w14:paraId="000000B4">
      <w:pPr>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CAPÍTULO X </w:t>
      </w:r>
    </w:p>
    <w:p w:rsidR="00000000" w:rsidDel="00000000" w:rsidP="00000000" w:rsidRDefault="00000000" w:rsidRPr="00000000" w14:paraId="000000B5">
      <w:pPr>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CONSULTA DIRECTA </w:t>
      </w:r>
    </w:p>
    <w:p w:rsidR="00000000" w:rsidDel="00000000" w:rsidP="00000000" w:rsidRDefault="00000000" w:rsidRPr="00000000" w14:paraId="000000B6">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séptimo</w:t>
      </w:r>
      <w:r w:rsidDel="00000000" w:rsidR="00000000" w:rsidRPr="00000000">
        <w:rPr>
          <w:rFonts w:ascii="Palatino Linotype" w:cs="Palatino Linotype" w:eastAsia="Palatino Linotype" w:hAnsi="Palatino Linotype"/>
          <w:i w:val="1"/>
          <w:sz w:val="22"/>
          <w:szCs w:val="22"/>
          <w:rtl w:val="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Del="00000000" w:rsidR="00000000" w:rsidRPr="00000000">
        <w:rPr>
          <w:rFonts w:ascii="Palatino Linotype" w:cs="Palatino Linotype" w:eastAsia="Palatino Linotype" w:hAnsi="Palatino Linotype"/>
          <w:b w:val="1"/>
          <w:i w:val="1"/>
          <w:sz w:val="22"/>
          <w:szCs w:val="22"/>
          <w:rtl w:val="0"/>
        </w:rPr>
        <w:t xml:space="preserve">deberá emitir la resolución en la que funde y motive la clasificación</w:t>
      </w:r>
      <w:r w:rsidDel="00000000" w:rsidR="00000000" w:rsidRPr="00000000">
        <w:rPr>
          <w:rFonts w:ascii="Palatino Linotype" w:cs="Palatino Linotype" w:eastAsia="Palatino Linotype" w:hAnsi="Palatino Linotype"/>
          <w:i w:val="1"/>
          <w:sz w:val="22"/>
          <w:szCs w:val="22"/>
          <w:rtl w:val="0"/>
        </w:rPr>
        <w:t xml:space="preserve"> de las partes o secciones que no podrán dejarse a la vista del solicitante. </w:t>
      </w:r>
    </w:p>
    <w:p w:rsidR="00000000" w:rsidDel="00000000" w:rsidP="00000000" w:rsidRDefault="00000000" w:rsidRPr="00000000" w14:paraId="000000B7">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octavo</w:t>
      </w:r>
      <w:r w:rsidDel="00000000" w:rsidR="00000000" w:rsidRPr="00000000">
        <w:rPr>
          <w:rFonts w:ascii="Palatino Linotype" w:cs="Palatino Linotype" w:eastAsia="Palatino Linotype" w:hAnsi="Palatino Linotype"/>
          <w:i w:val="1"/>
          <w:sz w:val="22"/>
          <w:szCs w:val="22"/>
          <w:rtl w:val="0"/>
        </w:rPr>
        <w:t xml:space="preserve">. En la </w:t>
      </w:r>
      <w:r w:rsidDel="00000000" w:rsidR="00000000" w:rsidRPr="00000000">
        <w:rPr>
          <w:rFonts w:ascii="Palatino Linotype" w:cs="Palatino Linotype" w:eastAsia="Palatino Linotype" w:hAnsi="Palatino Linotype"/>
          <w:b w:val="1"/>
          <w:i w:val="1"/>
          <w:sz w:val="22"/>
          <w:szCs w:val="22"/>
          <w:rtl w:val="0"/>
        </w:rPr>
        <w:t xml:space="preserve">resolución del Comité de Transparencia</w:t>
      </w:r>
      <w:r w:rsidDel="00000000" w:rsidR="00000000" w:rsidRPr="00000000">
        <w:rPr>
          <w:rFonts w:ascii="Palatino Linotype" w:cs="Palatino Linotype" w:eastAsia="Palatino Linotype" w:hAnsi="Palatino Linotype"/>
          <w:i w:val="1"/>
          <w:sz w:val="22"/>
          <w:szCs w:val="22"/>
          <w:rtl w:val="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000000" w:rsidDel="00000000" w:rsidP="00000000" w:rsidRDefault="00000000" w:rsidRPr="00000000" w14:paraId="000000B8">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noveno</w:t>
      </w:r>
      <w:r w:rsidDel="00000000" w:rsidR="00000000" w:rsidRPr="00000000">
        <w:rPr>
          <w:rFonts w:ascii="Palatino Linotype" w:cs="Palatino Linotype" w:eastAsia="Palatino Linotype" w:hAnsi="Palatino Linotype"/>
          <w:i w:val="1"/>
          <w:sz w:val="22"/>
          <w:szCs w:val="22"/>
          <w:rtl w:val="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000000" w:rsidDel="00000000" w:rsidP="00000000" w:rsidRDefault="00000000" w:rsidRPr="00000000" w14:paraId="000000B9">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w:t>
      </w:r>
      <w:r w:rsidDel="00000000" w:rsidR="00000000" w:rsidRPr="00000000">
        <w:rPr>
          <w:rFonts w:ascii="Palatino Linotype" w:cs="Palatino Linotype" w:eastAsia="Palatino Linotype" w:hAnsi="Palatino Linotype"/>
          <w:i w:val="1"/>
          <w:sz w:val="22"/>
          <w:szCs w:val="22"/>
          <w:rtl w:val="0"/>
        </w:rPr>
        <w:t xml:space="preserve">. Para el desahogo de las actuaciones tendientes a permitir la consulta directa, en los casos en que ésta resulte procedente, los sujetos obligados deberán observar lo siguiente: </w:t>
      </w:r>
    </w:p>
    <w:p w:rsidR="00000000" w:rsidDel="00000000" w:rsidP="00000000" w:rsidRDefault="00000000" w:rsidRPr="00000000" w14:paraId="000000BA">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0BB">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En su caso, la procedencia de los ajustes razonables solicitados y/o la procedencia de acceso en la lengua indígena requerida; </w:t>
      </w:r>
    </w:p>
    <w:p w:rsidR="00000000" w:rsidDel="00000000" w:rsidP="00000000" w:rsidRDefault="00000000" w:rsidRPr="00000000" w14:paraId="000000BC">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0BD">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Proporcionar al solicitante las facilidades y asistencia requerida para la consulta de los documentos;</w:t>
      </w:r>
    </w:p>
    <w:p w:rsidR="00000000" w:rsidDel="00000000" w:rsidP="00000000" w:rsidRDefault="00000000" w:rsidRPr="00000000" w14:paraId="000000BE">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Abstenerse de requerir al solicitante que acredite interés alguno; </w:t>
      </w:r>
    </w:p>
    <w:p w:rsidR="00000000" w:rsidDel="00000000" w:rsidP="00000000" w:rsidRDefault="00000000" w:rsidRPr="00000000" w14:paraId="000000BF">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0C0">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0C1">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Equipo y personal de vigilancia;</w:t>
      </w:r>
    </w:p>
    <w:p w:rsidR="00000000" w:rsidDel="00000000" w:rsidP="00000000" w:rsidRDefault="00000000" w:rsidRPr="00000000" w14:paraId="000000C2">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Plan de acción contra robo o vandalismo; </w:t>
      </w:r>
    </w:p>
    <w:p w:rsidR="00000000" w:rsidDel="00000000" w:rsidP="00000000" w:rsidRDefault="00000000" w:rsidRPr="00000000" w14:paraId="000000C3">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Extintores de fuego de gas inocuo; </w:t>
      </w:r>
    </w:p>
    <w:p w:rsidR="00000000" w:rsidDel="00000000" w:rsidP="00000000" w:rsidRDefault="00000000" w:rsidRPr="00000000" w14:paraId="000000C4">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Registro e identificación del personal autorizado para el tratamiento de los documentos o expedientes a revisar;</w:t>
      </w:r>
    </w:p>
    <w:p w:rsidR="00000000" w:rsidDel="00000000" w:rsidP="00000000" w:rsidRDefault="00000000" w:rsidRPr="00000000" w14:paraId="000000C5">
      <w:pPr>
        <w:spacing w:after="120" w:before="12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Registro e identificación de los particulares autorizados para llevar a cabo la consulta directa, y </w:t>
      </w:r>
    </w:p>
    <w:p w:rsidR="00000000" w:rsidDel="00000000" w:rsidP="00000000" w:rsidRDefault="00000000" w:rsidRPr="00000000" w14:paraId="000000C6">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w:t>
      </w:r>
      <w:r w:rsidDel="00000000" w:rsidR="00000000" w:rsidRPr="00000000">
        <w:rPr>
          <w:rFonts w:ascii="Palatino Linotype" w:cs="Palatino Linotype" w:eastAsia="Palatino Linotype" w:hAnsi="Palatino Linotype"/>
          <w:i w:val="1"/>
          <w:sz w:val="22"/>
          <w:szCs w:val="22"/>
          <w:rtl w:val="0"/>
        </w:rPr>
        <w:t xml:space="preserve"> Las demás que, a criterio de los sujetos obligados, resulten necesarias. </w:t>
      </w:r>
    </w:p>
    <w:p w:rsidR="00000000" w:rsidDel="00000000" w:rsidP="00000000" w:rsidRDefault="00000000" w:rsidRPr="00000000" w14:paraId="000000C7">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Hacer del conocimiento del solicitante, previo al acceso a la información, las reglas a que se sujetará la consulta para garantizar la integridad de los documentos, y</w:t>
      </w:r>
    </w:p>
    <w:p w:rsidR="00000000" w:rsidDel="00000000" w:rsidP="00000000" w:rsidRDefault="00000000" w:rsidRPr="00000000" w14:paraId="000000C8">
      <w:pPr>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Para el caso de documentos que contengan partes o secciones clasificadas como reservadas o confidenciales, el sujeto obligado deberá hacer del conocimiento del solicitante, </w:t>
      </w:r>
      <w:r w:rsidDel="00000000" w:rsidR="00000000" w:rsidRPr="00000000">
        <w:rPr>
          <w:rFonts w:ascii="Palatino Linotype" w:cs="Palatino Linotype" w:eastAsia="Palatino Linotype" w:hAnsi="Palatino Linotype"/>
          <w:b w:val="1"/>
          <w:i w:val="1"/>
          <w:sz w:val="22"/>
          <w:szCs w:val="22"/>
          <w:rtl w:val="0"/>
        </w:rPr>
        <w:t xml:space="preserve">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0C9">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primero. </w:t>
      </w:r>
      <w:r w:rsidDel="00000000" w:rsidR="00000000" w:rsidRPr="00000000">
        <w:rPr>
          <w:rFonts w:ascii="Palatino Linotype" w:cs="Palatino Linotype" w:eastAsia="Palatino Linotype" w:hAnsi="Palatino Linotype"/>
          <w:i w:val="1"/>
          <w:sz w:val="22"/>
          <w:szCs w:val="22"/>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0CA">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0CB">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segundo.</w:t>
      </w:r>
      <w:r w:rsidDel="00000000" w:rsidR="00000000" w:rsidRPr="00000000">
        <w:rPr>
          <w:rFonts w:ascii="Palatino Linotype" w:cs="Palatino Linotype" w:eastAsia="Palatino Linotype" w:hAnsi="Palatino Linotype"/>
          <w:i w:val="1"/>
          <w:sz w:val="22"/>
          <w:szCs w:val="22"/>
          <w:rtl w:val="0"/>
        </w:rPr>
        <w:t xml:space="preserve"> El solicitante deberá realizar la consulta de los documentos requeridos en el lugar, horarios y con la persona destinada para tal efecto. </w:t>
      </w:r>
    </w:p>
    <w:p w:rsidR="00000000" w:rsidDel="00000000" w:rsidP="00000000" w:rsidRDefault="00000000" w:rsidRPr="00000000" w14:paraId="000000CC">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0CD">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tercero</w:t>
      </w:r>
      <w:r w:rsidDel="00000000" w:rsidR="00000000" w:rsidRPr="00000000">
        <w:rPr>
          <w:rFonts w:ascii="Palatino Linotype" w:cs="Palatino Linotype" w:eastAsia="Palatino Linotype" w:hAnsi="Palatino Linotype"/>
          <w:i w:val="1"/>
          <w:sz w:val="22"/>
          <w:szCs w:val="22"/>
          <w:rtl w:val="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0CE">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deberá ser entregada sin costo, cuando implique la entrega de no más de veinte hojas simples.”</w:t>
      </w:r>
    </w:p>
    <w:p w:rsidR="00000000" w:rsidDel="00000000" w:rsidP="00000000" w:rsidRDefault="00000000" w:rsidRPr="00000000" w14:paraId="000000CF">
      <w:pPr>
        <w:spacing w:after="120" w:before="120" w:lineRule="auto"/>
        <w:ind w:left="851" w:right="902"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de lo anterior, se reitera que los argumentos señalados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resultan insuficientes para que tenga lugar un cambio de modalidad, pues no se acreditó la existencia de una imposibilidad técnica que impida la entrega de la información por el medio solicitado; además,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aportó elementos argumentativos que demostraran una imposibilidad técnica, física y administrativa para atender las solicitudes de información; pues de la mismas no se apreció que se trate de una cantidad extraordinaria de información o que se requiera realizar varias versiones públicas o que la información pueda obrar en una gran magnitud de hojas.</w:t>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pues, </w:t>
      </w:r>
      <w:r w:rsidDel="00000000" w:rsidR="00000000" w:rsidRPr="00000000">
        <w:rPr>
          <w:rFonts w:ascii="Palatino Linotype" w:cs="Palatino Linotype" w:eastAsia="Palatino Linotype" w:hAnsi="Palatino Linotype"/>
          <w:b w:val="1"/>
          <w:rtl w:val="0"/>
        </w:rPr>
        <w:t xml:space="preserve">resulta improcedente el cambio de modalidad propuesto por el Sujeto Obligado</w:t>
      </w:r>
      <w:r w:rsidDel="00000000" w:rsidR="00000000" w:rsidRPr="00000000">
        <w:rPr>
          <w:rFonts w:ascii="Palatino Linotype" w:cs="Palatino Linotype" w:eastAsia="Palatino Linotype" w:hAnsi="Palatino Linotype"/>
          <w:rtl w:val="0"/>
        </w:rPr>
        <w:t xml:space="preserve"> y por tanto, se continúa con el análisis de la naturaleza de la información, para determinar su entrega en la modalidad elegida por el Particular.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esta línea de pensamiento, resulta pertinente traer a colación lo previsto por el </w:t>
      </w:r>
      <w:r w:rsidDel="00000000" w:rsidR="00000000" w:rsidRPr="00000000">
        <w:rPr>
          <w:rFonts w:ascii="Palatino Linotype" w:cs="Palatino Linotype" w:eastAsia="Palatino Linotype" w:hAnsi="Palatino Linotype"/>
          <w:rtl w:val="0"/>
        </w:rPr>
        <w:t xml:space="preserve">Manual de Organización del Sistema Municipal para el Desarrollo Integral de la Familia</w:t>
      </w:r>
      <w:r w:rsidDel="00000000" w:rsidR="00000000" w:rsidRPr="00000000">
        <w:rPr>
          <w:rFonts w:ascii="Palatino Linotype" w:cs="Palatino Linotype" w:eastAsia="Palatino Linotype" w:hAnsi="Palatino Linotype"/>
          <w:color w:val="000000"/>
          <w:rtl w:val="0"/>
        </w:rPr>
        <w:t xml:space="preserve"> de Metepec, con el fin de identificar las funciones de la Dirección de Administración y Finanzas: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before="240" w:line="276" w:lineRule="auto"/>
        <w:ind w:left="1133" w:right="91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rtl w:val="0"/>
        </w:rPr>
        <w:t xml:space="preserve">3.3. DIRECCIÓN DE ADMINISTRACIÓN Y FINANZAS </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before="240" w:line="276" w:lineRule="auto"/>
        <w:ind w:left="1133" w:right="91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OBJETIVO Promover y supervisar el desempeño de las actividades relacionadas con el manejo de los recursos humanos, materiales y financieros del Sistema Municipal DIF de Metepec, procurando el óptimo aprovechamiento de los recursos asignados, conforme a los lineamientos, normas y disposiciones legales aplicables vigentes.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276" w:lineRule="auto"/>
        <w:ind w:left="1133" w:right="91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FUNCIONES </w:t>
      </w:r>
    </w:p>
    <w:p w:rsidR="00000000" w:rsidDel="00000000" w:rsidP="00000000" w:rsidRDefault="00000000" w:rsidRPr="00000000" w14:paraId="000000D7">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Formular y compilar las normas, políticas y procedimientos de la administración de los recursos humanos, materiales y financieros del Sistema, estableciendo los criterios de oportunidad, eficiencia y economía, así como el suministro de éstos; </w:t>
      </w:r>
    </w:p>
    <w:p w:rsidR="00000000" w:rsidDel="00000000" w:rsidP="00000000" w:rsidRDefault="00000000" w:rsidRPr="00000000" w14:paraId="000000D8">
      <w:pPr>
        <w:spacing w:line="276"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Conducir condiciones laborales entre el personal y las autoridades del Sistema, conforme a los ordenamientos legales aplicables en materia de trabajo; </w:t>
      </w:r>
    </w:p>
    <w:p w:rsidR="00000000" w:rsidDel="00000000" w:rsidP="00000000" w:rsidRDefault="00000000" w:rsidRPr="00000000" w14:paraId="000000D9">
      <w:pPr>
        <w:spacing w:line="276"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Controlar el registro asistencia, incapacidades, vacaciones, días no laborables y demás incidencias de las y los servidores públicos del Organismo; </w:t>
      </w:r>
    </w:p>
    <w:p w:rsidR="00000000" w:rsidDel="00000000" w:rsidP="00000000" w:rsidRDefault="00000000" w:rsidRPr="00000000" w14:paraId="000000DA">
      <w:pPr>
        <w:spacing w:line="276"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Controlar los nombramientos, reconocimientos, renuncias, licencias, cambios de adscripción y promociones, previa autorización de la Dirección General; </w:t>
      </w:r>
    </w:p>
    <w:p w:rsidR="00000000" w:rsidDel="00000000" w:rsidP="00000000" w:rsidRDefault="00000000" w:rsidRPr="00000000" w14:paraId="000000DB">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Promover las sanciones administrativas y económicas a que se hagan acreedores las y los servidores públicos del Organismo, que deriven de resoluciones judiciales, administrativas o económicas, de conformidad con las disposiciones legales y administrativas correspondientes; </w:t>
      </w:r>
    </w:p>
    <w:p w:rsidR="00000000" w:rsidDel="00000000" w:rsidP="00000000" w:rsidRDefault="00000000" w:rsidRPr="00000000" w14:paraId="000000DC">
      <w:pPr>
        <w:spacing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 citado con antelación, se advierte que en el presente asunto, la unidad administrativa competente es la Dirección de Administración y Fin</w:t>
      </w:r>
      <w:r w:rsidDel="00000000" w:rsidR="00000000" w:rsidRPr="00000000">
        <w:rPr>
          <w:rFonts w:ascii="Palatino Linotype" w:cs="Palatino Linotype" w:eastAsia="Palatino Linotype" w:hAnsi="Palatino Linotype"/>
          <w:rtl w:val="0"/>
        </w:rPr>
        <w:t xml:space="preserve">anzas,</w:t>
      </w:r>
      <w:r w:rsidDel="00000000" w:rsidR="00000000" w:rsidRPr="00000000">
        <w:rPr>
          <w:rFonts w:ascii="Palatino Linotype" w:cs="Palatino Linotype" w:eastAsia="Palatino Linotype" w:hAnsi="Palatino Linotype"/>
          <w:color w:val="000000"/>
          <w:rtl w:val="0"/>
        </w:rPr>
        <w:t xml:space="preserve"> ya que corresponde a esta coordinar y dirigir la contratación, así como controlar  las renuncias, por lo que deberá informar sobre las altas y bajas del personal, del dieciséis  al treinta y uno de enero y las presentadas los días ocho y nueve de febrero de dos mil veintidós.</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las constancias que integran el expediente electrónico no se advierte que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hubiera realizado el turno al servidor público habilitado competente para conocer de la información, por lo que deberá de deberá seguir el procedimiento de búsqueda establecido en el artículo 162 de la Ley de Transparencia y Acceso a la Información Pública.</w:t>
      </w:r>
    </w:p>
    <w:p w:rsidR="00000000" w:rsidDel="00000000" w:rsidP="00000000" w:rsidRDefault="00000000" w:rsidRPr="00000000" w14:paraId="000000DF">
      <w:pPr>
        <w:spacing w:after="240" w:before="240" w:line="360" w:lineRule="auto"/>
        <w:ind w:right="49"/>
        <w:jc w:val="both"/>
        <w:rPr>
          <w:rFonts w:ascii="Palatino Linotype" w:cs="Palatino Linotype" w:eastAsia="Palatino Linotype" w:hAnsi="Palatino Linotype"/>
          <w:highlight w:val="green"/>
        </w:rPr>
      </w:pPr>
      <w:r w:rsidDel="00000000" w:rsidR="00000000" w:rsidRPr="00000000">
        <w:rPr>
          <w:rFonts w:ascii="Palatino Linotype" w:cs="Palatino Linotype" w:eastAsia="Palatino Linotype" w:hAnsi="Palatino Linotype"/>
          <w:rtl w:val="0"/>
        </w:rPr>
        <w:t xml:space="preserve">Es así que con todo lo anteriormente expuesto, se observa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garantizó el derecho de acceso a la información del particular, por lo que deberá realizar una búsqueda exhaustiva y razonable en todas las áreas competentes, entre las cuales, no podrá omitir a la Dirección de Administración y Finanzas</w:t>
      </w:r>
      <w:r w:rsidDel="00000000" w:rsidR="00000000" w:rsidRPr="00000000">
        <w:rPr>
          <w:rtl w:val="0"/>
        </w:rPr>
      </w:r>
    </w:p>
    <w:p w:rsidR="00000000" w:rsidDel="00000000" w:rsidP="00000000" w:rsidRDefault="00000000" w:rsidRPr="00000000" w14:paraId="000000E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el caso que no se haya generado información en las fechas indicadas, deberá hacerlo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 manera fundada y motivada en términos del artículo 19, párrafo segundo de la Ley de Transparencia y Acceso a la Información Pública del Estado de México y Municipios.</w:t>
      </w:r>
    </w:p>
    <w:p w:rsidR="00000000" w:rsidDel="00000000" w:rsidP="00000000" w:rsidRDefault="00000000" w:rsidRPr="00000000" w14:paraId="000000E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se omite  comentar  que dentro de la documentación que pudiera otorgarse para efecto de dar respuesta a la solicitud de información, pudieran contener información de carácter confidencial, que por su naturaleza contenga datos personales susceptibles de ser resguardados por el Sujeto Obligado y para los cuales se deberá emitir una versión pública de los documentos con estricto apego al procedimiento del derecho de acceso a la información pública, ello en términos del Considerando siguiente.</w:t>
      </w:r>
    </w:p>
    <w:p w:rsidR="00000000" w:rsidDel="00000000" w:rsidP="00000000" w:rsidRDefault="00000000" w:rsidRPr="00000000" w14:paraId="000000E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no escapa de la óptica de este Organismo Garante que en sus motivos de inconformidad la </w:t>
      </w:r>
      <w:r w:rsidDel="00000000" w:rsidR="00000000" w:rsidRPr="00000000">
        <w:rPr>
          <w:rFonts w:ascii="Palatino Linotype" w:cs="Palatino Linotype" w:eastAsia="Palatino Linotype" w:hAnsi="Palatino Linotype"/>
          <w:b w:val="1"/>
          <w:rtl w:val="0"/>
        </w:rPr>
        <w:t xml:space="preserve">parte Recurrente</w:t>
      </w:r>
      <w:r w:rsidDel="00000000" w:rsidR="00000000" w:rsidRPr="00000000">
        <w:rPr>
          <w:rFonts w:ascii="Palatino Linotype" w:cs="Palatino Linotype" w:eastAsia="Palatino Linotype" w:hAnsi="Palatino Linotype"/>
          <w:rtl w:val="0"/>
        </w:rPr>
        <w:t xml:space="preserve"> solicitó que se diera vista al Órgano Interno de Control,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rsidR="00000000" w:rsidDel="00000000" w:rsidP="00000000" w:rsidRDefault="00000000" w:rsidRPr="00000000" w14:paraId="000000E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0E4">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E6">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7">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E8">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E9">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EA">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EB">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E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0EE">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EF">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F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F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F3">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F4">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F5">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F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F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0F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FC">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FD">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0FE">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0F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0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3"/>
        <w:tblW w:w="8828.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134"/>
        <w:gridCol w:w="3119"/>
        <w:gridCol w:w="1129"/>
        <w:gridCol w:w="3446"/>
        <w:tblGridChange w:id="0">
          <w:tblGrid>
            <w:gridCol w:w="1134"/>
            <w:gridCol w:w="3119"/>
            <w:gridCol w:w="1129"/>
            <w:gridCol w:w="3446"/>
          </w:tblGrid>
        </w:tblGridChange>
      </w:tblGrid>
      <w:tr>
        <w:trPr>
          <w:cantSplit w:val="0"/>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10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Parcial</w:t>
            </w:r>
            <w:r w:rsidDel="00000000" w:rsidR="00000000" w:rsidRPr="00000000">
              <w:rPr>
                <w:rtl w:val="0"/>
              </w:rPr>
            </w:r>
          </w:p>
        </w:tc>
        <w:tc>
          <w:tcPr>
            <w:gridSpan w:val="2"/>
            <w:tcBorders>
              <w:top w:color="000000" w:space="0" w:sz="0" w:val="nil"/>
              <w:left w:color="000000" w:space="0" w:sz="0" w:val="nil"/>
              <w:right w:color="000000" w:space="0" w:sz="0" w:val="nil"/>
            </w:tcBorders>
          </w:tcPr>
          <w:p w:rsidR="00000000" w:rsidDel="00000000" w:rsidP="00000000" w:rsidRDefault="00000000" w:rsidRPr="00000000" w14:paraId="00000105">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Total</w:t>
            </w: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Concepto</w:t>
            </w:r>
            <w:r w:rsidDel="00000000" w:rsidR="00000000" w:rsidRPr="00000000">
              <w:rPr>
                <w:rtl w:val="0"/>
              </w:rPr>
            </w:r>
          </w:p>
        </w:tc>
        <w:tc>
          <w:tcPr/>
          <w:p w:rsidR="00000000" w:rsidDel="00000000" w:rsidP="00000000" w:rsidRDefault="00000000" w:rsidRPr="00000000" w14:paraId="00000108">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0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0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0B">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Sello oficial o logotipo del sujeto obligado</w:t>
            </w:r>
            <w:r w:rsidDel="00000000" w:rsidR="00000000" w:rsidRPr="00000000">
              <w:rPr>
                <w:rtl w:val="0"/>
              </w:rPr>
            </w:r>
          </w:p>
        </w:tc>
      </w:tr>
      <w:tr>
        <w:trPr>
          <w:cantSplit w:val="0"/>
          <w:tblHeader w:val="0"/>
        </w:trPr>
        <w:tc>
          <w:tcPr/>
          <w:p w:rsidR="00000000" w:rsidDel="00000000" w:rsidP="00000000" w:rsidRDefault="00000000" w:rsidRPr="00000000" w14:paraId="0000010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Fecha de clasificación</w:t>
            </w:r>
            <w:r w:rsidDel="00000000" w:rsidR="00000000" w:rsidRPr="00000000">
              <w:rPr>
                <w:rtl w:val="0"/>
              </w:rPr>
            </w:r>
          </w:p>
        </w:tc>
        <w:tc>
          <w:tcPr/>
          <w:p w:rsidR="00000000" w:rsidDel="00000000" w:rsidP="00000000" w:rsidRDefault="00000000" w:rsidRPr="00000000" w14:paraId="0000011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1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1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1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Área</w:t>
            </w:r>
            <w:r w:rsidDel="00000000" w:rsidR="00000000" w:rsidRPr="00000000">
              <w:rPr>
                <w:rtl w:val="0"/>
              </w:rPr>
            </w:r>
          </w:p>
        </w:tc>
        <w:tc>
          <w:tcPr/>
          <w:p w:rsidR="00000000" w:rsidDel="00000000" w:rsidP="00000000" w:rsidRDefault="00000000" w:rsidRPr="00000000" w14:paraId="0000011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1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1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1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Información reservada</w:t>
            </w:r>
            <w:r w:rsidDel="00000000" w:rsidR="00000000" w:rsidRPr="00000000">
              <w:rPr>
                <w:rtl w:val="0"/>
              </w:rPr>
            </w:r>
          </w:p>
        </w:tc>
        <w:tc>
          <w:tcPr/>
          <w:p w:rsidR="00000000" w:rsidDel="00000000" w:rsidP="00000000" w:rsidRDefault="00000000" w:rsidRPr="00000000" w14:paraId="0000011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1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1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1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Fundamento legal</w:t>
            </w:r>
            <w:r w:rsidDel="00000000" w:rsidR="00000000" w:rsidRPr="00000000">
              <w:rPr>
                <w:rtl w:val="0"/>
              </w:rPr>
            </w:r>
          </w:p>
        </w:tc>
        <w:tc>
          <w:tcPr/>
          <w:p w:rsidR="00000000" w:rsidDel="00000000" w:rsidP="00000000" w:rsidRDefault="00000000" w:rsidRPr="00000000" w14:paraId="0000011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1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1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1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Ampliación del periodo de reserva</w:t>
            </w:r>
            <w:r w:rsidDel="00000000" w:rsidR="00000000" w:rsidRPr="00000000">
              <w:rPr>
                <w:rtl w:val="0"/>
              </w:rPr>
            </w:r>
          </w:p>
        </w:tc>
        <w:tc>
          <w:tcPr/>
          <w:p w:rsidR="00000000" w:rsidDel="00000000" w:rsidP="00000000" w:rsidRDefault="00000000" w:rsidRPr="00000000" w14:paraId="0000012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2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2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2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Confidencial</w:t>
            </w:r>
            <w:r w:rsidDel="00000000" w:rsidR="00000000" w:rsidRPr="00000000">
              <w:rPr>
                <w:rtl w:val="0"/>
              </w:rPr>
            </w:r>
          </w:p>
        </w:tc>
        <w:tc>
          <w:tcPr/>
          <w:p w:rsidR="00000000" w:rsidDel="00000000" w:rsidP="00000000" w:rsidRDefault="00000000" w:rsidRPr="00000000" w14:paraId="0000012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2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2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2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Fundamento legal</w:t>
            </w:r>
            <w:r w:rsidDel="00000000" w:rsidR="00000000" w:rsidRPr="00000000">
              <w:rPr>
                <w:rtl w:val="0"/>
              </w:rPr>
            </w:r>
          </w:p>
        </w:tc>
        <w:tc>
          <w:tcPr/>
          <w:p w:rsidR="00000000" w:rsidDel="00000000" w:rsidP="00000000" w:rsidRDefault="00000000" w:rsidRPr="00000000" w14:paraId="0000012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2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2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2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Rúbrica del titular del área</w:t>
            </w:r>
            <w:r w:rsidDel="00000000" w:rsidR="00000000" w:rsidRPr="00000000">
              <w:rPr>
                <w:rtl w:val="0"/>
              </w:rPr>
            </w:r>
          </w:p>
        </w:tc>
        <w:tc>
          <w:tcPr/>
          <w:p w:rsidR="00000000" w:rsidDel="00000000" w:rsidP="00000000" w:rsidRDefault="00000000" w:rsidRPr="00000000" w14:paraId="0000012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2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2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2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Fecha de desclasificación</w:t>
            </w:r>
            <w:r w:rsidDel="00000000" w:rsidR="00000000" w:rsidRPr="00000000">
              <w:rPr>
                <w:rtl w:val="0"/>
              </w:rPr>
            </w:r>
          </w:p>
        </w:tc>
        <w:tc>
          <w:tcPr/>
          <w:p w:rsidR="00000000" w:rsidDel="00000000" w:rsidP="00000000" w:rsidRDefault="00000000" w:rsidRPr="00000000" w14:paraId="0000013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3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3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3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0"/>
                <w:sz w:val="12"/>
                <w:szCs w:val="12"/>
                <w:rtl w:val="0"/>
              </w:rPr>
              <w:t xml:space="preserve">Rúbrica y cargo del servidor público</w:t>
            </w:r>
            <w:r w:rsidDel="00000000" w:rsidR="00000000" w:rsidRPr="00000000">
              <w:rPr>
                <w:rtl w:val="0"/>
              </w:rPr>
            </w:r>
          </w:p>
        </w:tc>
        <w:tc>
          <w:tcPr/>
          <w:p w:rsidR="00000000" w:rsidDel="00000000" w:rsidP="00000000" w:rsidRDefault="00000000" w:rsidRPr="00000000" w14:paraId="0000013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3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3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37">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3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3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3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3B">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3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3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3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3F">
      <w:pPr>
        <w:tabs>
          <w:tab w:val="left" w:pos="7938"/>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r w:rsidDel="00000000" w:rsidR="00000000" w:rsidRPr="00000000">
        <w:rPr>
          <w:rtl w:val="0"/>
        </w:rPr>
      </w:r>
    </w:p>
    <w:p w:rsidR="00000000" w:rsidDel="00000000" w:rsidP="00000000" w:rsidRDefault="00000000" w:rsidRPr="00000000" w14:paraId="00000141">
      <w:pPr>
        <w:spacing w:line="360" w:lineRule="auto"/>
        <w:rPr/>
      </w:pPr>
      <w:r w:rsidDel="00000000" w:rsidR="00000000" w:rsidRPr="00000000">
        <w:rPr>
          <w:rtl w:val="0"/>
        </w:rPr>
      </w:r>
    </w:p>
    <w:p w:rsidR="00000000" w:rsidDel="00000000" w:rsidP="00000000" w:rsidRDefault="00000000" w:rsidRPr="00000000" w14:paraId="000001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w:t>
      </w:r>
      <w:r w:rsidDel="00000000" w:rsidR="00000000" w:rsidRPr="00000000">
        <w:rPr>
          <w:rFonts w:ascii="Palatino Linotype" w:cs="Palatino Linotype" w:eastAsia="Palatino Linotype" w:hAnsi="Palatino Linotype"/>
          <w:highlight w:val="white"/>
          <w:rtl w:val="0"/>
        </w:rPr>
        <w:t xml:space="preserve">trigésimo, trigésimo primero y trigésimo segundo</w:t>
      </w:r>
      <w:r w:rsidDel="00000000" w:rsidR="00000000" w:rsidRPr="00000000">
        <w:rPr>
          <w:rFonts w:ascii="Palatino Linotype" w:cs="Palatino Linotype" w:eastAsia="Palatino Linotype" w:hAnsi="Palatino Linotype"/>
          <w:rtl w:val="0"/>
        </w:rPr>
        <w:t xml:space="preserve">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43">
      <w:pPr>
        <w:numPr>
          <w:ilvl w:val="0"/>
          <w:numId w:val="5"/>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Resultan parcialmente fundados </w:t>
      </w:r>
      <w:r w:rsidDel="00000000" w:rsidR="00000000" w:rsidRPr="00000000">
        <w:rPr>
          <w:rFonts w:ascii="Palatino Linotype" w:cs="Palatino Linotype" w:eastAsia="Palatino Linotype" w:hAnsi="Palatino Linotype"/>
          <w:rtl w:val="0"/>
        </w:rPr>
        <w:t xml:space="preserve">los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los Recursos de Revisión</w:t>
      </w:r>
      <w:r w:rsidDel="00000000" w:rsidR="00000000" w:rsidRPr="00000000">
        <w:rPr>
          <w:rFonts w:ascii="Palatino Linotype" w:cs="Palatino Linotype" w:eastAsia="Palatino Linotype" w:hAnsi="Palatino Linotype"/>
          <w:b w:val="1"/>
          <w:rtl w:val="0"/>
        </w:rPr>
        <w:t xml:space="preserve"> 02829/INFOEM/IP/RR/2022, 02906/INFOEM/IP/RR/2022 y 03047/INFOEM/IP/RR/2022, </w:t>
      </w:r>
      <w:r w:rsidDel="00000000" w:rsidR="00000000" w:rsidRPr="00000000">
        <w:rPr>
          <w:rFonts w:ascii="Palatino Linotype" w:cs="Palatino Linotype" w:eastAsia="Palatino Linotype" w:hAnsi="Palatino Linotype"/>
          <w:rtl w:val="0"/>
        </w:rPr>
        <w:t xml:space="preserve">por lo que</w:t>
      </w:r>
      <w:r w:rsidDel="00000000" w:rsidR="00000000" w:rsidRPr="00000000">
        <w:rPr>
          <w:rFonts w:ascii="Palatino Linotype" w:cs="Palatino Linotype" w:eastAsia="Palatino Linotype" w:hAnsi="Palatino Linotype"/>
          <w:b w:val="1"/>
          <w:rtl w:val="0"/>
        </w:rPr>
        <w:t xml:space="preserve">, en términos del Considerando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se REVOCAN </w:t>
      </w:r>
      <w:r w:rsidDel="00000000" w:rsidR="00000000" w:rsidRPr="00000000">
        <w:rPr>
          <w:rFonts w:ascii="Palatino Linotype" w:cs="Palatino Linotype" w:eastAsia="Palatino Linotype" w:hAnsi="Palatino Linotype"/>
          <w:rtl w:val="0"/>
        </w:rPr>
        <w:t xml:space="preserve">las respuestas del</w:t>
      </w:r>
      <w:r w:rsidDel="00000000" w:rsidR="00000000" w:rsidRPr="00000000">
        <w:rPr>
          <w:rFonts w:ascii="Palatino Linotype" w:cs="Palatino Linotype" w:eastAsia="Palatino Linotype" w:hAnsi="Palatino Linotype"/>
          <w:b w:val="1"/>
          <w:rtl w:val="0"/>
        </w:rPr>
        <w:t xml:space="preserve"> Sujeto Obligado.</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Se Ordena al Sujeto Obligado </w:t>
      </w:r>
      <w:r w:rsidDel="00000000" w:rsidR="00000000" w:rsidRPr="00000000">
        <w:rPr>
          <w:rFonts w:ascii="Palatino Linotype" w:cs="Palatino Linotype" w:eastAsia="Palatino Linotype" w:hAnsi="Palatino Linotype"/>
          <w:rtl w:val="0"/>
        </w:rPr>
        <w:t xml:space="preserve">que en términos de los</w:t>
      </w:r>
      <w:r w:rsidDel="00000000" w:rsidR="00000000" w:rsidRPr="00000000">
        <w:rPr>
          <w:rFonts w:ascii="Palatino Linotype" w:cs="Palatino Linotype" w:eastAsia="Palatino Linotype" w:hAnsi="Palatino Linotype"/>
          <w:b w:val="1"/>
          <w:rtl w:val="0"/>
        </w:rPr>
        <w:t xml:space="preserve"> Considerandos Cuarto y Quinto </w:t>
      </w:r>
      <w:r w:rsidDel="00000000" w:rsidR="00000000" w:rsidRPr="00000000">
        <w:rPr>
          <w:rFonts w:ascii="Palatino Linotype" w:cs="Palatino Linotype" w:eastAsia="Palatino Linotype" w:hAnsi="Palatino Linotype"/>
          <w:rtl w:val="0"/>
        </w:rPr>
        <w:t xml:space="preserve">de esta resolución haga entrega a </w:t>
      </w:r>
      <w:r w:rsidDel="00000000" w:rsidR="00000000" w:rsidRPr="00000000">
        <w:rPr>
          <w:rFonts w:ascii="Palatino Linotype" w:cs="Palatino Linotype" w:eastAsia="Palatino Linotype" w:hAnsi="Palatino Linotype"/>
          <w:b w:val="1"/>
          <w:rtl w:val="0"/>
        </w:rPr>
        <w:t xml:space="preserve">la parte Recurrente a través del SAIMEX,</w:t>
      </w:r>
      <w:r w:rsidDel="00000000" w:rsidR="00000000" w:rsidRPr="00000000">
        <w:rPr>
          <w:rFonts w:ascii="Palatino Linotype" w:cs="Palatino Linotype" w:eastAsia="Palatino Linotype" w:hAnsi="Palatino Linotype"/>
          <w:rtl w:val="0"/>
        </w:rPr>
        <w:t xml:space="preserve"> en versión pública, de los documentos donde consten:</w:t>
      </w:r>
      <w:r w:rsidDel="00000000" w:rsidR="00000000" w:rsidRPr="00000000">
        <w:rPr>
          <w:rtl w:val="0"/>
        </w:rPr>
      </w:r>
    </w:p>
    <w:p w:rsidR="00000000" w:rsidDel="00000000" w:rsidP="00000000" w:rsidRDefault="00000000" w:rsidRPr="00000000" w14:paraId="00000146">
      <w:pPr>
        <w:numPr>
          <w:ilvl w:val="0"/>
          <w:numId w:val="2"/>
        </w:numPr>
        <w:pBdr>
          <w:top w:space="0" w:sz="0" w:val="nil"/>
          <w:left w:space="0" w:sz="0" w:val="nil"/>
          <w:bottom w:space="0" w:sz="0" w:val="nil"/>
          <w:right w:space="0" w:sz="0" w:val="nil"/>
          <w:between w:space="0" w:sz="0" w:val="nil"/>
        </w:pBdr>
        <w:spacing w:after="240" w:before="240" w:line="360" w:lineRule="auto"/>
        <w:ind w:left="720" w:right="900" w:hanging="360"/>
        <w:jc w:val="both"/>
        <w:rPr/>
      </w:pPr>
      <w:bookmarkStart w:colFirst="0" w:colLast="0" w:name="_heading=h.3znysh7" w:id="4"/>
      <w:bookmarkEnd w:id="4"/>
      <w:r w:rsidDel="00000000" w:rsidR="00000000" w:rsidRPr="00000000">
        <w:rPr>
          <w:rFonts w:ascii="Palatino Linotype" w:cs="Palatino Linotype" w:eastAsia="Palatino Linotype" w:hAnsi="Palatino Linotype"/>
          <w:rtl w:val="0"/>
        </w:rPr>
        <w:t xml:space="preserve">Las a</w:t>
      </w:r>
      <w:r w:rsidDel="00000000" w:rsidR="00000000" w:rsidRPr="00000000">
        <w:rPr>
          <w:rFonts w:ascii="Palatino Linotype" w:cs="Palatino Linotype" w:eastAsia="Palatino Linotype" w:hAnsi="Palatino Linotype"/>
          <w:color w:val="000000"/>
          <w:rtl w:val="0"/>
        </w:rPr>
        <w:t xml:space="preserve">ltas y bajas del personal del dieciséis al treinta y uno de enero, y de los días ocho y nueve de febrero de dos mil veintidós.</w:t>
      </w:r>
      <w:r w:rsidDel="00000000" w:rsidR="00000000" w:rsidRPr="00000000">
        <w:rPr>
          <w:rtl w:val="0"/>
        </w:rPr>
      </w:r>
    </w:p>
    <w:p w:rsidR="00000000" w:rsidDel="00000000" w:rsidP="00000000" w:rsidRDefault="00000000" w:rsidRPr="00000000" w14:paraId="00000147">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48">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no se haya generado información en el periodo solicitado, bastará con que así lo haga del conocimiento de la parte Recurrente de manera fundada y motivada, en términos del segundo párrafo del artículo 19 de la Ley de Transparencia vigente en la entidad.</w:t>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Sistema de Acceso a la Información Mexiquense (SAIMEX),</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4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al recurrente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presente resolución, </w:t>
      </w:r>
      <w:r w:rsidDel="00000000" w:rsidR="00000000" w:rsidRPr="00000000">
        <w:rPr>
          <w:rFonts w:ascii="Palatino Linotype" w:cs="Palatino Linotype" w:eastAsia="Palatino Linotype" w:hAnsi="Palatino Linotype"/>
          <w:b w:val="1"/>
          <w:rtl w:val="0"/>
        </w:rPr>
        <w:t xml:space="preserve">vía Sistema de Acceso a la Información Mexiquense (SAIMEX), </w:t>
      </w:r>
      <w:r w:rsidDel="00000000" w:rsidR="00000000" w:rsidRPr="00000000">
        <w:rPr>
          <w:rFonts w:ascii="Palatino Linotype" w:cs="Palatino Linotype" w:eastAsia="Palatino Linotype" w:hAnsi="Palatino Linotype"/>
          <w:rtl w:val="0"/>
        </w:rPr>
        <w:t xml:space="preserve">así como que podrá impugnarla vía </w:t>
      </w:r>
      <w:r w:rsidDel="00000000" w:rsidR="00000000" w:rsidRPr="00000000">
        <w:rPr>
          <w:rFonts w:ascii="Palatino Linotype" w:cs="Palatino Linotype" w:eastAsia="Palatino Linotype" w:hAnsi="Palatino Linotype"/>
          <w:b w:val="1"/>
          <w:rtl w:val="0"/>
        </w:rPr>
        <w:t xml:space="preserve">Juicio de Amparo</w:t>
      </w:r>
      <w:r w:rsidDel="00000000" w:rsidR="00000000" w:rsidRPr="00000000">
        <w:rPr>
          <w:rFonts w:ascii="Palatino Linotype" w:cs="Palatino Linotype" w:eastAsia="Palatino Linotype" w:hAnsi="Palatino Linotype"/>
          <w:rtl w:val="0"/>
        </w:rPr>
        <w:t xml:space="preserve">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4C">
      <w:pPr>
        <w:spacing w:after="240" w:before="240" w:line="360" w:lineRule="auto"/>
        <w:jc w:val="both"/>
        <w:rPr>
          <w:rFonts w:ascii="Palatino Linotype" w:cs="Palatino Linotype" w:eastAsia="Palatino Linotype" w:hAnsi="Palatino Linotype"/>
          <w:sz w:val="20"/>
          <w:szCs w:val="20"/>
        </w:rPr>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r w:rsidDel="00000000" w:rsidR="00000000" w:rsidRPr="00000000">
        <w:rPr>
          <w:rtl w:val="0"/>
        </w:rPr>
      </w:r>
    </w:p>
    <w:p w:rsidR="00000000" w:rsidDel="00000000" w:rsidP="00000000" w:rsidRDefault="00000000" w:rsidRPr="00000000" w14:paraId="0000014D">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E">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21"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-1041395</wp:posOffset>
          </wp:positionH>
          <wp:positionV relativeFrom="paragraph">
            <wp:posOffset>-447669</wp:posOffset>
          </wp:positionV>
          <wp:extent cx="7809865" cy="10165715"/>
          <wp:effectExtent b="0" l="0" r="0" t="0"/>
          <wp:wrapNone/>
          <wp:docPr id="3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5953.0" w:type="dxa"/>
      <w:jc w:val="left"/>
      <w:tblInd w:w="3261.0" w:type="dxa"/>
      <w:tblLayout w:type="fixed"/>
      <w:tblLook w:val="0400"/>
    </w:tblPr>
    <w:tblGrid>
      <w:gridCol w:w="2551"/>
      <w:gridCol w:w="3402"/>
      <w:tblGridChange w:id="0">
        <w:tblGrid>
          <w:gridCol w:w="2551"/>
          <w:gridCol w:w="3402"/>
        </w:tblGrid>
      </w:tblGridChange>
    </w:tblGrid>
    <w:tr>
      <w:trPr>
        <w:cantSplit w:val="0"/>
        <w:tblHeader w:val="0"/>
      </w:trPr>
      <w:tc>
        <w:tcPr>
          <w:shd w:fill="auto" w:val="clear"/>
          <w:vAlign w:val="center"/>
        </w:tcPr>
        <w:p w:rsidR="00000000" w:rsidDel="00000000" w:rsidP="00000000" w:rsidRDefault="00000000" w:rsidRPr="00000000" w14:paraId="0000015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53">
          <w:pPr>
            <w:tabs>
              <w:tab w:val="left" w:pos="2727"/>
            </w:tabs>
            <w:ind w:left="-45" w:right="31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02829/INFOEM/IP/RR/2022 y acumulados</w:t>
          </w:r>
        </w:p>
      </w:tc>
    </w:tr>
    <w:tr>
      <w:trPr>
        <w:cantSplit w:val="0"/>
        <w:trHeight w:val="130" w:hRule="atLeast"/>
        <w:tblHeader w:val="0"/>
      </w:trPr>
      <w:tc>
        <w:tcPr>
          <w:shd w:fill="auto" w:val="clear"/>
          <w:vAlign w:val="center"/>
        </w:tcPr>
        <w:p w:rsidR="00000000" w:rsidDel="00000000" w:rsidP="00000000" w:rsidRDefault="00000000" w:rsidRPr="00000000" w14:paraId="0000015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155">
          <w:pPr>
            <w:ind w:left="-45" w:firstLine="0"/>
            <w:jc w:val="both"/>
            <w:rPr>
              <w:rFonts w:ascii="Palatino Linotype" w:cs="Palatino Linotype" w:eastAsia="Palatino Linotype" w:hAnsi="Palatino Linotype"/>
              <w:b w:val="1"/>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5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57">
          <w:pPr>
            <w:ind w:left="-45" w:right="6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Sistema Municipal Para el Desarrollo Integral de la Familia de Metepec</w:t>
          </w:r>
        </w:p>
      </w:tc>
    </w:tr>
    <w:tr>
      <w:trPr>
        <w:cantSplit w:val="0"/>
        <w:tblHeader w:val="0"/>
      </w:trPr>
      <w:tc>
        <w:tcPr>
          <w:shd w:fill="auto" w:val="clear"/>
          <w:vAlign w:val="center"/>
        </w:tcPr>
        <w:p w:rsidR="00000000" w:rsidDel="00000000" w:rsidP="00000000" w:rsidRDefault="00000000" w:rsidRPr="00000000" w14:paraId="0000015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59">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-396397</wp:posOffset>
          </wp:positionV>
          <wp:extent cx="7809865" cy="10165715"/>
          <wp:effectExtent b="0" l="0" r="0" t="0"/>
          <wp:wrapNone/>
          <wp:docPr id="3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873.0" w:type="dxa"/>
      <w:jc w:val="left"/>
      <w:tblInd w:w="3261.0" w:type="dxa"/>
      <w:tblLayout w:type="fixed"/>
      <w:tblLook w:val="0400"/>
    </w:tblPr>
    <w:tblGrid>
      <w:gridCol w:w="2409"/>
      <w:gridCol w:w="3464"/>
      <w:tblGridChange w:id="0">
        <w:tblGrid>
          <w:gridCol w:w="2409"/>
          <w:gridCol w:w="3464"/>
        </w:tblGrid>
      </w:tblGridChange>
    </w:tblGrid>
    <w:tr>
      <w:trPr>
        <w:cantSplit w:val="0"/>
        <w:tblHeader w:val="0"/>
      </w:trPr>
      <w:tc>
        <w:tcPr>
          <w:shd w:fill="auto" w:val="clear"/>
        </w:tcPr>
        <w:p w:rsidR="00000000" w:rsidDel="00000000" w:rsidP="00000000" w:rsidRDefault="00000000" w:rsidRPr="00000000" w14:paraId="0000015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5D">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02829/INFOEM/IP/RR/2022 y acumulados</w:t>
          </w:r>
        </w:p>
      </w:tc>
    </w:tr>
    <w:tr>
      <w:trPr>
        <w:cantSplit w:val="0"/>
        <w:trHeight w:val="228" w:hRule="atLeast"/>
        <w:tblHeader w:val="0"/>
      </w:trPr>
      <w:tc>
        <w:tcPr>
          <w:shd w:fill="auto" w:val="clear"/>
          <w:vAlign w:val="center"/>
        </w:tcPr>
        <w:p w:rsidR="00000000" w:rsidDel="00000000" w:rsidP="00000000" w:rsidRDefault="00000000" w:rsidRPr="00000000" w14:paraId="0000015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5F">
          <w:pPr>
            <w:ind w:left="-45" w:right="662"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Sistema Municipal Para el Desarrollo Integral de la Familia de Metepec</w:t>
          </w:r>
        </w:p>
      </w:tc>
    </w:tr>
    <w:tr>
      <w:trPr>
        <w:cantSplit w:val="0"/>
        <w:tblHeader w:val="0"/>
      </w:trPr>
      <w:tc>
        <w:tcPr>
          <w:shd w:fill="auto" w:val="clear"/>
          <w:vAlign w:val="center"/>
        </w:tcPr>
        <w:p w:rsidR="00000000" w:rsidDel="00000000" w:rsidP="00000000" w:rsidRDefault="00000000" w:rsidRPr="00000000" w14:paraId="00000160">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61">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106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rPr>
      <w:sz w:val="22"/>
      <w:szCs w:val="22"/>
    </w:rPr>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rPr>
      <w:sz w:val="22"/>
      <w:szCs w:val="22"/>
    </w:rPr>
    <w:tblPr>
      <w:tblStyleRowBandSize w:val="1"/>
      <w:tblStyleColBandSize w:val="1"/>
      <w:tblCellMar>
        <w:left w:w="115.0" w:type="dxa"/>
        <w:right w:w="115.0" w:type="dxa"/>
      </w:tblCellMar>
    </w:tblPr>
  </w:style>
  <w:style w:type="table" w:styleId="a8" w:customStyle="1">
    <w:basedOn w:val="TableNormal2"/>
    <w:rPr>
      <w:sz w:val="22"/>
      <w:szCs w:val="22"/>
    </w:rPr>
    <w:tblPr>
      <w:tblStyleRowBandSize w:val="1"/>
      <w:tblStyleColBandSize w:val="1"/>
      <w:tblCellMar>
        <w:left w:w="115.0" w:type="dxa"/>
        <w:right w:w="115.0" w:type="dxa"/>
      </w:tblCellMar>
    </w:tblPr>
  </w:style>
  <w:style w:type="table" w:styleId="a9" w:customStyle="1">
    <w:basedOn w:val="TableNormal2"/>
    <w:rPr>
      <w:sz w:val="22"/>
      <w:szCs w:val="22"/>
    </w:rPr>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 w:customStyle="1">
    <w:basedOn w:val="TableNormal2"/>
    <w:rPr>
      <w:sz w:val="22"/>
      <w:szCs w:val="22"/>
    </w:rPr>
    <w:tblPr>
      <w:tblStyleRowBandSize w:val="1"/>
      <w:tblStyleColBandSize w:val="1"/>
      <w:tblCellMar>
        <w:left w:w="115.0" w:type="dxa"/>
        <w:right w:w="115.0" w:type="dxa"/>
      </w:tblCellMar>
    </w:tblPr>
  </w:style>
  <w:style w:type="table" w:styleId="af0" w:customStyle="1">
    <w:basedOn w:val="TableNormal2"/>
    <w:rPr>
      <w:sz w:val="22"/>
      <w:szCs w:val="22"/>
    </w:rPr>
    <w:tblPr>
      <w:tblStyleRowBandSize w:val="1"/>
      <w:tblStyleColBandSize w:val="1"/>
      <w:tblCellMar>
        <w:left w:w="115.0" w:type="dxa"/>
        <w:right w:w="115.0" w:type="dxa"/>
      </w:tblCellMar>
    </w:tblPr>
  </w:style>
  <w:style w:type="table" w:styleId="af1" w:customStyle="1">
    <w:basedOn w:val="TableNormal1"/>
    <w:rPr>
      <w:sz w:val="22"/>
      <w:szCs w:val="22"/>
    </w:rPr>
    <w:tblPr>
      <w:tblStyleRowBandSize w:val="1"/>
      <w:tblStyleColBandSize w:val="1"/>
      <w:tblCellMar>
        <w:left w:w="115.0" w:type="dxa"/>
        <w:right w:w="115.0" w:type="dxa"/>
      </w:tblCellMar>
    </w:tblPr>
  </w:style>
  <w:style w:type="table" w:styleId="af2" w:customStyle="1">
    <w:basedOn w:val="TableNormal1"/>
    <w:rPr>
      <w:sz w:val="22"/>
      <w:szCs w:val="22"/>
    </w:rPr>
    <w:tblPr>
      <w:tblStyleRowBandSize w:val="1"/>
      <w:tblStyleColBandSize w:val="1"/>
      <w:tblCellMar>
        <w:left w:w="115.0" w:type="dxa"/>
        <w:right w:w="115.0" w:type="dxa"/>
      </w:tblCellMar>
    </w:tblPr>
  </w:style>
  <w:style w:type="table" w:styleId="af3" w:customStyle="1">
    <w:basedOn w:val="TableNormal1"/>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4" w:customStyle="1">
    <w:basedOn w:val="TableNormal1"/>
    <w:rPr>
      <w:sz w:val="22"/>
      <w:szCs w:val="22"/>
    </w:rPr>
    <w:tblPr>
      <w:tblStyleRowBandSize w:val="1"/>
      <w:tblStyleColBandSize w:val="1"/>
      <w:tblCellMar>
        <w:left w:w="115.0" w:type="dxa"/>
        <w:right w:w="115.0" w:type="dxa"/>
      </w:tblCellMar>
    </w:tblPr>
  </w:style>
  <w:style w:type="table" w:styleId="af5" w:customStyle="1">
    <w:basedOn w:val="TableNormal1"/>
    <w:rPr>
      <w:sz w:val="22"/>
      <w:szCs w:val="22"/>
    </w:rPr>
    <w:tblPr>
      <w:tblStyleRowBandSize w:val="1"/>
      <w:tblStyleColBandSize w:val="1"/>
      <w:tblCellMar>
        <w:left w:w="115.0" w:type="dxa"/>
        <w:right w:w="115.0" w:type="dxa"/>
      </w:tblCellMar>
    </w:tblPr>
  </w:style>
  <w:style w:type="table" w:styleId="af6" w:customStyle="1">
    <w:basedOn w:val="TableNormal0"/>
    <w:rPr>
      <w:sz w:val="22"/>
      <w:szCs w:val="22"/>
    </w:rPr>
    <w:tblPr>
      <w:tblStyleRowBandSize w:val="1"/>
      <w:tblStyleColBandSize w:val="1"/>
      <w:tblCellMar>
        <w:left w:w="115.0" w:type="dxa"/>
        <w:right w:w="115.0" w:type="dxa"/>
      </w:tblCellMar>
    </w:tblPr>
  </w:style>
  <w:style w:type="table" w:styleId="af7" w:customStyle="1">
    <w:basedOn w:val="TableNormal0"/>
    <w:rPr>
      <w:sz w:val="22"/>
      <w:szCs w:val="22"/>
    </w:rPr>
    <w:tblPr>
      <w:tblStyleRowBandSize w:val="1"/>
      <w:tblStyleColBandSize w:val="1"/>
      <w:tblCellMar>
        <w:left w:w="115.0" w:type="dxa"/>
        <w:right w:w="115.0" w:type="dxa"/>
      </w:tblCellMar>
    </w:tblPr>
  </w:style>
  <w:style w:type="table" w:styleId="af8" w:customStyle="1">
    <w:basedOn w:val="TableNormal0"/>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0"/>
    <w:rPr>
      <w:sz w:val="22"/>
      <w:szCs w:val="22"/>
    </w:rPr>
    <w:tblPr>
      <w:tblStyleRowBandSize w:val="1"/>
      <w:tblStyleColBandSize w:val="1"/>
      <w:tblCellMar>
        <w:left w:w="115.0" w:type="dxa"/>
        <w:right w:w="115.0" w:type="dxa"/>
      </w:tblCellMar>
    </w:tblPr>
  </w:style>
  <w:style w:type="table" w:styleId="afa" w:customStyle="1">
    <w:basedOn w:val="TableNormal0"/>
    <w:rPr>
      <w:sz w:val="22"/>
      <w:szCs w:val="22"/>
    </w:rPr>
    <w:tblPr>
      <w:tblStyleRowBandSize w:val="1"/>
      <w:tblStyleColBandSize w:val="1"/>
      <w:tblCellMar>
        <w:left w:w="115.0" w:type="dxa"/>
        <w:right w:w="115.0" w:type="dxa"/>
      </w:tblCellMar>
    </w:tbl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sz w:val="22"/>
      <w:szCs w:val="22"/>
    </w:rPr>
    <w:tblPr>
      <w:tblStyleRowBandSize w:val="1"/>
      <w:tblStyleColBandSize w:val="1"/>
      <w:tblCellMar>
        <w:top w:w="0.0" w:type="dxa"/>
        <w:left w:w="115.0" w:type="dxa"/>
        <w:bottom w:w="0.0" w:type="dxa"/>
        <w:right w:w="115.0" w:type="dxa"/>
      </w:tblCellMar>
    </w:tblPr>
  </w:style>
  <w:style w:type="table" w:styleId="Table2">
    <w:basedOn w:val="TableNormal"/>
    <w:rPr>
      <w:sz w:val="22"/>
      <w:szCs w:val="22"/>
    </w:rPr>
    <w:tblPr>
      <w:tblStyleRowBandSize w:val="1"/>
      <w:tblStyleColBandSize w:val="1"/>
      <w:tblCellMar>
        <w:top w:w="0.0" w:type="dxa"/>
        <w:left w:w="115.0" w:type="dxa"/>
        <w:bottom w:w="0.0" w:type="dxa"/>
        <w:right w:w="115.0" w:type="dxa"/>
      </w:tblCellMar>
    </w:tblPr>
  </w:style>
  <w:style w:type="table" w:styleId="Table3">
    <w:basedOn w:val="TableNormal"/>
    <w:rPr>
      <w:sz w:val="22"/>
      <w:szCs w:val="22"/>
    </w:rPr>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4">
    <w:basedOn w:val="TableNormal"/>
    <w:rPr>
      <w:sz w:val="22"/>
      <w:szCs w:val="22"/>
    </w:rPr>
    <w:tblPr>
      <w:tblStyleRowBandSize w:val="1"/>
      <w:tblStyleColBandSize w:val="1"/>
      <w:tblCellMar>
        <w:top w:w="0.0" w:type="dxa"/>
        <w:left w:w="115.0" w:type="dxa"/>
        <w:bottom w:w="0.0" w:type="dxa"/>
        <w:right w:w="115.0" w:type="dxa"/>
      </w:tblCellMar>
    </w:tblPr>
  </w:style>
  <w:style w:type="table" w:styleId="Table5">
    <w:basedOn w:val="TableNormal"/>
    <w:rPr>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numbering" Target="numbering.xml"/><Relationship Id="rId10" Type="http://schemas.openxmlformats.org/officeDocument/2006/relationships/footnotes" Target="footnotes.xml"/><Relationship Id="rId21" Type="http://schemas.openxmlformats.org/officeDocument/2006/relationships/header" Target="header3.xml"/><Relationship Id="rId13" Type="http://schemas.openxmlformats.org/officeDocument/2006/relationships/customXml" Target="../customXML/item1.xml"/><Relationship Id="rId12" Type="http://schemas.openxmlformats.org/officeDocument/2006/relationships/styles" Target="styles.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fontTable" Target="fontTable.xml"/><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image" Target="media/image4.png"/><Relationship Id="rId5" Type="http://schemas.openxmlformats.org/officeDocument/2006/relationships/image" Target="media/image1.png"/><Relationship Id="rId19" Type="http://schemas.openxmlformats.org/officeDocument/2006/relationships/footer" Target="footer2.xml"/><Relationship Id="rId6" Type="http://schemas.openxmlformats.org/officeDocument/2006/relationships/oleObject" Target="embeddings/oleObject1.bin"/><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10" Type="http://schemas.openxmlformats.org/officeDocument/2006/relationships/font" Target="fonts/PalatinoLinotype-boldItalic.ttf"/><Relationship Id="rId9" Type="http://schemas.openxmlformats.org/officeDocument/2006/relationships/font" Target="fonts/PalatinoLinotype-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1eSijVCc7GM0Awctn1Vx154vFA==">AMUW2mX/AtXi4dw6+fJ+XCC+PqAHNf5wwbj5xDC28m6NZ3WmOuOjdg21Pm1jLn/QfTGzoY/o8yw2x85JotT5Jg0NuQNH+aAF0HBYGVMvyQ1sMx2UwkVrJA41cO92BWR/lM+yA4rbN829AlFF8J9L0P8Bwes+EBD9k8TuA8Y2peUJ9uYspOmqe7c=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2022-06-02T05:10:00Z</dcterms:created>
  <dc:creator>iMac</dc:creator>
</cp:coreProperties>
</file>