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19F98"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nueve de marzo del dos mil veintidós.</w:t>
      </w:r>
    </w:p>
    <w:p w14:paraId="14D48315" w14:textId="0C1F1BAA"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sz w:val="22"/>
          <w:szCs w:val="22"/>
        </w:rPr>
        <w:t>00194/INFOEM/IP/RR/2022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XXXXXXXXXXXX</w:t>
      </w:r>
      <w:r>
        <w:rPr>
          <w:rFonts w:ascii="Palatino Linotype" w:eastAsia="Palatino Linotype" w:hAnsi="Palatino Linotype" w:cs="Palatino Linotype"/>
        </w:rPr>
        <w:t xml:space="preserve">, a quien en lo sucesivo se le denominará el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contra de la respuesta a su solicitud de información con número de folio </w:t>
      </w:r>
      <w:r>
        <w:rPr>
          <w:rFonts w:ascii="Palatino Linotype" w:eastAsia="Palatino Linotype" w:hAnsi="Palatino Linotype" w:cs="Palatino Linotype"/>
          <w:b/>
          <w:sz w:val="22"/>
          <w:szCs w:val="22"/>
        </w:rPr>
        <w:t>00150/CHAPULTE/IP/2021</w:t>
      </w:r>
      <w:r>
        <w:rPr>
          <w:rFonts w:ascii="Palatino Linotype" w:eastAsia="Palatino Linotype" w:hAnsi="Palatino Linotype" w:cs="Palatino Linotype"/>
        </w:rPr>
        <w:t xml:space="preserve">, emitida por el </w:t>
      </w:r>
      <w:r>
        <w:rPr>
          <w:rFonts w:ascii="Palatino Linotype" w:eastAsia="Palatino Linotype" w:hAnsi="Palatino Linotype" w:cs="Palatino Linotype"/>
          <w:b/>
        </w:rPr>
        <w:t>Ayuntamiento de Chapultepec</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se procede a dictar la presente resolución, con base en lo siguiente.</w:t>
      </w:r>
    </w:p>
    <w:p w14:paraId="37B56FA8" w14:textId="77777777" w:rsidR="00052B44" w:rsidRDefault="00052B44" w:rsidP="00052B44">
      <w:pPr>
        <w:pStyle w:val="Ttulo2"/>
        <w:spacing w:before="240" w:after="24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 A N T E C E D E N T E S:</w:t>
      </w:r>
    </w:p>
    <w:p w14:paraId="46894E42" w14:textId="77777777" w:rsidR="00052B44" w:rsidRDefault="00052B44" w:rsidP="00052B4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diecisiete de diciembre de dos mil veintiuno,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la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SAIMEX lo siguiente:</w:t>
      </w:r>
    </w:p>
    <w:p w14:paraId="1C8C05BB" w14:textId="77777777" w:rsidR="00052B44" w:rsidRDefault="00052B44" w:rsidP="00052B44">
      <w:pPr>
        <w:spacing w:before="240" w:after="240" w:line="276" w:lineRule="auto"/>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Indicar el total de policías municipales que han sido de baja desde enero de 2016 hasta la fecha. Desglosar las cantidades por mes y año.  Desglosar la siguiente información por caso: Indicar fecha de baja, puesto o grado del policía, motivo, sección o división a la que pertenecía, número de expediente, a que instancia fue turnado el caso, estatus, si el elemento fue reubicado en su puesto. Aclaro que la información solicitada es meramente estadística en ningún momento se pide información o datos personales.</w:t>
      </w:r>
      <w:r>
        <w:rPr>
          <w:rFonts w:ascii="Palatino Linotype" w:eastAsia="Palatino Linotype" w:hAnsi="Palatino Linotype" w:cs="Palatino Linotype"/>
          <w:i/>
          <w:sz w:val="22"/>
          <w:szCs w:val="22"/>
        </w:rPr>
        <w:t>” (sic)</w:t>
      </w:r>
    </w:p>
    <w:p w14:paraId="42C4A2E9" w14:textId="77777777" w:rsidR="00052B44" w:rsidRDefault="00052B44" w:rsidP="00052B4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El solicitante indicó como modalidad de entrega por vía SAIMEX</w:t>
      </w:r>
      <w:r>
        <w:rPr>
          <w:rFonts w:ascii="Palatino Linotype" w:eastAsia="Palatino Linotype" w:hAnsi="Palatino Linotype" w:cs="Palatino Linotype"/>
          <w:b/>
        </w:rPr>
        <w:t>.</w:t>
      </w:r>
    </w:p>
    <w:p w14:paraId="0CAAA588" w14:textId="77777777" w:rsidR="00052B44" w:rsidRDefault="00052B44" w:rsidP="00052B44">
      <w:pPr>
        <w:spacing w:before="240" w:after="240" w:line="360" w:lineRule="auto"/>
        <w:jc w:val="both"/>
        <w:rPr>
          <w:rFonts w:ascii="Palatino Linotype" w:eastAsia="Palatino Linotype" w:hAnsi="Palatino Linotype" w:cs="Palatino Linotype"/>
        </w:rPr>
      </w:pPr>
    </w:p>
    <w:p w14:paraId="099D0091" w14:textId="77777777" w:rsidR="00052B44" w:rsidRDefault="00052B44" w:rsidP="00052B44">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seis de enero del año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a través del SAIMEX, notificó la siguiente respuesta al particular:</w:t>
      </w:r>
    </w:p>
    <w:p w14:paraId="672B69F4" w14:textId="77777777" w:rsidR="00052B44" w:rsidRDefault="00052B44" w:rsidP="00052B44">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sz w:val="18"/>
          <w:szCs w:val="18"/>
        </w:rPr>
        <w:t> </w:t>
      </w: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III, V y VI de la Ley de Transparencia y Acceso a la Información Pública del Estado de México y Municipios, le contestamos que:</w:t>
      </w:r>
    </w:p>
    <w:p w14:paraId="078CA716" w14:textId="77777777" w:rsidR="00052B44" w:rsidRDefault="00052B44" w:rsidP="00052B44">
      <w:pPr>
        <w:spacing w:before="240" w:after="240" w:line="276"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color w:val="000000"/>
          <w:sz w:val="22"/>
          <w:szCs w:val="22"/>
        </w:rPr>
        <w:t>Después de haber realizado una búsqueda exhaustiva en el archivo de la Dirección de seguridad Pública Municipal, no se encontró dato alguno, en relación a los años 2016, 2017, 2018, 2019, 2020 y 2021, en lo que se puede obtener información sobre lo que solicita. Por lo que hace a este año 2022 no se han dado de baja ningún elemento. Sin más por el momento me reitero a sus órdenes.</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xml:space="preserve"> (Sic)</w:t>
      </w:r>
    </w:p>
    <w:p w14:paraId="39F2AA9E"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Recurso de revisión. </w:t>
      </w:r>
      <w:r>
        <w:rPr>
          <w:rFonts w:ascii="Palatino Linotype" w:eastAsia="Palatino Linotype" w:hAnsi="Palatino Linotype" w:cs="Palatino Linotype"/>
        </w:rPr>
        <w:t>El recurso de revisión se interpuso a través del SAIMEX con fecha veinte de enero de dos mil veintidós, por parte del solicitante de información, quien expresó las siguientes manifestaciones:</w:t>
      </w:r>
    </w:p>
    <w:p w14:paraId="2D884F02" w14:textId="77777777" w:rsidR="00052B44" w:rsidRDefault="00052B44" w:rsidP="00052B44">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614BD0DF" w14:textId="77777777" w:rsidR="00052B44" w:rsidRDefault="00052B44" w:rsidP="00052B44">
      <w:pPr>
        <w:spacing w:before="240" w:after="240" w:line="360"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i/>
        </w:rPr>
        <w:t xml:space="preserve">“Información Inexistentes” </w:t>
      </w:r>
      <w:r>
        <w:rPr>
          <w:rFonts w:ascii="Palatino Linotype" w:eastAsia="Palatino Linotype" w:hAnsi="Palatino Linotype" w:cs="Palatino Linotype"/>
        </w:rPr>
        <w:t>(sic)</w:t>
      </w:r>
    </w:p>
    <w:p w14:paraId="3498F05A" w14:textId="77777777" w:rsidR="00052B44" w:rsidRDefault="00052B44" w:rsidP="00052B44">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6A497167"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i/>
        </w:rPr>
        <w:t>“</w:t>
      </w:r>
      <w:r>
        <w:rPr>
          <w:rFonts w:ascii="Palatino Linotype" w:eastAsia="Palatino Linotype" w:hAnsi="Palatino Linotype" w:cs="Palatino Linotype"/>
          <w:i/>
          <w:color w:val="000000"/>
        </w:rPr>
        <w:t>Considero que el Sujeto Obligado debe aclarar si no encuentra la información o si las respuestas son igual a 0 (cero). Tanto para las solicitudes 00150/CHAPULTEPEC/IP/2021 y 00151/CHAPULTEPEC/IP/2021</w:t>
      </w:r>
      <w:r>
        <w:rPr>
          <w:rFonts w:ascii="Palatino Linotype" w:eastAsia="Palatino Linotype" w:hAnsi="Palatino Linotype" w:cs="Palatino Linotype"/>
          <w:i/>
        </w:rPr>
        <w:t xml:space="preserve">. </w:t>
      </w:r>
      <w:r>
        <w:rPr>
          <w:rFonts w:ascii="Palatino Linotype" w:eastAsia="Palatino Linotype" w:hAnsi="Palatino Linotype" w:cs="Palatino Linotype"/>
        </w:rPr>
        <w:t>(sic)</w:t>
      </w:r>
    </w:p>
    <w:p w14:paraId="1E906BEA"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 xml:space="preserve">De conformidad con el artículo 185 fracción VII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para su análisis, estudio, elaboración del proyecto y presentación ante el Pleno de este Instituto.</w:t>
      </w:r>
    </w:p>
    <w:p w14:paraId="2588AE46"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 xml:space="preserve">Mediante auto de fecha veinticinco de enero del año dos mil veintidós, este Órgano Garante, admitió a trámite el recurso de revisión respectivo, poniéndose a disposición de las partes, para que un plazo no mayor a siete días hábiles manifestaran lo que a su derecho corresponda, a efecto de ofrecer pruebas, informe justificado y alegatos, lo anterior con fundamento en el artículo 185 fracciones I, II y IV de la Ley de Transparencia y Acceso a la Información Pública del Estado de México y Municipios. </w:t>
      </w:r>
    </w:p>
    <w:p w14:paraId="07928B19" w14:textId="77777777" w:rsidR="00052B44" w:rsidRDefault="00052B44" w:rsidP="00052B4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del expediente electrónico del</w:t>
      </w:r>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Saimex</w:t>
      </w:r>
      <w:proofErr w:type="spellEnd"/>
      <w:r>
        <w:rPr>
          <w:rFonts w:ascii="Palatino Linotype" w:eastAsia="Palatino Linotype" w:hAnsi="Palatino Linotype" w:cs="Palatino Linotype"/>
        </w:rPr>
        <w:t xml:space="preserve">, se observa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en fecha veintiocho de enero de dos mil veintidós, el archivo denominado </w:t>
      </w:r>
      <w:r>
        <w:rPr>
          <w:rFonts w:ascii="Palatino Linotype" w:eastAsia="Palatino Linotype" w:hAnsi="Palatino Linotype" w:cs="Palatino Linotype"/>
          <w:b/>
        </w:rPr>
        <w:t xml:space="preserve">INFORME JUSTIFICADO 150.PDF, donde el Sujeto Obligado, aporta lo siguiente: por tal motivo se observa y se le informa al recurrente que: </w:t>
      </w:r>
    </w:p>
    <w:p w14:paraId="1BEF057E" w14:textId="77777777" w:rsidR="00052B44" w:rsidRDefault="00052B44" w:rsidP="00052B44">
      <w:pPr>
        <w:spacing w:before="240" w:after="240" w:line="360" w:lineRule="auto"/>
        <w:jc w:val="center"/>
        <w:rPr>
          <w:rFonts w:ascii="Palatino Linotype" w:eastAsia="Palatino Linotype" w:hAnsi="Palatino Linotype" w:cs="Palatino Linotype"/>
          <w:b/>
        </w:rPr>
      </w:pPr>
    </w:p>
    <w:p w14:paraId="3BB26A39"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076E36F0" wp14:editId="2A3E5268">
            <wp:extent cx="5612130" cy="5628005"/>
            <wp:effectExtent l="0" t="0" r="0" b="0"/>
            <wp:docPr id="1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612130" cy="5628005"/>
                    </a:xfrm>
                    <a:prstGeom prst="rect">
                      <a:avLst/>
                    </a:prstGeom>
                    <a:ln/>
                  </pic:spPr>
                </pic:pic>
              </a:graphicData>
            </a:graphic>
          </wp:inline>
        </w:drawing>
      </w:r>
    </w:p>
    <w:p w14:paraId="46A1D011"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Cabe precisar que el particular hoy </w:t>
      </w:r>
      <w:r>
        <w:rPr>
          <w:rFonts w:ascii="Palatino Linotype" w:eastAsia="Palatino Linotype" w:hAnsi="Palatino Linotype" w:cs="Palatino Linotype"/>
          <w:b/>
          <w:i/>
        </w:rPr>
        <w:t xml:space="preserve">Recurrente </w:t>
      </w:r>
      <w:r>
        <w:rPr>
          <w:rFonts w:ascii="Palatino Linotype" w:eastAsia="Palatino Linotype" w:hAnsi="Palatino Linotype" w:cs="Palatino Linotype"/>
        </w:rPr>
        <w:t>fue omiso en manifestar alegatos u ofrecer pruebas en el momento procesal determinado para ello.</w:t>
      </w:r>
    </w:p>
    <w:p w14:paraId="48B80154"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Con fecha once de febrero 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5617D599" w14:textId="77777777" w:rsidR="00052B44" w:rsidRDefault="00052B44" w:rsidP="00052B44">
      <w:pPr>
        <w:pStyle w:val="Ttulo2"/>
        <w:spacing w:before="240" w:after="24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II. C O N S I D E R A N D O:</w:t>
      </w:r>
    </w:p>
    <w:p w14:paraId="6B6A1F81" w14:textId="77777777" w:rsidR="00052B44" w:rsidRDefault="00052B44" w:rsidP="00052B4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trigésimo segundo fracción IV y V de la Constitución Política del Estado Libre y Soberano de México; 1, 2, fracción II; 13,  29, 36, fracciones I y II; 176, 178, 179, 181 párrafo 3 y 185 de la Ley Transparencia y Acceso a la Información Pública del Estado de México y Municipios; </w:t>
      </w:r>
      <w:r>
        <w:rPr>
          <w:rFonts w:ascii="Palatino Linotype" w:eastAsia="Palatino Linotype" w:hAnsi="Palatino Linotype" w:cs="Palatino Linotype"/>
        </w:rPr>
        <w:t xml:space="preserve">9 fracciones I, XXIV y 11 </w:t>
      </w:r>
      <w:r>
        <w:rPr>
          <w:rFonts w:ascii="Palatino Linotype" w:eastAsia="Palatino Linotype" w:hAnsi="Palatino Linotype" w:cs="Palatino Linotype"/>
          <w:highlight w:val="white"/>
        </w:rPr>
        <w:t xml:space="preserve">del Reglamento </w:t>
      </w:r>
      <w:r>
        <w:rPr>
          <w:rFonts w:ascii="Palatino Linotype" w:eastAsia="Palatino Linotype" w:hAnsi="Palatino Linotype" w:cs="Palatino Linotype"/>
          <w:highlight w:val="white"/>
        </w:rPr>
        <w:lastRenderedPageBreak/>
        <w:t>Interior del Instituto de Transparencia, Acceso a la Información Pública y Protección de Datos Personales del Estado de México y Municipios.</w:t>
      </w:r>
    </w:p>
    <w:p w14:paraId="6147784B"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SEGUNDO. </w:t>
      </w:r>
      <w:r>
        <w:rPr>
          <w:rFonts w:ascii="Palatino Linotype" w:eastAsia="Palatino Linotype" w:hAnsi="Palatino Linotype" w:cs="Palatino Linotype"/>
          <w:b/>
        </w:rPr>
        <w:t>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la solicitante en fecha seis de enero del año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veinte de enero del dos mil veintidós, esto es al noveno día hábil de aquel en que tuvo conocimiento de la respuesta; evidenciándose que la interposición del recurso se encuentra dentro de los márgenes temporales previstos en el citado precepto legal. </w:t>
      </w:r>
    </w:p>
    <w:p w14:paraId="0DDECCC3"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Al mismo tiempo, por cuanto hace a la procedibilidad del recurso de revisión, es de suma importancia señalar que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no proporcionó nombre o seudónimo</w:t>
      </w:r>
      <w:r>
        <w:rPr>
          <w:rFonts w:ascii="Palatino Linotype" w:eastAsia="Palatino Linotype" w:hAnsi="Palatino Linotype" w:cs="Palatino Linotype"/>
          <w:color w:val="000000"/>
        </w:rPr>
        <w:t xml:space="preserve"> como se advierte en el detalle de seguimiento del SAIMEX, no obstante lo anterior, no proporcionar el nombre completo no es motivo para archivar la solicitud de acceso a la información pública como concluida, conforme a lo previsto </w:t>
      </w:r>
      <w:r>
        <w:rPr>
          <w:rFonts w:ascii="Palatino Linotype" w:eastAsia="Palatino Linotype" w:hAnsi="Palatino Linotype" w:cs="Palatino Linotype"/>
          <w:color w:val="000000"/>
        </w:rPr>
        <w:lastRenderedPageBreak/>
        <w:t>en el artículo 155, penúltimo párrafo de la Ley de Transparencia y Acceso a la Información Pública del Estado de México y Municipios que establece lo siguiente:</w:t>
      </w:r>
    </w:p>
    <w:p w14:paraId="3761FD74"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Las solicitudes anónimas</w:t>
      </w:r>
      <w:r>
        <w:rPr>
          <w:rFonts w:ascii="Palatino Linotype" w:eastAsia="Palatino Linotype" w:hAnsi="Palatino Linotype" w:cs="Palatino Linotype"/>
          <w:i/>
          <w:color w:val="000000"/>
          <w:sz w:val="22"/>
          <w:szCs w:val="22"/>
        </w:rPr>
        <w:t xml:space="preserve">, con nombre incompleto o seudónimo </w:t>
      </w:r>
      <w:r>
        <w:rPr>
          <w:rFonts w:ascii="Palatino Linotype" w:eastAsia="Palatino Linotype" w:hAnsi="Palatino Linotype" w:cs="Palatino Linotype"/>
          <w:b/>
          <w:i/>
          <w:color w:val="000000"/>
          <w:sz w:val="22"/>
          <w:szCs w:val="22"/>
        </w:rPr>
        <w:t>serán procedentes para su trámite por parte del sujeto obligado ante quien se presente</w:t>
      </w:r>
      <w:r>
        <w:rPr>
          <w:rFonts w:ascii="Palatino Linotype" w:eastAsia="Palatino Linotype" w:hAnsi="Palatino Linotype" w:cs="Palatino Linotype"/>
          <w:i/>
          <w:color w:val="000000"/>
          <w:sz w:val="22"/>
          <w:szCs w:val="22"/>
        </w:rPr>
        <w:t>. No podrá requerirse información adicional con motivo del nombre proporcionado por el solicitante."</w:t>
      </w:r>
    </w:p>
    <w:p w14:paraId="45450FDA"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Lo anterior en estricta congruencia con lo determinado en los artículos 6, Apartado A, fracción III de la Constitución Política de los Estados Unidos Mexicanos y 5 párrafos trigésimo, trigésimo primero y trigésimo segundo fracción III, de la Constitución Política del Estado Libre y Soberano de México, que a la letra señalan:</w:t>
      </w:r>
    </w:p>
    <w:p w14:paraId="057DE754"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b/>
          <w:i/>
          <w:color w:val="000000"/>
          <w:sz w:val="22"/>
          <w:szCs w:val="22"/>
        </w:rPr>
        <w:t>Constitución Política de los Estados Unidos Mexicanos</w:t>
      </w:r>
    </w:p>
    <w:p w14:paraId="4A203FC8"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b/>
          <w:i/>
          <w:color w:val="000000"/>
          <w:sz w:val="22"/>
          <w:szCs w:val="22"/>
        </w:rPr>
        <w:t>“Artículo 6</w:t>
      </w:r>
      <w:proofErr w:type="gramStart"/>
      <w:r>
        <w:rPr>
          <w:rFonts w:ascii="Palatino Linotype" w:eastAsia="Palatino Linotype" w:hAnsi="Palatino Linotype" w:cs="Palatino Linotype"/>
          <w:b/>
          <w:i/>
          <w:color w:val="000000"/>
          <w:sz w:val="22"/>
          <w:szCs w:val="22"/>
        </w:rPr>
        <w:t>°.-</w:t>
      </w:r>
      <w:proofErr w:type="gramEnd"/>
      <w:r>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23BB352"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i/>
          <w:color w:val="000000"/>
          <w:sz w:val="22"/>
          <w:szCs w:val="22"/>
        </w:rPr>
        <w:t>(…)</w:t>
      </w:r>
    </w:p>
    <w:p w14:paraId="575B3E8F"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i/>
          <w:color w:val="000000"/>
          <w:sz w:val="22"/>
          <w:szCs w:val="22"/>
        </w:rPr>
        <w:t>Para efectos de lo dispuesto en el presente artículo se observará lo siguiente:</w:t>
      </w:r>
    </w:p>
    <w:p w14:paraId="627BD1C2"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b/>
          <w:i/>
          <w:color w:val="000000"/>
          <w:sz w:val="22"/>
          <w:szCs w:val="22"/>
        </w:rPr>
        <w:t>A.</w:t>
      </w:r>
      <w:r>
        <w:rPr>
          <w:rFonts w:ascii="Palatino Linotype" w:eastAsia="Palatino Linotype" w:hAnsi="Palatino Linotype" w:cs="Palatino Linotype"/>
          <w:i/>
          <w:color w:val="000000"/>
          <w:sz w:val="22"/>
          <w:szCs w:val="22"/>
        </w:rPr>
        <w:t> Para el ejercicio del derecho de acceso a la información, la Federación, los Estados y el Distrito Federal, en el ámbito de sus respectivas competencias, se regirán por los siguientes principios y bases:</w:t>
      </w:r>
    </w:p>
    <w:p w14:paraId="432AE933"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b/>
          <w:i/>
          <w:color w:val="000000"/>
          <w:sz w:val="22"/>
          <w:szCs w:val="22"/>
        </w:rPr>
        <w:lastRenderedPageBreak/>
        <w:t>...</w:t>
      </w:r>
    </w:p>
    <w:p w14:paraId="60412EAE"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Toda persona, sin necesidad de acreditar interés alguno o justificar su utilización, tendrá acceso gratuito a la información pública, a sus datos personales o a la rectificación de éstos.”</w:t>
      </w:r>
    </w:p>
    <w:p w14:paraId="3FA8AB4B"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b/>
          <w:i/>
          <w:color w:val="000000"/>
          <w:sz w:val="22"/>
          <w:szCs w:val="22"/>
        </w:rPr>
        <w:t>Constitución Política del Estado Libre y Soberano de México</w:t>
      </w:r>
    </w:p>
    <w:p w14:paraId="44C02D2B"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b/>
          <w:i/>
          <w:color w:val="000000"/>
          <w:sz w:val="22"/>
          <w:szCs w:val="22"/>
        </w:rPr>
        <w:t>“Artículo 5.-</w:t>
      </w:r>
      <w:r>
        <w:rPr>
          <w:rFonts w:ascii="Palatino Linotype" w:eastAsia="Palatino Linotype" w:hAnsi="Palatino Linotype" w:cs="Palatino Linotype"/>
          <w:i/>
          <w:color w:val="000000"/>
          <w:sz w:val="22"/>
          <w:szCs w:val="22"/>
        </w:rPr>
        <w:t xml:space="preserve">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1B91AB0E"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i/>
          <w:color w:val="000000"/>
          <w:sz w:val="22"/>
          <w:szCs w:val="22"/>
        </w:rPr>
        <w:t>(…)</w:t>
      </w:r>
    </w:p>
    <w:p w14:paraId="3E5C0929"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i/>
          <w:color w:val="000000"/>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BD831E6"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i/>
          <w:color w:val="000000"/>
          <w:sz w:val="22"/>
          <w:szCs w:val="22"/>
        </w:rPr>
        <w:t>Este derecho se regirá por los principios y bases siguientes:</w:t>
      </w:r>
    </w:p>
    <w:p w14:paraId="5FFF33BF"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b/>
          <w:i/>
          <w:color w:val="000000"/>
          <w:sz w:val="22"/>
          <w:szCs w:val="22"/>
        </w:rPr>
        <w:t>...</w:t>
      </w:r>
    </w:p>
    <w:p w14:paraId="5C711581"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Toda persona, sin necesidad de acreditar interés alguno o justificar su utilización, tendrá acceso gratuito a la información pública, a sus datos personales o a la rectificación de éstos;”</w:t>
      </w:r>
    </w:p>
    <w:p w14:paraId="7952DE03" w14:textId="77777777" w:rsidR="00052B44" w:rsidRDefault="00052B44" w:rsidP="00052B44">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7B1C055C" w14:textId="77777777" w:rsidR="00052B44" w:rsidRDefault="00052B44" w:rsidP="00052B44">
      <w:pPr>
        <w:spacing w:before="240" w:after="240" w:line="276"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Artículo 1</w:t>
      </w:r>
      <w:r>
        <w:rPr>
          <w:rFonts w:ascii="Palatino Linotype" w:eastAsia="Palatino Linotype" w:hAnsi="Palatino Linotype" w:cs="Palatino Linotype"/>
          <w:i/>
          <w:color w:val="000000"/>
          <w:sz w:val="22"/>
          <w:szCs w:val="22"/>
        </w:rPr>
        <w:t xml:space="preserve">. En los Estados Unidos Mexicanos todas las personas gozarán de los derechos humanos reconocidos en esta Constitución y en los </w:t>
      </w:r>
      <w:proofErr w:type="gramStart"/>
      <w:r>
        <w:rPr>
          <w:rFonts w:ascii="Palatino Linotype" w:eastAsia="Palatino Linotype" w:hAnsi="Palatino Linotype" w:cs="Palatino Linotype"/>
          <w:i/>
          <w:color w:val="000000"/>
          <w:sz w:val="22"/>
          <w:szCs w:val="22"/>
        </w:rPr>
        <w:t>tratados  internacionales</w:t>
      </w:r>
      <w:proofErr w:type="gramEnd"/>
      <w:r>
        <w:rPr>
          <w:rFonts w:ascii="Palatino Linotype" w:eastAsia="Palatino Linotype" w:hAnsi="Palatino Linotype" w:cs="Palatino Linotype"/>
          <w:i/>
          <w:color w:val="000000"/>
          <w:sz w:val="22"/>
          <w:szCs w:val="22"/>
        </w:rPr>
        <w:t xml:space="preserve"> de los que el Estado Mexicano sea parte, así como de las garantías para su protección, cuyo ejercicio no podrá restringirse ni suspenderse, salvo en los casos y bajo las condiciones que esta Constitución establece.</w:t>
      </w:r>
    </w:p>
    <w:p w14:paraId="7D068664" w14:textId="77777777" w:rsidR="00052B44" w:rsidRDefault="00052B44" w:rsidP="00052B44">
      <w:pPr>
        <w:spacing w:before="240" w:after="240" w:line="276"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7E5EA0C9" w14:textId="77777777" w:rsidR="00052B44" w:rsidRDefault="00052B44" w:rsidP="00052B44">
      <w:pPr>
        <w:spacing w:before="240" w:after="240" w:line="276"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i/>
          <w:color w:val="000000"/>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0F4B45F8"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color w:val="000000"/>
        </w:rPr>
        <w:t>derecho fundamental exime a quien lo ejerce</w:t>
      </w:r>
      <w:r>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5C7F3D0"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Robustece lo anterior, el Criterio 6/2014 del entonces Instituto Federal de Acceso a la Información y Protección de Datos, ahora Instituto Nacional de Transparencia </w:t>
      </w:r>
      <w:r>
        <w:rPr>
          <w:rFonts w:ascii="Palatino Linotype" w:eastAsia="Palatino Linotype" w:hAnsi="Palatino Linotype" w:cs="Palatino Linotype"/>
          <w:color w:val="000000"/>
        </w:rPr>
        <w:lastRenderedPageBreak/>
        <w:t>Acceso a la Información y Protección de Datos Personales, el cual se reproduce para una mayor referencia:</w:t>
      </w:r>
    </w:p>
    <w:p w14:paraId="72E15FA8" w14:textId="77777777" w:rsidR="00052B44" w:rsidRDefault="00052B44" w:rsidP="00052B44">
      <w:pPr>
        <w:spacing w:before="240" w:after="240" w:line="276"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b/>
          <w:i/>
          <w:color w:val="000000"/>
          <w:sz w:val="22"/>
          <w:szCs w:val="22"/>
        </w:rPr>
        <w:t>“Acceso a información gubernamental. No debe condicionarse a que el solicitante acredite su personalidad, demuestre interés alguno o justifique su utilización.</w:t>
      </w:r>
      <w:r>
        <w:rPr>
          <w:rFonts w:ascii="Palatino Linotype" w:eastAsia="Palatino Linotype" w:hAnsi="Palatino Linotype" w:cs="Palatino Linotype"/>
          <w:i/>
          <w:color w:val="000000"/>
          <w:sz w:val="22"/>
          <w:szCs w:val="22"/>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B1F9BDA"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w:t>
      </w:r>
      <w:r>
        <w:rPr>
          <w:rFonts w:ascii="Palatino Linotype" w:eastAsia="Palatino Linotype" w:hAnsi="Palatino Linotype" w:cs="Palatino Linotype"/>
          <w:color w:val="000000"/>
        </w:rPr>
        <w:lastRenderedPageBreak/>
        <w:t>procedimiento de recurso de revisión, circunstancia que se acredita en las constancias electrónicas del expediente electrónico en el que se actúa, de las que se desprende que la parte recurrente, es la misma que realizó la solicitud de acceso a la información pública que ahora se impugna.</w:t>
      </w:r>
    </w:p>
    <w:p w14:paraId="16AAE2B9"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 </w:t>
      </w:r>
    </w:p>
    <w:p w14:paraId="34C89598" w14:textId="77777777" w:rsidR="00052B44" w:rsidRDefault="00052B44" w:rsidP="00052B44">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revisión, según lo aducido por el recurrente en su acto impugnado como en sus motivos de inconformidad, de acuerdo al artículo 179 fracción III de la Ley de Transparencia y Acceso a la Información Pública del Estado de México y Municipios; que a la letra dice:</w:t>
      </w:r>
    </w:p>
    <w:p w14:paraId="0E1FBF83" w14:textId="77777777" w:rsidR="00052B44" w:rsidRDefault="00052B44" w:rsidP="00052B44">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14:paraId="7302CF84" w14:textId="77777777" w:rsidR="00052B44" w:rsidRDefault="00052B44" w:rsidP="00052B44">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14:paraId="4DDFED5E" w14:textId="77777777" w:rsidR="00052B44" w:rsidRDefault="00052B44" w:rsidP="00052B44">
      <w:pPr>
        <w:numPr>
          <w:ilvl w:val="0"/>
          <w:numId w:val="1"/>
        </w:numPr>
        <w:pBdr>
          <w:top w:val="nil"/>
          <w:left w:val="nil"/>
          <w:bottom w:val="nil"/>
          <w:right w:val="nil"/>
          <w:between w:val="nil"/>
        </w:pBdr>
        <w:spacing w:before="240" w:after="240" w:line="276" w:lineRule="auto"/>
        <w:ind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declaración de inexistencia de la información;</w:t>
      </w:r>
    </w:p>
    <w:p w14:paraId="22A21713"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 en su defecto, en caso de ser procedente, ordenar la entrega de información oportuna.  </w:t>
      </w:r>
    </w:p>
    <w:p w14:paraId="3F5C0B45"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peticiona información meramente estadística, no deseando información o datos personales, requiriendo le sea entregado un documento de tipo específico, que contenga del periodo del 01 de enero de 2016 al veinte de diciembre de 2021, lo siguiente:</w:t>
      </w:r>
    </w:p>
    <w:p w14:paraId="492927F6" w14:textId="77777777" w:rsidR="00052B44" w:rsidRDefault="00052B44" w:rsidP="00052B4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 total de policías municipales que han sido de baja;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w:t>
      </w:r>
    </w:p>
    <w:p w14:paraId="4AEEF6A9" w14:textId="77777777" w:rsidR="00052B44" w:rsidRDefault="00052B44" w:rsidP="00052B44">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manifestó:</w:t>
      </w:r>
    </w:p>
    <w:p w14:paraId="4C79999F" w14:textId="77777777" w:rsidR="00052B44" w:rsidRDefault="00052B44" w:rsidP="00052B44">
      <w:pPr>
        <w:spacing w:before="240" w:after="240"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III, V y VI de la Ley de Transparencia y Acceso a la Información Pública del Estado de México y Municipios, le contestamos que: </w:t>
      </w:r>
      <w:r>
        <w:rPr>
          <w:rFonts w:ascii="Palatino Linotype" w:eastAsia="Palatino Linotype" w:hAnsi="Palatino Linotype" w:cs="Palatino Linotype"/>
          <w:i/>
          <w:color w:val="000000"/>
          <w:sz w:val="22"/>
          <w:szCs w:val="22"/>
        </w:rPr>
        <w:t>Después de haber realizado una búsqueda exhaustiva en el archivo de la Dirección de Seguridad Pública Municipal, no se encontró dato alguno, en relación a los años 2016, 2017, 2018, 2019, 2020 y 2021, en lo que se puede obtener información sobre lo que solicita. Por lo que hace a este año 2022, no se han dado de baja ningún elemento.</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xml:space="preserve"> (Sic)</w:t>
      </w:r>
    </w:p>
    <w:p w14:paraId="700735A3" w14:textId="77777777" w:rsidR="00052B44" w:rsidRDefault="00052B44" w:rsidP="00052B44">
      <w:pP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Inconforme, el solicitante presentó recurso de revisión señalando como Acto impugnado: </w:t>
      </w:r>
    </w:p>
    <w:p w14:paraId="5FA195FD" w14:textId="77777777" w:rsidR="00052B44" w:rsidRDefault="00052B44" w:rsidP="00052B44">
      <w:pPr>
        <w:spacing w:before="240" w:after="240" w:line="360"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“Información inexistentes”</w:t>
      </w:r>
    </w:p>
    <w:p w14:paraId="5503FAC7" w14:textId="77777777" w:rsidR="00052B44" w:rsidRDefault="00052B44" w:rsidP="00052B44">
      <w:pP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Motivo de inconformidad</w:t>
      </w:r>
    </w:p>
    <w:p w14:paraId="14B88567" w14:textId="77777777" w:rsidR="00052B44" w:rsidRDefault="00052B44" w:rsidP="00052B44">
      <w:pP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“Considero que el Sujeto debe aclarar si no encuentra la información o si la respuesta es igual a 0 (cero). Tanto para </w:t>
      </w:r>
      <w:proofErr w:type="gramStart"/>
      <w:r>
        <w:rPr>
          <w:rFonts w:ascii="Palatino Linotype" w:eastAsia="Palatino Linotype" w:hAnsi="Palatino Linotype" w:cs="Palatino Linotype"/>
          <w:i/>
          <w:color w:val="000000"/>
          <w:sz w:val="22"/>
          <w:szCs w:val="22"/>
        </w:rPr>
        <w:t>las solicitud</w:t>
      </w:r>
      <w:proofErr w:type="gramEnd"/>
      <w:r>
        <w:rPr>
          <w:rFonts w:ascii="Palatino Linotype" w:eastAsia="Palatino Linotype" w:hAnsi="Palatino Linotype" w:cs="Palatino Linotype"/>
          <w:i/>
          <w:color w:val="000000"/>
          <w:sz w:val="22"/>
          <w:szCs w:val="22"/>
        </w:rPr>
        <w:t xml:space="preserve"> 00150/CHAPULTE/IP/2021 y 00151/CHAPULTE/IP/2021” (sic)</w:t>
      </w:r>
    </w:p>
    <w:p w14:paraId="05E2837C"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Mediante informe Justificado el</w:t>
      </w:r>
      <w:r>
        <w:rPr>
          <w:rFonts w:ascii="Palatino Linotype" w:eastAsia="Palatino Linotype" w:hAnsi="Palatino Linotype" w:cs="Palatino Linotype"/>
        </w:rPr>
        <w:t xml:space="preserve"> Titular de la Unidad de Transparencia y Acceso a la Información Pública del Municipio de Chapultepec Estado de México, manifiesta: </w:t>
      </w:r>
    </w:p>
    <w:p w14:paraId="5DDACEF6" w14:textId="77777777" w:rsidR="00052B44" w:rsidRDefault="00052B44" w:rsidP="00052B4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33EC229E" wp14:editId="04F8E224">
            <wp:extent cx="5619885" cy="1831814"/>
            <wp:effectExtent l="0" t="0" r="0" b="0"/>
            <wp:docPr id="1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t="51757" b="21666"/>
                    <a:stretch>
                      <a:fillRect/>
                    </a:stretch>
                  </pic:blipFill>
                  <pic:spPr>
                    <a:xfrm>
                      <a:off x="0" y="0"/>
                      <a:ext cx="5619885" cy="1831814"/>
                    </a:xfrm>
                    <a:prstGeom prst="rect">
                      <a:avLst/>
                    </a:prstGeom>
                    <a:ln/>
                  </pic:spPr>
                </pic:pic>
              </a:graphicData>
            </a:graphic>
          </wp:inline>
        </w:drawing>
      </w:r>
    </w:p>
    <w:p w14:paraId="2E42A5EF" w14:textId="77777777" w:rsidR="00052B44" w:rsidRDefault="00052B44" w:rsidP="00052B4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a efecto de garantizar el efectivo derecho de acceso a la información pública que asiste al particular, resulta conveniente entrar al estudio de las siguientes consideraciones de hecho y de derecho: </w:t>
      </w:r>
    </w:p>
    <w:p w14:paraId="4DE4913F" w14:textId="77777777" w:rsidR="00052B44" w:rsidRDefault="00052B44" w:rsidP="00052B44">
      <w:pPr>
        <w:spacing w:line="360" w:lineRule="auto"/>
        <w:rPr>
          <w:rFonts w:ascii="Palatino Linotype" w:eastAsia="Palatino Linotype" w:hAnsi="Palatino Linotype" w:cs="Palatino Linotype"/>
        </w:rPr>
      </w:pPr>
    </w:p>
    <w:p w14:paraId="54A50C68" w14:textId="77777777" w:rsidR="00052B44" w:rsidRDefault="00052B44" w:rsidP="00052B44">
      <w:pPr>
        <w:pBdr>
          <w:top w:val="nil"/>
          <w:left w:val="nil"/>
          <w:bottom w:val="nil"/>
          <w:right w:val="nil"/>
          <w:between w:val="nil"/>
        </w:pBdr>
        <w:spacing w:line="360" w:lineRule="auto"/>
        <w:ind w:right="-9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Primeramente, es de advertirse lo siguiente, la Constitución Política de los Estados Unidos Mexicanos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w:t>
      </w:r>
      <w:r>
        <w:rPr>
          <w:rFonts w:ascii="Palatino Linotype" w:eastAsia="Palatino Linotype" w:hAnsi="Palatino Linotype" w:cs="Palatino Linotype"/>
          <w:color w:val="000000"/>
        </w:rPr>
        <w:lastRenderedPageBreak/>
        <w:t>en el Artículo 6, apartado A, numeral I de la Constitución Política de los Estados Unidos Mexicanos que a la letra establece:</w:t>
      </w:r>
    </w:p>
    <w:p w14:paraId="5AD9C88C" w14:textId="77777777" w:rsidR="00052B44" w:rsidRDefault="00052B44" w:rsidP="00052B44">
      <w:pPr>
        <w:pBdr>
          <w:top w:val="nil"/>
          <w:left w:val="nil"/>
          <w:bottom w:val="nil"/>
          <w:right w:val="nil"/>
          <w:between w:val="nil"/>
        </w:pBdr>
        <w:spacing w:after="240"/>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sz w:val="22"/>
          <w:szCs w:val="22"/>
        </w:rPr>
        <w:t>Artículo 6</w:t>
      </w:r>
    </w:p>
    <w:p w14:paraId="6FEF89BC" w14:textId="77777777" w:rsidR="00052B44" w:rsidRDefault="00052B44" w:rsidP="00052B44">
      <w:pPr>
        <w:pBdr>
          <w:top w:val="nil"/>
          <w:left w:val="nil"/>
          <w:bottom w:val="nil"/>
          <w:right w:val="nil"/>
          <w:between w:val="nil"/>
        </w:pBdr>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p>
    <w:p w14:paraId="5383DA32" w14:textId="77777777" w:rsidR="00052B44" w:rsidRDefault="00052B44" w:rsidP="00052B44">
      <w:pPr>
        <w:pBdr>
          <w:top w:val="nil"/>
          <w:left w:val="nil"/>
          <w:bottom w:val="nil"/>
          <w:right w:val="nil"/>
          <w:between w:val="nil"/>
        </w:pBdr>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Para el ejercicio del derecho de acceso a la información, la Federación, los Estados y el Distrito Federal, en el ámbito de sus respectivas competencias, se regirán por los siguientes principios y bases:</w:t>
      </w:r>
    </w:p>
    <w:p w14:paraId="04569565" w14:textId="77777777" w:rsidR="00052B44" w:rsidRDefault="00052B44" w:rsidP="00052B44">
      <w:pPr>
        <w:rPr>
          <w:rFonts w:ascii="Palatino Linotype" w:eastAsia="Palatino Linotype" w:hAnsi="Palatino Linotype" w:cs="Palatino Linotype"/>
          <w:sz w:val="22"/>
          <w:szCs w:val="22"/>
        </w:rPr>
      </w:pPr>
    </w:p>
    <w:p w14:paraId="08AE0662" w14:textId="77777777" w:rsidR="00052B44" w:rsidRDefault="00052B44" w:rsidP="00052B44">
      <w:pPr>
        <w:pBdr>
          <w:top w:val="nil"/>
          <w:left w:val="nil"/>
          <w:bottom w:val="nil"/>
          <w:right w:val="nil"/>
          <w:between w:val="nil"/>
        </w:pBdr>
        <w:spacing w:after="160"/>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xml:space="preserve">I. </w:t>
      </w:r>
      <w:r>
        <w:rPr>
          <w:rFonts w:ascii="Palatino Linotype" w:eastAsia="Palatino Linotype" w:hAnsi="Palatino Linotype" w:cs="Palatino Linotype"/>
          <w:i/>
          <w:color w:val="000000"/>
          <w:sz w:val="22"/>
          <w:szCs w:val="22"/>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737840B" w14:textId="77777777" w:rsidR="00052B44" w:rsidRDefault="00052B44" w:rsidP="00052B44">
      <w:pPr>
        <w:rPr>
          <w:rFonts w:ascii="Palatino Linotype" w:eastAsia="Palatino Linotype" w:hAnsi="Palatino Linotype" w:cs="Palatino Linotype"/>
        </w:rPr>
      </w:pPr>
    </w:p>
    <w:p w14:paraId="47D15471" w14:textId="77777777" w:rsidR="00052B44" w:rsidRDefault="00052B44" w:rsidP="00052B44">
      <w:pPr>
        <w:pBdr>
          <w:top w:val="nil"/>
          <w:left w:val="nil"/>
          <w:bottom w:val="nil"/>
          <w:right w:val="nil"/>
          <w:between w:val="nil"/>
        </w:pBdr>
        <w:spacing w:after="1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en atención a lo dispuesto por los artículos 3, fracción XI y 12 de la Ley de Transparencia y Acceso a la Información Pública del Estado de México y Municipios, los cuales son del tenor literal siguiente:</w:t>
      </w:r>
    </w:p>
    <w:p w14:paraId="44A1409A" w14:textId="77777777" w:rsidR="00052B44" w:rsidRDefault="00052B44" w:rsidP="00052B44">
      <w:pPr>
        <w:rPr>
          <w:rFonts w:ascii="Palatino Linotype" w:eastAsia="Palatino Linotype" w:hAnsi="Palatino Linotype" w:cs="Palatino Linotype"/>
        </w:rPr>
      </w:pPr>
    </w:p>
    <w:p w14:paraId="79382DB5" w14:textId="77777777" w:rsidR="00052B44" w:rsidRDefault="00052B44" w:rsidP="00052B44">
      <w:pPr>
        <w:pBdr>
          <w:top w:val="nil"/>
          <w:left w:val="nil"/>
          <w:bottom w:val="nil"/>
          <w:right w:val="nil"/>
          <w:between w:val="nil"/>
        </w:pBdr>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14:paraId="7B3E69D1" w14:textId="77777777" w:rsidR="00052B44" w:rsidRDefault="00052B44" w:rsidP="00052B44">
      <w:pPr>
        <w:pBdr>
          <w:top w:val="nil"/>
          <w:left w:val="nil"/>
          <w:bottom w:val="nil"/>
          <w:right w:val="nil"/>
          <w:between w:val="nil"/>
        </w:pBdr>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p>
    <w:p w14:paraId="246E7AE0" w14:textId="77777777" w:rsidR="00052B44" w:rsidRDefault="00052B44" w:rsidP="00052B44">
      <w:pPr>
        <w:pBdr>
          <w:top w:val="nil"/>
          <w:left w:val="nil"/>
          <w:bottom w:val="nil"/>
          <w:right w:val="nil"/>
          <w:between w:val="nil"/>
        </w:pBdr>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XI.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i/>
          <w:color w:val="000000"/>
          <w:sz w:val="22"/>
          <w:szCs w:val="22"/>
          <w:u w:val="single"/>
        </w:rPr>
        <w:t xml:space="preserve">cualquier otro registro que documente el ejercicio de las facultades, funciones y </w:t>
      </w:r>
      <w:r>
        <w:rPr>
          <w:rFonts w:ascii="Palatino Linotype" w:eastAsia="Palatino Linotype" w:hAnsi="Palatino Linotype" w:cs="Palatino Linotype"/>
          <w:b/>
          <w:i/>
          <w:color w:val="000000"/>
          <w:sz w:val="22"/>
          <w:szCs w:val="22"/>
          <w:u w:val="single"/>
        </w:rPr>
        <w:lastRenderedPageBreak/>
        <w:t>competencias de los sujetos obligados, sus servidores públicos e integrantes, sin importar su fuente o fecha de elaboración.</w:t>
      </w:r>
      <w:r>
        <w:rPr>
          <w:rFonts w:ascii="Palatino Linotype" w:eastAsia="Palatino Linotype" w:hAnsi="Palatino Linotype" w:cs="Palatino Linotype"/>
          <w:i/>
          <w:color w:val="000000"/>
          <w:sz w:val="22"/>
          <w:szCs w:val="22"/>
        </w:rPr>
        <w:t xml:space="preserve"> Los documentos podrán estar en cualquier medio, sea escrito, impreso, sonoro, visual, electrónico, informático u holográfico;</w:t>
      </w:r>
    </w:p>
    <w:p w14:paraId="3D6CB845" w14:textId="77777777" w:rsidR="00052B44" w:rsidRDefault="00052B44" w:rsidP="00052B44">
      <w:pPr>
        <w:rPr>
          <w:rFonts w:ascii="Palatino Linotype" w:eastAsia="Palatino Linotype" w:hAnsi="Palatino Linotype" w:cs="Palatino Linotype"/>
          <w:sz w:val="22"/>
          <w:szCs w:val="22"/>
        </w:rPr>
      </w:pPr>
    </w:p>
    <w:p w14:paraId="0EE60131" w14:textId="77777777" w:rsidR="00052B44" w:rsidRDefault="00052B44" w:rsidP="00052B44">
      <w:pPr>
        <w:pBdr>
          <w:top w:val="nil"/>
          <w:left w:val="nil"/>
          <w:bottom w:val="nil"/>
          <w:right w:val="nil"/>
          <w:between w:val="nil"/>
        </w:pBdr>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8C86B47" w14:textId="77777777" w:rsidR="00052B44" w:rsidRDefault="00052B44" w:rsidP="00052B44">
      <w:pPr>
        <w:rPr>
          <w:rFonts w:ascii="Palatino Linotype" w:eastAsia="Palatino Linotype" w:hAnsi="Palatino Linotype" w:cs="Palatino Linotype"/>
          <w:sz w:val="22"/>
          <w:szCs w:val="22"/>
        </w:rPr>
      </w:pPr>
    </w:p>
    <w:p w14:paraId="2BC8384B" w14:textId="77777777" w:rsidR="00052B44" w:rsidRDefault="00052B44" w:rsidP="00052B44">
      <w:pPr>
        <w:pBdr>
          <w:top w:val="nil"/>
          <w:left w:val="nil"/>
          <w:bottom w:val="nil"/>
          <w:right w:val="nil"/>
          <w:between w:val="nil"/>
        </w:pBdr>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u w:val="single"/>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color w:val="000000"/>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B24633F" w14:textId="77777777" w:rsidR="00052B44" w:rsidRDefault="00052B44" w:rsidP="00052B44">
      <w:pPr>
        <w:rPr>
          <w:rFonts w:ascii="Palatino Linotype" w:eastAsia="Palatino Linotype" w:hAnsi="Palatino Linotype" w:cs="Palatino Linotype"/>
          <w:sz w:val="22"/>
          <w:szCs w:val="22"/>
        </w:rPr>
      </w:pPr>
    </w:p>
    <w:p w14:paraId="7E004518" w14:textId="77777777" w:rsidR="00052B44" w:rsidRDefault="00052B44" w:rsidP="00052B44">
      <w:pPr>
        <w:pBdr>
          <w:top w:val="nil"/>
          <w:left w:val="nil"/>
          <w:bottom w:val="nil"/>
          <w:right w:val="nil"/>
          <w:between w:val="nil"/>
        </w:pBdr>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14:paraId="6B67A86C" w14:textId="77777777" w:rsidR="00052B44" w:rsidRDefault="00052B44" w:rsidP="00052B44">
      <w:pPr>
        <w:rPr>
          <w:rFonts w:ascii="Palatino Linotype" w:eastAsia="Palatino Linotype" w:hAnsi="Palatino Linotype" w:cs="Palatino Linotype"/>
          <w:sz w:val="22"/>
          <w:szCs w:val="22"/>
        </w:rPr>
      </w:pPr>
    </w:p>
    <w:p w14:paraId="02B51712" w14:textId="77777777" w:rsidR="00052B44" w:rsidRDefault="00052B44" w:rsidP="00052B44">
      <w:pPr>
        <w:pBdr>
          <w:top w:val="nil"/>
          <w:left w:val="nil"/>
          <w:bottom w:val="nil"/>
          <w:right w:val="nil"/>
          <w:between w:val="nil"/>
        </w:pBdr>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xml:space="preserve"> Quienes generen, recopilen, administren, manejen, procesen, archiven o conserven información pública serán responsables de la misma en los términos de las disposiciones jurídicas aplicables.</w:t>
      </w:r>
    </w:p>
    <w:p w14:paraId="7842CD4D" w14:textId="77777777" w:rsidR="00052B44" w:rsidRDefault="00052B44" w:rsidP="00052B44">
      <w:pPr>
        <w:rPr>
          <w:rFonts w:ascii="Palatino Linotype" w:eastAsia="Palatino Linotype" w:hAnsi="Palatino Linotype" w:cs="Palatino Linotype"/>
          <w:sz w:val="22"/>
          <w:szCs w:val="22"/>
        </w:rPr>
      </w:pPr>
    </w:p>
    <w:p w14:paraId="35CAF2EB" w14:textId="77777777" w:rsidR="00052B44" w:rsidRDefault="00052B44" w:rsidP="00052B44">
      <w:pPr>
        <w:pBdr>
          <w:top w:val="nil"/>
          <w:left w:val="nil"/>
          <w:bottom w:val="nil"/>
          <w:right w:val="nil"/>
          <w:between w:val="nil"/>
        </w:pBdr>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Palatino Linotype" w:hAnsi="Palatino Linotype" w:cs="Palatino Linotype"/>
          <w:i/>
          <w:color w:val="000000"/>
          <w:sz w:val="22"/>
          <w:szCs w:val="22"/>
        </w:rPr>
        <w:t>.”</w:t>
      </w:r>
    </w:p>
    <w:p w14:paraId="45D5FA29" w14:textId="77777777" w:rsidR="00052B44" w:rsidRDefault="00052B44" w:rsidP="00052B44">
      <w:pPr>
        <w:rPr>
          <w:rFonts w:ascii="Palatino Linotype" w:eastAsia="Palatino Linotype" w:hAnsi="Palatino Linotype" w:cs="Palatino Linotype"/>
          <w:sz w:val="22"/>
          <w:szCs w:val="22"/>
        </w:rPr>
      </w:pPr>
    </w:p>
    <w:p w14:paraId="3CEADA1A" w14:textId="77777777" w:rsidR="00052B44" w:rsidRDefault="00052B44" w:rsidP="00052B44">
      <w:pPr>
        <w:pBdr>
          <w:top w:val="nil"/>
          <w:left w:val="nil"/>
          <w:bottom w:val="nil"/>
          <w:right w:val="nil"/>
          <w:between w:val="nil"/>
        </w:pBdr>
        <w:ind w:left="851" w:right="851"/>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[Énfasis añadido</w:t>
      </w:r>
      <w:r>
        <w:rPr>
          <w:rFonts w:ascii="Palatino Linotype" w:eastAsia="Palatino Linotype" w:hAnsi="Palatino Linotype" w:cs="Palatino Linotype"/>
          <w:color w:val="000000"/>
        </w:rPr>
        <w:t>]</w:t>
      </w:r>
    </w:p>
    <w:p w14:paraId="18BDDDCE" w14:textId="77777777" w:rsidR="00052B44" w:rsidRDefault="00052B44" w:rsidP="00052B44">
      <w:p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46F2F0D1" w14:textId="77777777" w:rsidR="00052B44" w:rsidRDefault="00052B44" w:rsidP="00052B44">
      <w:pPr>
        <w:pBdr>
          <w:top w:val="nil"/>
          <w:left w:val="nil"/>
          <w:bottom w:val="nil"/>
          <w:right w:val="nil"/>
          <w:between w:val="nil"/>
        </w:pBdr>
        <w:spacing w:before="240" w:after="16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Resulta importante reiterar que la respuesta a la solicitud enviada por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refiere que en el año 2022 no se ha dado de baja ningún elemento y que no se cuenta con algún registro de alguna baja realizada en el personal de seguridad pública y de requerir de manera estadística la respuesta sería cero, por lo que en este sentido, respecto a la información, correspondiente al año 2022, se entiende que esta frente a un hecho negativo, en este sentido el Pleno de este Órgano Garante ha sostenido que resulta innecesaria una declaratoria de inexistencia en términos de los artículos 19, 169 y 170 de la Ley de Transparencia y Acceso a la Información Pública del Estado de México y Municipios, siendo aplicable la siguiente tesis:</w:t>
      </w:r>
    </w:p>
    <w:p w14:paraId="710D589D" w14:textId="77777777" w:rsidR="00052B44" w:rsidRDefault="00052B44" w:rsidP="00052B44">
      <w:pPr>
        <w:pBdr>
          <w:top w:val="nil"/>
          <w:left w:val="nil"/>
          <w:bottom w:val="nil"/>
          <w:right w:val="nil"/>
          <w:between w:val="nil"/>
        </w:pBdr>
        <w:spacing w:before="240" w:after="240"/>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HECHOS NEGATIVOS, NO SON SUSCEPTIBLES DE DEMOSTRACIÓN. </w:t>
      </w:r>
      <w:r>
        <w:rPr>
          <w:rFonts w:ascii="Palatino Linotype" w:eastAsia="Palatino Linotype" w:hAnsi="Palatino Linotype" w:cs="Palatino Linotype"/>
          <w:i/>
          <w:color w:val="000000"/>
          <w:sz w:val="22"/>
          <w:szCs w:val="22"/>
        </w:rPr>
        <w:t xml:space="preserve">Tratándose de un hecho negativo, el Juez no tiene por qué invocar prueba alguna de la </w:t>
      </w:r>
      <w:r>
        <w:rPr>
          <w:rFonts w:ascii="Palatino Linotype" w:eastAsia="Palatino Linotype" w:hAnsi="Palatino Linotype" w:cs="Palatino Linotype"/>
          <w:i/>
          <w:color w:val="000000"/>
          <w:sz w:val="22"/>
          <w:szCs w:val="22"/>
        </w:rPr>
        <w:lastRenderedPageBreak/>
        <w:t>que se desprenda, ya que es bien sabido que esta clase de hechos no son susceptibles de demostración.</w:t>
      </w:r>
    </w:p>
    <w:p w14:paraId="280D854F" w14:textId="77777777" w:rsidR="00052B44" w:rsidRDefault="00052B44" w:rsidP="00052B44">
      <w:pPr>
        <w:pBdr>
          <w:top w:val="nil"/>
          <w:left w:val="nil"/>
          <w:bottom w:val="nil"/>
          <w:right w:val="nil"/>
          <w:between w:val="nil"/>
        </w:pBdr>
        <w:spacing w:before="240" w:after="240"/>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xml:space="preserve">Amparo en revisión 2022/61. José García </w:t>
      </w:r>
      <w:proofErr w:type="gramStart"/>
      <w:r>
        <w:rPr>
          <w:rFonts w:ascii="Palatino Linotype" w:eastAsia="Palatino Linotype" w:hAnsi="Palatino Linotype" w:cs="Palatino Linotype"/>
          <w:i/>
          <w:color w:val="000000"/>
          <w:sz w:val="22"/>
          <w:szCs w:val="22"/>
        </w:rPr>
        <w:t>Florín</w:t>
      </w:r>
      <w:proofErr w:type="gramEnd"/>
      <w:r>
        <w:rPr>
          <w:rFonts w:ascii="Palatino Linotype" w:eastAsia="Palatino Linotype" w:hAnsi="Palatino Linotype" w:cs="Palatino Linotype"/>
          <w:i/>
          <w:color w:val="000000"/>
          <w:sz w:val="22"/>
          <w:szCs w:val="22"/>
        </w:rPr>
        <w:t xml:space="preserve"> (Menor). 9 de octubre de 1961. Cinco votos. Ponente: José Rivera Pérez Campos.</w:t>
      </w:r>
    </w:p>
    <w:p w14:paraId="29BFEE5C" w14:textId="77777777" w:rsidR="00052B44" w:rsidRDefault="00052B44" w:rsidP="00052B4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Adicionalmente, de conformidad con lo establecido en el artículo 12 de la Ley de Transparencia y Acceso a la Información Pública del Estado de México y Municipios, anteriormente invocado,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sólo proporcionará la información que obra en sus archivos, lo que </w:t>
      </w:r>
      <w:r>
        <w:rPr>
          <w:rFonts w:ascii="Palatino Linotype" w:eastAsia="Palatino Linotype" w:hAnsi="Palatino Linotype" w:cs="Palatino Linotype"/>
          <w:i/>
          <w:color w:val="000000"/>
        </w:rPr>
        <w:t>a contrario sensu</w:t>
      </w:r>
      <w:r>
        <w:rPr>
          <w:rFonts w:ascii="Palatino Linotype" w:eastAsia="Palatino Linotype" w:hAnsi="Palatino Linotype" w:cs="Palatino Linotype"/>
          <w:color w:val="000000"/>
        </w:rPr>
        <w:t xml:space="preserve"> significa que no se está obligado a proporcionar lo que no obre en sus archivos.</w:t>
      </w:r>
    </w:p>
    <w:p w14:paraId="4327FDEA" w14:textId="77777777" w:rsidR="00052B44" w:rsidRDefault="00052B44" w:rsidP="00052B4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se considera necesario dejar claro que, al haber existido un pronunciamiento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fin de dar respuesta a la solicitud planteada, </w:t>
      </w:r>
      <w:proofErr w:type="gramStart"/>
      <w:r>
        <w:rPr>
          <w:rFonts w:ascii="Palatino Linotype" w:eastAsia="Palatino Linotype" w:hAnsi="Palatino Linotype" w:cs="Palatino Linotype"/>
          <w:color w:val="000000"/>
        </w:rPr>
        <w:t>éste</w:t>
      </w:r>
      <w:proofErr w:type="gramEnd"/>
      <w:r>
        <w:rPr>
          <w:rFonts w:ascii="Palatino Linotype" w:eastAsia="Palatino Linotype" w:hAnsi="Palatino Linotype" w:cs="Palatino Linotype"/>
          <w:color w:val="000000"/>
        </w:rPr>
        <w:t xml:space="preserve"> Instituto no está facultado para manifestarse sobre la veracidad de la información proporcionada respecto al año 2022,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7044C037" w14:textId="77777777" w:rsidR="00052B44" w:rsidRDefault="00052B44" w:rsidP="00052B44">
      <w:pPr>
        <w:rPr>
          <w:rFonts w:ascii="Palatino Linotype" w:eastAsia="Palatino Linotype" w:hAnsi="Palatino Linotype" w:cs="Palatino Linotype"/>
        </w:rPr>
      </w:pPr>
    </w:p>
    <w:p w14:paraId="188EDF64" w14:textId="77777777" w:rsidR="00052B44" w:rsidRDefault="00052B44" w:rsidP="00052B44">
      <w:pPr>
        <w:pBdr>
          <w:top w:val="nil"/>
          <w:left w:val="nil"/>
          <w:bottom w:val="nil"/>
          <w:right w:val="nil"/>
          <w:between w:val="nil"/>
        </w:pBdr>
        <w:ind w:left="567" w:right="1106"/>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El Instituto Federal de Acceso a la Información y Protección de Datos</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no cuenta con facultades para pronunciarse respecto de la veracidad de los documentos proporcionados por los sujetos obligados.</w:t>
      </w:r>
      <w:r>
        <w:rPr>
          <w:rFonts w:ascii="Palatino Linotype" w:eastAsia="Palatino Linotype" w:hAnsi="Palatino Linotype" w:cs="Palatino Linotype"/>
          <w:i/>
          <w:color w:val="000000"/>
          <w:sz w:val="22"/>
          <w:szCs w:val="22"/>
        </w:rPr>
        <w:t xml:space="preserve"> El Instituto Federal de Acceso a la Información y Protección de Datos es un órgano de la Administración Pública Federal con autonomía operativa, presupuestaria y de </w:t>
      </w:r>
      <w:r>
        <w:rPr>
          <w:rFonts w:ascii="Palatino Linotype" w:eastAsia="Palatino Linotype" w:hAnsi="Palatino Linotype" w:cs="Palatino Linotype"/>
          <w:i/>
          <w:color w:val="000000"/>
          <w:sz w:val="22"/>
          <w:szCs w:val="22"/>
        </w:rPr>
        <w:lastRenderedPageBreak/>
        <w:t>decisión, encargado de promover y difundir el ejercicio del derecho de acceso a la información; resolver sobre la negativa de las solicitudes de acceso a la información; y proteger los datos personales en poder de las dependencias y entidades. Sin embargo</w:t>
      </w:r>
      <w:r>
        <w:rPr>
          <w:rFonts w:ascii="Palatino Linotype" w:eastAsia="Palatino Linotype" w:hAnsi="Palatino Linotype" w:cs="Palatino Linotype"/>
          <w:b/>
          <w:i/>
          <w:color w:val="000000"/>
          <w:sz w:val="22"/>
          <w:szCs w:val="22"/>
          <w:u w:val="single"/>
        </w:rPr>
        <w:t>,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i/>
          <w:color w:val="000000"/>
          <w:sz w:val="22"/>
          <w:szCs w:val="22"/>
        </w:rPr>
        <w:t>”</w:t>
      </w:r>
    </w:p>
    <w:p w14:paraId="3C1CB7E6" w14:textId="77777777" w:rsidR="00052B44" w:rsidRDefault="00052B44" w:rsidP="00052B44">
      <w:pPr>
        <w:rPr>
          <w:rFonts w:ascii="Palatino Linotype" w:eastAsia="Palatino Linotype" w:hAnsi="Palatino Linotype" w:cs="Palatino Linotype"/>
        </w:rPr>
      </w:pPr>
    </w:p>
    <w:p w14:paraId="34C7D1B7" w14:textId="77777777" w:rsidR="00052B44" w:rsidRDefault="00052B44" w:rsidP="00052B4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cabe precisar </w:t>
      </w:r>
      <w:proofErr w:type="gramStart"/>
      <w:r>
        <w:rPr>
          <w:rFonts w:ascii="Palatino Linotype" w:eastAsia="Palatino Linotype" w:hAnsi="Palatino Linotype" w:cs="Palatino Linotype"/>
          <w:color w:val="000000"/>
        </w:rPr>
        <w:t>que</w:t>
      </w:r>
      <w:proofErr w:type="gramEnd"/>
      <w:r>
        <w:rPr>
          <w:rFonts w:ascii="Palatino Linotype" w:eastAsia="Palatino Linotype" w:hAnsi="Palatino Linotype" w:cs="Palatino Linotype"/>
          <w:color w:val="000000"/>
        </w:rPr>
        <w:t xml:space="preserv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 del año 2022.</w:t>
      </w:r>
    </w:p>
    <w:p w14:paraId="70C5272E" w14:textId="77777777" w:rsidR="00052B44" w:rsidRDefault="00052B44" w:rsidP="00052B44">
      <w:pPr>
        <w:pBdr>
          <w:top w:val="nil"/>
          <w:left w:val="nil"/>
          <w:bottom w:val="nil"/>
          <w:right w:val="nil"/>
          <w:between w:val="nil"/>
        </w:pBdr>
        <w:spacing w:before="240" w:after="16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también se advierte que respecto a los años 2016 al 2021 a decir de la Unidad de Transparencia, la Dirección de Seguridad Pública se limitó a señalar que después de haber realizado una búsqueda exhaustiva en el archivo de la citada Dirección no se encontró dato alguno en el que se pueda obtener la información sobre lo que se solicita. </w:t>
      </w:r>
    </w:p>
    <w:p w14:paraId="567CF769" w14:textId="77777777" w:rsidR="00052B44" w:rsidRDefault="00052B44" w:rsidP="00052B4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sentido resulta oportuno traer a colación los artículos 158, 159 y 160 de la Ley de Seguridad del Estado de México:</w:t>
      </w:r>
    </w:p>
    <w:p w14:paraId="132C5FF9" w14:textId="77777777" w:rsidR="00052B44" w:rsidRDefault="00052B44" w:rsidP="00052B4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86A8B5B" w14:textId="77777777" w:rsidR="00052B44" w:rsidRDefault="00052B44" w:rsidP="00052B4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A70E8DE" w14:textId="77777777" w:rsidR="00052B44" w:rsidRDefault="00052B44" w:rsidP="00052B44">
      <w:pPr>
        <w:pBdr>
          <w:top w:val="nil"/>
          <w:left w:val="nil"/>
          <w:bottom w:val="nil"/>
          <w:right w:val="nil"/>
          <w:between w:val="nil"/>
        </w:pBdr>
        <w:jc w:val="both"/>
        <w:rPr>
          <w:rFonts w:ascii="Palatino Linotype" w:eastAsia="Palatino Linotype" w:hAnsi="Palatino Linotype" w:cs="Palatino Linotype"/>
          <w:color w:val="000000"/>
        </w:rPr>
      </w:pPr>
    </w:p>
    <w:p w14:paraId="78A25912" w14:textId="77777777" w:rsidR="00052B44" w:rsidRDefault="00052B44" w:rsidP="00052B44">
      <w:pPr>
        <w:pBdr>
          <w:top w:val="nil"/>
          <w:left w:val="nil"/>
          <w:bottom w:val="nil"/>
          <w:right w:val="nil"/>
          <w:between w:val="nil"/>
        </w:pBdr>
        <w:spacing w:before="240" w:after="160" w:line="276" w:lineRule="auto"/>
        <w:ind w:left="851" w:right="851"/>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Ley de Seguridad del Estado de México</w:t>
      </w:r>
    </w:p>
    <w:p w14:paraId="0740123C" w14:textId="77777777" w:rsidR="00052B44" w:rsidRDefault="00052B44" w:rsidP="00052B44">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158.- La conclusión del servicio de un elemento es la terminación de su nombramiento o la cesación de sus efectos legales por las siguientes causas: </w:t>
      </w:r>
    </w:p>
    <w:p w14:paraId="400843AA" w14:textId="77777777" w:rsidR="00052B44" w:rsidRDefault="00052B44" w:rsidP="00052B44">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t>I. Separación</w:t>
      </w:r>
      <w:r>
        <w:rPr>
          <w:rFonts w:ascii="Palatino Linotype" w:eastAsia="Palatino Linotype" w:hAnsi="Palatino Linotype" w:cs="Palatino Linotype"/>
          <w:i/>
          <w:color w:val="000000"/>
          <w:sz w:val="22"/>
          <w:szCs w:val="22"/>
        </w:rPr>
        <w:t xml:space="preserve">, por incumplimiento de cualquiera de los requisitos de permanencia, o cuando en los procesos de promoción concurran las siguientes circunstancias: </w:t>
      </w:r>
    </w:p>
    <w:p w14:paraId="1818AF9F" w14:textId="77777777" w:rsidR="00052B44" w:rsidRDefault="00052B44" w:rsidP="00052B44">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Si hubiere sido convocado a tres procesos consecutivos de promoción sin que haya participado en los mismos, o </w:t>
      </w:r>
      <w:proofErr w:type="gramStart"/>
      <w:r>
        <w:rPr>
          <w:rFonts w:ascii="Palatino Linotype" w:eastAsia="Palatino Linotype" w:hAnsi="Palatino Linotype" w:cs="Palatino Linotype"/>
          <w:i/>
          <w:color w:val="000000"/>
          <w:sz w:val="22"/>
          <w:szCs w:val="22"/>
        </w:rPr>
        <w:t>que</w:t>
      </w:r>
      <w:proofErr w:type="gramEnd"/>
      <w:r>
        <w:rPr>
          <w:rFonts w:ascii="Palatino Linotype" w:eastAsia="Palatino Linotype" w:hAnsi="Palatino Linotype" w:cs="Palatino Linotype"/>
          <w:i/>
          <w:color w:val="000000"/>
          <w:sz w:val="22"/>
          <w:szCs w:val="22"/>
        </w:rPr>
        <w:t xml:space="preserve"> habiendo participado en dichos procesos, no hubiese obtenido el grado inmediato superior que le correspondería por causas imputables a él; </w:t>
      </w:r>
    </w:p>
    <w:p w14:paraId="06161898" w14:textId="77777777" w:rsidR="00052B44" w:rsidRDefault="00052B44" w:rsidP="00052B44">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Que haya alcanzado la edad máxima correspondiente a su jerarquía, de acuerdo con lo establecido en las disposiciones aplicables; y </w:t>
      </w:r>
    </w:p>
    <w:p w14:paraId="18BA2AAE" w14:textId="77777777" w:rsidR="00052B44" w:rsidRDefault="00052B44" w:rsidP="00052B44">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Que del expediente del integrante no se desprendan méritos suficientes a juicio de las Comisiones para conservar su permanencia. </w:t>
      </w:r>
    </w:p>
    <w:p w14:paraId="3904162D" w14:textId="77777777" w:rsidR="00052B44" w:rsidRDefault="00052B44" w:rsidP="00052B44">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t>II. Remoción,</w:t>
      </w:r>
      <w:r>
        <w:rPr>
          <w:rFonts w:ascii="Palatino Linotype" w:eastAsia="Palatino Linotype" w:hAnsi="Palatino Linotype" w:cs="Palatino Linotype"/>
          <w:i/>
          <w:color w:val="000000"/>
          <w:sz w:val="22"/>
          <w:szCs w:val="22"/>
        </w:rPr>
        <w:t xml:space="preserve"> por incurrir en responsabilidad en el desempeño de sus funciones o incumplimiento de sus deberes, de conformidad con las disposiciones relativas al régimen disciplinario; o </w:t>
      </w:r>
    </w:p>
    <w:p w14:paraId="6CD38254" w14:textId="77777777" w:rsidR="00052B44" w:rsidRDefault="00052B44" w:rsidP="00052B44">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t>III. Baja,</w:t>
      </w:r>
      <w:r>
        <w:rPr>
          <w:rFonts w:ascii="Palatino Linotype" w:eastAsia="Palatino Linotype" w:hAnsi="Palatino Linotype" w:cs="Palatino Linotype"/>
          <w:i/>
          <w:color w:val="000000"/>
          <w:sz w:val="22"/>
          <w:szCs w:val="22"/>
        </w:rPr>
        <w:t xml:space="preserve"> por </w:t>
      </w:r>
    </w:p>
    <w:p w14:paraId="093BC362" w14:textId="77777777" w:rsidR="00052B44" w:rsidRDefault="00052B44" w:rsidP="00052B44">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Renuncia; </w:t>
      </w:r>
    </w:p>
    <w:p w14:paraId="54C34B9C" w14:textId="77777777" w:rsidR="00052B44" w:rsidRDefault="00052B44" w:rsidP="00052B44">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Muerte o incapacidad permanente; o </w:t>
      </w:r>
    </w:p>
    <w:p w14:paraId="633884AC" w14:textId="77777777" w:rsidR="00052B44" w:rsidRDefault="00052B44" w:rsidP="00052B44">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c) Jubilación o retiro. </w:t>
      </w:r>
    </w:p>
    <w:p w14:paraId="0A46B4FF" w14:textId="77777777" w:rsidR="00052B44" w:rsidRDefault="00052B44" w:rsidP="00052B44">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Al concluir el servicio, el elemento deberá entregar al funcionario designado para tal efecto, toda la información, documentación, equipo, materiales, identificaciones, valores u otros recursos que hayan sido puestos bajo su responsabilidad o custodia mediante acta de entrega recepción. </w:t>
      </w:r>
    </w:p>
    <w:p w14:paraId="559A4D70" w14:textId="77777777" w:rsidR="00052B44" w:rsidRDefault="00052B44" w:rsidP="00052B44">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I59.- Los elementos de las Instituciones Policiales que hayan alcanzado las edades límite para la permanencia, previstas en las disposiciones que los rijan, podrán ser reubicados, a consideración de las instancias, en otras áreas de los servicios de las propias Instituciones.</w:t>
      </w:r>
    </w:p>
    <w:p w14:paraId="1B99A160" w14:textId="77777777" w:rsidR="00052B44" w:rsidRDefault="00052B44" w:rsidP="00052B44">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160.-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w:t>
      </w:r>
    </w:p>
    <w:p w14:paraId="6FD091A0" w14:textId="77777777" w:rsidR="00052B44" w:rsidRDefault="00052B44" w:rsidP="00052B44">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I. Con los requisitos de permanencia que se establecen en la Ley General, esta Ley y demás disposiciones legales aplicables;</w:t>
      </w:r>
    </w:p>
    <w:p w14:paraId="2F6F9858" w14:textId="77777777" w:rsidR="00052B44" w:rsidRDefault="00052B44" w:rsidP="00052B44">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Con las obligaciones establecidas en la Ley General, esta Ley y los ordenamientos jurídicos internos que rigen su actuar; y </w:t>
      </w:r>
    </w:p>
    <w:p w14:paraId="67342D20" w14:textId="77777777" w:rsidR="00052B44" w:rsidRDefault="00052B44" w:rsidP="00052B44">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III. Con el régimen disciplinario establecido en esta Ley. La Comisión de Honor y Justicia implementará una base de datos en la que se registrarán las sanciones impuestas a los integrantes de las Instituciones Policiales.” </w:t>
      </w:r>
      <w:r>
        <w:rPr>
          <w:rFonts w:ascii="Palatino Linotype" w:eastAsia="Palatino Linotype" w:hAnsi="Palatino Linotype" w:cs="Palatino Linotype"/>
          <w:b/>
          <w:i/>
          <w:color w:val="000000"/>
          <w:sz w:val="22"/>
          <w:szCs w:val="22"/>
        </w:rPr>
        <w:t>[Sic]</w:t>
      </w:r>
    </w:p>
    <w:p w14:paraId="57B41790" w14:textId="77777777" w:rsidR="00052B44" w:rsidRDefault="00052B44" w:rsidP="00052B44">
      <w:pPr>
        <w:pBdr>
          <w:top w:val="nil"/>
          <w:left w:val="nil"/>
          <w:bottom w:val="nil"/>
          <w:right w:val="nil"/>
          <w:between w:val="nil"/>
        </w:pBdr>
        <w:jc w:val="both"/>
        <w:rPr>
          <w:rFonts w:ascii="Palatino Linotype" w:eastAsia="Palatino Linotype" w:hAnsi="Palatino Linotype" w:cs="Palatino Linotype"/>
          <w:color w:val="000000"/>
        </w:rPr>
      </w:pPr>
    </w:p>
    <w:p w14:paraId="32F8E194"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Conforme a lo anterior se determina que los motivos de terminación laboral de los elementos de seguridad son la separación, remoción y baja (renuncia, muerte, incapacidad, jubilación, retiro).</w:t>
      </w:r>
    </w:p>
    <w:p w14:paraId="10F2C4AF" w14:textId="77777777" w:rsidR="00052B44" w:rsidRDefault="00052B44" w:rsidP="00052B44">
      <w:pPr>
        <w:spacing w:line="360" w:lineRule="auto"/>
        <w:jc w:val="both"/>
        <w:rPr>
          <w:rFonts w:ascii="Palatino Linotype" w:eastAsia="Palatino Linotype" w:hAnsi="Palatino Linotype" w:cs="Palatino Linotype"/>
        </w:rPr>
      </w:pPr>
    </w:p>
    <w:p w14:paraId="4C701FDA" w14:textId="77777777" w:rsidR="00052B44" w:rsidRPr="0084408F" w:rsidRDefault="00052B44" w:rsidP="00052B44">
      <w:pPr>
        <w:spacing w:line="360" w:lineRule="auto"/>
        <w:ind w:left="851" w:right="900"/>
        <w:jc w:val="both"/>
        <w:rPr>
          <w:rFonts w:ascii="Palatino Linotype" w:eastAsia="Palatino Linotype" w:hAnsi="Palatino Linotype" w:cs="Palatino Linotype"/>
          <w:i/>
        </w:rPr>
      </w:pPr>
      <w:r w:rsidRPr="0084408F">
        <w:rPr>
          <w:rFonts w:ascii="Palatino Linotype" w:eastAsia="Palatino Linotype" w:hAnsi="Palatino Linotype" w:cs="Palatino Linotype"/>
          <w:i/>
        </w:rPr>
        <w:t>Manual de Organización Dirección de Seguridad Pública Municipal.</w:t>
      </w:r>
    </w:p>
    <w:p w14:paraId="0482C378" w14:textId="77777777" w:rsidR="00052B44" w:rsidRPr="0084408F" w:rsidRDefault="00052B44" w:rsidP="00052B44">
      <w:pPr>
        <w:spacing w:line="360" w:lineRule="auto"/>
        <w:ind w:left="851" w:right="900"/>
        <w:jc w:val="both"/>
        <w:rPr>
          <w:rFonts w:ascii="Palatino Linotype" w:eastAsia="Palatino Linotype" w:hAnsi="Palatino Linotype" w:cs="Palatino Linotype"/>
          <w:i/>
        </w:rPr>
      </w:pPr>
      <w:r w:rsidRPr="0084408F">
        <w:rPr>
          <w:rFonts w:ascii="Palatino Linotype" w:eastAsia="Palatino Linotype" w:hAnsi="Palatino Linotype" w:cs="Palatino Linotype"/>
          <w:i/>
        </w:rPr>
        <w:t>VIII: COMISIÓN DE HONOR Y JUSTICIA</w:t>
      </w:r>
    </w:p>
    <w:p w14:paraId="27917AD5" w14:textId="77777777" w:rsidR="00052B44" w:rsidRPr="0084408F" w:rsidRDefault="00052B44" w:rsidP="00052B44">
      <w:pPr>
        <w:spacing w:line="360" w:lineRule="auto"/>
        <w:ind w:left="851" w:right="900"/>
        <w:jc w:val="both"/>
        <w:rPr>
          <w:rFonts w:ascii="Palatino Linotype" w:eastAsia="Palatino Linotype" w:hAnsi="Palatino Linotype" w:cs="Palatino Linotype"/>
          <w:i/>
        </w:rPr>
      </w:pPr>
      <w:r w:rsidRPr="0084408F">
        <w:rPr>
          <w:rFonts w:ascii="Palatino Linotype" w:eastAsia="Palatino Linotype" w:hAnsi="Palatino Linotype" w:cs="Palatino Linotype"/>
          <w:i/>
        </w:rPr>
        <w:t>La Comisión de Honor y Justicia es un órgano colegiado que tendrá como atribución llevar a cabo, en el ámbito de su competencia, los procedimientos en los que se resuelva la suspensión laboral, remoción, aplicar correctivos disciplinarios a los elementos policiales de conformidad con lo establecido en el artículo 123 apartado B, fracción XIII de la Constitución Federal y la Ley General del Sistema Nacional de Seguridad Pública, Ley de Seguridad del Estado de México y el Reglamento de la Dirección de Seguridad Pública de Chapultepec, México; cuando incumplan:</w:t>
      </w:r>
    </w:p>
    <w:p w14:paraId="1322059D" w14:textId="77777777" w:rsidR="00052B44" w:rsidRPr="0084408F" w:rsidRDefault="00052B44" w:rsidP="00052B44">
      <w:pPr>
        <w:spacing w:line="360" w:lineRule="auto"/>
        <w:ind w:left="851" w:right="900"/>
        <w:jc w:val="both"/>
        <w:rPr>
          <w:rFonts w:ascii="Palatino Linotype" w:eastAsia="Palatino Linotype" w:hAnsi="Palatino Linotype" w:cs="Palatino Linotype"/>
          <w:i/>
        </w:rPr>
      </w:pPr>
      <w:r w:rsidRPr="0084408F">
        <w:rPr>
          <w:rFonts w:ascii="Palatino Linotype" w:eastAsia="Palatino Linotype" w:hAnsi="Palatino Linotype" w:cs="Palatino Linotype"/>
          <w:i/>
        </w:rPr>
        <w:t>I. Con los requisitos de permanencia que se establecen en la Ley General del Sistema Nacional de Seguridad Pública, la Ley de Seguridad del Estado de México, y demás disposiciones legales aplicables.</w:t>
      </w:r>
    </w:p>
    <w:p w14:paraId="1B3E0F69" w14:textId="77777777" w:rsidR="00052B44" w:rsidRPr="0084408F" w:rsidRDefault="00052B44" w:rsidP="00052B44">
      <w:pPr>
        <w:spacing w:line="360" w:lineRule="auto"/>
        <w:ind w:left="851" w:right="900"/>
        <w:jc w:val="both"/>
        <w:rPr>
          <w:rFonts w:ascii="Palatino Linotype" w:eastAsia="Palatino Linotype" w:hAnsi="Palatino Linotype" w:cs="Palatino Linotype"/>
          <w:i/>
        </w:rPr>
      </w:pPr>
      <w:r w:rsidRPr="0084408F">
        <w:rPr>
          <w:rFonts w:ascii="Palatino Linotype" w:eastAsia="Palatino Linotype" w:hAnsi="Palatino Linotype" w:cs="Palatino Linotype"/>
          <w:i/>
        </w:rPr>
        <w:t xml:space="preserve">II. Con las obligaciones establecidas en la Ley General del Sistema Nacional de Seguridad Pública, la Ley de Seguridad del Estado de México, el Reglamento de la Dirección de Seguridad Pública de Chapultepec, </w:t>
      </w:r>
      <w:r w:rsidRPr="0084408F">
        <w:rPr>
          <w:rFonts w:ascii="Palatino Linotype" w:eastAsia="Palatino Linotype" w:hAnsi="Palatino Linotype" w:cs="Palatino Linotype"/>
          <w:i/>
        </w:rPr>
        <w:lastRenderedPageBreak/>
        <w:t xml:space="preserve">México; y los ordenamientos jurídicos aplicables que rijan el actuar policial.   </w:t>
      </w:r>
    </w:p>
    <w:p w14:paraId="36E1EB8A" w14:textId="77777777" w:rsidR="00052B44" w:rsidRDefault="00052B44" w:rsidP="00052B44">
      <w:pPr>
        <w:spacing w:line="360" w:lineRule="auto"/>
        <w:jc w:val="both"/>
        <w:rPr>
          <w:rFonts w:ascii="Palatino Linotype" w:eastAsia="Palatino Linotype" w:hAnsi="Palatino Linotype" w:cs="Palatino Linotype"/>
        </w:rPr>
      </w:pPr>
    </w:p>
    <w:p w14:paraId="1415D00C" w14:textId="77777777" w:rsidR="00052B44" w:rsidRPr="00267C0C" w:rsidRDefault="00052B44" w:rsidP="00052B44">
      <w:pPr>
        <w:spacing w:line="360" w:lineRule="auto"/>
        <w:jc w:val="both"/>
        <w:rPr>
          <w:rFonts w:ascii="Palatino Linotype" w:eastAsia="Palatino Linotype" w:hAnsi="Palatino Linotype" w:cs="Palatino Linotype"/>
        </w:rPr>
      </w:pPr>
      <w:r w:rsidRPr="00267C0C">
        <w:rPr>
          <w:rFonts w:ascii="Palatino Linotype" w:eastAsia="Palatino Linotype" w:hAnsi="Palatino Linotype" w:cs="Palatino Linotype"/>
        </w:rPr>
        <w:t xml:space="preserve">La Comisión de Honor y Justicia cuenta con la atribución de resolver los procedimientos de suspensión laboral y remoción laboral, cuando estos incumplan con los requisitos de permanencia establecidos en el marco jurídico aplicable.  </w:t>
      </w:r>
    </w:p>
    <w:p w14:paraId="23DB17B4" w14:textId="77777777" w:rsidR="00052B44" w:rsidRPr="00267C0C" w:rsidRDefault="00052B44" w:rsidP="00052B44">
      <w:pPr>
        <w:spacing w:line="360" w:lineRule="auto"/>
        <w:jc w:val="both"/>
        <w:rPr>
          <w:rFonts w:ascii="Palatino Linotype" w:eastAsia="Palatino Linotype" w:hAnsi="Palatino Linotype" w:cs="Palatino Linotype"/>
        </w:rPr>
      </w:pPr>
    </w:p>
    <w:p w14:paraId="272928D6"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no se omite mencionar que al Órgano Superior de Fiscalización de </w:t>
      </w:r>
      <w:proofErr w:type="gramStart"/>
      <w:r>
        <w:rPr>
          <w:rFonts w:ascii="Palatino Linotype" w:eastAsia="Palatino Linotype" w:hAnsi="Palatino Linotype" w:cs="Palatino Linotype"/>
        </w:rPr>
        <w:t>ésta</w:t>
      </w:r>
      <w:proofErr w:type="gramEnd"/>
      <w:r>
        <w:rPr>
          <w:rFonts w:ascii="Palatino Linotype" w:eastAsia="Palatino Linotype" w:hAnsi="Palatino Linotype" w:cs="Palatino Linotype"/>
        </w:rPr>
        <w:t xml:space="preserve"> entidad federativa, le asiste la facultad de emitir los </w:t>
      </w:r>
      <w:r>
        <w:rPr>
          <w:rFonts w:ascii="Palatino Linotype" w:eastAsia="Palatino Linotype" w:hAnsi="Palatino Linotype" w:cs="Palatino Linotype"/>
          <w:b/>
        </w:rPr>
        <w:t>Lineamientos para la Integración del Informe Mensual</w:t>
      </w:r>
      <w:r>
        <w:rPr>
          <w:rFonts w:ascii="Palatino Linotype" w:eastAsia="Palatino Linotype" w:hAnsi="Palatino Linotype" w:cs="Palatino Linotype"/>
        </w:rPr>
        <w:t xml:space="preserve">, en términos la fracción XI del artículo 8 de la Ley de Fiscalización Superior del Estado de México, que señalan: </w:t>
      </w:r>
    </w:p>
    <w:p w14:paraId="7110686A" w14:textId="77777777" w:rsidR="00052B44" w:rsidRDefault="00052B44" w:rsidP="00052B44">
      <w:pPr>
        <w:spacing w:line="360" w:lineRule="auto"/>
        <w:ind w:left="709" w:right="850"/>
        <w:jc w:val="both"/>
        <w:rPr>
          <w:rFonts w:ascii="Palatino Linotype" w:eastAsia="Palatino Linotype" w:hAnsi="Palatino Linotype" w:cs="Palatino Linotype"/>
          <w:b/>
          <w:i/>
        </w:rPr>
      </w:pPr>
    </w:p>
    <w:p w14:paraId="1D82A013" w14:textId="77777777" w:rsidR="00052B44" w:rsidRDefault="00052B44" w:rsidP="00052B44">
      <w:pPr>
        <w:spacing w:line="360" w:lineRule="auto"/>
        <w:ind w:left="709" w:right="850"/>
        <w:jc w:val="both"/>
        <w:rPr>
          <w:rFonts w:ascii="Palatino Linotype" w:eastAsia="Palatino Linotype" w:hAnsi="Palatino Linotype" w:cs="Palatino Linotype"/>
          <w:i/>
        </w:rPr>
      </w:pPr>
      <w:r>
        <w:rPr>
          <w:rFonts w:ascii="Palatino Linotype" w:eastAsia="Palatino Linotype" w:hAnsi="Palatino Linotype" w:cs="Palatino Linotype"/>
          <w:b/>
          <w:i/>
        </w:rPr>
        <w:t>“Artículo 8.</w:t>
      </w:r>
      <w:r>
        <w:rPr>
          <w:rFonts w:ascii="Palatino Linotype" w:eastAsia="Palatino Linotype" w:hAnsi="Palatino Linotype" w:cs="Palatino Linotype"/>
          <w:i/>
        </w:rPr>
        <w:t xml:space="preserve"> El Órgano Superior tendrá las siguientes atribuciones:</w:t>
      </w:r>
    </w:p>
    <w:p w14:paraId="3743AC3B" w14:textId="77777777" w:rsidR="00052B44" w:rsidRDefault="00052B44" w:rsidP="00052B44">
      <w:pPr>
        <w:spacing w:line="360" w:lineRule="auto"/>
        <w:ind w:left="709"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A33172B" w14:textId="77777777" w:rsidR="00052B44" w:rsidRDefault="00052B44" w:rsidP="00052B44">
      <w:pPr>
        <w:spacing w:line="360" w:lineRule="auto"/>
        <w:ind w:left="709" w:right="850"/>
        <w:jc w:val="both"/>
        <w:rPr>
          <w:rFonts w:ascii="Palatino Linotype" w:eastAsia="Palatino Linotype" w:hAnsi="Palatino Linotype" w:cs="Palatino Linotype"/>
          <w:i/>
        </w:rPr>
      </w:pPr>
      <w:r>
        <w:rPr>
          <w:rFonts w:ascii="Palatino Linotype" w:eastAsia="Palatino Linotype" w:hAnsi="Palatino Linotype" w:cs="Palatino Linotype"/>
          <w:b/>
          <w:i/>
        </w:rPr>
        <w:t>XI.</w:t>
      </w:r>
      <w:r>
        <w:rPr>
          <w:rFonts w:ascii="Palatino Linotype" w:eastAsia="Palatino Linotype" w:hAnsi="Palatino Linotype" w:cs="Palatino Linotype"/>
          <w:i/>
        </w:rPr>
        <w:t xml:space="preserve"> Establecer los lineamientos, criterios, procedimientos, métodos y sistemas para las acciones de control y evaluación, necesarios para la fiscalización de las cuentas públicas y los informes trimestrales;</w:t>
      </w:r>
    </w:p>
    <w:p w14:paraId="550CAE40" w14:textId="77777777" w:rsidR="00052B44" w:rsidRDefault="00052B44" w:rsidP="00052B44">
      <w:pPr>
        <w:spacing w:line="360" w:lineRule="auto"/>
        <w:ind w:left="709" w:right="850"/>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 [Sic]</w:t>
      </w:r>
    </w:p>
    <w:p w14:paraId="6285C116" w14:textId="77777777" w:rsidR="00052B44" w:rsidRDefault="00052B44" w:rsidP="00052B44">
      <w:pPr>
        <w:spacing w:line="360" w:lineRule="auto"/>
        <w:jc w:val="both"/>
        <w:rPr>
          <w:rFonts w:ascii="Palatino Linotype" w:eastAsia="Palatino Linotype" w:hAnsi="Palatino Linotype" w:cs="Palatino Linotype"/>
        </w:rPr>
      </w:pPr>
    </w:p>
    <w:p w14:paraId="404D6227"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esta forma, el Órgano Superior de Fiscalización del Estado de México (OSFEM</w:t>
      </w:r>
      <w:proofErr w:type="gramStart"/>
      <w:r>
        <w:rPr>
          <w:rFonts w:ascii="Palatino Linotype" w:eastAsia="Palatino Linotype" w:hAnsi="Palatino Linotype" w:cs="Palatino Linotype"/>
        </w:rPr>
        <w:t>),  emite</w:t>
      </w:r>
      <w:proofErr w:type="gramEnd"/>
      <w:r>
        <w:rPr>
          <w:rFonts w:ascii="Palatino Linotype" w:eastAsia="Palatino Linotype" w:hAnsi="Palatino Linotype" w:cs="Palatino Linotype"/>
        </w:rPr>
        <w:t xml:space="preserve"> anualmente los Lineamientos para definir los criterios, formatos y </w:t>
      </w:r>
      <w:r>
        <w:rPr>
          <w:rFonts w:ascii="Palatino Linotype" w:eastAsia="Palatino Linotype" w:hAnsi="Palatino Linotype" w:cs="Palatino Linotype"/>
        </w:rPr>
        <w:lastRenderedPageBreak/>
        <w:t>documentación necesaria para presentar los informes mensuales,  dentro de los cuales destacan –en relación con el análisis que nos ocupa-, el Disco 4, relativo a la información de nómina.</w:t>
      </w:r>
    </w:p>
    <w:p w14:paraId="73BB40FD" w14:textId="77777777" w:rsidR="00052B44" w:rsidRDefault="00052B44" w:rsidP="00052B44">
      <w:pPr>
        <w:spacing w:line="360" w:lineRule="auto"/>
        <w:jc w:val="both"/>
        <w:rPr>
          <w:rFonts w:ascii="Palatino Linotype" w:eastAsia="Palatino Linotype" w:hAnsi="Palatino Linotype" w:cs="Palatino Linotype"/>
        </w:rPr>
      </w:pPr>
    </w:p>
    <w:p w14:paraId="71B92D68"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680FE697" w14:textId="77777777" w:rsidR="00052B44" w:rsidRDefault="00052B44" w:rsidP="00052B44">
      <w:pPr>
        <w:spacing w:line="360" w:lineRule="auto"/>
        <w:jc w:val="both"/>
        <w:rPr>
          <w:rFonts w:ascii="Palatino Linotype" w:eastAsia="Palatino Linotype" w:hAnsi="Palatino Linotype" w:cs="Palatino Linotype"/>
        </w:rPr>
      </w:pPr>
    </w:p>
    <w:p w14:paraId="450E19C7" w14:textId="77777777" w:rsidR="00052B44" w:rsidRDefault="00052B44" w:rsidP="00052B44">
      <w:pPr>
        <w:spacing w:line="360"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32.-</w:t>
      </w:r>
      <w:r>
        <w:rPr>
          <w:rFonts w:ascii="Palatino Linotype" w:eastAsia="Palatino Linotype" w:hAnsi="Palatino Linotype" w:cs="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8FFC8D9" w14:textId="77777777" w:rsidR="00052B44" w:rsidRDefault="00052B44" w:rsidP="00052B44">
      <w:pPr>
        <w:spacing w:line="360" w:lineRule="auto"/>
        <w:ind w:left="567" w:right="708"/>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 xml:space="preserve">Los </w:t>
      </w:r>
      <w:proofErr w:type="gramStart"/>
      <w:r>
        <w:rPr>
          <w:rFonts w:ascii="Palatino Linotype" w:eastAsia="Palatino Linotype" w:hAnsi="Palatino Linotype" w:cs="Palatino Linotype"/>
          <w:b/>
          <w:i/>
          <w:sz w:val="22"/>
          <w:szCs w:val="22"/>
        </w:rPr>
        <w:t>Presidentes</w:t>
      </w:r>
      <w:proofErr w:type="gramEnd"/>
      <w:r>
        <w:rPr>
          <w:rFonts w:ascii="Palatino Linotype" w:eastAsia="Palatino Linotype" w:hAnsi="Palatino Linotype" w:cs="Palatino Linotype"/>
          <w:b/>
          <w:i/>
          <w:sz w:val="22"/>
          <w:szCs w:val="22"/>
        </w:rPr>
        <w:t xml:space="preserve"> Municipales presentarán a la Legislatura las cuentas públicas anuales</w:t>
      </w:r>
      <w:r>
        <w:rPr>
          <w:rFonts w:ascii="Palatino Linotype" w:eastAsia="Palatino Linotype" w:hAnsi="Palatino Linotype" w:cs="Palatino Linotype"/>
          <w:i/>
          <w:sz w:val="22"/>
          <w:szCs w:val="22"/>
        </w:rPr>
        <w:t xml:space="preserve"> de sus respectivos municipios, del ejercicio fiscal inmediato anterior, </w:t>
      </w:r>
      <w:r>
        <w:rPr>
          <w:rFonts w:ascii="Palatino Linotype" w:eastAsia="Palatino Linotype" w:hAnsi="Palatino Linotype" w:cs="Palatino Linotype"/>
          <w:b/>
          <w:i/>
          <w:sz w:val="22"/>
          <w:szCs w:val="22"/>
        </w:rPr>
        <w:t>dentro de los quince primeros días del mes de marzo</w:t>
      </w:r>
      <w:r>
        <w:rPr>
          <w:rFonts w:ascii="Palatino Linotype" w:eastAsia="Palatino Linotype" w:hAnsi="Palatino Linotype" w:cs="Palatino Linotype"/>
          <w:i/>
          <w:sz w:val="22"/>
          <w:szCs w:val="22"/>
        </w:rPr>
        <w:t xml:space="preserve"> de cada año; asimismo, </w:t>
      </w:r>
      <w:r>
        <w:rPr>
          <w:rFonts w:ascii="Palatino Linotype" w:eastAsia="Palatino Linotype" w:hAnsi="Palatino Linotype" w:cs="Palatino Linotype"/>
          <w:b/>
          <w:i/>
          <w:sz w:val="22"/>
          <w:szCs w:val="22"/>
          <w:u w:val="single"/>
        </w:rPr>
        <w:t>los informes mensuales</w:t>
      </w:r>
      <w:r>
        <w:rPr>
          <w:rFonts w:ascii="Palatino Linotype" w:eastAsia="Palatino Linotype" w:hAnsi="Palatino Linotype" w:cs="Palatino Linotype"/>
          <w:i/>
          <w:sz w:val="22"/>
          <w:szCs w:val="22"/>
        </w:rPr>
        <w:t xml:space="preserve"> los deberán presentar </w:t>
      </w:r>
      <w:r>
        <w:rPr>
          <w:rFonts w:ascii="Palatino Linotype" w:eastAsia="Palatino Linotype" w:hAnsi="Palatino Linotype" w:cs="Palatino Linotype"/>
          <w:b/>
          <w:i/>
          <w:sz w:val="22"/>
          <w:szCs w:val="22"/>
          <w:u w:val="single"/>
        </w:rPr>
        <w:t>dentro de los veinte días posteriores al término del mes correspondiente.”</w:t>
      </w:r>
      <w:r>
        <w:rPr>
          <w:rFonts w:ascii="Palatino Linotype" w:eastAsia="Palatino Linotype" w:hAnsi="Palatino Linotype" w:cs="Palatino Linotype"/>
          <w:b/>
          <w:i/>
          <w:u w:val="single"/>
        </w:rPr>
        <w:t xml:space="preserve"> </w:t>
      </w:r>
      <w:r>
        <w:rPr>
          <w:rFonts w:ascii="Palatino Linotype" w:eastAsia="Palatino Linotype" w:hAnsi="Palatino Linotype" w:cs="Palatino Linotype"/>
          <w:i/>
        </w:rPr>
        <w:t>[Sic]</w:t>
      </w:r>
    </w:p>
    <w:p w14:paraId="17C919B5" w14:textId="77777777" w:rsidR="00052B44" w:rsidRDefault="00052B44" w:rsidP="00052B44">
      <w:pPr>
        <w:spacing w:line="360" w:lineRule="auto"/>
        <w:jc w:val="both"/>
        <w:rPr>
          <w:rFonts w:ascii="Palatino Linotype" w:eastAsia="Palatino Linotype" w:hAnsi="Palatino Linotype" w:cs="Palatino Linotype"/>
        </w:rPr>
      </w:pPr>
    </w:p>
    <w:p w14:paraId="18EBE54F"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información </w:t>
      </w:r>
      <w:r>
        <w:rPr>
          <w:rFonts w:ascii="Palatino Linotype" w:eastAsia="Palatino Linotype" w:hAnsi="Palatino Linotype" w:cs="Palatino Linotype"/>
          <w:b/>
        </w:rPr>
        <w:t>documental comprobatoria</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deberá conservarse en los archivos de la entidad fiscalizada –Municipio-</w:t>
      </w:r>
      <w:r>
        <w:rPr>
          <w:rFonts w:ascii="Palatino Linotype" w:eastAsia="Palatino Linotype" w:hAnsi="Palatino Linotype" w:cs="Palatino Linotype"/>
        </w:rPr>
        <w:t>, en original y debidamente integrada en términos de los lineamientos de referencia, pues son susceptibles de revisión directa por el órgano Superior de Fiscalización.</w:t>
      </w:r>
    </w:p>
    <w:p w14:paraId="2CC8D627" w14:textId="77777777" w:rsidR="00052B44" w:rsidRDefault="00052B44" w:rsidP="00052B44">
      <w:pPr>
        <w:spacing w:line="360" w:lineRule="auto"/>
        <w:jc w:val="both"/>
        <w:rPr>
          <w:rFonts w:ascii="Palatino Linotype" w:eastAsia="Palatino Linotype" w:hAnsi="Palatino Linotype" w:cs="Palatino Linotype"/>
        </w:rPr>
      </w:pPr>
    </w:p>
    <w:p w14:paraId="2FCC5077"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puntualizado esto, se advierte un documento que colmaría lo solicitado por el particular de manera enunciativa mas no limitativa, sería el formato de baja y alta o la conciliación de nómina, que de acuerdo a los Lineamientos para la Entrega del Informe Mensual Municipal del 2016 al 2021, se establece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informar mensualmente, al Órgano de Fiscalización del Estado de México: </w:t>
      </w:r>
    </w:p>
    <w:p w14:paraId="4C37A4D8" w14:textId="77777777" w:rsidR="00052B44" w:rsidRDefault="00052B44" w:rsidP="00052B44">
      <w:pPr>
        <w:spacing w:line="360" w:lineRule="auto"/>
        <w:jc w:val="both"/>
        <w:rPr>
          <w:rFonts w:ascii="Palatino Linotype" w:eastAsia="Palatino Linotype" w:hAnsi="Palatino Linotype" w:cs="Palatino Linotype"/>
        </w:rPr>
      </w:pPr>
    </w:p>
    <w:p w14:paraId="0DBBD47A"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2016:</w:t>
      </w:r>
    </w:p>
    <w:p w14:paraId="79D31645"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5B083147" wp14:editId="64576574">
            <wp:extent cx="5243815" cy="1484403"/>
            <wp:effectExtent l="0" t="0" r="0" b="0"/>
            <wp:docPr id="119" name="image15.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Texto&#10;&#10;Descripción generada automáticamente"/>
                    <pic:cNvPicPr preferRelativeResize="0"/>
                  </pic:nvPicPr>
                  <pic:blipFill>
                    <a:blip r:embed="rId8"/>
                    <a:srcRect l="22743" t="63997" r="22098" b="8231"/>
                    <a:stretch>
                      <a:fillRect/>
                    </a:stretch>
                  </pic:blipFill>
                  <pic:spPr>
                    <a:xfrm>
                      <a:off x="0" y="0"/>
                      <a:ext cx="5243815" cy="1484403"/>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59264" behindDoc="0" locked="0" layoutInCell="1" hidden="0" allowOverlap="1" wp14:anchorId="07DC0C3A" wp14:editId="1FCDD4EE">
                <wp:simplePos x="0" y="0"/>
                <wp:positionH relativeFrom="column">
                  <wp:posOffset>228600</wp:posOffset>
                </wp:positionH>
                <wp:positionV relativeFrom="paragraph">
                  <wp:posOffset>800100</wp:posOffset>
                </wp:positionV>
                <wp:extent cx="1774372" cy="259080"/>
                <wp:effectExtent l="0" t="0" r="0" b="0"/>
                <wp:wrapNone/>
                <wp:docPr id="101" name="Rectángulo 101"/>
                <wp:cNvGraphicFramePr/>
                <a:graphic xmlns:a="http://schemas.openxmlformats.org/drawingml/2006/main">
                  <a:graphicData uri="http://schemas.microsoft.com/office/word/2010/wordprocessingShape">
                    <wps:wsp>
                      <wps:cNvSpPr/>
                      <wps:spPr>
                        <a:xfrm>
                          <a:off x="4496914" y="3688560"/>
                          <a:ext cx="1698172" cy="182880"/>
                        </a:xfrm>
                        <a:prstGeom prst="rect">
                          <a:avLst/>
                        </a:prstGeom>
                        <a:noFill/>
                        <a:ln w="38100" cap="flat" cmpd="sng">
                          <a:solidFill>
                            <a:srgbClr val="FF0000"/>
                          </a:solidFill>
                          <a:prstDash val="solid"/>
                          <a:miter lim="800000"/>
                          <a:headEnd type="none" w="sm" len="sm"/>
                          <a:tailEnd type="none" w="sm" len="sm"/>
                        </a:ln>
                      </wps:spPr>
                      <wps:txbx>
                        <w:txbxContent>
                          <w:p w14:paraId="672D5FB8" w14:textId="77777777" w:rsidR="00052B44" w:rsidRDefault="00052B44" w:rsidP="00052B44">
                            <w:pPr>
                              <w:textDirection w:val="btLr"/>
                            </w:pPr>
                          </w:p>
                        </w:txbxContent>
                      </wps:txbx>
                      <wps:bodyPr spcFirstLastPara="1" wrap="square" lIns="91425" tIns="91425" rIns="91425" bIns="91425" anchor="ctr" anchorCtr="0">
                        <a:noAutofit/>
                      </wps:bodyPr>
                    </wps:wsp>
                  </a:graphicData>
                </a:graphic>
              </wp:anchor>
            </w:drawing>
          </mc:Choice>
          <mc:Fallback>
            <w:pict>
              <v:rect w14:anchorId="07DC0C3A" id="Rectángulo 101" o:spid="_x0000_s1026" style="position:absolute;left:0;text-align:left;margin-left:18pt;margin-top:63pt;width:139.7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" filled="f" strokecolor="red" strokeweight="3pt">
                <v:stroke startarrowwidth="narrow" startarrowlength="short" endarrowwidth="narrow" endarrowlength="short"/>
                <v:textbox inset="2.53958mm,2.53958mm,2.53958mm,2.53958mm">
                  <w:txbxContent>
                    <w:p w14:paraId="672D5FB8" w14:textId="77777777" w:rsidR="00052B44" w:rsidRDefault="00052B44" w:rsidP="00052B44">
                      <w:pPr>
                        <w:textDirection w:val="btLr"/>
                      </w:pPr>
                    </w:p>
                  </w:txbxContent>
                </v:textbox>
              </v:rect>
            </w:pict>
          </mc:Fallback>
        </mc:AlternateContent>
      </w:r>
    </w:p>
    <w:p w14:paraId="320A5FFC"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366E695B" wp14:editId="44CC990E">
            <wp:extent cx="5384171" cy="2151881"/>
            <wp:effectExtent l="0" t="0" r="0" b="0"/>
            <wp:docPr id="122" name="image16.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6.png" descr="Texto&#10;&#10;Descripción generada automáticamente con confianza media"/>
                    <pic:cNvPicPr preferRelativeResize="0"/>
                  </pic:nvPicPr>
                  <pic:blipFill>
                    <a:blip r:embed="rId9"/>
                    <a:srcRect l="13578" t="21433" r="15816" b="28377"/>
                    <a:stretch>
                      <a:fillRect/>
                    </a:stretch>
                  </pic:blipFill>
                  <pic:spPr>
                    <a:xfrm>
                      <a:off x="0" y="0"/>
                      <a:ext cx="5384171" cy="2151881"/>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0288" behindDoc="0" locked="0" layoutInCell="1" hidden="0" allowOverlap="1" wp14:anchorId="7818957C" wp14:editId="622BA95C">
                <wp:simplePos x="0" y="0"/>
                <wp:positionH relativeFrom="column">
                  <wp:posOffset>114300</wp:posOffset>
                </wp:positionH>
                <wp:positionV relativeFrom="paragraph">
                  <wp:posOffset>1879600</wp:posOffset>
                </wp:positionV>
                <wp:extent cx="2839538" cy="283845"/>
                <wp:effectExtent l="0" t="0" r="0" b="0"/>
                <wp:wrapNone/>
                <wp:docPr id="108" name="Rectángulo 108"/>
                <wp:cNvGraphicFramePr/>
                <a:graphic xmlns:a="http://schemas.openxmlformats.org/drawingml/2006/main">
                  <a:graphicData uri="http://schemas.microsoft.com/office/word/2010/wordprocessingShape">
                    <wps:wsp>
                      <wps:cNvSpPr/>
                      <wps:spPr>
                        <a:xfrm>
                          <a:off x="3964331" y="3676178"/>
                          <a:ext cx="2763338" cy="207645"/>
                        </a:xfrm>
                        <a:prstGeom prst="rect">
                          <a:avLst/>
                        </a:prstGeom>
                        <a:noFill/>
                        <a:ln w="38100" cap="flat" cmpd="sng">
                          <a:solidFill>
                            <a:srgbClr val="FF0000"/>
                          </a:solidFill>
                          <a:prstDash val="solid"/>
                          <a:miter lim="800000"/>
                          <a:headEnd type="none" w="sm" len="sm"/>
                          <a:tailEnd type="none" w="sm" len="sm"/>
                        </a:ln>
                      </wps:spPr>
                      <wps:txbx>
                        <w:txbxContent>
                          <w:p w14:paraId="5E94DC3B" w14:textId="77777777" w:rsidR="00052B44" w:rsidRDefault="00052B44" w:rsidP="00052B44">
                            <w:pPr>
                              <w:textDirection w:val="btLr"/>
                            </w:pPr>
                          </w:p>
                        </w:txbxContent>
                      </wps:txbx>
                      <wps:bodyPr spcFirstLastPara="1" wrap="square" lIns="91425" tIns="91425" rIns="91425" bIns="91425" anchor="ctr" anchorCtr="0">
                        <a:noAutofit/>
                      </wps:bodyPr>
                    </wps:wsp>
                  </a:graphicData>
                </a:graphic>
              </wp:anchor>
            </w:drawing>
          </mc:Choice>
          <mc:Fallback>
            <w:pict>
              <v:rect w14:anchorId="7818957C" id="Rectángulo 108" o:spid="_x0000_s1027" style="position:absolute;left:0;text-align:left;margin-left:9pt;margin-top:148pt;width:223.6pt;height:22.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" filled="f" strokecolor="red" strokeweight="3pt">
                <v:stroke startarrowwidth="narrow" startarrowlength="short" endarrowwidth="narrow" endarrowlength="short"/>
                <v:textbox inset="2.53958mm,2.53958mm,2.53958mm,2.53958mm">
                  <w:txbxContent>
                    <w:p w14:paraId="5E94DC3B" w14:textId="77777777" w:rsidR="00052B44" w:rsidRDefault="00052B44" w:rsidP="00052B44">
                      <w:pPr>
                        <w:textDirection w:val="btLr"/>
                      </w:pPr>
                    </w:p>
                  </w:txbxContent>
                </v:textbox>
              </v:rect>
            </w:pict>
          </mc:Fallback>
        </mc:AlternateContent>
      </w:r>
    </w:p>
    <w:p w14:paraId="53111765"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400D1D3E" wp14:editId="52279FCD">
            <wp:extent cx="5321676" cy="2515702"/>
            <wp:effectExtent l="0" t="0" r="0" b="0"/>
            <wp:docPr id="121" name="image13.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Texto&#10;&#10;Descripción generada automáticamente"/>
                    <pic:cNvPicPr preferRelativeResize="0"/>
                  </pic:nvPicPr>
                  <pic:blipFill>
                    <a:blip r:embed="rId10"/>
                    <a:srcRect l="15783" t="34413" r="18873" b="10644"/>
                    <a:stretch>
                      <a:fillRect/>
                    </a:stretch>
                  </pic:blipFill>
                  <pic:spPr>
                    <a:xfrm>
                      <a:off x="0" y="0"/>
                      <a:ext cx="5321676" cy="2515702"/>
                    </a:xfrm>
                    <a:prstGeom prst="rect">
                      <a:avLst/>
                    </a:prstGeom>
                    <a:ln/>
                  </pic:spPr>
                </pic:pic>
              </a:graphicData>
            </a:graphic>
          </wp:inline>
        </w:drawing>
      </w:r>
    </w:p>
    <w:p w14:paraId="51BB5728"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552A51DD" wp14:editId="539375AF">
            <wp:extent cx="5564492" cy="2949181"/>
            <wp:effectExtent l="0" t="0" r="0" b="0"/>
            <wp:docPr id="125" name="image21.png" descr="Interfaz de usuario gráfica, 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1.png" descr="Interfaz de usuario gráfica, Tabla&#10;&#10;Descripción generada automáticamente con confianza media"/>
                    <pic:cNvPicPr preferRelativeResize="0"/>
                  </pic:nvPicPr>
                  <pic:blipFill>
                    <a:blip r:embed="rId11"/>
                    <a:srcRect l="14427" t="25055" r="17685" b="10948"/>
                    <a:stretch>
                      <a:fillRect/>
                    </a:stretch>
                  </pic:blipFill>
                  <pic:spPr>
                    <a:xfrm>
                      <a:off x="0" y="0"/>
                      <a:ext cx="5564492" cy="2949181"/>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1312" behindDoc="0" locked="0" layoutInCell="1" hidden="0" allowOverlap="1" wp14:anchorId="5B1691B7" wp14:editId="0BE0FCD7">
                <wp:simplePos x="0" y="0"/>
                <wp:positionH relativeFrom="column">
                  <wp:posOffset>1511300</wp:posOffset>
                </wp:positionH>
                <wp:positionV relativeFrom="paragraph">
                  <wp:posOffset>952500</wp:posOffset>
                </wp:positionV>
                <wp:extent cx="2839538" cy="283845"/>
                <wp:effectExtent l="0" t="0" r="0" b="0"/>
                <wp:wrapNone/>
                <wp:docPr id="110" name="Rectángulo 110"/>
                <wp:cNvGraphicFramePr/>
                <a:graphic xmlns:a="http://schemas.openxmlformats.org/drawingml/2006/main">
                  <a:graphicData uri="http://schemas.microsoft.com/office/word/2010/wordprocessingShape">
                    <wps:wsp>
                      <wps:cNvSpPr/>
                      <wps:spPr>
                        <a:xfrm>
                          <a:off x="3964331" y="3676178"/>
                          <a:ext cx="2763338" cy="207645"/>
                        </a:xfrm>
                        <a:prstGeom prst="rect">
                          <a:avLst/>
                        </a:prstGeom>
                        <a:noFill/>
                        <a:ln w="38100" cap="flat" cmpd="sng">
                          <a:solidFill>
                            <a:srgbClr val="FF0000"/>
                          </a:solidFill>
                          <a:prstDash val="solid"/>
                          <a:miter lim="800000"/>
                          <a:headEnd type="none" w="sm" len="sm"/>
                          <a:tailEnd type="none" w="sm" len="sm"/>
                        </a:ln>
                      </wps:spPr>
                      <wps:txbx>
                        <w:txbxContent>
                          <w:p w14:paraId="7BC70758" w14:textId="77777777" w:rsidR="00052B44" w:rsidRDefault="00052B44" w:rsidP="00052B44">
                            <w:pPr>
                              <w:textDirection w:val="btLr"/>
                            </w:pPr>
                          </w:p>
                        </w:txbxContent>
                      </wps:txbx>
                      <wps:bodyPr spcFirstLastPara="1" wrap="square" lIns="91425" tIns="91425" rIns="91425" bIns="91425" anchor="ctr" anchorCtr="0">
                        <a:noAutofit/>
                      </wps:bodyPr>
                    </wps:wsp>
                  </a:graphicData>
                </a:graphic>
              </wp:anchor>
            </w:drawing>
          </mc:Choice>
          <mc:Fallback>
            <w:pict>
              <v:rect w14:anchorId="5B1691B7" id="Rectángulo 110" o:spid="_x0000_s1028" style="position:absolute;left:0;text-align:left;margin-left:119pt;margin-top:75pt;width:223.6pt;height:22.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" filled="f" strokecolor="red" strokeweight="3pt">
                <v:stroke startarrowwidth="narrow" startarrowlength="short" endarrowwidth="narrow" endarrowlength="short"/>
                <v:textbox inset="2.53958mm,2.53958mm,2.53958mm,2.53958mm">
                  <w:txbxContent>
                    <w:p w14:paraId="7BC70758" w14:textId="77777777" w:rsidR="00052B44" w:rsidRDefault="00052B44" w:rsidP="00052B44">
                      <w:pPr>
                        <w:textDirection w:val="btLr"/>
                      </w:pPr>
                    </w:p>
                  </w:txbxContent>
                </v:textbox>
              </v:rect>
            </w:pict>
          </mc:Fallback>
        </mc:AlternateContent>
      </w:r>
    </w:p>
    <w:p w14:paraId="1B0B6EBA"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2017 y 2018:</w:t>
      </w:r>
    </w:p>
    <w:p w14:paraId="20A39D34" w14:textId="77777777" w:rsidR="00052B44" w:rsidRDefault="00052B44" w:rsidP="00052B44">
      <w:pPr>
        <w:spacing w:line="360" w:lineRule="auto"/>
        <w:jc w:val="both"/>
        <w:rPr>
          <w:rFonts w:ascii="Palatino Linotype" w:eastAsia="Palatino Linotype" w:hAnsi="Palatino Linotype" w:cs="Palatino Linotype"/>
        </w:rPr>
      </w:pPr>
      <w:r>
        <w:rPr>
          <w:noProof/>
          <w:lang w:val="es-MX" w:eastAsia="es-MX"/>
        </w:rPr>
        <mc:AlternateContent>
          <mc:Choice Requires="wps">
            <w:drawing>
              <wp:anchor distT="0" distB="0" distL="114300" distR="114300" simplePos="0" relativeHeight="251662336" behindDoc="0" locked="0" layoutInCell="1" hidden="0" allowOverlap="1" wp14:anchorId="51507209" wp14:editId="1633AA60">
                <wp:simplePos x="0" y="0"/>
                <wp:positionH relativeFrom="column">
                  <wp:posOffset>-25399</wp:posOffset>
                </wp:positionH>
                <wp:positionV relativeFrom="paragraph">
                  <wp:posOffset>127000</wp:posOffset>
                </wp:positionV>
                <wp:extent cx="5219700" cy="1219200"/>
                <wp:effectExtent l="0" t="0" r="0" b="0"/>
                <wp:wrapNone/>
                <wp:docPr id="104" name="Conector recto de flecha 104"/>
                <wp:cNvGraphicFramePr/>
                <a:graphic xmlns:a="http://schemas.openxmlformats.org/drawingml/2006/main">
                  <a:graphicData uri="http://schemas.microsoft.com/office/word/2010/wordprocessingShape">
                    <wps:wsp>
                      <wps:cNvCnPr/>
                      <wps:spPr>
                        <a:xfrm>
                          <a:off x="2764725" y="3198975"/>
                          <a:ext cx="5162550" cy="1162050"/>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w:pict>
              <v:shapetype w14:anchorId="687FE0A5" id="_x0000_t32" coordsize="21600,21600" o:spt="32" o:oned="t" path="m,l21600,21600e" filled="f">
                <v:path arrowok="t" fillok="f" o:connecttype="none"/>
                <o:lock v:ext="edit" shapetype="t"/>
              </v:shapetype>
              <v:shape id="Conector recto de flecha 104" o:spid="_x0000_s1026" type="#_x0000_t32" style="position:absolute;margin-left:-2pt;margin-top:10pt;width:411pt;height:9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" strokecolor="red" strokeweight="2.25pt">
                <v:stroke startarrowwidth="narrow" startarrowlength="short" endarrowwidth="narrow" endarrowlength="short" joinstyle="miter"/>
              </v:shape>
            </w:pict>
          </mc:Fallback>
        </mc:AlternateContent>
      </w:r>
    </w:p>
    <w:p w14:paraId="3FD2A03E"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571BD5F4" wp14:editId="61EBCA81">
            <wp:extent cx="5783017" cy="2490203"/>
            <wp:effectExtent l="0" t="0" r="0" b="0"/>
            <wp:docPr id="123" name="image17.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7.png" descr="Interfaz de usuario gráfica&#10;&#10;Descripción generada automáticamente con confianza media"/>
                    <pic:cNvPicPr preferRelativeResize="0"/>
                  </pic:nvPicPr>
                  <pic:blipFill>
                    <a:blip r:embed="rId12"/>
                    <a:srcRect l="20197" t="16301" r="22604" b="10646"/>
                    <a:stretch>
                      <a:fillRect/>
                    </a:stretch>
                  </pic:blipFill>
                  <pic:spPr>
                    <a:xfrm>
                      <a:off x="0" y="0"/>
                      <a:ext cx="5783017" cy="2490203"/>
                    </a:xfrm>
                    <a:prstGeom prst="rect">
                      <a:avLst/>
                    </a:prstGeom>
                    <a:ln/>
                  </pic:spPr>
                </pic:pic>
              </a:graphicData>
            </a:graphic>
          </wp:inline>
        </w:drawing>
      </w:r>
      <w:r>
        <w:rPr>
          <w:rFonts w:ascii="Palatino Linotype" w:eastAsia="Palatino Linotype" w:hAnsi="Palatino Linotype" w:cs="Palatino Linotype"/>
          <w:noProof/>
          <w:lang w:val="es-MX" w:eastAsia="es-MX"/>
        </w:rPr>
        <w:drawing>
          <wp:inline distT="0" distB="0" distL="0" distR="0" wp14:anchorId="2DC4A10A" wp14:editId="6B62BEDE">
            <wp:extent cx="5612130" cy="2832789"/>
            <wp:effectExtent l="0" t="0" r="0" b="0"/>
            <wp:docPr id="127" name="image28.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8.png" descr="Interfaz de usuario gráfica, Texto, Aplicación&#10;&#10;Descripción generada automáticamente"/>
                    <pic:cNvPicPr preferRelativeResize="0"/>
                  </pic:nvPicPr>
                  <pic:blipFill>
                    <a:blip r:embed="rId13"/>
                    <a:srcRect l="22404" t="39545" r="24472" b="12759"/>
                    <a:stretch>
                      <a:fillRect/>
                    </a:stretch>
                  </pic:blipFill>
                  <pic:spPr>
                    <a:xfrm>
                      <a:off x="0" y="0"/>
                      <a:ext cx="5612130" cy="2832789"/>
                    </a:xfrm>
                    <a:prstGeom prst="rect">
                      <a:avLst/>
                    </a:prstGeom>
                    <a:ln/>
                  </pic:spPr>
                </pic:pic>
              </a:graphicData>
            </a:graphic>
          </wp:inline>
        </w:drawing>
      </w:r>
      <w:r>
        <w:rPr>
          <w:rFonts w:ascii="Palatino Linotype" w:eastAsia="Palatino Linotype" w:hAnsi="Palatino Linotype" w:cs="Palatino Linotype"/>
          <w:noProof/>
          <w:lang w:val="es-MX" w:eastAsia="es-MX"/>
        </w:rPr>
        <w:lastRenderedPageBreak/>
        <w:drawing>
          <wp:inline distT="0" distB="0" distL="0" distR="0" wp14:anchorId="46413A5E" wp14:editId="4F68FB65">
            <wp:extent cx="5606859" cy="2405416"/>
            <wp:effectExtent l="0" t="0" r="0" b="0"/>
            <wp:docPr id="126" name="image22.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png" descr="Interfaz de usuario gráfica, Texto&#10;&#10;Descripción generada automáticamente"/>
                    <pic:cNvPicPr preferRelativeResize="0"/>
                  </pic:nvPicPr>
                  <pic:blipFill>
                    <a:blip r:embed="rId14"/>
                    <a:srcRect l="21724" t="38337" r="24302" b="10344"/>
                    <a:stretch>
                      <a:fillRect/>
                    </a:stretch>
                  </pic:blipFill>
                  <pic:spPr>
                    <a:xfrm>
                      <a:off x="0" y="0"/>
                      <a:ext cx="5606859" cy="2405416"/>
                    </a:xfrm>
                    <a:prstGeom prst="rect">
                      <a:avLst/>
                    </a:prstGeom>
                    <a:ln/>
                  </pic:spPr>
                </pic:pic>
              </a:graphicData>
            </a:graphic>
          </wp:inline>
        </w:drawing>
      </w:r>
    </w:p>
    <w:p w14:paraId="0E5A47E3" w14:textId="77777777" w:rsidR="00052B44" w:rsidRDefault="00052B44" w:rsidP="00052B44">
      <w:pPr>
        <w:spacing w:line="360" w:lineRule="auto"/>
        <w:jc w:val="both"/>
        <w:rPr>
          <w:rFonts w:ascii="Palatino Linotype" w:eastAsia="Palatino Linotype" w:hAnsi="Palatino Linotype" w:cs="Palatino Linotype"/>
        </w:rPr>
      </w:pPr>
    </w:p>
    <w:p w14:paraId="38848F61" w14:textId="77777777" w:rsidR="00052B44" w:rsidRDefault="00052B44" w:rsidP="00052B44">
      <w:pPr>
        <w:spacing w:line="360" w:lineRule="auto"/>
        <w:jc w:val="both"/>
        <w:rPr>
          <w:rFonts w:ascii="Palatino Linotype" w:eastAsia="Palatino Linotype" w:hAnsi="Palatino Linotype" w:cs="Palatino Linotype"/>
        </w:rPr>
      </w:pPr>
    </w:p>
    <w:p w14:paraId="507D53C1"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2019:</w:t>
      </w:r>
      <w:r>
        <w:rPr>
          <w:noProof/>
          <w:lang w:val="es-MX" w:eastAsia="es-MX"/>
        </w:rPr>
        <w:drawing>
          <wp:anchor distT="0" distB="0" distL="0" distR="0" simplePos="0" relativeHeight="251663360" behindDoc="1" locked="0" layoutInCell="1" hidden="0" allowOverlap="1" wp14:anchorId="098123F7" wp14:editId="3A4D7F24">
            <wp:simplePos x="0" y="0"/>
            <wp:positionH relativeFrom="column">
              <wp:posOffset>0</wp:posOffset>
            </wp:positionH>
            <wp:positionV relativeFrom="paragraph">
              <wp:posOffset>304345</wp:posOffset>
            </wp:positionV>
            <wp:extent cx="5781574" cy="2573383"/>
            <wp:effectExtent l="0" t="0" r="0" b="0"/>
            <wp:wrapNone/>
            <wp:docPr id="124" name="image23.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png" descr="Interfaz de usuario gráfica, Texto, Aplicación&#10;&#10;Descripción generada automáticamente"/>
                    <pic:cNvPicPr preferRelativeResize="0"/>
                  </pic:nvPicPr>
                  <pic:blipFill>
                    <a:blip r:embed="rId15"/>
                    <a:srcRect l="28945" t="20542" r="33229" b="41387"/>
                    <a:stretch>
                      <a:fillRect/>
                    </a:stretch>
                  </pic:blipFill>
                  <pic:spPr>
                    <a:xfrm>
                      <a:off x="0" y="0"/>
                      <a:ext cx="5781574" cy="2573383"/>
                    </a:xfrm>
                    <a:prstGeom prst="rect">
                      <a:avLst/>
                    </a:prstGeom>
                    <a:ln/>
                  </pic:spPr>
                </pic:pic>
              </a:graphicData>
            </a:graphic>
          </wp:anchor>
        </w:drawing>
      </w:r>
    </w:p>
    <w:p w14:paraId="7302F2F2" w14:textId="77777777" w:rsidR="00052B44" w:rsidRDefault="00052B44" w:rsidP="00052B44">
      <w:pPr>
        <w:spacing w:line="360" w:lineRule="auto"/>
        <w:jc w:val="both"/>
        <w:rPr>
          <w:rFonts w:ascii="Palatino Linotype" w:eastAsia="Palatino Linotype" w:hAnsi="Palatino Linotype" w:cs="Palatino Linotype"/>
        </w:rPr>
      </w:pPr>
    </w:p>
    <w:p w14:paraId="532F13F7" w14:textId="77777777" w:rsidR="00052B44" w:rsidRDefault="00052B44" w:rsidP="00052B44">
      <w:pPr>
        <w:spacing w:line="360" w:lineRule="auto"/>
        <w:jc w:val="both"/>
        <w:rPr>
          <w:rFonts w:ascii="Palatino Linotype" w:eastAsia="Palatino Linotype" w:hAnsi="Palatino Linotype" w:cs="Palatino Linotype"/>
        </w:rPr>
      </w:pPr>
    </w:p>
    <w:p w14:paraId="501DD3DB" w14:textId="77777777" w:rsidR="00052B44" w:rsidRDefault="00052B44" w:rsidP="00052B44">
      <w:pPr>
        <w:spacing w:line="360" w:lineRule="auto"/>
        <w:jc w:val="both"/>
        <w:rPr>
          <w:rFonts w:ascii="Palatino Linotype" w:eastAsia="Palatino Linotype" w:hAnsi="Palatino Linotype" w:cs="Palatino Linotype"/>
        </w:rPr>
      </w:pPr>
    </w:p>
    <w:p w14:paraId="23554C55" w14:textId="77777777" w:rsidR="00052B44" w:rsidRDefault="00052B44" w:rsidP="00052B44">
      <w:pPr>
        <w:spacing w:line="360" w:lineRule="auto"/>
        <w:jc w:val="both"/>
        <w:rPr>
          <w:rFonts w:ascii="Palatino Linotype" w:eastAsia="Palatino Linotype" w:hAnsi="Palatino Linotype" w:cs="Palatino Linotype"/>
        </w:rPr>
      </w:pPr>
    </w:p>
    <w:p w14:paraId="1A5E0F34" w14:textId="77777777" w:rsidR="00052B44" w:rsidRDefault="00052B44" w:rsidP="00052B44">
      <w:pPr>
        <w:spacing w:line="360" w:lineRule="auto"/>
        <w:jc w:val="both"/>
        <w:rPr>
          <w:rFonts w:ascii="Palatino Linotype" w:eastAsia="Palatino Linotype" w:hAnsi="Palatino Linotype" w:cs="Palatino Linotype"/>
        </w:rPr>
      </w:pPr>
    </w:p>
    <w:p w14:paraId="257A0BD1" w14:textId="77777777" w:rsidR="00052B44" w:rsidRDefault="00052B44" w:rsidP="00052B44">
      <w:pPr>
        <w:spacing w:line="360" w:lineRule="auto"/>
        <w:jc w:val="both"/>
        <w:rPr>
          <w:rFonts w:ascii="Palatino Linotype" w:eastAsia="Palatino Linotype" w:hAnsi="Palatino Linotype" w:cs="Palatino Linotype"/>
        </w:rPr>
      </w:pPr>
    </w:p>
    <w:p w14:paraId="5624272B" w14:textId="77777777" w:rsidR="00052B44" w:rsidRDefault="00052B44" w:rsidP="00052B44">
      <w:pPr>
        <w:spacing w:line="360" w:lineRule="auto"/>
        <w:jc w:val="both"/>
        <w:rPr>
          <w:rFonts w:ascii="Palatino Linotype" w:eastAsia="Palatino Linotype" w:hAnsi="Palatino Linotype" w:cs="Palatino Linotype"/>
        </w:rPr>
      </w:pPr>
    </w:p>
    <w:p w14:paraId="43FF7915" w14:textId="77777777" w:rsidR="00052B44" w:rsidRDefault="00052B44" w:rsidP="00052B44">
      <w:pPr>
        <w:spacing w:line="360" w:lineRule="auto"/>
        <w:jc w:val="both"/>
        <w:rPr>
          <w:rFonts w:ascii="Palatino Linotype" w:eastAsia="Palatino Linotype" w:hAnsi="Palatino Linotype" w:cs="Palatino Linotype"/>
        </w:rPr>
      </w:pPr>
    </w:p>
    <w:p w14:paraId="3AD4FA03" w14:textId="77777777" w:rsidR="00052B44" w:rsidRDefault="00052B44" w:rsidP="00052B44">
      <w:pPr>
        <w:spacing w:line="360" w:lineRule="auto"/>
        <w:jc w:val="both"/>
        <w:rPr>
          <w:rFonts w:ascii="Palatino Linotype" w:eastAsia="Palatino Linotype" w:hAnsi="Palatino Linotype" w:cs="Palatino Linotype"/>
        </w:rPr>
      </w:pPr>
    </w:p>
    <w:p w14:paraId="178827B3" w14:textId="77777777" w:rsidR="00052B44" w:rsidRDefault="00052B44" w:rsidP="00052B44">
      <w:pPr>
        <w:spacing w:line="360" w:lineRule="auto"/>
        <w:jc w:val="both"/>
        <w:rPr>
          <w:rFonts w:ascii="Palatino Linotype" w:eastAsia="Palatino Linotype" w:hAnsi="Palatino Linotype" w:cs="Palatino Linotype"/>
        </w:rPr>
      </w:pPr>
    </w:p>
    <w:p w14:paraId="5D67B300" w14:textId="77777777" w:rsidR="00052B44" w:rsidRDefault="00052B44" w:rsidP="00052B44">
      <w:pPr>
        <w:spacing w:line="360" w:lineRule="auto"/>
        <w:jc w:val="both"/>
        <w:rPr>
          <w:rFonts w:ascii="Palatino Linotype" w:eastAsia="Palatino Linotype" w:hAnsi="Palatino Linotype" w:cs="Palatino Linotype"/>
        </w:rPr>
      </w:pPr>
    </w:p>
    <w:p w14:paraId="6E4AF0F2" w14:textId="77777777" w:rsidR="00052B44" w:rsidRDefault="00052B44" w:rsidP="00052B44">
      <w:pPr>
        <w:spacing w:line="360" w:lineRule="auto"/>
        <w:jc w:val="both"/>
        <w:rPr>
          <w:rFonts w:ascii="Palatino Linotype" w:eastAsia="Palatino Linotype" w:hAnsi="Palatino Linotype" w:cs="Palatino Linotype"/>
        </w:rPr>
      </w:pPr>
    </w:p>
    <w:p w14:paraId="4C0A6DF9" w14:textId="77777777" w:rsidR="00052B44" w:rsidRDefault="00052B44" w:rsidP="00052B44">
      <w:pPr>
        <w:spacing w:line="360" w:lineRule="auto"/>
        <w:jc w:val="both"/>
        <w:rPr>
          <w:rFonts w:ascii="Palatino Linotype" w:eastAsia="Palatino Linotype" w:hAnsi="Palatino Linotype" w:cs="Palatino Linotype"/>
        </w:rPr>
      </w:pPr>
    </w:p>
    <w:p w14:paraId="4729BF40" w14:textId="77777777" w:rsidR="00052B44" w:rsidRDefault="00052B44" w:rsidP="00052B44">
      <w:pPr>
        <w:spacing w:line="360" w:lineRule="auto"/>
        <w:jc w:val="both"/>
        <w:rPr>
          <w:rFonts w:ascii="Palatino Linotype" w:eastAsia="Palatino Linotype" w:hAnsi="Palatino Linotype" w:cs="Palatino Linotype"/>
        </w:rPr>
      </w:pPr>
    </w:p>
    <w:p w14:paraId="279AD344" w14:textId="77777777" w:rsidR="00052B44" w:rsidRDefault="00052B44" w:rsidP="00052B44">
      <w:pPr>
        <w:spacing w:line="360" w:lineRule="auto"/>
        <w:jc w:val="both"/>
        <w:rPr>
          <w:rFonts w:ascii="Palatino Linotype" w:eastAsia="Palatino Linotype" w:hAnsi="Palatino Linotype" w:cs="Palatino Linotype"/>
        </w:rPr>
      </w:pPr>
      <w:r>
        <w:rPr>
          <w:noProof/>
          <w:lang w:val="es-MX" w:eastAsia="es-MX"/>
        </w:rPr>
        <w:drawing>
          <wp:anchor distT="0" distB="0" distL="0" distR="0" simplePos="0" relativeHeight="251664384" behindDoc="1" locked="0" layoutInCell="1" hidden="0" allowOverlap="1" wp14:anchorId="4A135BB3" wp14:editId="63B1B0C6">
            <wp:simplePos x="0" y="0"/>
            <wp:positionH relativeFrom="column">
              <wp:posOffset>0</wp:posOffset>
            </wp:positionH>
            <wp:positionV relativeFrom="paragraph">
              <wp:posOffset>-2539</wp:posOffset>
            </wp:positionV>
            <wp:extent cx="5915025" cy="2882773"/>
            <wp:effectExtent l="0" t="0" r="0" b="0"/>
            <wp:wrapNone/>
            <wp:docPr id="118" name="image3.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10;&#10;Descripción generada automáticamente"/>
                    <pic:cNvPicPr preferRelativeResize="0"/>
                  </pic:nvPicPr>
                  <pic:blipFill>
                    <a:blip r:embed="rId16"/>
                    <a:srcRect l="29669" t="18163" r="32633" b="26715"/>
                    <a:stretch>
                      <a:fillRect/>
                    </a:stretch>
                  </pic:blipFill>
                  <pic:spPr>
                    <a:xfrm>
                      <a:off x="0" y="0"/>
                      <a:ext cx="5915025" cy="2882773"/>
                    </a:xfrm>
                    <a:prstGeom prst="rect">
                      <a:avLst/>
                    </a:prstGeom>
                    <a:ln/>
                  </pic:spPr>
                </pic:pic>
              </a:graphicData>
            </a:graphic>
          </wp:anchor>
        </w:drawing>
      </w:r>
    </w:p>
    <w:p w14:paraId="79A7A972" w14:textId="77777777" w:rsidR="00052B44" w:rsidRDefault="00052B44" w:rsidP="00052B44">
      <w:pPr>
        <w:spacing w:line="360" w:lineRule="auto"/>
        <w:jc w:val="both"/>
        <w:rPr>
          <w:rFonts w:ascii="Palatino Linotype" w:eastAsia="Palatino Linotype" w:hAnsi="Palatino Linotype" w:cs="Palatino Linotype"/>
        </w:rPr>
      </w:pPr>
    </w:p>
    <w:p w14:paraId="301C8123" w14:textId="77777777" w:rsidR="00052B44" w:rsidRDefault="00052B44" w:rsidP="00052B44">
      <w:pPr>
        <w:spacing w:line="360" w:lineRule="auto"/>
        <w:jc w:val="both"/>
        <w:rPr>
          <w:rFonts w:ascii="Palatino Linotype" w:eastAsia="Palatino Linotype" w:hAnsi="Palatino Linotype" w:cs="Palatino Linotype"/>
        </w:rPr>
      </w:pPr>
    </w:p>
    <w:p w14:paraId="5092E5F8" w14:textId="77777777" w:rsidR="00052B44" w:rsidRDefault="00052B44" w:rsidP="00052B44">
      <w:pPr>
        <w:spacing w:line="360" w:lineRule="auto"/>
        <w:jc w:val="both"/>
        <w:rPr>
          <w:rFonts w:ascii="Palatino Linotype" w:eastAsia="Palatino Linotype" w:hAnsi="Palatino Linotype" w:cs="Palatino Linotype"/>
        </w:rPr>
      </w:pPr>
    </w:p>
    <w:p w14:paraId="2E8D3529" w14:textId="77777777" w:rsidR="00052B44" w:rsidRDefault="00052B44" w:rsidP="00052B44">
      <w:pPr>
        <w:spacing w:after="240" w:line="360" w:lineRule="auto"/>
        <w:jc w:val="both"/>
        <w:rPr>
          <w:rFonts w:ascii="Palatino Linotype" w:eastAsia="Palatino Linotype" w:hAnsi="Palatino Linotype" w:cs="Palatino Linotype"/>
        </w:rPr>
      </w:pPr>
    </w:p>
    <w:p w14:paraId="7A3D261B"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6EBCD33"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F2BECE0"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32B34EE"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noProof/>
          <w:lang w:val="es-MX" w:eastAsia="es-MX"/>
        </w:rPr>
        <w:drawing>
          <wp:anchor distT="0" distB="0" distL="0" distR="0" simplePos="0" relativeHeight="251665408" behindDoc="1" locked="0" layoutInCell="1" hidden="0" allowOverlap="1" wp14:anchorId="32D79876" wp14:editId="1400BC5D">
            <wp:simplePos x="0" y="0"/>
            <wp:positionH relativeFrom="column">
              <wp:posOffset>434339</wp:posOffset>
            </wp:positionH>
            <wp:positionV relativeFrom="paragraph">
              <wp:posOffset>173355</wp:posOffset>
            </wp:positionV>
            <wp:extent cx="5583525" cy="3114470"/>
            <wp:effectExtent l="0" t="0" r="0" b="0"/>
            <wp:wrapNone/>
            <wp:docPr id="111" name="image9.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nterfaz de usuario gráfica, Aplicación&#10;&#10;Descripción generada automáticamente"/>
                    <pic:cNvPicPr preferRelativeResize="0"/>
                  </pic:nvPicPr>
                  <pic:blipFill>
                    <a:blip r:embed="rId17"/>
                    <a:srcRect l="24446" t="17297" r="27513" b="17203"/>
                    <a:stretch>
                      <a:fillRect/>
                    </a:stretch>
                  </pic:blipFill>
                  <pic:spPr>
                    <a:xfrm>
                      <a:off x="0" y="0"/>
                      <a:ext cx="5583525" cy="3114470"/>
                    </a:xfrm>
                    <a:prstGeom prst="rect">
                      <a:avLst/>
                    </a:prstGeom>
                    <a:ln/>
                  </pic:spPr>
                </pic:pic>
              </a:graphicData>
            </a:graphic>
          </wp:anchor>
        </w:drawing>
      </w:r>
    </w:p>
    <w:p w14:paraId="2B9A4323"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80E63CB"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B173791"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4BB80D5"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284A25F9"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F9F9CF2"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954C16F"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38DB123"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DD1888C"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A702E04"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CA20A0D"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F6849D9"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EE5DB5B"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31CFD82"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A36610F"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336479A"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noProof/>
          <w:lang w:val="es-MX" w:eastAsia="es-MX"/>
        </w:rPr>
        <w:drawing>
          <wp:anchor distT="0" distB="0" distL="0" distR="0" simplePos="0" relativeHeight="251666432" behindDoc="1" locked="0" layoutInCell="1" hidden="0" allowOverlap="1" wp14:anchorId="7B46F8EC" wp14:editId="6CC87E54">
            <wp:simplePos x="0" y="0"/>
            <wp:positionH relativeFrom="column">
              <wp:posOffset>0</wp:posOffset>
            </wp:positionH>
            <wp:positionV relativeFrom="paragraph">
              <wp:posOffset>-2538</wp:posOffset>
            </wp:positionV>
            <wp:extent cx="5210175" cy="3627533"/>
            <wp:effectExtent l="0" t="0" r="0" b="0"/>
            <wp:wrapNone/>
            <wp:docPr id="128" name="image1.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Texto, Aplicación&#10;&#10;Descripción generada automáticamente"/>
                    <pic:cNvPicPr preferRelativeResize="0"/>
                  </pic:nvPicPr>
                  <pic:blipFill>
                    <a:blip r:embed="rId18"/>
                    <a:srcRect l="31625" t="9297" r="32851" b="4233"/>
                    <a:stretch>
                      <a:fillRect/>
                    </a:stretch>
                  </pic:blipFill>
                  <pic:spPr>
                    <a:xfrm>
                      <a:off x="0" y="0"/>
                      <a:ext cx="5210175" cy="3627533"/>
                    </a:xfrm>
                    <a:prstGeom prst="rect">
                      <a:avLst/>
                    </a:prstGeom>
                    <a:ln/>
                  </pic:spPr>
                </pic:pic>
              </a:graphicData>
            </a:graphic>
          </wp:anchor>
        </w:drawing>
      </w:r>
    </w:p>
    <w:p w14:paraId="6465BFE7"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noProof/>
          <w:lang w:val="es-MX" w:eastAsia="es-MX"/>
        </w:rPr>
        <w:drawing>
          <wp:anchor distT="0" distB="0" distL="0" distR="0" simplePos="0" relativeHeight="251667456" behindDoc="1" locked="0" layoutInCell="1" hidden="0" allowOverlap="1" wp14:anchorId="62A33B73" wp14:editId="2B2C8A03">
            <wp:simplePos x="0" y="0"/>
            <wp:positionH relativeFrom="column">
              <wp:posOffset>0</wp:posOffset>
            </wp:positionH>
            <wp:positionV relativeFrom="paragraph">
              <wp:posOffset>118110</wp:posOffset>
            </wp:positionV>
            <wp:extent cx="5400680" cy="3468373"/>
            <wp:effectExtent l="0" t="0" r="0" b="0"/>
            <wp:wrapNone/>
            <wp:docPr id="114" name="image1.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Texto, Aplicación&#10;&#10;Descripción generada automáticamente"/>
                    <pic:cNvPicPr preferRelativeResize="0"/>
                  </pic:nvPicPr>
                  <pic:blipFill>
                    <a:blip r:embed="rId18"/>
                    <a:srcRect l="31625" t="9297" r="32851" b="4233"/>
                    <a:stretch>
                      <a:fillRect/>
                    </a:stretch>
                  </pic:blipFill>
                  <pic:spPr>
                    <a:xfrm>
                      <a:off x="0" y="0"/>
                      <a:ext cx="5400680" cy="3468373"/>
                    </a:xfrm>
                    <a:prstGeom prst="rect">
                      <a:avLst/>
                    </a:prstGeom>
                    <a:ln/>
                  </pic:spPr>
                </pic:pic>
              </a:graphicData>
            </a:graphic>
          </wp:anchor>
        </w:drawing>
      </w:r>
    </w:p>
    <w:p w14:paraId="2E7FDC68"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A37534D"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783A2CA"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008F5ED"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2CF5713"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74C1C70"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DEBD8CB"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BE8C801"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C4D8356"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4B46431"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7747FA5"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2B51C099"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noProof/>
          <w:lang w:val="es-MX" w:eastAsia="es-MX"/>
        </w:rPr>
        <w:lastRenderedPageBreak/>
        <w:drawing>
          <wp:anchor distT="0" distB="0" distL="0" distR="0" simplePos="0" relativeHeight="251668480" behindDoc="1" locked="0" layoutInCell="1" hidden="0" allowOverlap="1" wp14:anchorId="66B769C2" wp14:editId="25611B0F">
            <wp:simplePos x="0" y="0"/>
            <wp:positionH relativeFrom="column">
              <wp:posOffset>0</wp:posOffset>
            </wp:positionH>
            <wp:positionV relativeFrom="paragraph">
              <wp:posOffset>0</wp:posOffset>
            </wp:positionV>
            <wp:extent cx="5396315" cy="3357349"/>
            <wp:effectExtent l="0" t="0" r="0" b="0"/>
            <wp:wrapNone/>
            <wp:docPr id="115" name="image14.png" descr="Interfaz de usuario gráfica, Texto,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Interfaz de usuario gráfica, Texto, Tabla&#10;&#10;Descripción generada automáticamente"/>
                    <pic:cNvPicPr preferRelativeResize="0"/>
                  </pic:nvPicPr>
                  <pic:blipFill>
                    <a:blip r:embed="rId19"/>
                    <a:srcRect l="24569" t="4971" r="25706" b="27579"/>
                    <a:stretch>
                      <a:fillRect/>
                    </a:stretch>
                  </pic:blipFill>
                  <pic:spPr>
                    <a:xfrm>
                      <a:off x="0" y="0"/>
                      <a:ext cx="5396315" cy="3357349"/>
                    </a:xfrm>
                    <a:prstGeom prst="rect">
                      <a:avLst/>
                    </a:prstGeom>
                    <a:ln/>
                  </pic:spPr>
                </pic:pic>
              </a:graphicData>
            </a:graphic>
          </wp:anchor>
        </w:drawing>
      </w:r>
    </w:p>
    <w:p w14:paraId="7A567762"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22EE795"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C771812"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FE33551"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A8148E9"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CD6B603"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41160BC"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9B90FB8"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2020:</w:t>
      </w:r>
    </w:p>
    <w:p w14:paraId="2B9CF6C3"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1957D14A" wp14:editId="5904B842">
            <wp:extent cx="5654513" cy="4014126"/>
            <wp:effectExtent l="0" t="0" r="0" b="0"/>
            <wp:docPr id="129" name="image29.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9.png" descr="Texto&#10;&#10;Descripción generada automáticamente"/>
                    <pic:cNvPicPr preferRelativeResize="0"/>
                  </pic:nvPicPr>
                  <pic:blipFill>
                    <a:blip r:embed="rId20"/>
                    <a:srcRect l="25118" t="25356" r="25153" b="11852"/>
                    <a:stretch>
                      <a:fillRect/>
                    </a:stretch>
                  </pic:blipFill>
                  <pic:spPr>
                    <a:xfrm>
                      <a:off x="0" y="0"/>
                      <a:ext cx="5654513" cy="4014126"/>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9504" behindDoc="0" locked="0" layoutInCell="1" hidden="0" allowOverlap="1" wp14:anchorId="251D948B" wp14:editId="7AD866CB">
                <wp:simplePos x="0" y="0"/>
                <wp:positionH relativeFrom="column">
                  <wp:posOffset>558800</wp:posOffset>
                </wp:positionH>
                <wp:positionV relativeFrom="paragraph">
                  <wp:posOffset>2717800</wp:posOffset>
                </wp:positionV>
                <wp:extent cx="2839538" cy="283845"/>
                <wp:effectExtent l="0" t="0" r="0" b="0"/>
                <wp:wrapNone/>
                <wp:docPr id="105" name="Rectángulo 105"/>
                <wp:cNvGraphicFramePr/>
                <a:graphic xmlns:a="http://schemas.openxmlformats.org/drawingml/2006/main">
                  <a:graphicData uri="http://schemas.microsoft.com/office/word/2010/wordprocessingShape">
                    <wps:wsp>
                      <wps:cNvSpPr/>
                      <wps:spPr>
                        <a:xfrm>
                          <a:off x="3964331" y="3676178"/>
                          <a:ext cx="2763338" cy="207645"/>
                        </a:xfrm>
                        <a:prstGeom prst="rect">
                          <a:avLst/>
                        </a:prstGeom>
                        <a:noFill/>
                        <a:ln w="38100" cap="flat" cmpd="sng">
                          <a:solidFill>
                            <a:srgbClr val="FF0000"/>
                          </a:solidFill>
                          <a:prstDash val="solid"/>
                          <a:miter lim="800000"/>
                          <a:headEnd type="none" w="sm" len="sm"/>
                          <a:tailEnd type="none" w="sm" len="sm"/>
                        </a:ln>
                      </wps:spPr>
                      <wps:txbx>
                        <w:txbxContent>
                          <w:p w14:paraId="2C381A90" w14:textId="77777777" w:rsidR="00052B44" w:rsidRDefault="00052B44" w:rsidP="00052B44">
                            <w:pPr>
                              <w:textDirection w:val="btLr"/>
                            </w:pPr>
                          </w:p>
                        </w:txbxContent>
                      </wps:txbx>
                      <wps:bodyPr spcFirstLastPara="1" wrap="square" lIns="91425" tIns="91425" rIns="91425" bIns="91425" anchor="ctr" anchorCtr="0">
                        <a:noAutofit/>
                      </wps:bodyPr>
                    </wps:wsp>
                  </a:graphicData>
                </a:graphic>
              </wp:anchor>
            </w:drawing>
          </mc:Choice>
          <mc:Fallback>
            <w:pict>
              <v:rect w14:anchorId="251D948B" id="Rectángulo 105" o:spid="_x0000_s1029" style="position:absolute;left:0;text-align:left;margin-left:44pt;margin-top:214pt;width:223.6pt;height:22.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" filled="f" strokecolor="red" strokeweight="3pt">
                <v:stroke startarrowwidth="narrow" startarrowlength="short" endarrowwidth="narrow" endarrowlength="short"/>
                <v:textbox inset="2.53958mm,2.53958mm,2.53958mm,2.53958mm">
                  <w:txbxContent>
                    <w:p w14:paraId="2C381A90" w14:textId="77777777" w:rsidR="00052B44" w:rsidRDefault="00052B44" w:rsidP="00052B44">
                      <w:pPr>
                        <w:textDirection w:val="btLr"/>
                      </w:pPr>
                    </w:p>
                  </w:txbxContent>
                </v:textbox>
              </v:rect>
            </w:pict>
          </mc:Fallback>
        </mc:AlternateContent>
      </w:r>
    </w:p>
    <w:p w14:paraId="3FB3666A"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noProof/>
          <w:lang w:val="es-MX" w:eastAsia="es-MX"/>
        </w:rPr>
        <mc:AlternateContent>
          <mc:Choice Requires="wps">
            <w:drawing>
              <wp:anchor distT="0" distB="0" distL="114300" distR="114300" simplePos="0" relativeHeight="251670528" behindDoc="0" locked="0" layoutInCell="1" hidden="0" allowOverlap="1" wp14:anchorId="5AEC72D4" wp14:editId="3BFE1D3C">
                <wp:simplePos x="0" y="0"/>
                <wp:positionH relativeFrom="column">
                  <wp:posOffset>-25399</wp:posOffset>
                </wp:positionH>
                <wp:positionV relativeFrom="paragraph">
                  <wp:posOffset>50800</wp:posOffset>
                </wp:positionV>
                <wp:extent cx="6029325" cy="2343150"/>
                <wp:effectExtent l="0" t="0" r="0" b="0"/>
                <wp:wrapNone/>
                <wp:docPr id="109" name="Conector recto de flecha 109"/>
                <wp:cNvGraphicFramePr/>
                <a:graphic xmlns:a="http://schemas.openxmlformats.org/drawingml/2006/main">
                  <a:graphicData uri="http://schemas.microsoft.com/office/word/2010/wordprocessingShape">
                    <wps:wsp>
                      <wps:cNvCnPr/>
                      <wps:spPr>
                        <a:xfrm>
                          <a:off x="2359913" y="2637000"/>
                          <a:ext cx="5972175" cy="2286000"/>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w:pict>
              <v:shape w14:anchorId="6CF85BCB" id="Conector recto de flecha 109" o:spid="_x0000_s1026" type="#_x0000_t32" style="position:absolute;margin-left:-2pt;margin-top:4pt;width:474.75pt;height:18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" strokecolor="red" strokeweight="2.25pt">
                <v:stroke startarrowwidth="narrow" startarrowlength="short" endarrowwidth="narrow" endarrowlength="short" joinstyle="miter"/>
              </v:shape>
            </w:pict>
          </mc:Fallback>
        </mc:AlternateContent>
      </w:r>
    </w:p>
    <w:p w14:paraId="606CC699"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1EB4680E" wp14:editId="0A08B216">
            <wp:extent cx="5824625" cy="5203616"/>
            <wp:effectExtent l="0" t="0" r="0" b="0"/>
            <wp:docPr id="130" name="image24.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4.png" descr="Interfaz de usuario gráfica, Texto&#10;&#10;Descripción generada automáticamente"/>
                    <pic:cNvPicPr preferRelativeResize="0"/>
                  </pic:nvPicPr>
                  <pic:blipFill>
                    <a:blip r:embed="rId21"/>
                    <a:srcRect l="25968" t="15999" r="27869" b="10645"/>
                    <a:stretch>
                      <a:fillRect/>
                    </a:stretch>
                  </pic:blipFill>
                  <pic:spPr>
                    <a:xfrm>
                      <a:off x="0" y="0"/>
                      <a:ext cx="5824625" cy="5203616"/>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71552" behindDoc="0" locked="0" layoutInCell="1" hidden="0" allowOverlap="1" wp14:anchorId="0AA4B709" wp14:editId="6C0E7ADB">
                <wp:simplePos x="0" y="0"/>
                <wp:positionH relativeFrom="column">
                  <wp:posOffset>711200</wp:posOffset>
                </wp:positionH>
                <wp:positionV relativeFrom="paragraph">
                  <wp:posOffset>2565400</wp:posOffset>
                </wp:positionV>
                <wp:extent cx="4655527" cy="259373"/>
                <wp:effectExtent l="0" t="0" r="0" b="0"/>
                <wp:wrapNone/>
                <wp:docPr id="106" name="Rectángulo 106"/>
                <wp:cNvGraphicFramePr/>
                <a:graphic xmlns:a="http://schemas.openxmlformats.org/drawingml/2006/main">
                  <a:graphicData uri="http://schemas.microsoft.com/office/word/2010/wordprocessingShape">
                    <wps:wsp>
                      <wps:cNvSpPr/>
                      <wps:spPr>
                        <a:xfrm>
                          <a:off x="3056337" y="3688414"/>
                          <a:ext cx="4579327" cy="183173"/>
                        </a:xfrm>
                        <a:prstGeom prst="rect">
                          <a:avLst/>
                        </a:prstGeom>
                        <a:noFill/>
                        <a:ln w="38100" cap="flat" cmpd="sng">
                          <a:solidFill>
                            <a:srgbClr val="FF0000"/>
                          </a:solidFill>
                          <a:prstDash val="solid"/>
                          <a:miter lim="800000"/>
                          <a:headEnd type="none" w="sm" len="sm"/>
                          <a:tailEnd type="none" w="sm" len="sm"/>
                        </a:ln>
                      </wps:spPr>
                      <wps:txbx>
                        <w:txbxContent>
                          <w:p w14:paraId="18A35252" w14:textId="77777777" w:rsidR="00052B44" w:rsidRDefault="00052B44" w:rsidP="00052B44">
                            <w:pPr>
                              <w:textDirection w:val="btLr"/>
                            </w:pPr>
                          </w:p>
                        </w:txbxContent>
                      </wps:txbx>
                      <wps:bodyPr spcFirstLastPara="1" wrap="square" lIns="91425" tIns="91425" rIns="91425" bIns="91425" anchor="ctr" anchorCtr="0">
                        <a:noAutofit/>
                      </wps:bodyPr>
                    </wps:wsp>
                  </a:graphicData>
                </a:graphic>
              </wp:anchor>
            </w:drawing>
          </mc:Choice>
          <mc:Fallback>
            <w:pict>
              <v:rect w14:anchorId="0AA4B709" id="Rectángulo 106" o:spid="_x0000_s1030" style="position:absolute;left:0;text-align:left;margin-left:56pt;margin-top:202pt;width:366.6pt;height:20.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" filled="f" strokecolor="red" strokeweight="3pt">
                <v:stroke startarrowwidth="narrow" startarrowlength="short" endarrowwidth="narrow" endarrowlength="short"/>
                <v:textbox inset="2.53958mm,2.53958mm,2.53958mm,2.53958mm">
                  <w:txbxContent>
                    <w:p w14:paraId="18A35252" w14:textId="77777777" w:rsidR="00052B44" w:rsidRDefault="00052B44" w:rsidP="00052B44">
                      <w:pPr>
                        <w:textDirection w:val="btLr"/>
                      </w:pPr>
                    </w:p>
                  </w:txbxContent>
                </v:textbox>
              </v:rect>
            </w:pict>
          </mc:Fallback>
        </mc:AlternateContent>
      </w:r>
      <w:r>
        <w:rPr>
          <w:noProof/>
          <w:lang w:val="es-MX" w:eastAsia="es-MX"/>
        </w:rPr>
        <mc:AlternateContent>
          <mc:Choice Requires="wps">
            <w:drawing>
              <wp:anchor distT="0" distB="0" distL="114300" distR="114300" simplePos="0" relativeHeight="251672576" behindDoc="0" locked="0" layoutInCell="1" hidden="0" allowOverlap="1" wp14:anchorId="028C124F" wp14:editId="52A6FFCB">
                <wp:simplePos x="0" y="0"/>
                <wp:positionH relativeFrom="column">
                  <wp:posOffset>-406399</wp:posOffset>
                </wp:positionH>
                <wp:positionV relativeFrom="paragraph">
                  <wp:posOffset>5080000</wp:posOffset>
                </wp:positionV>
                <wp:extent cx="6029325" cy="2343150"/>
                <wp:effectExtent l="0" t="0" r="0" b="0"/>
                <wp:wrapNone/>
                <wp:docPr id="107" name="Conector recto de flecha 107"/>
                <wp:cNvGraphicFramePr/>
                <a:graphic xmlns:a="http://schemas.openxmlformats.org/drawingml/2006/main">
                  <a:graphicData uri="http://schemas.microsoft.com/office/word/2010/wordprocessingShape">
                    <wps:wsp>
                      <wps:cNvCnPr/>
                      <wps:spPr>
                        <a:xfrm>
                          <a:off x="2359913" y="2637000"/>
                          <a:ext cx="5972175" cy="2286000"/>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w:pict>
              <v:shape w14:anchorId="57AB7A3B" id="Conector recto de flecha 107" o:spid="_x0000_s1026" type="#_x0000_t32" style="position:absolute;margin-left:-32pt;margin-top:400pt;width:474.75pt;height:18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" strokecolor="red" strokeweight="2.25pt">
                <v:stroke startarrowwidth="narrow" startarrowlength="short" endarrowwidth="narrow" endarrowlength="short" joinstyle="miter"/>
              </v:shape>
            </w:pict>
          </mc:Fallback>
        </mc:AlternateContent>
      </w:r>
    </w:p>
    <w:p w14:paraId="480BD078"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6BAFF732" wp14:editId="58AB31F3">
            <wp:extent cx="5437318" cy="3857242"/>
            <wp:effectExtent l="0" t="0" r="0" b="0"/>
            <wp:docPr id="131" name="image30.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0.png" descr="Interfaz de usuario gráfica, Texto, Aplicación&#10;&#10;Descripción generada automáticamente"/>
                    <pic:cNvPicPr preferRelativeResize="0"/>
                  </pic:nvPicPr>
                  <pic:blipFill>
                    <a:blip r:embed="rId22"/>
                    <a:srcRect l="16463" t="18112" r="23964" b="6722"/>
                    <a:stretch>
                      <a:fillRect/>
                    </a:stretch>
                  </pic:blipFill>
                  <pic:spPr>
                    <a:xfrm>
                      <a:off x="0" y="0"/>
                      <a:ext cx="5437318" cy="3857242"/>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73600" behindDoc="0" locked="0" layoutInCell="1" hidden="0" allowOverlap="1" wp14:anchorId="3AA809A0" wp14:editId="5B860A80">
                <wp:simplePos x="0" y="0"/>
                <wp:positionH relativeFrom="column">
                  <wp:posOffset>2667000</wp:posOffset>
                </wp:positionH>
                <wp:positionV relativeFrom="paragraph">
                  <wp:posOffset>1689100</wp:posOffset>
                </wp:positionV>
                <wp:extent cx="1314450" cy="312127"/>
                <wp:effectExtent l="0" t="0" r="0" b="0"/>
                <wp:wrapNone/>
                <wp:docPr id="103" name="Rectángulo 103"/>
                <wp:cNvGraphicFramePr/>
                <a:graphic xmlns:a="http://schemas.openxmlformats.org/drawingml/2006/main">
                  <a:graphicData uri="http://schemas.microsoft.com/office/word/2010/wordprocessingShape">
                    <wps:wsp>
                      <wps:cNvSpPr/>
                      <wps:spPr>
                        <a:xfrm>
                          <a:off x="4726875" y="3662037"/>
                          <a:ext cx="1238250" cy="235927"/>
                        </a:xfrm>
                        <a:prstGeom prst="rect">
                          <a:avLst/>
                        </a:prstGeom>
                        <a:noFill/>
                        <a:ln w="38100" cap="flat" cmpd="sng">
                          <a:solidFill>
                            <a:srgbClr val="FF0000"/>
                          </a:solidFill>
                          <a:prstDash val="solid"/>
                          <a:miter lim="800000"/>
                          <a:headEnd type="none" w="sm" len="sm"/>
                          <a:tailEnd type="none" w="sm" len="sm"/>
                        </a:ln>
                      </wps:spPr>
                      <wps:txbx>
                        <w:txbxContent>
                          <w:p w14:paraId="4604E4C4" w14:textId="77777777" w:rsidR="00052B44" w:rsidRDefault="00052B44" w:rsidP="00052B44">
                            <w:pPr>
                              <w:textDirection w:val="btLr"/>
                            </w:pPr>
                          </w:p>
                        </w:txbxContent>
                      </wps:txbx>
                      <wps:bodyPr spcFirstLastPara="1" wrap="square" lIns="91425" tIns="91425" rIns="91425" bIns="91425" anchor="ctr" anchorCtr="0">
                        <a:noAutofit/>
                      </wps:bodyPr>
                    </wps:wsp>
                  </a:graphicData>
                </a:graphic>
              </wp:anchor>
            </w:drawing>
          </mc:Choice>
          <mc:Fallback>
            <w:pict>
              <v:rect w14:anchorId="3AA809A0" id="Rectángulo 103" o:spid="_x0000_s1031" style="position:absolute;left:0;text-align:left;margin-left:210pt;margin-top:133pt;width:103.5pt;height:24.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" filled="f" strokecolor="red" strokeweight="3pt">
                <v:stroke startarrowwidth="narrow" startarrowlength="short" endarrowwidth="narrow" endarrowlength="short"/>
                <v:textbox inset="2.53958mm,2.53958mm,2.53958mm,2.53958mm">
                  <w:txbxContent>
                    <w:p w14:paraId="4604E4C4" w14:textId="77777777" w:rsidR="00052B44" w:rsidRDefault="00052B44" w:rsidP="00052B44">
                      <w:pPr>
                        <w:textDirection w:val="btLr"/>
                      </w:pPr>
                    </w:p>
                  </w:txbxContent>
                </v:textbox>
              </v:rect>
            </w:pict>
          </mc:Fallback>
        </mc:AlternateContent>
      </w:r>
    </w:p>
    <w:p w14:paraId="08497339"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2021:</w:t>
      </w:r>
      <w:r>
        <w:rPr>
          <w:noProof/>
          <w:lang w:val="es-MX" w:eastAsia="es-MX"/>
        </w:rPr>
        <mc:AlternateContent>
          <mc:Choice Requires="wps">
            <w:drawing>
              <wp:anchor distT="0" distB="0" distL="114300" distR="114300" simplePos="0" relativeHeight="251674624" behindDoc="0" locked="0" layoutInCell="1" hidden="0" allowOverlap="1" wp14:anchorId="404DC65D" wp14:editId="02BFACEA">
                <wp:simplePos x="0" y="0"/>
                <wp:positionH relativeFrom="column">
                  <wp:posOffset>-25399</wp:posOffset>
                </wp:positionH>
                <wp:positionV relativeFrom="paragraph">
                  <wp:posOffset>342900</wp:posOffset>
                </wp:positionV>
                <wp:extent cx="6029325" cy="2343150"/>
                <wp:effectExtent l="0" t="0" r="0" b="0"/>
                <wp:wrapNone/>
                <wp:docPr id="102" name="Conector recto de flecha 102"/>
                <wp:cNvGraphicFramePr/>
                <a:graphic xmlns:a="http://schemas.openxmlformats.org/drawingml/2006/main">
                  <a:graphicData uri="http://schemas.microsoft.com/office/word/2010/wordprocessingShape">
                    <wps:wsp>
                      <wps:cNvCnPr/>
                      <wps:spPr>
                        <a:xfrm>
                          <a:off x="2359913" y="2637000"/>
                          <a:ext cx="5972175" cy="2286000"/>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w:pict>
              <v:shape w14:anchorId="04299F2F" id="Conector recto de flecha 102" o:spid="_x0000_s1026" type="#_x0000_t32" style="position:absolute;margin-left:-2pt;margin-top:27pt;width:474.75pt;height:18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" strokecolor="red" strokeweight="2.25pt">
                <v:stroke startarrowwidth="narrow" startarrowlength="short" endarrowwidth="narrow" endarrowlength="short" joinstyle="miter"/>
              </v:shape>
            </w:pict>
          </mc:Fallback>
        </mc:AlternateContent>
      </w:r>
    </w:p>
    <w:p w14:paraId="04D60D34" w14:textId="77777777" w:rsidR="00052B44" w:rsidRDefault="00052B44" w:rsidP="00052B44">
      <w:pPr>
        <w:rPr>
          <w:rFonts w:ascii="Palatino Linotype" w:eastAsia="Palatino Linotype" w:hAnsi="Palatino Linotype" w:cs="Palatino Linotype"/>
        </w:rPr>
      </w:pPr>
    </w:p>
    <w:p w14:paraId="22C53FE9" w14:textId="77777777" w:rsidR="00052B44" w:rsidRDefault="00052B44" w:rsidP="00052B44">
      <w:pPr>
        <w:rPr>
          <w:rFonts w:ascii="Palatino Linotype" w:eastAsia="Palatino Linotype" w:hAnsi="Palatino Linotype" w:cs="Palatino Linotype"/>
        </w:rPr>
      </w:pPr>
    </w:p>
    <w:p w14:paraId="04319415" w14:textId="77777777" w:rsidR="00052B44" w:rsidRDefault="00052B44" w:rsidP="00052B44">
      <w:pPr>
        <w:rPr>
          <w:rFonts w:ascii="Palatino Linotype" w:eastAsia="Palatino Linotype" w:hAnsi="Palatino Linotype" w:cs="Palatino Linotype"/>
        </w:rPr>
      </w:pPr>
    </w:p>
    <w:p w14:paraId="7D0A9336" w14:textId="77777777" w:rsidR="00052B44" w:rsidRDefault="00052B44" w:rsidP="00052B44">
      <w:pPr>
        <w:rPr>
          <w:rFonts w:ascii="Palatino Linotype" w:eastAsia="Palatino Linotype" w:hAnsi="Palatino Linotype" w:cs="Palatino Linotype"/>
        </w:rPr>
      </w:pPr>
    </w:p>
    <w:p w14:paraId="19BE778E" w14:textId="77777777" w:rsidR="00052B44" w:rsidRDefault="00052B44" w:rsidP="00052B44">
      <w:pPr>
        <w:tabs>
          <w:tab w:val="left" w:pos="2922"/>
        </w:tabs>
        <w:rPr>
          <w:rFonts w:ascii="Palatino Linotype" w:eastAsia="Palatino Linotype" w:hAnsi="Palatino Linotype" w:cs="Palatino Linotype"/>
        </w:rPr>
      </w:pPr>
      <w:r>
        <w:rPr>
          <w:rFonts w:ascii="Palatino Linotype" w:eastAsia="Palatino Linotype" w:hAnsi="Palatino Linotype" w:cs="Palatino Linotype"/>
        </w:rPr>
        <w:tab/>
      </w:r>
    </w:p>
    <w:p w14:paraId="3AFD3CA8"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200CCA1B" w14:textId="77777777" w:rsidR="00052B44" w:rsidRDefault="00052B44" w:rsidP="00052B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noProof/>
          <w:lang w:val="es-MX" w:eastAsia="es-MX"/>
        </w:rPr>
        <w:lastRenderedPageBreak/>
        <w:drawing>
          <wp:inline distT="0" distB="0" distL="0" distR="0" wp14:anchorId="0E59394B" wp14:editId="0FF7B324">
            <wp:extent cx="5612130" cy="5653405"/>
            <wp:effectExtent l="0" t="0" r="0" b="0"/>
            <wp:docPr id="1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5612130" cy="5653405"/>
                    </a:xfrm>
                    <a:prstGeom prst="rect">
                      <a:avLst/>
                    </a:prstGeom>
                    <a:ln/>
                  </pic:spPr>
                </pic:pic>
              </a:graphicData>
            </a:graphic>
          </wp:inline>
        </w:drawing>
      </w:r>
    </w:p>
    <w:p w14:paraId="25B235D1" w14:textId="77777777" w:rsidR="00052B44" w:rsidRDefault="00052B44" w:rsidP="00052B44">
      <w:pPr>
        <w:pBdr>
          <w:top w:val="nil"/>
          <w:left w:val="nil"/>
          <w:bottom w:val="nil"/>
          <w:right w:val="nil"/>
          <w:between w:val="nil"/>
        </w:pBdr>
        <w:spacing w:before="240" w:after="16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2CA01BBC" wp14:editId="1554C2DB">
            <wp:extent cx="5612130" cy="2261716"/>
            <wp:effectExtent l="0" t="0" r="0" b="0"/>
            <wp:docPr id="133" name="image25.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5.png" descr="Interfaz de usuario gráfica, Aplicación&#10;&#10;Descripción generada automáticamente"/>
                    <pic:cNvPicPr preferRelativeResize="0"/>
                  </pic:nvPicPr>
                  <pic:blipFill>
                    <a:blip r:embed="rId24"/>
                    <a:srcRect l="24610" t="44825" r="25660" b="14569"/>
                    <a:stretch>
                      <a:fillRect/>
                    </a:stretch>
                  </pic:blipFill>
                  <pic:spPr>
                    <a:xfrm>
                      <a:off x="0" y="0"/>
                      <a:ext cx="5612130" cy="2261716"/>
                    </a:xfrm>
                    <a:prstGeom prst="rect">
                      <a:avLst/>
                    </a:prstGeom>
                    <a:ln/>
                  </pic:spPr>
                </pic:pic>
              </a:graphicData>
            </a:graphic>
          </wp:inline>
        </w:drawing>
      </w:r>
      <w:r>
        <w:rPr>
          <w:rFonts w:ascii="Palatino Linotype" w:eastAsia="Palatino Linotype" w:hAnsi="Palatino Linotype" w:cs="Palatino Linotype"/>
          <w:noProof/>
          <w:color w:val="000000"/>
          <w:lang w:val="es-MX" w:eastAsia="es-MX"/>
        </w:rPr>
        <w:lastRenderedPageBreak/>
        <w:drawing>
          <wp:inline distT="0" distB="0" distL="0" distR="0" wp14:anchorId="6FC410F1" wp14:editId="4FCACF08">
            <wp:extent cx="5403345" cy="4524706"/>
            <wp:effectExtent l="0" t="0" r="0" b="0"/>
            <wp:docPr id="113" name="image8.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Texto&#10;&#10;Descripción generada automáticamente"/>
                    <pic:cNvPicPr preferRelativeResize="0"/>
                  </pic:nvPicPr>
                  <pic:blipFill>
                    <a:blip r:embed="rId25"/>
                    <a:srcRect l="32755" t="31695" r="34318" b="5815"/>
                    <a:stretch>
                      <a:fillRect/>
                    </a:stretch>
                  </pic:blipFill>
                  <pic:spPr>
                    <a:xfrm>
                      <a:off x="0" y="0"/>
                      <a:ext cx="5403345" cy="4524706"/>
                    </a:xfrm>
                    <a:prstGeom prst="rect">
                      <a:avLst/>
                    </a:prstGeom>
                    <a:ln/>
                  </pic:spPr>
                </pic:pic>
              </a:graphicData>
            </a:graphic>
          </wp:inline>
        </w:drawing>
      </w:r>
    </w:p>
    <w:p w14:paraId="40C75BC2"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lo cual se acredita que el Sujeto Obligado, genera la información sobre las altas y bajas de su personal desde el inicio del año 2016 al año 2021; ya que debe informar al Órgano Superior de Fiscalización del Estado de México de manera mensual cuales son las altas y bajas efectuadas en la primera y segunda quincena del mes correspondiente. </w:t>
      </w:r>
    </w:p>
    <w:p w14:paraId="3B17EA3C"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Lo anterior es así ya que los requerimientos del solicitante van en sentido de saber el número total, luego entonces en términos de los criterios emitidos por el Instituto Federal de Transparencia, Acceso a la Información Pública y Protección de Datos Personales ahora Instituto Nacional de Transparencia, Acceso a la Información Pública y Protección de Datos Personales:</w:t>
      </w:r>
    </w:p>
    <w:p w14:paraId="1F81C196" w14:textId="77777777" w:rsidR="00052B44" w:rsidRDefault="00052B44" w:rsidP="00052B44">
      <w:pPr>
        <w:spacing w:line="360" w:lineRule="auto"/>
        <w:jc w:val="both"/>
        <w:rPr>
          <w:rFonts w:ascii="Palatino Linotype" w:eastAsia="Palatino Linotype" w:hAnsi="Palatino Linotype" w:cs="Palatino Linotype"/>
        </w:rPr>
      </w:pPr>
    </w:p>
    <w:p w14:paraId="4FEC5D66" w14:textId="77777777" w:rsidR="00052B44" w:rsidRDefault="00052B44" w:rsidP="00052B44">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“Bases de datos. Deberá otorgarse acceso a las mismas, en el formato en el que obren en los archivos de los sujetos obligados, a fin de garantizar la libre explotación, manipulación y reutilización de la información que contienen. </w:t>
      </w:r>
      <w:r>
        <w:rPr>
          <w:rFonts w:ascii="Palatino Linotype" w:eastAsia="Palatino Linotype" w:hAnsi="Palatino Linotype" w:cs="Palatino Linotype"/>
          <w:i/>
          <w:sz w:val="22"/>
          <w:szCs w:val="22"/>
        </w:rPr>
        <w:t xml:space="preserve">Uno de los objetivos de la Ley Federal de Transparencia y Acceso a la Información Pública Gubernamental, previsto en el artículo 4, fracción I, es garantizar el acceso a la información en posesión de los sujetos obligados. En este sentido, al amparo de la Ley es posible solicitar acceso a la información contenida en documentos, en el sentido más </w:t>
      </w:r>
      <w:proofErr w:type="gramStart"/>
      <w:r>
        <w:rPr>
          <w:rFonts w:ascii="Palatino Linotype" w:eastAsia="Palatino Linotype" w:hAnsi="Palatino Linotype" w:cs="Palatino Linotype"/>
          <w:i/>
          <w:sz w:val="22"/>
          <w:szCs w:val="22"/>
        </w:rPr>
        <w:t>amplio  del</w:t>
      </w:r>
      <w:proofErr w:type="gramEnd"/>
      <w:r>
        <w:rPr>
          <w:rFonts w:ascii="Palatino Linotype" w:eastAsia="Palatino Linotype" w:hAnsi="Palatino Linotype" w:cs="Palatino Linotype"/>
          <w:i/>
          <w:sz w:val="22"/>
          <w:szCs w:val="22"/>
        </w:rPr>
        <w:t xml:space="preserve">  término,  en el formato  en  el  que  se  encuentren  en  los  archivos  de  las dependencias y entidades, el cual puede ser escrito, impreso, sonoro, visual, electrónico, informático u holográfico, de conformidad con lo dispuesto en las fracciones III y V del artículo 3 de la Ley. En este contexto y de conformidad con lo dispuesto en el artículo 42 de dicho ordenamiento legal que establece que las dependencias y entidades están obligadas a proporcionar la información que se encuentra en sus archivos, en la forma en que lo permita el documento de que se trate, ante solicitudes de acceso en las que se requieran bases de datos, o información pública contenida en éstas, deberá otorgarse acceso a las mismas, por tratarse de documentos en archivo electrónico a partir de los cuales se recoge, genera, transforma o conserva información de los sujetos obligados. La entrega de dicha información no constituye la elaboración de un documento ad hoc, ni resulta una carga para las autoridades, pues consiste, simplemente, en poner a disposición de los particulares las bases de datos, o el repositorio de las mismas, en el formato en el que obran en sus archivos, garantizando a los solicitantes la libre explotación, manipulación y reutilización de la información gubernamental.</w:t>
      </w:r>
    </w:p>
    <w:p w14:paraId="39C7FDF4" w14:textId="77777777" w:rsidR="00052B44" w:rsidRDefault="00052B44" w:rsidP="00052B44">
      <w:pPr>
        <w:spacing w:after="120"/>
        <w:ind w:left="851" w:right="9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La información estadística es de naturaleza pública, independientemente de la materia con la que se encuentre vinculada. </w:t>
      </w:r>
      <w:r>
        <w:rPr>
          <w:rFonts w:ascii="Palatino Linotype" w:eastAsia="Palatino Linotype" w:hAnsi="Palatino Linotype" w:cs="Palatino Linotype"/>
          <w:i/>
          <w:sz w:val="22"/>
          <w:szCs w:val="22"/>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w:t>
      </w:r>
    </w:p>
    <w:p w14:paraId="486642B2" w14:textId="77777777" w:rsidR="00052B44" w:rsidRDefault="00052B44" w:rsidP="00052B44">
      <w:pPr>
        <w:spacing w:line="360" w:lineRule="auto"/>
        <w:ind w:right="49"/>
        <w:jc w:val="both"/>
        <w:rPr>
          <w:rFonts w:ascii="Palatino Linotype" w:eastAsia="Palatino Linotype" w:hAnsi="Palatino Linotype" w:cs="Palatino Linotype"/>
        </w:rPr>
      </w:pPr>
    </w:p>
    <w:p w14:paraId="16198454" w14:textId="77777777" w:rsidR="00052B44" w:rsidRDefault="00052B44" w:rsidP="00052B44">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el número total de policías municipales que han sido dados baja, desde primero de enero del año 2016 al diecisiete de diciembre del 2021, así como el número total de policías municipales que han sido reubicados en su puesto, los números de expedientes iniciados por bajas en el que se incluya estatus, durante el </w:t>
      </w:r>
      <w:proofErr w:type="gramStart"/>
      <w:r>
        <w:rPr>
          <w:rFonts w:ascii="Palatino Linotype" w:eastAsia="Palatino Linotype" w:hAnsi="Palatino Linotype" w:cs="Palatino Linotype"/>
        </w:rPr>
        <w:t>periodos señalado</w:t>
      </w:r>
      <w:proofErr w:type="gramEnd"/>
      <w:r>
        <w:rPr>
          <w:rFonts w:ascii="Palatino Linotype" w:eastAsia="Palatino Linotype" w:hAnsi="Palatino Linotype" w:cs="Palatino Linotype"/>
        </w:rPr>
        <w:t xml:space="preserve">. </w:t>
      </w:r>
    </w:p>
    <w:p w14:paraId="6BF63FF0" w14:textId="77777777" w:rsidR="00052B44" w:rsidRDefault="00052B44" w:rsidP="00052B44">
      <w:pPr>
        <w:spacing w:line="360" w:lineRule="auto"/>
        <w:ind w:right="49"/>
        <w:jc w:val="both"/>
        <w:rPr>
          <w:rFonts w:ascii="Palatino Linotype" w:eastAsia="Palatino Linotype" w:hAnsi="Palatino Linotype" w:cs="Palatino Linotype"/>
        </w:rPr>
      </w:pPr>
    </w:p>
    <w:p w14:paraId="60FFC795" w14:textId="77777777" w:rsidR="00052B44" w:rsidRDefault="00052B44" w:rsidP="00052B44">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Lo procedente en su caso es que el Sujeto Obligado haga entrega del soporte documental en el cual obre o se pueda advertir la información, toda vez que tal como lo establece el artículo 12 de la Ley de Transparencia y Acceso a la Información Pública del Estado de México y Municipios, los Sujetos Obligados sólo proporcionarán la información pública que se les requiera y obre en sus archivos y </w:t>
      </w:r>
      <w:r>
        <w:rPr>
          <w:rFonts w:ascii="Palatino Linotype" w:eastAsia="Palatino Linotype" w:hAnsi="Palatino Linotype" w:cs="Palatino Linotype"/>
        </w:rPr>
        <w:lastRenderedPageBreak/>
        <w:t xml:space="preserve">en el estado en el que ésta se encuentre. No obstante, en caso de que cuente con un documento sistematizado con los datos requeridos por el particular, es procedente su entrega para dar por satisfecho el derecho de acceso a la información ejercido por la ahora RECURRENTE. </w:t>
      </w:r>
    </w:p>
    <w:p w14:paraId="4F988076" w14:textId="77777777" w:rsidR="00052B44" w:rsidRDefault="00052B44" w:rsidP="00052B44">
      <w:pPr>
        <w:spacing w:line="360" w:lineRule="auto"/>
        <w:ind w:right="49"/>
        <w:jc w:val="both"/>
        <w:rPr>
          <w:rFonts w:ascii="Palatino Linotype" w:eastAsia="Palatino Linotype" w:hAnsi="Palatino Linotype" w:cs="Palatino Linotype"/>
        </w:rPr>
      </w:pPr>
    </w:p>
    <w:p w14:paraId="288506D6" w14:textId="77777777" w:rsidR="00052B44" w:rsidRDefault="00052B44" w:rsidP="00052B44">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Por todo lo anterior es que se considera </w:t>
      </w:r>
      <w:r>
        <w:rPr>
          <w:rFonts w:ascii="Palatino Linotype" w:eastAsia="Palatino Linotype" w:hAnsi="Palatino Linotype" w:cs="Palatino Linotype"/>
          <w:b/>
        </w:rPr>
        <w:t>MODIFICAR</w:t>
      </w:r>
      <w:r>
        <w:rPr>
          <w:rFonts w:ascii="Palatino Linotype" w:eastAsia="Palatino Linotype" w:hAnsi="Palatino Linotype" w:cs="Palatino Linotype"/>
        </w:rPr>
        <w:t xml:space="preserve"> la respuesta del sujeto obligado a efecto que dé atención a la solitud de información, con fundamento en los artículos 50, 51, 53 fracción IV, 162 y 165, de la Ley de Transparencia y Acceso a la Información Pública del Estado de México y Municipios, el artículo 162 es muy categórico al establecer: </w:t>
      </w:r>
    </w:p>
    <w:p w14:paraId="1263FCA9" w14:textId="77777777" w:rsidR="00052B44" w:rsidRDefault="00052B44" w:rsidP="00052B44">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20E0ACB9" w14:textId="77777777" w:rsidR="00052B44" w:rsidRDefault="00052B44" w:rsidP="00052B44">
      <w:pPr>
        <w:tabs>
          <w:tab w:val="left" w:pos="7938"/>
        </w:tabs>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162. Las unidades de transparencia deberán garantizar que las solicitudes </w:t>
      </w:r>
      <w:r>
        <w:rPr>
          <w:rFonts w:ascii="Palatino Linotype" w:eastAsia="Palatino Linotype" w:hAnsi="Palatino Linotype" w:cs="Palatino Linotype"/>
          <w:b/>
          <w:i/>
          <w:sz w:val="22"/>
          <w:szCs w:val="22"/>
          <w:u w:val="single"/>
        </w:rPr>
        <w:t>se turnen a todas las Áreas</w:t>
      </w:r>
      <w:r>
        <w:rPr>
          <w:rFonts w:ascii="Palatino Linotype" w:eastAsia="Palatino Linotype" w:hAnsi="Palatino Linotype" w:cs="Palatino Linotype"/>
          <w:i/>
          <w:sz w:val="22"/>
          <w:szCs w:val="22"/>
        </w:rPr>
        <w:t xml:space="preserve"> competentes que cuenten con la información o deban tenerla de acuerdo a sus facultades, competencias y funciones, </w:t>
      </w:r>
      <w:r>
        <w:rPr>
          <w:rFonts w:ascii="Palatino Linotype" w:eastAsia="Palatino Linotype" w:hAnsi="Palatino Linotype" w:cs="Palatino Linotype"/>
          <w:b/>
          <w:i/>
          <w:sz w:val="22"/>
          <w:szCs w:val="22"/>
          <w:u w:val="single"/>
        </w:rPr>
        <w:t>con el objeto de que realicen una búsqueda exhaustiva y razonable</w:t>
      </w:r>
      <w:r>
        <w:rPr>
          <w:rFonts w:ascii="Palatino Linotype" w:eastAsia="Palatino Linotype" w:hAnsi="Palatino Linotype" w:cs="Palatino Linotype"/>
          <w:i/>
          <w:sz w:val="22"/>
          <w:szCs w:val="22"/>
        </w:rPr>
        <w:t xml:space="preserve"> de la información solicitada</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Énfasis añadido)</w:t>
      </w:r>
    </w:p>
    <w:p w14:paraId="664EFA10" w14:textId="77777777" w:rsidR="00052B44" w:rsidRDefault="00052B44" w:rsidP="00052B44">
      <w:pPr>
        <w:spacing w:line="360" w:lineRule="auto"/>
        <w:jc w:val="both"/>
        <w:rPr>
          <w:rFonts w:ascii="Palatino Linotype" w:eastAsia="Palatino Linotype" w:hAnsi="Palatino Linotype" w:cs="Palatino Linotype"/>
        </w:rPr>
      </w:pPr>
    </w:p>
    <w:p w14:paraId="7EDC353D"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para dar puntual atención a la solicitud de información, deberá turnarla a las diversas unidades administrativas con las que cuenta y que de acuerdo a sus facultades, competencias y funciones deban contar con la información requerida, a fin de dar cumplimiento con el procedimiento de búsqueda establecido en el artículo </w:t>
      </w:r>
      <w:r>
        <w:rPr>
          <w:rFonts w:ascii="Palatino Linotype" w:eastAsia="Palatino Linotype" w:hAnsi="Palatino Linotype" w:cs="Palatino Linotype"/>
        </w:rPr>
        <w:lastRenderedPageBreak/>
        <w:t xml:space="preserve">162, de la Ley de Transparencia y Acceso a la Información Pública del Estado de México y Municipios. </w:t>
      </w:r>
    </w:p>
    <w:p w14:paraId="60F367E9" w14:textId="77777777" w:rsidR="00052B44" w:rsidRDefault="00052B44" w:rsidP="00052B44">
      <w:pPr>
        <w:spacing w:line="360" w:lineRule="auto"/>
        <w:jc w:val="both"/>
        <w:rPr>
          <w:rFonts w:ascii="Palatino Linotype" w:eastAsia="Palatino Linotype" w:hAnsi="Palatino Linotype" w:cs="Palatino Linotype"/>
        </w:rPr>
      </w:pPr>
    </w:p>
    <w:p w14:paraId="74E62E22"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 </w:t>
      </w:r>
    </w:p>
    <w:p w14:paraId="3D84BC0C" w14:textId="77777777" w:rsidR="00052B44" w:rsidRDefault="00052B44" w:rsidP="00052B44">
      <w:pPr>
        <w:spacing w:line="360" w:lineRule="auto"/>
        <w:jc w:val="both"/>
        <w:rPr>
          <w:rFonts w:ascii="Palatino Linotype" w:eastAsia="Palatino Linotype" w:hAnsi="Palatino Linotype" w:cs="Palatino Linotype"/>
        </w:rPr>
      </w:pPr>
    </w:p>
    <w:p w14:paraId="282EEF34"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 </w:t>
      </w:r>
    </w:p>
    <w:p w14:paraId="2B9B6560" w14:textId="77777777" w:rsidR="00052B44" w:rsidRDefault="00052B44" w:rsidP="00052B44">
      <w:pPr>
        <w:spacing w:line="360" w:lineRule="auto"/>
        <w:jc w:val="both"/>
        <w:rPr>
          <w:rFonts w:ascii="Palatino Linotype" w:eastAsia="Palatino Linotype" w:hAnsi="Palatino Linotype" w:cs="Palatino Linotype"/>
        </w:rPr>
      </w:pPr>
    </w:p>
    <w:p w14:paraId="038CD24B"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Registro Federal de Contribuyentes (RFC), la Clave Única de Registro de Población (CURP), la Clave de cualquier tipo de seguridad social (ISSEMYM, u otros), así como, los préstamos o descuentos que se le hagan a la persona y que no tengan relación con los impuestos o la cuota por seguridad social. </w:t>
      </w:r>
    </w:p>
    <w:p w14:paraId="4C6C467C" w14:textId="77777777" w:rsidR="00052B44" w:rsidRDefault="00052B44" w:rsidP="00052B44">
      <w:pPr>
        <w:spacing w:line="360" w:lineRule="auto"/>
        <w:jc w:val="both"/>
        <w:rPr>
          <w:rFonts w:ascii="Palatino Linotype" w:eastAsia="Palatino Linotype" w:hAnsi="Palatino Linotype" w:cs="Palatino Linotype"/>
        </w:rPr>
      </w:pPr>
    </w:p>
    <w:p w14:paraId="70D8E892"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 </w:t>
      </w:r>
    </w:p>
    <w:p w14:paraId="4C5F2DF6" w14:textId="77777777" w:rsidR="00052B44" w:rsidRDefault="00052B44" w:rsidP="00052B44">
      <w:pPr>
        <w:spacing w:line="360" w:lineRule="auto"/>
        <w:jc w:val="both"/>
        <w:rPr>
          <w:rFonts w:ascii="Palatino Linotype" w:eastAsia="Palatino Linotype" w:hAnsi="Palatino Linotype" w:cs="Palatino Linotype"/>
        </w:rPr>
      </w:pPr>
    </w:p>
    <w:p w14:paraId="7A731932"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 anterior, es compartido por el entonces Instituto Federal de Acceso a la Información Protección de Datos (IFAI) a través del Criterio 09/2009, el cual es del tenor literal siguiente: </w:t>
      </w:r>
    </w:p>
    <w:p w14:paraId="2C9A8368" w14:textId="77777777" w:rsidR="00052B44" w:rsidRDefault="00052B44" w:rsidP="00052B44">
      <w:pPr>
        <w:spacing w:line="360" w:lineRule="auto"/>
        <w:jc w:val="both"/>
        <w:rPr>
          <w:rFonts w:ascii="Palatino Linotype" w:eastAsia="Palatino Linotype" w:hAnsi="Palatino Linotype" w:cs="Palatino Linotype"/>
        </w:rPr>
      </w:pPr>
    </w:p>
    <w:p w14:paraId="3EB00A84" w14:textId="77777777" w:rsidR="00052B44" w:rsidRDefault="00052B44" w:rsidP="00052B44">
      <w:pPr>
        <w:spacing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rPr>
        <w:t>“</w:t>
      </w:r>
      <w:r>
        <w:rPr>
          <w:rFonts w:ascii="Palatino Linotype" w:eastAsia="Palatino Linotype" w:hAnsi="Palatino Linotype" w:cs="Palatino Linotype"/>
          <w:i/>
          <w:sz w:val="22"/>
          <w:szCs w:val="22"/>
        </w:rPr>
        <w:t xml:space="preserve">Registro Federal de Contribuyentes (RFC) de las personas físicas es un dato personal confidencial. De conformidad con lo establecido en el artículo 18, fracción II de la Ley Federal de Transparencia y Acceso a la Información Pública Gubernamental se considera información confidencial los datos personales que requieren el consentimiento de los individuos para su difusión, distribución o comercialización en los términos de esta Ley. Por su parte, según dispone el artículo 3, fracción II de la Ley Federal de Transparencia y Acceso a la Información Pública Gubernamental, dato personal es toda aquella información concerniente a una persona física identificada o identificable. Para obtener el RFC es necesario acreditar previamente mediante documentos oficiales (pasaporte, acta de nacimiento, etc.) la identidad de la persona, su fecha y lugar de nacimiento, entre otros. De acuerdo con la legislación tributaria, las personas físicas tramitan su inscripción en el Registro Federal de Contribuyentes con el único propósito de realizar mediante esa clave de identificación, operaciones o actividades de naturaleza tributaria. En este sentido, el artículo 79 del Código Fiscal de la Federación prevé que la utilización de una clave de registro no asignada por la autoridad constituye como una infracción en materia fiscal. De acuerdo con lo antes apuntado, el </w:t>
      </w:r>
      <w:proofErr w:type="gramStart"/>
      <w:r>
        <w:rPr>
          <w:rFonts w:ascii="Palatino Linotype" w:eastAsia="Palatino Linotype" w:hAnsi="Palatino Linotype" w:cs="Palatino Linotype"/>
          <w:i/>
          <w:sz w:val="22"/>
          <w:szCs w:val="22"/>
        </w:rPr>
        <w:t>RFC vinculado</w:t>
      </w:r>
      <w:proofErr w:type="gramEnd"/>
      <w:r>
        <w:rPr>
          <w:rFonts w:ascii="Palatino Linotype" w:eastAsia="Palatino Linotype" w:hAnsi="Palatino Linotype" w:cs="Palatino Linotype"/>
          <w:i/>
          <w:sz w:val="22"/>
          <w:szCs w:val="22"/>
        </w:rPr>
        <w:t xml:space="preserve"> al nombre de su titular, permite identificar la edad de la persona, así como su </w:t>
      </w:r>
      <w:proofErr w:type="spellStart"/>
      <w:r>
        <w:rPr>
          <w:rFonts w:ascii="Palatino Linotype" w:eastAsia="Palatino Linotype" w:hAnsi="Palatino Linotype" w:cs="Palatino Linotype"/>
          <w:i/>
          <w:sz w:val="22"/>
          <w:szCs w:val="22"/>
        </w:rPr>
        <w:t>homoclave</w:t>
      </w:r>
      <w:proofErr w:type="spellEnd"/>
      <w:r>
        <w:rPr>
          <w:rFonts w:ascii="Palatino Linotype" w:eastAsia="Palatino Linotype" w:hAnsi="Palatino Linotype" w:cs="Palatino Linotype"/>
          <w:i/>
          <w:sz w:val="22"/>
          <w:szCs w:val="22"/>
        </w:rPr>
        <w:t>, siendo esta última única e irrepetible, por lo que es posible concluir que el RFC constituye un dato personal y, por tanto, información confidencial, de conformidad con los previsto en el artículo 18, fracción II de la Ley Federal de Transparencia y Acceso a la Información Pública Gubernamental…” (Sic)</w:t>
      </w:r>
    </w:p>
    <w:p w14:paraId="02904CB6" w14:textId="77777777" w:rsidR="00052B44" w:rsidRDefault="00052B44" w:rsidP="00052B44">
      <w:pPr>
        <w:spacing w:line="360" w:lineRule="auto"/>
        <w:jc w:val="both"/>
        <w:rPr>
          <w:rFonts w:ascii="Palatino Linotype" w:eastAsia="Palatino Linotype" w:hAnsi="Palatino Linotype" w:cs="Palatino Linotype"/>
        </w:rPr>
      </w:pPr>
    </w:p>
    <w:p w14:paraId="74DBA506"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el RFC se vincula al nombre de su titular y permite identificar la edad de la persona, su fecha de nacimiento, así como su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 </w:t>
      </w:r>
    </w:p>
    <w:p w14:paraId="2956DF41" w14:textId="77777777" w:rsidR="00052B44" w:rsidRDefault="00052B44" w:rsidP="00052B44">
      <w:pPr>
        <w:spacing w:line="360" w:lineRule="auto"/>
        <w:jc w:val="both"/>
        <w:rPr>
          <w:rFonts w:ascii="Palatino Linotype" w:eastAsia="Palatino Linotype" w:hAnsi="Palatino Linotype" w:cs="Palatino Linotype"/>
        </w:rPr>
      </w:pPr>
    </w:p>
    <w:p w14:paraId="04BF85C7"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w:t>
      </w:r>
    </w:p>
    <w:p w14:paraId="427BC982" w14:textId="77777777" w:rsidR="00052B44" w:rsidRDefault="00052B44" w:rsidP="00052B44">
      <w:pPr>
        <w:spacing w:line="360" w:lineRule="auto"/>
        <w:jc w:val="both"/>
        <w:rPr>
          <w:rFonts w:ascii="Palatino Linotype" w:eastAsia="Palatino Linotype" w:hAnsi="Palatino Linotype" w:cs="Palatino Linotype"/>
        </w:rPr>
      </w:pPr>
    </w:p>
    <w:p w14:paraId="21EE4C22"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es compartido por el entonces Instituto Federal de Acceso a la Información y Protección de Datos (IFAI), conforme al criterio número 0003-10, el cual refiere:</w:t>
      </w:r>
    </w:p>
    <w:p w14:paraId="4DEB67E7" w14:textId="77777777" w:rsidR="00052B44" w:rsidRDefault="00052B44" w:rsidP="00052B44">
      <w:pPr>
        <w:spacing w:line="360" w:lineRule="auto"/>
        <w:jc w:val="both"/>
        <w:rPr>
          <w:rFonts w:ascii="Palatino Linotype" w:eastAsia="Palatino Linotype" w:hAnsi="Palatino Linotype" w:cs="Palatino Linotype"/>
          <w:i/>
        </w:rPr>
      </w:pPr>
    </w:p>
    <w:p w14:paraId="5AFDE18F" w14:textId="77777777" w:rsidR="00052B44" w:rsidRDefault="00052B44" w:rsidP="00052B44">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“Clave Única de Registro de Población (CURP) es un dato personal confidencial. 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w:t>
      </w:r>
      <w:r>
        <w:rPr>
          <w:rFonts w:ascii="Palatino Linotype" w:eastAsia="Palatino Linotype" w:hAnsi="Palatino Linotype" w:cs="Palatino Linotype"/>
          <w:i/>
          <w:sz w:val="22"/>
          <w:szCs w:val="22"/>
        </w:rPr>
        <w:lastRenderedPageBreak/>
        <w:t xml:space="preserve">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Pr>
          <w:rFonts w:ascii="Palatino Linotype" w:eastAsia="Palatino Linotype" w:hAnsi="Palatino Linotype" w:cs="Palatino Linotype"/>
          <w:i/>
          <w:sz w:val="22"/>
          <w:szCs w:val="22"/>
        </w:rPr>
        <w:t>el artículos anteriormente señalados</w:t>
      </w:r>
      <w:proofErr w:type="gramEnd"/>
      <w:r>
        <w:rPr>
          <w:rFonts w:ascii="Palatino Linotype" w:eastAsia="Palatino Linotype" w:hAnsi="Palatino Linotype" w:cs="Palatino Linotype"/>
          <w:i/>
          <w:sz w:val="22"/>
          <w:szCs w:val="22"/>
        </w:rPr>
        <w:t xml:space="preserve">...” (Sic) </w:t>
      </w:r>
    </w:p>
    <w:p w14:paraId="58C30037" w14:textId="77777777" w:rsidR="00052B44" w:rsidRDefault="00052B44" w:rsidP="00052B44">
      <w:pPr>
        <w:spacing w:line="360" w:lineRule="auto"/>
        <w:jc w:val="both"/>
        <w:rPr>
          <w:rFonts w:ascii="Palatino Linotype" w:eastAsia="Palatino Linotype" w:hAnsi="Palatino Linotype" w:cs="Palatino Linotype"/>
        </w:rPr>
      </w:pPr>
    </w:p>
    <w:p w14:paraId="4BEC32F1"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 </w:t>
      </w:r>
    </w:p>
    <w:p w14:paraId="3F6B3625" w14:textId="77777777" w:rsidR="00052B44" w:rsidRDefault="00052B44" w:rsidP="00052B44">
      <w:pPr>
        <w:spacing w:line="360" w:lineRule="auto"/>
        <w:jc w:val="both"/>
        <w:rPr>
          <w:rFonts w:ascii="Palatino Linotype" w:eastAsia="Palatino Linotype" w:hAnsi="Palatino Linotype" w:cs="Palatino Linotype"/>
        </w:rPr>
      </w:pPr>
    </w:p>
    <w:p w14:paraId="0F09072E"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w:t>
      </w:r>
      <w:r>
        <w:rPr>
          <w:rFonts w:ascii="Palatino Linotype" w:eastAsia="Palatino Linotype" w:hAnsi="Palatino Linotype" w:cs="Palatino Linotype"/>
        </w:rPr>
        <w:lastRenderedPageBreak/>
        <w:t>Oficial de la Federación en fecha quince de abril del año dos mil dieciséis, mediante Acuerdo del Consejo Nacional del Sistema Nacional de Transparencia, Acceso a la Información Pública y Protección de Datos Personales.</w:t>
      </w:r>
    </w:p>
    <w:p w14:paraId="68652C1A" w14:textId="77777777" w:rsidR="00052B44" w:rsidRDefault="00052B44" w:rsidP="00052B44">
      <w:pPr>
        <w:spacing w:line="360" w:lineRule="auto"/>
        <w:jc w:val="both"/>
        <w:rPr>
          <w:rFonts w:ascii="Palatino Linotype" w:eastAsia="Palatino Linotype" w:hAnsi="Palatino Linotype" w:cs="Palatino Linotype"/>
        </w:rPr>
      </w:pPr>
    </w:p>
    <w:p w14:paraId="0C59CAB9"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6BC2D68C" w14:textId="77777777" w:rsidR="00052B44" w:rsidRDefault="00052B44" w:rsidP="00052B44">
      <w:pPr>
        <w:spacing w:line="360" w:lineRule="auto"/>
        <w:jc w:val="both"/>
        <w:rPr>
          <w:rFonts w:ascii="Palatino Linotype" w:eastAsia="Palatino Linotype" w:hAnsi="Palatino Linotype" w:cs="Palatino Linotype"/>
        </w:rPr>
      </w:pPr>
    </w:p>
    <w:p w14:paraId="2CADB3AB"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ello se destaca que a criterio de este Instituto la información relativa al nombre de los servidores públicos que ocupan un cargo en las dependencias de gobierno encargadas de la seguridad pública, debe ser objeto de un proceso de reserva de la información, para no hacer identificable al titular de tal dato personal. </w:t>
      </w:r>
    </w:p>
    <w:p w14:paraId="1ED275E0" w14:textId="77777777" w:rsidR="00052B44" w:rsidRDefault="00052B44" w:rsidP="00052B44">
      <w:pPr>
        <w:spacing w:line="360" w:lineRule="auto"/>
        <w:jc w:val="both"/>
        <w:rPr>
          <w:rFonts w:ascii="Palatino Linotype" w:eastAsia="Palatino Linotype" w:hAnsi="Palatino Linotype" w:cs="Palatino Linotype"/>
        </w:rPr>
      </w:pPr>
    </w:p>
    <w:p w14:paraId="0B00C22F"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Ello, conforme al propio concepto de versión pública contenido en el artículo 3, fracción XXIV, de la multicitada Ley se define como:</w:t>
      </w:r>
    </w:p>
    <w:p w14:paraId="37263434" w14:textId="77777777" w:rsidR="00052B44" w:rsidRDefault="00052B44" w:rsidP="00052B44">
      <w:pPr>
        <w:spacing w:line="360" w:lineRule="auto"/>
        <w:jc w:val="both"/>
        <w:rPr>
          <w:rFonts w:ascii="Palatino Linotype" w:eastAsia="Palatino Linotype" w:hAnsi="Palatino Linotype" w:cs="Palatino Linotype"/>
        </w:rPr>
      </w:pPr>
    </w:p>
    <w:p w14:paraId="4FAD9265" w14:textId="77777777" w:rsidR="00052B44" w:rsidRDefault="00052B44" w:rsidP="00052B44">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XXIV. Información reservada: La clasificada con este carácter de manera temporal por las disposiciones de esta Ley, cuya divulgación puede causar daño en términos de lo establecido por esta Ley;”</w:t>
      </w:r>
    </w:p>
    <w:p w14:paraId="50D60EEC" w14:textId="77777777" w:rsidR="00052B44" w:rsidRDefault="00052B44" w:rsidP="00052B44">
      <w:pPr>
        <w:spacing w:line="360" w:lineRule="auto"/>
        <w:jc w:val="both"/>
        <w:rPr>
          <w:rFonts w:ascii="Palatino Linotype" w:eastAsia="Palatino Linotype" w:hAnsi="Palatino Linotype" w:cs="Palatino Linotype"/>
          <w:i/>
        </w:rPr>
      </w:pPr>
    </w:p>
    <w:p w14:paraId="3F075298"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que si bien, por regla general dentro de la nómina se consideran como datos personales no confidenciales, el nombre del servidor público, cargo y/o </w:t>
      </w:r>
      <w:r>
        <w:rPr>
          <w:rFonts w:ascii="Palatino Linotype" w:eastAsia="Palatino Linotype" w:hAnsi="Palatino Linotype" w:cs="Palatino Linotype"/>
        </w:rPr>
        <w:lastRenderedPageBreak/>
        <w:t xml:space="preserve">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nómina de elementos de seguridad pública, la elaboración de versiones públicas pudiera variar, eliminando información adicional, siempre y cuando se demuestre que pueda poner en riesgo la vida e integridad física con motivo de las funciones de servidores públicos. </w:t>
      </w:r>
    </w:p>
    <w:p w14:paraId="16F8696A" w14:textId="77777777" w:rsidR="00052B44" w:rsidRDefault="00052B44" w:rsidP="00052B44">
      <w:pPr>
        <w:spacing w:line="360" w:lineRule="auto"/>
        <w:jc w:val="both"/>
        <w:rPr>
          <w:rFonts w:ascii="Palatino Linotype" w:eastAsia="Palatino Linotype" w:hAnsi="Palatino Linotype" w:cs="Palatino Linotype"/>
        </w:rPr>
      </w:pPr>
    </w:p>
    <w:p w14:paraId="52F0B2F7"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así, ya que el artículo 81, fracción III, de la Ley de Seguridad del Estado de México, establece lo siguiente:</w:t>
      </w:r>
    </w:p>
    <w:p w14:paraId="770E950E" w14:textId="77777777" w:rsidR="00052B44" w:rsidRDefault="00052B44" w:rsidP="00052B44">
      <w:pPr>
        <w:spacing w:line="360" w:lineRule="auto"/>
        <w:jc w:val="both"/>
        <w:rPr>
          <w:rFonts w:ascii="Palatino Linotype" w:eastAsia="Palatino Linotype" w:hAnsi="Palatino Linotype" w:cs="Palatino Linotype"/>
        </w:rPr>
      </w:pPr>
    </w:p>
    <w:p w14:paraId="05792670" w14:textId="77777777" w:rsidR="00052B44" w:rsidRDefault="00052B44" w:rsidP="00052B44">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81.- Toda información para la seguridad pública generada o en poder de Instituciones de Seguridad Pública o de cualquier instancia del Sistema Estatal debe registrarse, clasificarse y tratarse de conformidad con las disposiciones aplicables. No </w:t>
      </w:r>
      <w:proofErr w:type="gramStart"/>
      <w:r>
        <w:rPr>
          <w:rFonts w:ascii="Palatino Linotype" w:eastAsia="Palatino Linotype" w:hAnsi="Palatino Linotype" w:cs="Palatino Linotype"/>
          <w:i/>
          <w:sz w:val="22"/>
          <w:szCs w:val="22"/>
        </w:rPr>
        <w:t>obstante</w:t>
      </w:r>
      <w:proofErr w:type="gramEnd"/>
      <w:r>
        <w:rPr>
          <w:rFonts w:ascii="Palatino Linotype" w:eastAsia="Palatino Linotype" w:hAnsi="Palatino Linotype" w:cs="Palatino Linotype"/>
          <w:i/>
          <w:sz w:val="22"/>
          <w:szCs w:val="22"/>
        </w:rPr>
        <w:t xml:space="preserve"> lo anterior, esta información se considerará reservada en los casos siguientes: (…) </w:t>
      </w:r>
    </w:p>
    <w:p w14:paraId="13C43CFB" w14:textId="77777777" w:rsidR="00052B44" w:rsidRDefault="00052B44" w:rsidP="00052B44">
      <w:pPr>
        <w:spacing w:line="276" w:lineRule="auto"/>
        <w:ind w:left="567" w:right="616"/>
        <w:jc w:val="both"/>
        <w:rPr>
          <w:rFonts w:ascii="Palatino Linotype" w:eastAsia="Palatino Linotype" w:hAnsi="Palatino Linotype" w:cs="Palatino Linotype"/>
          <w:i/>
          <w:sz w:val="22"/>
          <w:szCs w:val="22"/>
        </w:rPr>
      </w:pPr>
    </w:p>
    <w:p w14:paraId="6A6415B0" w14:textId="77777777" w:rsidR="00052B44" w:rsidRDefault="00052B44" w:rsidP="00052B44">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relativa a servidores públicos miembros de las instituciones de seguridad pública, cuya revelación pueda poner en riesgo su vida e integridad física con motivo de sus funciones;”</w:t>
      </w:r>
    </w:p>
    <w:p w14:paraId="1CA0FD19" w14:textId="77777777" w:rsidR="00052B44" w:rsidRDefault="00052B44" w:rsidP="00052B44">
      <w:pPr>
        <w:spacing w:line="360" w:lineRule="auto"/>
        <w:jc w:val="both"/>
        <w:rPr>
          <w:rFonts w:ascii="Palatino Linotype" w:eastAsia="Palatino Linotype" w:hAnsi="Palatino Linotype" w:cs="Palatino Linotype"/>
        </w:rPr>
      </w:pPr>
    </w:p>
    <w:p w14:paraId="671A5ABB"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tanto, el Sujeto Obligado deberá identificar si dicho supuesto es factible de aplicarse, justificando de manera fundada y motivada las circunstancias por las </w:t>
      </w:r>
      <w:r>
        <w:rPr>
          <w:rFonts w:ascii="Palatino Linotype" w:eastAsia="Palatino Linotype" w:hAnsi="Palatino Linotype" w:cs="Palatino Linotype"/>
        </w:rPr>
        <w:lastRenderedPageBreak/>
        <w:t xml:space="preserve">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 </w:t>
      </w:r>
    </w:p>
    <w:p w14:paraId="7917B00A" w14:textId="77777777" w:rsidR="00052B44" w:rsidRDefault="00052B44" w:rsidP="00052B44">
      <w:pPr>
        <w:spacing w:line="360" w:lineRule="auto"/>
        <w:jc w:val="both"/>
        <w:rPr>
          <w:rFonts w:ascii="Palatino Linotype" w:eastAsia="Palatino Linotype" w:hAnsi="Palatino Linotype" w:cs="Palatino Linotype"/>
        </w:rPr>
      </w:pPr>
    </w:p>
    <w:p w14:paraId="1CC9765B"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 </w:t>
      </w:r>
    </w:p>
    <w:p w14:paraId="77CE4B4F" w14:textId="77777777" w:rsidR="00052B44" w:rsidRDefault="00052B44" w:rsidP="00052B44">
      <w:pPr>
        <w:spacing w:line="360" w:lineRule="auto"/>
        <w:jc w:val="both"/>
        <w:rPr>
          <w:rFonts w:ascii="Palatino Linotype" w:eastAsia="Palatino Linotype" w:hAnsi="Palatino Linotype" w:cs="Palatino Linotype"/>
        </w:rPr>
      </w:pPr>
    </w:p>
    <w:p w14:paraId="402C1620"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w:t>
      </w:r>
      <w:r>
        <w:rPr>
          <w:rFonts w:ascii="Palatino Linotype" w:eastAsia="Palatino Linotype" w:hAnsi="Palatino Linotype" w:cs="Palatino Linotype"/>
        </w:rPr>
        <w:lastRenderedPageBreak/>
        <w:t xml:space="preserve">Transparencia y Acceso a la Información Pública, así como los requisitos previstos por los numerales Vigésimo Tercero y Trigésimo Tercero, de los Lineamientos generales en materia de clasificación y desclasificación de la información. </w:t>
      </w:r>
    </w:p>
    <w:p w14:paraId="7659B059"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Resulta alusivo por analogía el criterio 06-09 emitido por el entonces IFAI, ahora INAI que a la letra dice:</w:t>
      </w:r>
    </w:p>
    <w:p w14:paraId="69CF47A8" w14:textId="77777777" w:rsidR="00052B44" w:rsidRDefault="00052B44" w:rsidP="00052B44">
      <w:pPr>
        <w:spacing w:line="360" w:lineRule="auto"/>
        <w:jc w:val="both"/>
        <w:rPr>
          <w:rFonts w:ascii="Palatino Linotype" w:eastAsia="Palatino Linotype" w:hAnsi="Palatino Linotype" w:cs="Palatino Linotype"/>
        </w:rPr>
      </w:pPr>
    </w:p>
    <w:p w14:paraId="4FFCE5A7" w14:textId="77777777" w:rsidR="00052B44" w:rsidRDefault="00052B44" w:rsidP="00052B44">
      <w:pPr>
        <w:spacing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 xml:space="preserve">Nombres de servidores públicos dedicados a actividades en materia de seguridad, por excepción pueden considerarse información reservada. De conformidad con el artículo 7, fracciones I y III de la Ley Federal de Transparencia y Acceso a la Información Pública Gubernamental el nombre de los servidores públicos es información de naturaleza pública. No </w:t>
      </w:r>
      <w:proofErr w:type="gramStart"/>
      <w:r>
        <w:rPr>
          <w:rFonts w:ascii="Palatino Linotype" w:eastAsia="Palatino Linotype" w:hAnsi="Palatino Linotype" w:cs="Palatino Linotype"/>
          <w:i/>
          <w:sz w:val="22"/>
          <w:szCs w:val="22"/>
        </w:rPr>
        <w:t>obstante</w:t>
      </w:r>
      <w:proofErr w:type="gramEnd"/>
      <w:r>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3403078B" w14:textId="77777777" w:rsidR="00052B44" w:rsidRDefault="00052B44" w:rsidP="00052B44">
      <w:pPr>
        <w:spacing w:line="360" w:lineRule="auto"/>
        <w:jc w:val="both"/>
        <w:rPr>
          <w:rFonts w:ascii="Palatino Linotype" w:eastAsia="Palatino Linotype" w:hAnsi="Palatino Linotype" w:cs="Palatino Linotype"/>
        </w:rPr>
      </w:pPr>
    </w:p>
    <w:p w14:paraId="73452B19"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F93427C" w14:textId="77777777" w:rsidR="00052B44" w:rsidRDefault="00052B44" w:rsidP="00052B44">
      <w:pPr>
        <w:spacing w:line="276" w:lineRule="auto"/>
        <w:ind w:left="567" w:right="616"/>
        <w:jc w:val="both"/>
        <w:rPr>
          <w:rFonts w:ascii="Palatino Linotype" w:eastAsia="Palatino Linotype" w:hAnsi="Palatino Linotype" w:cs="Palatino Linotype"/>
          <w:i/>
          <w:sz w:val="22"/>
          <w:szCs w:val="22"/>
        </w:rPr>
      </w:pPr>
    </w:p>
    <w:p w14:paraId="0F6A782D" w14:textId="77777777" w:rsidR="00052B44" w:rsidRDefault="00052B44" w:rsidP="00052B44">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 </w:t>
      </w:r>
    </w:p>
    <w:p w14:paraId="029103C2" w14:textId="77777777" w:rsidR="00052B44" w:rsidRDefault="00052B44" w:rsidP="00052B44">
      <w:pPr>
        <w:spacing w:line="276" w:lineRule="auto"/>
        <w:ind w:left="567" w:right="616"/>
        <w:jc w:val="both"/>
        <w:rPr>
          <w:rFonts w:ascii="Palatino Linotype" w:eastAsia="Palatino Linotype" w:hAnsi="Palatino Linotype" w:cs="Palatino Linotype"/>
          <w:i/>
          <w:sz w:val="22"/>
          <w:szCs w:val="22"/>
        </w:rPr>
      </w:pPr>
    </w:p>
    <w:p w14:paraId="1049DFCE" w14:textId="77777777" w:rsidR="00052B44" w:rsidRDefault="00052B44" w:rsidP="00052B44">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 </w:t>
      </w:r>
    </w:p>
    <w:p w14:paraId="7D1B8966" w14:textId="77777777" w:rsidR="00052B44" w:rsidRDefault="00052B44" w:rsidP="00052B44">
      <w:pPr>
        <w:spacing w:line="276" w:lineRule="auto"/>
        <w:ind w:left="567" w:right="616"/>
        <w:jc w:val="both"/>
        <w:rPr>
          <w:rFonts w:ascii="Palatino Linotype" w:eastAsia="Palatino Linotype" w:hAnsi="Palatino Linotype" w:cs="Palatino Linotype"/>
          <w:i/>
          <w:sz w:val="22"/>
          <w:szCs w:val="22"/>
        </w:rPr>
      </w:pPr>
    </w:p>
    <w:p w14:paraId="2472FB4D" w14:textId="77777777" w:rsidR="00052B44" w:rsidRDefault="00052B44" w:rsidP="00052B44">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Octavo. Para fundar la clasificación de la información se debe señalar el artículo, fracción, inciso, párrafo o numeral de la ley o tratado internacional suscrito por el Estado mexicano que expresamente le otorga el carácter de reservada o confidencial. Para motivar la clasificación se deberán señalar las razones o circunstancias especiales que lo </w:t>
      </w:r>
      <w:r>
        <w:rPr>
          <w:rFonts w:ascii="Palatino Linotype" w:eastAsia="Palatino Linotype" w:hAnsi="Palatino Linotype" w:cs="Palatino Linotype"/>
          <w:i/>
          <w:sz w:val="22"/>
          <w:szCs w:val="22"/>
        </w:rPr>
        <w:lastRenderedPageBreak/>
        <w:t xml:space="preserve">llevaron a concluir que el caso particular se ajusta al supuesto previsto por la norma legal invocada como fundamento. … </w:t>
      </w:r>
    </w:p>
    <w:p w14:paraId="6A1F8C84" w14:textId="77777777" w:rsidR="00052B44" w:rsidRDefault="00052B44" w:rsidP="00052B44">
      <w:pPr>
        <w:spacing w:line="276" w:lineRule="auto"/>
        <w:ind w:left="567" w:right="616"/>
        <w:jc w:val="both"/>
        <w:rPr>
          <w:rFonts w:ascii="Palatino Linotype" w:eastAsia="Palatino Linotype" w:hAnsi="Palatino Linotype" w:cs="Palatino Linotype"/>
          <w:i/>
          <w:sz w:val="22"/>
          <w:szCs w:val="22"/>
        </w:rPr>
      </w:pPr>
    </w:p>
    <w:p w14:paraId="575E9219" w14:textId="77777777" w:rsidR="00052B44" w:rsidRDefault="00052B44" w:rsidP="00052B44">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LA INFORMACIÓN CONFIDENCIAL </w:t>
      </w:r>
    </w:p>
    <w:p w14:paraId="6217A35E" w14:textId="77777777" w:rsidR="00052B44" w:rsidRDefault="00052B44" w:rsidP="00052B44">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Trigésimo octavo. Se considera información confidencial: </w:t>
      </w:r>
    </w:p>
    <w:p w14:paraId="3FE348A1" w14:textId="77777777" w:rsidR="00052B44" w:rsidRDefault="00052B44" w:rsidP="00052B44">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Los datos personales en los términos de la norma aplicable; </w:t>
      </w:r>
    </w:p>
    <w:p w14:paraId="0D662F85" w14:textId="77777777" w:rsidR="00052B44" w:rsidRDefault="00052B44" w:rsidP="00052B44">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 </w:t>
      </w:r>
    </w:p>
    <w:p w14:paraId="2439AB6E" w14:textId="77777777" w:rsidR="00052B44" w:rsidRDefault="00052B44" w:rsidP="00052B44">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 La información confidencial no estará sujeta a temporalidad alguna y sólo podrán tener acceso a ella los titulares de la misma, sus representantes y los servidores públicos facultados para ello.”</w:t>
      </w:r>
    </w:p>
    <w:p w14:paraId="53725195" w14:textId="77777777" w:rsidR="00052B44" w:rsidRDefault="00052B44" w:rsidP="00052B44">
      <w:pPr>
        <w:spacing w:line="360" w:lineRule="auto"/>
        <w:jc w:val="both"/>
        <w:rPr>
          <w:rFonts w:ascii="Palatino Linotype" w:eastAsia="Palatino Linotype" w:hAnsi="Palatino Linotype" w:cs="Palatino Linotype"/>
        </w:rPr>
      </w:pPr>
    </w:p>
    <w:p w14:paraId="63B0AAED"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como ha quedado apuntado, el derecho de acceso a la información pública puede ser restringido cuando se trate de información clasificada como reservada, delimitando una serie de hipótesis de hecho en las cuales descansa la posibilidad de reserva de información. </w:t>
      </w:r>
    </w:p>
    <w:p w14:paraId="0B9A3239" w14:textId="77777777" w:rsidR="00052B44" w:rsidRDefault="00052B44" w:rsidP="00052B44">
      <w:pPr>
        <w:spacing w:line="360" w:lineRule="auto"/>
        <w:jc w:val="both"/>
        <w:rPr>
          <w:rFonts w:ascii="Palatino Linotype" w:eastAsia="Palatino Linotype" w:hAnsi="Palatino Linotype" w:cs="Palatino Linotype"/>
        </w:rPr>
      </w:pPr>
    </w:p>
    <w:p w14:paraId="35856C4E"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w:t>
      </w:r>
      <w:r>
        <w:rPr>
          <w:rFonts w:ascii="Palatino Linotype" w:eastAsia="Palatino Linotype" w:hAnsi="Palatino Linotype" w:cs="Palatino Linotype"/>
        </w:rPr>
        <w:lastRenderedPageBreak/>
        <w:t>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A98BDA2" w14:textId="77777777" w:rsidR="00052B44" w:rsidRDefault="00052B44" w:rsidP="00052B44">
      <w:pPr>
        <w:spacing w:line="360" w:lineRule="auto"/>
        <w:jc w:val="both"/>
        <w:rPr>
          <w:rFonts w:ascii="Palatino Linotype" w:eastAsia="Palatino Linotype" w:hAnsi="Palatino Linotype" w:cs="Palatino Linotype"/>
        </w:rPr>
      </w:pPr>
    </w:p>
    <w:p w14:paraId="30AFCCC4"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634F37AB" w14:textId="77777777" w:rsidR="00052B44" w:rsidRDefault="00052B44" w:rsidP="00052B44">
      <w:pPr>
        <w:spacing w:line="360" w:lineRule="auto"/>
        <w:jc w:val="both"/>
        <w:rPr>
          <w:rFonts w:ascii="Palatino Linotype" w:eastAsia="Palatino Linotype" w:hAnsi="Palatino Linotype" w:cs="Palatino Linotype"/>
        </w:rPr>
      </w:pPr>
    </w:p>
    <w:p w14:paraId="71178B5C" w14:textId="77777777" w:rsidR="00052B44" w:rsidRDefault="00052B44" w:rsidP="00052B4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vigésimo segundo, vigésimo tercero y vigésimo cuarto fracciones IV y V de la Constitución Política del Estado Libre y Soberano de México; 2, fracción II; 29, 36 fracciones I y II; 176, 178, 181, 185 de la Ley de Transparencia y Acceso a la Información Pública del Estado de México y Municipios. </w:t>
      </w:r>
    </w:p>
    <w:p w14:paraId="2F4A4C5F" w14:textId="77777777" w:rsidR="00052B44" w:rsidRDefault="00052B44" w:rsidP="00052B44">
      <w:pPr>
        <w:ind w:right="-93"/>
        <w:rPr>
          <w:rFonts w:ascii="Palatino Linotype" w:eastAsia="Palatino Linotype" w:hAnsi="Palatino Linotype" w:cs="Palatino Linotype"/>
        </w:rPr>
      </w:pPr>
    </w:p>
    <w:p w14:paraId="5060AD68" w14:textId="77777777" w:rsidR="00052B44" w:rsidRDefault="00052B44" w:rsidP="00052B44">
      <w:pPr>
        <w:ind w:right="-93"/>
        <w:rPr>
          <w:rFonts w:ascii="Palatino Linotype" w:eastAsia="Palatino Linotype" w:hAnsi="Palatino Linotype" w:cs="Palatino Linotype"/>
        </w:rPr>
      </w:pPr>
      <w:r>
        <w:rPr>
          <w:rFonts w:ascii="Palatino Linotype" w:eastAsia="Palatino Linotype" w:hAnsi="Palatino Linotype" w:cs="Palatino Linotype"/>
        </w:rPr>
        <w:t>Por lo expuesto y fundado, este Pleno:</w:t>
      </w:r>
    </w:p>
    <w:p w14:paraId="27E940E8" w14:textId="77777777" w:rsidR="00052B44" w:rsidRDefault="00052B44" w:rsidP="00052B44">
      <w:p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3A6BBAC1"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PRIMERO. </w:t>
      </w:r>
      <w:r>
        <w:rPr>
          <w:rFonts w:ascii="Palatino Linotype" w:eastAsia="Palatino Linotype" w:hAnsi="Palatino Linotype" w:cs="Palatino Linotype"/>
        </w:rPr>
        <w:t xml:space="preserve">Resultan fundadas las razones o motivos de inconformidad hechos valer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00194/INFOEM/IP/RR/2022</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la respuesta emitida por el Sujeto Obligado.</w:t>
      </w:r>
    </w:p>
    <w:p w14:paraId="51E859F9" w14:textId="77777777" w:rsidR="00052B44" w:rsidRDefault="00052B44" w:rsidP="00052B44">
      <w:pPr>
        <w:spacing w:before="240" w:after="240" w:line="360" w:lineRule="auto"/>
        <w:jc w:val="both"/>
        <w:rPr>
          <w:rFonts w:ascii="Palatino Linotype" w:eastAsia="Palatino Linotype" w:hAnsi="Palatino Linotype" w:cs="Palatino Linotype"/>
          <w:b/>
          <w:highlight w:val="white"/>
        </w:rPr>
      </w:pPr>
      <w:r>
        <w:rPr>
          <w:rFonts w:ascii="Palatino Linotype" w:eastAsia="Palatino Linotype" w:hAnsi="Palatino Linotype" w:cs="Palatino Linotype"/>
          <w:b/>
        </w:rPr>
        <w:t>SEGUNDO</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rPr>
        <w:t xml:space="preserve">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de esta resolución, haga entrega a través del Sistema de Acceso a la Información Mexiquense (SAIMEX), en su caso en versión pública, del soporte documental en el que obre al mayor grado de desagregación lo siguiente:</w:t>
      </w:r>
    </w:p>
    <w:p w14:paraId="59D099D2" w14:textId="77777777" w:rsidR="00052B44" w:rsidRDefault="00052B44" w:rsidP="00052B44">
      <w:pPr>
        <w:spacing w:line="360" w:lineRule="auto"/>
        <w:ind w:right="49"/>
        <w:jc w:val="both"/>
        <w:rPr>
          <w:rFonts w:ascii="Palatino Linotype" w:eastAsia="Palatino Linotype" w:hAnsi="Palatino Linotype" w:cs="Palatino Linotype"/>
        </w:rPr>
      </w:pPr>
    </w:p>
    <w:p w14:paraId="32A9EA80" w14:textId="77777777" w:rsidR="00052B44" w:rsidRDefault="00052B44" w:rsidP="00052B4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proofErr w:type="gramStart"/>
      <w:r>
        <w:rPr>
          <w:rFonts w:ascii="Palatino Linotype" w:eastAsia="Palatino Linotype" w:hAnsi="Palatino Linotype" w:cs="Palatino Linotype"/>
          <w:color w:val="000000"/>
        </w:rPr>
        <w:t>Total</w:t>
      </w:r>
      <w:proofErr w:type="gramEnd"/>
      <w:r>
        <w:rPr>
          <w:rFonts w:ascii="Palatino Linotype" w:eastAsia="Palatino Linotype" w:hAnsi="Palatino Linotype" w:cs="Palatino Linotype"/>
          <w:color w:val="000000"/>
        </w:rPr>
        <w:t xml:space="preserve"> de policías dados de baja, fecha de baja, grado policiaco, motivo, sección o división a la que pertenecía, número de expediente, a qué instancia fue turnado el caso, estatus, si el elemento fue reubicado en su puesto, en el periodo del uno de enero de dos mil dieciséis al </w:t>
      </w:r>
      <w:r>
        <w:rPr>
          <w:rFonts w:ascii="Palatino Linotype" w:eastAsia="Palatino Linotype" w:hAnsi="Palatino Linotype" w:cs="Palatino Linotype"/>
        </w:rPr>
        <w:t xml:space="preserve">diecisiete </w:t>
      </w:r>
      <w:r>
        <w:rPr>
          <w:rFonts w:ascii="Palatino Linotype" w:eastAsia="Palatino Linotype" w:hAnsi="Palatino Linotype" w:cs="Palatino Linotype"/>
          <w:color w:val="000000"/>
        </w:rPr>
        <w:t>de diciembre de dos mil veintiuno.</w:t>
      </w:r>
    </w:p>
    <w:p w14:paraId="3B9608D7" w14:textId="77777777" w:rsidR="00052B44" w:rsidRDefault="00052B44" w:rsidP="00052B44">
      <w:pPr>
        <w:spacing w:line="360" w:lineRule="auto"/>
        <w:jc w:val="both"/>
        <w:rPr>
          <w:rFonts w:ascii="Palatino Linotype" w:eastAsia="Palatino Linotype" w:hAnsi="Palatino Linotype" w:cs="Palatino Linotype"/>
          <w:i/>
        </w:rPr>
      </w:pPr>
    </w:p>
    <w:p w14:paraId="05DDFFDE" w14:textId="77777777" w:rsidR="00052B44" w:rsidRDefault="00052B44" w:rsidP="00052B44">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30ADA05F" w14:textId="77777777" w:rsidR="00052B44" w:rsidRDefault="00052B44" w:rsidP="00052B44">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lastRenderedPageBreak/>
        <w:t xml:space="preserve">TERCERO. Notifíquese </w:t>
      </w:r>
      <w:r>
        <w:rPr>
          <w:rFonts w:ascii="Palatino Linotype" w:eastAsia="Palatino Linotype" w:hAnsi="Palatino Linotype" w:cs="Palatino Linotype"/>
        </w:rPr>
        <w:t xml:space="preserve">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la presente resolución, al titular de la Unidad de Transparencia del Sujeto Obligado</w:t>
      </w:r>
      <w:r>
        <w:rPr>
          <w:rFonts w:ascii="Palatino Linotype" w:eastAsia="Palatino Linotype" w:hAnsi="Palatino Linotype" w:cs="Palatino Linotype"/>
          <w:highlight w:val="whit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FEE233F"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 NOTIFÍQUESE</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DCAED59"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D00316C" w14:textId="77777777" w:rsidR="00052B44" w:rsidRDefault="00052B44" w:rsidP="00052B44">
      <w:pPr>
        <w:spacing w:before="240" w:after="240" w:line="360" w:lineRule="auto"/>
        <w:jc w:val="both"/>
        <w:rPr>
          <w:rFonts w:ascii="Palatino Linotype" w:eastAsia="Palatino Linotype" w:hAnsi="Palatino Linotype" w:cs="Palatino Linotype"/>
        </w:rPr>
      </w:pPr>
    </w:p>
    <w:p w14:paraId="7B74B7A6" w14:textId="77777777" w:rsidR="00052B44" w:rsidRDefault="00052B44" w:rsidP="00052B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NUEVE DE MARZO DE DOS MIL VEINTIDÓS, ANTE EL SECRETARIO TÉCNICO DEL PLENO ALEXIS TAPIA RAMÍREZ.</w:t>
      </w:r>
    </w:p>
    <w:p w14:paraId="47B65D15"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3A1DB92F"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21560FA6"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7DA32965"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7777FC94"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5121A164"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12395B43"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3D6EDC54"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610744D3"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6EE84956"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60525DA7"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52DFC1C8"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6D1A07FF"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1AB1A286"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2BB49CE9"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4AF47341"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1EF671F0"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6F7DB82F"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450FE586"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0DE528AA"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2B55B336"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11C8F3F7"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6543F9EF"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7BD8304B"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2FC1B1B8" w14:textId="77777777" w:rsidR="00052B44" w:rsidRDefault="00052B44" w:rsidP="00052B44">
      <w:pPr>
        <w:spacing w:before="240" w:after="240" w:line="360" w:lineRule="auto"/>
        <w:jc w:val="both"/>
        <w:rPr>
          <w:rFonts w:ascii="Palatino Linotype" w:eastAsia="Palatino Linotype" w:hAnsi="Palatino Linotype" w:cs="Palatino Linotype"/>
          <w:sz w:val="16"/>
          <w:szCs w:val="16"/>
        </w:rPr>
      </w:pPr>
    </w:p>
    <w:p w14:paraId="34CBBF14" w14:textId="77777777" w:rsidR="00052B44" w:rsidRDefault="00052B44" w:rsidP="00052B44">
      <w:pPr>
        <w:spacing w:before="240" w:after="240" w:line="360" w:lineRule="auto"/>
        <w:rPr>
          <w:rFonts w:ascii="Palatino Linotype" w:eastAsia="Palatino Linotype" w:hAnsi="Palatino Linotype" w:cs="Palatino Linotype"/>
        </w:rPr>
      </w:pPr>
    </w:p>
    <w:p w14:paraId="246F70F2" w14:textId="77777777" w:rsidR="00052B44" w:rsidRDefault="00052B44"/>
    <w:sectPr w:rsidR="00052B44">
      <w:headerReference w:type="default" r:id="rId26"/>
      <w:footerReference w:type="default" r:id="rId27"/>
      <w:headerReference w:type="first" r:id="rId28"/>
      <w:footerReference w:type="first" r:id="rId29"/>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588C2" w14:textId="77777777" w:rsidR="00052B44" w:rsidRDefault="00052B44" w:rsidP="00052B44">
      <w:r>
        <w:separator/>
      </w:r>
    </w:p>
  </w:endnote>
  <w:endnote w:type="continuationSeparator" w:id="0">
    <w:p w14:paraId="00AA4A62" w14:textId="77777777" w:rsidR="00052B44" w:rsidRDefault="00052B44" w:rsidP="00052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C8920" w14:textId="77777777" w:rsidR="002105C5" w:rsidRDefault="00C7461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23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57</w:t>
    </w:r>
    <w:r>
      <w:rPr>
        <w:rFonts w:ascii="Arial" w:eastAsia="Arial" w:hAnsi="Arial" w:cs="Arial"/>
        <w:b/>
        <w:color w:val="000000"/>
        <w:sz w:val="20"/>
        <w:szCs w:val="20"/>
      </w:rPr>
      <w:fldChar w:fldCharType="end"/>
    </w:r>
  </w:p>
  <w:p w14:paraId="3AE58E0E" w14:textId="77777777" w:rsidR="002105C5" w:rsidRDefault="00C7461F">
    <w:pPr>
      <w:pBdr>
        <w:top w:val="nil"/>
        <w:left w:val="nil"/>
        <w:bottom w:val="nil"/>
        <w:right w:val="nil"/>
        <w:between w:val="nil"/>
      </w:pBdr>
      <w:tabs>
        <w:tab w:val="center" w:pos="4252"/>
        <w:tab w:val="right" w:pos="8504"/>
      </w:tabs>
      <w:rPr>
        <w:color w:val="000000"/>
      </w:rPr>
    </w:pPr>
  </w:p>
  <w:p w14:paraId="13878BA0" w14:textId="77777777" w:rsidR="002105C5" w:rsidRDefault="00C7461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EF098" w14:textId="77777777" w:rsidR="002105C5" w:rsidRDefault="00C7461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57</w:t>
    </w:r>
    <w:r>
      <w:rPr>
        <w:rFonts w:ascii="Arial" w:eastAsia="Arial" w:hAnsi="Arial" w:cs="Arial"/>
        <w:b/>
        <w:color w:val="000000"/>
        <w:sz w:val="20"/>
        <w:szCs w:val="20"/>
      </w:rPr>
      <w:fldChar w:fldCharType="end"/>
    </w:r>
  </w:p>
  <w:p w14:paraId="3B70CEBC" w14:textId="77777777" w:rsidR="002105C5" w:rsidRDefault="00C7461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7A114" w14:textId="77777777" w:rsidR="00052B44" w:rsidRDefault="00052B44" w:rsidP="00052B44">
      <w:r>
        <w:separator/>
      </w:r>
    </w:p>
  </w:footnote>
  <w:footnote w:type="continuationSeparator" w:id="0">
    <w:p w14:paraId="398095A2" w14:textId="77777777" w:rsidR="00052B44" w:rsidRDefault="00052B44" w:rsidP="00052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54BE3" w14:textId="77777777" w:rsidR="002105C5" w:rsidRDefault="00C7461F">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66AF20B" wp14:editId="3FD452C2">
          <wp:simplePos x="0" y="0"/>
          <wp:positionH relativeFrom="margin">
            <wp:align>center</wp:align>
          </wp:positionH>
          <wp:positionV relativeFrom="paragraph">
            <wp:posOffset>11888</wp:posOffset>
          </wp:positionV>
          <wp:extent cx="7635875" cy="9943465"/>
          <wp:effectExtent l="0" t="0" r="3175" b="635"/>
          <wp:wrapNone/>
          <wp:docPr id="11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W w:w="5387" w:type="dxa"/>
      <w:tblInd w:w="3685" w:type="dxa"/>
      <w:tblLayout w:type="fixed"/>
      <w:tblLook w:val="0400" w:firstRow="0" w:lastRow="0" w:firstColumn="0" w:lastColumn="0" w:noHBand="0" w:noVBand="1"/>
    </w:tblPr>
    <w:tblGrid>
      <w:gridCol w:w="250"/>
      <w:gridCol w:w="2032"/>
      <w:gridCol w:w="50"/>
      <w:gridCol w:w="3055"/>
    </w:tblGrid>
    <w:tr w:rsidR="002105C5" w14:paraId="6FDB7C68" w14:textId="77777777" w:rsidTr="00585E92">
      <w:tc>
        <w:tcPr>
          <w:tcW w:w="250" w:type="dxa"/>
        </w:tcPr>
        <w:p w14:paraId="58ECFF1B" w14:textId="77777777" w:rsidR="002105C5" w:rsidRDefault="00C7461F">
          <w:pPr>
            <w:widowControl w:val="0"/>
            <w:pBdr>
              <w:top w:val="nil"/>
              <w:left w:val="nil"/>
              <w:bottom w:val="nil"/>
              <w:right w:val="nil"/>
              <w:between w:val="nil"/>
            </w:pBdr>
            <w:spacing w:line="276" w:lineRule="auto"/>
            <w:rPr>
              <w:rFonts w:ascii="Calibri" w:eastAsia="Calibri" w:hAnsi="Calibri" w:cs="Calibri"/>
              <w:color w:val="000000"/>
            </w:rPr>
          </w:pPr>
        </w:p>
      </w:tc>
      <w:tc>
        <w:tcPr>
          <w:tcW w:w="2082" w:type="dxa"/>
          <w:gridSpan w:val="2"/>
          <w:vAlign w:val="center"/>
        </w:tcPr>
        <w:p w14:paraId="17039F21" w14:textId="77777777" w:rsidR="002105C5" w:rsidRDefault="00C7461F">
          <w:pPr>
            <w:rPr>
              <w:rFonts w:ascii="Palatino Linotype" w:eastAsia="Palatino Linotype" w:hAnsi="Palatino Linotype" w:cs="Palatino Linotype"/>
              <w:b/>
              <w:sz w:val="22"/>
              <w:szCs w:val="22"/>
            </w:rPr>
          </w:pPr>
        </w:p>
      </w:tc>
      <w:tc>
        <w:tcPr>
          <w:tcW w:w="3055" w:type="dxa"/>
          <w:vAlign w:val="center"/>
        </w:tcPr>
        <w:p w14:paraId="00FC732F" w14:textId="77777777" w:rsidR="002105C5" w:rsidRDefault="00C7461F">
          <w:pPr>
            <w:rPr>
              <w:rFonts w:ascii="Palatino Linotype" w:eastAsia="Palatino Linotype" w:hAnsi="Palatino Linotype" w:cs="Palatino Linotype"/>
              <w:b/>
              <w:sz w:val="22"/>
              <w:szCs w:val="22"/>
            </w:rPr>
          </w:pPr>
        </w:p>
      </w:tc>
    </w:tr>
    <w:tr w:rsidR="002105C5" w14:paraId="231D21F5" w14:textId="77777777" w:rsidTr="00585E92">
      <w:trPr>
        <w:trHeight w:val="228"/>
      </w:trPr>
      <w:tc>
        <w:tcPr>
          <w:tcW w:w="250" w:type="dxa"/>
        </w:tcPr>
        <w:p w14:paraId="524093AC" w14:textId="77777777" w:rsidR="002105C5" w:rsidRDefault="00C7461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082" w:type="dxa"/>
          <w:gridSpan w:val="2"/>
          <w:vAlign w:val="center"/>
        </w:tcPr>
        <w:p w14:paraId="126E1676" w14:textId="77777777" w:rsidR="002105C5" w:rsidRDefault="00C746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055" w:type="dxa"/>
          <w:vAlign w:val="center"/>
        </w:tcPr>
        <w:p w14:paraId="246072B4" w14:textId="77777777" w:rsidR="002105C5" w:rsidRDefault="00C746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00194/INFOEM/IP/RR/2022</w:t>
          </w:r>
        </w:p>
      </w:tc>
    </w:tr>
    <w:tr w:rsidR="002105C5" w14:paraId="6F03CE8C" w14:textId="77777777" w:rsidTr="00585E92">
      <w:tc>
        <w:tcPr>
          <w:tcW w:w="250" w:type="dxa"/>
        </w:tcPr>
        <w:p w14:paraId="2FAC812E" w14:textId="77777777" w:rsidR="002105C5" w:rsidRDefault="00C7461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082" w:type="dxa"/>
          <w:gridSpan w:val="2"/>
          <w:vAlign w:val="center"/>
        </w:tcPr>
        <w:p w14:paraId="07E49F00" w14:textId="77777777" w:rsidR="002105C5" w:rsidRDefault="00C7461F">
          <w:pPr>
            <w:rPr>
              <w:rFonts w:ascii="Palatino Linotype" w:eastAsia="Palatino Linotype" w:hAnsi="Palatino Linotype" w:cs="Palatino Linotype"/>
              <w:b/>
              <w:sz w:val="22"/>
              <w:szCs w:val="22"/>
            </w:rPr>
          </w:pPr>
        </w:p>
      </w:tc>
      <w:tc>
        <w:tcPr>
          <w:tcW w:w="3055" w:type="dxa"/>
          <w:vAlign w:val="center"/>
        </w:tcPr>
        <w:p w14:paraId="68B47BF1" w14:textId="77777777" w:rsidR="002105C5" w:rsidRDefault="00C7461F">
          <w:pPr>
            <w:rPr>
              <w:rFonts w:ascii="Palatino Linotype" w:eastAsia="Palatino Linotype" w:hAnsi="Palatino Linotype" w:cs="Palatino Linotype"/>
              <w:b/>
              <w:sz w:val="22"/>
              <w:szCs w:val="22"/>
            </w:rPr>
          </w:pPr>
        </w:p>
      </w:tc>
    </w:tr>
    <w:tr w:rsidR="002105C5" w14:paraId="177747FB" w14:textId="77777777" w:rsidTr="00585E92">
      <w:trPr>
        <w:trHeight w:val="228"/>
      </w:trPr>
      <w:tc>
        <w:tcPr>
          <w:tcW w:w="2282" w:type="dxa"/>
          <w:gridSpan w:val="2"/>
          <w:vAlign w:val="center"/>
        </w:tcPr>
        <w:p w14:paraId="0017D6AF" w14:textId="77777777" w:rsidR="002105C5" w:rsidRDefault="00C746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05" w:type="dxa"/>
          <w:gridSpan w:val="2"/>
          <w:vAlign w:val="center"/>
        </w:tcPr>
        <w:p w14:paraId="2D93BAF0" w14:textId="77777777" w:rsidR="002105C5" w:rsidRDefault="00C746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Chapultepec.</w:t>
          </w:r>
        </w:p>
      </w:tc>
    </w:tr>
    <w:tr w:rsidR="002105C5" w14:paraId="4316D1A4" w14:textId="77777777" w:rsidTr="00585E92">
      <w:tc>
        <w:tcPr>
          <w:tcW w:w="2282" w:type="dxa"/>
          <w:gridSpan w:val="2"/>
          <w:vAlign w:val="center"/>
        </w:tcPr>
        <w:p w14:paraId="5611318A" w14:textId="77777777" w:rsidR="002105C5" w:rsidRDefault="00C746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05" w:type="dxa"/>
          <w:gridSpan w:val="2"/>
          <w:vAlign w:val="center"/>
        </w:tcPr>
        <w:p w14:paraId="6CA64E4D" w14:textId="77777777" w:rsidR="002105C5" w:rsidRDefault="00C7461F">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D75492F" w14:textId="77777777" w:rsidR="002105C5" w:rsidRDefault="00C7461F">
    <w:pPr>
      <w:pBdr>
        <w:top w:val="nil"/>
        <w:left w:val="nil"/>
        <w:bottom w:val="nil"/>
        <w:right w:val="nil"/>
        <w:between w:val="nil"/>
      </w:pBdr>
      <w:tabs>
        <w:tab w:val="center" w:pos="4252"/>
        <w:tab w:val="right" w:pos="8504"/>
        <w:tab w:val="left" w:pos="2326"/>
      </w:tabs>
      <w:rPr>
        <w:rFonts w:ascii="Calibri" w:eastAsia="Calibri" w:hAnsi="Calibri" w:cs="Calibri"/>
        <w:b/>
        <w:color w:val="000000"/>
      </w:rPr>
    </w:pPr>
    <w:r>
      <w:rPr>
        <w:rFonts w:ascii="Calibri" w:eastAsia="Calibri" w:hAnsi="Calibri" w:cs="Calibri"/>
        <w:color w:val="000000"/>
      </w:rPr>
      <w:tab/>
      <w:t xml:space="preserve">                             </w:t>
    </w:r>
  </w:p>
  <w:p w14:paraId="77856A49" w14:textId="77777777" w:rsidR="002105C5" w:rsidRDefault="00C7461F">
    <w:pPr>
      <w:pBdr>
        <w:top w:val="nil"/>
        <w:left w:val="nil"/>
        <w:bottom w:val="nil"/>
        <w:right w:val="nil"/>
        <w:between w:val="nil"/>
      </w:pBdr>
      <w:tabs>
        <w:tab w:val="center" w:pos="4252"/>
        <w:tab w:val="right" w:pos="8504"/>
        <w:tab w:val="left" w:pos="2326"/>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FEC06" w14:textId="77777777" w:rsidR="002105C5" w:rsidRDefault="00C7461F">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60288" behindDoc="1" locked="0" layoutInCell="1" hidden="0" allowOverlap="1" wp14:anchorId="4F77B03F" wp14:editId="3DB13D93">
          <wp:simplePos x="0" y="0"/>
          <wp:positionH relativeFrom="column">
            <wp:posOffset>-1080134</wp:posOffset>
          </wp:positionH>
          <wp:positionV relativeFrom="paragraph">
            <wp:posOffset>-393699</wp:posOffset>
          </wp:positionV>
          <wp:extent cx="7635875" cy="9943465"/>
          <wp:effectExtent l="0" t="0" r="0" b="0"/>
          <wp:wrapNone/>
          <wp:docPr id="11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W w:w="6240" w:type="dxa"/>
      <w:tblInd w:w="3685" w:type="dxa"/>
      <w:tblLayout w:type="fixed"/>
      <w:tblLook w:val="0400" w:firstRow="0" w:lastRow="0" w:firstColumn="0" w:lastColumn="0" w:noHBand="0" w:noVBand="1"/>
    </w:tblPr>
    <w:tblGrid>
      <w:gridCol w:w="2553"/>
      <w:gridCol w:w="3687"/>
    </w:tblGrid>
    <w:tr w:rsidR="002105C5" w14:paraId="66DB2D0B" w14:textId="77777777">
      <w:tc>
        <w:tcPr>
          <w:tcW w:w="2553" w:type="dxa"/>
          <w:vAlign w:val="center"/>
        </w:tcPr>
        <w:p w14:paraId="08DE5788" w14:textId="77777777" w:rsidR="002105C5" w:rsidRDefault="00C746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54D0BC78" w14:textId="77777777" w:rsidR="002105C5" w:rsidRDefault="00C746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00194/INFOEM/IP/RR/2022</w:t>
          </w:r>
        </w:p>
      </w:tc>
    </w:tr>
    <w:tr w:rsidR="002105C5" w14:paraId="4C452A33" w14:textId="77777777">
      <w:tc>
        <w:tcPr>
          <w:tcW w:w="2553" w:type="dxa"/>
          <w:vAlign w:val="center"/>
        </w:tcPr>
        <w:p w14:paraId="015BFCF4" w14:textId="77777777" w:rsidR="002105C5" w:rsidRDefault="00C746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4103DD14" w14:textId="0DB8B1FD" w:rsidR="002105C5" w:rsidRDefault="00052B44">
          <w:pPr>
            <w:rPr>
              <w:rFonts w:ascii="Palatino Linotype" w:eastAsia="Palatino Linotype" w:hAnsi="Palatino Linotype" w:cs="Palatino Linotype"/>
              <w:b/>
              <w:sz w:val="22"/>
              <w:szCs w:val="22"/>
            </w:rPr>
          </w:pPr>
          <w:r>
            <w:rPr>
              <w:rFonts w:ascii="Palatino Linotype" w:eastAsia="Palatino Linotype" w:hAnsi="Palatino Linotype" w:cs="Palatino Linotype"/>
            </w:rPr>
            <w:t>XXXXXXXXXXXXXXXX.</w:t>
          </w:r>
        </w:p>
      </w:tc>
    </w:tr>
    <w:tr w:rsidR="002105C5" w14:paraId="52D4CE9D" w14:textId="77777777">
      <w:trPr>
        <w:trHeight w:val="228"/>
      </w:trPr>
      <w:tc>
        <w:tcPr>
          <w:tcW w:w="2553" w:type="dxa"/>
          <w:vAlign w:val="center"/>
        </w:tcPr>
        <w:p w14:paraId="1470B4FB" w14:textId="77777777" w:rsidR="002105C5" w:rsidRDefault="00C746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42DBBB7A" w14:textId="77777777" w:rsidR="002105C5" w:rsidRDefault="00C7461F">
          <w:pPr>
            <w:rPr>
              <w:rFonts w:ascii="Palatino Linotype" w:eastAsia="Palatino Linotype" w:hAnsi="Palatino Linotype" w:cs="Palatino Linotype"/>
              <w:b/>
              <w:sz w:val="22"/>
              <w:szCs w:val="22"/>
            </w:rPr>
          </w:pPr>
        </w:p>
        <w:p w14:paraId="02B41D4D" w14:textId="77777777" w:rsidR="002105C5" w:rsidRDefault="00C746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Chapultepec.</w:t>
          </w:r>
        </w:p>
      </w:tc>
    </w:tr>
    <w:tr w:rsidR="002105C5" w14:paraId="0F18923F" w14:textId="77777777">
      <w:tc>
        <w:tcPr>
          <w:tcW w:w="2553" w:type="dxa"/>
          <w:vAlign w:val="center"/>
        </w:tcPr>
        <w:p w14:paraId="49074D5B" w14:textId="77777777" w:rsidR="002105C5" w:rsidRDefault="00C746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382F7141" w14:textId="77777777" w:rsidR="002105C5" w:rsidRDefault="00C7461F">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CAF473D" w14:textId="77777777" w:rsidR="002105C5" w:rsidRDefault="00C7461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793DC0"/>
    <w:multiLevelType w:val="multilevel"/>
    <w:tmpl w:val="728E1CD6"/>
    <w:lvl w:ilvl="0">
      <w:start w:val="3"/>
      <w:numFmt w:val="upperRoman"/>
      <w:lvlText w:val="%1."/>
      <w:lvlJc w:val="left"/>
      <w:pPr>
        <w:ind w:left="1712" w:hanging="72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1" w15:restartNumberingAfterBreak="0">
    <w:nsid w:val="3DAB7FE3"/>
    <w:multiLevelType w:val="multilevel"/>
    <w:tmpl w:val="DD70B6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2023610"/>
    <w:multiLevelType w:val="multilevel"/>
    <w:tmpl w:val="9B6E6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B44"/>
    <w:rsid w:val="00052B44"/>
    <w:rsid w:val="00C746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D847F"/>
  <w15:chartTrackingRefBased/>
  <w15:docId w15:val="{E5BF101D-50FA-4084-973F-5FCE84FBC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B44"/>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052B4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52B44"/>
    <w:rPr>
      <w:rFonts w:asciiTheme="majorHAnsi" w:eastAsiaTheme="majorEastAsia" w:hAnsiTheme="majorHAnsi" w:cstheme="majorBidi"/>
      <w:color w:val="2F5496" w:themeColor="accent1" w:themeShade="BF"/>
      <w:sz w:val="26"/>
      <w:szCs w:val="26"/>
      <w:lang w:val="es-ES" w:eastAsia="es-ES"/>
    </w:rPr>
  </w:style>
  <w:style w:type="paragraph" w:styleId="Encabezado">
    <w:name w:val="header"/>
    <w:basedOn w:val="Normal"/>
    <w:link w:val="EncabezadoCar"/>
    <w:uiPriority w:val="99"/>
    <w:unhideWhenUsed/>
    <w:rsid w:val="00052B44"/>
    <w:pPr>
      <w:tabs>
        <w:tab w:val="center" w:pos="4419"/>
        <w:tab w:val="right" w:pos="8838"/>
      </w:tabs>
    </w:pPr>
  </w:style>
  <w:style w:type="character" w:customStyle="1" w:styleId="EncabezadoCar">
    <w:name w:val="Encabezado Car"/>
    <w:basedOn w:val="Fuentedeprrafopredeter"/>
    <w:link w:val="Encabezado"/>
    <w:uiPriority w:val="99"/>
    <w:rsid w:val="00052B4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52B44"/>
    <w:pPr>
      <w:tabs>
        <w:tab w:val="center" w:pos="4419"/>
        <w:tab w:val="right" w:pos="8838"/>
      </w:tabs>
    </w:pPr>
  </w:style>
  <w:style w:type="character" w:customStyle="1" w:styleId="PiedepginaCar">
    <w:name w:val="Pie de página Car"/>
    <w:basedOn w:val="Fuentedeprrafopredeter"/>
    <w:link w:val="Piedepgina"/>
    <w:uiPriority w:val="99"/>
    <w:rsid w:val="00052B44"/>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57</Pages>
  <Words>9399</Words>
  <Characters>51698</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KEPZAR Productos y Servicios de Tecnología</dc:creator>
  <cp:keywords/>
  <dc:description/>
  <cp:lastModifiedBy>KEPZAR Productos y Servicios de Tecnología</cp:lastModifiedBy>
  <cp:revision>1</cp:revision>
  <dcterms:created xsi:type="dcterms:W3CDTF">2022-04-04T17:07:00Z</dcterms:created>
  <dcterms:modified xsi:type="dcterms:W3CDTF">2022-04-04T17:29:00Z</dcterms:modified>
</cp:coreProperties>
</file>