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veintisiete de abril de dos mil veintidós. </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00949/INFOEM/IP/RR/2022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C631E9" w:rsidRDefault="0099184B">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veinticuatro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00342/TOLUCA/IP/2022, </w:t>
      </w:r>
      <w:r>
        <w:rPr>
          <w:rFonts w:ascii="Palatino Linotype" w:eastAsia="Palatino Linotype" w:hAnsi="Palatino Linotype" w:cs="Palatino Linotype"/>
        </w:rPr>
        <w:t xml:space="preserve">mediante la cual requirió la información siguiente: </w:t>
      </w:r>
    </w:p>
    <w:p w:rsidR="00C631E9" w:rsidRDefault="0099184B">
      <w:pPr>
        <w:spacing w:before="240" w:after="240" w:line="276" w:lineRule="auto"/>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“1.De la administración vigente, requiero obtener relación de todo el personal </w:t>
      </w:r>
      <w:proofErr w:type="gramStart"/>
      <w:r>
        <w:rPr>
          <w:rFonts w:ascii="Palatino Linotype" w:eastAsia="Palatino Linotype" w:hAnsi="Palatino Linotype" w:cs="Palatino Linotype"/>
          <w:i/>
          <w:sz w:val="22"/>
          <w:szCs w:val="22"/>
        </w:rPr>
        <w:t>comisionado</w:t>
      </w:r>
      <w:proofErr w:type="gramEnd"/>
      <w:r>
        <w:rPr>
          <w:rFonts w:ascii="Palatino Linotype" w:eastAsia="Palatino Linotype" w:hAnsi="Palatino Linotype" w:cs="Palatino Linotype"/>
          <w:i/>
          <w:sz w:val="22"/>
          <w:szCs w:val="22"/>
        </w:rPr>
        <w:t xml:space="preserve"> es decir personas que estén en otras áreas que no sea la de su adscripción, asimismo me entreguen oficio de comisión y especifiquen los motivos de la comisión. </w:t>
      </w:r>
      <w:proofErr w:type="gramStart"/>
      <w:r>
        <w:rPr>
          <w:rFonts w:ascii="Palatino Linotype" w:eastAsia="Palatino Linotype" w:hAnsi="Palatino Linotype" w:cs="Palatino Linotype"/>
          <w:i/>
          <w:sz w:val="22"/>
          <w:szCs w:val="22"/>
        </w:rPr>
        <w:t>2.Recibos</w:t>
      </w:r>
      <w:proofErr w:type="gramEnd"/>
      <w:r>
        <w:rPr>
          <w:rFonts w:ascii="Palatino Linotype" w:eastAsia="Palatino Linotype" w:hAnsi="Palatino Linotype" w:cs="Palatino Linotype"/>
          <w:i/>
          <w:sz w:val="22"/>
          <w:szCs w:val="22"/>
        </w:rPr>
        <w:t xml:space="preserve"> de </w:t>
      </w:r>
      <w:proofErr w:type="spellStart"/>
      <w:r>
        <w:rPr>
          <w:rFonts w:ascii="Palatino Linotype" w:eastAsia="Palatino Linotype" w:hAnsi="Palatino Linotype" w:cs="Palatino Linotype"/>
          <w:i/>
          <w:sz w:val="22"/>
          <w:szCs w:val="22"/>
        </w:rPr>
        <w:t>nomina</w:t>
      </w:r>
      <w:proofErr w:type="spellEnd"/>
      <w:r>
        <w:rPr>
          <w:rFonts w:ascii="Palatino Linotype" w:eastAsia="Palatino Linotype" w:hAnsi="Palatino Linotype" w:cs="Palatino Linotype"/>
          <w:i/>
          <w:sz w:val="22"/>
          <w:szCs w:val="22"/>
        </w:rPr>
        <w:t xml:space="preserve"> de cada servidor público comisionado incluyendo sus actuales funciones. </w:t>
      </w:r>
      <w:proofErr w:type="gramStart"/>
      <w:r>
        <w:rPr>
          <w:rFonts w:ascii="Palatino Linotype" w:eastAsia="Palatino Linotype" w:hAnsi="Palatino Linotype" w:cs="Palatino Linotype"/>
          <w:i/>
          <w:sz w:val="22"/>
          <w:szCs w:val="22"/>
        </w:rPr>
        <w:t>3.Solicito</w:t>
      </w:r>
      <w:proofErr w:type="gramEnd"/>
      <w:r>
        <w:rPr>
          <w:rFonts w:ascii="Palatino Linotype" w:eastAsia="Palatino Linotype" w:hAnsi="Palatino Linotype" w:cs="Palatino Linotype"/>
          <w:i/>
          <w:sz w:val="22"/>
          <w:szCs w:val="22"/>
        </w:rPr>
        <w:t xml:space="preserve"> el presupuesto asignado a cada área, sindicatura, regiduría, institutos, organismos </w:t>
      </w:r>
      <w:proofErr w:type="spellStart"/>
      <w:r>
        <w:rPr>
          <w:rFonts w:ascii="Palatino Linotype" w:eastAsia="Palatino Linotype" w:hAnsi="Palatino Linotype" w:cs="Palatino Linotype"/>
          <w:i/>
          <w:sz w:val="22"/>
          <w:szCs w:val="22"/>
        </w:rPr>
        <w:t>dif</w:t>
      </w:r>
      <w:proofErr w:type="spellEnd"/>
      <w:r>
        <w:rPr>
          <w:rFonts w:ascii="Palatino Linotype" w:eastAsia="Palatino Linotype" w:hAnsi="Palatino Linotype" w:cs="Palatino Linotype"/>
          <w:i/>
          <w:sz w:val="22"/>
          <w:szCs w:val="22"/>
        </w:rPr>
        <w:t xml:space="preserve"> y agua, </w:t>
      </w:r>
      <w:proofErr w:type="spellStart"/>
      <w:r>
        <w:rPr>
          <w:rFonts w:ascii="Palatino Linotype" w:eastAsia="Palatino Linotype" w:hAnsi="Palatino Linotype" w:cs="Palatino Linotype"/>
          <w:i/>
          <w:sz w:val="22"/>
          <w:szCs w:val="22"/>
        </w:rPr>
        <w:t>asi</w:t>
      </w:r>
      <w:proofErr w:type="spellEnd"/>
      <w:r>
        <w:rPr>
          <w:rFonts w:ascii="Palatino Linotype" w:eastAsia="Palatino Linotype" w:hAnsi="Palatino Linotype" w:cs="Palatino Linotype"/>
          <w:i/>
          <w:sz w:val="22"/>
          <w:szCs w:val="22"/>
        </w:rPr>
        <w:t xml:space="preserve"> como de la comisión de los derechos humanos. 4. </w:t>
      </w:r>
      <w:proofErr w:type="gramStart"/>
      <w:r>
        <w:rPr>
          <w:rFonts w:ascii="Palatino Linotype" w:eastAsia="Palatino Linotype" w:hAnsi="Palatino Linotype" w:cs="Palatino Linotype"/>
          <w:i/>
          <w:sz w:val="22"/>
          <w:szCs w:val="22"/>
        </w:rPr>
        <w:t>solicito</w:t>
      </w:r>
      <w:proofErr w:type="gramEnd"/>
      <w:r>
        <w:rPr>
          <w:rFonts w:ascii="Palatino Linotype" w:eastAsia="Palatino Linotype" w:hAnsi="Palatino Linotype" w:cs="Palatino Linotype"/>
          <w:i/>
          <w:sz w:val="22"/>
          <w:szCs w:val="22"/>
        </w:rPr>
        <w:t xml:space="preserve"> relación de la personas que se encuentren bajo la denominación de honorarios.” </w:t>
      </w:r>
      <w:r>
        <w:rPr>
          <w:rFonts w:ascii="Palatino Linotype" w:eastAsia="Palatino Linotype" w:hAnsi="Palatino Linotype" w:cs="Palatino Linotype"/>
          <w:sz w:val="22"/>
          <w:szCs w:val="22"/>
        </w:rPr>
        <w:t>(Sic)</w:t>
      </w:r>
    </w:p>
    <w:p w:rsidR="00C631E9" w:rsidRDefault="00C631E9">
      <w:pPr>
        <w:spacing w:before="240" w:after="240" w:line="276" w:lineRule="auto"/>
        <w:ind w:left="851" w:right="902"/>
        <w:jc w:val="both"/>
        <w:rPr>
          <w:rFonts w:ascii="Palatino Linotype" w:eastAsia="Palatino Linotype" w:hAnsi="Palatino Linotype" w:cs="Palatino Linotype"/>
          <w:b/>
          <w:i/>
          <w:sz w:val="22"/>
          <w:szCs w:val="22"/>
        </w:rPr>
      </w:pP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 de la información:</w:t>
      </w:r>
      <w:r>
        <w:rPr>
          <w:rFonts w:ascii="Palatino Linotype" w:eastAsia="Palatino Linotype" w:hAnsi="Palatino Linotype" w:cs="Palatino Linotype"/>
        </w:rPr>
        <w:t xml:space="preserve"> A través de SAIMEX.</w:t>
      </w:r>
    </w:p>
    <w:p w:rsidR="00C631E9" w:rsidRDefault="0099184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2. Incompetencia parcial del 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veintisiete de enero de la presente anualidad</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incompetencia para atender parcialmente la solicitud en los términos siguientes</w:t>
      </w:r>
      <w:r>
        <w:rPr>
          <w:rFonts w:ascii="Palatino Linotype" w:eastAsia="Palatino Linotype" w:hAnsi="Palatino Linotype" w:cs="Palatino Linotype"/>
          <w:b/>
        </w:rPr>
        <w:t>:</w:t>
      </w:r>
    </w:p>
    <w:p w:rsidR="00C631E9" w:rsidRDefault="0099184B">
      <w:pPr>
        <w:spacing w:before="240" w:after="240" w:line="360" w:lineRule="auto"/>
        <w:jc w:val="both"/>
        <w:rPr>
          <w:rFonts w:ascii="Palatino Linotype" w:eastAsia="Palatino Linotype" w:hAnsi="Palatino Linotype" w:cs="Palatino Linotype"/>
          <w:b/>
        </w:rPr>
      </w:pPr>
      <w:r>
        <w:rPr>
          <w:noProof/>
          <w:lang w:val="es-MX"/>
        </w:rPr>
        <w:drawing>
          <wp:inline distT="0" distB="0" distL="0" distR="0">
            <wp:extent cx="5390661" cy="3044990"/>
            <wp:effectExtent l="0" t="0" r="0" b="0"/>
            <wp:docPr id="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65343" t="59053" r="9029" b="15207"/>
                    <a:stretch>
                      <a:fillRect/>
                    </a:stretch>
                  </pic:blipFill>
                  <pic:spPr>
                    <a:xfrm>
                      <a:off x="0" y="0"/>
                      <a:ext cx="5390661" cy="3044990"/>
                    </a:xfrm>
                    <a:prstGeom prst="rect">
                      <a:avLst/>
                    </a:prstGeom>
                    <a:ln/>
                  </pic:spPr>
                </pic:pic>
              </a:graphicData>
            </a:graphic>
          </wp:inline>
        </w:drawing>
      </w:r>
    </w:p>
    <w:p w:rsidR="00C631E9" w:rsidRDefault="0099184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C631E9" w:rsidRDefault="0099184B">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631E9" w:rsidRDefault="0099184B">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00342/TOLUCA/IP/2022, me permito adjuntar al presente la respuesta correspondiente. Sin más por el momento, le envío un cordial saludo.</w:t>
      </w:r>
    </w:p>
    <w:p w:rsidR="00C631E9" w:rsidRDefault="0099184B">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ATENTAMENTE</w:t>
      </w:r>
    </w:p>
    <w:p w:rsidR="00C631E9" w:rsidRDefault="0099184B">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rsidR="00C631E9" w:rsidRDefault="0099184B">
      <w:pPr>
        <w:spacing w:before="240" w:after="240" w:line="360" w:lineRule="auto"/>
        <w:ind w:left="567" w:right="49"/>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p>
    <w:p w:rsidR="00C631E9" w:rsidRDefault="0099184B">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La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a su respuesta, dos archivos electrónicos que se describen a continuación: </w:t>
      </w:r>
    </w:p>
    <w:p w:rsidR="00C631E9" w:rsidRDefault="0099184B">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proofErr w:type="spellStart"/>
      <w:r>
        <w:rPr>
          <w:rFonts w:ascii="Palatino Linotype" w:eastAsia="Palatino Linotype" w:hAnsi="Palatino Linotype" w:cs="Palatino Linotype"/>
          <w:b/>
          <w:i/>
          <w:color w:val="000000"/>
          <w:sz w:val="22"/>
          <w:szCs w:val="22"/>
        </w:rPr>
        <w:t>Saimex</w:t>
      </w:r>
      <w:proofErr w:type="spellEnd"/>
      <w:r>
        <w:rPr>
          <w:rFonts w:ascii="Palatino Linotype" w:eastAsia="Palatino Linotype" w:hAnsi="Palatino Linotype" w:cs="Palatino Linotype"/>
          <w:b/>
          <w:i/>
          <w:color w:val="000000"/>
          <w:sz w:val="22"/>
          <w:szCs w:val="22"/>
        </w:rPr>
        <w:t xml:space="preserve"> 342.pdf”: </w:t>
      </w:r>
      <w:r>
        <w:rPr>
          <w:rFonts w:ascii="Palatino Linotype" w:eastAsia="Palatino Linotype" w:hAnsi="Palatino Linotype" w:cs="Palatino Linotype"/>
          <w:color w:val="000000"/>
          <w:sz w:val="22"/>
          <w:szCs w:val="22"/>
        </w:rPr>
        <w:t>Documento electrónico de dos fojas, el cual consiste en dos oficios, el primero número TM/000150/2022, de fecha trece de enero de dos mil veintidós, suscrito y signado por el Tesorero Municipal, en el cual da a conocer la comisión de un servidor público, y el segundo  número DGMA/027/2022, de fecha siete de enero de dos mil veintidós, suscrito y signado por el Director General de Medio Ambiente, en el cual da a conocer la comisión de un servidor público:</w:t>
      </w:r>
    </w:p>
    <w:p w:rsidR="00C631E9" w:rsidRDefault="0099184B">
      <w:pPr>
        <w:numPr>
          <w:ilvl w:val="0"/>
          <w:numId w:val="1"/>
        </w:numPr>
        <w:pBdr>
          <w:top w:val="nil"/>
          <w:left w:val="nil"/>
          <w:bottom w:val="nil"/>
          <w:right w:val="nil"/>
          <w:between w:val="nil"/>
        </w:pBdr>
        <w:spacing w:after="240"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proofErr w:type="spellStart"/>
      <w:r>
        <w:rPr>
          <w:rFonts w:ascii="Palatino Linotype" w:eastAsia="Palatino Linotype" w:hAnsi="Palatino Linotype" w:cs="Palatino Linotype"/>
          <w:b/>
          <w:i/>
          <w:color w:val="000000"/>
          <w:sz w:val="22"/>
          <w:szCs w:val="22"/>
        </w:rPr>
        <w:t>Saimex</w:t>
      </w:r>
      <w:proofErr w:type="spellEnd"/>
      <w:r>
        <w:rPr>
          <w:rFonts w:ascii="Palatino Linotype" w:eastAsia="Palatino Linotype" w:hAnsi="Palatino Linotype" w:cs="Palatino Linotype"/>
          <w:b/>
          <w:i/>
          <w:color w:val="000000"/>
          <w:sz w:val="22"/>
          <w:szCs w:val="22"/>
        </w:rPr>
        <w:t xml:space="preserve"> 00342.pdf”: </w:t>
      </w:r>
      <w:r>
        <w:rPr>
          <w:rFonts w:ascii="Palatino Linotype" w:eastAsia="Palatino Linotype" w:hAnsi="Palatino Linotype" w:cs="Palatino Linotype"/>
          <w:color w:val="000000"/>
          <w:sz w:val="22"/>
          <w:szCs w:val="22"/>
        </w:rPr>
        <w:t>Documento electrónico que consta de tres fojas, mediante el cual, la Titular de la Unidad de Transparencia hace del conocimiento del solicitante, las respuestas proporcionadas por los Servidores Públicos Habilitados.</w:t>
      </w:r>
    </w:p>
    <w:p w:rsidR="00C631E9" w:rsidRDefault="0099184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C631E9" w:rsidRDefault="0099184B">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C631E9" w:rsidRDefault="0099184B">
      <w:pPr>
        <w:spacing w:line="276" w:lineRule="auto"/>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 xml:space="preserve">“solicito cada oficio de todos los servidores comisionados, solo proporcionaron dos y en casi todas las áreas hay personal comisionado.” </w:t>
      </w:r>
      <w:r>
        <w:rPr>
          <w:rFonts w:ascii="Palatino Linotype" w:eastAsia="Palatino Linotype" w:hAnsi="Palatino Linotype" w:cs="Palatino Linotype"/>
          <w:i/>
          <w:sz w:val="22"/>
          <w:szCs w:val="22"/>
        </w:rPr>
        <w:t>(Sic)</w:t>
      </w:r>
    </w:p>
    <w:p w:rsidR="00C631E9" w:rsidRDefault="00C631E9">
      <w:pPr>
        <w:spacing w:line="360" w:lineRule="auto"/>
        <w:ind w:left="851" w:right="900"/>
        <w:jc w:val="both"/>
        <w:rPr>
          <w:rFonts w:ascii="Palatino Linotype" w:eastAsia="Palatino Linotype" w:hAnsi="Palatino Linotype" w:cs="Palatino Linotype"/>
          <w:i/>
          <w:sz w:val="22"/>
          <w:szCs w:val="22"/>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C631E9" w:rsidRDefault="0099184B">
      <w:pPr>
        <w:spacing w:line="276" w:lineRule="auto"/>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solicito cada oficio de todos los servidores comisionados, solo proporcionaron dos y en casi todas las áreas hay personal comisionado.</w:t>
      </w:r>
      <w:r>
        <w:rPr>
          <w:rFonts w:ascii="Palatino Linotype" w:eastAsia="Palatino Linotype" w:hAnsi="Palatino Linotype" w:cs="Palatino Linotype"/>
          <w:i/>
          <w:sz w:val="22"/>
          <w:szCs w:val="22"/>
        </w:rPr>
        <w:t xml:space="preserve">” (Sic) </w:t>
      </w:r>
    </w:p>
    <w:p w:rsidR="00C631E9" w:rsidRDefault="0099184B">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veintitrés de febrero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C631E9" w:rsidRDefault="0099184B">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siete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a través del SAIMEX, su informe justificado mediante el archivo digital denominado: </w:t>
      </w:r>
      <w:r>
        <w:rPr>
          <w:rFonts w:ascii="Palatino Linotype" w:eastAsia="Palatino Linotype" w:hAnsi="Palatino Linotype" w:cs="Palatino Linotype"/>
          <w:b/>
          <w:i/>
        </w:rPr>
        <w:t xml:space="preserve">“Informe Justificado 00949_2022.pdf”, </w:t>
      </w:r>
      <w:r>
        <w:rPr>
          <w:rFonts w:ascii="Palatino Linotype" w:eastAsia="Palatino Linotype" w:hAnsi="Palatino Linotype" w:cs="Palatino Linotype"/>
        </w:rPr>
        <w:t xml:space="preserve">el cual consta </w:t>
      </w:r>
      <w:r>
        <w:rPr>
          <w:rFonts w:ascii="Palatino Linotype" w:eastAsia="Palatino Linotype" w:hAnsi="Palatino Linotype" w:cs="Palatino Linotype"/>
        </w:rPr>
        <w:lastRenderedPageBreak/>
        <w:t>de doce fojas y ratifica en lo sustancial la respuesta proporcionada en primera instancia.</w:t>
      </w:r>
    </w:p>
    <w:p w:rsidR="00C631E9" w:rsidRDefault="0099184B">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en fecha </w:t>
      </w:r>
      <w:r>
        <w:rPr>
          <w:rFonts w:ascii="Palatino Linotype" w:eastAsia="Palatino Linotype" w:hAnsi="Palatino Linotype" w:cs="Palatino Linotype"/>
          <w:b/>
        </w:rPr>
        <w:t>cinco de abril de dos mil veintidós</w:t>
      </w:r>
      <w:r>
        <w:rPr>
          <w:rFonts w:ascii="Palatino Linotype" w:eastAsia="Palatino Linotype" w:hAnsi="Palatino Linotype" w:cs="Palatino Linotype"/>
        </w:rPr>
        <w:t>, a efecto de que manifestara lo que a su derecho estimara conveniente, sin embargo, fue omiso en ejercer dicha prerrogativa en el plazo establecido para tal efecto.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veinte de abril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631E9" w:rsidRDefault="0099184B">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color w:val="000000"/>
        </w:rPr>
        <w:t>veinte de abril de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C631E9" w:rsidRDefault="0099184B">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 S</w:t>
      </w:r>
    </w:p>
    <w:p w:rsidR="00C631E9" w:rsidRDefault="00C631E9">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631E9" w:rsidRDefault="0099184B">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Procediblidad</w:t>
      </w:r>
      <w:proofErr w:type="spellEnd"/>
      <w:r>
        <w:rPr>
          <w:rFonts w:ascii="Palatino Linotype" w:eastAsia="Palatino Linotype" w:hAnsi="Palatino Linotype" w:cs="Palatino Linotype"/>
          <w:b/>
        </w:rPr>
        <w:t xml:space="preserve"> del Recurso de Revisión.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C631E9" w:rsidRDefault="0099184B">
      <w:pPr>
        <w:spacing w:line="276" w:lineRule="auto"/>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ante el Instituto o ante la Unidad de Transparencia que haya conocido de la </w:t>
      </w:r>
      <w:r>
        <w:rPr>
          <w:rFonts w:ascii="Palatino Linotype" w:eastAsia="Palatino Linotype" w:hAnsi="Palatino Linotype" w:cs="Palatino Linotype"/>
          <w:i/>
          <w:sz w:val="22"/>
          <w:szCs w:val="22"/>
        </w:rPr>
        <w:lastRenderedPageBreak/>
        <w:t>solicitud dentro de los quince días hábiles, siguientes a la fecha de la notificación de la respuesta.”</w:t>
      </w:r>
    </w:p>
    <w:p w:rsidR="00C631E9" w:rsidRDefault="0099184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quince de febrero de dos mil veintidós, </w:t>
      </w:r>
      <w:r>
        <w:rPr>
          <w:rFonts w:ascii="Palatino Linotype" w:eastAsia="Palatino Linotype" w:hAnsi="Palatino Linotype" w:cs="Palatino Linotype"/>
        </w:rPr>
        <w:t xml:space="preserve">mientras que el recurso de revisión interpuesto por la parte recurrente, se tuvo por presentado el día </w:t>
      </w:r>
      <w:r>
        <w:rPr>
          <w:rFonts w:ascii="Palatino Linotype" w:eastAsia="Palatino Linotype" w:hAnsi="Palatino Linotype" w:cs="Palatino Linotype"/>
          <w:b/>
        </w:rPr>
        <w:t>diecisiete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segundo día hábil</w:t>
      </w:r>
      <w:r>
        <w:rPr>
          <w:rFonts w:ascii="Palatino Linotype" w:eastAsia="Palatino Linotype" w:hAnsi="Palatino Linotype" w:cs="Palatino Linotype"/>
        </w:rPr>
        <w:t xml:space="preserve"> posterior en que tuvo conocimiento de la respuesta impugnada.</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parte no proporcionó nombre como se advierte en el detalle de seguimiento del SAIMEX, sin embargo, el no proporcionar un nombre no es motivo para archivar la solicitud de acceso a la información pública como concluida, conforme a lo previsto </w:t>
      </w:r>
      <w:r>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rsidR="00C631E9" w:rsidRPr="0070076B" w:rsidRDefault="0099184B" w:rsidP="0070076B">
      <w:pPr>
        <w:spacing w:before="240" w:after="240" w:line="276" w:lineRule="auto"/>
        <w:ind w:left="851" w:right="851"/>
        <w:jc w:val="both"/>
        <w:rPr>
          <w:rFonts w:ascii="Palatino Linotype" w:eastAsia="Palatino Linotype" w:hAnsi="Palatino Linotype" w:cs="Palatino Linotype"/>
          <w:i/>
          <w:sz w:val="22"/>
        </w:rPr>
      </w:pPr>
      <w:r w:rsidRPr="0070076B">
        <w:rPr>
          <w:rFonts w:ascii="Palatino Linotype" w:eastAsia="Palatino Linotype" w:hAnsi="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el propio artículo 180 de la Ley de Transparencia local citado, en su último párrafo establece que cuando el recurso se interponga de manera electrónica, no será indispensable que contenga determinados requisitos, entre ellos, el nombre de la parte Recurrente, por lo que, en el presente caso, al haber sido presentado el recurso de revisión vía SAIMEX, dicho requisito resulta innecesario.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rsidR="00C631E9" w:rsidRDefault="0099184B">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C631E9" w:rsidRDefault="0099184B">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99184B">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rsidR="00C631E9" w:rsidRDefault="0099184B">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C631E9" w:rsidRDefault="0099184B">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C631E9" w:rsidRDefault="0099184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humanos de conformidad con los principios de universalidad, </w:t>
      </w:r>
      <w:r>
        <w:rPr>
          <w:rFonts w:ascii="Palatino Linotype" w:eastAsia="Palatino Linotype" w:hAnsi="Palatino Linotype" w:cs="Palatino Linotype"/>
          <w:b/>
          <w:i/>
          <w:sz w:val="22"/>
          <w:szCs w:val="22"/>
          <w:u w:val="single"/>
        </w:rPr>
        <w:lastRenderedPageBreak/>
        <w:t>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C631E9" w:rsidRDefault="0099184B">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99184B">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C631E9" w:rsidRDefault="0099184B">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631E9" w:rsidRDefault="0099184B">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C631E9" w:rsidRDefault="0099184B">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C631E9" w:rsidRDefault="0099184B">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631E9" w:rsidRDefault="0099184B">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Pr>
          <w:rFonts w:ascii="Palatino Linotype" w:eastAsia="Palatino Linotype" w:hAnsi="Palatino Linotype" w:cs="Palatino Linotype"/>
          <w:b/>
          <w:i/>
          <w:sz w:val="22"/>
          <w:szCs w:val="22"/>
        </w:rPr>
        <w:lastRenderedPageBreak/>
        <w:t>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631E9" w:rsidRDefault="0099184B">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C631E9" w:rsidRDefault="0099184B">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631E9" w:rsidRDefault="0099184B">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 (Sic)</w:t>
      </w:r>
    </w:p>
    <w:p w:rsidR="00C631E9" w:rsidRDefault="0099184B">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w:t>
      </w:r>
      <w:r>
        <w:rPr>
          <w:rFonts w:ascii="Palatino Linotype" w:eastAsia="Palatino Linotype" w:hAnsi="Palatino Linotype" w:cs="Palatino Linotype"/>
          <w:color w:val="000000"/>
        </w:rPr>
        <w:lastRenderedPageBreak/>
        <w:t xml:space="preserve">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rsidR="00C631E9" w:rsidRDefault="0099184B">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C631E9" w:rsidRDefault="0099184B">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C631E9" w:rsidRDefault="0099184B">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631E9" w:rsidRDefault="0099184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631E9" w:rsidRDefault="0099184B">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w:t>
      </w:r>
      <w:r>
        <w:rPr>
          <w:rFonts w:ascii="Palatino Linotype" w:eastAsia="Palatino Linotype" w:hAnsi="Palatino Linotype" w:cs="Palatino Linotype"/>
        </w:rPr>
        <w:lastRenderedPageBreak/>
        <w:t>la Información Pública del Estado de México y Municipios; publicado en el Periódico Oficial del Gobierno del Estado Libre y Soberano de México “Gaceta del Gobierno”, el diecinueve de octubre de dos mil once, cuyo rubro y texto refieren lo siguiente:</w:t>
      </w:r>
    </w:p>
    <w:p w:rsidR="00C631E9" w:rsidRDefault="0099184B">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631E9" w:rsidRDefault="0099184B">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631E9" w:rsidRDefault="0099184B">
      <w:pPr>
        <w:numPr>
          <w:ilvl w:val="0"/>
          <w:numId w:val="4"/>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C631E9" w:rsidRDefault="0099184B">
      <w:pPr>
        <w:numPr>
          <w:ilvl w:val="0"/>
          <w:numId w:val="4"/>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C631E9" w:rsidRDefault="0099184B">
      <w:pPr>
        <w:spacing w:before="240" w:after="240" w:line="276" w:lineRule="auto"/>
        <w:ind w:left="993" w:right="567" w:firstLine="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Pr>
          <w:rFonts w:ascii="Palatino Linotype" w:eastAsia="Palatino Linotype" w:hAnsi="Palatino Linotype" w:cs="Palatino Linotype"/>
        </w:rPr>
        <w:lastRenderedPageBreak/>
        <w:t>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C631E9" w:rsidRDefault="0099184B">
      <w:pPr>
        <w:tabs>
          <w:tab w:val="left" w:pos="7513"/>
        </w:tabs>
        <w:spacing w:before="240" w:after="240" w:line="360" w:lineRule="auto"/>
        <w:ind w:left="567"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“1. De la administración vigente, requiero obtener relación de todo el personal comisionado es decir personas que estén en otras áreas que no sea la de su adscripción, asimismo me entreguen oficio de comisión y especifiquen los motivos de la comisión. </w:t>
      </w:r>
    </w:p>
    <w:p w:rsidR="00C631E9" w:rsidRDefault="0099184B">
      <w:pPr>
        <w:tabs>
          <w:tab w:val="left" w:pos="7513"/>
        </w:tabs>
        <w:spacing w:before="240" w:after="240" w:line="360" w:lineRule="auto"/>
        <w:ind w:left="567"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2. Recibos de nómina de cada servidor público comisionado incluyendo sus actuales funciones. </w:t>
      </w:r>
    </w:p>
    <w:p w:rsidR="00C631E9" w:rsidRDefault="0099184B">
      <w:pPr>
        <w:tabs>
          <w:tab w:val="left" w:pos="7513"/>
        </w:tabs>
        <w:spacing w:before="240" w:after="240" w:line="360" w:lineRule="auto"/>
        <w:ind w:left="567"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3. El presupuesto asignado a cada área, sindicatura, regiduría, institutos, organismos </w:t>
      </w:r>
      <w:proofErr w:type="spellStart"/>
      <w:r>
        <w:rPr>
          <w:rFonts w:ascii="Palatino Linotype" w:eastAsia="Palatino Linotype" w:hAnsi="Palatino Linotype" w:cs="Palatino Linotype"/>
          <w:i/>
          <w:color w:val="000000"/>
        </w:rPr>
        <w:t>dif</w:t>
      </w:r>
      <w:proofErr w:type="spellEnd"/>
      <w:r>
        <w:rPr>
          <w:rFonts w:ascii="Palatino Linotype" w:eastAsia="Palatino Linotype" w:hAnsi="Palatino Linotype" w:cs="Palatino Linotype"/>
          <w:i/>
          <w:color w:val="000000"/>
        </w:rPr>
        <w:t xml:space="preserve"> y agua,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como de la comisión de los derechos humanos. </w:t>
      </w:r>
    </w:p>
    <w:p w:rsidR="00C631E9" w:rsidRDefault="0099184B">
      <w:pPr>
        <w:tabs>
          <w:tab w:val="left" w:pos="7513"/>
        </w:tabs>
        <w:spacing w:before="240" w:after="240" w:line="360" w:lineRule="auto"/>
        <w:ind w:left="567"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4. Relación de las personas que se encuentren bajo la denominación de honorarios</w:t>
      </w:r>
      <w:r>
        <w:rPr>
          <w:rFonts w:ascii="Palatino Linotype" w:eastAsia="Palatino Linotype" w:hAnsi="Palatino Linotype" w:cs="Palatino Linotype"/>
          <w:color w:val="000000"/>
        </w:rPr>
        <w:t>.” (Sic)</w:t>
      </w:r>
    </w:p>
    <w:p w:rsidR="00C631E9" w:rsidRDefault="0099184B">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 xml:space="preserve">SUJETO OBLIGADO, declaró incompetencia parcial del numeral 3, </w:t>
      </w:r>
      <w:r>
        <w:rPr>
          <w:rFonts w:ascii="Palatino Linotype" w:eastAsia="Palatino Linotype" w:hAnsi="Palatino Linotype" w:cs="Palatino Linotype"/>
        </w:rPr>
        <w:t>y orientó sobre el Sujeto Obligado que puede atender de manera parcial a la solicitud de información.</w:t>
      </w:r>
    </w:p>
    <w:p w:rsidR="00C631E9" w:rsidRDefault="0099184B">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los demás numerales,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dio respuesta y</w:t>
      </w:r>
      <w:r>
        <w:rPr>
          <w:rFonts w:ascii="Palatino Linotype" w:eastAsia="Palatino Linotype" w:hAnsi="Palatino Linotype" w:cs="Palatino Linotype"/>
          <w:b/>
        </w:rPr>
        <w:t xml:space="preserve"> </w:t>
      </w:r>
      <w:r>
        <w:rPr>
          <w:rFonts w:ascii="Palatino Linotype" w:eastAsia="Palatino Linotype" w:hAnsi="Palatino Linotype" w:cs="Palatino Linotype"/>
        </w:rPr>
        <w:t>señaló lo siguiente:</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241300</wp:posOffset>
                </wp:positionH>
                <wp:positionV relativeFrom="paragraph">
                  <wp:posOffset>952500</wp:posOffset>
                </wp:positionV>
                <wp:extent cx="5197475" cy="2797175"/>
                <wp:effectExtent l="0" t="0" r="0" b="0"/>
                <wp:wrapNone/>
                <wp:docPr id="71" name="Conector recto de flecha 71"/>
                <wp:cNvGraphicFramePr/>
                <a:graphic xmlns:a="http://schemas.openxmlformats.org/drawingml/2006/main">
                  <a:graphicData uri="http://schemas.microsoft.com/office/word/2010/wordprocessingShape">
                    <wps:wsp>
                      <wps:cNvCnPr/>
                      <wps:spPr>
                        <a:xfrm>
                          <a:off x="2759963" y="2394113"/>
                          <a:ext cx="5172075" cy="27717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wp:posOffset>
                </wp:positionH>
                <wp:positionV relativeFrom="paragraph">
                  <wp:posOffset>952500</wp:posOffset>
                </wp:positionV>
                <wp:extent cx="5197475" cy="2797175"/>
                <wp:effectExtent b="0" l="0" r="0" t="0"/>
                <wp:wrapNone/>
                <wp:docPr id="7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197475" cy="2797175"/>
                        </a:xfrm>
                        <a:prstGeom prst="rect"/>
                        <a:ln/>
                      </pic:spPr>
                    </pic:pic>
                  </a:graphicData>
                </a:graphic>
              </wp:anchor>
            </w:drawing>
          </mc:Fallback>
        </mc:AlternateContent>
      </w:r>
    </w:p>
    <w:p w:rsidR="00C631E9" w:rsidRDefault="0099184B">
      <w:pPr>
        <w:tabs>
          <w:tab w:val="left" w:pos="7513"/>
        </w:tabs>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0" distR="0">
            <wp:extent cx="5064408" cy="6196303"/>
            <wp:effectExtent l="0" t="0" r="0" b="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61611" t="27610" r="10227" b="9891"/>
                    <a:stretch>
                      <a:fillRect/>
                    </a:stretch>
                  </pic:blipFill>
                  <pic:spPr>
                    <a:xfrm>
                      <a:off x="0" y="0"/>
                      <a:ext cx="5064408" cy="6196303"/>
                    </a:xfrm>
                    <a:prstGeom prst="rect">
                      <a:avLst/>
                    </a:prstGeom>
                    <a:ln/>
                  </pic:spPr>
                </pic:pic>
              </a:graphicData>
            </a:graphic>
          </wp:inline>
        </w:drawing>
      </w: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254000</wp:posOffset>
                </wp:positionH>
                <wp:positionV relativeFrom="paragraph">
                  <wp:posOffset>4127500</wp:posOffset>
                </wp:positionV>
                <wp:extent cx="5067300" cy="1219200"/>
                <wp:effectExtent l="0" t="0" r="0" b="0"/>
                <wp:wrapNone/>
                <wp:docPr id="76" name="Rectángulo 76"/>
                <wp:cNvGraphicFramePr/>
                <a:graphic xmlns:a="http://schemas.openxmlformats.org/drawingml/2006/main">
                  <a:graphicData uri="http://schemas.microsoft.com/office/word/2010/wordprocessingShape">
                    <wps:wsp>
                      <wps:cNvSpPr/>
                      <wps:spPr>
                        <a:xfrm>
                          <a:off x="2831400" y="3189450"/>
                          <a:ext cx="5029200" cy="1181100"/>
                        </a:xfrm>
                        <a:prstGeom prst="rect">
                          <a:avLst/>
                        </a:prstGeom>
                        <a:noFill/>
                        <a:ln w="38100" cap="flat" cmpd="sng">
                          <a:solidFill>
                            <a:srgbClr val="FF0000"/>
                          </a:solidFill>
                          <a:prstDash val="solid"/>
                          <a:round/>
                          <a:headEnd type="none" w="sm" len="sm"/>
                          <a:tailEnd type="none" w="sm" len="sm"/>
                        </a:ln>
                      </wps:spPr>
                      <wps:txbx>
                        <w:txbxContent>
                          <w:p w:rsidR="00C631E9" w:rsidRDefault="00C631E9">
                            <w:pPr>
                              <w:textDirection w:val="btLr"/>
                            </w:pPr>
                          </w:p>
                        </w:txbxContent>
                      </wps:txbx>
                      <wps:bodyPr spcFirstLastPara="1" wrap="square" lIns="91425" tIns="91425" rIns="91425" bIns="91425" anchor="ctr" anchorCtr="0">
                        <a:noAutofit/>
                      </wps:bodyPr>
                    </wps:wsp>
                  </a:graphicData>
                </a:graphic>
              </wp:anchor>
            </w:drawing>
          </mc:Choice>
          <mc:Fallback>
            <w:pict>
              <v:rect id="Rectángulo 76" o:spid="_x0000_s1026" style="position:absolute;left:0;text-align:left;margin-left:20pt;margin-top:325pt;width:399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" filled="f" strokecolor="red" strokeweight="3pt">
                <v:stroke startarrowwidth="narrow" startarrowlength="short" endarrowwidth="narrow" endarrowlength="short" joinstyle="round"/>
                <v:textbox inset="2.53958mm,2.53958mm,2.53958mm,2.53958mm">
                  <w:txbxContent>
                    <w:p w:rsidR="00C631E9" w:rsidRDefault="00C631E9">
                      <w:pPr>
                        <w:textDirection w:val="btLr"/>
                      </w:pPr>
                    </w:p>
                  </w:txbxContent>
                </v:textbox>
              </v:rect>
            </w:pict>
          </mc:Fallback>
        </mc:AlternateContent>
      </w:r>
      <w:r>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292100</wp:posOffset>
                </wp:positionH>
                <wp:positionV relativeFrom="paragraph">
                  <wp:posOffset>5384800</wp:posOffset>
                </wp:positionV>
                <wp:extent cx="5067300" cy="752475"/>
                <wp:effectExtent l="0" t="0" r="0" b="0"/>
                <wp:wrapNone/>
                <wp:docPr id="74" name="Rectángulo 74"/>
                <wp:cNvGraphicFramePr/>
                <a:graphic xmlns:a="http://schemas.openxmlformats.org/drawingml/2006/main">
                  <a:graphicData uri="http://schemas.microsoft.com/office/word/2010/wordprocessingShape">
                    <wps:wsp>
                      <wps:cNvSpPr/>
                      <wps:spPr>
                        <a:xfrm>
                          <a:off x="2831400" y="3422813"/>
                          <a:ext cx="5029200" cy="714375"/>
                        </a:xfrm>
                        <a:prstGeom prst="rect">
                          <a:avLst/>
                        </a:prstGeom>
                        <a:noFill/>
                        <a:ln w="38100" cap="flat" cmpd="sng">
                          <a:solidFill>
                            <a:srgbClr val="FF0000"/>
                          </a:solidFill>
                          <a:prstDash val="solid"/>
                          <a:round/>
                          <a:headEnd type="none" w="sm" len="sm"/>
                          <a:tailEnd type="none" w="sm" len="sm"/>
                        </a:ln>
                      </wps:spPr>
                      <wps:txbx>
                        <w:txbxContent>
                          <w:p w:rsidR="00C631E9" w:rsidRDefault="00C631E9">
                            <w:pPr>
                              <w:textDirection w:val="btLr"/>
                            </w:pPr>
                          </w:p>
                        </w:txbxContent>
                      </wps:txbx>
                      <wps:bodyPr spcFirstLastPara="1" wrap="square" lIns="91425" tIns="91425" rIns="91425" bIns="91425" anchor="ctr" anchorCtr="0">
                        <a:noAutofit/>
                      </wps:bodyPr>
                    </wps:wsp>
                  </a:graphicData>
                </a:graphic>
              </wp:anchor>
            </w:drawing>
          </mc:Choice>
          <mc:Fallback>
            <w:pict>
              <v:rect id="Rectángulo 74" o:spid="_x0000_s1027" style="position:absolute;left:0;text-align:left;margin-left:23pt;margin-top:424pt;width:399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" filled="f" strokecolor="red" strokeweight="3pt">
                <v:stroke startarrowwidth="narrow" startarrowlength="short" endarrowwidth="narrow" endarrowlength="short" joinstyle="round"/>
                <v:textbox inset="2.53958mm,2.53958mm,2.53958mm,2.53958mm">
                  <w:txbxContent>
                    <w:p w:rsidR="00C631E9" w:rsidRDefault="00C631E9">
                      <w:pPr>
                        <w:textDirection w:val="btLr"/>
                      </w:pPr>
                    </w:p>
                  </w:txbxContent>
                </v:textbox>
              </v:rect>
            </w:pict>
          </mc:Fallback>
        </mc:AlternateContent>
      </w:r>
    </w:p>
    <w:p w:rsidR="00C631E9" w:rsidRDefault="0099184B">
      <w:pPr>
        <w:tabs>
          <w:tab w:val="left" w:pos="7513"/>
        </w:tabs>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0" distR="0">
            <wp:extent cx="5205065" cy="6186933"/>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62114" t="25183" r="9886" b="15654"/>
                    <a:stretch>
                      <a:fillRect/>
                    </a:stretch>
                  </pic:blipFill>
                  <pic:spPr>
                    <a:xfrm>
                      <a:off x="0" y="0"/>
                      <a:ext cx="5205065" cy="6186933"/>
                    </a:xfrm>
                    <a:prstGeom prst="rect">
                      <a:avLst/>
                    </a:prstGeom>
                    <a:ln/>
                  </pic:spPr>
                </pic:pic>
              </a:graphicData>
            </a:graphic>
          </wp:inline>
        </w:drawing>
      </w:r>
      <w:r>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165100</wp:posOffset>
                </wp:positionH>
                <wp:positionV relativeFrom="paragraph">
                  <wp:posOffset>88900</wp:posOffset>
                </wp:positionV>
                <wp:extent cx="5067300" cy="1533525"/>
                <wp:effectExtent l="0" t="0" r="0" b="0"/>
                <wp:wrapNone/>
                <wp:docPr id="73" name="Rectángulo 73"/>
                <wp:cNvGraphicFramePr/>
                <a:graphic xmlns:a="http://schemas.openxmlformats.org/drawingml/2006/main">
                  <a:graphicData uri="http://schemas.microsoft.com/office/word/2010/wordprocessingShape">
                    <wps:wsp>
                      <wps:cNvSpPr/>
                      <wps:spPr>
                        <a:xfrm>
                          <a:off x="2831400" y="3032288"/>
                          <a:ext cx="5029200" cy="1495425"/>
                        </a:xfrm>
                        <a:prstGeom prst="rect">
                          <a:avLst/>
                        </a:prstGeom>
                        <a:noFill/>
                        <a:ln w="38100" cap="flat" cmpd="sng">
                          <a:solidFill>
                            <a:srgbClr val="FF0000"/>
                          </a:solidFill>
                          <a:prstDash val="solid"/>
                          <a:round/>
                          <a:headEnd type="none" w="sm" len="sm"/>
                          <a:tailEnd type="none" w="sm" len="sm"/>
                        </a:ln>
                      </wps:spPr>
                      <wps:txbx>
                        <w:txbxContent>
                          <w:p w:rsidR="00C631E9" w:rsidRDefault="00C631E9">
                            <w:pPr>
                              <w:textDirection w:val="btLr"/>
                            </w:pPr>
                          </w:p>
                        </w:txbxContent>
                      </wps:txbx>
                      <wps:bodyPr spcFirstLastPara="1" wrap="square" lIns="91425" tIns="91425" rIns="91425" bIns="91425" anchor="ctr" anchorCtr="0">
                        <a:noAutofit/>
                      </wps:bodyPr>
                    </wps:wsp>
                  </a:graphicData>
                </a:graphic>
              </wp:anchor>
            </w:drawing>
          </mc:Choice>
          <mc:Fallback>
            <w:pict>
              <v:rect id="Rectángulo 73" o:spid="_x0000_s1028" style="position:absolute;left:0;text-align:left;margin-left:13pt;margin-top:7pt;width:399pt;height:12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" filled="f" strokecolor="red" strokeweight="3pt">
                <v:stroke startarrowwidth="narrow" startarrowlength="short" endarrowwidth="narrow" endarrowlength="short" joinstyle="round"/>
                <v:textbox inset="2.53958mm,2.53958mm,2.53958mm,2.53958mm">
                  <w:txbxContent>
                    <w:p w:rsidR="00C631E9" w:rsidRDefault="00C631E9">
                      <w:pPr>
                        <w:textDirection w:val="btLr"/>
                      </w:pPr>
                    </w:p>
                  </w:txbxContent>
                </v:textbox>
              </v:rect>
            </w:pict>
          </mc:Fallback>
        </mc:AlternateContent>
      </w:r>
    </w:p>
    <w:p w:rsidR="00C631E9" w:rsidRDefault="00C631E9">
      <w:pPr>
        <w:tabs>
          <w:tab w:val="left" w:pos="7513"/>
        </w:tabs>
        <w:spacing w:before="240" w:after="240" w:line="360" w:lineRule="auto"/>
        <w:ind w:right="49"/>
        <w:jc w:val="both"/>
        <w:rPr>
          <w:rFonts w:ascii="Palatino Linotype" w:eastAsia="Palatino Linotype" w:hAnsi="Palatino Linotype" w:cs="Palatino Linotype"/>
        </w:rPr>
      </w:pPr>
    </w:p>
    <w:p w:rsidR="00C631E9" w:rsidRDefault="0099184B">
      <w:pPr>
        <w:tabs>
          <w:tab w:val="left" w:pos="7513"/>
        </w:tabs>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0" distR="0">
            <wp:extent cx="5372659" cy="3857294"/>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62294" t="41868" r="11081" b="24150"/>
                    <a:stretch>
                      <a:fillRect/>
                    </a:stretch>
                  </pic:blipFill>
                  <pic:spPr>
                    <a:xfrm>
                      <a:off x="0" y="0"/>
                      <a:ext cx="5372659" cy="3857294"/>
                    </a:xfrm>
                    <a:prstGeom prst="rect">
                      <a:avLst/>
                    </a:prstGeom>
                    <a:ln/>
                  </pic:spPr>
                </pic:pic>
              </a:graphicData>
            </a:graphic>
          </wp:inline>
        </w:drawing>
      </w:r>
    </w:p>
    <w:p w:rsidR="00C631E9" w:rsidRDefault="0099184B">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acto impugnado y razones 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u w:val="single"/>
        </w:rPr>
        <w:t>“solicito cada oficio de todos los servidores comisionados, solo proporcionaron dos y en casi todas las áreas hay personal comisionado.”</w:t>
      </w:r>
      <w:r>
        <w:rPr>
          <w:rFonts w:ascii="Palatino Linotype" w:eastAsia="Palatino Linotype" w:hAnsi="Palatino Linotype" w:cs="Palatino Linotype"/>
          <w:i/>
        </w:rPr>
        <w:t xml:space="preserve"> (Sic)</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 </w:t>
      </w:r>
      <w:r>
        <w:rPr>
          <w:rFonts w:ascii="Palatino Linotype" w:eastAsia="Palatino Linotype" w:hAnsi="Palatino Linotype" w:cs="Palatino Linotype"/>
          <w:b/>
          <w:i/>
        </w:rPr>
        <w:t xml:space="preserve">“InformeJustificado_00714_2022.pdf”, </w:t>
      </w:r>
      <w:r>
        <w:rPr>
          <w:rFonts w:ascii="Palatino Linotype" w:eastAsia="Palatino Linotype" w:hAnsi="Palatino Linotype" w:cs="Palatino Linotype"/>
        </w:rPr>
        <w:t xml:space="preserve">al respecto debe apuntarse que </w:t>
      </w:r>
      <w:r>
        <w:rPr>
          <w:rFonts w:ascii="Palatino Linotype" w:eastAsia="Palatino Linotype" w:hAnsi="Palatino Linotype" w:cs="Palatino Linotype"/>
          <w:color w:val="000000"/>
        </w:rPr>
        <w:t>ratificó su respuesta inicial</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que dio origen a la interposición del recurso de revisión que nos ocupa, además precisó que respecto al acto que se impugna, realizó una búsqueda </w:t>
      </w:r>
      <w:r>
        <w:rPr>
          <w:rFonts w:ascii="Palatino Linotype" w:eastAsia="Palatino Linotype" w:hAnsi="Palatino Linotype" w:cs="Palatino Linotype"/>
        </w:rPr>
        <w:lastRenderedPageBreak/>
        <w:t>exhaustiva y razonable, en la Dirección de Recursos Humanos, perteneciente a la Dirección General de Administración, localizando la información que proporcionó en la respuesta primigenia, como se muestra a continuación:</w:t>
      </w:r>
    </w:p>
    <w:p w:rsidR="00C631E9" w:rsidRDefault="0099184B">
      <w:pPr>
        <w:spacing w:before="240" w:after="240" w:line="360" w:lineRule="auto"/>
        <w:jc w:val="center"/>
        <w:rPr>
          <w:rFonts w:ascii="Palatino Linotype" w:eastAsia="Palatino Linotype" w:hAnsi="Palatino Linotype" w:cs="Palatino Linotype"/>
        </w:rPr>
      </w:pPr>
      <w:r>
        <w:rPr>
          <w:noProof/>
          <w:lang w:val="es-MX"/>
        </w:rPr>
        <w:drawing>
          <wp:inline distT="0" distB="0" distL="0" distR="0">
            <wp:extent cx="4378655" cy="5659643"/>
            <wp:effectExtent l="0" t="0" r="0" 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59903" t="15777" r="8010" b="10498"/>
                    <a:stretch>
                      <a:fillRect/>
                    </a:stretch>
                  </pic:blipFill>
                  <pic:spPr>
                    <a:xfrm>
                      <a:off x="0" y="0"/>
                      <a:ext cx="4378655" cy="5659643"/>
                    </a:xfrm>
                    <a:prstGeom prst="rect">
                      <a:avLst/>
                    </a:prstGeom>
                    <a:ln/>
                  </pic:spPr>
                </pic:pic>
              </a:graphicData>
            </a:graphic>
          </wp:inline>
        </w:drawing>
      </w:r>
    </w:p>
    <w:p w:rsidR="00C631E9" w:rsidRDefault="00C631E9">
      <w:pPr>
        <w:spacing w:before="240" w:after="240" w:line="360" w:lineRule="auto"/>
        <w:jc w:val="both"/>
        <w:rPr>
          <w:rFonts w:ascii="Palatino Linotype" w:eastAsia="Palatino Linotype" w:hAnsi="Palatino Linotype" w:cs="Palatino Linotype"/>
        </w:rPr>
      </w:pPr>
    </w:p>
    <w:p w:rsidR="00C631E9" w:rsidRDefault="0099184B">
      <w:pPr>
        <w:spacing w:before="240" w:after="240" w:line="360" w:lineRule="auto"/>
        <w:jc w:val="center"/>
        <w:rPr>
          <w:rFonts w:ascii="Palatino Linotype" w:eastAsia="Palatino Linotype" w:hAnsi="Palatino Linotype" w:cs="Palatino Linotype"/>
        </w:rPr>
      </w:pPr>
      <w:r>
        <w:rPr>
          <w:noProof/>
          <w:lang w:val="es-MX"/>
        </w:rPr>
        <w:lastRenderedPageBreak/>
        <w:drawing>
          <wp:inline distT="0" distB="0" distL="0" distR="0">
            <wp:extent cx="4620270" cy="6135519"/>
            <wp:effectExtent l="0" t="0" r="0" b="0"/>
            <wp:docPr id="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61099" t="17597" r="7157" b="7463"/>
                    <a:stretch>
                      <a:fillRect/>
                    </a:stretch>
                  </pic:blipFill>
                  <pic:spPr>
                    <a:xfrm>
                      <a:off x="0" y="0"/>
                      <a:ext cx="4620270" cy="6135519"/>
                    </a:xfrm>
                    <a:prstGeom prst="rect">
                      <a:avLst/>
                    </a:prstGeom>
                    <a:ln/>
                  </pic:spPr>
                </pic:pic>
              </a:graphicData>
            </a:graphic>
          </wp:inline>
        </w:drawing>
      </w:r>
      <w:r>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635000</wp:posOffset>
                </wp:positionH>
                <wp:positionV relativeFrom="paragraph">
                  <wp:posOffset>4699000</wp:posOffset>
                </wp:positionV>
                <wp:extent cx="4286250" cy="1485900"/>
                <wp:effectExtent l="0" t="0" r="0" b="0"/>
                <wp:wrapNone/>
                <wp:docPr id="75" name="Rectángulo 75"/>
                <wp:cNvGraphicFramePr/>
                <a:graphic xmlns:a="http://schemas.openxmlformats.org/drawingml/2006/main">
                  <a:graphicData uri="http://schemas.microsoft.com/office/word/2010/wordprocessingShape">
                    <wps:wsp>
                      <wps:cNvSpPr/>
                      <wps:spPr>
                        <a:xfrm>
                          <a:off x="3221925" y="3056100"/>
                          <a:ext cx="4248150" cy="1447800"/>
                        </a:xfrm>
                        <a:prstGeom prst="rect">
                          <a:avLst/>
                        </a:prstGeom>
                        <a:noFill/>
                        <a:ln w="38100" cap="flat" cmpd="sng">
                          <a:solidFill>
                            <a:srgbClr val="FF0000"/>
                          </a:solidFill>
                          <a:prstDash val="solid"/>
                          <a:round/>
                          <a:headEnd type="none" w="sm" len="sm"/>
                          <a:tailEnd type="none" w="sm" len="sm"/>
                        </a:ln>
                      </wps:spPr>
                      <wps:txbx>
                        <w:txbxContent>
                          <w:p w:rsidR="00C631E9" w:rsidRDefault="00C631E9">
                            <w:pPr>
                              <w:textDirection w:val="btLr"/>
                            </w:pPr>
                          </w:p>
                        </w:txbxContent>
                      </wps:txbx>
                      <wps:bodyPr spcFirstLastPara="1" wrap="square" lIns="91425" tIns="91425" rIns="91425" bIns="91425" anchor="ctr" anchorCtr="0">
                        <a:noAutofit/>
                      </wps:bodyPr>
                    </wps:wsp>
                  </a:graphicData>
                </a:graphic>
              </wp:anchor>
            </w:drawing>
          </mc:Choice>
          <mc:Fallback>
            <w:pict>
              <v:rect id="Rectángulo 75" o:spid="_x0000_s1029" style="position:absolute;left:0;text-align:left;margin-left:50pt;margin-top:370pt;width:337.5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" filled="f" strokecolor="red" strokeweight="3pt">
                <v:stroke startarrowwidth="narrow" startarrowlength="short" endarrowwidth="narrow" endarrowlength="short" joinstyle="round"/>
                <v:textbox inset="2.53958mm,2.53958mm,2.53958mm,2.53958mm">
                  <w:txbxContent>
                    <w:p w:rsidR="00C631E9" w:rsidRDefault="00C631E9">
                      <w:pPr>
                        <w:textDirection w:val="btLr"/>
                      </w:pPr>
                    </w:p>
                  </w:txbxContent>
                </v:textbox>
              </v:rect>
            </w:pict>
          </mc:Fallback>
        </mc:AlternateContent>
      </w:r>
    </w:p>
    <w:p w:rsidR="00C631E9" w:rsidRDefault="00C631E9">
      <w:pPr>
        <w:spacing w:before="240" w:after="240" w:line="360" w:lineRule="auto"/>
        <w:jc w:val="center"/>
        <w:rPr>
          <w:rFonts w:ascii="Palatino Linotype" w:eastAsia="Palatino Linotype" w:hAnsi="Palatino Linotype" w:cs="Palatino Linotype"/>
        </w:rPr>
      </w:pPr>
    </w:p>
    <w:p w:rsidR="00C631E9" w:rsidRDefault="00C631E9">
      <w:pPr>
        <w:spacing w:before="240" w:after="240" w:line="360" w:lineRule="auto"/>
        <w:jc w:val="center"/>
        <w:rPr>
          <w:rFonts w:ascii="Palatino Linotype" w:eastAsia="Palatino Linotype" w:hAnsi="Palatino Linotype" w:cs="Palatino Linotype"/>
        </w:rPr>
      </w:pPr>
    </w:p>
    <w:p w:rsidR="00C631E9" w:rsidRDefault="00C631E9">
      <w:pPr>
        <w:spacing w:before="240" w:after="240" w:line="360" w:lineRule="auto"/>
        <w:jc w:val="center"/>
        <w:rPr>
          <w:rFonts w:ascii="Palatino Linotype" w:eastAsia="Palatino Linotype" w:hAnsi="Palatino Linotype" w:cs="Palatino Linotype"/>
        </w:rPr>
      </w:pPr>
    </w:p>
    <w:p w:rsidR="00C631E9" w:rsidRDefault="0099184B">
      <w:pPr>
        <w:spacing w:before="240" w:after="240" w:line="360" w:lineRule="auto"/>
        <w:jc w:val="center"/>
        <w:rPr>
          <w:rFonts w:ascii="Palatino Linotype" w:eastAsia="Palatino Linotype" w:hAnsi="Palatino Linotype" w:cs="Palatino Linotype"/>
        </w:rPr>
      </w:pPr>
      <w:r>
        <w:rPr>
          <w:noProof/>
          <w:lang w:val="es-MX"/>
        </w:rPr>
        <w:lastRenderedPageBreak/>
        <w:drawing>
          <wp:inline distT="0" distB="0" distL="0" distR="0">
            <wp:extent cx="4462093" cy="5583337"/>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59393" t="17294" r="7327" b="8677"/>
                    <a:stretch>
                      <a:fillRect/>
                    </a:stretch>
                  </pic:blipFill>
                  <pic:spPr>
                    <a:xfrm>
                      <a:off x="0" y="0"/>
                      <a:ext cx="4462093" cy="5583337"/>
                    </a:xfrm>
                    <a:prstGeom prst="rect">
                      <a:avLst/>
                    </a:prstGeom>
                    <a:ln/>
                  </pic:spPr>
                </pic:pic>
              </a:graphicData>
            </a:graphic>
          </wp:inline>
        </w:drawing>
      </w:r>
      <w:r>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850900</wp:posOffset>
                </wp:positionH>
                <wp:positionV relativeFrom="paragraph">
                  <wp:posOffset>2755900</wp:posOffset>
                </wp:positionV>
                <wp:extent cx="4029075" cy="1676400"/>
                <wp:effectExtent l="0" t="0" r="0" b="0"/>
                <wp:wrapNone/>
                <wp:docPr id="72" name="Rectángulo 72"/>
                <wp:cNvGraphicFramePr/>
                <a:graphic xmlns:a="http://schemas.openxmlformats.org/drawingml/2006/main">
                  <a:graphicData uri="http://schemas.microsoft.com/office/word/2010/wordprocessingShape">
                    <wps:wsp>
                      <wps:cNvSpPr/>
                      <wps:spPr>
                        <a:xfrm>
                          <a:off x="3350513" y="2960850"/>
                          <a:ext cx="3990975" cy="1638300"/>
                        </a:xfrm>
                        <a:prstGeom prst="rect">
                          <a:avLst/>
                        </a:prstGeom>
                        <a:noFill/>
                        <a:ln w="38100" cap="flat" cmpd="sng">
                          <a:solidFill>
                            <a:srgbClr val="FF0000"/>
                          </a:solidFill>
                          <a:prstDash val="solid"/>
                          <a:round/>
                          <a:headEnd type="none" w="sm" len="sm"/>
                          <a:tailEnd type="none" w="sm" len="sm"/>
                        </a:ln>
                      </wps:spPr>
                      <wps:txbx>
                        <w:txbxContent>
                          <w:p w:rsidR="00C631E9" w:rsidRDefault="00C631E9">
                            <w:pPr>
                              <w:textDirection w:val="btLr"/>
                            </w:pPr>
                          </w:p>
                        </w:txbxContent>
                      </wps:txbx>
                      <wps:bodyPr spcFirstLastPara="1" wrap="square" lIns="91425" tIns="91425" rIns="91425" bIns="91425" anchor="ctr" anchorCtr="0">
                        <a:noAutofit/>
                      </wps:bodyPr>
                    </wps:wsp>
                  </a:graphicData>
                </a:graphic>
              </wp:anchor>
            </w:drawing>
          </mc:Choice>
          <mc:Fallback>
            <w:pict>
              <v:rect id="Rectángulo 72" o:spid="_x0000_s1030" style="position:absolute;left:0;text-align:left;margin-left:67pt;margin-top:217pt;width:317.25pt;height:1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" filled="f" strokecolor="red" strokeweight="3pt">
                <v:stroke startarrowwidth="narrow" startarrowlength="short" endarrowwidth="narrow" endarrowlength="short" joinstyle="round"/>
                <v:textbox inset="2.53958mm,2.53958mm,2.53958mm,2.53958mm">
                  <w:txbxContent>
                    <w:p w:rsidR="00C631E9" w:rsidRDefault="00C631E9">
                      <w:pPr>
                        <w:textDirection w:val="btLr"/>
                      </w:pPr>
                    </w:p>
                  </w:txbxContent>
                </v:textbox>
              </v:rect>
            </w:pict>
          </mc:Fallback>
        </mc:AlternateContent>
      </w:r>
    </w:p>
    <w:p w:rsidR="00C631E9" w:rsidRDefault="0099184B">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rPr>
        <w:t>Por lo antes expuesto, es preciso señalar que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se inconformó, en lo medular porque: </w:t>
      </w:r>
      <w:r>
        <w:rPr>
          <w:rFonts w:ascii="Palatino Linotype" w:eastAsia="Palatino Linotype" w:hAnsi="Palatino Linotype" w:cs="Palatino Linotype"/>
          <w:i/>
          <w:color w:val="000000"/>
          <w:sz w:val="22"/>
          <w:szCs w:val="22"/>
        </w:rPr>
        <w:t>“solicito cada oficio de todos los servidores comisionados, solo proporcionaron dos y en casi todas las áreas hay personal comisionado.”</w:t>
      </w:r>
      <w:r>
        <w:rPr>
          <w:rFonts w:ascii="Palatino Linotype" w:eastAsia="Palatino Linotype" w:hAnsi="Palatino Linotype" w:cs="Palatino Linotype"/>
          <w:color w:val="000000"/>
          <w:sz w:val="22"/>
          <w:szCs w:val="22"/>
        </w:rPr>
        <w:t xml:space="preserve"> (Sic)</w:t>
      </w:r>
    </w:p>
    <w:p w:rsidR="00C631E9" w:rsidRDefault="00C631E9">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2"/>
          <w:szCs w:val="22"/>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resulta oportuno mencionar que de los motivos de inconformidad,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solo se inconforma por el punto relativo a los oficios de los servidores públicos comisionados, por lo que la parte de la respuesta que no fue impugnada debe declararse consentida por el hoy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ante la falta de impugnación eficaz. </w:t>
      </w:r>
    </w:p>
    <w:p w:rsidR="00C631E9" w:rsidRDefault="00C631E9">
      <w:pPr>
        <w:spacing w:line="360" w:lineRule="auto"/>
        <w:jc w:val="both"/>
        <w:rPr>
          <w:rFonts w:ascii="Palatino Linotype" w:eastAsia="Palatino Linotype" w:hAnsi="Palatino Linotype" w:cs="Palatino Linotype"/>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C631E9" w:rsidRDefault="00C631E9">
      <w:pPr>
        <w:spacing w:line="360" w:lineRule="auto"/>
        <w:jc w:val="both"/>
        <w:rPr>
          <w:rFonts w:ascii="Palatino Linotype" w:eastAsia="Palatino Linotype" w:hAnsi="Palatino Linotype" w:cs="Palatino Linotype"/>
        </w:rPr>
      </w:pPr>
    </w:p>
    <w:p w:rsidR="00C631E9" w:rsidRDefault="0099184B">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631E9" w:rsidRDefault="00C631E9">
      <w:pPr>
        <w:spacing w:line="360" w:lineRule="auto"/>
        <w:jc w:val="both"/>
        <w:rPr>
          <w:rFonts w:ascii="Palatino Linotype" w:eastAsia="Palatino Linotype" w:hAnsi="Palatino Linotype" w:cs="Palatino Linotype"/>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no expresó razón o motivo de inconformidad en contra de todos los rubros solicitados; por lo que, debe declararse atendido pues se entiende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al no contravenir la misma.</w:t>
      </w:r>
    </w:p>
    <w:p w:rsidR="00C631E9" w:rsidRDefault="00C631E9">
      <w:pPr>
        <w:spacing w:line="360" w:lineRule="auto"/>
        <w:jc w:val="both"/>
        <w:rPr>
          <w:rFonts w:ascii="Palatino Linotype" w:eastAsia="Palatino Linotype" w:hAnsi="Palatino Linotype" w:cs="Palatino Linotype"/>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la parte de la respuesta que no fue impugnada debe declararse consentida, toda vez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rsidR="00C631E9" w:rsidRDefault="00C631E9">
      <w:pPr>
        <w:spacing w:line="360" w:lineRule="auto"/>
        <w:jc w:val="both"/>
        <w:rPr>
          <w:rFonts w:ascii="Palatino Linotype" w:eastAsia="Palatino Linotype" w:hAnsi="Palatino Linotype" w:cs="Palatino Linotype"/>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rsidR="00C631E9" w:rsidRDefault="00C631E9">
      <w:pPr>
        <w:spacing w:line="360" w:lineRule="auto"/>
        <w:jc w:val="both"/>
        <w:rPr>
          <w:rFonts w:ascii="Palatino Linotype" w:eastAsia="Palatino Linotype" w:hAnsi="Palatino Linotype" w:cs="Palatino Linotype"/>
        </w:rPr>
      </w:pPr>
    </w:p>
    <w:p w:rsidR="00C631E9" w:rsidRDefault="0099184B" w:rsidP="00C57C3E">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631E9" w:rsidRDefault="00C631E9">
      <w:pPr>
        <w:spacing w:line="276" w:lineRule="auto"/>
        <w:rPr>
          <w:rFonts w:ascii="Palatino Linotype" w:eastAsia="Palatino Linotype" w:hAnsi="Palatino Linotype" w:cs="Palatino Linotype"/>
        </w:rPr>
      </w:pPr>
    </w:p>
    <w:p w:rsidR="00C631E9" w:rsidRDefault="0099184B">
      <w:pP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lo antes expuesto, este Instituto procede a analizar </w:t>
      </w:r>
      <w:r>
        <w:rPr>
          <w:rFonts w:ascii="Palatino Linotype" w:eastAsia="Palatino Linotype" w:hAnsi="Palatino Linotype" w:cs="Palatino Linotype"/>
        </w:rPr>
        <w:t xml:space="preserve">la respuesta a </w:t>
      </w:r>
      <w:r>
        <w:rPr>
          <w:rFonts w:ascii="Palatino Linotype" w:eastAsia="Palatino Linotype" w:hAnsi="Palatino Linotype" w:cs="Palatino Linotype"/>
          <w:color w:val="000000"/>
        </w:rPr>
        <w:t xml:space="preserve">la solicitud materia de la presente Resolución, </w:t>
      </w:r>
      <w:r>
        <w:rPr>
          <w:rFonts w:ascii="Palatino Linotype" w:eastAsia="Palatino Linotype" w:hAnsi="Palatino Linotype" w:cs="Palatino Linotype"/>
        </w:rPr>
        <w:t>particularmente respecto al</w:t>
      </w:r>
      <w:r>
        <w:rPr>
          <w:rFonts w:ascii="Palatino Linotype" w:eastAsia="Palatino Linotype" w:hAnsi="Palatino Linotype" w:cs="Palatino Linotype"/>
          <w:color w:val="000000"/>
        </w:rPr>
        <w:t xml:space="preserve"> punto 1 de la solicitud de información en la que </w:t>
      </w:r>
      <w:r>
        <w:rPr>
          <w:rFonts w:ascii="Palatino Linotype" w:eastAsia="Palatino Linotype" w:hAnsi="Palatino Linotype" w:cs="Palatino Linotype"/>
        </w:rPr>
        <w:t xml:space="preserve">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pidió:</w:t>
      </w:r>
      <w:r>
        <w:rPr>
          <w:rFonts w:ascii="Palatino Linotype" w:eastAsia="Palatino Linotype" w:hAnsi="Palatino Linotype" w:cs="Palatino Linotype"/>
          <w:i/>
          <w:color w:val="000000"/>
        </w:rPr>
        <w:t xml:space="preserve"> </w:t>
      </w: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color w:val="000000"/>
        </w:rPr>
        <w:lastRenderedPageBreak/>
        <w:t xml:space="preserve">“De la administración vigente, requiero obtener relación de todo el personal comisionado es decir personas que estén en otras áreas que no sea la de su adscripción, asimismo me entreguen oficio de </w:t>
      </w:r>
      <w:proofErr w:type="gramStart"/>
      <w:r>
        <w:rPr>
          <w:rFonts w:ascii="Palatino Linotype" w:eastAsia="Palatino Linotype" w:hAnsi="Palatino Linotype" w:cs="Palatino Linotype"/>
          <w:i/>
          <w:color w:val="000000"/>
        </w:rPr>
        <w:t>comisión …</w:t>
      </w:r>
      <w:proofErr w:type="gram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(Sic)</w:t>
      </w:r>
    </w:p>
    <w:p w:rsidR="00C631E9" w:rsidRDefault="00C631E9">
      <w:pPr>
        <w:spacing w:line="360" w:lineRule="auto"/>
        <w:jc w:val="both"/>
        <w:rPr>
          <w:rFonts w:ascii="Palatino Linotype" w:eastAsia="Palatino Linotype" w:hAnsi="Palatino Linotype" w:cs="Palatino Linotype"/>
        </w:rPr>
      </w:pPr>
    </w:p>
    <w:p w:rsidR="00C631E9" w:rsidRDefault="009918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w:t>
      </w:r>
      <w:r>
        <w:rPr>
          <w:rFonts w:ascii="Palatino Linotype" w:eastAsia="Palatino Linotype" w:hAnsi="Palatino Linotype" w:cs="Palatino Linotype"/>
          <w:color w:val="000000"/>
        </w:rPr>
        <w:t xml:space="preserve">or lo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hace entrega de la respuesta en los siguientes términos</w:t>
      </w:r>
      <w:r>
        <w:rPr>
          <w:rFonts w:ascii="Palatino Linotype" w:eastAsia="Palatino Linotype" w:hAnsi="Palatino Linotype" w:cs="Palatino Linotype"/>
        </w:rPr>
        <w:t xml:space="preserve">: </w:t>
      </w:r>
    </w:p>
    <w:p w:rsidR="00C57C3E" w:rsidRDefault="00C57C3E">
      <w:pPr>
        <w:spacing w:line="360" w:lineRule="auto"/>
        <w:jc w:val="both"/>
        <w:rPr>
          <w:rFonts w:ascii="Palatino Linotype" w:eastAsia="Palatino Linotype" w:hAnsi="Palatino Linotype" w:cs="Palatino Linotype"/>
        </w:rPr>
      </w:pPr>
    </w:p>
    <w:p w:rsidR="00C631E9" w:rsidRDefault="0099184B" w:rsidP="00C57C3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al  Instituto Municipal de Cultura Física y Deporte de Toluca, así como del Instituto Municipal de la Mujer de Toluca, manifestaron no contar con personal comisionado.</w:t>
      </w:r>
    </w:p>
    <w:p w:rsidR="00C631E9" w:rsidRDefault="00C631E9">
      <w:pPr>
        <w:spacing w:line="360" w:lineRule="auto"/>
        <w:ind w:left="720"/>
        <w:jc w:val="both"/>
        <w:rPr>
          <w:rFonts w:ascii="Palatino Linotype" w:eastAsia="Palatino Linotype" w:hAnsi="Palatino Linotype" w:cs="Palatino Linotype"/>
        </w:rPr>
      </w:pPr>
    </w:p>
    <w:p w:rsidR="0070076B" w:rsidRDefault="0099184B" w:rsidP="0070076B">
      <w:pPr>
        <w:spacing w:line="360" w:lineRule="auto"/>
        <w:jc w:val="both"/>
        <w:rPr>
          <w:rFonts w:ascii="Palatino Linotype" w:eastAsia="Palatino Linotype" w:hAnsi="Palatino Linotype" w:cs="Palatino Linotype"/>
        </w:rPr>
      </w:pPr>
      <w:r w:rsidRPr="0070076B">
        <w:rPr>
          <w:rFonts w:ascii="Palatino Linotype" w:eastAsia="Palatino Linotype" w:hAnsi="Palatino Linotype" w:cs="Palatino Linotype"/>
        </w:rPr>
        <w:t xml:space="preserve">Lo que se traduce en un hecho </w:t>
      </w:r>
      <w:r w:rsidR="0070076B" w:rsidRPr="0070076B">
        <w:rPr>
          <w:rFonts w:ascii="Palatino Linotype" w:eastAsia="Palatino Linotype" w:hAnsi="Palatino Linotype" w:cs="Palatino Linotype"/>
        </w:rPr>
        <w:t>negativo, en este sentido, cabe traer a cuenta lo previsto por el artículo 12, párrafo segundo de la Ley de Transparencia y Acceso a la Información Pública del Estado de México y Municipios que la letra establece:</w:t>
      </w:r>
    </w:p>
    <w:p w:rsidR="0070076B" w:rsidRPr="0070076B" w:rsidRDefault="0070076B" w:rsidP="0070076B">
      <w:pPr>
        <w:spacing w:line="360" w:lineRule="auto"/>
        <w:jc w:val="both"/>
        <w:rPr>
          <w:rFonts w:ascii="Palatino Linotype" w:eastAsia="Palatino Linotype" w:hAnsi="Palatino Linotype" w:cs="Palatino Linotype"/>
        </w:rPr>
      </w:pPr>
    </w:p>
    <w:p w:rsidR="0070076B" w:rsidRPr="0070076B" w:rsidRDefault="0070076B" w:rsidP="0070076B">
      <w:pPr>
        <w:spacing w:line="276" w:lineRule="auto"/>
        <w:ind w:left="1134" w:right="851"/>
        <w:jc w:val="both"/>
        <w:rPr>
          <w:rFonts w:ascii="Palatino Linotype" w:eastAsia="Palatino Linotype" w:hAnsi="Palatino Linotype" w:cs="Palatino Linotype"/>
          <w:i/>
          <w:sz w:val="22"/>
        </w:rPr>
      </w:pPr>
      <w:r w:rsidRPr="0070076B">
        <w:rPr>
          <w:rFonts w:ascii="Palatino Linotype" w:eastAsia="Palatino Linotype" w:hAnsi="Palatino Linotype" w:cs="Palatino Linotype"/>
          <w:i/>
          <w:sz w:val="22"/>
        </w:rPr>
        <w:t>“</w:t>
      </w:r>
      <w:r w:rsidRPr="0070076B">
        <w:rPr>
          <w:rFonts w:ascii="Palatino Linotype" w:eastAsia="Palatino Linotype" w:hAnsi="Palatino Linotype" w:cs="Palatino Linotype"/>
          <w:b/>
          <w:i/>
          <w:sz w:val="22"/>
        </w:rPr>
        <w:t>Artículo 12</w:t>
      </w:r>
      <w:r w:rsidRPr="0070076B">
        <w:rPr>
          <w:rFonts w:ascii="Palatino Linotype" w:eastAsia="Palatino Linotype" w:hAnsi="Palatino Linotype" w:cs="Palatino Linotype"/>
          <w:i/>
          <w:sz w:val="22"/>
        </w:rPr>
        <w:t xml:space="preserve">. … </w:t>
      </w:r>
    </w:p>
    <w:p w:rsidR="0070076B" w:rsidRPr="0070076B" w:rsidRDefault="0070076B" w:rsidP="0070076B">
      <w:pPr>
        <w:spacing w:line="276" w:lineRule="auto"/>
        <w:ind w:left="1134" w:right="851"/>
        <w:jc w:val="both"/>
        <w:rPr>
          <w:rFonts w:ascii="Palatino Linotype" w:eastAsia="Palatino Linotype" w:hAnsi="Palatino Linotype" w:cs="Palatino Linotype"/>
          <w:i/>
          <w:sz w:val="22"/>
        </w:rPr>
      </w:pPr>
      <w:r w:rsidRPr="0070076B">
        <w:rPr>
          <w:rFonts w:ascii="Palatino Linotype" w:eastAsia="Palatino Linotype" w:hAnsi="Palatino Linotype" w:cs="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w:t>
      </w:r>
      <w:r w:rsidRPr="0070076B">
        <w:rPr>
          <w:rFonts w:ascii="Palatino Linotype" w:eastAsia="Palatino Linotype" w:hAnsi="Palatino Linotype" w:cs="Palatino Linotype"/>
          <w:b/>
          <w:i/>
          <w:sz w:val="22"/>
        </w:rPr>
        <w:t>no estarán obligados a generarla,</w:t>
      </w:r>
      <w:r w:rsidRPr="0070076B">
        <w:rPr>
          <w:rFonts w:ascii="Palatino Linotype" w:eastAsia="Palatino Linotype" w:hAnsi="Palatino Linotype" w:cs="Palatino Linotype"/>
          <w:i/>
          <w:sz w:val="22"/>
        </w:rPr>
        <w:t xml:space="preserve"> resumirla, efectuar cálculos o practicar investigaciones.”</w:t>
      </w:r>
    </w:p>
    <w:p w:rsidR="0070076B" w:rsidRPr="0070076B" w:rsidRDefault="0070076B" w:rsidP="0070076B">
      <w:pPr>
        <w:spacing w:line="360" w:lineRule="auto"/>
        <w:jc w:val="both"/>
        <w:rPr>
          <w:rFonts w:ascii="Palatino Linotype" w:eastAsia="Palatino Linotype" w:hAnsi="Palatino Linotype" w:cs="Palatino Linotype"/>
        </w:rPr>
      </w:pPr>
    </w:p>
    <w:p w:rsidR="0070076B" w:rsidRDefault="0070076B" w:rsidP="0070076B">
      <w:pPr>
        <w:spacing w:line="360" w:lineRule="auto"/>
        <w:jc w:val="both"/>
        <w:rPr>
          <w:rFonts w:ascii="Palatino Linotype" w:eastAsia="Palatino Linotype" w:hAnsi="Palatino Linotype" w:cs="Palatino Linotype"/>
        </w:rPr>
      </w:pPr>
      <w:r w:rsidRPr="0070076B">
        <w:rPr>
          <w:rFonts w:ascii="Palatino Linotype" w:eastAsia="Palatino Linotype" w:hAnsi="Palatino Linotype" w:cs="Palatino Linotype"/>
        </w:rPr>
        <w:t xml:space="preserve">De manera que interpretado a contrario sensu, se actualiza el supuesto de un hecho de naturaleza negativa, el cual no puede acreditarse documentalmente, ya que no </w:t>
      </w:r>
      <w:r w:rsidRPr="0070076B">
        <w:rPr>
          <w:rFonts w:ascii="Palatino Linotype" w:eastAsia="Palatino Linotype" w:hAnsi="Palatino Linotype" w:cs="Palatino Linotype"/>
        </w:rPr>
        <w:lastRenderedPageBreak/>
        <w:t xml:space="preserve">puede probarse un hecho negativo por ser lógica y materialmente imposible, discernimiento que encuentra apoyo en la siguiente tesis: </w:t>
      </w:r>
    </w:p>
    <w:p w:rsidR="00C57C3E" w:rsidRPr="0070076B" w:rsidRDefault="00C57C3E" w:rsidP="0070076B">
      <w:pPr>
        <w:spacing w:line="360" w:lineRule="auto"/>
        <w:jc w:val="both"/>
        <w:rPr>
          <w:rFonts w:ascii="Palatino Linotype" w:eastAsia="Palatino Linotype" w:hAnsi="Palatino Linotype" w:cs="Palatino Linotype"/>
        </w:rPr>
      </w:pPr>
    </w:p>
    <w:p w:rsidR="0070076B" w:rsidRDefault="0070076B" w:rsidP="0070076B">
      <w:pPr>
        <w:spacing w:line="276" w:lineRule="auto"/>
        <w:ind w:left="1134" w:right="851"/>
        <w:jc w:val="both"/>
        <w:rPr>
          <w:rFonts w:ascii="Palatino Linotype" w:eastAsia="Palatino Linotype" w:hAnsi="Palatino Linotype" w:cs="Palatino Linotype"/>
          <w:i/>
          <w:sz w:val="22"/>
        </w:rPr>
      </w:pPr>
      <w:r w:rsidRPr="0070076B">
        <w:rPr>
          <w:rFonts w:ascii="Palatino Linotype" w:eastAsia="Palatino Linotype" w:hAnsi="Palatino Linotype" w:cs="Palatino Linotype"/>
          <w:i/>
          <w:sz w:val="22"/>
        </w:rPr>
        <w:t>“</w:t>
      </w:r>
      <w:r w:rsidRPr="00DC18F9">
        <w:rPr>
          <w:rFonts w:ascii="Palatino Linotype" w:eastAsia="Palatino Linotype" w:hAnsi="Palatino Linotype" w:cs="Palatino Linotype"/>
          <w:b/>
          <w:i/>
          <w:sz w:val="22"/>
        </w:rPr>
        <w:t>HECHOS NEGATIVOS, NO SON SUSCEPTIBLES DE DEMOSTRACIÓN.</w:t>
      </w:r>
      <w:r w:rsidRPr="0070076B">
        <w:rPr>
          <w:rFonts w:ascii="Palatino Linotype" w:eastAsia="Palatino Linotype" w:hAnsi="Palatino Linotype" w:cs="Palatino Linotype"/>
          <w:i/>
          <w:sz w:val="22"/>
        </w:rPr>
        <w:t xml:space="preserve"> </w:t>
      </w:r>
    </w:p>
    <w:p w:rsidR="0070076B" w:rsidRPr="0070076B" w:rsidRDefault="0070076B" w:rsidP="0070076B">
      <w:pPr>
        <w:spacing w:line="276" w:lineRule="auto"/>
        <w:ind w:left="1134" w:right="851"/>
        <w:jc w:val="both"/>
        <w:rPr>
          <w:rFonts w:ascii="Palatino Linotype" w:eastAsia="Palatino Linotype" w:hAnsi="Palatino Linotype" w:cs="Palatino Linotype"/>
          <w:i/>
          <w:sz w:val="22"/>
        </w:rPr>
      </w:pPr>
    </w:p>
    <w:p w:rsidR="0070076B" w:rsidRDefault="0070076B" w:rsidP="0070076B">
      <w:pPr>
        <w:spacing w:line="276" w:lineRule="auto"/>
        <w:ind w:left="1134" w:right="851"/>
        <w:jc w:val="both"/>
        <w:rPr>
          <w:rFonts w:ascii="Palatino Linotype" w:eastAsia="Palatino Linotype" w:hAnsi="Palatino Linotype" w:cs="Palatino Linotype"/>
          <w:i/>
          <w:sz w:val="22"/>
        </w:rPr>
      </w:pPr>
      <w:r w:rsidRPr="0070076B">
        <w:rPr>
          <w:rFonts w:ascii="Palatino Linotype" w:eastAsia="Palatino Linotype" w:hAnsi="Palatino Linotype" w:cs="Palatino Linotype"/>
          <w:i/>
          <w:sz w:val="22"/>
        </w:rPr>
        <w:t>Tratándose de un hecho negativo, el Juez no tiene por qué invocar prueba alguna de la que se desprenda, ya que es bien sabido que esta clase de hechos no son susceptibles de demostración.</w:t>
      </w:r>
    </w:p>
    <w:p w:rsidR="0070076B" w:rsidRPr="0070076B" w:rsidRDefault="0070076B" w:rsidP="0070076B">
      <w:pPr>
        <w:spacing w:line="276" w:lineRule="auto"/>
        <w:ind w:left="1134" w:right="851"/>
        <w:jc w:val="both"/>
        <w:rPr>
          <w:rFonts w:ascii="Palatino Linotype" w:eastAsia="Palatino Linotype" w:hAnsi="Palatino Linotype" w:cs="Palatino Linotype"/>
          <w:i/>
          <w:sz w:val="22"/>
        </w:rPr>
      </w:pPr>
    </w:p>
    <w:p w:rsidR="0070076B" w:rsidRPr="0070076B" w:rsidRDefault="0070076B" w:rsidP="0070076B">
      <w:pPr>
        <w:spacing w:line="276" w:lineRule="auto"/>
        <w:ind w:left="1134" w:right="851"/>
        <w:jc w:val="both"/>
        <w:rPr>
          <w:rFonts w:ascii="Palatino Linotype" w:eastAsia="Palatino Linotype" w:hAnsi="Palatino Linotype" w:cs="Palatino Linotype"/>
          <w:i/>
          <w:sz w:val="22"/>
        </w:rPr>
      </w:pPr>
      <w:r w:rsidRPr="0070076B">
        <w:rPr>
          <w:rFonts w:ascii="Palatino Linotype" w:eastAsia="Palatino Linotype" w:hAnsi="Palatino Linotype" w:cs="Palatino Linotype"/>
          <w:i/>
          <w:sz w:val="22"/>
        </w:rPr>
        <w:t>Amparo en revisión 2022/61. José García Florín (</w:t>
      </w:r>
      <w:bookmarkStart w:id="4" w:name="_GoBack"/>
      <w:bookmarkEnd w:id="4"/>
      <w:r w:rsidRPr="0070076B">
        <w:rPr>
          <w:rFonts w:ascii="Palatino Linotype" w:eastAsia="Palatino Linotype" w:hAnsi="Palatino Linotype" w:cs="Palatino Linotype"/>
          <w:i/>
          <w:sz w:val="22"/>
        </w:rPr>
        <w:t>Menor). 9 de octubre de 1961. Cinco votos. Ponente: José Rivera Pérez Campos.” (Sic)</w:t>
      </w:r>
    </w:p>
    <w:p w:rsidR="0070076B" w:rsidRDefault="0070076B" w:rsidP="0070076B">
      <w:pPr>
        <w:spacing w:line="360" w:lineRule="auto"/>
        <w:jc w:val="both"/>
        <w:rPr>
          <w:rFonts w:ascii="Palatino Linotype" w:eastAsia="Palatino Linotype" w:hAnsi="Palatino Linotype" w:cs="Palatino Linotype"/>
        </w:rPr>
      </w:pPr>
    </w:p>
    <w:p w:rsidR="00C631E9" w:rsidRPr="0070076B" w:rsidRDefault="0070076B">
      <w:pPr>
        <w:spacing w:line="360" w:lineRule="auto"/>
        <w:jc w:val="both"/>
        <w:rPr>
          <w:rFonts w:ascii="Palatino Linotype" w:eastAsia="Palatino Linotype" w:hAnsi="Palatino Linotype" w:cs="Palatino Linotype"/>
          <w:shd w:val="clear" w:color="auto" w:fill="FF9900"/>
        </w:rPr>
      </w:pPr>
      <w:r w:rsidRPr="0070076B">
        <w:rPr>
          <w:rFonts w:ascii="Palatino Linotype" w:eastAsia="Palatino Linotype" w:hAnsi="Palatino Linotype" w:cs="Palatino Linotype"/>
        </w:rPr>
        <w:t>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w:t>
      </w:r>
    </w:p>
    <w:p w:rsidR="00C631E9" w:rsidRDefault="00C631E9">
      <w:pPr>
        <w:spacing w:line="360" w:lineRule="auto"/>
        <w:jc w:val="both"/>
        <w:rPr>
          <w:rFonts w:ascii="Palatino Linotype" w:eastAsia="Palatino Linotype" w:hAnsi="Palatino Linotype" w:cs="Palatino Linotype"/>
        </w:rPr>
      </w:pPr>
    </w:p>
    <w:p w:rsidR="00C631E9" w:rsidRDefault="0099184B" w:rsidP="000372C3">
      <w:pPr>
        <w:spacing w:line="360" w:lineRule="auto"/>
        <w:jc w:val="both"/>
        <w:rPr>
          <w:rFonts w:ascii="Palatino Linotype" w:eastAsia="Palatino Linotype" w:hAnsi="Palatino Linotype" w:cs="Palatino Linotype"/>
        </w:rPr>
      </w:pPr>
      <w:r w:rsidRPr="000372C3">
        <w:rPr>
          <w:rFonts w:ascii="Palatino Linotype" w:eastAsia="Palatino Linotype" w:hAnsi="Palatino Linotype" w:cs="Palatino Linotype"/>
        </w:rPr>
        <w:t xml:space="preserve">Por lo que hace a la información </w:t>
      </w:r>
      <w:r w:rsidR="0070076B" w:rsidRPr="000372C3">
        <w:rPr>
          <w:rFonts w:ascii="Palatino Linotype" w:eastAsia="Palatino Linotype" w:hAnsi="Palatino Linotype" w:cs="Palatino Linotype"/>
        </w:rPr>
        <w:t>emiti</w:t>
      </w:r>
      <w:r w:rsidR="000372C3">
        <w:rPr>
          <w:rFonts w:ascii="Palatino Linotype" w:eastAsia="Palatino Linotype" w:hAnsi="Palatino Linotype" w:cs="Palatino Linotype"/>
        </w:rPr>
        <w:t>da por</w:t>
      </w:r>
      <w:r w:rsidRPr="000372C3">
        <w:rPr>
          <w:rFonts w:ascii="Palatino Linotype" w:eastAsia="Palatino Linotype" w:hAnsi="Palatino Linotype" w:cs="Palatino Linotype"/>
        </w:rPr>
        <w:t xml:space="preserve"> la </w:t>
      </w:r>
      <w:r w:rsidRPr="000372C3">
        <w:rPr>
          <w:rFonts w:ascii="Palatino Linotype" w:eastAsia="Palatino Linotype" w:hAnsi="Palatino Linotype" w:cs="Palatino Linotype"/>
          <w:color w:val="000000"/>
        </w:rPr>
        <w:t>Dirección General de Administración, remitió dos oficios</w:t>
      </w:r>
      <w:r w:rsidR="000372C3" w:rsidRPr="000372C3">
        <w:rPr>
          <w:rFonts w:ascii="Palatino Linotype" w:eastAsia="Palatino Linotype" w:hAnsi="Palatino Linotype" w:cs="Palatino Linotype"/>
        </w:rPr>
        <w:t xml:space="preserve">, el primero número TM/000150/2022, de fecha trece de enero de dos mil veintidós, suscrito y signado por el Tesorero Municipal, en el cual da a conocer la comisión de un servidor público, y el segundo  número DGMA/027/2022, de fecha siete de enero de dos mil veintidós, suscrito y signado por el Director General de Medio Ambiente, en el cual da a conocer la </w:t>
      </w:r>
      <w:r w:rsidR="000372C3">
        <w:rPr>
          <w:rFonts w:ascii="Palatino Linotype" w:eastAsia="Palatino Linotype" w:hAnsi="Palatino Linotype" w:cs="Palatino Linotype"/>
        </w:rPr>
        <w:t xml:space="preserve">comisión de un servidor público, </w:t>
      </w:r>
      <w:r>
        <w:rPr>
          <w:rFonts w:ascii="Palatino Linotype" w:eastAsia="Palatino Linotype" w:hAnsi="Palatino Linotype" w:cs="Palatino Linotype"/>
        </w:rPr>
        <w:t xml:space="preserve">asimismo en el informe justificado ratifica su respuesta y señala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que en los registros físicos y electrónicos que obran en la Dirección de Recursos Humanos es la única información con que se cuenta</w:t>
      </w:r>
      <w:r>
        <w:rPr>
          <w:rFonts w:ascii="Palatino Linotype" w:eastAsia="Palatino Linotype" w:hAnsi="Palatino Linotype" w:cs="Palatino Linotype"/>
        </w:rPr>
        <w:t xml:space="preserve">. </w:t>
      </w:r>
    </w:p>
    <w:p w:rsidR="00C631E9" w:rsidRDefault="00C631E9">
      <w:pPr>
        <w:spacing w:line="360" w:lineRule="auto"/>
        <w:ind w:left="720"/>
        <w:jc w:val="both"/>
        <w:rPr>
          <w:rFonts w:ascii="Palatino Linotype" w:eastAsia="Palatino Linotype" w:hAnsi="Palatino Linotype" w:cs="Palatino Linotype"/>
        </w:rPr>
      </w:pPr>
    </w:p>
    <w:p w:rsidR="00C631E9" w:rsidRDefault="0099184B">
      <w:pPr>
        <w:tabs>
          <w:tab w:val="left" w:pos="4962"/>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resulta necesario traer a colación, </w:t>
      </w:r>
      <w:r>
        <w:rPr>
          <w:rFonts w:ascii="Palatino Linotype" w:eastAsia="Palatino Linotype" w:hAnsi="Palatino Linotype" w:cs="Palatino Linotype"/>
        </w:rPr>
        <w:t xml:space="preserve">que la Dirección General de Administración es la unidad administrativa competente para atender el requerimiento, en virtud de los artículos 3.43, 3.44, 3.45 del Código Reglamentario del Ayuntamiento de Toluca, mismos que se insertan a continuación para mejor proveer del presente análisis: </w:t>
      </w:r>
    </w:p>
    <w:p w:rsidR="00C631E9" w:rsidRDefault="0099184B">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3.43. La o el titular de la Dirección General de Administración, tiene las siguientes atribuciones:</w:t>
      </w:r>
      <w:r>
        <w:rPr>
          <w:rFonts w:ascii="Palatino Linotype" w:eastAsia="Palatino Linotype" w:hAnsi="Palatino Linotype" w:cs="Palatino Linotype"/>
          <w:i/>
          <w:sz w:val="22"/>
          <w:szCs w:val="22"/>
        </w:rPr>
        <w:t xml:space="preserve"> </w:t>
      </w:r>
    </w:p>
    <w:p w:rsidR="00C631E9" w:rsidRDefault="0099184B">
      <w:p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C631E9" w:rsidRDefault="0099184B">
      <w:pPr>
        <w:pBdr>
          <w:top w:val="nil"/>
          <w:left w:val="nil"/>
          <w:bottom w:val="nil"/>
          <w:right w:val="nil"/>
          <w:between w:val="nil"/>
        </w:pBdr>
        <w:spacing w:before="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Autorizar las altas, bajas, cambios, permisos, licencias</w:t>
      </w:r>
      <w:r>
        <w:rPr>
          <w:rFonts w:ascii="Palatino Linotype" w:eastAsia="Palatino Linotype" w:hAnsi="Palatino Linotype" w:cs="Palatino Linotype"/>
          <w:b/>
          <w:i/>
          <w:color w:val="000000"/>
          <w:sz w:val="22"/>
          <w:szCs w:val="22"/>
          <w:u w:val="single"/>
        </w:rPr>
        <w:t>, comisiones del personal</w:t>
      </w:r>
      <w:r>
        <w:rPr>
          <w:rFonts w:ascii="Palatino Linotype" w:eastAsia="Palatino Linotype" w:hAnsi="Palatino Linotype" w:cs="Palatino Linotype"/>
          <w:i/>
          <w:color w:val="000000"/>
          <w:sz w:val="22"/>
          <w:szCs w:val="22"/>
        </w:rPr>
        <w:t>, entre otras, para su trámite y efectos;</w:t>
      </w:r>
    </w:p>
    <w:p w:rsidR="00C631E9" w:rsidRDefault="0099184B">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 xml:space="preserve">Artículo 3.44. La Dirección General de Administración, para el cumplimiento de sus atribuciones, se auxiliará de </w:t>
      </w:r>
      <w:r>
        <w:rPr>
          <w:rFonts w:ascii="Palatino Linotype" w:eastAsia="Palatino Linotype" w:hAnsi="Palatino Linotype" w:cs="Palatino Linotype"/>
          <w:i/>
          <w:color w:val="000000"/>
          <w:sz w:val="22"/>
          <w:szCs w:val="22"/>
        </w:rPr>
        <w:t>la Dirección de Recursos Humanos, de la Dirección de Recursos Materiales, de la Dirección de Servicios Generales y de la Dirección de Tecnologías de la Información y Gobierno Digital.</w:t>
      </w:r>
    </w:p>
    <w:p w:rsidR="00C631E9" w:rsidRDefault="00C631E9">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p>
    <w:p w:rsidR="00C631E9" w:rsidRDefault="0099184B">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3.45</w:t>
      </w:r>
      <w:r>
        <w:rPr>
          <w:rFonts w:ascii="Palatino Linotype" w:eastAsia="Palatino Linotype" w:hAnsi="Palatino Linotype" w:cs="Palatino Linotype"/>
          <w:i/>
          <w:color w:val="000000"/>
          <w:sz w:val="22"/>
          <w:szCs w:val="22"/>
        </w:rPr>
        <w:t>. La o el titular de la Dirección de Recursos Humanos cuenta con las siguientes atribuciones:</w:t>
      </w:r>
    </w:p>
    <w:p w:rsidR="00C631E9" w:rsidRDefault="0099184B">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C631E9" w:rsidRDefault="0099184B">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w:t>
      </w:r>
      <w:r>
        <w:rPr>
          <w:rFonts w:ascii="Palatino Linotype" w:eastAsia="Palatino Linotype" w:hAnsi="Palatino Linotype" w:cs="Palatino Linotype"/>
          <w:b/>
          <w:i/>
          <w:color w:val="000000"/>
          <w:sz w:val="22"/>
          <w:szCs w:val="22"/>
        </w:rPr>
        <w:t>Aplicar las disposiciones legales laborales que rigen al personal del Ayuntamiento;</w:t>
      </w:r>
    </w:p>
    <w:p w:rsidR="00C631E9" w:rsidRDefault="0099184B">
      <w:pPr>
        <w:pBdr>
          <w:top w:val="nil"/>
          <w:left w:val="nil"/>
          <w:bottom w:val="nil"/>
          <w:right w:val="nil"/>
          <w:between w:val="nil"/>
        </w:pBdr>
        <w:spacing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w:t>
      </w:r>
      <w:r>
        <w:rPr>
          <w:rFonts w:ascii="Palatino Linotype" w:eastAsia="Palatino Linotype" w:hAnsi="Palatino Linotype" w:cs="Palatino Linotype"/>
          <w:b/>
          <w:i/>
          <w:color w:val="000000"/>
          <w:sz w:val="22"/>
          <w:szCs w:val="22"/>
        </w:rPr>
        <w:t>Registrar las altas, bajas, cambios de categoría y adscripción, permisos y licencias por incapacidad, entre otras, del personal, y su correcta aplicación;</w:t>
      </w:r>
    </w:p>
    <w:p w:rsidR="00C631E9" w:rsidRDefault="0099184B">
      <w:pPr>
        <w:pBdr>
          <w:top w:val="nil"/>
          <w:left w:val="nil"/>
          <w:bottom w:val="nil"/>
          <w:right w:val="nil"/>
          <w:between w:val="nil"/>
        </w:pBdr>
        <w:spacing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rsidR="00C631E9" w:rsidRDefault="0099184B">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anteriormente, se tiene que la respuesta fue vertida por la unidad administrativa competente, ello en virtud de que la Dirección de </w:t>
      </w:r>
      <w:r>
        <w:rPr>
          <w:rFonts w:ascii="Palatino Linotype" w:eastAsia="Palatino Linotype" w:hAnsi="Palatino Linotype" w:cs="Palatino Linotype"/>
        </w:rPr>
        <w:lastRenderedPageBreak/>
        <w:t>Administración es la encargada de autorizar las altas, bajas, cambios, permisos, licencias y comisiones del personal, entre otras, para su trámite y efectos, por lo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C631E9" w:rsidRDefault="0099184B">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es pertinente mencionar que de las actuaciones que integran el expediente electrónico, referidas con antelación, este Instituto advierte que las comisiones de personal son con las que cuenta la Dirección General de Administración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ende, no hay manera de acordar favorable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debido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estas circunstancias no resulta </w:t>
      </w:r>
      <w:r>
        <w:rPr>
          <w:rFonts w:ascii="Palatino Linotype" w:eastAsia="Palatino Linotype" w:hAnsi="Palatino Linotype" w:cs="Palatino Linotype"/>
        </w:rPr>
        <w:lastRenderedPageBreak/>
        <w:t xml:space="preserve">exigible requerirle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la entrega de información que no obra en sus archivos.   </w:t>
      </w:r>
    </w:p>
    <w:p w:rsidR="00C631E9" w:rsidRDefault="0099184B">
      <w:pPr>
        <w:widowControl w:val="0"/>
        <w:tabs>
          <w:tab w:val="left" w:pos="1701"/>
          <w:tab w:val="left" w:pos="184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C631E9" w:rsidRDefault="009918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C631E9" w:rsidRDefault="0099184B">
      <w:pPr>
        <w:numPr>
          <w:ilvl w:val="0"/>
          <w:numId w:val="2"/>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C631E9" w:rsidRDefault="0099184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los motivos de inconformidad aducidos por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00949/INFOEM/IP/RR/2022,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C631E9" w:rsidRDefault="0099184B">
      <w:pPr>
        <w:spacing w:before="240" w:after="240" w:line="360" w:lineRule="auto"/>
        <w:jc w:val="both"/>
        <w:rPr>
          <w:rFonts w:ascii="Palatino Linotype" w:eastAsia="Palatino Linotype" w:hAnsi="Palatino Linotype" w:cs="Palatino Linotype"/>
        </w:rPr>
      </w:pPr>
      <w:bookmarkStart w:id="5" w:name="_heading=h.17dp8vu" w:colFirst="0" w:colLast="0"/>
      <w:bookmarkEnd w:id="5"/>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 la Titular de la Unidad de Transparencia vía SAIMEX, para su conocimiento.</w:t>
      </w:r>
    </w:p>
    <w:p w:rsidR="00C631E9" w:rsidRDefault="0099184B">
      <w:pPr>
        <w:spacing w:before="240" w:after="240" w:line="360" w:lineRule="auto"/>
        <w:jc w:val="both"/>
        <w:rPr>
          <w:rFonts w:ascii="Palatino Linotype" w:eastAsia="Palatino Linotype" w:hAnsi="Palatino Linotype" w:cs="Palatino Linotype"/>
          <w:b/>
          <w:color w:val="FF0000"/>
          <w:highlight w:val="yellow"/>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así como, que de conformidad con lo establecido en el artículo 196 </w:t>
      </w:r>
      <w:r>
        <w:rPr>
          <w:rFonts w:ascii="Palatino Linotype" w:eastAsia="Palatino Linotype" w:hAnsi="Palatino Linotype" w:cs="Palatino Linotype"/>
        </w:rPr>
        <w:lastRenderedPageBreak/>
        <w:t xml:space="preserve">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C631E9" w:rsidRDefault="0099184B">
      <w:pPr>
        <w:spacing w:before="240" w:after="240" w:line="360" w:lineRule="auto"/>
        <w:jc w:val="both"/>
        <w:rPr>
          <w:rFonts w:ascii="Palatino Linotype" w:eastAsia="Palatino Linotype" w:hAnsi="Palatino Linotype" w:cs="Palatino Linotype"/>
        </w:rPr>
        <w:sectPr w:rsidR="00C631E9">
          <w:headerReference w:type="default" r:id="rId16"/>
          <w:footerReference w:type="default" r:id="rId17"/>
          <w:headerReference w:type="first" r:id="rId18"/>
          <w:footerReference w:type="first" r:id="rId19"/>
          <w:pgSz w:w="12240" w:h="15840"/>
          <w:pgMar w:top="1417" w:right="1750" w:bottom="1417" w:left="1701" w:header="708" w:footer="708"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LUIS GUSTAVO PARRA NORIEGA Y GUADALUPE RAMÍREZ PEÑA; EN LA DÉCIMO QUINTA SESIÓN ORDINARIA CELEBRADA EL VEINTISIETE DE ABRIL DEL DOS MIL VEINTIDÓS, ANTE EL SECRETARIO TÉCNICO DEL PLENO, ALEXIS TAPIA RAMÍREZ.</w:t>
      </w:r>
    </w:p>
    <w:p w:rsidR="00C631E9" w:rsidRDefault="00C631E9">
      <w:pPr>
        <w:spacing w:line="360" w:lineRule="auto"/>
        <w:jc w:val="both"/>
        <w:rPr>
          <w:rFonts w:ascii="Palatino Linotype" w:eastAsia="Palatino Linotype" w:hAnsi="Palatino Linotype" w:cs="Palatino Linotype"/>
        </w:rPr>
      </w:pPr>
    </w:p>
    <w:sectPr w:rsidR="00C631E9">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0EE" w:rsidRDefault="00FB40EE">
      <w:r>
        <w:separator/>
      </w:r>
    </w:p>
  </w:endnote>
  <w:endnote w:type="continuationSeparator" w:id="0">
    <w:p w:rsidR="00FB40EE" w:rsidRDefault="00FB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C18F9">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C18F9">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C631E9" w:rsidRDefault="00C631E9">
    <w:pPr>
      <w:pBdr>
        <w:top w:val="nil"/>
        <w:left w:val="nil"/>
        <w:bottom w:val="nil"/>
        <w:right w:val="nil"/>
        <w:between w:val="nil"/>
      </w:pBdr>
      <w:tabs>
        <w:tab w:val="center" w:pos="4252"/>
        <w:tab w:val="right" w:pos="8504"/>
      </w:tabs>
      <w:rPr>
        <w:color w:val="000000"/>
      </w:rPr>
    </w:pPr>
  </w:p>
  <w:p w:rsidR="00C631E9" w:rsidRDefault="00C631E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C18F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C18F9">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C631E9" w:rsidRDefault="00C631E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end"/>
    </w:r>
  </w:p>
  <w:p w:rsidR="00C631E9" w:rsidRDefault="00C631E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C18F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C18F9">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rsidR="00C631E9" w:rsidRDefault="00C631E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0EE" w:rsidRDefault="00FB40EE">
      <w:r>
        <w:separator/>
      </w:r>
    </w:p>
  </w:footnote>
  <w:footnote w:type="continuationSeparator" w:id="0">
    <w:p w:rsidR="00FB40EE" w:rsidRDefault="00FB40EE">
      <w:r>
        <w:continuationSeparator/>
      </w:r>
    </w:p>
  </w:footnote>
  <w:footnote w:id="1">
    <w:p w:rsidR="00C631E9" w:rsidRDefault="0099184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C631E9" w:rsidRDefault="0099184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-345438</wp:posOffset>
          </wp:positionV>
          <wp:extent cx="7635600" cy="9943200"/>
          <wp:effectExtent l="0" t="0" r="0" b="0"/>
          <wp:wrapNone/>
          <wp:docPr id="8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746" w:type="dxa"/>
      <w:tblLayout w:type="fixed"/>
      <w:tblLook w:val="0400" w:firstRow="0" w:lastRow="0" w:firstColumn="0" w:lastColumn="0" w:noHBand="0" w:noVBand="1"/>
    </w:tblPr>
    <w:tblGrid>
      <w:gridCol w:w="2553"/>
      <w:gridCol w:w="3687"/>
    </w:tblGrid>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00949/INFOEM/IP/RR/2022</w:t>
          </w:r>
        </w:p>
      </w:tc>
    </w:tr>
    <w:tr w:rsidR="00C631E9">
      <w:trPr>
        <w:trHeight w:val="228"/>
      </w:trPr>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631E9" w:rsidRDefault="0099184B">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631E9" w:rsidRDefault="0099184B">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99184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C631E9" w:rsidRDefault="00C631E9">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-1080132</wp:posOffset>
          </wp:positionH>
          <wp:positionV relativeFrom="paragraph">
            <wp:posOffset>-343532</wp:posOffset>
          </wp:positionV>
          <wp:extent cx="7635600" cy="9943200"/>
          <wp:effectExtent l="0" t="0" r="0" b="0"/>
          <wp:wrapNone/>
          <wp:docPr id="7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685" w:type="dxa"/>
      <w:tblLayout w:type="fixed"/>
      <w:tblLook w:val="0400" w:firstRow="0" w:lastRow="0" w:firstColumn="0" w:lastColumn="0" w:noHBand="0" w:noVBand="1"/>
    </w:tblPr>
    <w:tblGrid>
      <w:gridCol w:w="2553"/>
      <w:gridCol w:w="3687"/>
    </w:tblGrid>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00949/INFOEM/IP/RR/2022</w:t>
          </w:r>
        </w:p>
      </w:tc>
    </w:tr>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C631E9" w:rsidRDefault="00C631E9">
          <w:pPr>
            <w:rPr>
              <w:rFonts w:ascii="Palatino Linotype" w:eastAsia="Palatino Linotype" w:hAnsi="Palatino Linotype" w:cs="Palatino Linotype"/>
              <w:b/>
              <w:sz w:val="22"/>
              <w:szCs w:val="22"/>
            </w:rPr>
          </w:pPr>
        </w:p>
      </w:tc>
    </w:tr>
    <w:tr w:rsidR="00C631E9">
      <w:trPr>
        <w:trHeight w:val="228"/>
      </w:trPr>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631E9" w:rsidRDefault="0099184B">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631E9">
      <w:tc>
        <w:tcPr>
          <w:tcW w:w="2553" w:type="dxa"/>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631E9" w:rsidRDefault="0099184B">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C631E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99184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60288"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C631E9">
      <w:tc>
        <w:tcPr>
          <w:tcW w:w="0" w:type="auto"/>
          <w:shd w:val="clear" w:color="auto" w:fill="auto"/>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shd w:val="clear" w:color="auto" w:fill="auto"/>
          <w:vAlign w:val="center"/>
        </w:tcPr>
        <w:p w:rsidR="00C631E9" w:rsidRDefault="0099184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01859/INFOEM/IP/RR/2022</w:t>
          </w:r>
        </w:p>
      </w:tc>
    </w:tr>
    <w:tr w:rsidR="00C631E9">
      <w:trPr>
        <w:trHeight w:val="228"/>
      </w:trPr>
      <w:tc>
        <w:tcPr>
          <w:tcW w:w="0" w:type="auto"/>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shd w:val="clear" w:color="auto" w:fill="auto"/>
          <w:vAlign w:val="center"/>
        </w:tcPr>
        <w:p w:rsidR="00C631E9" w:rsidRDefault="0099184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631E9">
      <w:tc>
        <w:tcPr>
          <w:tcW w:w="0" w:type="auto"/>
          <w:shd w:val="clear" w:color="auto" w:fill="auto"/>
          <w:vAlign w:val="center"/>
        </w:tcPr>
        <w:p w:rsidR="00C631E9" w:rsidRDefault="0099184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0" w:type="auto"/>
          <w:shd w:val="clear" w:color="auto" w:fill="auto"/>
          <w:vAlign w:val="center"/>
        </w:tcPr>
        <w:p w:rsidR="00C631E9" w:rsidRDefault="0099184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99184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E9" w:rsidRDefault="00C631E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C631E9">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C631E9" w:rsidRDefault="0099184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00949/INFOEM/IP/RR/2022</w:t>
          </w:r>
        </w:p>
      </w:tc>
    </w:tr>
    <w:tr w:rsidR="00C631E9">
      <w:trPr>
        <w:trHeight w:val="130"/>
      </w:trPr>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C631E9" w:rsidRDefault="00C631E9">
          <w:pPr>
            <w:ind w:left="-45"/>
            <w:jc w:val="both"/>
            <w:rPr>
              <w:rFonts w:ascii="Palatino Linotype" w:eastAsia="Palatino Linotype" w:hAnsi="Palatino Linotype" w:cs="Palatino Linotype"/>
              <w:b/>
              <w:sz w:val="22"/>
              <w:szCs w:val="22"/>
            </w:rPr>
          </w:pPr>
        </w:p>
      </w:tc>
    </w:tr>
    <w:tr w:rsidR="00C631E9">
      <w:trPr>
        <w:trHeight w:val="228"/>
      </w:trPr>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C631E9" w:rsidRDefault="0099184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631E9">
      <w:tc>
        <w:tcPr>
          <w:tcW w:w="2551" w:type="dxa"/>
          <w:shd w:val="clear" w:color="auto" w:fill="auto"/>
          <w:vAlign w:val="center"/>
        </w:tcPr>
        <w:p w:rsidR="00C631E9" w:rsidRDefault="009918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C631E9" w:rsidRDefault="0099184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631E9" w:rsidRDefault="0099184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61312"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729F"/>
    <w:multiLevelType w:val="multilevel"/>
    <w:tmpl w:val="4190A1D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5B05B06"/>
    <w:multiLevelType w:val="multilevel"/>
    <w:tmpl w:val="6F9874E4"/>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4C3F11"/>
    <w:multiLevelType w:val="multilevel"/>
    <w:tmpl w:val="48820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C433BA"/>
    <w:multiLevelType w:val="multilevel"/>
    <w:tmpl w:val="5712B11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617A5D1B"/>
    <w:multiLevelType w:val="multilevel"/>
    <w:tmpl w:val="58D08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1E9"/>
    <w:rsid w:val="000372C3"/>
    <w:rsid w:val="00472D89"/>
    <w:rsid w:val="0070076B"/>
    <w:rsid w:val="0099184B"/>
    <w:rsid w:val="00C57C3E"/>
    <w:rsid w:val="00C631E9"/>
    <w:rsid w:val="00D43F6D"/>
    <w:rsid w:val="00DC18F9"/>
    <w:rsid w:val="00FB40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747D4-8E29-4B01-959B-B973C593A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7.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m84dCJfUnBXA7vqj/BY+9oQzgA==">AMUW2mWbegrPqtwkkBSnG7DdGzMXSShpKpel7dU7HOGHT4kCH7fvdbG40P4eJ/7s5gXnZRAwONikb6IIB7zltxWqC0hVD+YqXnfx3X4VWzO+nm92U6Lwgv2w/7ywXK1H/q6ByS3u3p9C1kPCngghHPpOSkeBy/KEEz3E63BUc75it5/aKZ2kiH8=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5952</Words>
  <Characters>32740</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5</cp:revision>
  <dcterms:created xsi:type="dcterms:W3CDTF">2022-04-21T01:40:00Z</dcterms:created>
  <dcterms:modified xsi:type="dcterms:W3CDTF">2022-04-21T16:41:00Z</dcterms:modified>
</cp:coreProperties>
</file>