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794A" w:rsidRDefault="002F1ED1">
      <w:pPr>
        <w:contextualSpacing/>
        <w:rPr>
          <w:rFonts w:eastAsia="Palatino Linotype" w:cs="Palatino Linotype"/>
          <w:color w:val="000000"/>
          <w:szCs w:val="24"/>
        </w:rPr>
      </w:pPr>
      <w:r>
        <w:rPr>
          <w:rFonts w:eastAsia="Palatino Linotype" w:cs="Palatino Linotype"/>
          <w:color w:val="000000"/>
          <w:szCs w:val="24"/>
        </w:rPr>
        <w:t>Resolución del Pleno del Instituto de Transparencia, Acceso a la Información Pública y Protección de Datos Personales del Estado de México y Municipios, con domicilio en Metepec, Estado de México, a siete de septiembre de dos mil veintidós.</w:t>
      </w:r>
    </w:p>
    <w:p w:rsidR="0078794A" w:rsidRDefault="0078794A">
      <w:pPr>
        <w:contextualSpacing/>
        <w:rPr>
          <w:rFonts w:eastAsia="Palatino Linotype" w:cs="Palatino Linotype"/>
          <w:color w:val="000000"/>
          <w:szCs w:val="24"/>
        </w:rPr>
      </w:pPr>
    </w:p>
    <w:p w:rsidR="0078794A" w:rsidRDefault="002F1ED1">
      <w:pPr>
        <w:contextualSpacing/>
        <w:rPr>
          <w:rFonts w:eastAsia="Palatino Linotype" w:cs="Palatino Linotype"/>
          <w:color w:val="000000"/>
          <w:szCs w:val="24"/>
        </w:rPr>
      </w:pPr>
      <w:r>
        <w:rPr>
          <w:rFonts w:eastAsia="Palatino Linotype" w:cs="Palatino Linotype"/>
          <w:b/>
          <w:color w:val="000000"/>
          <w:szCs w:val="24"/>
        </w:rPr>
        <w:t>VISTO</w:t>
      </w:r>
      <w:r>
        <w:rPr>
          <w:rFonts w:eastAsia="Palatino Linotype" w:cs="Palatino Linotype"/>
          <w:color w:val="000000"/>
          <w:szCs w:val="24"/>
        </w:rPr>
        <w:t xml:space="preserve"> el expediente electrónico formado con motivo del recurso de revisión número </w:t>
      </w:r>
      <w:r>
        <w:rPr>
          <w:rFonts w:eastAsia="Palatino Linotype" w:cs="Palatino Linotype"/>
          <w:b/>
          <w:color w:val="000000"/>
          <w:szCs w:val="24"/>
        </w:rPr>
        <w:t>07965/INFOEM/IP/RR/2022</w:t>
      </w:r>
      <w:r>
        <w:rPr>
          <w:rFonts w:eastAsia="Palatino Linotype" w:cs="Palatino Linotype"/>
          <w:color w:val="000000"/>
          <w:szCs w:val="24"/>
        </w:rPr>
        <w:t xml:space="preserve">, interpuesto por </w:t>
      </w:r>
      <w:r w:rsidR="00093C9B">
        <w:rPr>
          <w:rFonts w:eastAsia="Palatino Linotype" w:cs="Palatino Linotype"/>
          <w:b/>
          <w:bCs/>
          <w:color w:val="000000"/>
          <w:szCs w:val="24"/>
        </w:rPr>
        <w:t>XXXXXXXXXXXXX</w:t>
      </w:r>
      <w:r>
        <w:rPr>
          <w:rFonts w:eastAsia="Palatino Linotype" w:cs="Palatino Linotype"/>
          <w:color w:val="000000"/>
          <w:szCs w:val="24"/>
        </w:rPr>
        <w:t xml:space="preserve">, en lo sucesivo el </w:t>
      </w:r>
      <w:r>
        <w:rPr>
          <w:rFonts w:eastAsia="Palatino Linotype" w:cs="Palatino Linotype"/>
          <w:b/>
          <w:color w:val="000000"/>
          <w:szCs w:val="24"/>
        </w:rPr>
        <w:t>Recurrente</w:t>
      </w:r>
      <w:r>
        <w:rPr>
          <w:rFonts w:eastAsia="Palatino Linotype" w:cs="Palatino Linotype"/>
          <w:color w:val="000000"/>
          <w:szCs w:val="24"/>
        </w:rPr>
        <w:t xml:space="preserve">, en contra de la respuesta del </w:t>
      </w:r>
      <w:r>
        <w:rPr>
          <w:rFonts w:eastAsia="Palatino Linotype" w:cs="Palatino Linotype"/>
          <w:b/>
          <w:color w:val="000000"/>
          <w:szCs w:val="24"/>
        </w:rPr>
        <w:t>Ayuntamiento de Nicolás Romero</w:t>
      </w:r>
      <w:r>
        <w:rPr>
          <w:rFonts w:eastAsia="Palatino Linotype" w:cs="Palatino Linotype"/>
          <w:bCs/>
          <w:color w:val="000000"/>
          <w:szCs w:val="24"/>
        </w:rPr>
        <w:t>,</w:t>
      </w:r>
      <w:r>
        <w:rPr>
          <w:rFonts w:eastAsia="Palatino Linotype" w:cs="Palatino Linotype"/>
          <w:color w:val="000000"/>
          <w:szCs w:val="24"/>
        </w:rPr>
        <w:t xml:space="preserve"> en lo subsecuente</w:t>
      </w:r>
      <w:r>
        <w:rPr>
          <w:rFonts w:eastAsia="Palatino Linotype" w:cs="Palatino Linotype"/>
          <w:b/>
          <w:color w:val="000000"/>
          <w:szCs w:val="24"/>
        </w:rPr>
        <w:t xml:space="preserve"> </w:t>
      </w:r>
      <w:r>
        <w:rPr>
          <w:rFonts w:eastAsia="Palatino Linotype" w:cs="Palatino Linotype"/>
          <w:color w:val="000000"/>
          <w:szCs w:val="24"/>
        </w:rPr>
        <w:t>el</w:t>
      </w:r>
      <w:r>
        <w:rPr>
          <w:rFonts w:eastAsia="Palatino Linotype" w:cs="Palatino Linotype"/>
          <w:b/>
          <w:color w:val="000000"/>
          <w:szCs w:val="24"/>
        </w:rPr>
        <w:t xml:space="preserve"> Sujeto Obligado, </w:t>
      </w:r>
      <w:r>
        <w:rPr>
          <w:rFonts w:eastAsia="Palatino Linotype" w:cs="Palatino Linotype"/>
          <w:color w:val="000000"/>
          <w:szCs w:val="24"/>
        </w:rPr>
        <w:t>se procede a dictar la presente resolución.</w:t>
      </w:r>
    </w:p>
    <w:p w:rsidR="0078794A" w:rsidRDefault="0078794A">
      <w:pPr>
        <w:contextualSpacing/>
        <w:rPr>
          <w:rFonts w:eastAsia="Palatino Linotype" w:cs="Palatino Linotype"/>
          <w:color w:val="000000"/>
          <w:szCs w:val="24"/>
        </w:rPr>
      </w:pPr>
    </w:p>
    <w:p w:rsidR="0078794A" w:rsidRDefault="002F1ED1">
      <w:pPr>
        <w:pStyle w:val="Ttulo1"/>
        <w:rPr>
          <w:rFonts w:eastAsia="Palatino Linotype"/>
        </w:rPr>
      </w:pPr>
      <w:r>
        <w:rPr>
          <w:rFonts w:eastAsia="Palatino Linotype"/>
        </w:rPr>
        <w:t>A N T E C E D E N T E S</w:t>
      </w:r>
    </w:p>
    <w:p w:rsidR="0078794A" w:rsidRDefault="0078794A">
      <w:pPr>
        <w:contextualSpacing/>
        <w:rPr>
          <w:rFonts w:eastAsia="Palatino Linotype" w:cs="Palatino Linotype"/>
          <w:color w:val="000000"/>
          <w:szCs w:val="24"/>
        </w:rPr>
      </w:pPr>
    </w:p>
    <w:p w:rsidR="0078794A" w:rsidRDefault="002F1ED1">
      <w:pPr>
        <w:pStyle w:val="Ttulo2"/>
        <w:rPr>
          <w:rFonts w:eastAsia="Palatino Linotype"/>
        </w:rPr>
      </w:pPr>
      <w:r>
        <w:rPr>
          <w:rFonts w:eastAsia="Palatino Linotype"/>
        </w:rPr>
        <w:t>PRIMERO. De la Solicitud de Información.</w:t>
      </w:r>
    </w:p>
    <w:p w:rsidR="0078794A" w:rsidRDefault="002F1ED1">
      <w:pPr>
        <w:contextualSpacing/>
        <w:rPr>
          <w:rFonts w:eastAsia="Palatino Linotype" w:cs="Palatino Linotype"/>
          <w:color w:val="000000"/>
          <w:szCs w:val="24"/>
        </w:rPr>
      </w:pPr>
      <w:r>
        <w:rPr>
          <w:rFonts w:eastAsia="Palatino Linotype" w:cs="Palatino Linotype"/>
          <w:color w:val="000000"/>
          <w:szCs w:val="24"/>
        </w:rPr>
        <w:t>Con fecha veintinueve de abril de dos mil veintidós, el Recurrente presentó mediante el Sistema de Acceso a la Información Mexiquense (SAIMEX), solicitud de información registrada con el número de expediente</w:t>
      </w:r>
      <w:r>
        <w:rPr>
          <w:rFonts w:eastAsia="Palatino Linotype" w:cs="Palatino Linotype"/>
          <w:b/>
          <w:color w:val="000000"/>
          <w:szCs w:val="24"/>
        </w:rPr>
        <w:t xml:space="preserve"> </w:t>
      </w:r>
      <w:r>
        <w:rPr>
          <w:rFonts w:eastAsia="Palatino Linotype" w:cs="Palatino Linotype"/>
          <w:b/>
          <w:bCs/>
          <w:color w:val="000000"/>
          <w:szCs w:val="24"/>
        </w:rPr>
        <w:t>00101/NICOROM/IP/2022</w:t>
      </w:r>
      <w:r>
        <w:rPr>
          <w:rFonts w:eastAsia="Palatino Linotype" w:cs="Palatino Linotype"/>
          <w:color w:val="000000"/>
          <w:szCs w:val="24"/>
        </w:rPr>
        <w:t>,</w:t>
      </w:r>
      <w:r>
        <w:rPr>
          <w:rFonts w:eastAsia="Palatino Linotype" w:cs="Palatino Linotype"/>
          <w:b/>
          <w:color w:val="000000"/>
          <w:szCs w:val="24"/>
        </w:rPr>
        <w:t xml:space="preserve"> </w:t>
      </w:r>
      <w:r>
        <w:rPr>
          <w:rFonts w:eastAsia="Palatino Linotype" w:cs="Palatino Linotype"/>
          <w:color w:val="000000"/>
          <w:szCs w:val="24"/>
        </w:rPr>
        <w:t>mediante la cual solicitó información en el tenor siguiente:</w:t>
      </w:r>
    </w:p>
    <w:p w:rsidR="0078794A" w:rsidRDefault="0078794A">
      <w:pPr>
        <w:contextualSpacing/>
        <w:rPr>
          <w:rFonts w:eastAsia="Palatino Linotype" w:cs="Palatino Linotype"/>
          <w:color w:val="000000"/>
          <w:szCs w:val="24"/>
        </w:rPr>
      </w:pPr>
    </w:p>
    <w:p w:rsidR="0078794A" w:rsidRDefault="002F1ED1">
      <w:pPr>
        <w:pStyle w:val="Fundamentos"/>
      </w:pPr>
      <w:r>
        <w:t>“Solicito que me hagan entrega de un listado de los CONTRATOS DE OBRAS, BIENES Y SERVICIOS licitados en su municipio, tanto en adjudicación directa, licitación pública e invitación a cuando meses tres personas, de 2012 a la fecha más reciente, con los siguientes datos: A.-Institución B.-Nombre de la UC C.-Responsable de la UC D.-Código del expediente E.-Referencia del expediente F.-Título del expediente G.-Fundamento legal H.-</w:t>
      </w:r>
      <w:bookmarkStart w:id="0" w:name="_GoBack"/>
      <w:bookmarkEnd w:id="0"/>
      <w:r>
        <w:t>Número del procedimiento I.-Fecha de fallo J.-Fecha de publicación K.-Tipo de contratación L.-Tipo de procedimiento M.-Título del contrato N.-Descripción del contrato O.-Importe del contrato P.-Convenio modificatorio Q.-RFC R.Proveedor o contratista S.-Dirección del anuncio . } También la lista de proveedores de 2012 a la fecha más reciente.” (Sic)</w:t>
      </w:r>
    </w:p>
    <w:p w:rsidR="0078794A" w:rsidRDefault="0078794A">
      <w:pPr>
        <w:contextualSpacing/>
        <w:rPr>
          <w:rFonts w:eastAsia="Palatino Linotype" w:cs="Palatino Linotype"/>
          <w:color w:val="000000"/>
          <w:szCs w:val="24"/>
        </w:rPr>
      </w:pPr>
    </w:p>
    <w:p w:rsidR="0078794A" w:rsidRDefault="002F1ED1">
      <w:pPr>
        <w:contextualSpacing/>
        <w:rPr>
          <w:rFonts w:eastAsia="Palatino Linotype" w:cs="Palatino Linotype"/>
          <w:b/>
          <w:color w:val="000000"/>
          <w:szCs w:val="24"/>
        </w:rPr>
      </w:pPr>
      <w:r>
        <w:rPr>
          <w:rFonts w:eastAsia="Palatino Linotype" w:cs="Palatino Linotype"/>
          <w:color w:val="000000"/>
          <w:szCs w:val="24"/>
        </w:rPr>
        <w:lastRenderedPageBreak/>
        <w:t xml:space="preserve">Modalidad de entrega: </w:t>
      </w:r>
      <w:r>
        <w:rPr>
          <w:rFonts w:eastAsia="Palatino Linotype" w:cs="Palatino Linotype"/>
          <w:b/>
          <w:color w:val="000000"/>
          <w:szCs w:val="24"/>
        </w:rPr>
        <w:t>A través del SAIMEX</w:t>
      </w:r>
      <w:r>
        <w:rPr>
          <w:rFonts w:eastAsia="Palatino Linotype" w:cs="Palatino Linotype"/>
          <w:color w:val="000000"/>
          <w:szCs w:val="24"/>
        </w:rPr>
        <w:t>.</w:t>
      </w:r>
    </w:p>
    <w:p w:rsidR="0078794A" w:rsidRDefault="0078794A">
      <w:pPr>
        <w:contextualSpacing/>
        <w:rPr>
          <w:rFonts w:eastAsia="Palatino Linotype" w:cs="Palatino Linotype"/>
          <w:color w:val="000000"/>
          <w:szCs w:val="24"/>
        </w:rPr>
      </w:pPr>
    </w:p>
    <w:p w:rsidR="0078794A" w:rsidRDefault="002F1ED1">
      <w:pPr>
        <w:pStyle w:val="Ttulo2"/>
        <w:rPr>
          <w:rFonts w:eastAsia="Palatino Linotype"/>
        </w:rPr>
      </w:pPr>
      <w:r>
        <w:rPr>
          <w:rFonts w:eastAsia="Palatino Linotype"/>
        </w:rPr>
        <w:t>SEGUNDO. De la respuesta del Sujeto Obligado.</w:t>
      </w:r>
    </w:p>
    <w:p w:rsidR="0078794A" w:rsidRDefault="002F1ED1">
      <w:pPr>
        <w:contextualSpacing/>
        <w:rPr>
          <w:rFonts w:eastAsia="Palatino Linotype" w:cs="Palatino Linotype"/>
          <w:color w:val="000000"/>
          <w:szCs w:val="24"/>
        </w:rPr>
      </w:pPr>
      <w:r>
        <w:rPr>
          <w:rFonts w:eastAsia="Palatino Linotype" w:cs="Palatino Linotype"/>
          <w:color w:val="000000"/>
          <w:szCs w:val="24"/>
        </w:rPr>
        <w:t>De las constancias que obran en el expediente electrónico, se observa que el día trece de mayo de dos mil veintidós, el Sujeto Obligado dio respuesta a la solicitud de información manifestando lo siguiente:</w:t>
      </w:r>
    </w:p>
    <w:p w:rsidR="0078794A" w:rsidRDefault="0078794A">
      <w:pPr>
        <w:contextualSpacing/>
        <w:rPr>
          <w:rFonts w:eastAsia="Palatino Linotype" w:cs="Palatino Linotype"/>
          <w:color w:val="000000"/>
          <w:szCs w:val="24"/>
        </w:rPr>
      </w:pPr>
    </w:p>
    <w:p w:rsidR="0078794A" w:rsidRDefault="002F1ED1">
      <w:pPr>
        <w:pStyle w:val="Fundamentos"/>
      </w:pPr>
      <w:r>
        <w:t>“CIUDADANO SOLICITANTE P R E S E N T E: Con fundamento en el artículo 6 de la Constitución Política de los Estados Unidos Mexicanos, en el artículo 5 de la Constitución Política del Estado Libre y Soberano de México, los artículos 4, 12, 150, 152, 155, 156, 160, 161 de la Ley de Transparencia y Acceso a la Información Pública del Estado de México y Municipios, así como el artículo 85 del Reglamento de Transparencia. Me permito comunicarle que la información que usted requiere ya se encuentra disponible en medios electrónicos; es decir, a través de la plataforma IPOMEX (Información Pública de Oficio Mexiquense), ingresando a Ayuntamientos, Nicolás Romero, encontrará las obligaciones de transparencia específicas, así como las obligaciones de transparencia comunes; ahora bien, en su solicitud 00098/NICOROM/IP/2022 Y 00101/NICOROM/IP/2022, en la cual menciona: “Solicito que me hagan entrega de un listado de los CONTRATOS DE OBRAS, BIENES Y SERVICIOS licitados en su municipio, tanto en adjudicación directa, licitación pública r invitación a cuando meses tres personas con los siguientes datos: A.-Institución B.-Nombre de la UC C.-Responsable de la UC D.-Código del expediente E.-Referencia del expediente F.-Título del expediente G.-Fundamento legal H.-Número del procedimiento I.-Fecha de fallo J.-Fecha de publicación K.-Tipo de contratación L.-Tipo de procedimiento M.-Título del contrato N.-Descripción del contrato O.-Importe del contrato P.-Convenio modificatorio Q.-RFC R.Proveedor o contratista S.-Dirección del anuncio”. Sic Por lo cual me permito expresar lo siguiente: Las concesiones, contratos, convenios, permisos, licencias o autorizaciones otorgados La información se encuentra dentro del Artículo 92 fracción XXIX A “Resultados de procedimientos de licitación pública e invitación a cuando menos tres personas realiza”, fracción XXIX B “Resultados de procedimientos de adjudicación directa realizados”, fracción XXXII “Las concesiones, contratos, convenios, permisos, licencias o autorizaciones otorgados, dentro del portal Ipomex en la sección correspondiente a nuestro municipio. Anexo la liga al portal en mención:</w:t>
      </w:r>
    </w:p>
    <w:p w:rsidR="0078794A" w:rsidRDefault="0078794A">
      <w:pPr>
        <w:pStyle w:val="Fundamentos"/>
      </w:pPr>
    </w:p>
    <w:p w:rsidR="0078794A" w:rsidRDefault="002F1ED1">
      <w:pPr>
        <w:pStyle w:val="Fundamentos"/>
      </w:pPr>
      <w:r>
        <w:lastRenderedPageBreak/>
        <w:t xml:space="preserve">https://www.ipomex.org.mx/ipo3/lgt/indice/NICOLASROMERO/art_92_xxix_a.web https://www.ipomex.org.mx/ipo3/lgt/indice/NICOLASROMERO/art_92_xxix_b.web https://www.ipomex.org.mx/ipo3/lgt/indice/NICOLASROMERO/art_92_xxxii.web </w:t>
      </w:r>
    </w:p>
    <w:p w:rsidR="0078794A" w:rsidRDefault="0078794A">
      <w:pPr>
        <w:pStyle w:val="Fundamentos"/>
      </w:pPr>
    </w:p>
    <w:p w:rsidR="0078794A" w:rsidRDefault="002F1ED1">
      <w:pPr>
        <w:pStyle w:val="Fundamentos"/>
      </w:pPr>
      <w:r>
        <w:t>Cabe hacer mención que la información publicada en el portal se basa en el acuerdo mediante el cual se modifican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A continuación, envío los pasos para ingresar a IPOMEX: 1. Entrar a su navegador de preferencia. 2. Buscar en su navegador “IPOMEX”. Dentro del portal, se dirige a Municipios: 3. Se desplegarán los contenidos de IPOMEX, posteriormente seleccionará el botón frente a “Nicolás Romero” para visualizar la información contenida: 4. En la sección “Las concesiones, contratos, convenios, permisos, licencias o autorizaciones otorgados”, podrá consultar la información solicitada: Sin más por el momento, reciba un cordial saludo, esperando que lo anteriormente expresado colme lo solicitado.</w:t>
      </w:r>
    </w:p>
    <w:p w:rsidR="0078794A" w:rsidRDefault="0078794A"/>
    <w:p w:rsidR="0078794A" w:rsidRDefault="002F1ED1">
      <w:pPr>
        <w:pStyle w:val="Fundamentos"/>
      </w:pPr>
      <w:r>
        <w:t>ATENTAMENTE</w:t>
      </w:r>
    </w:p>
    <w:p w:rsidR="0078794A" w:rsidRDefault="002F1ED1">
      <w:pPr>
        <w:pStyle w:val="Fundamentos"/>
      </w:pPr>
      <w:r>
        <w:t>LIC. ALFONSO HERNANDEZ GASCA” (Sic)</w:t>
      </w:r>
    </w:p>
    <w:p w:rsidR="0078794A" w:rsidRDefault="0078794A">
      <w:pPr>
        <w:contextualSpacing/>
        <w:rPr>
          <w:rFonts w:eastAsia="Palatino Linotype" w:cs="Palatino Linotype"/>
          <w:color w:val="000000"/>
          <w:szCs w:val="24"/>
        </w:rPr>
      </w:pPr>
    </w:p>
    <w:p w:rsidR="0078794A" w:rsidRDefault="002F1ED1">
      <w:pPr>
        <w:contextualSpacing/>
        <w:rPr>
          <w:rFonts w:eastAsia="Palatino Linotype" w:cs="Palatino Linotype"/>
          <w:color w:val="000000"/>
          <w:szCs w:val="24"/>
        </w:rPr>
      </w:pPr>
      <w:r>
        <w:rPr>
          <w:rFonts w:eastAsia="Palatino Linotype" w:cs="Palatino Linotype"/>
          <w:color w:val="000000"/>
          <w:szCs w:val="24"/>
        </w:rPr>
        <w:t xml:space="preserve">El Sujeto Obligado anexó a su respuesta el documento denominado </w:t>
      </w:r>
      <w:r>
        <w:rPr>
          <w:rFonts w:eastAsia="Palatino Linotype" w:cs="Palatino Linotype"/>
          <w:b/>
          <w:bCs/>
          <w:color w:val="000000"/>
          <w:szCs w:val="24"/>
        </w:rPr>
        <w:t>“Molde – Respuesta con Ipomex R.docx”</w:t>
      </w:r>
      <w:r>
        <w:rPr>
          <w:rFonts w:eastAsia="Palatino Linotype" w:cs="Palatino Linotype"/>
          <w:color w:val="000000"/>
          <w:szCs w:val="24"/>
        </w:rPr>
        <w:t>, cuyo contenido se analizará en el estudio correspondiente.</w:t>
      </w:r>
    </w:p>
    <w:p w:rsidR="0078794A" w:rsidRDefault="0078794A">
      <w:pPr>
        <w:contextualSpacing/>
        <w:rPr>
          <w:rFonts w:eastAsia="Palatino Linotype" w:cs="Palatino Linotype"/>
          <w:color w:val="000000"/>
          <w:szCs w:val="24"/>
        </w:rPr>
      </w:pPr>
    </w:p>
    <w:p w:rsidR="0078794A" w:rsidRDefault="002F1ED1">
      <w:pPr>
        <w:pStyle w:val="Ttulo2"/>
      </w:pPr>
      <w:r>
        <w:t>TERCERO. Del recurso de revisión.</w:t>
      </w:r>
    </w:p>
    <w:p w:rsidR="0078794A" w:rsidRDefault="002F1ED1">
      <w:pPr>
        <w:contextualSpacing/>
        <w:rPr>
          <w:rFonts w:eastAsia="Palatino Linotype" w:cs="Palatino Linotype"/>
          <w:color w:val="000000"/>
          <w:szCs w:val="24"/>
        </w:rPr>
      </w:pPr>
      <w:r>
        <w:rPr>
          <w:rFonts w:eastAsia="Palatino Linotype" w:cs="Palatino Linotype"/>
          <w:color w:val="000000"/>
          <w:szCs w:val="24"/>
        </w:rPr>
        <w:t xml:space="preserve">Inconforme con la respuesta emitida por el Sujeto Obligado, la Recurrente interpuso el presente recurso de revisión el día diecisiete de mayo de dos mil veintidós, el cual se registró con el expediente </w:t>
      </w:r>
      <w:r>
        <w:rPr>
          <w:rFonts w:eastAsia="Palatino Linotype" w:cs="Palatino Linotype"/>
          <w:b/>
          <w:color w:val="000000"/>
          <w:szCs w:val="24"/>
        </w:rPr>
        <w:t>07965/INFOEM/IP/RR/2022</w:t>
      </w:r>
      <w:r>
        <w:rPr>
          <w:rFonts w:eastAsia="Palatino Linotype" w:cs="Palatino Linotype"/>
          <w:color w:val="000000"/>
          <w:szCs w:val="24"/>
        </w:rPr>
        <w:t>, en el cual manifestó lo siguiente:</w:t>
      </w:r>
    </w:p>
    <w:p w:rsidR="0078794A" w:rsidRDefault="0078794A">
      <w:pPr>
        <w:contextualSpacing/>
        <w:rPr>
          <w:rFonts w:eastAsia="Palatino Linotype" w:cs="Palatino Linotype"/>
          <w:color w:val="000000"/>
          <w:szCs w:val="24"/>
        </w:rPr>
      </w:pPr>
    </w:p>
    <w:p w:rsidR="0078794A" w:rsidRDefault="002F1ED1">
      <w:pPr>
        <w:contextualSpacing/>
        <w:rPr>
          <w:rFonts w:eastAsia="Palatino Linotype" w:cs="Palatino Linotype"/>
          <w:b/>
          <w:szCs w:val="24"/>
        </w:rPr>
      </w:pPr>
      <w:r>
        <w:rPr>
          <w:rFonts w:eastAsia="Palatino Linotype" w:cs="Palatino Linotype"/>
          <w:b/>
          <w:szCs w:val="24"/>
        </w:rPr>
        <w:t xml:space="preserve">Acto Impugnado: </w:t>
      </w:r>
    </w:p>
    <w:p w:rsidR="0078794A" w:rsidRDefault="002F1ED1">
      <w:pPr>
        <w:pStyle w:val="Fundamentos"/>
        <w:rPr>
          <w:b/>
        </w:rPr>
      </w:pPr>
      <w:r>
        <w:t>“La información entregada no viene con el detalle solicitado y además no está subida desde el plazo solicitado."(Sic)</w:t>
      </w:r>
    </w:p>
    <w:p w:rsidR="0078794A" w:rsidRDefault="0078794A">
      <w:pPr>
        <w:contextualSpacing/>
        <w:rPr>
          <w:rFonts w:eastAsia="Palatino Linotype" w:cs="Palatino Linotype"/>
          <w:iCs/>
          <w:szCs w:val="24"/>
        </w:rPr>
      </w:pPr>
    </w:p>
    <w:p w:rsidR="0078794A" w:rsidRDefault="002F1ED1">
      <w:pPr>
        <w:contextualSpacing/>
        <w:rPr>
          <w:rFonts w:eastAsia="Palatino Linotype" w:cs="Palatino Linotype"/>
        </w:rPr>
      </w:pPr>
      <w:r>
        <w:rPr>
          <w:rFonts w:eastAsia="Palatino Linotype" w:cs="Palatino Linotype"/>
          <w:b/>
        </w:rPr>
        <w:t>Razones o Motivos de Inconformidad</w:t>
      </w:r>
      <w:r>
        <w:rPr>
          <w:rFonts w:eastAsia="Palatino Linotype" w:cs="Palatino Linotype"/>
        </w:rPr>
        <w:t>:</w:t>
      </w:r>
    </w:p>
    <w:p w:rsidR="0078794A" w:rsidRDefault="002F1ED1">
      <w:pPr>
        <w:pStyle w:val="Fundamentos"/>
      </w:pPr>
      <w:r>
        <w:t>“La información entregada no viene con el detalle solicitado y además no está subida desde el plazo solicitado.” (Sic)</w:t>
      </w:r>
    </w:p>
    <w:p w:rsidR="0078794A" w:rsidRDefault="0078794A">
      <w:pPr>
        <w:contextualSpacing/>
        <w:rPr>
          <w:rFonts w:eastAsia="Palatino Linotype" w:cs="Palatino Linotype"/>
          <w:color w:val="000000"/>
          <w:szCs w:val="24"/>
        </w:rPr>
      </w:pPr>
    </w:p>
    <w:p w:rsidR="0078794A" w:rsidRDefault="002F1ED1">
      <w:pPr>
        <w:pStyle w:val="Ttulo2"/>
        <w:rPr>
          <w:rFonts w:eastAsia="Palatino Linotype"/>
        </w:rPr>
      </w:pPr>
      <w:r>
        <w:rPr>
          <w:rFonts w:eastAsia="Palatino Linotype"/>
        </w:rPr>
        <w:t>CUARTO. Del turno y admisión del recurso de revisión.</w:t>
      </w:r>
    </w:p>
    <w:p w:rsidR="0078794A" w:rsidRDefault="002F1ED1">
      <w:pPr>
        <w:contextualSpacing/>
        <w:rPr>
          <w:rFonts w:eastAsia="Palatino Linotype" w:cs="Palatino Linotype"/>
          <w:color w:val="000000"/>
          <w:szCs w:val="24"/>
        </w:rPr>
      </w:pPr>
      <w:r>
        <w:rPr>
          <w:rFonts w:eastAsia="Palatino Linotype" w:cs="Palatino Linotype"/>
          <w:color w:val="000000"/>
          <w:szCs w:val="24"/>
        </w:rPr>
        <w:t xml:space="preserve">Medio de impugnación que le fue turnado al </w:t>
      </w:r>
      <w:r>
        <w:rPr>
          <w:rFonts w:eastAsia="Palatino Linotype" w:cs="Palatino Linotype"/>
          <w:b/>
          <w:color w:val="000000"/>
          <w:szCs w:val="24"/>
        </w:rPr>
        <w:t>Comisionado Presidente José Martínez Vilchis</w:t>
      </w:r>
      <w:r>
        <w:rPr>
          <w:rFonts w:eastAsia="Palatino Linotype" w:cs="Palatino Linotype"/>
          <w:color w:val="000000"/>
          <w:szCs w:val="24"/>
        </w:rPr>
        <w:t xml:space="preserve">, por medio del sistema electrónico en términos del numeral 185 fracción I de la Ley de Transparencia y Acceso a la información Pública del Estado de México y Municipios, al cual recayó acuerdo de admisión de fecha diecinueve de mayo de dos mil veintidós, </w:t>
      </w:r>
      <w:r>
        <w:rPr>
          <w:rFonts w:eastAsia="Palatino Linotype" w:cs="Palatino Linotype"/>
          <w:szCs w:val="24"/>
        </w:rPr>
        <w:t>otorgándose</w:t>
      </w:r>
      <w:r>
        <w:rPr>
          <w:rFonts w:eastAsia="Palatino Linotype" w:cs="Palatino Linotype"/>
          <w:color w:val="000000"/>
          <w:szCs w:val="24"/>
        </w:rPr>
        <w:t xml:space="preserve"> en él un plazo de siete días para que las partes manifestaran lo que a su derecho corresponda en términos del numeral ya citado.</w:t>
      </w:r>
    </w:p>
    <w:p w:rsidR="0078794A" w:rsidRDefault="0078794A">
      <w:pPr>
        <w:contextualSpacing/>
        <w:rPr>
          <w:rFonts w:eastAsia="Palatino Linotype" w:cs="Palatino Linotype"/>
          <w:color w:val="000000"/>
          <w:szCs w:val="24"/>
        </w:rPr>
      </w:pPr>
    </w:p>
    <w:p w:rsidR="0078794A" w:rsidRDefault="002F1ED1">
      <w:pPr>
        <w:pStyle w:val="Ttulo2"/>
        <w:rPr>
          <w:rFonts w:eastAsia="Palatino Linotype"/>
        </w:rPr>
      </w:pPr>
      <w:r>
        <w:rPr>
          <w:rFonts w:eastAsia="Palatino Linotype"/>
        </w:rPr>
        <w:t>QUINTO. De la etapa de instrucción.</w:t>
      </w:r>
    </w:p>
    <w:p w:rsidR="0078794A" w:rsidRDefault="002F1ED1">
      <w:pPr>
        <w:contextualSpacing/>
        <w:rPr>
          <w:rFonts w:eastAsia="Palatino Linotype" w:cs="Palatino Linotype"/>
          <w:b/>
          <w:color w:val="000000"/>
          <w:szCs w:val="24"/>
        </w:rPr>
      </w:pPr>
      <w:r>
        <w:rPr>
          <w:rFonts w:eastAsia="Palatino Linotype" w:cs="Palatino Linotype"/>
          <w:color w:val="000000"/>
          <w:szCs w:val="24"/>
        </w:rPr>
        <w:t xml:space="preserve">Una vez abierta la etapa de instrucción, se observa que el Sujeto Obligado omitió rendir su Informe Justificado. Asimismo, el Recurrente no presentó manifestaciones, rindió alegatos ni presentó pruebas que a su derecho convinieran. </w:t>
      </w:r>
    </w:p>
    <w:p w:rsidR="0078794A" w:rsidRDefault="0078794A">
      <w:pPr>
        <w:contextualSpacing/>
        <w:rPr>
          <w:rFonts w:eastAsia="Palatino Linotype" w:cs="Palatino Linotype"/>
          <w:color w:val="000000"/>
          <w:szCs w:val="24"/>
        </w:rPr>
      </w:pPr>
    </w:p>
    <w:p w:rsidR="0078794A" w:rsidRDefault="002F1ED1">
      <w:pPr>
        <w:pStyle w:val="Ttulo2"/>
        <w:rPr>
          <w:rFonts w:eastAsia="Palatino Linotype"/>
        </w:rPr>
      </w:pPr>
      <w:r>
        <w:rPr>
          <w:rFonts w:eastAsia="Palatino Linotype"/>
        </w:rPr>
        <w:t>SEXTO. Del cierre de instrucción.</w:t>
      </w:r>
    </w:p>
    <w:p w:rsidR="0078794A" w:rsidRDefault="002F1ED1">
      <w:pPr>
        <w:contextualSpacing/>
        <w:rPr>
          <w:rFonts w:eastAsia="Palatino Linotype" w:cs="Palatino Linotype"/>
          <w:color w:val="000000"/>
          <w:szCs w:val="24"/>
        </w:rPr>
      </w:pPr>
      <w:r>
        <w:rPr>
          <w:rFonts w:eastAsia="Palatino Linotype" w:cs="Palatino Linotype"/>
          <w:color w:val="000000"/>
          <w:szCs w:val="24"/>
        </w:rPr>
        <w:t>Así, una vez transcurrido el término legal, se decretó el cierre de instrucción en fecha treinta y uno de mayo de dos mil veintidós, en términos del artículo 185 fracción VI de la Ley de Transparencia y Acceso a la Información Pública del Estado de México y Municipios, iniciando el término legal para dictar resolución definitiva del asunto.</w:t>
      </w:r>
    </w:p>
    <w:p w:rsidR="0078794A" w:rsidRDefault="0078794A">
      <w:pPr>
        <w:contextualSpacing/>
        <w:rPr>
          <w:rFonts w:eastAsia="Palatino Linotype" w:cs="Palatino Linotype"/>
          <w:color w:val="000000"/>
          <w:szCs w:val="24"/>
        </w:rPr>
      </w:pPr>
    </w:p>
    <w:p w:rsidR="0078794A" w:rsidRDefault="002F1ED1">
      <w:pPr>
        <w:pStyle w:val="Ttulo2"/>
        <w:rPr>
          <w:rFonts w:eastAsiaTheme="minorHAnsi"/>
          <w:lang w:eastAsia="en-US"/>
        </w:rPr>
      </w:pPr>
      <w:r>
        <w:rPr>
          <w:rFonts w:eastAsiaTheme="minorHAnsi"/>
          <w:lang w:eastAsia="en-US"/>
        </w:rPr>
        <w:lastRenderedPageBreak/>
        <w:t>SÉPTIMO. De la ampliación del término para resolver.</w:t>
      </w:r>
    </w:p>
    <w:p w:rsidR="0078794A" w:rsidRDefault="002F1ED1">
      <w:pPr>
        <w:rPr>
          <w:rFonts w:eastAsiaTheme="minorHAnsi" w:cstheme="minorBidi"/>
          <w:szCs w:val="24"/>
          <w:lang w:eastAsia="en-US"/>
        </w:rPr>
      </w:pPr>
      <w:r>
        <w:rPr>
          <w:rFonts w:eastAsiaTheme="minorHAnsi" w:cstheme="minorBidi"/>
          <w:szCs w:val="24"/>
          <w:lang w:eastAsia="en-US"/>
        </w:rPr>
        <w:t>En fecha cuatro de julio de dos mil veintidós, se amplió el término para resolver el recurso de revisión en términos del artículo 181 párrafo tercero de la Ley de Transparencia y Acceso a la Información Pública del Estado de México y Municipios por un plazo de quince días hábiles.</w:t>
      </w:r>
    </w:p>
    <w:p w:rsidR="0078794A" w:rsidRDefault="0078794A">
      <w:pPr>
        <w:rPr>
          <w:rFonts w:eastAsiaTheme="minorHAnsi" w:cstheme="minorBidi"/>
          <w:szCs w:val="24"/>
          <w:lang w:eastAsia="en-US"/>
        </w:rPr>
      </w:pPr>
    </w:p>
    <w:p w:rsidR="0078794A" w:rsidRDefault="002F1ED1">
      <w:pPr>
        <w:contextualSpacing/>
        <w:rPr>
          <w:rFonts w:eastAsiaTheme="minorHAnsi" w:cstheme="minorBidi"/>
          <w:szCs w:val="24"/>
          <w:lang w:eastAsia="en-US"/>
        </w:rPr>
      </w:pPr>
      <w:r>
        <w:rPr>
          <w:rFonts w:eastAsiaTheme="minorHAnsi" w:cstheme="minorBidi"/>
          <w:szCs w:val="24"/>
          <w:lang w:eastAsia="en-US"/>
        </w:rPr>
        <w:t xml:space="preserve">Este organismo garante no pasa por alto justificar, </w:t>
      </w:r>
      <w:r>
        <w:rPr>
          <w:rFonts w:eastAsiaTheme="minorHAnsi" w:cstheme="minorBidi"/>
          <w:bCs/>
          <w:szCs w:val="24"/>
          <w:lang w:eastAsia="en-US"/>
        </w:rPr>
        <w:t xml:space="preserve">que el plazo para emitir resolución en el presente asunto </w:t>
      </w:r>
      <w:r>
        <w:rPr>
          <w:rFonts w:eastAsiaTheme="minorHAnsi" w:cstheme="minorBidi"/>
          <w:szCs w:val="24"/>
          <w:lang w:eastAsia="en-US"/>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78794A" w:rsidRDefault="002F1ED1">
      <w:pPr>
        <w:contextualSpacing/>
        <w:rPr>
          <w:rFonts w:eastAsiaTheme="minorHAnsi" w:cstheme="minorBidi"/>
          <w:szCs w:val="24"/>
          <w:lang w:eastAsia="en-US"/>
        </w:rPr>
      </w:pPr>
      <w:r>
        <w:rPr>
          <w:rFonts w:eastAsiaTheme="minorHAnsi" w:cstheme="minorBidi"/>
          <w:szCs w:val="24"/>
          <w:lang w:eastAsia="en-US"/>
        </w:rPr>
        <w:t xml:space="preserve"> </w:t>
      </w:r>
    </w:p>
    <w:p w:rsidR="0078794A" w:rsidRDefault="002F1ED1">
      <w:pPr>
        <w:contextualSpacing/>
        <w:rPr>
          <w:rFonts w:eastAsiaTheme="minorHAnsi" w:cstheme="minorBidi"/>
          <w:szCs w:val="24"/>
          <w:lang w:eastAsia="en-US"/>
        </w:rPr>
      </w:pPr>
      <w:r>
        <w:rPr>
          <w:rFonts w:eastAsiaTheme="minorHAnsi" w:cstheme="minorBidi"/>
          <w:szCs w:val="24"/>
          <w:lang w:eastAsia="en-US"/>
        </w:rPr>
        <w:t xml:space="preserve">Por ello, es menester precisar que, si bien se ha excedido el plazo para resolver el presente medio de impugnación, de conformidad con la ley de la materia, </w:t>
      </w:r>
      <w:r>
        <w:rPr>
          <w:rFonts w:eastAsiaTheme="minorHAnsi" w:cstheme="minorBidi"/>
          <w:bCs/>
          <w:szCs w:val="24"/>
          <w:lang w:eastAsia="en-US"/>
        </w:rPr>
        <w:t>el plazo para emitir resolución</w:t>
      </w:r>
      <w:r>
        <w:rPr>
          <w:rFonts w:eastAsiaTheme="minorHAnsi" w:cstheme="minorBidi"/>
          <w:szCs w:val="24"/>
          <w:lang w:eastAsia="en-US"/>
        </w:rPr>
        <w:t xml:space="preserve"> se encuentra justificado en los elementos para medir su razonabilidad de asuntos conforme a los parámetros establecidos por diversos órganos jurisdiccionales federales, aplicables también en procedimientos análogos, como el que nos ocupa.</w:t>
      </w:r>
    </w:p>
    <w:p w:rsidR="0078794A" w:rsidRDefault="002F1ED1">
      <w:pPr>
        <w:contextualSpacing/>
        <w:rPr>
          <w:rFonts w:eastAsiaTheme="minorHAnsi" w:cstheme="minorBidi"/>
          <w:szCs w:val="24"/>
          <w:lang w:eastAsia="en-US"/>
        </w:rPr>
      </w:pPr>
      <w:r>
        <w:rPr>
          <w:rFonts w:eastAsiaTheme="minorHAnsi" w:cstheme="minorBidi"/>
          <w:szCs w:val="24"/>
          <w:lang w:eastAsia="en-US"/>
        </w:rPr>
        <w:t xml:space="preserve"> </w:t>
      </w:r>
    </w:p>
    <w:p w:rsidR="0078794A" w:rsidRDefault="002F1ED1">
      <w:pPr>
        <w:contextualSpacing/>
        <w:rPr>
          <w:rFonts w:eastAsiaTheme="minorHAnsi" w:cstheme="minorBidi"/>
          <w:szCs w:val="24"/>
          <w:lang w:eastAsia="en-US"/>
        </w:rPr>
      </w:pPr>
      <w:r>
        <w:rPr>
          <w:rFonts w:eastAsiaTheme="minorHAnsi" w:cstheme="minorBidi"/>
          <w:szCs w:val="24"/>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78794A" w:rsidRDefault="002F1ED1">
      <w:pPr>
        <w:contextualSpacing/>
        <w:rPr>
          <w:rFonts w:eastAsiaTheme="minorHAnsi" w:cstheme="minorBidi"/>
          <w:szCs w:val="24"/>
          <w:lang w:eastAsia="en-US"/>
        </w:rPr>
      </w:pPr>
      <w:r>
        <w:rPr>
          <w:rFonts w:eastAsiaTheme="minorHAnsi" w:cstheme="minorBidi"/>
          <w:szCs w:val="24"/>
          <w:lang w:eastAsia="en-US"/>
        </w:rPr>
        <w:lastRenderedPageBreak/>
        <w:t xml:space="preserve"> </w:t>
      </w:r>
    </w:p>
    <w:p w:rsidR="0078794A" w:rsidRDefault="002F1ED1">
      <w:pPr>
        <w:contextualSpacing/>
        <w:rPr>
          <w:rFonts w:eastAsiaTheme="minorHAnsi" w:cstheme="minorBidi"/>
          <w:szCs w:val="24"/>
          <w:lang w:eastAsia="en-US"/>
        </w:rPr>
      </w:pPr>
      <w:r>
        <w:rPr>
          <w:rFonts w:eastAsiaTheme="minorHAnsi" w:cstheme="minorBidi"/>
          <w:szCs w:val="24"/>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78794A" w:rsidRDefault="002F1ED1">
      <w:pPr>
        <w:contextualSpacing/>
        <w:rPr>
          <w:rFonts w:eastAsiaTheme="minorHAnsi" w:cstheme="minorBidi"/>
          <w:szCs w:val="24"/>
          <w:lang w:eastAsia="en-US"/>
        </w:rPr>
      </w:pPr>
      <w:r>
        <w:rPr>
          <w:rFonts w:eastAsiaTheme="minorHAnsi" w:cstheme="minorBidi"/>
          <w:szCs w:val="24"/>
          <w:lang w:eastAsia="en-US"/>
        </w:rPr>
        <w:t xml:space="preserve"> </w:t>
      </w:r>
    </w:p>
    <w:p w:rsidR="0078794A" w:rsidRDefault="002F1ED1">
      <w:pPr>
        <w:contextualSpacing/>
        <w:rPr>
          <w:rFonts w:eastAsiaTheme="minorHAnsi" w:cstheme="minorBidi"/>
          <w:szCs w:val="24"/>
          <w:lang w:eastAsia="en-US"/>
        </w:rPr>
      </w:pPr>
      <w:r>
        <w:rPr>
          <w:rFonts w:eastAsiaTheme="minorHAnsi" w:cstheme="minorBidi"/>
          <w:szCs w:val="24"/>
          <w:lang w:eastAsia="en-US"/>
        </w:rPr>
        <w:t xml:space="preserve">Por ello, excepcionalmente, si un asunto es resuelto con posterioridad a los plazos señalados por la norma debe analizarse la razonabilidad del tiempo necesario para su resolución, atentos a los siguientes criterios:  </w:t>
      </w:r>
    </w:p>
    <w:p w:rsidR="0078794A" w:rsidRDefault="0078794A">
      <w:pPr>
        <w:contextualSpacing/>
        <w:rPr>
          <w:rFonts w:eastAsiaTheme="minorHAnsi" w:cstheme="minorBidi"/>
          <w:szCs w:val="24"/>
          <w:lang w:eastAsia="en-US"/>
        </w:rPr>
      </w:pPr>
    </w:p>
    <w:p w:rsidR="0078794A" w:rsidRDefault="002F1ED1">
      <w:pPr>
        <w:pStyle w:val="Prrafodelista"/>
        <w:numPr>
          <w:ilvl w:val="0"/>
          <w:numId w:val="1"/>
        </w:numPr>
        <w:contextualSpacing/>
        <w:rPr>
          <w:rFonts w:eastAsiaTheme="minorHAnsi" w:cstheme="minorBidi"/>
          <w:lang w:eastAsia="en-US"/>
        </w:rPr>
      </w:pPr>
      <w:r>
        <w:rPr>
          <w:rFonts w:eastAsiaTheme="minorHAnsi" w:cstheme="minorBidi"/>
          <w:lang w:eastAsia="en-US"/>
        </w:rPr>
        <w:t>Complejidad del asunto: La complejidad de la prueba, la pluralidad de sujetos procesales, el tiempo transcurrido, las características y contexto del recurso.</w:t>
      </w:r>
    </w:p>
    <w:p w:rsidR="0078794A" w:rsidRDefault="002F1ED1">
      <w:pPr>
        <w:pStyle w:val="Prrafodelista"/>
        <w:numPr>
          <w:ilvl w:val="0"/>
          <w:numId w:val="1"/>
        </w:numPr>
        <w:contextualSpacing/>
        <w:rPr>
          <w:rFonts w:eastAsiaTheme="minorHAnsi" w:cstheme="minorBidi"/>
          <w:lang w:eastAsia="en-US"/>
        </w:rPr>
      </w:pPr>
      <w:r>
        <w:rPr>
          <w:rFonts w:eastAsiaTheme="minorHAnsi" w:cstheme="minorBidi"/>
          <w:lang w:eastAsia="en-US"/>
        </w:rPr>
        <w:t>Actividad Procesal del interesado: Acciones u omisiones del interesado.</w:t>
      </w:r>
    </w:p>
    <w:p w:rsidR="0078794A" w:rsidRDefault="002F1ED1">
      <w:pPr>
        <w:pStyle w:val="Prrafodelista"/>
        <w:numPr>
          <w:ilvl w:val="0"/>
          <w:numId w:val="1"/>
        </w:numPr>
        <w:contextualSpacing/>
        <w:rPr>
          <w:rFonts w:eastAsiaTheme="minorHAnsi" w:cstheme="minorBidi"/>
          <w:lang w:eastAsia="en-US"/>
        </w:rPr>
      </w:pPr>
      <w:r>
        <w:rPr>
          <w:rFonts w:eastAsiaTheme="minorHAnsi" w:cstheme="minorBidi"/>
          <w:lang w:eastAsia="en-US"/>
        </w:rPr>
        <w:t>Conducta de la Autoridad: Las Acciones u omisiones realizadas en el procedimiento. Así como si la autoridad actuó con la debida diligencia.</w:t>
      </w:r>
    </w:p>
    <w:p w:rsidR="0078794A" w:rsidRDefault="002F1ED1">
      <w:pPr>
        <w:pStyle w:val="Prrafodelista"/>
        <w:numPr>
          <w:ilvl w:val="0"/>
          <w:numId w:val="1"/>
        </w:numPr>
        <w:contextualSpacing/>
        <w:rPr>
          <w:rFonts w:eastAsiaTheme="minorHAnsi" w:cstheme="minorBidi"/>
          <w:lang w:eastAsia="en-US"/>
        </w:rPr>
      </w:pPr>
      <w:r>
        <w:rPr>
          <w:rFonts w:eastAsiaTheme="minorHAnsi" w:cstheme="minorBidi"/>
          <w:lang w:eastAsia="en-US"/>
        </w:rPr>
        <w:t>La afectación generada en la situación jurídica de la persona involucrada en el proceso: Violación a sus derechos humanos.</w:t>
      </w:r>
    </w:p>
    <w:p w:rsidR="0078794A" w:rsidRDefault="0078794A">
      <w:pPr>
        <w:contextualSpacing/>
        <w:rPr>
          <w:rFonts w:eastAsiaTheme="minorHAnsi" w:cstheme="minorBidi"/>
          <w:szCs w:val="24"/>
          <w:lang w:eastAsia="en-US"/>
        </w:rPr>
      </w:pPr>
    </w:p>
    <w:p w:rsidR="0078794A" w:rsidRDefault="002F1ED1">
      <w:pPr>
        <w:contextualSpacing/>
        <w:rPr>
          <w:rFonts w:eastAsiaTheme="minorHAnsi" w:cstheme="minorBidi"/>
          <w:szCs w:val="24"/>
          <w:lang w:eastAsia="en-US"/>
        </w:rPr>
      </w:pPr>
      <w:r>
        <w:rPr>
          <w:rFonts w:eastAsiaTheme="minorHAnsi" w:cstheme="minorBidi"/>
          <w:szCs w:val="24"/>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78794A" w:rsidRDefault="0078794A">
      <w:pPr>
        <w:contextualSpacing/>
        <w:rPr>
          <w:rFonts w:eastAsiaTheme="minorHAnsi" w:cstheme="minorBidi"/>
          <w:szCs w:val="24"/>
          <w:lang w:eastAsia="en-US"/>
        </w:rPr>
      </w:pPr>
    </w:p>
    <w:p w:rsidR="0078794A" w:rsidRDefault="002F1ED1">
      <w:pPr>
        <w:contextualSpacing/>
        <w:rPr>
          <w:rFonts w:eastAsiaTheme="minorHAnsi" w:cstheme="minorBidi"/>
          <w:szCs w:val="24"/>
          <w:lang w:eastAsia="en-US"/>
        </w:rPr>
      </w:pPr>
      <w:r>
        <w:rPr>
          <w:rFonts w:eastAsiaTheme="minorHAnsi" w:cstheme="minorBidi"/>
          <w:szCs w:val="24"/>
          <w:lang w:eastAsia="en-US"/>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0078794A" w:rsidRDefault="0078794A">
      <w:pPr>
        <w:contextualSpacing/>
        <w:rPr>
          <w:rFonts w:eastAsiaTheme="minorHAnsi" w:cstheme="minorBidi"/>
          <w:szCs w:val="24"/>
          <w:lang w:eastAsia="en-US"/>
        </w:rPr>
      </w:pPr>
    </w:p>
    <w:p w:rsidR="0078794A" w:rsidRDefault="002F1ED1">
      <w:pPr>
        <w:contextualSpacing/>
        <w:rPr>
          <w:rFonts w:eastAsiaTheme="minorHAnsi" w:cstheme="minorBidi"/>
          <w:szCs w:val="24"/>
          <w:lang w:eastAsia="en-US"/>
        </w:rPr>
      </w:pPr>
      <w:r>
        <w:rPr>
          <w:rFonts w:eastAsiaTheme="minorHAnsi" w:cstheme="minorBidi"/>
          <w:szCs w:val="24"/>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 Al respecto, también son de considerar los criterios sostenidos por el Cuarto Tribunal Colegiado en Materia Administrativa del Primer Circuito, cuyos rubros y datos de identificación son los siguientes:</w:t>
      </w:r>
    </w:p>
    <w:p w:rsidR="0078794A" w:rsidRDefault="0078794A">
      <w:pPr>
        <w:contextualSpacing/>
        <w:rPr>
          <w:rFonts w:eastAsiaTheme="minorHAnsi" w:cstheme="minorBidi"/>
          <w:szCs w:val="24"/>
          <w:lang w:eastAsia="en-US"/>
        </w:rPr>
      </w:pPr>
    </w:p>
    <w:p w:rsidR="0078794A" w:rsidRDefault="002F1ED1">
      <w:pPr>
        <w:contextualSpacing/>
        <w:rPr>
          <w:rFonts w:eastAsiaTheme="minorHAnsi" w:cstheme="minorBidi"/>
          <w:szCs w:val="24"/>
          <w:lang w:eastAsia="en-US"/>
        </w:rPr>
      </w:pPr>
      <w:r>
        <w:rPr>
          <w:rFonts w:eastAsiaTheme="minorHAnsi" w:cstheme="minorBidi"/>
          <w:szCs w:val="24"/>
          <w:lang w:eastAsia="en-US"/>
        </w:rPr>
        <w:t>“PLAZO RAZONABLE PARA RESOLVER. DIMENSIÓN Y EFECTOS DE ESTE CONCEPTO CUANDO SE ADUCE EXCESIVA CARGA DE TRABAJO.” consultable en el Seminario Judicial de la Federación y su gaceta, con el registro digital 2002351.</w:t>
      </w:r>
    </w:p>
    <w:p w:rsidR="0078794A" w:rsidRDefault="0078794A">
      <w:pPr>
        <w:contextualSpacing/>
        <w:rPr>
          <w:rFonts w:eastAsiaTheme="minorHAnsi" w:cstheme="minorBidi"/>
          <w:szCs w:val="24"/>
          <w:lang w:eastAsia="en-US"/>
        </w:rPr>
      </w:pPr>
    </w:p>
    <w:p w:rsidR="0078794A" w:rsidRDefault="002F1ED1">
      <w:pPr>
        <w:contextualSpacing/>
        <w:rPr>
          <w:rFonts w:eastAsiaTheme="minorHAnsi" w:cstheme="minorBidi"/>
          <w:szCs w:val="24"/>
          <w:lang w:eastAsia="en-US"/>
        </w:rPr>
      </w:pPr>
      <w:r>
        <w:rPr>
          <w:rFonts w:eastAsiaTheme="minorHAnsi" w:cstheme="minorBidi"/>
          <w:szCs w:val="24"/>
          <w:lang w:eastAsia="en-US"/>
        </w:rPr>
        <w:lastRenderedPageBreak/>
        <w:t>“PLAZO RAZONABLE PARA RESOLVER. CONCEPTO Y ELEMENTOS QUE LO INTEGRAN A LA LUZ DEL DERECHO INTERNACIONAL DE LOS DERECHOS HUMANOS.”, visible en el Seminario Judicial de la Federación y su gaceta, con el registro digital 2002350.</w:t>
      </w:r>
    </w:p>
    <w:p w:rsidR="0078794A" w:rsidRDefault="0078794A">
      <w:pPr>
        <w:contextualSpacing/>
        <w:rPr>
          <w:rFonts w:eastAsiaTheme="minorHAnsi" w:cstheme="minorBidi"/>
          <w:szCs w:val="24"/>
          <w:lang w:eastAsia="en-US"/>
        </w:rPr>
      </w:pPr>
    </w:p>
    <w:p w:rsidR="0078794A" w:rsidRDefault="002F1ED1">
      <w:pPr>
        <w:contextualSpacing/>
        <w:rPr>
          <w:rFonts w:eastAsiaTheme="minorHAnsi" w:cstheme="minorBidi"/>
          <w:szCs w:val="24"/>
          <w:lang w:eastAsia="en-US"/>
        </w:rPr>
      </w:pPr>
      <w:r>
        <w:rPr>
          <w:rFonts w:eastAsiaTheme="minorHAnsi" w:cstheme="minorBidi"/>
          <w:bCs/>
          <w:szCs w:val="24"/>
          <w:lang w:eastAsia="en-US"/>
        </w:rPr>
        <w:t>Por ello, este organismo garante comprometido con la tutela de los derechos humanos confiados señala que este exceso del plazo legal para resolver el presente asunto resulta de carácter excepcional.</w:t>
      </w:r>
    </w:p>
    <w:p w:rsidR="0078794A" w:rsidRDefault="0078794A">
      <w:pPr>
        <w:contextualSpacing/>
        <w:rPr>
          <w:rFonts w:eastAsia="Palatino Linotype" w:cs="Palatino Linotype"/>
          <w:color w:val="000000"/>
          <w:szCs w:val="24"/>
        </w:rPr>
      </w:pPr>
    </w:p>
    <w:p w:rsidR="0078794A" w:rsidRDefault="002F1ED1">
      <w:pPr>
        <w:pStyle w:val="Ttulo1"/>
        <w:rPr>
          <w:rFonts w:eastAsia="Palatino Linotype"/>
        </w:rPr>
      </w:pPr>
      <w:r>
        <w:rPr>
          <w:rFonts w:eastAsia="Palatino Linotype"/>
        </w:rPr>
        <w:t>C O N S I D E R A N D O</w:t>
      </w:r>
    </w:p>
    <w:p w:rsidR="0078794A" w:rsidRDefault="0078794A">
      <w:pPr>
        <w:contextualSpacing/>
        <w:rPr>
          <w:rFonts w:eastAsia="Palatino Linotype" w:cs="Palatino Linotype"/>
          <w:color w:val="000000"/>
          <w:szCs w:val="24"/>
        </w:rPr>
      </w:pPr>
    </w:p>
    <w:p w:rsidR="0078794A" w:rsidRDefault="002F1ED1">
      <w:pPr>
        <w:pStyle w:val="Ttulo2"/>
        <w:rPr>
          <w:rFonts w:eastAsia="Palatino Linotype"/>
        </w:rPr>
      </w:pPr>
      <w:r>
        <w:rPr>
          <w:rFonts w:eastAsia="Palatino Linotype"/>
        </w:rPr>
        <w:t>PRIMERO. De la competencia.</w:t>
      </w:r>
    </w:p>
    <w:p w:rsidR="0078794A" w:rsidRDefault="002F1ED1">
      <w:pPr>
        <w:contextualSpacing/>
        <w:rPr>
          <w:rFonts w:eastAsia="Palatino Linotype" w:cs="Palatino Linotype"/>
          <w:color w:val="000000"/>
          <w:szCs w:val="24"/>
        </w:rPr>
      </w:pPr>
      <w:r>
        <w:rPr>
          <w:rFonts w:eastAsia="Palatino Linotype" w:cs="Palatino Linotype"/>
          <w:color w:val="000000"/>
          <w:szCs w:val="24"/>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rsidR="0078794A" w:rsidRDefault="0078794A">
      <w:pPr>
        <w:contextualSpacing/>
        <w:rPr>
          <w:rFonts w:eastAsia="Palatino Linotype" w:cs="Palatino Linotype"/>
          <w:color w:val="000000"/>
          <w:szCs w:val="24"/>
        </w:rPr>
      </w:pPr>
    </w:p>
    <w:p w:rsidR="0078794A" w:rsidRDefault="002F1ED1">
      <w:pPr>
        <w:pStyle w:val="Ttulo2"/>
        <w:rPr>
          <w:rFonts w:eastAsia="Palatino Linotype"/>
        </w:rPr>
      </w:pPr>
      <w:r>
        <w:rPr>
          <w:rFonts w:eastAsia="Palatino Linotype"/>
        </w:rPr>
        <w:lastRenderedPageBreak/>
        <w:t xml:space="preserve">SEGUNDO. Sobre los alcances del recurso de revisión. </w:t>
      </w:r>
    </w:p>
    <w:p w:rsidR="0078794A" w:rsidRDefault="002F1ED1">
      <w: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78794A" w:rsidRDefault="0078794A">
      <w:pPr>
        <w:contextualSpacing/>
        <w:rPr>
          <w:rFonts w:eastAsia="Palatino Linotype" w:cs="Palatino Linotype"/>
          <w:color w:val="000000"/>
          <w:szCs w:val="24"/>
        </w:rPr>
      </w:pPr>
    </w:p>
    <w:p w:rsidR="0078794A" w:rsidRDefault="002F1ED1">
      <w:pPr>
        <w:pStyle w:val="Ttulo2"/>
        <w:rPr>
          <w:rFonts w:eastAsia="Palatino Linotype"/>
        </w:rPr>
      </w:pPr>
      <w:r>
        <w:rPr>
          <w:rFonts w:eastAsia="Palatino Linotype"/>
        </w:rPr>
        <w:t>TERCERO. De las causas de improcedencia.</w:t>
      </w:r>
    </w:p>
    <w:p w:rsidR="0078794A" w:rsidRDefault="002F1ED1">
      <w:pPr>
        <w:contextualSpacing/>
        <w:rPr>
          <w:rFonts w:eastAsia="Palatino Linotype" w:cs="Palatino Linotype"/>
          <w:color w:val="000000"/>
          <w:szCs w:val="24"/>
        </w:rPr>
      </w:pPr>
      <w:r>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78794A" w:rsidRDefault="0078794A">
      <w:pPr>
        <w:contextualSpacing/>
        <w:rPr>
          <w:rFonts w:eastAsia="Palatino Linotype" w:cs="Palatino Linotype"/>
          <w:color w:val="000000"/>
          <w:szCs w:val="24"/>
        </w:rPr>
      </w:pPr>
    </w:p>
    <w:p w:rsidR="0078794A" w:rsidRDefault="002F1ED1">
      <w:pPr>
        <w:contextualSpacing/>
        <w:rPr>
          <w:rFonts w:eastAsia="Palatino Linotype" w:cs="Palatino Linotype"/>
          <w:color w:val="000000"/>
          <w:szCs w:val="24"/>
        </w:rPr>
      </w:pPr>
      <w:r>
        <w:rPr>
          <w:rFonts w:eastAsia="Palatino Linotype" w:cs="Palatino Linotype"/>
          <w:color w:val="000000"/>
          <w:szCs w:val="24"/>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w:t>
      </w:r>
      <w:r>
        <w:rPr>
          <w:rFonts w:eastAsia="Palatino Linotype" w:cs="Palatino Linotype"/>
          <w:color w:val="000000"/>
          <w:szCs w:val="24"/>
        </w:rPr>
        <w:lastRenderedPageBreak/>
        <w:t>una figura procesal adoptada en la ley de la materia</w:t>
      </w:r>
      <w:r>
        <w:rPr>
          <w:rFonts w:eastAsia="Palatino Linotype" w:cs="Palatino Linotype"/>
          <w:color w:val="000000"/>
          <w:szCs w:val="24"/>
          <w:vertAlign w:val="superscript"/>
        </w:rPr>
        <w:footnoteReference w:id="1"/>
      </w:r>
      <w:r>
        <w:rPr>
          <w:rFonts w:eastAsia="Palatino Linotype" w:cs="Palatino Linotype"/>
          <w:color w:val="000000"/>
          <w:szCs w:val="24"/>
        </w:rPr>
        <w:t>, la cual permite dilucidar alguna causal que impida el estudio y resolución, cuando una vez admitido el recurso de revisión se advierta una causa de improcedencia que permita sobreseerlo, sin estudiar el fondo del asunto.</w:t>
      </w:r>
    </w:p>
    <w:p w:rsidR="0078794A" w:rsidRDefault="0078794A">
      <w:pPr>
        <w:contextualSpacing/>
        <w:rPr>
          <w:rFonts w:eastAsia="Palatino Linotype" w:cs="Palatino Linotype"/>
          <w:color w:val="000000"/>
          <w:szCs w:val="24"/>
        </w:rPr>
      </w:pPr>
    </w:p>
    <w:p w:rsidR="0078794A" w:rsidRDefault="002F1ED1">
      <w:pPr>
        <w:contextualSpacing/>
        <w:rPr>
          <w:rFonts w:eastAsia="Palatino Linotype" w:cs="Palatino Linotype"/>
          <w:color w:val="000000"/>
          <w:szCs w:val="24"/>
        </w:rPr>
      </w:pPr>
      <w:r>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rsidR="0078794A" w:rsidRDefault="0078794A">
      <w:pPr>
        <w:contextualSpacing/>
        <w:rPr>
          <w:rFonts w:eastAsia="Palatino Linotype" w:cs="Palatino Linotype"/>
          <w:color w:val="000000"/>
          <w:szCs w:val="24"/>
        </w:rPr>
      </w:pPr>
    </w:p>
    <w:p w:rsidR="0078794A" w:rsidRDefault="002F1ED1">
      <w:pPr>
        <w:pStyle w:val="Ttulo2"/>
        <w:rPr>
          <w:rFonts w:eastAsia="Palatino Linotype"/>
        </w:rPr>
      </w:pPr>
      <w:r>
        <w:rPr>
          <w:rFonts w:eastAsia="Palatino Linotype"/>
        </w:rPr>
        <w:lastRenderedPageBreak/>
        <w:t>CUARTO. Estudio y resolución del asunto.</w:t>
      </w:r>
    </w:p>
    <w:p w:rsidR="0078794A" w:rsidRDefault="002F1ED1">
      <w:pPr>
        <w:contextualSpacing/>
        <w:rPr>
          <w:rFonts w:eastAsia="Palatino Linotype" w:cs="Palatino Linotype"/>
          <w:color w:val="000000"/>
          <w:szCs w:val="24"/>
        </w:rPr>
      </w:pPr>
      <w:r>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78794A" w:rsidRDefault="0078794A">
      <w:pPr>
        <w:contextualSpacing/>
        <w:rPr>
          <w:rFonts w:eastAsia="Palatino Linotype" w:cs="Palatino Linotype"/>
          <w:color w:val="000000"/>
          <w:szCs w:val="24"/>
        </w:rPr>
      </w:pPr>
    </w:p>
    <w:p w:rsidR="0078794A" w:rsidRDefault="002F1ED1">
      <w:pPr>
        <w:contextualSpacing/>
        <w:rPr>
          <w:rFonts w:eastAsia="Palatino Linotype" w:cs="Palatino Linotype"/>
          <w:color w:val="000000"/>
          <w:szCs w:val="24"/>
        </w:rPr>
      </w:pPr>
      <w:r>
        <w:rPr>
          <w:rFonts w:eastAsia="Palatino Linotype" w:cs="Palatino Linotype"/>
          <w:color w:val="000000"/>
          <w:szCs w:val="24"/>
        </w:rPr>
        <w:t>Por tanto, es conveniente recordar que el hoy Recurrente requirió que se le hiciera entrega del padrón de proveedores y un listado con los contratos de obras, bienes y servicios licitados el municipio, tanto en adjudicación directa, licitación pública e invitación a cuando menos tres personas en desde primero de enero de dos mil doce al veintinueve de abril de dos mil veintidós, solicitando que dicho listado contenga los siguientes datos:</w:t>
      </w:r>
    </w:p>
    <w:p w:rsidR="0078794A" w:rsidRDefault="0078794A">
      <w:pPr>
        <w:contextualSpacing/>
        <w:rPr>
          <w:rFonts w:eastAsia="Palatino Linotype" w:cs="Palatino Linotype"/>
          <w:color w:val="000000"/>
          <w:szCs w:val="24"/>
        </w:rPr>
      </w:pPr>
    </w:p>
    <w:p w:rsidR="0078794A" w:rsidRDefault="002F1ED1">
      <w:pPr>
        <w:pStyle w:val="Prrafodelista"/>
        <w:numPr>
          <w:ilvl w:val="0"/>
          <w:numId w:val="2"/>
        </w:numPr>
        <w:contextualSpacing/>
        <w:rPr>
          <w:rFonts w:eastAsia="Palatino Linotype" w:cs="Palatino Linotype"/>
          <w:color w:val="000000"/>
        </w:rPr>
      </w:pPr>
      <w:r>
        <w:rPr>
          <w:rFonts w:eastAsia="Palatino Linotype" w:cs="Palatino Linotype"/>
          <w:color w:val="000000"/>
        </w:rPr>
        <w:t>Institución.</w:t>
      </w:r>
    </w:p>
    <w:p w:rsidR="0078794A" w:rsidRDefault="002F1ED1">
      <w:pPr>
        <w:pStyle w:val="Prrafodelista"/>
        <w:numPr>
          <w:ilvl w:val="0"/>
          <w:numId w:val="2"/>
        </w:numPr>
        <w:contextualSpacing/>
        <w:rPr>
          <w:rFonts w:eastAsia="Palatino Linotype" w:cs="Palatino Linotype"/>
          <w:color w:val="000000"/>
        </w:rPr>
      </w:pPr>
      <w:r>
        <w:rPr>
          <w:rFonts w:eastAsia="Palatino Linotype" w:cs="Palatino Linotype"/>
          <w:color w:val="000000"/>
        </w:rPr>
        <w:t>Nombre de la UC.</w:t>
      </w:r>
    </w:p>
    <w:p w:rsidR="0078794A" w:rsidRDefault="002F1ED1">
      <w:pPr>
        <w:pStyle w:val="Prrafodelista"/>
        <w:numPr>
          <w:ilvl w:val="0"/>
          <w:numId w:val="2"/>
        </w:numPr>
        <w:contextualSpacing/>
        <w:rPr>
          <w:rFonts w:eastAsia="Palatino Linotype" w:cs="Palatino Linotype"/>
          <w:color w:val="000000"/>
        </w:rPr>
      </w:pPr>
      <w:r>
        <w:rPr>
          <w:rFonts w:eastAsia="Palatino Linotype" w:cs="Palatino Linotype"/>
          <w:color w:val="000000"/>
        </w:rPr>
        <w:t>Responsable de la UC.</w:t>
      </w:r>
    </w:p>
    <w:p w:rsidR="0078794A" w:rsidRDefault="002F1ED1">
      <w:pPr>
        <w:pStyle w:val="Prrafodelista"/>
        <w:numPr>
          <w:ilvl w:val="0"/>
          <w:numId w:val="2"/>
        </w:numPr>
        <w:contextualSpacing/>
        <w:rPr>
          <w:rFonts w:eastAsia="Palatino Linotype" w:cs="Palatino Linotype"/>
          <w:color w:val="000000"/>
        </w:rPr>
      </w:pPr>
      <w:r>
        <w:rPr>
          <w:rFonts w:eastAsia="Palatino Linotype" w:cs="Palatino Linotype"/>
          <w:color w:val="000000"/>
        </w:rPr>
        <w:t>Código del expediente.</w:t>
      </w:r>
    </w:p>
    <w:p w:rsidR="0078794A" w:rsidRDefault="002F1ED1">
      <w:pPr>
        <w:pStyle w:val="Prrafodelista"/>
        <w:numPr>
          <w:ilvl w:val="0"/>
          <w:numId w:val="2"/>
        </w:numPr>
        <w:contextualSpacing/>
        <w:rPr>
          <w:rFonts w:eastAsia="Palatino Linotype" w:cs="Palatino Linotype"/>
          <w:color w:val="000000"/>
        </w:rPr>
      </w:pPr>
      <w:r>
        <w:rPr>
          <w:rFonts w:eastAsia="Palatino Linotype" w:cs="Palatino Linotype"/>
          <w:color w:val="000000"/>
        </w:rPr>
        <w:t>Referencia del expediente.</w:t>
      </w:r>
    </w:p>
    <w:p w:rsidR="0078794A" w:rsidRDefault="002F1ED1">
      <w:pPr>
        <w:pStyle w:val="Prrafodelista"/>
        <w:numPr>
          <w:ilvl w:val="0"/>
          <w:numId w:val="2"/>
        </w:numPr>
        <w:contextualSpacing/>
        <w:rPr>
          <w:rFonts w:eastAsia="Palatino Linotype" w:cs="Palatino Linotype"/>
          <w:color w:val="000000"/>
        </w:rPr>
      </w:pPr>
      <w:r>
        <w:rPr>
          <w:rFonts w:eastAsia="Palatino Linotype" w:cs="Palatino Linotype"/>
          <w:color w:val="000000"/>
        </w:rPr>
        <w:t>Título del expediente.</w:t>
      </w:r>
    </w:p>
    <w:p w:rsidR="0078794A" w:rsidRDefault="002F1ED1">
      <w:pPr>
        <w:pStyle w:val="Prrafodelista"/>
        <w:numPr>
          <w:ilvl w:val="0"/>
          <w:numId w:val="2"/>
        </w:numPr>
        <w:contextualSpacing/>
        <w:rPr>
          <w:rFonts w:eastAsia="Palatino Linotype" w:cs="Palatino Linotype"/>
          <w:color w:val="000000"/>
        </w:rPr>
      </w:pPr>
      <w:r>
        <w:rPr>
          <w:rFonts w:eastAsia="Palatino Linotype" w:cs="Palatino Linotype"/>
          <w:color w:val="000000"/>
        </w:rPr>
        <w:t>Fundamento legal.</w:t>
      </w:r>
    </w:p>
    <w:p w:rsidR="0078794A" w:rsidRDefault="002F1ED1">
      <w:pPr>
        <w:pStyle w:val="Prrafodelista"/>
        <w:numPr>
          <w:ilvl w:val="0"/>
          <w:numId w:val="2"/>
        </w:numPr>
        <w:contextualSpacing/>
        <w:rPr>
          <w:rFonts w:eastAsia="Palatino Linotype" w:cs="Palatino Linotype"/>
          <w:color w:val="000000"/>
        </w:rPr>
      </w:pPr>
      <w:r>
        <w:rPr>
          <w:rFonts w:eastAsia="Palatino Linotype" w:cs="Palatino Linotype"/>
          <w:color w:val="000000"/>
        </w:rPr>
        <w:t>Número del procedimiento.</w:t>
      </w:r>
    </w:p>
    <w:p w:rsidR="0078794A" w:rsidRDefault="002F1ED1">
      <w:pPr>
        <w:pStyle w:val="Prrafodelista"/>
        <w:numPr>
          <w:ilvl w:val="0"/>
          <w:numId w:val="2"/>
        </w:numPr>
        <w:contextualSpacing/>
        <w:rPr>
          <w:rFonts w:eastAsia="Palatino Linotype" w:cs="Palatino Linotype"/>
          <w:color w:val="000000"/>
        </w:rPr>
      </w:pPr>
      <w:r>
        <w:rPr>
          <w:rFonts w:eastAsia="Palatino Linotype" w:cs="Palatino Linotype"/>
          <w:color w:val="000000"/>
        </w:rPr>
        <w:lastRenderedPageBreak/>
        <w:t>Fecha de fallo.</w:t>
      </w:r>
    </w:p>
    <w:p w:rsidR="0078794A" w:rsidRDefault="002F1ED1">
      <w:pPr>
        <w:pStyle w:val="Prrafodelista"/>
        <w:numPr>
          <w:ilvl w:val="0"/>
          <w:numId w:val="2"/>
        </w:numPr>
        <w:contextualSpacing/>
        <w:rPr>
          <w:rFonts w:eastAsia="Palatino Linotype" w:cs="Palatino Linotype"/>
          <w:color w:val="000000"/>
        </w:rPr>
      </w:pPr>
      <w:r>
        <w:rPr>
          <w:rFonts w:eastAsia="Palatino Linotype" w:cs="Palatino Linotype"/>
          <w:color w:val="000000"/>
        </w:rPr>
        <w:t>Fecha de publicación.</w:t>
      </w:r>
    </w:p>
    <w:p w:rsidR="0078794A" w:rsidRDefault="002F1ED1">
      <w:pPr>
        <w:pStyle w:val="Prrafodelista"/>
        <w:numPr>
          <w:ilvl w:val="0"/>
          <w:numId w:val="2"/>
        </w:numPr>
        <w:contextualSpacing/>
        <w:rPr>
          <w:rFonts w:eastAsia="Palatino Linotype" w:cs="Palatino Linotype"/>
          <w:color w:val="000000"/>
        </w:rPr>
      </w:pPr>
      <w:r>
        <w:rPr>
          <w:rFonts w:eastAsia="Palatino Linotype" w:cs="Palatino Linotype"/>
          <w:color w:val="000000"/>
        </w:rPr>
        <w:t>Tipo de contratación.</w:t>
      </w:r>
    </w:p>
    <w:p w:rsidR="0078794A" w:rsidRDefault="002F1ED1">
      <w:pPr>
        <w:pStyle w:val="Prrafodelista"/>
        <w:numPr>
          <w:ilvl w:val="0"/>
          <w:numId w:val="2"/>
        </w:numPr>
        <w:contextualSpacing/>
        <w:rPr>
          <w:rFonts w:eastAsia="Palatino Linotype" w:cs="Palatino Linotype"/>
          <w:color w:val="000000"/>
        </w:rPr>
      </w:pPr>
      <w:r>
        <w:rPr>
          <w:rFonts w:eastAsia="Palatino Linotype" w:cs="Palatino Linotype"/>
          <w:color w:val="000000"/>
        </w:rPr>
        <w:t>Tipo de procedimiento.</w:t>
      </w:r>
    </w:p>
    <w:p w:rsidR="0078794A" w:rsidRDefault="002F1ED1">
      <w:pPr>
        <w:pStyle w:val="Prrafodelista"/>
        <w:numPr>
          <w:ilvl w:val="0"/>
          <w:numId w:val="2"/>
        </w:numPr>
        <w:contextualSpacing/>
        <w:rPr>
          <w:rFonts w:eastAsia="Palatino Linotype" w:cs="Palatino Linotype"/>
          <w:color w:val="000000"/>
        </w:rPr>
      </w:pPr>
      <w:r>
        <w:rPr>
          <w:rFonts w:eastAsia="Palatino Linotype" w:cs="Palatino Linotype"/>
          <w:color w:val="000000"/>
        </w:rPr>
        <w:t>Título de contrato.</w:t>
      </w:r>
    </w:p>
    <w:p w:rsidR="0078794A" w:rsidRDefault="002F1ED1">
      <w:pPr>
        <w:pStyle w:val="Prrafodelista"/>
        <w:numPr>
          <w:ilvl w:val="0"/>
          <w:numId w:val="2"/>
        </w:numPr>
        <w:contextualSpacing/>
        <w:rPr>
          <w:rFonts w:eastAsia="Palatino Linotype" w:cs="Palatino Linotype"/>
          <w:color w:val="000000"/>
        </w:rPr>
      </w:pPr>
      <w:r>
        <w:rPr>
          <w:rFonts w:eastAsia="Palatino Linotype" w:cs="Palatino Linotype"/>
          <w:color w:val="000000"/>
        </w:rPr>
        <w:t>Descripción del contrato.</w:t>
      </w:r>
    </w:p>
    <w:p w:rsidR="0078794A" w:rsidRDefault="002F1ED1">
      <w:pPr>
        <w:pStyle w:val="Prrafodelista"/>
        <w:numPr>
          <w:ilvl w:val="0"/>
          <w:numId w:val="2"/>
        </w:numPr>
        <w:contextualSpacing/>
        <w:rPr>
          <w:rFonts w:eastAsia="Palatino Linotype" w:cs="Palatino Linotype"/>
          <w:color w:val="000000"/>
        </w:rPr>
      </w:pPr>
      <w:r>
        <w:rPr>
          <w:rFonts w:eastAsia="Palatino Linotype" w:cs="Palatino Linotype"/>
          <w:color w:val="000000"/>
        </w:rPr>
        <w:t>Importe del contrato.</w:t>
      </w:r>
    </w:p>
    <w:p w:rsidR="0078794A" w:rsidRDefault="002F1ED1">
      <w:pPr>
        <w:pStyle w:val="Prrafodelista"/>
        <w:numPr>
          <w:ilvl w:val="0"/>
          <w:numId w:val="2"/>
        </w:numPr>
        <w:contextualSpacing/>
        <w:rPr>
          <w:rFonts w:eastAsia="Palatino Linotype" w:cs="Palatino Linotype"/>
          <w:color w:val="000000"/>
        </w:rPr>
      </w:pPr>
      <w:r>
        <w:rPr>
          <w:rFonts w:eastAsia="Palatino Linotype" w:cs="Palatino Linotype"/>
          <w:color w:val="000000"/>
        </w:rPr>
        <w:t>Convenio modificatorio.</w:t>
      </w:r>
    </w:p>
    <w:p w:rsidR="0078794A" w:rsidRDefault="002F1ED1">
      <w:pPr>
        <w:pStyle w:val="Prrafodelista"/>
        <w:numPr>
          <w:ilvl w:val="0"/>
          <w:numId w:val="2"/>
        </w:numPr>
        <w:contextualSpacing/>
        <w:rPr>
          <w:rFonts w:eastAsia="Palatino Linotype" w:cs="Palatino Linotype"/>
          <w:color w:val="000000"/>
        </w:rPr>
      </w:pPr>
      <w:r>
        <w:rPr>
          <w:rFonts w:eastAsia="Palatino Linotype" w:cs="Palatino Linotype"/>
          <w:color w:val="000000"/>
        </w:rPr>
        <w:t>Registro Federal de Contribuyentes (RFC).</w:t>
      </w:r>
    </w:p>
    <w:p w:rsidR="0078794A" w:rsidRDefault="002F1ED1">
      <w:pPr>
        <w:pStyle w:val="Prrafodelista"/>
        <w:numPr>
          <w:ilvl w:val="0"/>
          <w:numId w:val="2"/>
        </w:numPr>
        <w:contextualSpacing/>
        <w:rPr>
          <w:rFonts w:eastAsia="Palatino Linotype" w:cs="Palatino Linotype"/>
          <w:color w:val="000000"/>
        </w:rPr>
      </w:pPr>
      <w:r>
        <w:rPr>
          <w:rFonts w:eastAsia="Palatino Linotype" w:cs="Palatino Linotype"/>
          <w:color w:val="000000"/>
        </w:rPr>
        <w:t>Proveedor o contratista.</w:t>
      </w:r>
    </w:p>
    <w:p w:rsidR="0078794A" w:rsidRDefault="002F1ED1">
      <w:pPr>
        <w:pStyle w:val="Prrafodelista"/>
        <w:numPr>
          <w:ilvl w:val="0"/>
          <w:numId w:val="2"/>
        </w:numPr>
        <w:contextualSpacing/>
        <w:rPr>
          <w:rFonts w:eastAsia="Palatino Linotype" w:cs="Palatino Linotype"/>
          <w:color w:val="000000"/>
        </w:rPr>
      </w:pPr>
      <w:r>
        <w:rPr>
          <w:rFonts w:eastAsia="Palatino Linotype" w:cs="Palatino Linotype"/>
          <w:color w:val="000000"/>
        </w:rPr>
        <w:t>Dirección del anuncio.</w:t>
      </w:r>
    </w:p>
    <w:p w:rsidR="0078794A" w:rsidRDefault="0078794A">
      <w:pPr>
        <w:contextualSpacing/>
        <w:rPr>
          <w:rFonts w:eastAsia="Palatino Linotype" w:cs="Palatino Linotype"/>
          <w:color w:val="000000"/>
          <w:szCs w:val="24"/>
        </w:rPr>
      </w:pPr>
    </w:p>
    <w:p w:rsidR="0078794A" w:rsidRDefault="002F1ED1">
      <w:pPr>
        <w:contextualSpacing/>
        <w:rPr>
          <w:rFonts w:eastAsia="Palatino Linotype" w:cs="Palatino Linotype"/>
          <w:color w:val="000000"/>
          <w:szCs w:val="24"/>
        </w:rPr>
      </w:pPr>
      <w:r>
        <w:rPr>
          <w:rFonts w:eastAsia="Palatino Linotype" w:cs="Palatino Linotype"/>
          <w:color w:val="000000"/>
          <w:szCs w:val="24"/>
        </w:rPr>
        <w:t>A dicha solicitud, el Sujeto Obligado respondió mediante en el SAIMEX y mediante el documento denominado “Molde – Respuesta con Ipomex R.docx”, que la información relativa a las concesiones, contratos, convenios, permisos, licencias o autorizaciones otorgados se encuentra prevista en el artículo 92 fracción XXIX A “Resultados de procedimientos de licitación pública e invitación a cuando menos tres personas realiza”, fracción XXIX B “Resultados de procedimientos de adjudicación directa realizados”, fracción XXXII “Las concesiones, contratos, convenios, permisos, licencias o autorizaciones otorgados, dentro del portal de Información Pública de Oficio Mexiquense (IPOMEX) en la sección correspondiente al municipio de Nicolás Romero, visible en los siguientes enlaces:</w:t>
      </w:r>
    </w:p>
    <w:p w:rsidR="0078794A" w:rsidRDefault="0078794A">
      <w:pPr>
        <w:contextualSpacing/>
        <w:rPr>
          <w:rFonts w:eastAsia="Palatino Linotype" w:cs="Palatino Linotype"/>
          <w:color w:val="000000"/>
          <w:szCs w:val="24"/>
        </w:rPr>
      </w:pPr>
    </w:p>
    <w:p w:rsidR="0078794A" w:rsidRDefault="009B106C">
      <w:pPr>
        <w:contextualSpacing/>
        <w:rPr>
          <w:rFonts w:eastAsia="Palatino Linotype" w:cs="Palatino Linotype"/>
          <w:color w:val="000000"/>
          <w:szCs w:val="24"/>
          <w:u w:val="single"/>
        </w:rPr>
      </w:pPr>
      <w:hyperlink r:id="rId9" w:history="1">
        <w:r w:rsidR="002F1ED1">
          <w:rPr>
            <w:rStyle w:val="Hipervnculo"/>
            <w:rFonts w:eastAsia="Palatino Linotype" w:cs="Palatino Linotype"/>
            <w:szCs w:val="24"/>
          </w:rPr>
          <w:t>https://www.ipomex.org.mx/ipo3/lgt/indice/NICOLASROMERO/art_92_xxix_a.web</w:t>
        </w:r>
      </w:hyperlink>
    </w:p>
    <w:p w:rsidR="0078794A" w:rsidRDefault="009B106C">
      <w:pPr>
        <w:contextualSpacing/>
        <w:rPr>
          <w:rFonts w:eastAsia="Palatino Linotype" w:cs="Palatino Linotype"/>
          <w:color w:val="000000"/>
          <w:szCs w:val="24"/>
          <w:u w:val="single"/>
        </w:rPr>
      </w:pPr>
      <w:hyperlink r:id="rId10" w:history="1">
        <w:r w:rsidR="002F1ED1">
          <w:rPr>
            <w:rStyle w:val="Hipervnculo"/>
            <w:rFonts w:eastAsia="Palatino Linotype" w:cs="Palatino Linotype"/>
            <w:szCs w:val="24"/>
          </w:rPr>
          <w:t>https://www.ipomex.org.mx/ipo3/lgt/indice/NICOLASROMERO/art_92_xxix_b.web</w:t>
        </w:r>
      </w:hyperlink>
    </w:p>
    <w:p w:rsidR="0078794A" w:rsidRDefault="009B106C">
      <w:pPr>
        <w:contextualSpacing/>
        <w:rPr>
          <w:rFonts w:eastAsia="Palatino Linotype" w:cs="Palatino Linotype"/>
          <w:color w:val="000000"/>
          <w:szCs w:val="24"/>
          <w:u w:val="single"/>
        </w:rPr>
      </w:pPr>
      <w:hyperlink r:id="rId11" w:history="1">
        <w:r w:rsidR="002F1ED1">
          <w:rPr>
            <w:rStyle w:val="Hipervnculo"/>
            <w:rFonts w:eastAsia="Palatino Linotype" w:cs="Palatino Linotype"/>
            <w:szCs w:val="24"/>
          </w:rPr>
          <w:t>https://www.ipomex.org.mx/ipo3/lgt/indice/NICOLASROMERO/art_92_xxxii.web</w:t>
        </w:r>
      </w:hyperlink>
    </w:p>
    <w:p w:rsidR="0078794A" w:rsidRDefault="0078794A">
      <w:pPr>
        <w:contextualSpacing/>
        <w:rPr>
          <w:rFonts w:eastAsia="Palatino Linotype" w:cs="Palatino Linotype"/>
          <w:color w:val="000000"/>
          <w:szCs w:val="24"/>
        </w:rPr>
      </w:pPr>
    </w:p>
    <w:p w:rsidR="0078794A" w:rsidRDefault="002F1ED1">
      <w:pPr>
        <w:contextualSpacing/>
        <w:rPr>
          <w:rFonts w:eastAsia="Palatino Linotype" w:cs="Palatino Linotype"/>
          <w:color w:val="000000"/>
          <w:szCs w:val="24"/>
        </w:rPr>
      </w:pPr>
      <w:r>
        <w:rPr>
          <w:rFonts w:eastAsia="Palatino Linotype" w:cs="Palatino Linotype"/>
          <w:color w:val="000000"/>
          <w:szCs w:val="24"/>
        </w:rPr>
        <w:t>Asimismo, se hizo del conocimiento del Recurrente el proceso para ingresar a los enlaces referidos.</w:t>
      </w:r>
    </w:p>
    <w:p w:rsidR="0078794A" w:rsidRDefault="0078794A">
      <w:pPr>
        <w:contextualSpacing/>
        <w:rPr>
          <w:rFonts w:eastAsia="Palatino Linotype" w:cs="Palatino Linotype"/>
          <w:color w:val="000000"/>
          <w:szCs w:val="24"/>
        </w:rPr>
      </w:pPr>
    </w:p>
    <w:p w:rsidR="0078794A" w:rsidRDefault="002F1ED1">
      <w:pPr>
        <w:contextualSpacing/>
        <w:rPr>
          <w:rFonts w:eastAsia="Palatino Linotype" w:cs="Palatino Linotype"/>
          <w:color w:val="000000"/>
          <w:szCs w:val="24"/>
        </w:rPr>
      </w:pPr>
      <w:r>
        <w:rPr>
          <w:rFonts w:eastAsia="Palatino Linotype" w:cs="Palatino Linotype"/>
          <w:color w:val="000000"/>
          <w:szCs w:val="24"/>
        </w:rPr>
        <w:t>Ante la respuesta emitida por el Sujeto Obligado, el Recurrente consideró que su derecho a la información pública había sido conculcado, por lo que interpuso el recurso de revisión al rubro citado, señalando como acto impugnado y razones o motivos de inconformidad que en la información entregada no viene con el detalle solicitado y que no está subida desde el plazo solicitado.</w:t>
      </w:r>
    </w:p>
    <w:p w:rsidR="0078794A" w:rsidRDefault="0078794A">
      <w:pPr>
        <w:contextualSpacing/>
        <w:rPr>
          <w:rFonts w:eastAsia="Palatino Linotype" w:cs="Palatino Linotype"/>
          <w:color w:val="000000"/>
          <w:szCs w:val="24"/>
        </w:rPr>
      </w:pPr>
    </w:p>
    <w:p w:rsidR="0078794A" w:rsidRDefault="002F1ED1">
      <w:pPr>
        <w:contextualSpacing/>
      </w:pPr>
      <w:r>
        <w:t>Se debe resaltar que ninguna de las partes realizó manifestaciones durante la etapa de instrucción en el presente procedimiento. En consecuencia, es necesario precisar que, toda vez que el Sujeto Obligado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rsidR="0078794A" w:rsidRDefault="0078794A">
      <w:pPr>
        <w:contextualSpacing/>
        <w:rPr>
          <w:rFonts w:eastAsia="Palatino Linotype" w:cs="Palatino Linotype"/>
          <w:color w:val="000000"/>
          <w:szCs w:val="24"/>
        </w:rPr>
      </w:pPr>
    </w:p>
    <w:p w:rsidR="0078794A" w:rsidRDefault="002F1ED1">
      <w:pPr>
        <w:contextualSpacing/>
        <w:rPr>
          <w:rFonts w:eastAsia="Palatino Linotype" w:cs="Palatino Linotype"/>
          <w:color w:val="000000"/>
          <w:szCs w:val="24"/>
        </w:rPr>
      </w:pPr>
      <w:r>
        <w:rPr>
          <w:rFonts w:eastAsia="Palatino Linotype" w:cs="Palatino Linotype"/>
          <w:color w:val="000000"/>
          <w:szCs w:val="24"/>
        </w:rPr>
        <w:t xml:space="preserve">Ahora bien, quedando establecido lo anterior, este Órgano Garante considera viable realizar el estudio en aras de establecer si la respuesta del Sujeto Obligado colma la pretensión del Recurrente, así como calificar los motivos de inconformidad del particular. </w:t>
      </w:r>
    </w:p>
    <w:p w:rsidR="0078794A" w:rsidRDefault="0078794A">
      <w:pPr>
        <w:contextualSpacing/>
        <w:rPr>
          <w:rFonts w:eastAsia="Palatino Linotype" w:cs="Palatino Linotype"/>
          <w:color w:val="000000"/>
          <w:szCs w:val="24"/>
        </w:rPr>
      </w:pPr>
    </w:p>
    <w:p w:rsidR="0078794A" w:rsidRDefault="002F1ED1">
      <w:pPr>
        <w:contextualSpacing/>
        <w:rPr>
          <w:rFonts w:eastAsia="Palatino Linotype" w:cs="Palatino Linotype"/>
          <w:color w:val="000000"/>
          <w:szCs w:val="24"/>
        </w:rPr>
      </w:pPr>
      <w:r>
        <w:rPr>
          <w:rFonts w:eastAsia="Palatino Linotype" w:cs="Palatino Linotype"/>
          <w:color w:val="000000"/>
          <w:szCs w:val="24"/>
        </w:rPr>
        <w:lastRenderedPageBreak/>
        <w:t>En este sentido, es pertinente enfatizar lo que, respecto al derecho de acceso a la información pública, refiere el artículo 6° de la Constitución Política de los Estados Unidos Mexicanos, que en su parte conducente señala:</w:t>
      </w:r>
    </w:p>
    <w:p w:rsidR="0078794A" w:rsidRDefault="0078794A">
      <w:pPr>
        <w:contextualSpacing/>
        <w:rPr>
          <w:rFonts w:eastAsia="Palatino Linotype" w:cs="Palatino Linotype"/>
          <w:color w:val="000000"/>
          <w:szCs w:val="24"/>
        </w:rPr>
      </w:pPr>
    </w:p>
    <w:p w:rsidR="0078794A" w:rsidRDefault="002F1ED1">
      <w:pPr>
        <w:pStyle w:val="Fundamentos"/>
      </w:pPr>
      <w:r>
        <w:rPr>
          <w:b/>
        </w:rPr>
        <w:t>Artículo 6o.</w:t>
      </w:r>
      <w: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Pr>
          <w:b/>
        </w:rPr>
        <w:t>El derecho a la información será garantizado por el Estado.</w:t>
      </w:r>
      <w:r>
        <w:t xml:space="preserve"> </w:t>
      </w:r>
    </w:p>
    <w:p w:rsidR="0078794A" w:rsidRDefault="0078794A">
      <w:pPr>
        <w:pStyle w:val="Fundamentos"/>
      </w:pPr>
    </w:p>
    <w:p w:rsidR="0078794A" w:rsidRDefault="002F1ED1">
      <w:pPr>
        <w:pStyle w:val="Fundamentos"/>
      </w:pPr>
      <w:r>
        <w:t>Toda persona tiene derecho al libre acceso a información plural y oportuna, así como a buscar, recibir y difundir información e ideas de toda índole por cualquier medio de expresión.</w:t>
      </w:r>
    </w:p>
    <w:p w:rsidR="0078794A" w:rsidRDefault="0078794A">
      <w:pPr>
        <w:pStyle w:val="Fundamentos"/>
      </w:pPr>
    </w:p>
    <w:p w:rsidR="0078794A" w:rsidRDefault="002F1ED1">
      <w:pPr>
        <w:pStyle w:val="Fundamentos"/>
      </w:pPr>
      <w:r>
        <w:t>Para efectos de lo dispuesto en el presente artículo se observará lo siguiente:</w:t>
      </w:r>
    </w:p>
    <w:p w:rsidR="0078794A" w:rsidRDefault="0078794A">
      <w:pPr>
        <w:pStyle w:val="Fundamentos"/>
      </w:pPr>
    </w:p>
    <w:p w:rsidR="0078794A" w:rsidRDefault="002F1ED1">
      <w:pPr>
        <w:pStyle w:val="Fundamentos"/>
      </w:pPr>
      <w:r>
        <w:t>A. Para el ejercicio del derecho de acceso a la información, la Federación, los Estados y el Distrito Federal, en el ámbito de sus respectivas competencias, se regirán por los siguientes principios y bases:</w:t>
      </w:r>
    </w:p>
    <w:p w:rsidR="0078794A" w:rsidRDefault="0078794A">
      <w:pPr>
        <w:pStyle w:val="Fundamentos"/>
      </w:pPr>
    </w:p>
    <w:p w:rsidR="0078794A" w:rsidRDefault="002F1ED1">
      <w:pPr>
        <w:pStyle w:val="Fundamentos"/>
      </w:pPr>
      <w:r>
        <w:rPr>
          <w:b/>
        </w:rPr>
        <w:t>I. Toda la información en posesión de</w:t>
      </w:r>
      <w:r>
        <w:t xml:space="preserve"> </w:t>
      </w:r>
      <w:r>
        <w:rPr>
          <w:b/>
        </w:rPr>
        <w:t>cualquier autoridad</w:t>
      </w:r>
      <w: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Pr>
          <w:b/>
        </w:rPr>
        <w:t>en el ámbito federal, estatal y municipal, es pública</w:t>
      </w:r>
      <w:r>
        <w:t xml:space="preserve"> y sólo podrá ser reservada temporalmente por razones de interés público y seguridad nacional, en los términos que fijen las leyes. En la interpretación de este derecho deberá prevalecer el principio de máxima publicidad. </w:t>
      </w:r>
      <w:r>
        <w:rPr>
          <w:b/>
        </w:rPr>
        <w:t>Los sujetos obligados deberán documentar todo acto que derive del ejercicio de sus facultades, competencias o funciones</w:t>
      </w:r>
      <w:r>
        <w:t>, la ley determinará los supuestos específicos bajo los cuales procederá la declaración de inexistencia de la información.</w:t>
      </w:r>
    </w:p>
    <w:p w:rsidR="0078794A" w:rsidRDefault="002F1ED1">
      <w:pPr>
        <w:pStyle w:val="Fundamentos"/>
      </w:pPr>
      <w:r>
        <w:t>II. La información que se refiere a la vida privada y los datos personales será protegida en los términos y con las excepciones que fijen las leyes.</w:t>
      </w:r>
    </w:p>
    <w:p w:rsidR="0078794A" w:rsidRDefault="002F1ED1">
      <w:pPr>
        <w:pStyle w:val="Fundamentos"/>
      </w:pPr>
      <w:r>
        <w:t>III. Toda persona, sin necesidad de acreditar interés alguno o justificar su utilización, tendrá acceso gratuito a la información pública, a sus datos personales o a la rectificación de éstos.</w:t>
      </w:r>
    </w:p>
    <w:p w:rsidR="0078794A" w:rsidRDefault="002F1ED1">
      <w:pPr>
        <w:pStyle w:val="Fundamentos"/>
      </w:pPr>
      <w:r>
        <w:t>IV.   Se establecerán mecanismos de acceso a la información y procedimientos de revisión expeditos que se sustanciarán ante los organismos autónomos especializados e imparciales que establece esta Constitución.</w:t>
      </w:r>
    </w:p>
    <w:p w:rsidR="0078794A" w:rsidRDefault="002F1ED1">
      <w:pPr>
        <w:pStyle w:val="Fundamentos"/>
      </w:pPr>
      <w:r>
        <w:rPr>
          <w:b/>
        </w:rPr>
        <w:lastRenderedPageBreak/>
        <w:t>V. Los sujetos obligados deberán preservar sus documentos en archivos administrativos actualizados y publicarán, a través de los medios electrónicos disponibles</w:t>
      </w:r>
      <w:r>
        <w:t xml:space="preserve">, </w:t>
      </w:r>
      <w:r>
        <w:rPr>
          <w:b/>
        </w:rPr>
        <w:t xml:space="preserve">la información completa y actualizada sobre el ejercicio de los recursos públicos </w:t>
      </w:r>
      <w:r>
        <w:t>y los indicadores que permitan rendir cuenta del cumplimiento de sus objetivos y de los resultados obtenidos.</w:t>
      </w:r>
    </w:p>
    <w:p w:rsidR="0078794A" w:rsidRDefault="002F1ED1">
      <w:pPr>
        <w:pStyle w:val="Fundamentos"/>
      </w:pPr>
      <w:r>
        <w:t>VI. Las leyes determinarán la manera en que los sujetos obligados deberán hacer pública la información relativa a los recursos públicos que entreguen a personas físicas o morales.</w:t>
      </w:r>
    </w:p>
    <w:p w:rsidR="0078794A" w:rsidRDefault="002F1ED1">
      <w:pPr>
        <w:pStyle w:val="Fundamentos"/>
      </w:pPr>
      <w:r>
        <w:t>VII. La inobservancia a las disposiciones en materia de acceso a la información pública será sancionada en los términos que dispongan las leyes.</w:t>
      </w:r>
    </w:p>
    <w:p w:rsidR="0078794A" w:rsidRDefault="002F1ED1">
      <w:pPr>
        <w:pStyle w:val="Fundamentos"/>
      </w:pPr>
      <w: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78794A" w:rsidRDefault="002F1ED1">
      <w:pPr>
        <w:pStyle w:val="Fundamentos"/>
      </w:pPr>
      <w:r>
        <w:t>…</w:t>
      </w:r>
    </w:p>
    <w:p w:rsidR="0078794A" w:rsidRDefault="002F1ED1">
      <w:pPr>
        <w:pStyle w:val="Fundamentos"/>
      </w:pPr>
      <w:r>
        <w:t>La ley establecerá aquella información que se considere reservada o confidencial.</w:t>
      </w:r>
    </w:p>
    <w:p w:rsidR="0078794A" w:rsidRDefault="0078794A">
      <w:pPr>
        <w:contextualSpacing/>
        <w:rPr>
          <w:rFonts w:eastAsia="Palatino Linotype" w:cs="Palatino Linotype"/>
          <w:color w:val="000000"/>
          <w:szCs w:val="24"/>
        </w:rPr>
      </w:pPr>
    </w:p>
    <w:p w:rsidR="0078794A" w:rsidRDefault="002F1ED1">
      <w:pPr>
        <w:contextualSpacing/>
        <w:rPr>
          <w:rFonts w:eastAsia="Palatino Linotype" w:cs="Palatino Linotype"/>
          <w:color w:val="000000"/>
          <w:szCs w:val="24"/>
        </w:rPr>
      </w:pPr>
      <w:r>
        <w:rPr>
          <w:rFonts w:eastAsia="Palatino Linotype" w:cs="Palatino Linotype"/>
          <w:color w:val="000000"/>
          <w:szCs w:val="24"/>
        </w:rPr>
        <w:t>Por su parte, la Constitución Política del Estado Libre y Soberano de México, en su artículo 5°, dispone en su parte conducente, lo siguiente:</w:t>
      </w:r>
    </w:p>
    <w:p w:rsidR="0078794A" w:rsidRDefault="0078794A">
      <w:pPr>
        <w:contextualSpacing/>
        <w:rPr>
          <w:rFonts w:eastAsia="Palatino Linotype" w:cs="Palatino Linotype"/>
          <w:color w:val="000000"/>
          <w:szCs w:val="24"/>
        </w:rPr>
      </w:pPr>
    </w:p>
    <w:p w:rsidR="0078794A" w:rsidRDefault="002F1ED1">
      <w:pPr>
        <w:pStyle w:val="Fundamentos"/>
      </w:pPr>
      <w:r>
        <w:rPr>
          <w:b/>
          <w:bCs/>
        </w:rPr>
        <w:t>Artículo 5.</w:t>
      </w:r>
      <w:r>
        <w:t xml:space="preserve"> (…) </w:t>
      </w:r>
    </w:p>
    <w:p w:rsidR="0078794A" w:rsidRDefault="002F1ED1">
      <w:pPr>
        <w:pStyle w:val="Fundamentos"/>
      </w:pPr>
      <w:r>
        <w:t xml:space="preserve">El derecho a la información será garantizado por el Estado. La ley establecerá las previsiones que permitan asegurar la protección, el respeto y la difusión de este derecho. </w:t>
      </w:r>
    </w:p>
    <w:p w:rsidR="0078794A" w:rsidRDefault="0078794A">
      <w:pPr>
        <w:pStyle w:val="Fundamentos"/>
      </w:pPr>
    </w:p>
    <w:p w:rsidR="0078794A" w:rsidRDefault="002F1ED1">
      <w:pPr>
        <w:pStyle w:val="Fundamentos"/>
      </w:pPr>
      <w: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78794A" w:rsidRDefault="0078794A">
      <w:pPr>
        <w:pStyle w:val="Fundamentos"/>
      </w:pPr>
    </w:p>
    <w:p w:rsidR="0078794A" w:rsidRDefault="002F1ED1">
      <w:pPr>
        <w:pStyle w:val="Fundamentos"/>
      </w:pPr>
      <w:r>
        <w:t>Este derecho se regirá por los principios y bases siguientes:</w:t>
      </w:r>
    </w:p>
    <w:p w:rsidR="0078794A" w:rsidRDefault="0078794A">
      <w:pPr>
        <w:pStyle w:val="Fundamentos"/>
      </w:pPr>
    </w:p>
    <w:p w:rsidR="0078794A" w:rsidRDefault="002F1ED1">
      <w:pPr>
        <w:pStyle w:val="Fundamentos"/>
      </w:pPr>
      <w:r>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w:t>
      </w:r>
      <w:r>
        <w:lastRenderedPageBreak/>
        <w:t>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8794A" w:rsidRDefault="002F1ED1">
      <w:pPr>
        <w:pStyle w:val="Fundamentos"/>
      </w:pPr>
      <w:r>
        <w:t>II. La información referente a la intimidad de la vida privada y la imagen de las personas será protegida a través de un marco jurídico rígido de tratamiento y manejo de datos personales, con las excepciones que establezca la ley reglamentaria.</w:t>
      </w:r>
    </w:p>
    <w:p w:rsidR="0078794A" w:rsidRDefault="002F1ED1">
      <w:pPr>
        <w:pStyle w:val="Fundamentos"/>
      </w:pPr>
      <w:r>
        <w:t>III. Toda persona, sin necesidad de acreditar interés alguno o justificar su utilización, tendrá acceso gratuito a la información pública, a sus datos personales o a la rectificación de éstos.</w:t>
      </w:r>
    </w:p>
    <w:p w:rsidR="0078794A" w:rsidRDefault="002F1ED1">
      <w:pPr>
        <w:pStyle w:val="Fundamentos"/>
      </w:pPr>
      <w:r>
        <w:t>IV. Se establecerán mecanismos de acceso a la información y procedimientos de revisión expeditos que se sustanciarán ante el organismo autónomo especializado e imparcial que establece esta Constitución.</w:t>
      </w:r>
    </w:p>
    <w:p w:rsidR="0078794A" w:rsidRDefault="002F1ED1">
      <w:pPr>
        <w:pStyle w:val="Fundamentos"/>
      </w:pPr>
      <w: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78794A" w:rsidRDefault="002F1ED1">
      <w:pPr>
        <w:pStyle w:val="Fundamentos"/>
      </w:pPr>
      <w: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78794A" w:rsidRDefault="002F1ED1">
      <w:pPr>
        <w:pStyle w:val="Fundamentos"/>
      </w:pPr>
      <w:r>
        <w:t>VII. La ley reglamentaria, determinará la manera en que los sujetos obligados deberán hacer pública la información relativa a los recursos públicos que entreguen a personas físicas o jurídicas colectivas.</w:t>
      </w:r>
    </w:p>
    <w:p w:rsidR="0078794A" w:rsidRDefault="0078794A">
      <w:pPr>
        <w:contextualSpacing/>
        <w:rPr>
          <w:rFonts w:eastAsia="Palatino Linotype" w:cs="Palatino Linotype"/>
          <w:color w:val="000000"/>
          <w:szCs w:val="24"/>
        </w:rPr>
      </w:pPr>
    </w:p>
    <w:p w:rsidR="0078794A" w:rsidRDefault="002F1ED1">
      <w:pPr>
        <w:rPr>
          <w:rFonts w:eastAsia="Palatino Linotype" w:cs="Palatino Linotype"/>
          <w:szCs w:val="24"/>
        </w:rPr>
      </w:pPr>
      <w:r>
        <w:rPr>
          <w:rFonts w:eastAsia="Palatino Linotype" w:cs="Palatino Linotype"/>
          <w:szCs w:val="24"/>
        </w:rPr>
        <w:t>En ese orden de ideas, la Ley de Transparencia y Acceso a la Información Pública del Estado de México y Municipios, prevé en su artículo 23, fracción IV, lo siguiente:</w:t>
      </w:r>
    </w:p>
    <w:p w:rsidR="0078794A" w:rsidRDefault="0078794A">
      <w:pPr>
        <w:rPr>
          <w:rFonts w:eastAsia="Palatino Linotype" w:cs="Palatino Linotype"/>
          <w:szCs w:val="24"/>
        </w:rPr>
      </w:pPr>
    </w:p>
    <w:p w:rsidR="0078794A" w:rsidRDefault="002F1ED1">
      <w:pPr>
        <w:pStyle w:val="Fundamentos"/>
      </w:pPr>
      <w:r>
        <w:rPr>
          <w:b/>
        </w:rPr>
        <w:t>Artículo 23.</w:t>
      </w:r>
      <w:r>
        <w:t xml:space="preserve"> Son sujetos obligados a transparentar y permitir el acceso a su información y proteger los datos personales que obren en su poder:</w:t>
      </w:r>
    </w:p>
    <w:p w:rsidR="0078794A" w:rsidRDefault="002F1ED1">
      <w:pPr>
        <w:pStyle w:val="Fundamentos"/>
      </w:pPr>
      <w:r>
        <w:t>(…)</w:t>
      </w:r>
    </w:p>
    <w:p w:rsidR="0078794A" w:rsidRDefault="002F1ED1">
      <w:pPr>
        <w:pStyle w:val="Fundamentos"/>
      </w:pPr>
      <w:r>
        <w:rPr>
          <w:b/>
          <w:bCs/>
        </w:rPr>
        <w:lastRenderedPageBreak/>
        <w:t>IV.</w:t>
      </w:r>
      <w:r>
        <w:t xml:space="preserve"> Los ayuntamientos y las dependencias, organismos, órganos y entidades de la administración municipal;</w:t>
      </w:r>
    </w:p>
    <w:p w:rsidR="0078794A" w:rsidRDefault="002F1ED1">
      <w:pPr>
        <w:pStyle w:val="Fundamentos"/>
      </w:pPr>
      <w:r>
        <w:t>(…)</w:t>
      </w:r>
    </w:p>
    <w:p w:rsidR="0078794A" w:rsidRDefault="0078794A">
      <w:pPr>
        <w:contextualSpacing/>
        <w:rPr>
          <w:rFonts w:eastAsia="Palatino Linotype" w:cs="Palatino Linotype"/>
          <w:color w:val="000000"/>
          <w:szCs w:val="24"/>
        </w:rPr>
      </w:pPr>
    </w:p>
    <w:p w:rsidR="0078794A" w:rsidRDefault="002F1ED1">
      <w:pPr>
        <w:contextualSpacing/>
        <w:rPr>
          <w:rFonts w:eastAsia="Palatino Linotype" w:cs="Palatino Linotype"/>
          <w:color w:val="000000"/>
          <w:szCs w:val="24"/>
        </w:rPr>
      </w:pPr>
      <w:r>
        <w:rPr>
          <w:rFonts w:eastAsia="Palatino Linotype" w:cs="Palatino Linotype"/>
          <w:color w:val="000000"/>
          <w:szCs w:val="24"/>
        </w:rPr>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incluidos los sindicatos, con el fin de que los particulares conozcan toda aquella información que es considerada como pública.</w:t>
      </w:r>
    </w:p>
    <w:p w:rsidR="0078794A" w:rsidRDefault="0078794A">
      <w:pPr>
        <w:contextualSpacing/>
        <w:rPr>
          <w:rFonts w:eastAsia="Palatino Linotype" w:cs="Palatino Linotype"/>
          <w:color w:val="000000"/>
          <w:szCs w:val="24"/>
        </w:rPr>
      </w:pPr>
    </w:p>
    <w:p w:rsidR="0078794A" w:rsidRDefault="002F1ED1">
      <w:pPr>
        <w:rPr>
          <w:rFonts w:eastAsia="Times New Roman" w:cs="Times New Roman"/>
          <w:lang w:eastAsia="es-ES"/>
        </w:rPr>
      </w:pPr>
      <w:r>
        <w:rPr>
          <w:rFonts w:eastAsia="Palatino Linotype" w:cs="Palatino Linotype"/>
          <w:szCs w:val="24"/>
        </w:rPr>
        <w:t xml:space="preserve">En segundo término, se debe resaltar que el Sujeto Obligado no negó la existencia de la información, sino que manifestó que ésta forma parte de las obligaciones de transparencia común previstas en el artículo 192 de la Ley de la materia, por lo que puede ser consultada en el portal IPOMEX. De ese modo, </w:t>
      </w:r>
      <w:r>
        <w:rPr>
          <w:rFonts w:eastAsia="Times New Roman" w:cs="Arial"/>
          <w:lang w:eastAsia="es-ES"/>
        </w:rPr>
        <w:t xml:space="preserve">tomando en cuenta la respuesta proporcionada por parte del Sujeto Obligado, </w:t>
      </w:r>
      <w:r>
        <w:rPr>
          <w:rFonts w:eastAsia="Times New Roman" w:cs="Times New Roman"/>
          <w:lang w:eastAsia="es-ES"/>
        </w:rPr>
        <w:t>es necesario señalar que se omite el estudio de la naturaleza jurídica de la información pública solicitada toda vez que se deduce que existe una aceptación por parte del Sujeto Obligado que genera, administra o posee dicha información, derivada del ejercicio de sus funciones de derecho público.</w:t>
      </w:r>
    </w:p>
    <w:p w:rsidR="0078794A" w:rsidRDefault="0078794A">
      <w:pPr>
        <w:rPr>
          <w:rFonts w:eastAsia="Times New Roman" w:cs="Times New Roman"/>
          <w:lang w:eastAsia="es-ES"/>
        </w:rPr>
      </w:pPr>
    </w:p>
    <w:p w:rsidR="0078794A" w:rsidRDefault="002F1ED1">
      <w:pPr>
        <w:contextualSpacing/>
        <w:rPr>
          <w:rFonts w:eastAsia="Palatino Linotype" w:cs="Palatino Linotype"/>
          <w:szCs w:val="24"/>
        </w:rPr>
      </w:pPr>
      <w:r>
        <w:rPr>
          <w:rFonts w:eastAsia="Times New Roman" w:cs="Times New Roman"/>
          <w:lang w:eastAsia="es-ES"/>
        </w:rPr>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innecesario realizar el estudio correspondiente, y a nada práctico conduciría llevar a cabo dicho estudio.</w:t>
      </w:r>
    </w:p>
    <w:p w:rsidR="0078794A" w:rsidRDefault="0078794A">
      <w:pPr>
        <w:contextualSpacing/>
        <w:rPr>
          <w:rFonts w:eastAsia="Palatino Linotype" w:cs="Palatino Linotype"/>
          <w:szCs w:val="24"/>
        </w:rPr>
      </w:pPr>
    </w:p>
    <w:p w:rsidR="0078794A" w:rsidRDefault="002F1ED1">
      <w:pPr>
        <w:contextualSpacing/>
        <w:rPr>
          <w:rFonts w:eastAsia="Palatino Linotype" w:cs="Palatino Linotype"/>
          <w:szCs w:val="24"/>
        </w:rPr>
      </w:pPr>
      <w:r>
        <w:rPr>
          <w:rFonts w:eastAsia="Palatino Linotype" w:cs="Palatino Linotype"/>
          <w:szCs w:val="24"/>
        </w:rPr>
        <w:lastRenderedPageBreak/>
        <w:t>Ahora bien, se tiene que la respuesta no satisfizo la pretensión del Recurrente, pues éste señaló que no contenía todos los rubros solicitados ni se encontraba la información de todo el periodo solicitado. Por tanto, se debe entender que el Recurrente se inconformó respecto del contenido y la temporalidad de la información proporcionada por el Sujeto Obligado.</w:t>
      </w:r>
    </w:p>
    <w:p w:rsidR="0078794A" w:rsidRDefault="0078794A">
      <w:pPr>
        <w:contextualSpacing/>
        <w:rPr>
          <w:rFonts w:eastAsia="Palatino Linotype" w:cs="Palatino Linotype"/>
          <w:szCs w:val="24"/>
        </w:rPr>
      </w:pPr>
    </w:p>
    <w:p w:rsidR="0078794A" w:rsidRDefault="002F1ED1">
      <w:pPr>
        <w:contextualSpacing/>
        <w:rPr>
          <w:rFonts w:eastAsia="Palatino Linotype" w:cs="Palatino Linotype"/>
          <w:szCs w:val="24"/>
        </w:rPr>
      </w:pPr>
      <w:r>
        <w:rPr>
          <w:rFonts w:eastAsia="Palatino Linotype" w:cs="Palatino Linotype"/>
          <w:szCs w:val="24"/>
        </w:rPr>
        <w:t>Así, se tiene que las páginas a las que dirigen los enlaces remitidos por el Sujeto Obligado contienen la siguiente información:</w:t>
      </w:r>
    </w:p>
    <w:p w:rsidR="0078794A" w:rsidRDefault="0078794A">
      <w:pPr>
        <w:contextualSpacing/>
        <w:rPr>
          <w:rFonts w:eastAsia="Palatino Linotype" w:cs="Palatino Linotype"/>
          <w:szCs w:val="24"/>
        </w:rPr>
      </w:pPr>
    </w:p>
    <w:p w:rsidR="0078794A" w:rsidRDefault="009B106C">
      <w:pPr>
        <w:contextualSpacing/>
        <w:rPr>
          <w:rFonts w:eastAsia="Palatino Linotype" w:cs="Palatino Linotype"/>
          <w:szCs w:val="24"/>
          <w:u w:val="single"/>
        </w:rPr>
      </w:pPr>
      <w:hyperlink r:id="rId12" w:history="1">
        <w:r w:rsidR="002F1ED1">
          <w:rPr>
            <w:rStyle w:val="Hipervnculo"/>
            <w:rFonts w:eastAsia="Palatino Linotype" w:cs="Palatino Linotype"/>
            <w:szCs w:val="24"/>
          </w:rPr>
          <w:t>https://www.ipomex.org.mx/ipo3/lgt/indice/NICOLASROMERO/art_92_xxix_a.web</w:t>
        </w:r>
      </w:hyperlink>
    </w:p>
    <w:p w:rsidR="0078794A" w:rsidRDefault="002F1ED1">
      <w:pPr>
        <w:contextualSpacing/>
        <w:jc w:val="center"/>
        <w:rPr>
          <w:rFonts w:eastAsia="Palatino Linotype" w:cs="Palatino Linotype"/>
          <w:szCs w:val="24"/>
        </w:rPr>
      </w:pPr>
      <w:r>
        <w:rPr>
          <w:rFonts w:eastAsia="Palatino Linotype" w:cs="Palatino Linotype"/>
          <w:noProof/>
          <w:szCs w:val="24"/>
        </w:rPr>
        <w:drawing>
          <wp:inline distT="0" distB="0" distL="0" distR="0">
            <wp:extent cx="5017770" cy="427609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23348" cy="4366401"/>
                    </a:xfrm>
                    <a:prstGeom prst="rect">
                      <a:avLst/>
                    </a:prstGeom>
                  </pic:spPr>
                </pic:pic>
              </a:graphicData>
            </a:graphic>
          </wp:inline>
        </w:drawing>
      </w:r>
    </w:p>
    <w:p w:rsidR="0078794A" w:rsidRDefault="0078794A">
      <w:pPr>
        <w:contextualSpacing/>
        <w:rPr>
          <w:rFonts w:eastAsia="Palatino Linotype" w:cs="Palatino Linotype"/>
          <w:szCs w:val="24"/>
        </w:rPr>
      </w:pPr>
    </w:p>
    <w:p w:rsidR="0078794A" w:rsidRDefault="009B106C">
      <w:pPr>
        <w:contextualSpacing/>
        <w:rPr>
          <w:rFonts w:eastAsia="Palatino Linotype" w:cs="Palatino Linotype"/>
          <w:szCs w:val="24"/>
        </w:rPr>
      </w:pPr>
      <w:hyperlink r:id="rId14" w:history="1">
        <w:r w:rsidR="002F1ED1">
          <w:rPr>
            <w:rStyle w:val="Hipervnculo"/>
            <w:rFonts w:eastAsia="Palatino Linotype" w:cs="Palatino Linotype"/>
            <w:szCs w:val="24"/>
          </w:rPr>
          <w:t>https://www.ipomex.org.mx/ipo3/lgt/indice/NICOLASROMERO/art_92_xxix_b.web</w:t>
        </w:r>
      </w:hyperlink>
    </w:p>
    <w:p w:rsidR="0078794A" w:rsidRDefault="0078794A">
      <w:pPr>
        <w:contextualSpacing/>
        <w:rPr>
          <w:rFonts w:eastAsia="Palatino Linotype" w:cs="Palatino Linotype"/>
          <w:szCs w:val="24"/>
          <w:u w:val="single"/>
        </w:rPr>
      </w:pPr>
    </w:p>
    <w:p w:rsidR="0078794A" w:rsidRDefault="002F1ED1">
      <w:pPr>
        <w:contextualSpacing/>
        <w:rPr>
          <w:rFonts w:eastAsia="Palatino Linotype" w:cs="Palatino Linotype"/>
          <w:szCs w:val="24"/>
        </w:rPr>
      </w:pPr>
      <w:r>
        <w:rPr>
          <w:rFonts w:eastAsia="Palatino Linotype" w:cs="Palatino Linotype"/>
          <w:noProof/>
          <w:szCs w:val="24"/>
        </w:rPr>
        <w:drawing>
          <wp:inline distT="0" distB="0" distL="0" distR="0">
            <wp:extent cx="5939790" cy="5053965"/>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9790" cy="5053965"/>
                    </a:xfrm>
                    <a:prstGeom prst="rect">
                      <a:avLst/>
                    </a:prstGeom>
                  </pic:spPr>
                </pic:pic>
              </a:graphicData>
            </a:graphic>
          </wp:inline>
        </w:drawing>
      </w:r>
    </w:p>
    <w:p w:rsidR="0078794A" w:rsidRDefault="0078794A">
      <w:pPr>
        <w:contextualSpacing/>
        <w:rPr>
          <w:rFonts w:eastAsia="Palatino Linotype" w:cs="Palatino Linotype"/>
          <w:szCs w:val="24"/>
        </w:rPr>
      </w:pPr>
    </w:p>
    <w:p w:rsidR="0078794A" w:rsidRDefault="0078794A">
      <w:pPr>
        <w:contextualSpacing/>
        <w:rPr>
          <w:rFonts w:eastAsia="Palatino Linotype" w:cs="Palatino Linotype"/>
          <w:szCs w:val="24"/>
        </w:rPr>
      </w:pPr>
    </w:p>
    <w:p w:rsidR="0078794A" w:rsidRDefault="0078794A">
      <w:pPr>
        <w:contextualSpacing/>
        <w:rPr>
          <w:rFonts w:eastAsia="Palatino Linotype" w:cs="Palatino Linotype"/>
          <w:szCs w:val="24"/>
        </w:rPr>
      </w:pPr>
    </w:p>
    <w:p w:rsidR="0078794A" w:rsidRDefault="0078794A">
      <w:pPr>
        <w:contextualSpacing/>
        <w:rPr>
          <w:rFonts w:eastAsia="Palatino Linotype" w:cs="Palatino Linotype"/>
          <w:szCs w:val="24"/>
        </w:rPr>
      </w:pPr>
    </w:p>
    <w:p w:rsidR="0078794A" w:rsidRDefault="009B106C">
      <w:pPr>
        <w:contextualSpacing/>
        <w:rPr>
          <w:rFonts w:eastAsia="Palatino Linotype" w:cs="Palatino Linotype"/>
          <w:szCs w:val="24"/>
          <w:u w:val="single"/>
        </w:rPr>
      </w:pPr>
      <w:hyperlink r:id="rId16" w:history="1">
        <w:r w:rsidR="002F1ED1">
          <w:rPr>
            <w:rStyle w:val="Hipervnculo"/>
            <w:rFonts w:eastAsia="Palatino Linotype" w:cs="Palatino Linotype"/>
            <w:szCs w:val="24"/>
          </w:rPr>
          <w:t>https://www.ipomex.org.mx/ipo3/lgt/indice/NICOLASROMERO/art_92_xxxii.web</w:t>
        </w:r>
      </w:hyperlink>
    </w:p>
    <w:p w:rsidR="0078794A" w:rsidRDefault="0078794A">
      <w:pPr>
        <w:contextualSpacing/>
        <w:rPr>
          <w:rFonts w:eastAsia="Palatino Linotype" w:cs="Palatino Linotype"/>
          <w:szCs w:val="24"/>
        </w:rPr>
      </w:pPr>
    </w:p>
    <w:p w:rsidR="0078794A" w:rsidRDefault="002F1ED1">
      <w:pPr>
        <w:contextualSpacing/>
        <w:rPr>
          <w:rFonts w:eastAsia="Palatino Linotype" w:cs="Palatino Linotype"/>
          <w:szCs w:val="24"/>
        </w:rPr>
      </w:pPr>
      <w:r>
        <w:rPr>
          <w:rFonts w:eastAsia="Palatino Linotype" w:cs="Palatino Linotype"/>
          <w:noProof/>
          <w:szCs w:val="24"/>
        </w:rPr>
        <w:drawing>
          <wp:inline distT="0" distB="0" distL="0" distR="0">
            <wp:extent cx="5939790" cy="504571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9790" cy="5045710"/>
                    </a:xfrm>
                    <a:prstGeom prst="rect">
                      <a:avLst/>
                    </a:prstGeom>
                  </pic:spPr>
                </pic:pic>
              </a:graphicData>
            </a:graphic>
          </wp:inline>
        </w:drawing>
      </w:r>
    </w:p>
    <w:p w:rsidR="0078794A" w:rsidRDefault="0078794A">
      <w:pPr>
        <w:contextualSpacing/>
        <w:rPr>
          <w:rFonts w:eastAsia="Palatino Linotype" w:cs="Palatino Linotype"/>
          <w:szCs w:val="24"/>
        </w:rPr>
      </w:pPr>
    </w:p>
    <w:p w:rsidR="0078794A" w:rsidRDefault="002F1ED1">
      <w:pPr>
        <w:contextualSpacing/>
        <w:rPr>
          <w:rFonts w:eastAsia="Palatino Linotype" w:cs="Palatino Linotype"/>
          <w:szCs w:val="24"/>
        </w:rPr>
      </w:pPr>
      <w:r>
        <w:rPr>
          <w:rFonts w:eastAsia="Palatino Linotype" w:cs="Palatino Linotype"/>
          <w:szCs w:val="24"/>
        </w:rPr>
        <w:t>Como se puede observar, el Sujeto Obligado proporcionó los enlaces a la información más actualizada con la que cuenta; sin soslayar que se informó el procedimiento que debe seguirse para acceder a la información.</w:t>
      </w:r>
    </w:p>
    <w:p w:rsidR="0078794A" w:rsidRDefault="0078794A">
      <w:pPr>
        <w:contextualSpacing/>
        <w:rPr>
          <w:rFonts w:eastAsia="Palatino Linotype" w:cs="Palatino Linotype"/>
          <w:szCs w:val="24"/>
        </w:rPr>
      </w:pPr>
    </w:p>
    <w:p w:rsidR="0078794A" w:rsidRDefault="002F1ED1">
      <w:pPr>
        <w:contextualSpacing/>
        <w:rPr>
          <w:rFonts w:eastAsia="Palatino Linotype" w:cs="Palatino Linotype"/>
          <w:szCs w:val="24"/>
        </w:rPr>
      </w:pPr>
      <w:r>
        <w:rPr>
          <w:rFonts w:eastAsia="Palatino Linotype" w:cs="Palatino Linotype"/>
          <w:szCs w:val="24"/>
        </w:rPr>
        <w:lastRenderedPageBreak/>
        <w:t>No obstante, si bien es cierto que se proporcionó el enlace en el que se encuentra la información; también lo es que no hubo pronunciamiento respecto a la información generada desde el ejercicio 2012. Asimismo, tampoco se advierte que el Sujeto Obligado haya otorgado respuesta a lo solicitado con relación al padrón de proveedores.</w:t>
      </w:r>
    </w:p>
    <w:p w:rsidR="0078794A" w:rsidRDefault="0078794A">
      <w:pPr>
        <w:contextualSpacing/>
        <w:rPr>
          <w:rFonts w:eastAsia="Palatino Linotype" w:cs="Palatino Linotype"/>
          <w:szCs w:val="24"/>
        </w:rPr>
      </w:pPr>
    </w:p>
    <w:p w:rsidR="0078794A" w:rsidRDefault="002F1ED1">
      <w:pPr>
        <w:contextualSpacing/>
        <w:rPr>
          <w:rFonts w:eastAsia="Palatino Linotype" w:cs="Palatino Linotype"/>
          <w:szCs w:val="24"/>
        </w:rPr>
      </w:pPr>
      <w:r>
        <w:rPr>
          <w:rFonts w:eastAsia="Palatino Linotype" w:cs="Palatino Linotype"/>
          <w:szCs w:val="24"/>
        </w:rPr>
        <w:t>En esa tesitura, se tiene que la inconformidad del Recurrente guarda relación con la temporalidad de la información, pues en las páginas señaladas por el Sujeto Obligado se observa que se puede consultar la información desde el ejercicio 2018 al 2022 de las concesiones, contratos convenios permisos, licencias o autorizaciones otorgados y de los resultados de procedimientos de adjudicación directa realizados; así como del ejercicio 2020 al 2022 de los resultados de procedimientos de licitación pública e invitación a cuando menos tres personas.</w:t>
      </w:r>
    </w:p>
    <w:p w:rsidR="0078794A" w:rsidRDefault="0078794A">
      <w:pPr>
        <w:contextualSpacing/>
        <w:rPr>
          <w:rFonts w:eastAsia="Palatino Linotype" w:cs="Palatino Linotype"/>
          <w:szCs w:val="24"/>
        </w:rPr>
      </w:pPr>
    </w:p>
    <w:p w:rsidR="0078794A" w:rsidRDefault="002F1ED1">
      <w:pPr>
        <w:contextualSpacing/>
        <w:rPr>
          <w:rFonts w:eastAsia="Palatino Linotype" w:cs="Palatino Linotype"/>
          <w:szCs w:val="24"/>
        </w:rPr>
      </w:pPr>
      <w:r>
        <w:rPr>
          <w:rFonts w:eastAsia="Palatino Linotype" w:cs="Palatino Linotype"/>
          <w:szCs w:val="24"/>
        </w:rPr>
        <w:t xml:space="preserve">Ante la falta de pronunciamiento del Sujeto Obligado respecto de los años anteriores, es conveniente recordar que la actual Ley de Transparencia y Acceso a la Información Pública del Estado de México y Municipios se publicó en el Periódico Oficial Gaceta de Gobierno el </w:t>
      </w:r>
      <w:r>
        <w:rPr>
          <w:rFonts w:eastAsia="Palatino Linotype" w:cs="Palatino Linotype"/>
          <w:b/>
          <w:bCs/>
          <w:szCs w:val="24"/>
        </w:rPr>
        <w:t>cuatro de mayo de dos mil dieciséis</w:t>
      </w:r>
      <w:r>
        <w:rPr>
          <w:rFonts w:eastAsia="Palatino Linotype" w:cs="Palatino Linotype"/>
          <w:szCs w:val="24"/>
        </w:rPr>
        <w:t xml:space="preserve"> y entró en vigor el día </w:t>
      </w:r>
      <w:r>
        <w:rPr>
          <w:rFonts w:eastAsia="Palatino Linotype" w:cs="Palatino Linotype"/>
          <w:b/>
          <w:bCs/>
          <w:szCs w:val="24"/>
        </w:rPr>
        <w:t>cinco de mayo de dos mil dieciséis</w:t>
      </w:r>
      <w:r>
        <w:rPr>
          <w:rFonts w:eastAsia="Palatino Linotype" w:cs="Palatino Linotype"/>
          <w:szCs w:val="24"/>
        </w:rPr>
        <w:t>.</w:t>
      </w:r>
    </w:p>
    <w:p w:rsidR="0078794A" w:rsidRDefault="0078794A">
      <w:pPr>
        <w:contextualSpacing/>
        <w:rPr>
          <w:rFonts w:eastAsia="Palatino Linotype" w:cs="Palatino Linotype"/>
          <w:szCs w:val="24"/>
        </w:rPr>
      </w:pPr>
    </w:p>
    <w:p w:rsidR="0078794A" w:rsidRDefault="002F1ED1">
      <w:pPr>
        <w:contextualSpacing/>
        <w:rPr>
          <w:rFonts w:eastAsia="Palatino Linotype" w:cs="Palatino Linotype"/>
          <w:szCs w:val="24"/>
        </w:rPr>
      </w:pPr>
      <w:r>
        <w:rPr>
          <w:rFonts w:eastAsia="Palatino Linotype" w:cs="Palatino Linotype"/>
          <w:szCs w:val="24"/>
        </w:rPr>
        <w:t>Por tanto, es a partir de esa fecha que los sujetos obligados estuvieron constreñidos a hacer pública la información establecida en el artículo 92, que en sus fracciones XXIX y XXXVI establece lo siguiente:</w:t>
      </w:r>
    </w:p>
    <w:p w:rsidR="0078794A" w:rsidRDefault="0078794A">
      <w:pPr>
        <w:contextualSpacing/>
        <w:rPr>
          <w:rFonts w:eastAsia="Palatino Linotype" w:cs="Palatino Linotype"/>
          <w:szCs w:val="24"/>
        </w:rPr>
      </w:pPr>
    </w:p>
    <w:p w:rsidR="0078794A" w:rsidRDefault="002F1ED1">
      <w:pPr>
        <w:pStyle w:val="Fundamentos"/>
      </w:pPr>
      <w:r>
        <w:rPr>
          <w:b/>
        </w:rPr>
        <w:lastRenderedPageBreak/>
        <w:t xml:space="preserve">Artículo 92. </w:t>
      </w:r>
      <w: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78794A" w:rsidRDefault="002F1ED1">
      <w:pPr>
        <w:pStyle w:val="Fundamentos"/>
      </w:pPr>
      <w:r>
        <w:t>(…)</w:t>
      </w:r>
    </w:p>
    <w:p w:rsidR="0078794A" w:rsidRDefault="002F1ED1">
      <w:pPr>
        <w:pStyle w:val="Fundamentos"/>
      </w:pPr>
      <w:r>
        <w:rPr>
          <w:b/>
          <w:bCs/>
        </w:rPr>
        <w:t>XXIX.</w:t>
      </w:r>
      <w:r>
        <w:rPr>
          <w:b/>
          <w:bCs/>
        </w:rPr>
        <w:tab/>
      </w:r>
      <w:r>
        <w:t>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rsidR="0078794A" w:rsidRDefault="0078794A">
      <w:pPr>
        <w:pStyle w:val="Fundamentos"/>
      </w:pPr>
    </w:p>
    <w:p w:rsidR="0078794A" w:rsidRDefault="002F1ED1">
      <w:pPr>
        <w:pStyle w:val="Fundamentos"/>
        <w:ind w:left="993"/>
      </w:pPr>
      <w:r>
        <w:rPr>
          <w:b/>
          <w:bCs/>
        </w:rPr>
        <w:t>a)</w:t>
      </w:r>
      <w:r>
        <w:tab/>
        <w:t>De licitaciones públicas o procedimientos de invitación restringida:</w:t>
      </w:r>
    </w:p>
    <w:p w:rsidR="0078794A" w:rsidRDefault="0078794A">
      <w:pPr>
        <w:pStyle w:val="Fundamentos"/>
        <w:ind w:left="1134"/>
      </w:pPr>
    </w:p>
    <w:p w:rsidR="0078794A" w:rsidRDefault="002F1ED1">
      <w:pPr>
        <w:pStyle w:val="Fundamentos"/>
        <w:ind w:left="1418"/>
      </w:pPr>
      <w:r>
        <w:rPr>
          <w:b/>
          <w:bCs/>
        </w:rPr>
        <w:t>1)</w:t>
      </w:r>
      <w:r>
        <w:tab/>
        <w:t>La convocatoria o invitación emitida, así como los fundamentos legales aplicados para llevarla a cabo;</w:t>
      </w:r>
    </w:p>
    <w:p w:rsidR="0078794A" w:rsidRDefault="002F1ED1">
      <w:pPr>
        <w:pStyle w:val="Fundamentos"/>
        <w:ind w:left="1418"/>
      </w:pPr>
      <w:r>
        <w:rPr>
          <w:b/>
          <w:bCs/>
        </w:rPr>
        <w:t>2)</w:t>
      </w:r>
      <w:r>
        <w:tab/>
        <w:t>Los nombres de los participantes o invitados;</w:t>
      </w:r>
    </w:p>
    <w:p w:rsidR="0078794A" w:rsidRDefault="002F1ED1">
      <w:pPr>
        <w:pStyle w:val="Fundamentos"/>
        <w:ind w:left="1418"/>
      </w:pPr>
      <w:r>
        <w:rPr>
          <w:b/>
          <w:bCs/>
        </w:rPr>
        <w:t>3)</w:t>
      </w:r>
      <w:r>
        <w:tab/>
        <w:t>El nombre del ganador y las razones que lo justifican;</w:t>
      </w:r>
    </w:p>
    <w:p w:rsidR="0078794A" w:rsidRDefault="002F1ED1">
      <w:pPr>
        <w:pStyle w:val="Fundamentos"/>
        <w:ind w:left="1418"/>
      </w:pPr>
      <w:r>
        <w:rPr>
          <w:b/>
          <w:bCs/>
        </w:rPr>
        <w:t>4)</w:t>
      </w:r>
      <w:r>
        <w:tab/>
        <w:t>El área solicitante y la responsable de su ejecución;</w:t>
      </w:r>
    </w:p>
    <w:p w:rsidR="0078794A" w:rsidRDefault="002F1ED1">
      <w:pPr>
        <w:pStyle w:val="Fundamentos"/>
        <w:ind w:left="1418"/>
      </w:pPr>
      <w:r>
        <w:rPr>
          <w:b/>
          <w:bCs/>
        </w:rPr>
        <w:t>5)</w:t>
      </w:r>
      <w:r>
        <w:tab/>
        <w:t>Las convocatorias e invitaciones emitidas;</w:t>
      </w:r>
    </w:p>
    <w:p w:rsidR="0078794A" w:rsidRDefault="002F1ED1">
      <w:pPr>
        <w:pStyle w:val="Fundamentos"/>
        <w:ind w:left="1418"/>
      </w:pPr>
      <w:r>
        <w:rPr>
          <w:b/>
          <w:bCs/>
        </w:rPr>
        <w:t>6)</w:t>
      </w:r>
      <w:r>
        <w:tab/>
        <w:t>Los dictámenes y fallo de adjudicación;</w:t>
      </w:r>
    </w:p>
    <w:p w:rsidR="0078794A" w:rsidRDefault="002F1ED1">
      <w:pPr>
        <w:pStyle w:val="Fundamentos"/>
        <w:ind w:left="1418"/>
      </w:pPr>
      <w:r>
        <w:rPr>
          <w:b/>
          <w:bCs/>
        </w:rPr>
        <w:t>7)</w:t>
      </w:r>
      <w:r>
        <w:tab/>
        <w:t>El contrato y, en su caso, sus anexos;</w:t>
      </w:r>
    </w:p>
    <w:p w:rsidR="0078794A" w:rsidRDefault="002F1ED1">
      <w:pPr>
        <w:pStyle w:val="Fundamentos"/>
        <w:ind w:left="1418"/>
      </w:pPr>
      <w:r>
        <w:rPr>
          <w:b/>
          <w:bCs/>
        </w:rPr>
        <w:t>8)</w:t>
      </w:r>
      <w:r>
        <w:tab/>
        <w:t>Los mecanismos de vigilancia y supervisión, incluyendo en su caso, los estudios de impacto urbano y ambiental, según corresponda;</w:t>
      </w:r>
    </w:p>
    <w:p w:rsidR="0078794A" w:rsidRDefault="002F1ED1">
      <w:pPr>
        <w:pStyle w:val="Fundamentos"/>
        <w:ind w:left="1418"/>
      </w:pPr>
      <w:r>
        <w:rPr>
          <w:b/>
          <w:bCs/>
        </w:rPr>
        <w:t>9)</w:t>
      </w:r>
      <w:r>
        <w:tab/>
        <w:t>La partida presupuestal, de conformidad con el clasificador por objeto del gasto, en el caso de ser aplicable;</w:t>
      </w:r>
    </w:p>
    <w:p w:rsidR="0078794A" w:rsidRDefault="002F1ED1">
      <w:pPr>
        <w:pStyle w:val="Fundamentos"/>
        <w:ind w:left="1418"/>
      </w:pPr>
      <w:r>
        <w:rPr>
          <w:b/>
          <w:bCs/>
        </w:rPr>
        <w:t>10)</w:t>
      </w:r>
      <w:r>
        <w:tab/>
        <w:t>Origen de los recursos especificando si son federales, estatales o municipales, así como el tipo de fondo de participación o aportación respectiva;</w:t>
      </w:r>
    </w:p>
    <w:p w:rsidR="0078794A" w:rsidRDefault="002F1ED1">
      <w:pPr>
        <w:pStyle w:val="Fundamentos"/>
        <w:ind w:left="1418"/>
      </w:pPr>
      <w:r>
        <w:rPr>
          <w:b/>
          <w:bCs/>
        </w:rPr>
        <w:t>11)</w:t>
      </w:r>
      <w:r>
        <w:tab/>
        <w:t>Los convenios modificatorios que, en su caso, sean firmados, precisando el objeto y la fecha de celebración;</w:t>
      </w:r>
    </w:p>
    <w:p w:rsidR="0078794A" w:rsidRDefault="002F1ED1">
      <w:pPr>
        <w:pStyle w:val="Fundamentos"/>
        <w:ind w:left="1418"/>
      </w:pPr>
      <w:r>
        <w:rPr>
          <w:b/>
          <w:bCs/>
        </w:rPr>
        <w:t>12)</w:t>
      </w:r>
      <w:r>
        <w:tab/>
        <w:t>Los informes de avance físico y financiero sobre las obras o servicios contratados;</w:t>
      </w:r>
    </w:p>
    <w:p w:rsidR="0078794A" w:rsidRDefault="002F1ED1">
      <w:pPr>
        <w:pStyle w:val="Fundamentos"/>
        <w:ind w:left="1418"/>
      </w:pPr>
      <w:r>
        <w:rPr>
          <w:b/>
          <w:bCs/>
        </w:rPr>
        <w:t>13)</w:t>
      </w:r>
      <w:r>
        <w:tab/>
        <w:t>El convenio de terminación; y</w:t>
      </w:r>
    </w:p>
    <w:p w:rsidR="0078794A" w:rsidRDefault="002F1ED1">
      <w:pPr>
        <w:pStyle w:val="Fundamentos"/>
        <w:ind w:left="1418"/>
      </w:pPr>
      <w:r>
        <w:rPr>
          <w:b/>
          <w:bCs/>
        </w:rPr>
        <w:t>14)</w:t>
      </w:r>
      <w:r>
        <w:tab/>
        <w:t>El finiquito.</w:t>
      </w:r>
    </w:p>
    <w:p w:rsidR="0078794A" w:rsidRDefault="0078794A">
      <w:pPr>
        <w:pStyle w:val="Fundamentos"/>
        <w:ind w:left="993"/>
      </w:pPr>
    </w:p>
    <w:p w:rsidR="0078794A" w:rsidRDefault="002F1ED1">
      <w:pPr>
        <w:pStyle w:val="Fundamentos"/>
        <w:ind w:left="993"/>
      </w:pPr>
      <w:r>
        <w:rPr>
          <w:b/>
          <w:bCs/>
        </w:rPr>
        <w:t>b)</w:t>
      </w:r>
      <w:r>
        <w:tab/>
        <w:t>De las adjudicaciones directas:</w:t>
      </w:r>
    </w:p>
    <w:p w:rsidR="0078794A" w:rsidRDefault="0078794A">
      <w:pPr>
        <w:pStyle w:val="Fundamentos"/>
        <w:ind w:left="1134"/>
      </w:pPr>
    </w:p>
    <w:p w:rsidR="0078794A" w:rsidRDefault="002F1ED1">
      <w:pPr>
        <w:pStyle w:val="Fundamentos"/>
        <w:ind w:left="1418"/>
      </w:pPr>
      <w:r>
        <w:rPr>
          <w:b/>
          <w:bCs/>
        </w:rPr>
        <w:t>1)</w:t>
      </w:r>
      <w:r>
        <w:tab/>
        <w:t>La propuesta enviada por el participante;</w:t>
      </w:r>
    </w:p>
    <w:p w:rsidR="0078794A" w:rsidRDefault="002F1ED1">
      <w:pPr>
        <w:pStyle w:val="Fundamentos"/>
        <w:ind w:left="1418"/>
      </w:pPr>
      <w:r>
        <w:rPr>
          <w:b/>
          <w:bCs/>
        </w:rPr>
        <w:t>2)</w:t>
      </w:r>
      <w:r>
        <w:tab/>
        <w:t>Los motivos y fundamentos legales aplicados para llevarla a cabo;</w:t>
      </w:r>
    </w:p>
    <w:p w:rsidR="0078794A" w:rsidRDefault="002F1ED1">
      <w:pPr>
        <w:pStyle w:val="Fundamentos"/>
        <w:ind w:left="1418"/>
      </w:pPr>
      <w:r>
        <w:rPr>
          <w:b/>
          <w:bCs/>
        </w:rPr>
        <w:t>3)</w:t>
      </w:r>
      <w:r>
        <w:tab/>
        <w:t>La autorización del ejercicio de la opción;</w:t>
      </w:r>
    </w:p>
    <w:p w:rsidR="0078794A" w:rsidRDefault="002F1ED1">
      <w:pPr>
        <w:pStyle w:val="Fundamentos"/>
        <w:ind w:left="1418"/>
      </w:pPr>
      <w:r>
        <w:rPr>
          <w:b/>
          <w:bCs/>
        </w:rPr>
        <w:lastRenderedPageBreak/>
        <w:t>4)</w:t>
      </w:r>
      <w:r>
        <w:tab/>
        <w:t>En su caso, las cotizaciones consideradas, especificando los nombres de los proveedores y sus montos;</w:t>
      </w:r>
    </w:p>
    <w:p w:rsidR="0078794A" w:rsidRDefault="002F1ED1">
      <w:pPr>
        <w:pStyle w:val="Fundamentos"/>
        <w:ind w:left="1418"/>
      </w:pPr>
      <w:r>
        <w:rPr>
          <w:b/>
          <w:bCs/>
        </w:rPr>
        <w:t>5)</w:t>
      </w:r>
      <w:r>
        <w:tab/>
        <w:t>El nombre de la persona física o jurídica colectiva adjudicada;</w:t>
      </w:r>
    </w:p>
    <w:p w:rsidR="0078794A" w:rsidRDefault="002F1ED1">
      <w:pPr>
        <w:pStyle w:val="Fundamentos"/>
        <w:ind w:left="1418"/>
      </w:pPr>
      <w:r>
        <w:rPr>
          <w:b/>
          <w:bCs/>
        </w:rPr>
        <w:t>6)</w:t>
      </w:r>
      <w:r>
        <w:tab/>
        <w:t>La unidad administrativa solicitante y la responsable de su ejecución;</w:t>
      </w:r>
    </w:p>
    <w:p w:rsidR="0078794A" w:rsidRDefault="002F1ED1">
      <w:pPr>
        <w:pStyle w:val="Fundamentos"/>
        <w:ind w:left="1418"/>
      </w:pPr>
      <w:r>
        <w:rPr>
          <w:b/>
          <w:bCs/>
        </w:rPr>
        <w:t>7)</w:t>
      </w:r>
      <w:r>
        <w:tab/>
        <w:t>El número, fecha, el monto del contrato y el plazo de entrega o de ejecución de los servicios u obra;</w:t>
      </w:r>
    </w:p>
    <w:p w:rsidR="0078794A" w:rsidRDefault="002F1ED1">
      <w:pPr>
        <w:pStyle w:val="Fundamentos"/>
        <w:ind w:left="1418"/>
      </w:pPr>
      <w:r>
        <w:rPr>
          <w:b/>
          <w:bCs/>
        </w:rPr>
        <w:t>8)</w:t>
      </w:r>
      <w:r>
        <w:tab/>
        <w:t>Los mecanismos de vigilancia y supervisión, incluyendo, en su caso, los estudios de impacto urbano y ambiental, según corresponda;</w:t>
      </w:r>
    </w:p>
    <w:p w:rsidR="0078794A" w:rsidRDefault="002F1ED1">
      <w:pPr>
        <w:pStyle w:val="Fundamentos"/>
        <w:ind w:left="1418"/>
      </w:pPr>
      <w:r>
        <w:rPr>
          <w:b/>
          <w:bCs/>
        </w:rPr>
        <w:t>9)</w:t>
      </w:r>
      <w:r>
        <w:tab/>
        <w:t>Los informes de avance sobre las obras o servicios contratados;</w:t>
      </w:r>
    </w:p>
    <w:p w:rsidR="0078794A" w:rsidRDefault="002F1ED1">
      <w:pPr>
        <w:pStyle w:val="Fundamentos"/>
        <w:ind w:left="1418"/>
      </w:pPr>
      <w:r>
        <w:rPr>
          <w:b/>
          <w:bCs/>
        </w:rPr>
        <w:t>10)</w:t>
      </w:r>
      <w:r>
        <w:tab/>
        <w:t>El convenio de terminación; y</w:t>
      </w:r>
    </w:p>
    <w:p w:rsidR="0078794A" w:rsidRDefault="002F1ED1">
      <w:pPr>
        <w:pStyle w:val="Fundamentos"/>
        <w:ind w:left="1418"/>
      </w:pPr>
      <w:r>
        <w:rPr>
          <w:b/>
          <w:bCs/>
        </w:rPr>
        <w:t>11)</w:t>
      </w:r>
      <w:r>
        <w:tab/>
        <w:t>El finiquito.</w:t>
      </w:r>
    </w:p>
    <w:p w:rsidR="0078794A" w:rsidRDefault="002F1ED1">
      <w:pPr>
        <w:pStyle w:val="Fundamentos"/>
      </w:pPr>
      <w:r>
        <w:t>(…)</w:t>
      </w:r>
    </w:p>
    <w:p w:rsidR="0078794A" w:rsidRDefault="002F1ED1">
      <w:pPr>
        <w:pStyle w:val="Fundamentos"/>
      </w:pPr>
      <w:r>
        <w:rPr>
          <w:b/>
          <w:bCs/>
        </w:rPr>
        <w:t>XXXVI.</w:t>
      </w:r>
      <w:r>
        <w:t xml:space="preserve"> Padrón de proveedores y contratistas;</w:t>
      </w:r>
    </w:p>
    <w:p w:rsidR="0078794A" w:rsidRDefault="002F1ED1">
      <w:pPr>
        <w:pStyle w:val="Fundamentos"/>
      </w:pPr>
      <w:r>
        <w:t>(…)</w:t>
      </w:r>
    </w:p>
    <w:p w:rsidR="0078794A" w:rsidRDefault="0078794A">
      <w:pPr>
        <w:contextualSpacing/>
        <w:rPr>
          <w:rFonts w:eastAsia="Palatino Linotype" w:cs="Palatino Linotype"/>
          <w:szCs w:val="24"/>
        </w:rPr>
      </w:pPr>
    </w:p>
    <w:p w:rsidR="0078794A" w:rsidRDefault="002F1ED1">
      <w:pPr>
        <w:contextualSpacing/>
        <w:rPr>
          <w:rFonts w:eastAsia="Palatino Linotype" w:cs="Palatino Linotype"/>
          <w:szCs w:val="24"/>
        </w:rPr>
      </w:pPr>
      <w:r>
        <w:rPr>
          <w:rFonts w:eastAsia="Palatino Linotype" w:cs="Palatino Linotype"/>
          <w:szCs w:val="24"/>
        </w:rPr>
        <w:t>En ese sentido, la información solicitada por el Recurrente está contemplada dentro de las obligaciones comunes de transparencia, por lo que resulta evidente que el Sujeto Obligado está constreñido a contar con la información solicitada generada desde el cinco de mayo de dos mil dieciséis a la fecha de ingreso de la solicitud de información.</w:t>
      </w:r>
    </w:p>
    <w:p w:rsidR="0078794A" w:rsidRDefault="0078794A">
      <w:pPr>
        <w:contextualSpacing/>
        <w:rPr>
          <w:rFonts w:eastAsia="Palatino Linotype" w:cs="Palatino Linotype"/>
          <w:szCs w:val="24"/>
        </w:rPr>
      </w:pPr>
    </w:p>
    <w:p w:rsidR="0078794A" w:rsidRDefault="002F1ED1">
      <w:pPr>
        <w:contextualSpacing/>
        <w:rPr>
          <w:rFonts w:eastAsia="Palatino Linotype" w:cs="Palatino Linotype"/>
          <w:szCs w:val="24"/>
        </w:rPr>
      </w:pPr>
      <w:r>
        <w:rPr>
          <w:rFonts w:eastAsia="Palatino Linotype" w:cs="Palatino Linotype"/>
          <w:szCs w:val="24"/>
        </w:rPr>
        <w:t>Ahora bien, respecto de la información que se generó con anterioridad a la fecha establecida, se debe recordar que la Ley de Transparencia estatal que se abrogó con la entrada en vigor de la actual Ley de la materia, únicamente establecía como información pública de oficio la contemplada en su artículo 12, en el que se estipulaba lo siguiente:</w:t>
      </w:r>
    </w:p>
    <w:p w:rsidR="0078794A" w:rsidRDefault="0078794A">
      <w:pPr>
        <w:contextualSpacing/>
        <w:rPr>
          <w:rFonts w:eastAsia="Palatino Linotype" w:cs="Palatino Linotype"/>
          <w:szCs w:val="24"/>
        </w:rPr>
      </w:pPr>
    </w:p>
    <w:p w:rsidR="0078794A" w:rsidRDefault="002F1ED1">
      <w:pPr>
        <w:pStyle w:val="Fundamentos"/>
        <w:rPr>
          <w:lang w:eastAsia="en-US"/>
        </w:rPr>
      </w:pPr>
      <w:r>
        <w:rPr>
          <w:b/>
          <w:bCs/>
          <w:lang w:eastAsia="en-US"/>
        </w:rPr>
        <w:t>Artículo 12.-</w:t>
      </w:r>
      <w:r>
        <w:rPr>
          <w:lang w:eastAsia="en-US"/>
        </w:rPr>
        <w:t xml:space="preserve"> Los Sujetos Obligados deberán tener disponible en medio impreso o electrónico, de manera permanente y actualizada, de forma sencilla, precisa y entendible para los particulares, la información siguiente:</w:t>
      </w:r>
    </w:p>
    <w:p w:rsidR="0078794A" w:rsidRDefault="0078794A">
      <w:pPr>
        <w:pStyle w:val="Fundamentos"/>
        <w:rPr>
          <w:lang w:eastAsia="en-US"/>
        </w:rPr>
      </w:pPr>
    </w:p>
    <w:p w:rsidR="0078794A" w:rsidRDefault="002F1ED1">
      <w:pPr>
        <w:pStyle w:val="Fundamentos"/>
        <w:rPr>
          <w:lang w:eastAsia="en-US"/>
        </w:rPr>
      </w:pPr>
      <w:r>
        <w:rPr>
          <w:b/>
          <w:bCs/>
          <w:lang w:eastAsia="en-US"/>
        </w:rPr>
        <w:t>I.</w:t>
      </w:r>
      <w:r>
        <w:rPr>
          <w:lang w:eastAsia="en-US"/>
        </w:rPr>
        <w:t xml:space="preserve"> Leyes, reglamentos, decretos, acuerdos, convenios, manuales de organización y procedimientos y demás disposiciones en los que se establezca su marco jurídico de actuación;</w:t>
      </w:r>
    </w:p>
    <w:p w:rsidR="0078794A" w:rsidRDefault="002F1ED1">
      <w:pPr>
        <w:pStyle w:val="Fundamentos"/>
        <w:rPr>
          <w:lang w:eastAsia="en-US"/>
        </w:rPr>
      </w:pPr>
      <w:r>
        <w:rPr>
          <w:b/>
          <w:bCs/>
          <w:lang w:eastAsia="en-US"/>
        </w:rPr>
        <w:lastRenderedPageBreak/>
        <w:t>II.</w:t>
      </w:r>
      <w:r>
        <w:rPr>
          <w:lang w:eastAsia="en-US"/>
        </w:rPr>
        <w:t xml:space="preserve"> Directorio de servidores públicos de mandos medios y superiores con referencia particular a su nombramiento oficial, puesto funcional, remuneración de acuerdo con lo previsto por el Código Financiero; datos que deberán señalarse de forma independiente por dependencia y entidad pública de cada Sujeto Obligado;</w:t>
      </w:r>
    </w:p>
    <w:p w:rsidR="0078794A" w:rsidRDefault="002F1ED1">
      <w:pPr>
        <w:pStyle w:val="Fundamentos"/>
        <w:rPr>
          <w:lang w:eastAsia="en-US"/>
        </w:rPr>
      </w:pPr>
      <w:r>
        <w:rPr>
          <w:b/>
          <w:bCs/>
          <w:lang w:eastAsia="en-US"/>
        </w:rPr>
        <w:t>III.</w:t>
      </w:r>
      <w:r>
        <w:rPr>
          <w:lang w:eastAsia="en-US"/>
        </w:rPr>
        <w:t xml:space="preserve"> Los programas anuales de obras y, en su caso, la información relativa a los procesos de licitación y contratación del área de su responsabilidad;</w:t>
      </w:r>
    </w:p>
    <w:p w:rsidR="0078794A" w:rsidRDefault="002F1ED1">
      <w:pPr>
        <w:pStyle w:val="Fundamentos"/>
        <w:rPr>
          <w:lang w:eastAsia="en-US"/>
        </w:rPr>
      </w:pPr>
      <w:r>
        <w:rPr>
          <w:b/>
          <w:bCs/>
          <w:lang w:eastAsia="en-US"/>
        </w:rPr>
        <w:t>IV.</w:t>
      </w:r>
      <w:r>
        <w:rPr>
          <w:lang w:eastAsia="en-US"/>
        </w:rPr>
        <w:t xml:space="preserve"> La que contenga los sistemas, procesos, oficinas, ubicación, costos y responsables de atender las solicitudes de acceso a la información, así como el registro de las solicitudes recibidas y atendidas;</w:t>
      </w:r>
    </w:p>
    <w:p w:rsidR="0078794A" w:rsidRDefault="002F1ED1">
      <w:pPr>
        <w:pStyle w:val="Fundamentos"/>
        <w:rPr>
          <w:lang w:eastAsia="en-US"/>
        </w:rPr>
      </w:pPr>
      <w:r>
        <w:rPr>
          <w:b/>
          <w:bCs/>
          <w:lang w:eastAsia="en-US"/>
        </w:rPr>
        <w:t>V.</w:t>
      </w:r>
      <w:r>
        <w:rPr>
          <w:lang w:eastAsia="en-US"/>
        </w:rPr>
        <w:t xml:space="preserve"> Nombre, dirección, teléfono y horarios de atención al público de los responsables de las Unidades de Información;</w:t>
      </w:r>
    </w:p>
    <w:p w:rsidR="0078794A" w:rsidRDefault="002F1ED1">
      <w:pPr>
        <w:pStyle w:val="Fundamentos"/>
        <w:rPr>
          <w:lang w:eastAsia="en-US"/>
        </w:rPr>
      </w:pPr>
      <w:r>
        <w:rPr>
          <w:b/>
          <w:bCs/>
          <w:lang w:eastAsia="en-US"/>
        </w:rPr>
        <w:t>VI.</w:t>
      </w:r>
      <w:r>
        <w:rPr>
          <w:lang w:eastAsia="en-US"/>
        </w:rPr>
        <w:t xml:space="preserve"> La contenida en los acuerdos y actas de las reuniones oficiales, de cualquier órgano colegiado de los Sujetos Obligados;</w:t>
      </w:r>
    </w:p>
    <w:p w:rsidR="0078794A" w:rsidRDefault="002F1ED1">
      <w:pPr>
        <w:pStyle w:val="Fundamentos"/>
        <w:rPr>
          <w:lang w:eastAsia="en-US"/>
        </w:rPr>
      </w:pPr>
      <w:r>
        <w:rPr>
          <w:b/>
          <w:bCs/>
          <w:lang w:eastAsia="en-US"/>
        </w:rPr>
        <w:t>VII.</w:t>
      </w:r>
      <w:r>
        <w:rPr>
          <w:lang w:eastAsia="en-US"/>
        </w:rPr>
        <w:t xml:space="preserve"> Presupuesto asignado y los informes sobre su ejecución, en los términos que establece el Presupuesto de Egresos del Gobierno del Estado;</w:t>
      </w:r>
    </w:p>
    <w:p w:rsidR="0078794A" w:rsidRDefault="002F1ED1">
      <w:pPr>
        <w:pStyle w:val="Fundamentos"/>
        <w:rPr>
          <w:lang w:eastAsia="en-US"/>
        </w:rPr>
      </w:pPr>
      <w:r>
        <w:rPr>
          <w:b/>
          <w:bCs/>
          <w:lang w:eastAsia="en-US"/>
        </w:rPr>
        <w:t>VIII.</w:t>
      </w:r>
      <w:r>
        <w:rPr>
          <w:lang w:eastAsia="en-US"/>
        </w:rPr>
        <w:t xml:space="preserve"> Padrones de beneficiarios de los programas desarrollados por el Estado y los municipios, así como información disponible sobre el diseño, montos, acceso y ejecución de los programas de subsidio, siempre y cuando la publicación de estos datos no produzca discriminación. Esta disposición sólo será aplicable en aquellos programas que por su naturaleza y características permitan la integración de los padrones de referencia;</w:t>
      </w:r>
    </w:p>
    <w:p w:rsidR="0078794A" w:rsidRDefault="002F1ED1">
      <w:pPr>
        <w:pStyle w:val="Fundamentos"/>
        <w:rPr>
          <w:lang w:eastAsia="en-US"/>
        </w:rPr>
      </w:pPr>
      <w:r>
        <w:rPr>
          <w:b/>
          <w:bCs/>
          <w:lang w:eastAsia="en-US"/>
        </w:rPr>
        <w:t>IX.</w:t>
      </w:r>
      <w:r>
        <w:rPr>
          <w:lang w:eastAsia="en-US"/>
        </w:rPr>
        <w:t xml:space="preserve"> La situación financiera de los municipios, Poder Legislativo y sus órganos, Poder Judicial y Consejo de la Judicatura, Tribunales Administrativos, Órganos Autónomos, así como de la deuda pública municipal, conforme a las disposiciones legales aplicables;</w:t>
      </w:r>
    </w:p>
    <w:p w:rsidR="0078794A" w:rsidRDefault="002F1ED1">
      <w:pPr>
        <w:pStyle w:val="Fundamentos"/>
        <w:rPr>
          <w:lang w:eastAsia="en-US"/>
        </w:rPr>
      </w:pPr>
      <w:r>
        <w:rPr>
          <w:b/>
          <w:bCs/>
          <w:lang w:eastAsia="en-US"/>
        </w:rPr>
        <w:t>X.</w:t>
      </w:r>
      <w:r>
        <w:rPr>
          <w:lang w:eastAsia="en-US"/>
        </w:rPr>
        <w:t xml:space="preserve"> La que proporcionen los partidos políticos a la autoridad electoral, a la que sólo tendrán acceso los mexicanos;</w:t>
      </w:r>
    </w:p>
    <w:p w:rsidR="0078794A" w:rsidRDefault="002F1ED1">
      <w:pPr>
        <w:pStyle w:val="Fundamentos"/>
        <w:rPr>
          <w:lang w:eastAsia="en-US"/>
        </w:rPr>
      </w:pPr>
      <w:r>
        <w:rPr>
          <w:b/>
          <w:bCs/>
          <w:lang w:eastAsia="en-US"/>
        </w:rPr>
        <w:t>XI.</w:t>
      </w:r>
      <w:r>
        <w:rPr>
          <w:lang w:eastAsia="en-US"/>
        </w:rPr>
        <w:t xml:space="preserve"> </w:t>
      </w:r>
      <w:r>
        <w:rPr>
          <w:b/>
          <w:bCs/>
          <w:u w:val="single"/>
          <w:lang w:eastAsia="en-US"/>
        </w:rPr>
        <w:t>Los procesos de licitación y contratación para la adquisición de bienes, arrendamientos y prestación de servicios que hayan celebrado en el área de su responsabilidad con personas físicas o morales de derecho privado</w:t>
      </w:r>
      <w:r>
        <w:rPr>
          <w:lang w:eastAsia="en-US"/>
        </w:rPr>
        <w:t>;</w:t>
      </w:r>
    </w:p>
    <w:p w:rsidR="0078794A" w:rsidRDefault="002F1ED1">
      <w:pPr>
        <w:pStyle w:val="Fundamentos"/>
        <w:rPr>
          <w:lang w:eastAsia="en-US"/>
        </w:rPr>
      </w:pPr>
      <w:r>
        <w:rPr>
          <w:b/>
          <w:bCs/>
          <w:lang w:eastAsia="en-US"/>
        </w:rPr>
        <w:t>XII.</w:t>
      </w:r>
      <w:r>
        <w:rPr>
          <w:lang w:eastAsia="en-US"/>
        </w:rPr>
        <w:t xml:space="preserve"> Convenios que suscriban con otros entes de los sectores público, social y privado;</w:t>
      </w:r>
    </w:p>
    <w:p w:rsidR="0078794A" w:rsidRDefault="002F1ED1">
      <w:pPr>
        <w:pStyle w:val="Fundamentos"/>
        <w:rPr>
          <w:lang w:eastAsia="en-US"/>
        </w:rPr>
      </w:pPr>
      <w:r>
        <w:rPr>
          <w:b/>
          <w:bCs/>
          <w:lang w:eastAsia="en-US"/>
        </w:rPr>
        <w:t>XIII.</w:t>
      </w:r>
      <w:r>
        <w:rPr>
          <w:lang w:eastAsia="en-US"/>
        </w:rPr>
        <w:t xml:space="preserve"> Mecanismos de participación ciudadana en los procesos de elaboración, implementación y evaluación de políticas públicas y toma de decisiones;</w:t>
      </w:r>
    </w:p>
    <w:p w:rsidR="0078794A" w:rsidRDefault="002F1ED1">
      <w:pPr>
        <w:pStyle w:val="Fundamentos"/>
        <w:rPr>
          <w:lang w:eastAsia="en-US"/>
        </w:rPr>
      </w:pPr>
      <w:r>
        <w:rPr>
          <w:b/>
          <w:bCs/>
          <w:lang w:eastAsia="en-US"/>
        </w:rPr>
        <w:t>XIV.</w:t>
      </w:r>
      <w:r>
        <w:rPr>
          <w:lang w:eastAsia="en-US"/>
        </w:rPr>
        <w:t xml:space="preserve"> Planeación, programación y contenidos de la información que difundan a través de los diversos medios escritos y electrónicos;</w:t>
      </w:r>
    </w:p>
    <w:p w:rsidR="0078794A" w:rsidRDefault="002F1ED1">
      <w:pPr>
        <w:pStyle w:val="Fundamentos"/>
        <w:rPr>
          <w:lang w:eastAsia="en-US"/>
        </w:rPr>
      </w:pPr>
      <w:r>
        <w:rPr>
          <w:b/>
          <w:bCs/>
          <w:lang w:eastAsia="en-US"/>
        </w:rPr>
        <w:t>XV.</w:t>
      </w:r>
      <w:r>
        <w:rPr>
          <w:lang w:eastAsia="en-US"/>
        </w:rPr>
        <w:t xml:space="preserve"> Agenda de reuniones públicas a las que convoquen los titulares de los sujetos obligados;</w:t>
      </w:r>
    </w:p>
    <w:p w:rsidR="0078794A" w:rsidRDefault="002F1ED1">
      <w:pPr>
        <w:pStyle w:val="Fundamentos"/>
        <w:rPr>
          <w:lang w:eastAsia="en-US"/>
        </w:rPr>
      </w:pPr>
      <w:r>
        <w:rPr>
          <w:b/>
          <w:bCs/>
          <w:lang w:eastAsia="en-US"/>
        </w:rPr>
        <w:t>XVI.</w:t>
      </w:r>
      <w:r>
        <w:rPr>
          <w:lang w:eastAsia="en-US"/>
        </w:rPr>
        <w:t xml:space="preserve"> Índices de Información clasificada como reservada y listado de bases de datos personales que cada sujeto obligado posee y maneja;</w:t>
      </w:r>
    </w:p>
    <w:p w:rsidR="0078794A" w:rsidRDefault="002F1ED1">
      <w:pPr>
        <w:pStyle w:val="Fundamentos"/>
        <w:rPr>
          <w:lang w:eastAsia="en-US"/>
        </w:rPr>
      </w:pPr>
      <w:r>
        <w:rPr>
          <w:b/>
          <w:bCs/>
          <w:lang w:eastAsia="en-US"/>
        </w:rPr>
        <w:t>XVII.</w:t>
      </w:r>
      <w:r>
        <w:rPr>
          <w:lang w:eastAsia="en-US"/>
        </w:rPr>
        <w:t xml:space="preserve"> Expedientes concluidos relativos a la expedición de autorizaciones, permisos, licencias, certificaciones y concesiones;</w:t>
      </w:r>
    </w:p>
    <w:p w:rsidR="0078794A" w:rsidRDefault="002F1ED1">
      <w:pPr>
        <w:pStyle w:val="Fundamentos"/>
        <w:rPr>
          <w:lang w:eastAsia="en-US"/>
        </w:rPr>
      </w:pPr>
      <w:r>
        <w:rPr>
          <w:b/>
          <w:bCs/>
          <w:lang w:eastAsia="en-US"/>
        </w:rPr>
        <w:lastRenderedPageBreak/>
        <w:t>XVIII.</w:t>
      </w:r>
      <w:r>
        <w:rPr>
          <w:lang w:eastAsia="en-US"/>
        </w:rPr>
        <w:t xml:space="preserve"> Los informes de las auditorías realizadas por los órganos de control interno, la Secretaría de la Contraloría, los órganos de control interno de los Poderes Legislativo y Judicial, las contralorías de los órganos autónomos, el Órgano Superior de Fiscalización, las contralorías municipales y por los despachos externos y las aclaraciones que correspondan;</w:t>
      </w:r>
    </w:p>
    <w:p w:rsidR="0078794A" w:rsidRDefault="002F1ED1">
      <w:pPr>
        <w:pStyle w:val="Fundamentos"/>
        <w:rPr>
          <w:lang w:eastAsia="en-US"/>
        </w:rPr>
      </w:pPr>
      <w:r>
        <w:rPr>
          <w:b/>
          <w:bCs/>
          <w:lang w:eastAsia="en-US"/>
        </w:rPr>
        <w:t>XIX.</w:t>
      </w:r>
      <w:r>
        <w:rPr>
          <w:lang w:eastAsia="en-US"/>
        </w:rPr>
        <w:t xml:space="preserve"> Programas de trabajo e informes anuales de actividades de acuerdo con cada plan o programa establecido por los Sujetos Obligados;</w:t>
      </w:r>
    </w:p>
    <w:p w:rsidR="0078794A" w:rsidRDefault="002F1ED1">
      <w:pPr>
        <w:pStyle w:val="Fundamentos"/>
        <w:rPr>
          <w:lang w:eastAsia="en-US"/>
        </w:rPr>
      </w:pPr>
      <w:r>
        <w:rPr>
          <w:b/>
          <w:bCs/>
          <w:lang w:eastAsia="en-US"/>
        </w:rPr>
        <w:t>XX.</w:t>
      </w:r>
      <w:r>
        <w:rPr>
          <w:lang w:eastAsia="en-US"/>
        </w:rPr>
        <w:t xml:space="preserve"> Los indicadores establecidos por los Sujetos Obligados, tomando en cuenta las metas y objetivos planteados en el Plan Estatal de Desarrollo y demás ordenamientos aplicables;</w:t>
      </w:r>
    </w:p>
    <w:p w:rsidR="0078794A" w:rsidRDefault="002F1ED1">
      <w:pPr>
        <w:pStyle w:val="Fundamentos"/>
        <w:rPr>
          <w:lang w:eastAsia="en-US"/>
        </w:rPr>
      </w:pPr>
      <w:r>
        <w:rPr>
          <w:b/>
          <w:bCs/>
          <w:lang w:eastAsia="en-US"/>
        </w:rPr>
        <w:t>XXI.</w:t>
      </w:r>
      <w:r>
        <w:rPr>
          <w:lang w:eastAsia="en-US"/>
        </w:rPr>
        <w:t xml:space="preserve"> Los trámites y servicios ofrecidos así como los requisitos para acceder a los mismos;</w:t>
      </w:r>
    </w:p>
    <w:p w:rsidR="0078794A" w:rsidRDefault="002F1ED1">
      <w:pPr>
        <w:pStyle w:val="Fundamentos"/>
        <w:rPr>
          <w:lang w:eastAsia="en-US"/>
        </w:rPr>
      </w:pPr>
      <w:r>
        <w:rPr>
          <w:b/>
          <w:bCs/>
          <w:lang w:eastAsia="en-US"/>
        </w:rPr>
        <w:t>XXII.</w:t>
      </w:r>
      <w:r>
        <w:rPr>
          <w:lang w:eastAsia="en-US"/>
        </w:rPr>
        <w:t xml:space="preserve"> Informes y estadísticas que tengan que realizar en términos del Código Administrativo del Estado de México.</w:t>
      </w:r>
    </w:p>
    <w:p w:rsidR="0078794A" w:rsidRDefault="002F1ED1">
      <w:pPr>
        <w:pStyle w:val="Fundamentos"/>
      </w:pPr>
      <w:r>
        <w:rPr>
          <w:b/>
          <w:bCs/>
          <w:lang w:eastAsia="en-US"/>
        </w:rPr>
        <w:t>XXIII.</w:t>
      </w:r>
      <w:r>
        <w:rPr>
          <w:lang w:eastAsia="en-US"/>
        </w:rPr>
        <w:t xml:space="preserve"> Las cuentas públicas, estatal y municipales.</w:t>
      </w:r>
    </w:p>
    <w:p w:rsidR="0078794A" w:rsidRDefault="0078794A">
      <w:pPr>
        <w:contextualSpacing/>
        <w:rPr>
          <w:rFonts w:eastAsia="Palatino Linotype" w:cs="Palatino Linotype"/>
          <w:szCs w:val="24"/>
        </w:rPr>
      </w:pPr>
    </w:p>
    <w:p w:rsidR="0078794A" w:rsidRDefault="002F1ED1">
      <w:pPr>
        <w:contextualSpacing/>
        <w:rPr>
          <w:rFonts w:eastAsia="Palatino Linotype" w:cs="Palatino Linotype"/>
          <w:szCs w:val="24"/>
        </w:rPr>
      </w:pPr>
      <w:r>
        <w:rPr>
          <w:rFonts w:eastAsia="Palatino Linotype" w:cs="Palatino Linotype"/>
          <w:szCs w:val="24"/>
        </w:rPr>
        <w:t>Del precepto anterior, se observa que la fracción XI constreñía a los sujetos obligados a hacer públicos los procesos de licitación y contratación para la adquisición de bienes, arrendamientos y prestación de servicios celebrados con personas físicas o morales de derecho privado; asimismo, no se observa que se contemplara la publicación del padrón de proveedores y contratistas.</w:t>
      </w:r>
    </w:p>
    <w:p w:rsidR="0078794A" w:rsidRDefault="0078794A">
      <w:pPr>
        <w:contextualSpacing/>
        <w:rPr>
          <w:rFonts w:eastAsia="Palatino Linotype" w:cs="Palatino Linotype"/>
          <w:szCs w:val="24"/>
        </w:rPr>
      </w:pPr>
    </w:p>
    <w:p w:rsidR="0078794A" w:rsidRDefault="002F1ED1">
      <w:pPr>
        <w:contextualSpacing/>
        <w:rPr>
          <w:rFonts w:eastAsia="Palatino Linotype" w:cs="Palatino Linotype"/>
          <w:szCs w:val="24"/>
        </w:rPr>
      </w:pPr>
      <w:r>
        <w:rPr>
          <w:rFonts w:eastAsia="Palatino Linotype" w:cs="Palatino Linotype"/>
          <w:szCs w:val="24"/>
        </w:rPr>
        <w:t>Al respecto, se debe recordar que la anterior Ley de Transparencia local estuvo vigente del primero de mayo de dos mil cuatro al cuatro de mayo de dos mil dieciséis.</w:t>
      </w:r>
    </w:p>
    <w:p w:rsidR="0078794A" w:rsidRDefault="0078794A">
      <w:pPr>
        <w:contextualSpacing/>
        <w:rPr>
          <w:rFonts w:eastAsia="Palatino Linotype" w:cs="Palatino Linotype"/>
          <w:szCs w:val="24"/>
        </w:rPr>
      </w:pPr>
    </w:p>
    <w:p w:rsidR="0078794A" w:rsidRDefault="002F1ED1">
      <w:pPr>
        <w:contextualSpacing/>
        <w:rPr>
          <w:rFonts w:eastAsia="Palatino Linotype" w:cs="Palatino Linotype"/>
          <w:szCs w:val="24"/>
        </w:rPr>
      </w:pPr>
      <w:r>
        <w:rPr>
          <w:rFonts w:eastAsia="Palatino Linotype" w:cs="Palatino Linotype"/>
          <w:szCs w:val="24"/>
        </w:rPr>
        <w:t>Por este motivo, se tiene que en el portal IPOMEX se encuentra información de años anteriores, como se observa en la siguiente imagen:</w:t>
      </w:r>
    </w:p>
    <w:p w:rsidR="0078794A" w:rsidRDefault="002F1ED1">
      <w:pPr>
        <w:contextualSpacing/>
        <w:rPr>
          <w:rFonts w:eastAsia="Palatino Linotype" w:cs="Palatino Linotype"/>
          <w:szCs w:val="24"/>
        </w:rPr>
      </w:pPr>
      <w:r>
        <w:rPr>
          <w:rFonts w:eastAsia="Palatino Linotype" w:cs="Palatino Linotype"/>
          <w:noProof/>
          <w:szCs w:val="24"/>
        </w:rPr>
        <w:drawing>
          <wp:inline distT="0" distB="0" distL="0" distR="0">
            <wp:extent cx="5939790" cy="1128395"/>
            <wp:effectExtent l="0" t="0" r="381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9790" cy="1128395"/>
                    </a:xfrm>
                    <a:prstGeom prst="rect">
                      <a:avLst/>
                    </a:prstGeom>
                  </pic:spPr>
                </pic:pic>
              </a:graphicData>
            </a:graphic>
          </wp:inline>
        </w:drawing>
      </w:r>
    </w:p>
    <w:p w:rsidR="0078794A" w:rsidRDefault="0078794A">
      <w:pPr>
        <w:contextualSpacing/>
        <w:rPr>
          <w:rFonts w:eastAsia="Palatino Linotype" w:cs="Palatino Linotype"/>
          <w:szCs w:val="24"/>
        </w:rPr>
      </w:pPr>
    </w:p>
    <w:p w:rsidR="0078794A" w:rsidRDefault="002F1ED1">
      <w:pPr>
        <w:contextualSpacing/>
        <w:rPr>
          <w:rFonts w:eastAsia="Palatino Linotype" w:cs="Palatino Linotype"/>
          <w:szCs w:val="24"/>
        </w:rPr>
      </w:pPr>
      <w:r>
        <w:rPr>
          <w:rFonts w:eastAsia="Palatino Linotype" w:cs="Palatino Linotype"/>
          <w:szCs w:val="24"/>
        </w:rPr>
        <w:t>En consecuencia, se estima que el Sujeto Obligado no proporcionó la información en su totalidad, pues omitió pronunciarse respecto de los años anteriores al ejercicio 2018 en la información concerniente a las concesiones, contratos convenios permisos, licencias o autorizaciones otorgados y de los resultados de procedimientos de adjudicación directa realizados; así como anterior al ejercicio 2020 con relación a los resultados de procedimientos de licitación pública e invitación a cuando menos tres personas.</w:t>
      </w:r>
    </w:p>
    <w:p w:rsidR="0078794A" w:rsidRDefault="0078794A">
      <w:pPr>
        <w:contextualSpacing/>
        <w:rPr>
          <w:rFonts w:eastAsia="Palatino Linotype" w:cs="Palatino Linotype"/>
          <w:szCs w:val="24"/>
        </w:rPr>
      </w:pPr>
    </w:p>
    <w:p w:rsidR="0078794A" w:rsidRDefault="002F1ED1">
      <w:pPr>
        <w:contextualSpacing/>
        <w:rPr>
          <w:rFonts w:eastAsia="Palatino Linotype" w:cs="Palatino Linotype"/>
        </w:rPr>
      </w:pPr>
      <w:r>
        <w:rPr>
          <w:rFonts w:eastAsia="Palatino Linotype" w:cs="Palatino Linotype"/>
          <w:szCs w:val="24"/>
        </w:rPr>
        <w:t xml:space="preserve">No obstante, debido a que se solicitó información desde el año dos mil doce, es necesario tener en cuenta los </w:t>
      </w:r>
      <w:r>
        <w:rPr>
          <w:rFonts w:eastAsia="Palatino Linotype" w:cs="Palatino Linotype"/>
        </w:rPr>
        <w:t xml:space="preserve">siguientes conceptos establecidos en los Lineamientos para la Organización y Conservación de Archivos, emitidos por el Consejo Nacional del Sistema Nacional de Transparencia, Acceso a la Información Pública y Protección de Datos Pesronales en el acuerdo CONAIP/SNT/ACUERDO/EXT13/04/2016-03, cuyo objeto es </w:t>
      </w:r>
      <w:r>
        <w:rPr>
          <w:rFonts w:eastAsia="Palatino Linotype" w:cs="Palatino Linotype"/>
          <w:i/>
        </w:rPr>
        <w:t>“establecer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r>
        <w:rPr>
          <w:rFonts w:eastAsia="Palatino Linotype" w:cs="Palatino Linotype"/>
        </w:rPr>
        <w:t>”, al tenor de lo siguiente:</w:t>
      </w:r>
    </w:p>
    <w:p w:rsidR="0078794A" w:rsidRDefault="0078794A">
      <w:pPr>
        <w:contextualSpacing/>
        <w:rPr>
          <w:rFonts w:eastAsia="Palatino Linotype" w:cs="Palatino Linotype"/>
          <w:szCs w:val="24"/>
        </w:rPr>
      </w:pPr>
    </w:p>
    <w:p w:rsidR="0078794A" w:rsidRDefault="002F1ED1">
      <w:pPr>
        <w:spacing w:line="240" w:lineRule="auto"/>
        <w:ind w:left="567" w:right="565"/>
        <w:contextualSpacing/>
        <w:rPr>
          <w:rFonts w:eastAsia="Palatino Linotype" w:cs="Palatino Linotype"/>
          <w:b/>
          <w:i/>
          <w:sz w:val="22"/>
        </w:rPr>
      </w:pPr>
      <w:r>
        <w:rPr>
          <w:rFonts w:eastAsia="Palatino Linotype" w:cs="Palatino Linotype"/>
          <w:b/>
          <w:i/>
          <w:sz w:val="22"/>
        </w:rPr>
        <w:t>Cuarto.</w:t>
      </w:r>
    </w:p>
    <w:p w:rsidR="0078794A" w:rsidRDefault="002F1ED1">
      <w:pPr>
        <w:spacing w:line="240" w:lineRule="auto"/>
        <w:ind w:left="567" w:right="565"/>
        <w:contextualSpacing/>
        <w:rPr>
          <w:rFonts w:eastAsia="Palatino Linotype" w:cs="Palatino Linotype"/>
          <w:i/>
          <w:sz w:val="22"/>
        </w:rPr>
      </w:pPr>
      <w:r>
        <w:rPr>
          <w:rFonts w:eastAsia="Palatino Linotype" w:cs="Palatino Linotype"/>
          <w:i/>
          <w:sz w:val="22"/>
        </w:rPr>
        <w:t>(…)</w:t>
      </w:r>
    </w:p>
    <w:p w:rsidR="0078794A" w:rsidRDefault="002F1ED1">
      <w:pPr>
        <w:spacing w:line="240" w:lineRule="auto"/>
        <w:ind w:left="567" w:right="565"/>
        <w:contextualSpacing/>
        <w:rPr>
          <w:rFonts w:eastAsia="Palatino Linotype" w:cs="Palatino Linotype"/>
          <w:i/>
          <w:sz w:val="22"/>
        </w:rPr>
      </w:pPr>
      <w:r>
        <w:rPr>
          <w:rFonts w:eastAsia="Palatino Linotype" w:cs="Palatino Linotype"/>
          <w:b/>
          <w:i/>
          <w:sz w:val="22"/>
        </w:rPr>
        <w:t>II. Archivo:</w:t>
      </w:r>
      <w:r>
        <w:rPr>
          <w:rFonts w:eastAsia="Palatino Linotype" w:cs="Palatino Linotype"/>
          <w:i/>
          <w:sz w:val="22"/>
        </w:rPr>
        <w:t xml:space="preserve"> El conjunto orgánico de documentos en cualquier soporte, que son producidos o recibidos por los sujetos obligados o los particulares en el ejercicio de sus atribuciones o en el desarrollo de sus actividades;</w:t>
      </w:r>
    </w:p>
    <w:p w:rsidR="0078794A" w:rsidRDefault="002F1ED1">
      <w:pPr>
        <w:spacing w:line="240" w:lineRule="auto"/>
        <w:ind w:left="567" w:right="565"/>
        <w:contextualSpacing/>
        <w:rPr>
          <w:rFonts w:eastAsia="Palatino Linotype" w:cs="Palatino Linotype"/>
          <w:i/>
          <w:sz w:val="22"/>
        </w:rPr>
      </w:pPr>
      <w:r>
        <w:rPr>
          <w:rFonts w:eastAsia="Palatino Linotype" w:cs="Palatino Linotype"/>
          <w:b/>
          <w:i/>
          <w:sz w:val="22"/>
        </w:rPr>
        <w:t>III. Archivo de concentración:</w:t>
      </w:r>
      <w:r>
        <w:rPr>
          <w:rFonts w:eastAsia="Palatino Linotype" w:cs="Palatino Linotype"/>
          <w:i/>
          <w:sz w:val="22"/>
        </w:rPr>
        <w:t xml:space="preserve"> La unidad de la administración de documentos cuya consulta es esporádica y que permanecen en ella hasta su transferencia secundaria o baja documental;</w:t>
      </w:r>
    </w:p>
    <w:p w:rsidR="0078794A" w:rsidRDefault="002F1ED1">
      <w:pPr>
        <w:spacing w:line="240" w:lineRule="auto"/>
        <w:ind w:left="567" w:right="565"/>
        <w:contextualSpacing/>
        <w:rPr>
          <w:rFonts w:eastAsia="Palatino Linotype" w:cs="Palatino Linotype"/>
          <w:i/>
          <w:sz w:val="22"/>
        </w:rPr>
      </w:pPr>
      <w:r>
        <w:rPr>
          <w:rFonts w:eastAsia="Palatino Linotype" w:cs="Palatino Linotype"/>
          <w:b/>
          <w:i/>
          <w:sz w:val="22"/>
        </w:rPr>
        <w:lastRenderedPageBreak/>
        <w:t>IV. Archivo histórico.</w:t>
      </w:r>
      <w:r>
        <w:rPr>
          <w:rFonts w:eastAsia="Palatino Linotype" w:cs="Palatino Linotype"/>
          <w:i/>
          <w:sz w:val="22"/>
        </w:rPr>
        <w:t xml:space="preserve"> La unidad responsable de la administración de los documentos de conservación permanente y que son fuente de acceso público;</w:t>
      </w:r>
    </w:p>
    <w:p w:rsidR="0078794A" w:rsidRDefault="002F1ED1">
      <w:pPr>
        <w:spacing w:line="240" w:lineRule="auto"/>
        <w:ind w:left="567" w:right="565"/>
        <w:contextualSpacing/>
        <w:rPr>
          <w:rFonts w:eastAsia="Palatino Linotype" w:cs="Palatino Linotype"/>
          <w:i/>
          <w:sz w:val="22"/>
        </w:rPr>
      </w:pPr>
      <w:r>
        <w:rPr>
          <w:rFonts w:eastAsia="Palatino Linotype" w:cs="Palatino Linotype"/>
          <w:b/>
          <w:i/>
          <w:sz w:val="22"/>
        </w:rPr>
        <w:t>V. Archivo de trámite:</w:t>
      </w:r>
      <w:r>
        <w:rPr>
          <w:rFonts w:eastAsia="Palatino Linotype" w:cs="Palatino Linotype"/>
          <w:i/>
          <w:sz w:val="22"/>
        </w:rPr>
        <w:t xml:space="preserve"> La unidad responsable de la administración de documentos de uso cotidiano y necesario para el ejercicio de las atribuciones de una unidad administrativa, los cuales permanecen en ella hasta su transferencia primaria;</w:t>
      </w:r>
    </w:p>
    <w:p w:rsidR="0078794A" w:rsidRDefault="002F1ED1">
      <w:pPr>
        <w:spacing w:line="240" w:lineRule="auto"/>
        <w:ind w:left="567" w:right="565"/>
        <w:contextualSpacing/>
        <w:rPr>
          <w:rFonts w:eastAsia="Palatino Linotype" w:cs="Palatino Linotype"/>
          <w:i/>
          <w:sz w:val="22"/>
        </w:rPr>
      </w:pPr>
      <w:r>
        <w:rPr>
          <w:rFonts w:eastAsia="Palatino Linotype" w:cs="Palatino Linotype"/>
          <w:b/>
          <w:i/>
          <w:sz w:val="22"/>
        </w:rPr>
        <w:t>VIII. Baja documental.</w:t>
      </w:r>
      <w:r>
        <w:rPr>
          <w:rFonts w:eastAsia="Palatino Linotype" w:cs="Palatino Linotype"/>
          <w:i/>
          <w:sz w:val="22"/>
        </w:rPr>
        <w:t xml:space="preserve"> La eliminación de aquella documentación que haya prescrito en sus valores administrativos, legales, fiscales, contables, y que no contenga valores históricos;</w:t>
      </w:r>
    </w:p>
    <w:p w:rsidR="0078794A" w:rsidRDefault="002F1ED1">
      <w:pPr>
        <w:spacing w:line="240" w:lineRule="auto"/>
        <w:ind w:left="567" w:right="565"/>
        <w:contextualSpacing/>
        <w:rPr>
          <w:rFonts w:eastAsia="Palatino Linotype" w:cs="Palatino Linotype"/>
          <w:i/>
          <w:sz w:val="22"/>
        </w:rPr>
      </w:pPr>
      <w:r>
        <w:rPr>
          <w:rFonts w:eastAsia="Palatino Linotype" w:cs="Palatino Linotype"/>
          <w:i/>
          <w:sz w:val="22"/>
        </w:rPr>
        <w:t>(…)</w:t>
      </w:r>
    </w:p>
    <w:p w:rsidR="0078794A" w:rsidRDefault="002F1ED1">
      <w:pPr>
        <w:spacing w:line="240" w:lineRule="auto"/>
        <w:ind w:left="567" w:right="565"/>
        <w:contextualSpacing/>
        <w:rPr>
          <w:rFonts w:eastAsia="Palatino Linotype" w:cs="Palatino Linotype"/>
          <w:i/>
          <w:sz w:val="22"/>
        </w:rPr>
      </w:pPr>
      <w:r>
        <w:rPr>
          <w:rFonts w:eastAsia="Palatino Linotype" w:cs="Palatino Linotype"/>
          <w:b/>
          <w:i/>
          <w:sz w:val="22"/>
        </w:rPr>
        <w:t>X. Ciclo vital del documento:</w:t>
      </w:r>
      <w:r>
        <w:rPr>
          <w:rFonts w:eastAsia="Palatino Linotype" w:cs="Palatino Linotype"/>
          <w:i/>
          <w:sz w:val="22"/>
        </w:rPr>
        <w:t xml:space="preserve"> La etapas de los documentos desde su producción o recepción hasta su baja o transferencia a un archivo histórico;</w:t>
      </w:r>
    </w:p>
    <w:p w:rsidR="0078794A" w:rsidRDefault="002F1ED1">
      <w:pPr>
        <w:spacing w:line="240" w:lineRule="auto"/>
        <w:ind w:left="567" w:right="565"/>
        <w:contextualSpacing/>
        <w:rPr>
          <w:rFonts w:eastAsia="Palatino Linotype" w:cs="Palatino Linotype"/>
          <w:i/>
          <w:sz w:val="22"/>
        </w:rPr>
      </w:pPr>
      <w:r>
        <w:rPr>
          <w:rFonts w:eastAsia="Palatino Linotype" w:cs="Palatino Linotype"/>
          <w:i/>
          <w:sz w:val="22"/>
        </w:rPr>
        <w:t>(…)</w:t>
      </w:r>
    </w:p>
    <w:p w:rsidR="0078794A" w:rsidRDefault="002F1ED1">
      <w:pPr>
        <w:spacing w:line="240" w:lineRule="auto"/>
        <w:ind w:left="567" w:right="565"/>
        <w:contextualSpacing/>
        <w:rPr>
          <w:rFonts w:eastAsia="Palatino Linotype" w:cs="Palatino Linotype"/>
          <w:i/>
          <w:sz w:val="22"/>
        </w:rPr>
      </w:pPr>
      <w:r>
        <w:rPr>
          <w:rFonts w:eastAsia="Palatino Linotype" w:cs="Palatino Linotype"/>
          <w:b/>
          <w:i/>
          <w:sz w:val="22"/>
        </w:rPr>
        <w:t xml:space="preserve">XLVIII. Transferencia documental: </w:t>
      </w:r>
      <w:r>
        <w:rPr>
          <w:rFonts w:eastAsia="Palatino Linotype" w:cs="Palatino Linotype"/>
          <w:i/>
          <w:sz w:val="22"/>
        </w:rPr>
        <w:t>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w:t>
      </w:r>
    </w:p>
    <w:p w:rsidR="0078794A" w:rsidRDefault="0078794A">
      <w:pPr>
        <w:contextualSpacing/>
        <w:rPr>
          <w:rFonts w:eastAsia="Palatino Linotype" w:cs="Palatino Linotype"/>
          <w:szCs w:val="24"/>
        </w:rPr>
      </w:pPr>
    </w:p>
    <w:p w:rsidR="0078794A" w:rsidRDefault="002F1ED1">
      <w:pPr>
        <w:contextualSpacing/>
        <w:rPr>
          <w:rFonts w:eastAsia="Palatino Linotype" w:cs="Palatino Linotype"/>
          <w:szCs w:val="24"/>
        </w:rPr>
      </w:pPr>
      <w:r>
        <w:rPr>
          <w:rFonts w:eastAsia="Palatino Linotype" w:cs="Palatino Linotype"/>
          <w:szCs w:val="24"/>
        </w:rPr>
        <w:t>Por lo expuesto, se colige que los documentos cuentan con un ciclo vital, entendiéndose como las etapas a las que se someten desde su producción o recepción hasta su baja o transferencia a un archivo histórico; siendo el Archivo de Trámite la primera etapa, en la que se depositan todos los archivos de uso cotidiano y que son necesarios para el ejercicio de las atribuciones de una entidad administrativa, y en la que permanecen hasta su transferencia primaria al Archivo de Concentración; en esta etapa se mantienen los archivos de consulta esporádica y permanecen allí hasta sus transferencia secundaria al Archivo Histórico o su baja documental.</w:t>
      </w:r>
    </w:p>
    <w:p w:rsidR="0078794A" w:rsidRDefault="0078794A">
      <w:pPr>
        <w:contextualSpacing/>
        <w:rPr>
          <w:rFonts w:eastAsia="Palatino Linotype" w:cs="Palatino Linotype"/>
          <w:szCs w:val="24"/>
        </w:rPr>
      </w:pPr>
    </w:p>
    <w:p w:rsidR="0078794A" w:rsidRDefault="002F1ED1">
      <w:pPr>
        <w:contextualSpacing/>
        <w:rPr>
          <w:rFonts w:eastAsia="Palatino Linotype" w:cs="Palatino Linotype"/>
          <w:szCs w:val="24"/>
        </w:rPr>
      </w:pPr>
      <w:r>
        <w:rPr>
          <w:rFonts w:eastAsia="Palatino Linotype" w:cs="Palatino Linotype"/>
          <w:szCs w:val="24"/>
        </w:rPr>
        <w:t>Asimismo, también es importante considerar lo dispuesto en los Lineamientos para la Valoración, Selección y Baja de los Documentos, Expedientes y Series de Trámite Concluido en los Archivos del Estado de México, en los que está establecido lo siguiente:</w:t>
      </w:r>
    </w:p>
    <w:p w:rsidR="0078794A" w:rsidRDefault="0078794A">
      <w:pPr>
        <w:contextualSpacing/>
        <w:rPr>
          <w:rFonts w:eastAsia="Palatino Linotype" w:cs="Palatino Linotype"/>
          <w:szCs w:val="24"/>
        </w:rPr>
      </w:pPr>
    </w:p>
    <w:p w:rsidR="0078794A" w:rsidRDefault="002F1ED1">
      <w:pPr>
        <w:pStyle w:val="Fundamentos"/>
      </w:pPr>
      <w:r>
        <w:rPr>
          <w:b/>
        </w:rPr>
        <w:lastRenderedPageBreak/>
        <w:t>Artículo 20.</w:t>
      </w:r>
      <w:r>
        <w:t xml:space="preserve"> 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rsidR="0078794A" w:rsidRDefault="0078794A">
      <w:pPr>
        <w:pStyle w:val="Fundamentos"/>
      </w:pPr>
    </w:p>
    <w:p w:rsidR="0078794A" w:rsidRDefault="002F1ED1">
      <w:pPr>
        <w:pStyle w:val="Fundamentos"/>
      </w:pPr>
      <w:r>
        <w:t>El periodo señalado se computará a partir del día siguiente a la fecha del documento con el cual se dé por concluido el asunto pro el que los expedientes fueron creados.</w:t>
      </w:r>
    </w:p>
    <w:p w:rsidR="0078794A" w:rsidRDefault="0078794A">
      <w:pPr>
        <w:pStyle w:val="Fundamentos"/>
      </w:pPr>
    </w:p>
    <w:p w:rsidR="0078794A" w:rsidRDefault="002F1ED1">
      <w:pPr>
        <w:pStyle w:val="Fundamentos"/>
      </w:pPr>
      <w:r>
        <w:rPr>
          <w:b/>
        </w:rPr>
        <w:t>Artículo 27.</w:t>
      </w:r>
      <w:r>
        <w:t>- Las Unidades Administrativas al realizar la transferencia de los expedientes de trámite concluido, señalarán en el Inventario correspondiente los plazos de conservación precaucional de éstos en el Archivo de Concentración. Para determinar el plazo de conservación precaucional deberán considerar el marco legal o administrativo bajo el cual se produjeron o recibieron los documentos y los siguientes períodos:</w:t>
      </w:r>
    </w:p>
    <w:p w:rsidR="0078794A" w:rsidRDefault="0078794A">
      <w:pPr>
        <w:pStyle w:val="Fundamentos"/>
      </w:pPr>
    </w:p>
    <w:p w:rsidR="0078794A" w:rsidRDefault="002F1ED1">
      <w:pPr>
        <w:pStyle w:val="Fundamentos"/>
        <w:numPr>
          <w:ilvl w:val="0"/>
          <w:numId w:val="3"/>
        </w:numPr>
        <w:rPr>
          <w:bCs/>
        </w:rPr>
      </w:pPr>
      <w:r>
        <w:rPr>
          <w:bCs/>
        </w:rPr>
        <w:t>6 años para expedientes con información administrativa;</w:t>
      </w:r>
    </w:p>
    <w:p w:rsidR="0078794A" w:rsidRDefault="002F1ED1">
      <w:pPr>
        <w:pStyle w:val="Fundamentos"/>
        <w:numPr>
          <w:ilvl w:val="0"/>
          <w:numId w:val="3"/>
        </w:numPr>
      </w:pPr>
      <w:r>
        <w:t>6 años como mínimo para expedientes con información fiscal y presupuestal contable;</w:t>
      </w:r>
    </w:p>
    <w:p w:rsidR="0078794A" w:rsidRDefault="002F1ED1">
      <w:pPr>
        <w:pStyle w:val="Fundamentos"/>
        <w:numPr>
          <w:ilvl w:val="0"/>
          <w:numId w:val="3"/>
        </w:numPr>
      </w:pPr>
      <w:r>
        <w:t>12 años como mínimo para expedientes con información jurídico-legal, obra pública y activo fijo; y</w:t>
      </w:r>
    </w:p>
    <w:p w:rsidR="0078794A" w:rsidRDefault="002F1ED1">
      <w:pPr>
        <w:pStyle w:val="Fundamentos"/>
        <w:numPr>
          <w:ilvl w:val="0"/>
          <w:numId w:val="3"/>
        </w:numPr>
      </w:pPr>
      <w:r>
        <w:t>Cuando en la legislación se establezcan períodos de conservación mayores a los señalados en las fracciones I, II y III, se considerarán los estipulados en dicha legislación para efectos de realización del proceso de selección final.</w:t>
      </w:r>
    </w:p>
    <w:p w:rsidR="0078794A" w:rsidRDefault="002F1ED1">
      <w:pPr>
        <w:pStyle w:val="Fundamentos"/>
        <w:numPr>
          <w:ilvl w:val="0"/>
          <w:numId w:val="3"/>
        </w:numPr>
      </w:pPr>
      <w:r>
        <w:t>Cuando las Unidades Administrativas no indique el plazo de conservación precaucional de sus expedientes en el Inventario correspondiente, los Archivos de Concentración podrán rechazar la transferencia de los expedientes.</w:t>
      </w:r>
    </w:p>
    <w:p w:rsidR="0078794A" w:rsidRDefault="0078794A">
      <w:pPr>
        <w:contextualSpacing/>
        <w:rPr>
          <w:rFonts w:eastAsia="Palatino Linotype" w:cs="Palatino Linotype"/>
          <w:szCs w:val="24"/>
        </w:rPr>
      </w:pPr>
    </w:p>
    <w:p w:rsidR="0078794A" w:rsidRDefault="002F1ED1">
      <w:pPr>
        <w:pStyle w:val="Sinespaciado"/>
        <w:spacing w:line="360" w:lineRule="auto"/>
        <w:jc w:val="both"/>
        <w:rPr>
          <w:rFonts w:ascii="Palatino Linotype" w:hAnsi="Palatino Linotype"/>
        </w:rPr>
      </w:pPr>
      <w:r>
        <w:rPr>
          <w:rFonts w:eastAsia="Palatino Linotype" w:cs="Palatino Linotype"/>
        </w:rPr>
        <w:t xml:space="preserve">Con </w:t>
      </w:r>
      <w:r>
        <w:rPr>
          <w:rFonts w:ascii="Palatino Linotype" w:hAnsi="Palatino Linotype"/>
        </w:rPr>
        <w:t>apego a lo anterior, se tiene que una vez que los documentos generados se consideran como trámite concluido, pasan a formar parte del Archivo de Trámite por dos años; concluido el plazo, se transfieren al Archivo de Concentración para mantenerse allí por un plazo que dependerá de su naturaleza;  y una vez concluido dicho periodo, los documentos pueden causar baja documental o bien, formar parte del Archivo Histórico.</w:t>
      </w:r>
    </w:p>
    <w:p w:rsidR="0078794A" w:rsidRDefault="0078794A">
      <w:pPr>
        <w:contextualSpacing/>
        <w:rPr>
          <w:rFonts w:eastAsia="Palatino Linotype" w:cs="Palatino Linotype"/>
          <w:szCs w:val="24"/>
        </w:rPr>
      </w:pPr>
    </w:p>
    <w:p w:rsidR="0078794A" w:rsidRDefault="002F1ED1">
      <w:pPr>
        <w:contextualSpacing/>
        <w:rPr>
          <w:rFonts w:eastAsia="Palatino Linotype" w:cs="Palatino Linotype"/>
          <w:szCs w:val="24"/>
        </w:rPr>
      </w:pPr>
      <w:r>
        <w:rPr>
          <w:rFonts w:eastAsia="Palatino Linotype" w:cs="Palatino Linotype"/>
          <w:szCs w:val="24"/>
        </w:rPr>
        <w:t xml:space="preserve">Una vez establecido lo anterior, se tiene que el Recurrente solicitó información generada a partir del primero de enero de dos mil doce; es decir, generada hace poco más de diez </w:t>
      </w:r>
      <w:r>
        <w:rPr>
          <w:rFonts w:eastAsia="Palatino Linotype" w:cs="Palatino Linotype"/>
          <w:szCs w:val="24"/>
        </w:rPr>
        <w:lastRenderedPageBreak/>
        <w:t>años, por lo que en caso de ser considerada como información administrativa, fiscal o presupuestal contable, sumando los dos años de permanencia en el Archivo de Trámite y los seis años en el Archivo de Concentración, da un total de ocho años, por lo que existe la posibilidad de que haya tenido como final dos opciones: la baja documental o su envío al archivo histórico, toda vez que han transcurrido más de diez años de la generación de esa información. Así es que no se tiene la certeza de que la documentación solicitad aún se encuentre dentro de los archivos del Sujeto Obligado.</w:t>
      </w:r>
    </w:p>
    <w:p w:rsidR="0078794A" w:rsidRDefault="0078794A">
      <w:pPr>
        <w:contextualSpacing/>
        <w:rPr>
          <w:rFonts w:eastAsia="Palatino Linotype" w:cs="Palatino Linotype"/>
          <w:szCs w:val="24"/>
        </w:rPr>
      </w:pPr>
    </w:p>
    <w:p w:rsidR="0078794A" w:rsidRDefault="002F1ED1">
      <w:pPr>
        <w:contextualSpacing/>
        <w:rPr>
          <w:rFonts w:eastAsia="Palatino Linotype" w:cs="Palatino Linotype"/>
          <w:szCs w:val="24"/>
        </w:rPr>
      </w:pPr>
      <w:r>
        <w:rPr>
          <w:rFonts w:eastAsia="Palatino Linotype" w:cs="Palatino Linotype"/>
          <w:szCs w:val="24"/>
        </w:rPr>
        <w:t>Es el caso que, según lo dispuesto por los Lineamientos referidos anteriormente, corresponde a la Comisión Dictaminadora de Depuración de Documentos, estudiar y determinar el valor de los documentos, expedientes y series de trámites concluidos existentes en los archivos, así como establecer las políticas, criterios y procedimientos para realizar para realizar su selección, con la finalidad de que los documentos no sean destruidos sin un análisis de la información que contienen, y de ser el caso proceder a la baja documental o destrucción de los archivos de los que haya fenecido su ciclo administrativo.</w:t>
      </w:r>
    </w:p>
    <w:p w:rsidR="0078794A" w:rsidRDefault="0078794A">
      <w:pPr>
        <w:contextualSpacing/>
        <w:rPr>
          <w:rFonts w:eastAsia="Palatino Linotype" w:cs="Palatino Linotype"/>
          <w:szCs w:val="24"/>
        </w:rPr>
      </w:pPr>
    </w:p>
    <w:p w:rsidR="0078794A" w:rsidRDefault="002F1ED1">
      <w:r>
        <w:t>Por lo anteriormente expuesto, es necesario que el Sujeto Obligado realice una búsqueda exhaustiva y razonable en las áreas en las que pueda encontrarse la información solicitada, así como en la que tenga bajo su resguardo el Archivo Histórico, en términos del artículo 162 de la Ley de Transparencia, con el propósito de que se haga entrega de la misma al hoy Recurrente .</w:t>
      </w:r>
    </w:p>
    <w:p w:rsidR="0078794A" w:rsidRDefault="0078794A"/>
    <w:p w:rsidR="0078794A" w:rsidRDefault="002F1ED1">
      <w:pPr>
        <w:rPr>
          <w:rFonts w:eastAsiaTheme="minorHAnsi" w:cstheme="minorBidi"/>
          <w:lang w:eastAsia="en-US"/>
        </w:rPr>
      </w:pPr>
      <w:r>
        <w:lastRenderedPageBreak/>
        <w:t xml:space="preserve">Ahora bien, en el supuesto de que no se encuentre la información no sea localizada después de realizada la búsqueda, el Sujeto Obligado de </w:t>
      </w:r>
      <w:r>
        <w:rPr>
          <w:rFonts w:eastAsiaTheme="minorHAnsi" w:cstheme="minorBidi"/>
          <w:lang w:eastAsia="en-US"/>
        </w:rPr>
        <w:t>deberá elaborar y hacer entrega al Recurrente de la declaratoria de inexistencia.</w:t>
      </w:r>
    </w:p>
    <w:p w:rsidR="0078794A" w:rsidRDefault="0078794A">
      <w:pPr>
        <w:rPr>
          <w:rFonts w:eastAsiaTheme="minorHAnsi" w:cstheme="minorBidi"/>
          <w:lang w:eastAsia="en-US"/>
        </w:rPr>
      </w:pPr>
    </w:p>
    <w:p w:rsidR="0078794A" w:rsidRDefault="002F1ED1">
      <w:pPr>
        <w:rPr>
          <w:rFonts w:eastAsiaTheme="minorHAnsi" w:cstheme="minorBidi"/>
          <w:szCs w:val="24"/>
          <w:lang w:eastAsia="en-US"/>
        </w:rPr>
      </w:pPr>
      <w:r>
        <w:rPr>
          <w:rFonts w:eastAsiaTheme="minorHAnsi" w:cstheme="minorBidi"/>
          <w:szCs w:val="24"/>
          <w:lang w:eastAsia="en-US"/>
        </w:rPr>
        <w:t>Por tanto, cuando se actualiza el supuesto de inexistencia, la declaratoria correspondiente no opera en automático, pues para que pueda surtir todos sus efectos jurídicos, es necesario cumplir con los requisitos formales que establece la Ley de Transparencia y Acceso a la Información Pública del Estado de México y Municipios; numerales CUARENTA Y CUATRO, así como, CUARENTA Y CINCO de los Lineamientos para la Recepción, Trámite y Resolución de las Solicitudes de Acceso a la Información, de cuya interpretación sistemática, se concluye que:</w:t>
      </w:r>
    </w:p>
    <w:p w:rsidR="0078794A" w:rsidRDefault="0078794A">
      <w:pPr>
        <w:rPr>
          <w:rFonts w:eastAsiaTheme="minorHAnsi" w:cstheme="minorBidi"/>
          <w:szCs w:val="24"/>
          <w:lang w:eastAsia="en-US"/>
        </w:rPr>
      </w:pPr>
    </w:p>
    <w:p w:rsidR="0078794A" w:rsidRDefault="002F1ED1">
      <w:pPr>
        <w:pStyle w:val="Prrafodelista"/>
        <w:numPr>
          <w:ilvl w:val="0"/>
          <w:numId w:val="4"/>
        </w:numPr>
        <w:ind w:right="-2"/>
        <w:rPr>
          <w:rFonts w:eastAsiaTheme="minorHAnsi" w:cstheme="minorBidi"/>
          <w:lang w:val="es-MX" w:eastAsia="en-US"/>
        </w:rPr>
      </w:pPr>
      <w:r>
        <w:rPr>
          <w:rFonts w:eastAsiaTheme="minorHAnsi" w:cstheme="minorBidi"/>
          <w:lang w:val="es-MX" w:eastAsia="en-US"/>
        </w:rPr>
        <w:t xml:space="preserve">El Comité de Información de los sujetos obligados, se integra en el caso de los municipios por el Presidente municipal, o quien éste designe; el responsable o titular de la unidad de información, así como por el titular del órgano de control interno. </w:t>
      </w:r>
    </w:p>
    <w:p w:rsidR="0078794A" w:rsidRDefault="002F1ED1">
      <w:pPr>
        <w:pStyle w:val="Prrafodelista"/>
        <w:numPr>
          <w:ilvl w:val="0"/>
          <w:numId w:val="4"/>
        </w:numPr>
        <w:ind w:right="-2"/>
        <w:rPr>
          <w:rFonts w:eastAsiaTheme="minorHAnsi" w:cstheme="minorBidi"/>
          <w:lang w:val="es-MX" w:eastAsia="en-US"/>
        </w:rPr>
      </w:pPr>
      <w:r>
        <w:rPr>
          <w:rFonts w:eastAsiaTheme="minorHAnsi" w:cstheme="minorBidi"/>
          <w:lang w:val="es-MX" w:eastAsia="en-US"/>
        </w:rPr>
        <w:t xml:space="preserve">El Comité de Información de los sujetos obligados es el único competente, para dictaminar declaratorias de inexistencia. </w:t>
      </w:r>
    </w:p>
    <w:p w:rsidR="0078794A" w:rsidRDefault="002F1ED1">
      <w:pPr>
        <w:pStyle w:val="Prrafodelista"/>
        <w:numPr>
          <w:ilvl w:val="0"/>
          <w:numId w:val="4"/>
        </w:numPr>
        <w:ind w:right="-2"/>
        <w:rPr>
          <w:rFonts w:eastAsiaTheme="minorHAnsi" w:cstheme="minorBidi"/>
          <w:lang w:val="es-MX" w:eastAsia="en-US"/>
        </w:rPr>
      </w:pPr>
      <w:r>
        <w:rPr>
          <w:rFonts w:eastAsiaTheme="minorHAnsi" w:cstheme="minorBidi"/>
          <w:lang w:val="es-MX" w:eastAsia="en-US"/>
        </w:rPr>
        <w:t>Para el mejor cumplimiento de la ley, el Comité de Información, previamente a la declaratoria de mérito, proveerá una búsqueda exhaustiva de la información solicitada, en su archivo histórico y en cada una de las áreas y dependencias integrantes del Ayuntamiento.</w:t>
      </w:r>
    </w:p>
    <w:p w:rsidR="0078794A" w:rsidRDefault="002F1ED1">
      <w:pPr>
        <w:pStyle w:val="Prrafodelista"/>
        <w:numPr>
          <w:ilvl w:val="0"/>
          <w:numId w:val="4"/>
        </w:numPr>
        <w:ind w:right="-2"/>
        <w:rPr>
          <w:rFonts w:eastAsiaTheme="minorHAnsi" w:cstheme="minorBidi"/>
          <w:lang w:val="es-MX" w:eastAsia="en-US"/>
        </w:rPr>
      </w:pPr>
      <w:r>
        <w:rPr>
          <w:rFonts w:eastAsiaTheme="minorHAnsi" w:cstheme="minorBidi"/>
          <w:lang w:val="es-MX" w:eastAsia="en-US"/>
        </w:rPr>
        <w:t xml:space="preserve">En el supuesto de que no se localice la información ni el Acta de Baja correspondientes, se procede entonces a efectuar la declaratoria de inexistencia, </w:t>
      </w:r>
      <w:r>
        <w:rPr>
          <w:rFonts w:eastAsiaTheme="minorHAnsi" w:cstheme="minorBidi"/>
          <w:lang w:val="es-MX" w:eastAsia="en-US"/>
        </w:rPr>
        <w:lastRenderedPageBreak/>
        <w:t>mediante un acuerdo debidamente fundado y motivado, con los requisitos formales: lugar y fecha, nombre del solicitante, la información solicitada, los preceptos legales que sirvieron de sustento para la declaratoria, las causas que de manera particular y concreta que la hubieren generado, se haga del conocimiento de la Recurrente a la que le asiste el derecho a promover recurso de revisión; nombres y firmas de los integrantes del Comité.</w:t>
      </w:r>
    </w:p>
    <w:p w:rsidR="0078794A" w:rsidRDefault="0078794A">
      <w:pPr>
        <w:rPr>
          <w:rFonts w:eastAsiaTheme="minorHAnsi" w:cstheme="minorBidi"/>
          <w:szCs w:val="24"/>
          <w:lang w:eastAsia="en-US"/>
        </w:rPr>
      </w:pPr>
    </w:p>
    <w:p w:rsidR="0078794A" w:rsidRDefault="002F1ED1">
      <w:pPr>
        <w:spacing w:after="160"/>
        <w:contextualSpacing/>
        <w:rPr>
          <w:rFonts w:cstheme="minorBidi"/>
          <w:szCs w:val="24"/>
          <w:lang w:eastAsia="en-US"/>
        </w:rPr>
      </w:pPr>
      <w:r>
        <w:rPr>
          <w:rFonts w:eastAsia="MS Mincho" w:cs="Arial"/>
          <w:szCs w:val="24"/>
          <w:lang w:eastAsia="en-US"/>
        </w:rPr>
        <w:t>Ahora bien, e</w:t>
      </w:r>
      <w:r>
        <w:rPr>
          <w:rFonts w:cstheme="minorBidi"/>
          <w:szCs w:val="24"/>
          <w:lang w:eastAsia="en-US"/>
        </w:rPr>
        <w:t xml:space="preserve">n este supuesto, el Comité de Información deberá de emitir el </w:t>
      </w:r>
      <w:r>
        <w:rPr>
          <w:rFonts w:cstheme="minorBidi"/>
          <w:b/>
          <w:szCs w:val="24"/>
          <w:lang w:eastAsia="en-US"/>
        </w:rPr>
        <w:t>Acuerdo de Inexistencia de la Información</w:t>
      </w:r>
      <w:r>
        <w:rPr>
          <w:rFonts w:cstheme="minorBidi"/>
          <w:szCs w:val="24"/>
          <w:lang w:eastAsia="en-US"/>
        </w:rPr>
        <w:t xml:space="preserve"> y notificarla al Recurrente. 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aquellas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w:t>
      </w:r>
    </w:p>
    <w:p w:rsidR="0078794A" w:rsidRDefault="0078794A">
      <w:pPr>
        <w:spacing w:after="160"/>
        <w:contextualSpacing/>
        <w:rPr>
          <w:rFonts w:eastAsiaTheme="minorHAnsi" w:cs="Arial"/>
          <w:szCs w:val="24"/>
        </w:rPr>
      </w:pPr>
    </w:p>
    <w:p w:rsidR="0078794A" w:rsidRDefault="002F1ED1">
      <w:pPr>
        <w:spacing w:after="160"/>
        <w:contextualSpacing/>
        <w:rPr>
          <w:rFonts w:eastAsiaTheme="minorHAnsi" w:cs="Arial"/>
          <w:szCs w:val="24"/>
        </w:rPr>
      </w:pPr>
      <w:r>
        <w:rPr>
          <w:rFonts w:eastAsiaTheme="minorHAnsi" w:cs="Arial"/>
          <w:szCs w:val="24"/>
        </w:rPr>
        <w:t xml:space="preserve">Al respecto, es importante considerar </w:t>
      </w:r>
      <w:r>
        <w:rPr>
          <w:rFonts w:eastAsia="MS Mincho" w:cs="Arial"/>
          <w:szCs w:val="24"/>
          <w:lang w:eastAsia="en-US"/>
        </w:rPr>
        <w:t xml:space="preserve">lo dispuesto por el artículo 19 de la Ley de la materia, transcrito con antelación, del cual </w:t>
      </w:r>
      <w:r>
        <w:rPr>
          <w:rFonts w:eastAsiaTheme="minorHAnsi" w:cs="Arial"/>
          <w:szCs w:val="24"/>
        </w:rPr>
        <w:t>se desprende la presunción de existencia de la información cuando se refiere a las facultades, competencias y funciones otorgadas a los sujetos obligados. Asimismo, se establece, para el caso de que el Sujeto Obligado debió generar, poseer o administrar la información, derivado de sus facultades y no cuenta con ella, el Comité de Información debe emitir un acuerdo de inexistencia, en el que detalle las razones del porqué no obra en sus archivos.</w:t>
      </w:r>
    </w:p>
    <w:p w:rsidR="0078794A" w:rsidRDefault="0078794A">
      <w:pPr>
        <w:spacing w:after="160"/>
        <w:ind w:left="426" w:hanging="426"/>
        <w:contextualSpacing/>
        <w:rPr>
          <w:rFonts w:eastAsia="MS Mincho" w:cs="Arial"/>
          <w:b/>
          <w:szCs w:val="24"/>
          <w:lang w:eastAsia="en-US"/>
        </w:rPr>
      </w:pPr>
    </w:p>
    <w:p w:rsidR="0078794A" w:rsidRDefault="002F1ED1">
      <w:pPr>
        <w:spacing w:after="160"/>
        <w:contextualSpacing/>
        <w:rPr>
          <w:rFonts w:eastAsia="MS Mincho" w:cs="Arial"/>
          <w:szCs w:val="24"/>
          <w:lang w:eastAsia="en-US"/>
        </w:rPr>
      </w:pPr>
      <w:r>
        <w:rPr>
          <w:rFonts w:eastAsia="MS Mincho" w:cs="Arial"/>
          <w:szCs w:val="24"/>
          <w:lang w:eastAsia="en-US"/>
        </w:rPr>
        <w:t>En las referidas condiciones es necesario considerar que al aducir su inexistencia, el</w:t>
      </w:r>
      <w:r>
        <w:rPr>
          <w:rFonts w:eastAsia="MS Mincho" w:cs="Arial"/>
          <w:b/>
          <w:szCs w:val="24"/>
          <w:lang w:eastAsia="en-US"/>
        </w:rPr>
        <w:t xml:space="preserve"> </w:t>
      </w:r>
      <w:r>
        <w:rPr>
          <w:rFonts w:eastAsia="MS Mincho" w:cs="Arial"/>
          <w:szCs w:val="24"/>
          <w:lang w:eastAsia="en-US"/>
        </w:rPr>
        <w:t>Sujeto Obligado deberá emitir el Acuerdo de Inexistencia correspondiente por medio de su Comité de Información, ello en estricto apego a lo dispuesto por el artículo 19 de la Ley de Transparencia del Estado de México y Municipios, puesto que en los casos en que ciertas facultades, competencias o funciones no se hayan ejercido, se debe motivar la respuesta en función de las causas que motiven tal circunstancia.</w:t>
      </w:r>
    </w:p>
    <w:p w:rsidR="0078794A" w:rsidRDefault="0078794A">
      <w:pPr>
        <w:spacing w:after="160" w:line="259" w:lineRule="auto"/>
        <w:ind w:left="708"/>
        <w:jc w:val="left"/>
        <w:rPr>
          <w:rFonts w:eastAsia="MS Mincho" w:cs="Arial"/>
          <w:szCs w:val="24"/>
          <w:lang w:eastAsia="en-US"/>
        </w:rPr>
      </w:pPr>
    </w:p>
    <w:p w:rsidR="0078794A" w:rsidRDefault="002F1ED1">
      <w:pPr>
        <w:spacing w:after="160"/>
        <w:contextualSpacing/>
        <w:rPr>
          <w:rFonts w:eastAsia="MS Mincho" w:cs="Arial"/>
          <w:szCs w:val="24"/>
          <w:lang w:eastAsia="en-US"/>
        </w:rPr>
      </w:pPr>
      <w:r>
        <w:rPr>
          <w:rFonts w:eastAsia="MS Mincho" w:cs="Arial"/>
          <w:szCs w:val="24"/>
          <w:lang w:eastAsia="en-US"/>
        </w:rPr>
        <w:t>La emisión del acuerdo de inexistencia que de manera fundada y motivada, sustente las razones por las cuales no se tiene la información para hacer entrega de ella es una facultad que le corresponde al Comité de Transparencia del sujeto obligado correspondiente, de acuerdo a los artículos 47 y 49 fracciones II y XIII de la Ley en estudio:</w:t>
      </w:r>
    </w:p>
    <w:p w:rsidR="0078794A" w:rsidRDefault="0078794A">
      <w:pPr>
        <w:spacing w:after="160" w:line="259" w:lineRule="auto"/>
        <w:ind w:left="720"/>
        <w:contextualSpacing/>
        <w:jc w:val="left"/>
        <w:rPr>
          <w:rFonts w:eastAsia="MS Mincho" w:cs="Arial"/>
          <w:szCs w:val="24"/>
          <w:lang w:eastAsia="en-US"/>
        </w:rPr>
      </w:pPr>
    </w:p>
    <w:p w:rsidR="0078794A" w:rsidRDefault="002F1ED1">
      <w:pPr>
        <w:pStyle w:val="Fundamentos"/>
        <w:rPr>
          <w:lang w:eastAsia="en-US"/>
        </w:rPr>
      </w:pPr>
      <w:r>
        <w:rPr>
          <w:b/>
          <w:lang w:eastAsia="en-US"/>
        </w:rPr>
        <w:t>Artículo 47.</w:t>
      </w:r>
      <w:r>
        <w:rPr>
          <w:lang w:eastAsia="en-US"/>
        </w:rPr>
        <w:t xml:space="preserve"> El Comité de Transparencia será la autoridad máxima al interior del sujeto obligado en materia del derecho de acceso a la información.</w:t>
      </w:r>
    </w:p>
    <w:p w:rsidR="0078794A" w:rsidRDefault="0078794A">
      <w:pPr>
        <w:pStyle w:val="Fundamentos"/>
        <w:rPr>
          <w:lang w:eastAsia="en-US"/>
        </w:rPr>
      </w:pPr>
    </w:p>
    <w:p w:rsidR="0078794A" w:rsidRDefault="002F1ED1">
      <w:pPr>
        <w:pStyle w:val="Fundamentos"/>
        <w:rPr>
          <w:lang w:eastAsia="en-US"/>
        </w:rPr>
      </w:pPr>
      <w:r>
        <w:rPr>
          <w:lang w:eastAsia="en-US"/>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78794A" w:rsidRDefault="0078794A">
      <w:pPr>
        <w:pStyle w:val="Fundamentos"/>
        <w:rPr>
          <w:lang w:eastAsia="en-US"/>
        </w:rPr>
      </w:pPr>
    </w:p>
    <w:p w:rsidR="0078794A" w:rsidRDefault="002F1ED1">
      <w:pPr>
        <w:pStyle w:val="Fundamentos"/>
        <w:rPr>
          <w:lang w:eastAsia="en-US"/>
        </w:rPr>
      </w:pPr>
      <w:r>
        <w:rPr>
          <w:lang w:eastAsia="en-US"/>
        </w:rPr>
        <w:t>El Comité se reunirá en sesión ordinaria o extraordinaria las veces que estime necesario. El tipo de sesión se precisará en la convocatoria emitida.</w:t>
      </w:r>
    </w:p>
    <w:p w:rsidR="0078794A" w:rsidRDefault="0078794A">
      <w:pPr>
        <w:pStyle w:val="Fundamentos"/>
        <w:rPr>
          <w:lang w:eastAsia="en-US"/>
        </w:rPr>
      </w:pPr>
    </w:p>
    <w:p w:rsidR="0078794A" w:rsidRDefault="002F1ED1">
      <w:pPr>
        <w:pStyle w:val="Fundamentos"/>
        <w:rPr>
          <w:lang w:eastAsia="en-US"/>
        </w:rPr>
      </w:pPr>
      <w:r>
        <w:rPr>
          <w:lang w:eastAsia="en-US"/>
        </w:rPr>
        <w:t>Los integrantes del Comité de Transparencia tendrán acceso a la información para determinar su clasificación, conforme a la normatividad aplicable previamente establecida por los sujetos obligados para el resguardo o salvaguarda de la información.</w:t>
      </w:r>
    </w:p>
    <w:p w:rsidR="0078794A" w:rsidRDefault="0078794A">
      <w:pPr>
        <w:pStyle w:val="Fundamentos"/>
        <w:rPr>
          <w:lang w:eastAsia="en-US"/>
        </w:rPr>
      </w:pPr>
    </w:p>
    <w:p w:rsidR="0078794A" w:rsidRDefault="002F1ED1">
      <w:pPr>
        <w:pStyle w:val="Fundamentos"/>
        <w:rPr>
          <w:lang w:eastAsia="en-US"/>
        </w:rPr>
      </w:pPr>
      <w:r>
        <w:rPr>
          <w:lang w:eastAsia="en-US"/>
        </w:rPr>
        <w:t>En las sesiones y trabajos del Comité, podrán participar como invitados permanentes, los representantes de las áreas que decida el Comité, y contará con derecho de voz, pero no voto.</w:t>
      </w:r>
    </w:p>
    <w:p w:rsidR="0078794A" w:rsidRDefault="0078794A">
      <w:pPr>
        <w:pStyle w:val="Fundamentos"/>
        <w:rPr>
          <w:lang w:eastAsia="en-US"/>
        </w:rPr>
      </w:pPr>
    </w:p>
    <w:p w:rsidR="0078794A" w:rsidRDefault="002F1ED1">
      <w:pPr>
        <w:pStyle w:val="Fundamentos"/>
        <w:rPr>
          <w:lang w:eastAsia="en-US"/>
        </w:rPr>
      </w:pPr>
      <w:r>
        <w:rPr>
          <w:lang w:eastAsia="en-US"/>
        </w:rPr>
        <w:lastRenderedPageBreak/>
        <w:t>Los titulares de las unidades administrativas que propongan la reserva, confidencialidad o declaren la inexistencia de información, acudirán a las sesiones de dicho Comité donde se discuta la propuesta correspondiente.</w:t>
      </w:r>
    </w:p>
    <w:p w:rsidR="0078794A" w:rsidRDefault="0078794A">
      <w:pPr>
        <w:pStyle w:val="Fundamentos"/>
        <w:rPr>
          <w:rFonts w:eastAsia="MS Mincho" w:cstheme="minorBidi"/>
          <w:lang w:eastAsia="en-US"/>
        </w:rPr>
      </w:pPr>
    </w:p>
    <w:p w:rsidR="0078794A" w:rsidRDefault="002F1ED1">
      <w:pPr>
        <w:pStyle w:val="Fundamentos"/>
        <w:rPr>
          <w:rFonts w:eastAsia="MS Mincho" w:cstheme="minorBidi"/>
          <w:lang w:eastAsia="en-US"/>
        </w:rPr>
      </w:pPr>
      <w:r>
        <w:rPr>
          <w:rFonts w:eastAsia="MS Mincho" w:cstheme="minorBidi"/>
          <w:b/>
          <w:lang w:eastAsia="en-US"/>
        </w:rPr>
        <w:t>Artículo 49.</w:t>
      </w:r>
      <w:r>
        <w:rPr>
          <w:rFonts w:eastAsia="MS Mincho" w:cstheme="minorBidi"/>
          <w:lang w:eastAsia="en-US"/>
        </w:rPr>
        <w:t xml:space="preserve"> Los Comités de Transparencia tendrán las siguientes atribuciones:</w:t>
      </w:r>
    </w:p>
    <w:p w:rsidR="0078794A" w:rsidRDefault="002F1ED1">
      <w:pPr>
        <w:pStyle w:val="Fundamentos"/>
        <w:rPr>
          <w:rFonts w:eastAsia="MS Mincho" w:cstheme="minorBidi"/>
          <w:lang w:eastAsia="en-US"/>
        </w:rPr>
      </w:pPr>
      <w:r>
        <w:rPr>
          <w:rFonts w:eastAsia="MS Mincho" w:cstheme="minorBidi"/>
          <w:lang w:eastAsia="en-US"/>
        </w:rPr>
        <w:t>(…)</w:t>
      </w:r>
    </w:p>
    <w:p w:rsidR="0078794A" w:rsidRDefault="002F1ED1">
      <w:pPr>
        <w:pStyle w:val="Fundamentos"/>
        <w:rPr>
          <w:rFonts w:eastAsia="MS Mincho" w:cstheme="minorBidi"/>
          <w:lang w:eastAsia="en-US"/>
        </w:rPr>
      </w:pPr>
      <w:r>
        <w:rPr>
          <w:rFonts w:eastAsia="MS Mincho" w:cstheme="minorBidi"/>
          <w:lang w:eastAsia="en-US"/>
        </w:rPr>
        <w:t>II. Confirmar, modificar o revocar las determinaciones que en materia de ampliación del plazo de respuesta, clasificación de la información y declaración de inexistencia o de incompetencia realicen los titulares de las áreas de los sujetos obligados;</w:t>
      </w:r>
    </w:p>
    <w:p w:rsidR="0078794A" w:rsidRDefault="002F1ED1">
      <w:pPr>
        <w:pStyle w:val="Fundamentos"/>
        <w:rPr>
          <w:rFonts w:eastAsia="MS Mincho" w:cstheme="minorBidi"/>
          <w:lang w:eastAsia="en-US"/>
        </w:rPr>
      </w:pPr>
      <w:r>
        <w:rPr>
          <w:rFonts w:eastAsia="MS Mincho" w:cstheme="minorBidi"/>
          <w:lang w:eastAsia="en-US"/>
        </w:rPr>
        <w:t>(…)</w:t>
      </w:r>
    </w:p>
    <w:p w:rsidR="0078794A" w:rsidRDefault="002F1ED1">
      <w:pPr>
        <w:pStyle w:val="Fundamentos"/>
        <w:rPr>
          <w:rFonts w:eastAsia="MS Mincho" w:cstheme="minorBidi"/>
          <w:lang w:eastAsia="en-US"/>
        </w:rPr>
      </w:pPr>
      <w:r>
        <w:rPr>
          <w:rFonts w:eastAsia="MS Mincho" w:cstheme="minorBidi"/>
          <w:lang w:eastAsia="en-US"/>
        </w:rPr>
        <w:t>XIII. Dictaminar las declaratorias de inexistencia de la información que les remitan las unidades administrativas y resolver en consecuencia;</w:t>
      </w:r>
    </w:p>
    <w:p w:rsidR="0078794A" w:rsidRDefault="002F1ED1">
      <w:pPr>
        <w:pStyle w:val="Fundamentos"/>
        <w:rPr>
          <w:lang w:eastAsia="en-US"/>
        </w:rPr>
      </w:pPr>
      <w:r>
        <w:rPr>
          <w:lang w:eastAsia="en-US"/>
        </w:rPr>
        <w:t>(…)</w:t>
      </w:r>
    </w:p>
    <w:p w:rsidR="0078794A" w:rsidRDefault="0078794A">
      <w:pPr>
        <w:rPr>
          <w:rFonts w:eastAsia="MS Mincho" w:cstheme="minorBidi"/>
          <w:i/>
          <w:szCs w:val="24"/>
          <w:lang w:eastAsia="en-US"/>
        </w:rPr>
      </w:pPr>
    </w:p>
    <w:p w:rsidR="0078794A" w:rsidRDefault="002F1ED1">
      <w:pPr>
        <w:spacing w:after="160"/>
        <w:contextualSpacing/>
        <w:rPr>
          <w:rFonts w:eastAsia="MS Mincho" w:cs="Arial"/>
          <w:szCs w:val="24"/>
          <w:lang w:eastAsia="en-US"/>
        </w:rPr>
      </w:pPr>
      <w:r>
        <w:rPr>
          <w:rFonts w:eastAsia="MS Mincho" w:cs="Arial"/>
          <w:szCs w:val="24"/>
          <w:lang w:eastAsia="en-US"/>
        </w:rPr>
        <w:t xml:space="preserve">Asimismo, el acuerdo de inexistencia deberá llevarse de acuerdo a lo dispuesto por los artículos 169 y 170 de la Ley de la materia que ordenan: </w:t>
      </w:r>
    </w:p>
    <w:p w:rsidR="0078794A" w:rsidRDefault="0078794A">
      <w:pPr>
        <w:rPr>
          <w:lang w:eastAsia="en-US"/>
        </w:rPr>
      </w:pPr>
    </w:p>
    <w:p w:rsidR="0078794A" w:rsidRDefault="002F1ED1">
      <w:pPr>
        <w:pStyle w:val="Fundamentos"/>
        <w:rPr>
          <w:lang w:eastAsia="en-US"/>
        </w:rPr>
      </w:pPr>
      <w:r>
        <w:rPr>
          <w:b/>
          <w:lang w:eastAsia="en-US"/>
        </w:rPr>
        <w:t>Artículo 169.</w:t>
      </w:r>
      <w:r>
        <w:rPr>
          <w:lang w:eastAsia="en-US"/>
        </w:rPr>
        <w:t xml:space="preserve"> Cuando la información no se encuentre en los archivos del sujeto obligado, el Comité de Transparencia:</w:t>
      </w:r>
    </w:p>
    <w:p w:rsidR="0078794A" w:rsidRDefault="0078794A">
      <w:pPr>
        <w:pStyle w:val="Fundamentos"/>
        <w:rPr>
          <w:lang w:eastAsia="en-US"/>
        </w:rPr>
      </w:pPr>
    </w:p>
    <w:p w:rsidR="0078794A" w:rsidRDefault="002F1ED1">
      <w:pPr>
        <w:pStyle w:val="Fundamentos"/>
        <w:rPr>
          <w:lang w:eastAsia="en-US"/>
        </w:rPr>
      </w:pPr>
      <w:r>
        <w:rPr>
          <w:b/>
          <w:bCs/>
          <w:lang w:eastAsia="en-US"/>
        </w:rPr>
        <w:t>I.</w:t>
      </w:r>
      <w:r>
        <w:rPr>
          <w:lang w:eastAsia="en-US"/>
        </w:rPr>
        <w:t xml:space="preserve"> Analizará el caso y tomará las medidas necesarias para localizar la información;</w:t>
      </w:r>
    </w:p>
    <w:p w:rsidR="0078794A" w:rsidRDefault="002F1ED1">
      <w:pPr>
        <w:pStyle w:val="Fundamentos"/>
        <w:rPr>
          <w:lang w:eastAsia="en-US"/>
        </w:rPr>
      </w:pPr>
      <w:r>
        <w:rPr>
          <w:b/>
          <w:bCs/>
          <w:lang w:eastAsia="en-US"/>
        </w:rPr>
        <w:t>II.</w:t>
      </w:r>
      <w:r>
        <w:rPr>
          <w:lang w:eastAsia="en-US"/>
        </w:rPr>
        <w:t xml:space="preserve"> Expedirá una resolución que confirme la inexistencia del documento;</w:t>
      </w:r>
    </w:p>
    <w:p w:rsidR="0078794A" w:rsidRDefault="002F1ED1">
      <w:pPr>
        <w:pStyle w:val="Fundamentos"/>
        <w:rPr>
          <w:lang w:eastAsia="en-US"/>
        </w:rPr>
      </w:pPr>
      <w:r>
        <w:rPr>
          <w:b/>
          <w:bCs/>
          <w:lang w:eastAsia="en-US"/>
        </w:rPr>
        <w:t>III.</w:t>
      </w:r>
      <w:r>
        <w:rPr>
          <w:lang w:eastAsia="en-US"/>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78794A" w:rsidRDefault="002F1ED1">
      <w:pPr>
        <w:pStyle w:val="Fundamentos"/>
        <w:rPr>
          <w:lang w:eastAsia="en-US"/>
        </w:rPr>
      </w:pPr>
      <w:r>
        <w:rPr>
          <w:b/>
          <w:bCs/>
          <w:lang w:eastAsia="en-US"/>
        </w:rPr>
        <w:t>IV.</w:t>
      </w:r>
      <w:r>
        <w:rPr>
          <w:lang w:eastAsia="en-US"/>
        </w:rPr>
        <w:t xml:space="preserve"> Notificará al órgano interno de control o equivalente del sujeto obligado quien, en su caso, deberá iniciar el procedimiento de responsabilidad administrativa que corresponda.</w:t>
      </w:r>
    </w:p>
    <w:p w:rsidR="0078794A" w:rsidRDefault="0078794A">
      <w:pPr>
        <w:pStyle w:val="Fundamentos"/>
        <w:rPr>
          <w:lang w:eastAsia="en-US"/>
        </w:rPr>
      </w:pPr>
    </w:p>
    <w:p w:rsidR="0078794A" w:rsidRDefault="002F1ED1">
      <w:pPr>
        <w:pStyle w:val="Fundamentos"/>
        <w:rPr>
          <w:lang w:eastAsia="en-US"/>
        </w:rPr>
      </w:pPr>
      <w:r>
        <w:rPr>
          <w:lang w:eastAsia="en-US"/>
        </w:rPr>
        <w:t>La Unidad de Transparencia deberá notificarlo al solicitante por escrito, en un plazo que no exceda de quince días hábiles contados a partir del día siguiente a la presentación de la solicitud.</w:t>
      </w:r>
    </w:p>
    <w:p w:rsidR="0078794A" w:rsidRDefault="0078794A">
      <w:pPr>
        <w:pStyle w:val="Fundamentos"/>
        <w:rPr>
          <w:lang w:eastAsia="en-US"/>
        </w:rPr>
      </w:pPr>
    </w:p>
    <w:p w:rsidR="0078794A" w:rsidRDefault="002F1ED1">
      <w:pPr>
        <w:pStyle w:val="Fundamentos"/>
        <w:rPr>
          <w:lang w:eastAsia="en-US"/>
        </w:rPr>
      </w:pPr>
      <w:r>
        <w:rPr>
          <w:lang w:eastAsia="en-US"/>
        </w:rPr>
        <w:lastRenderedPageBreak/>
        <w:t>Este plazo podrá ampliarse hasta por otros siete días hábiles, siempre que existan razones para ello, debiendo notificarse por escrito al solicitante.</w:t>
      </w:r>
    </w:p>
    <w:p w:rsidR="0078794A" w:rsidRDefault="0078794A">
      <w:pPr>
        <w:pStyle w:val="Fundamentos"/>
        <w:rPr>
          <w:lang w:eastAsia="en-US"/>
        </w:rPr>
      </w:pPr>
    </w:p>
    <w:p w:rsidR="0078794A" w:rsidRDefault="002F1ED1">
      <w:pPr>
        <w:pStyle w:val="Fundamentos"/>
        <w:rPr>
          <w:lang w:eastAsia="en-US"/>
        </w:rPr>
      </w:pPr>
      <w:r>
        <w:rPr>
          <w:b/>
          <w:lang w:eastAsia="en-US"/>
        </w:rPr>
        <w:t>Artículo 170.</w:t>
      </w:r>
      <w:r>
        <w:rPr>
          <w:lang w:eastAsia="en-US"/>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78794A" w:rsidRDefault="0078794A">
      <w:pPr>
        <w:rPr>
          <w:lang w:eastAsia="en-US"/>
        </w:rPr>
      </w:pPr>
    </w:p>
    <w:p w:rsidR="0078794A" w:rsidRDefault="002F1ED1">
      <w:pPr>
        <w:rPr>
          <w:rFonts w:cs="Arial"/>
          <w:lang w:eastAsia="en-US"/>
        </w:rPr>
      </w:pPr>
      <w:r>
        <w:rPr>
          <w:rFonts w:cs="Arial"/>
          <w:lang w:eastAsia="en-US"/>
        </w:rPr>
        <w:t>Asimismo, con el propósito robustecer cómo debe acordarse la declaratoria de inexistencia, se reproducen los criterios 03/11 y 04/11 aprobados por el Pleno de este Órgano Garante, en la Sesión Ordinaria de fecha veinticinco de agosto de dos mil once, que demuestran claramente el concepto de inexistencia, y en qué circunstancias debe emitirse la declaratoria respectiva.</w:t>
      </w:r>
    </w:p>
    <w:p w:rsidR="0078794A" w:rsidRDefault="0078794A">
      <w:pPr>
        <w:rPr>
          <w:rFonts w:cs="Arial"/>
          <w:iCs/>
          <w:lang w:eastAsia="en-US"/>
        </w:rPr>
      </w:pPr>
    </w:p>
    <w:p w:rsidR="0078794A" w:rsidRDefault="002F1ED1">
      <w:pPr>
        <w:pStyle w:val="Fundamentos"/>
        <w:rPr>
          <w:lang w:eastAsia="en-US"/>
        </w:rPr>
      </w:pPr>
      <w:r>
        <w:rPr>
          <w:b/>
          <w:lang w:eastAsia="en-US"/>
        </w:rPr>
        <w:t>INEXISTENCIA, CONCEPTO DE, EN MATERIA DE TRANSPARENCIA</w:t>
      </w:r>
      <w:r>
        <w:rPr>
          <w:lang w:eastAsia="en-US"/>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78794A" w:rsidRDefault="0078794A">
      <w:pPr>
        <w:pStyle w:val="Fundamentos"/>
        <w:rPr>
          <w:lang w:eastAsia="en-US"/>
        </w:rPr>
      </w:pPr>
    </w:p>
    <w:p w:rsidR="0078794A" w:rsidRDefault="002F1ED1">
      <w:pPr>
        <w:pStyle w:val="Fundamentos"/>
        <w:rPr>
          <w:lang w:eastAsia="en-US"/>
        </w:rPr>
      </w:pPr>
      <w:r>
        <w:rPr>
          <w:lang w:eastAsia="en-US"/>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78794A" w:rsidRDefault="002F1ED1">
      <w:pPr>
        <w:pStyle w:val="Fundamentos"/>
        <w:rPr>
          <w:lang w:eastAsia="en-US"/>
        </w:rPr>
      </w:pPr>
      <w:r>
        <w:rPr>
          <w:lang w:eastAsia="en-US"/>
        </w:rPr>
        <w:t>b) En los casos en que por las atribuciones conferidas al Sujeto Obligado éste debió generar, administrar o poseer la información, pero en incumplimiento a la normatividad respectiva no llevó a cabo ninguna de esas acciones.</w:t>
      </w:r>
    </w:p>
    <w:p w:rsidR="0078794A" w:rsidRDefault="0078794A">
      <w:pPr>
        <w:pStyle w:val="Fundamentos"/>
        <w:rPr>
          <w:lang w:eastAsia="en-US"/>
        </w:rPr>
      </w:pPr>
    </w:p>
    <w:p w:rsidR="0078794A" w:rsidRDefault="002F1ED1">
      <w:pPr>
        <w:pStyle w:val="Fundamentos"/>
        <w:rPr>
          <w:lang w:eastAsia="en-US"/>
        </w:rPr>
      </w:pPr>
      <w:r>
        <w:rPr>
          <w:lang w:eastAsia="en-US"/>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78794A" w:rsidRDefault="0078794A">
      <w:pPr>
        <w:pStyle w:val="Fundamentos"/>
        <w:rPr>
          <w:lang w:eastAsia="en-US"/>
        </w:rPr>
      </w:pPr>
    </w:p>
    <w:p w:rsidR="0078794A" w:rsidRDefault="002F1ED1">
      <w:pPr>
        <w:pStyle w:val="Fundamentos"/>
        <w:rPr>
          <w:lang w:eastAsia="en-US"/>
        </w:rPr>
      </w:pPr>
      <w:r>
        <w:rPr>
          <w:b/>
          <w:lang w:eastAsia="en-US"/>
        </w:rPr>
        <w:lastRenderedPageBreak/>
        <w:t>INEXISTENCIA. DECLARATORIA DE LA. ALCANCES Y PROCEDIMIENTOS</w:t>
      </w:r>
      <w:r>
        <w:rPr>
          <w:lang w:eastAsia="en-US"/>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78794A" w:rsidRDefault="0078794A">
      <w:pPr>
        <w:pStyle w:val="Fundamentos"/>
        <w:rPr>
          <w:lang w:eastAsia="en-US"/>
        </w:rPr>
      </w:pPr>
    </w:p>
    <w:p w:rsidR="0078794A" w:rsidRDefault="002F1ED1">
      <w:pPr>
        <w:pStyle w:val="Fundamentos"/>
        <w:rPr>
          <w:lang w:eastAsia="en-US"/>
        </w:rPr>
      </w:pPr>
      <w:r>
        <w:rPr>
          <w:lang w:eastAsia="en-US"/>
        </w:rPr>
        <w:t>Bajo el entendido de que dicha búsqueda exhaustiva permitirá dos determinaciones:</w:t>
      </w:r>
    </w:p>
    <w:p w:rsidR="0078794A" w:rsidRDefault="0078794A">
      <w:pPr>
        <w:pStyle w:val="Fundamentos"/>
        <w:rPr>
          <w:lang w:eastAsia="en-US"/>
        </w:rPr>
      </w:pPr>
    </w:p>
    <w:p w:rsidR="0078794A" w:rsidRDefault="002F1ED1">
      <w:pPr>
        <w:pStyle w:val="Fundamentos"/>
        <w:rPr>
          <w:lang w:eastAsia="en-US"/>
        </w:rPr>
      </w:pPr>
      <w:r>
        <w:rPr>
          <w:lang w:eastAsia="en-US"/>
        </w:rPr>
        <w:t>1ª) Que se localice la documentación que contenga la información solicitada y de ser así la información pueda entregarse al solicitante en la forma en que se encuentra disponible, o</w:t>
      </w:r>
    </w:p>
    <w:p w:rsidR="0078794A" w:rsidRDefault="002F1ED1">
      <w:pPr>
        <w:pStyle w:val="Fundamentos"/>
        <w:rPr>
          <w:lang w:eastAsia="en-US"/>
        </w:rPr>
      </w:pPr>
      <w:r>
        <w:rPr>
          <w:lang w:eastAsia="en-US"/>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78794A" w:rsidRDefault="0078794A">
      <w:pPr>
        <w:pStyle w:val="Fundamentos"/>
        <w:rPr>
          <w:lang w:eastAsia="en-US"/>
        </w:rPr>
      </w:pPr>
    </w:p>
    <w:p w:rsidR="0078794A" w:rsidRDefault="002F1ED1">
      <w:pPr>
        <w:pStyle w:val="Fundamentos"/>
        <w:rPr>
          <w:lang w:eastAsia="en-US"/>
        </w:rPr>
      </w:pPr>
      <w:r>
        <w:rPr>
          <w:lang w:eastAsia="en-US"/>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78794A" w:rsidRDefault="0078794A">
      <w:pPr>
        <w:rPr>
          <w:rFonts w:eastAsiaTheme="minorHAnsi" w:cstheme="minorBidi"/>
          <w:szCs w:val="24"/>
          <w:lang w:eastAsia="en-US"/>
        </w:rPr>
      </w:pPr>
    </w:p>
    <w:p w:rsidR="0078794A" w:rsidRDefault="002F1ED1">
      <w:pPr>
        <w:contextualSpacing/>
        <w:rPr>
          <w:rFonts w:eastAsia="Palatino Linotype" w:cs="Palatino Linotype"/>
          <w:szCs w:val="24"/>
        </w:rPr>
      </w:pPr>
      <w:r>
        <w:rPr>
          <w:rFonts w:eastAsiaTheme="minorHAnsi" w:cstheme="minorBidi"/>
          <w:szCs w:val="24"/>
          <w:lang w:eastAsia="en-US"/>
        </w:rPr>
        <w:t>Por tanto, en el supuesto de que el Sujeto Obligado se ubique en estas circunstancias, deberá apergarse a los preceptos citados y hacer entrega del acuerdo que declare la inexistencia de la información que no sea localizada en sus archivos.</w:t>
      </w:r>
    </w:p>
    <w:p w:rsidR="0078794A" w:rsidRDefault="002F1ED1">
      <w:pPr>
        <w:contextualSpacing/>
        <w:rPr>
          <w:rFonts w:eastAsia="Palatino Linotype" w:cs="Palatino Linotype"/>
          <w:szCs w:val="24"/>
        </w:rPr>
      </w:pPr>
      <w:r>
        <w:rPr>
          <w:rFonts w:eastAsia="Palatino Linotype" w:cs="Palatino Linotype"/>
          <w:szCs w:val="24"/>
        </w:rPr>
        <w:lastRenderedPageBreak/>
        <w:t xml:space="preserve">Ahora bien, no pasa desapercibido que el Recurrente solicitó que la información relativa a las adjudicaciones, licitaciones públicas e invitación restringida le fuera entregada en un listado que contenga diecinueve puntos especificados en la solicitud de información. </w:t>
      </w:r>
    </w:p>
    <w:p w:rsidR="0078794A" w:rsidRDefault="0078794A">
      <w:pPr>
        <w:contextualSpacing/>
        <w:rPr>
          <w:rFonts w:eastAsia="Palatino Linotype" w:cs="Palatino Linotype"/>
          <w:szCs w:val="24"/>
        </w:rPr>
      </w:pPr>
    </w:p>
    <w:p w:rsidR="0078794A" w:rsidRDefault="002F1ED1">
      <w:pPr>
        <w:contextualSpacing/>
        <w:rPr>
          <w:rFonts w:eastAsia="Palatino Linotype" w:cs="Palatino Linotype"/>
          <w:szCs w:val="24"/>
        </w:rPr>
      </w:pPr>
      <w:r>
        <w:rPr>
          <w:rFonts w:eastAsia="Palatino Linotype" w:cs="Palatino Linotype"/>
          <w:szCs w:val="24"/>
        </w:rPr>
        <w:t>Por tanto, es necesario hacer referencia a lo establecido en el artículo 12 de la Ley de Transparencia Estatal, que a la letra estipula lo siguiente:</w:t>
      </w:r>
    </w:p>
    <w:p w:rsidR="0078794A" w:rsidRDefault="0078794A">
      <w:pPr>
        <w:contextualSpacing/>
        <w:rPr>
          <w:rFonts w:eastAsia="Palatino Linotype" w:cs="Palatino Linotype"/>
          <w:szCs w:val="24"/>
        </w:rPr>
      </w:pPr>
    </w:p>
    <w:p w:rsidR="0078794A" w:rsidRDefault="002F1ED1" w:rsidP="00093C9B">
      <w:pPr>
        <w:pStyle w:val="Fundamentos"/>
        <w:jc w:val="left"/>
      </w:pPr>
      <w:r>
        <w:rPr>
          <w:b/>
        </w:rPr>
        <w:t xml:space="preserve">Artículo 12. </w:t>
      </w:r>
      <w:r>
        <w:t>Quienes generen, recopilen, administren, manejen, procesen, archiven o conserven información pública serán responsables de la misma en los términos de las disposiciones jurídicas aplicables.</w:t>
      </w:r>
    </w:p>
    <w:p w:rsidR="0078794A" w:rsidRDefault="0078794A">
      <w:pPr>
        <w:pStyle w:val="Fundamentos"/>
      </w:pPr>
    </w:p>
    <w:p w:rsidR="0078794A" w:rsidRDefault="002F1ED1">
      <w:pPr>
        <w:pStyle w:val="Fundamentos"/>
      </w:pPr>
      <w: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78794A" w:rsidRDefault="0078794A">
      <w:pPr>
        <w:contextualSpacing/>
        <w:rPr>
          <w:rFonts w:eastAsia="Palatino Linotype" w:cs="Palatino Linotype"/>
          <w:szCs w:val="24"/>
        </w:rPr>
      </w:pPr>
    </w:p>
    <w:p w:rsidR="0078794A" w:rsidRDefault="002F1ED1">
      <w:pPr>
        <w:contextualSpacing/>
        <w:rPr>
          <w:rFonts w:eastAsia="Palatino Linotype" w:cs="Palatino Linotype"/>
          <w:szCs w:val="24"/>
        </w:rPr>
      </w:pPr>
      <w:r>
        <w:rPr>
          <w:rFonts w:eastAsia="Palatino Linotype" w:cs="Palatino Linotype"/>
          <w:szCs w:val="24"/>
        </w:rPr>
        <w:t xml:space="preserve">Del artículo citado se desprende que si bien los sujetos obligados deben proporcionar la información pública que les sea requerida, también se advierte que ésta deberá ser presentada en el estado en el que se encuentre sin estar constreñidos al procesamiento de esta ni a presentarla conforme al interés del solicitante; es decir, no están obligados a generar documentos </w:t>
      </w:r>
      <w:r>
        <w:rPr>
          <w:rFonts w:eastAsia="Palatino Linotype" w:cs="Palatino Linotype"/>
          <w:i/>
          <w:iCs/>
          <w:szCs w:val="24"/>
        </w:rPr>
        <w:t>ad hoc</w:t>
      </w:r>
      <w:r>
        <w:rPr>
          <w:rFonts w:eastAsia="Palatino Linotype" w:cs="Palatino Linotype"/>
          <w:szCs w:val="24"/>
        </w:rPr>
        <w:t>. Esto se robustece con el criterio 03/17 emitido por el Instituto Nacional de Transparencia, Acceso a la Información y Protección de Datos Personales, en el que se dispone lo siguiente:</w:t>
      </w:r>
    </w:p>
    <w:p w:rsidR="0078794A" w:rsidRDefault="0078794A">
      <w:pPr>
        <w:contextualSpacing/>
        <w:rPr>
          <w:rFonts w:eastAsia="Palatino Linotype" w:cs="Palatino Linotype"/>
          <w:szCs w:val="24"/>
        </w:rPr>
      </w:pPr>
    </w:p>
    <w:p w:rsidR="0078794A" w:rsidRDefault="002F1ED1">
      <w:pPr>
        <w:pStyle w:val="Fundamentos"/>
      </w:pPr>
      <w:r>
        <w:rPr>
          <w:b/>
        </w:rPr>
        <w:t xml:space="preserve">No existe obligación de elaborar documentos ad hoc para atender las solicitudes de acceso a la información. </w:t>
      </w:r>
      <w:r>
        <w:t xml:space="preserve">Los artículos 129 de la Ley General de Transparencia y Acceso a la Información Pública y 130, párrafo cuarto, de la Ley Federal de Transparencia y Acceso a </w:t>
      </w:r>
      <w:r>
        <w:lastRenderedPageBreak/>
        <w:t>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78794A" w:rsidRDefault="0078794A">
      <w:pPr>
        <w:contextualSpacing/>
        <w:rPr>
          <w:rFonts w:eastAsia="Palatino Linotype" w:cs="Palatino Linotype"/>
          <w:szCs w:val="24"/>
        </w:rPr>
      </w:pPr>
    </w:p>
    <w:p w:rsidR="0078794A" w:rsidRDefault="002F1ED1">
      <w:pPr>
        <w:contextualSpacing/>
        <w:rPr>
          <w:rFonts w:eastAsia="Palatino Linotype" w:cs="Palatino Linotype"/>
          <w:szCs w:val="24"/>
        </w:rPr>
      </w:pPr>
      <w:r>
        <w:rPr>
          <w:rFonts w:eastAsia="Palatino Linotype" w:cs="Palatino Linotype"/>
          <w:szCs w:val="24"/>
        </w:rPr>
        <w:t>Por tanto, conviene señalar que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la información que debe publicarse en los portales, por lo que en el caso que nos ocupa consiste en lo siguiente:</w:t>
      </w:r>
    </w:p>
    <w:p w:rsidR="0078794A" w:rsidRDefault="002F1ED1">
      <w:pPr>
        <w:contextualSpacing/>
        <w:jc w:val="center"/>
        <w:rPr>
          <w:rFonts w:eastAsia="Palatino Linotype" w:cs="Palatino Linotype"/>
          <w:szCs w:val="24"/>
        </w:rPr>
      </w:pPr>
      <w:r>
        <w:rPr>
          <w:rFonts w:eastAsia="Palatino Linotype" w:cs="Palatino Linotype"/>
          <w:noProof/>
          <w:szCs w:val="24"/>
        </w:rPr>
        <w:drawing>
          <wp:inline distT="0" distB="0" distL="0" distR="0">
            <wp:extent cx="3166110" cy="358711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02621" cy="3628144"/>
                    </a:xfrm>
                    <a:prstGeom prst="rect">
                      <a:avLst/>
                    </a:prstGeom>
                  </pic:spPr>
                </pic:pic>
              </a:graphicData>
            </a:graphic>
          </wp:inline>
        </w:drawing>
      </w:r>
    </w:p>
    <w:p w:rsidR="0078794A" w:rsidRDefault="0078794A">
      <w:pPr>
        <w:contextualSpacing/>
        <w:rPr>
          <w:rFonts w:eastAsia="Palatino Linotype" w:cs="Palatino Linotype"/>
          <w:szCs w:val="24"/>
        </w:rPr>
      </w:pPr>
    </w:p>
    <w:p w:rsidR="0078794A" w:rsidRDefault="002F1ED1">
      <w:pPr>
        <w:contextualSpacing/>
        <w:jc w:val="center"/>
        <w:rPr>
          <w:rFonts w:eastAsia="Palatino Linotype" w:cs="Palatino Linotype"/>
          <w:szCs w:val="24"/>
        </w:rPr>
      </w:pPr>
      <w:r>
        <w:rPr>
          <w:rFonts w:eastAsia="Palatino Linotype" w:cs="Palatino Linotype"/>
          <w:noProof/>
          <w:szCs w:val="24"/>
        </w:rPr>
        <w:drawing>
          <wp:inline distT="0" distB="0" distL="0" distR="0">
            <wp:extent cx="5080000" cy="65976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083667" cy="6601841"/>
                    </a:xfrm>
                    <a:prstGeom prst="rect">
                      <a:avLst/>
                    </a:prstGeom>
                  </pic:spPr>
                </pic:pic>
              </a:graphicData>
            </a:graphic>
          </wp:inline>
        </w:drawing>
      </w:r>
    </w:p>
    <w:p w:rsidR="0078794A" w:rsidRDefault="0078794A">
      <w:pPr>
        <w:contextualSpacing/>
        <w:rPr>
          <w:rFonts w:eastAsia="Palatino Linotype" w:cs="Palatino Linotype"/>
          <w:szCs w:val="24"/>
        </w:rPr>
      </w:pPr>
    </w:p>
    <w:p w:rsidR="0078794A" w:rsidRDefault="002F1ED1">
      <w:pPr>
        <w:contextualSpacing/>
        <w:jc w:val="center"/>
        <w:rPr>
          <w:rFonts w:eastAsia="Palatino Linotype" w:cs="Palatino Linotype"/>
          <w:szCs w:val="24"/>
        </w:rPr>
      </w:pPr>
      <w:r>
        <w:rPr>
          <w:rFonts w:eastAsia="Palatino Linotype" w:cs="Palatino Linotype"/>
          <w:noProof/>
          <w:szCs w:val="24"/>
        </w:rPr>
        <w:lastRenderedPageBreak/>
        <w:drawing>
          <wp:inline distT="0" distB="0" distL="0" distR="0">
            <wp:extent cx="5315585" cy="7047865"/>
            <wp:effectExtent l="0" t="0" r="5715"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327578" cy="7063751"/>
                    </a:xfrm>
                    <a:prstGeom prst="rect">
                      <a:avLst/>
                    </a:prstGeom>
                  </pic:spPr>
                </pic:pic>
              </a:graphicData>
            </a:graphic>
          </wp:inline>
        </w:drawing>
      </w:r>
    </w:p>
    <w:p w:rsidR="0078794A" w:rsidRDefault="0078794A">
      <w:pPr>
        <w:contextualSpacing/>
        <w:rPr>
          <w:rFonts w:eastAsia="Palatino Linotype" w:cs="Palatino Linotype"/>
          <w:szCs w:val="24"/>
        </w:rPr>
      </w:pPr>
    </w:p>
    <w:p w:rsidR="0078794A" w:rsidRDefault="002F1ED1">
      <w:pPr>
        <w:contextualSpacing/>
        <w:jc w:val="center"/>
        <w:rPr>
          <w:rFonts w:eastAsia="Palatino Linotype" w:cs="Palatino Linotype"/>
          <w:szCs w:val="24"/>
        </w:rPr>
      </w:pPr>
      <w:r>
        <w:rPr>
          <w:rFonts w:eastAsia="Palatino Linotype" w:cs="Palatino Linotype"/>
          <w:noProof/>
          <w:szCs w:val="24"/>
        </w:rPr>
        <w:lastRenderedPageBreak/>
        <w:drawing>
          <wp:inline distT="0" distB="0" distL="0" distR="0">
            <wp:extent cx="5600700" cy="69215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600700" cy="6921500"/>
                    </a:xfrm>
                    <a:prstGeom prst="rect">
                      <a:avLst/>
                    </a:prstGeom>
                  </pic:spPr>
                </pic:pic>
              </a:graphicData>
            </a:graphic>
          </wp:inline>
        </w:drawing>
      </w:r>
    </w:p>
    <w:p w:rsidR="0078794A" w:rsidRDefault="0078794A">
      <w:pPr>
        <w:contextualSpacing/>
        <w:rPr>
          <w:rFonts w:eastAsia="Palatino Linotype" w:cs="Palatino Linotype"/>
          <w:szCs w:val="24"/>
        </w:rPr>
      </w:pPr>
    </w:p>
    <w:p w:rsidR="0078794A" w:rsidRDefault="002F1ED1">
      <w:pPr>
        <w:contextualSpacing/>
        <w:jc w:val="center"/>
        <w:rPr>
          <w:rFonts w:eastAsia="Palatino Linotype" w:cs="Palatino Linotype"/>
          <w:szCs w:val="24"/>
        </w:rPr>
      </w:pPr>
      <w:r>
        <w:rPr>
          <w:rFonts w:eastAsia="Palatino Linotype" w:cs="Palatino Linotype"/>
          <w:noProof/>
          <w:szCs w:val="24"/>
        </w:rPr>
        <w:lastRenderedPageBreak/>
        <w:drawing>
          <wp:inline distT="0" distB="0" distL="0" distR="0">
            <wp:extent cx="5339080" cy="706183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350205" cy="7076472"/>
                    </a:xfrm>
                    <a:prstGeom prst="rect">
                      <a:avLst/>
                    </a:prstGeom>
                  </pic:spPr>
                </pic:pic>
              </a:graphicData>
            </a:graphic>
          </wp:inline>
        </w:drawing>
      </w:r>
    </w:p>
    <w:p w:rsidR="0078794A" w:rsidRDefault="0078794A">
      <w:pPr>
        <w:contextualSpacing/>
        <w:rPr>
          <w:rFonts w:eastAsia="Palatino Linotype" w:cs="Palatino Linotype"/>
          <w:szCs w:val="24"/>
        </w:rPr>
      </w:pPr>
    </w:p>
    <w:p w:rsidR="0078794A" w:rsidRDefault="002F1ED1">
      <w:pPr>
        <w:contextualSpacing/>
        <w:jc w:val="center"/>
        <w:rPr>
          <w:rFonts w:eastAsia="Palatino Linotype" w:cs="Palatino Linotype"/>
          <w:szCs w:val="24"/>
        </w:rPr>
      </w:pPr>
      <w:r>
        <w:rPr>
          <w:rFonts w:eastAsia="Palatino Linotype" w:cs="Palatino Linotype"/>
          <w:noProof/>
          <w:szCs w:val="24"/>
        </w:rPr>
        <w:lastRenderedPageBreak/>
        <w:drawing>
          <wp:inline distT="0" distB="0" distL="0" distR="0">
            <wp:extent cx="5664200" cy="70739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664200" cy="7073900"/>
                    </a:xfrm>
                    <a:prstGeom prst="rect">
                      <a:avLst/>
                    </a:prstGeom>
                  </pic:spPr>
                </pic:pic>
              </a:graphicData>
            </a:graphic>
          </wp:inline>
        </w:drawing>
      </w:r>
    </w:p>
    <w:p w:rsidR="0078794A" w:rsidRDefault="0078794A">
      <w:pPr>
        <w:contextualSpacing/>
        <w:rPr>
          <w:rFonts w:eastAsia="Palatino Linotype" w:cs="Palatino Linotype"/>
          <w:szCs w:val="24"/>
        </w:rPr>
      </w:pPr>
    </w:p>
    <w:p w:rsidR="0078794A" w:rsidRDefault="002F1ED1">
      <w:pPr>
        <w:contextualSpacing/>
        <w:jc w:val="center"/>
        <w:rPr>
          <w:rFonts w:eastAsia="Palatino Linotype" w:cs="Palatino Linotype"/>
          <w:szCs w:val="24"/>
        </w:rPr>
      </w:pPr>
      <w:r>
        <w:rPr>
          <w:rFonts w:eastAsia="Palatino Linotype" w:cs="Palatino Linotype"/>
          <w:noProof/>
          <w:szCs w:val="24"/>
        </w:rPr>
        <w:lastRenderedPageBreak/>
        <w:drawing>
          <wp:inline distT="0" distB="0" distL="0" distR="0">
            <wp:extent cx="5654675" cy="7043420"/>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670288" cy="7062771"/>
                    </a:xfrm>
                    <a:prstGeom prst="rect">
                      <a:avLst/>
                    </a:prstGeom>
                  </pic:spPr>
                </pic:pic>
              </a:graphicData>
            </a:graphic>
          </wp:inline>
        </w:drawing>
      </w:r>
    </w:p>
    <w:p w:rsidR="0078794A" w:rsidRDefault="0078794A">
      <w:pPr>
        <w:contextualSpacing/>
        <w:rPr>
          <w:rFonts w:eastAsia="Palatino Linotype" w:cs="Palatino Linotype"/>
          <w:szCs w:val="24"/>
        </w:rPr>
      </w:pPr>
    </w:p>
    <w:p w:rsidR="0078794A" w:rsidRDefault="002F1ED1">
      <w:pPr>
        <w:contextualSpacing/>
        <w:jc w:val="center"/>
        <w:rPr>
          <w:rFonts w:eastAsia="Palatino Linotype" w:cs="Palatino Linotype"/>
          <w:szCs w:val="24"/>
        </w:rPr>
      </w:pPr>
      <w:r>
        <w:rPr>
          <w:rFonts w:eastAsia="Palatino Linotype" w:cs="Palatino Linotype"/>
          <w:noProof/>
          <w:szCs w:val="24"/>
        </w:rPr>
        <w:lastRenderedPageBreak/>
        <w:drawing>
          <wp:inline distT="0" distB="0" distL="0" distR="0">
            <wp:extent cx="5795645" cy="7325995"/>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825533" cy="7363767"/>
                    </a:xfrm>
                    <a:prstGeom prst="rect">
                      <a:avLst/>
                    </a:prstGeom>
                  </pic:spPr>
                </pic:pic>
              </a:graphicData>
            </a:graphic>
          </wp:inline>
        </w:drawing>
      </w:r>
    </w:p>
    <w:p w:rsidR="0078794A" w:rsidRDefault="0078794A">
      <w:pPr>
        <w:contextualSpacing/>
        <w:rPr>
          <w:rFonts w:eastAsia="Palatino Linotype" w:cs="Palatino Linotype"/>
          <w:szCs w:val="24"/>
        </w:rPr>
      </w:pPr>
    </w:p>
    <w:p w:rsidR="0078794A" w:rsidRDefault="002F1ED1">
      <w:pPr>
        <w:contextualSpacing/>
        <w:jc w:val="center"/>
        <w:rPr>
          <w:rFonts w:eastAsia="Palatino Linotype" w:cs="Palatino Linotype"/>
          <w:szCs w:val="24"/>
        </w:rPr>
      </w:pPr>
      <w:r>
        <w:rPr>
          <w:rFonts w:eastAsia="Palatino Linotype" w:cs="Palatino Linotype"/>
          <w:noProof/>
          <w:szCs w:val="24"/>
        </w:rPr>
        <w:drawing>
          <wp:inline distT="0" distB="0" distL="0" distR="0">
            <wp:extent cx="5727700" cy="66167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727700" cy="6616700"/>
                    </a:xfrm>
                    <a:prstGeom prst="rect">
                      <a:avLst/>
                    </a:prstGeom>
                  </pic:spPr>
                </pic:pic>
              </a:graphicData>
            </a:graphic>
          </wp:inline>
        </w:drawing>
      </w:r>
    </w:p>
    <w:p w:rsidR="0078794A" w:rsidRDefault="0078794A">
      <w:pPr>
        <w:contextualSpacing/>
        <w:rPr>
          <w:rFonts w:eastAsia="Palatino Linotype" w:cs="Palatino Linotype"/>
          <w:szCs w:val="24"/>
        </w:rPr>
      </w:pPr>
    </w:p>
    <w:p w:rsidR="0078794A" w:rsidRDefault="002F1ED1">
      <w:pPr>
        <w:contextualSpacing/>
        <w:jc w:val="center"/>
        <w:rPr>
          <w:rFonts w:eastAsia="Palatino Linotype" w:cs="Palatino Linotype"/>
          <w:szCs w:val="24"/>
        </w:rPr>
      </w:pPr>
      <w:r>
        <w:rPr>
          <w:rFonts w:eastAsia="Palatino Linotype" w:cs="Palatino Linotype"/>
          <w:noProof/>
          <w:szCs w:val="24"/>
        </w:rPr>
        <w:lastRenderedPageBreak/>
        <w:drawing>
          <wp:inline distT="0" distB="0" distL="0" distR="0">
            <wp:extent cx="5721350" cy="7005320"/>
            <wp:effectExtent l="0" t="0" r="635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744644" cy="7033747"/>
                    </a:xfrm>
                    <a:prstGeom prst="rect">
                      <a:avLst/>
                    </a:prstGeom>
                  </pic:spPr>
                </pic:pic>
              </a:graphicData>
            </a:graphic>
          </wp:inline>
        </w:drawing>
      </w:r>
    </w:p>
    <w:p w:rsidR="0078794A" w:rsidRDefault="0078794A">
      <w:pPr>
        <w:contextualSpacing/>
        <w:rPr>
          <w:rFonts w:eastAsia="Palatino Linotype" w:cs="Palatino Linotype"/>
          <w:szCs w:val="24"/>
        </w:rPr>
      </w:pPr>
    </w:p>
    <w:p w:rsidR="0078794A" w:rsidRDefault="002F1ED1">
      <w:pPr>
        <w:contextualSpacing/>
        <w:jc w:val="center"/>
        <w:rPr>
          <w:rFonts w:eastAsia="Palatino Linotype" w:cs="Palatino Linotype"/>
          <w:szCs w:val="24"/>
        </w:rPr>
      </w:pPr>
      <w:r>
        <w:rPr>
          <w:rFonts w:eastAsia="Palatino Linotype" w:cs="Palatino Linotype"/>
          <w:noProof/>
          <w:szCs w:val="24"/>
        </w:rPr>
        <w:lastRenderedPageBreak/>
        <w:drawing>
          <wp:inline distT="0" distB="0" distL="0" distR="0">
            <wp:extent cx="5716905" cy="7005320"/>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724328" cy="7014493"/>
                    </a:xfrm>
                    <a:prstGeom prst="rect">
                      <a:avLst/>
                    </a:prstGeom>
                  </pic:spPr>
                </pic:pic>
              </a:graphicData>
            </a:graphic>
          </wp:inline>
        </w:drawing>
      </w:r>
    </w:p>
    <w:p w:rsidR="0078794A" w:rsidRDefault="0078794A">
      <w:pPr>
        <w:contextualSpacing/>
        <w:rPr>
          <w:rFonts w:eastAsia="Palatino Linotype" w:cs="Palatino Linotype"/>
          <w:szCs w:val="24"/>
        </w:rPr>
      </w:pPr>
    </w:p>
    <w:p w:rsidR="0078794A" w:rsidRDefault="002F1ED1">
      <w:pPr>
        <w:contextualSpacing/>
        <w:jc w:val="center"/>
        <w:rPr>
          <w:rFonts w:eastAsia="Palatino Linotype" w:cs="Palatino Linotype"/>
          <w:szCs w:val="24"/>
        </w:rPr>
      </w:pPr>
      <w:r>
        <w:rPr>
          <w:rFonts w:eastAsia="Palatino Linotype" w:cs="Palatino Linotype"/>
          <w:noProof/>
          <w:szCs w:val="24"/>
        </w:rPr>
        <w:lastRenderedPageBreak/>
        <w:drawing>
          <wp:inline distT="0" distB="0" distL="0" distR="0">
            <wp:extent cx="5460365" cy="7005320"/>
            <wp:effectExtent l="0" t="0" r="635"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473133" cy="7021359"/>
                    </a:xfrm>
                    <a:prstGeom prst="rect">
                      <a:avLst/>
                    </a:prstGeom>
                  </pic:spPr>
                </pic:pic>
              </a:graphicData>
            </a:graphic>
          </wp:inline>
        </w:drawing>
      </w:r>
    </w:p>
    <w:p w:rsidR="0078794A" w:rsidRDefault="0078794A">
      <w:pPr>
        <w:contextualSpacing/>
        <w:rPr>
          <w:rFonts w:eastAsia="Palatino Linotype" w:cs="Palatino Linotype"/>
          <w:szCs w:val="24"/>
        </w:rPr>
      </w:pPr>
    </w:p>
    <w:p w:rsidR="0078794A" w:rsidRDefault="002F1ED1">
      <w:pPr>
        <w:contextualSpacing/>
        <w:jc w:val="center"/>
        <w:rPr>
          <w:rFonts w:eastAsia="Palatino Linotype" w:cs="Palatino Linotype"/>
          <w:szCs w:val="24"/>
        </w:rPr>
      </w:pPr>
      <w:r>
        <w:rPr>
          <w:rFonts w:eastAsia="Palatino Linotype" w:cs="Palatino Linotype"/>
          <w:noProof/>
          <w:szCs w:val="24"/>
        </w:rPr>
        <w:lastRenderedPageBreak/>
        <w:drawing>
          <wp:inline distT="0" distB="0" distL="0" distR="0">
            <wp:extent cx="5603875" cy="694944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607539" cy="6953349"/>
                    </a:xfrm>
                    <a:prstGeom prst="rect">
                      <a:avLst/>
                    </a:prstGeom>
                  </pic:spPr>
                </pic:pic>
              </a:graphicData>
            </a:graphic>
          </wp:inline>
        </w:drawing>
      </w:r>
    </w:p>
    <w:p w:rsidR="0078794A" w:rsidRDefault="0078794A">
      <w:pPr>
        <w:contextualSpacing/>
        <w:rPr>
          <w:rFonts w:eastAsia="Palatino Linotype" w:cs="Palatino Linotype"/>
          <w:szCs w:val="24"/>
        </w:rPr>
      </w:pPr>
    </w:p>
    <w:p w:rsidR="0078794A" w:rsidRDefault="002F1ED1">
      <w:pPr>
        <w:contextualSpacing/>
        <w:jc w:val="center"/>
        <w:rPr>
          <w:rFonts w:eastAsia="Palatino Linotype" w:cs="Palatino Linotype"/>
          <w:szCs w:val="24"/>
        </w:rPr>
      </w:pPr>
      <w:r>
        <w:rPr>
          <w:rFonts w:eastAsia="Palatino Linotype" w:cs="Palatino Linotype"/>
          <w:noProof/>
          <w:szCs w:val="24"/>
        </w:rPr>
        <w:lastRenderedPageBreak/>
        <w:drawing>
          <wp:inline distT="0" distB="0" distL="0" distR="0">
            <wp:extent cx="5415915" cy="55118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440885" cy="5537612"/>
                    </a:xfrm>
                    <a:prstGeom prst="rect">
                      <a:avLst/>
                    </a:prstGeom>
                  </pic:spPr>
                </pic:pic>
              </a:graphicData>
            </a:graphic>
          </wp:inline>
        </w:drawing>
      </w:r>
    </w:p>
    <w:p w:rsidR="0078794A" w:rsidRDefault="0078794A">
      <w:pPr>
        <w:contextualSpacing/>
        <w:rPr>
          <w:rFonts w:eastAsia="Palatino Linotype" w:cs="Palatino Linotype"/>
          <w:szCs w:val="24"/>
        </w:rPr>
      </w:pPr>
    </w:p>
    <w:p w:rsidR="0078794A" w:rsidRDefault="002F1ED1">
      <w:pPr>
        <w:contextualSpacing/>
        <w:rPr>
          <w:rFonts w:eastAsia="Palatino Linotype" w:cs="Palatino Linotype"/>
          <w:szCs w:val="24"/>
        </w:rPr>
      </w:pPr>
      <w:r>
        <w:rPr>
          <w:rFonts w:eastAsia="Palatino Linotype" w:cs="Palatino Linotype"/>
          <w:szCs w:val="24"/>
        </w:rPr>
        <w:t>Asimismo, dichos lineamientos establecen que la información relativa al padrón de proveedores y contratistas deberá contener los elementos que se enlistan en las siguientes imágenes:</w:t>
      </w:r>
    </w:p>
    <w:p w:rsidR="0078794A" w:rsidRDefault="0078794A">
      <w:pPr>
        <w:contextualSpacing/>
        <w:rPr>
          <w:rFonts w:eastAsia="Palatino Linotype" w:cs="Palatino Linotype"/>
          <w:szCs w:val="24"/>
        </w:rPr>
      </w:pPr>
    </w:p>
    <w:p w:rsidR="0078794A" w:rsidRDefault="002F1ED1">
      <w:pPr>
        <w:contextualSpacing/>
        <w:jc w:val="center"/>
        <w:rPr>
          <w:rFonts w:eastAsia="Palatino Linotype" w:cs="Palatino Linotype"/>
          <w:szCs w:val="24"/>
        </w:rPr>
      </w:pPr>
      <w:r>
        <w:rPr>
          <w:rFonts w:eastAsia="Palatino Linotype" w:cs="Palatino Linotype"/>
          <w:noProof/>
          <w:szCs w:val="24"/>
        </w:rPr>
        <w:lastRenderedPageBreak/>
        <w:drawing>
          <wp:inline distT="0" distB="0" distL="0" distR="0">
            <wp:extent cx="5654675" cy="7005955"/>
            <wp:effectExtent l="0" t="0" r="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667752" cy="7021994"/>
                    </a:xfrm>
                    <a:prstGeom prst="rect">
                      <a:avLst/>
                    </a:prstGeom>
                  </pic:spPr>
                </pic:pic>
              </a:graphicData>
            </a:graphic>
          </wp:inline>
        </w:drawing>
      </w:r>
    </w:p>
    <w:p w:rsidR="0078794A" w:rsidRDefault="0078794A">
      <w:pPr>
        <w:contextualSpacing/>
        <w:rPr>
          <w:rFonts w:eastAsia="Palatino Linotype" w:cs="Palatino Linotype"/>
          <w:szCs w:val="24"/>
        </w:rPr>
      </w:pPr>
    </w:p>
    <w:p w:rsidR="0078794A" w:rsidRDefault="002F1ED1">
      <w:pPr>
        <w:contextualSpacing/>
        <w:jc w:val="center"/>
        <w:rPr>
          <w:rFonts w:eastAsia="Palatino Linotype" w:cs="Palatino Linotype"/>
          <w:szCs w:val="24"/>
        </w:rPr>
      </w:pPr>
      <w:r>
        <w:rPr>
          <w:rFonts w:eastAsia="Palatino Linotype" w:cs="Palatino Linotype"/>
          <w:noProof/>
          <w:szCs w:val="24"/>
        </w:rPr>
        <w:lastRenderedPageBreak/>
        <w:drawing>
          <wp:inline distT="0" distB="0" distL="0" distR="0">
            <wp:extent cx="5727700" cy="70104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727700" cy="7010400"/>
                    </a:xfrm>
                    <a:prstGeom prst="rect">
                      <a:avLst/>
                    </a:prstGeom>
                  </pic:spPr>
                </pic:pic>
              </a:graphicData>
            </a:graphic>
          </wp:inline>
        </w:drawing>
      </w:r>
    </w:p>
    <w:p w:rsidR="0078794A" w:rsidRDefault="0078794A">
      <w:pPr>
        <w:contextualSpacing/>
        <w:rPr>
          <w:rFonts w:eastAsia="Palatino Linotype" w:cs="Palatino Linotype"/>
          <w:szCs w:val="24"/>
        </w:rPr>
      </w:pPr>
    </w:p>
    <w:p w:rsidR="0078794A" w:rsidRDefault="002F1ED1">
      <w:pPr>
        <w:contextualSpacing/>
        <w:jc w:val="center"/>
        <w:rPr>
          <w:rFonts w:eastAsia="Palatino Linotype" w:cs="Palatino Linotype"/>
          <w:szCs w:val="24"/>
        </w:rPr>
      </w:pPr>
      <w:r>
        <w:rPr>
          <w:rFonts w:eastAsia="Palatino Linotype" w:cs="Palatino Linotype"/>
          <w:noProof/>
          <w:szCs w:val="24"/>
        </w:rPr>
        <w:lastRenderedPageBreak/>
        <w:drawing>
          <wp:inline distT="0" distB="0" distL="0" distR="0">
            <wp:extent cx="5548630" cy="5809615"/>
            <wp:effectExtent l="0" t="0" r="127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569018" cy="5831236"/>
                    </a:xfrm>
                    <a:prstGeom prst="rect">
                      <a:avLst/>
                    </a:prstGeom>
                  </pic:spPr>
                </pic:pic>
              </a:graphicData>
            </a:graphic>
          </wp:inline>
        </w:drawing>
      </w:r>
    </w:p>
    <w:p w:rsidR="0078794A" w:rsidRDefault="0078794A">
      <w:pPr>
        <w:contextualSpacing/>
        <w:rPr>
          <w:rFonts w:eastAsia="Palatino Linotype" w:cs="Palatino Linotype"/>
          <w:szCs w:val="24"/>
        </w:rPr>
      </w:pPr>
    </w:p>
    <w:p w:rsidR="0078794A" w:rsidRDefault="002F1ED1">
      <w:pPr>
        <w:contextualSpacing/>
        <w:rPr>
          <w:rFonts w:eastAsia="Palatino Linotype" w:cs="Palatino Linotype"/>
          <w:szCs w:val="24"/>
        </w:rPr>
      </w:pPr>
      <w:r>
        <w:rPr>
          <w:rFonts w:eastAsia="Palatino Linotype" w:cs="Palatino Linotype"/>
          <w:szCs w:val="24"/>
        </w:rPr>
        <w:t xml:space="preserve">Por lo anterior y dada la respuesta del Sujeto Obligado, es agible considerar que la información de relativa a los procedimientos de licitación pública e invitación a cuando menos tres personas de los años 2020, 2021 y 2022 y de los procedimientos de adjudicación directa correspondiente a los ejercicios 2018, 2019, 2020, 2021 y 2022; sin que </w:t>
      </w:r>
      <w:r>
        <w:rPr>
          <w:rFonts w:eastAsia="Palatino Linotype" w:cs="Palatino Linotype"/>
          <w:szCs w:val="24"/>
        </w:rPr>
        <w:lastRenderedPageBreak/>
        <w:t>se haya colmado la información de los ejercicios anteriores ni la tocante al padrón de proveedores del ejercicio 2012 a la fecha de ingreso de la solicitud de información.</w:t>
      </w:r>
    </w:p>
    <w:p w:rsidR="0078794A" w:rsidRDefault="0078794A">
      <w:pPr>
        <w:contextualSpacing/>
        <w:rPr>
          <w:rFonts w:eastAsia="Palatino Linotype" w:cs="Palatino Linotype"/>
          <w:szCs w:val="24"/>
        </w:rPr>
      </w:pPr>
    </w:p>
    <w:p w:rsidR="0078794A" w:rsidRDefault="002F1ED1">
      <w:pPr>
        <w:contextualSpacing/>
        <w:rPr>
          <w:rFonts w:eastAsia="Palatino Linotype" w:cs="Palatino Linotype"/>
          <w:szCs w:val="24"/>
        </w:rPr>
      </w:pPr>
      <w:r>
        <w:rPr>
          <w:rFonts w:eastAsia="Palatino Linotype" w:cs="Palatino Linotype"/>
          <w:szCs w:val="24"/>
        </w:rPr>
        <w:t>En conclusión, este Órgano Garante considera que los motivos de inconformidad planteados por el Recurrente son parcialmente fundados, por lo que es procedente ordenar al Sujeto Obligado que haga una búsqueda exhaustiva y razonable en los archivos de las áreas competentes con el propósito de hacer entrega, en versión pública de ser procedente, de los documentos en los que conste A.- Institución; B.- Nombre de la unidad administrativa solicitante; C.- Responsable de la unidad administrativa solicitante; D.- Código del expediente; E.- Referencia del expediente; F.- Título del expediente; G.- Fundamento legal; H.- Número del procedimiento; I.- Fecha de fallo; J.- Fecha de publicación; K.- Tipo de contratación; L.- Tipo de procedimiento; M.- Título del contrato; N.- Descripción del contrato; O.- Importe del contrato; P.- Convenio modificatorio; Q.- Registro Federal de Contribuyente; R.- Proveedor o contratista; S.-Dirección del anuncio; lo anterior de los contratos de adjudicación directa generados en los ejercicios 2012, 2013, 2014, 2015, 2016 y 2017; los contratos de licitación pública e invitación a cuando menos tres personas generados en los años 2012, 2013, 2014, 2015, 2016, 2017, 2018 y 2019; y la lista de proveedores generada del primero de enero del dos mil doce al veintinueve de abril de dos mil veintidós; y en el supuesto de que la información ordenada no se localice, se deberá hacer entrega del acuerdo emitido por el Comité de Transparencia con el que se declare la inexistencia de la información.</w:t>
      </w:r>
    </w:p>
    <w:p w:rsidR="0078794A" w:rsidRDefault="0078794A">
      <w:pPr>
        <w:contextualSpacing/>
        <w:rPr>
          <w:rFonts w:eastAsia="Palatino Linotype" w:cs="Palatino Linotype"/>
          <w:szCs w:val="24"/>
        </w:rPr>
      </w:pPr>
    </w:p>
    <w:p w:rsidR="0078794A" w:rsidRDefault="002F1ED1">
      <w:pPr>
        <w:pStyle w:val="Ttulo3"/>
      </w:pPr>
      <w:r>
        <w:lastRenderedPageBreak/>
        <w:t>DE LA VERSIÓN PÚBLICA.</w:t>
      </w:r>
    </w:p>
    <w:p w:rsidR="0078794A" w:rsidRDefault="002F1ED1">
      <w:pPr>
        <w:rPr>
          <w:rFonts w:eastAsia="Palatino Linotype" w:cs="Palatino Linotype"/>
          <w:szCs w:val="24"/>
        </w:rPr>
      </w:pPr>
      <w:r>
        <w:rPr>
          <w:rFonts w:eastAsia="Palatino Linotype" w:cs="Palatino Linotype"/>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rsidR="0078794A" w:rsidRDefault="0078794A">
      <w:pPr>
        <w:rPr>
          <w:rFonts w:eastAsia="Palatino Linotype" w:cs="Palatino Linotype"/>
          <w:szCs w:val="24"/>
        </w:rPr>
      </w:pPr>
    </w:p>
    <w:p w:rsidR="0078794A" w:rsidRDefault="002F1ED1">
      <w:pPr>
        <w:pStyle w:val="Fundamentos"/>
      </w:pPr>
      <w:r>
        <w:rPr>
          <w:b/>
        </w:rPr>
        <w:t>Artículo 3.</w:t>
      </w:r>
      <w:r>
        <w:t xml:space="preserve"> Para los efectos de la presente Ley se entenderá por:</w:t>
      </w:r>
    </w:p>
    <w:p w:rsidR="0078794A" w:rsidRDefault="002F1ED1">
      <w:pPr>
        <w:pStyle w:val="Fundamentos"/>
      </w:pPr>
      <w:r>
        <w:t>(…)</w:t>
      </w:r>
    </w:p>
    <w:p w:rsidR="0078794A" w:rsidRDefault="002F1ED1">
      <w:pPr>
        <w:pStyle w:val="Fundamentos"/>
      </w:pPr>
      <w:r>
        <w:rPr>
          <w:b/>
        </w:rPr>
        <w:t>IX. Datos personales:</w:t>
      </w:r>
      <w:r>
        <w:t xml:space="preserve"> La información concerniente a una persona, identificada o identificable según lo dispuesto por la Ley de Protección de Datos Personales del Estado de México; </w:t>
      </w:r>
    </w:p>
    <w:p w:rsidR="0078794A" w:rsidRDefault="002F1ED1">
      <w:pPr>
        <w:pStyle w:val="Fundamentos"/>
      </w:pPr>
      <w:r>
        <w:rPr>
          <w:b/>
        </w:rPr>
        <w:t>XX.</w:t>
      </w:r>
      <w:r>
        <w:t xml:space="preserve"> </w:t>
      </w:r>
      <w:r>
        <w:rPr>
          <w:b/>
        </w:rPr>
        <w:t>Información clasificada:</w:t>
      </w:r>
      <w:r>
        <w:t xml:space="preserve"> Aquella considerada por la presente Ley como reservada o confidencial;</w:t>
      </w:r>
    </w:p>
    <w:p w:rsidR="0078794A" w:rsidRDefault="002F1ED1">
      <w:pPr>
        <w:pStyle w:val="Fundamentos"/>
      </w:pPr>
      <w:r>
        <w:rPr>
          <w:b/>
        </w:rPr>
        <w:t>XXI.</w:t>
      </w:r>
      <w:r>
        <w:t xml:space="preserve"> </w:t>
      </w:r>
      <w:r>
        <w:rPr>
          <w:b/>
        </w:rPr>
        <w:t>Información confidencial:</w:t>
      </w:r>
      <w: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78794A" w:rsidRDefault="002F1ED1">
      <w:pPr>
        <w:pStyle w:val="Fundamentos"/>
      </w:pPr>
      <w:r>
        <w:rPr>
          <w:b/>
        </w:rPr>
        <w:t>…</w:t>
      </w:r>
    </w:p>
    <w:p w:rsidR="0078794A" w:rsidRDefault="002F1ED1">
      <w:pPr>
        <w:pStyle w:val="Fundamentos"/>
      </w:pPr>
      <w:r>
        <w:rPr>
          <w:b/>
        </w:rPr>
        <w:t>XLV.</w:t>
      </w:r>
      <w:r>
        <w:t xml:space="preserve"> </w:t>
      </w:r>
      <w:r>
        <w:rPr>
          <w:b/>
        </w:rPr>
        <w:t>Versión pública:</w:t>
      </w:r>
      <w:r>
        <w:t xml:space="preserve"> Documento en el que se elimine, suprime o borra la información clasificada como reservada o confidencial para permitir su acceso.</w:t>
      </w:r>
    </w:p>
    <w:p w:rsidR="0078794A" w:rsidRDefault="002F1ED1">
      <w:pPr>
        <w:pStyle w:val="Fundamentos"/>
      </w:pPr>
      <w:r>
        <w:t>(…)</w:t>
      </w:r>
    </w:p>
    <w:p w:rsidR="0078794A" w:rsidRDefault="0078794A">
      <w:pPr>
        <w:pStyle w:val="Fundamentos"/>
      </w:pPr>
    </w:p>
    <w:p w:rsidR="0078794A" w:rsidRDefault="002F1ED1">
      <w:pPr>
        <w:pStyle w:val="Fundamentos"/>
      </w:pPr>
      <w:r>
        <w:rPr>
          <w:b/>
        </w:rPr>
        <w:t xml:space="preserve">Artículo 91. </w:t>
      </w:r>
      <w:r>
        <w:t>El acceso a la información pública será restringido excepcionalmente, cuando ésta sea clasificada como reservada o confidencial.</w:t>
      </w:r>
    </w:p>
    <w:p w:rsidR="0078794A" w:rsidRDefault="0078794A">
      <w:pPr>
        <w:pStyle w:val="Fundamentos"/>
      </w:pPr>
    </w:p>
    <w:p w:rsidR="0078794A" w:rsidRDefault="002F1ED1">
      <w:pPr>
        <w:pStyle w:val="Fundamentos"/>
      </w:pPr>
      <w:r>
        <w:rPr>
          <w:b/>
        </w:rPr>
        <w:t>Artículo 132.</w:t>
      </w:r>
      <w:r>
        <w:t xml:space="preserve"> </w:t>
      </w:r>
      <w:r>
        <w:rPr>
          <w:u w:val="single"/>
        </w:rPr>
        <w:t>La clasificación de la información se llevará a cabo en el momento en que</w:t>
      </w:r>
      <w:r>
        <w:t>:</w:t>
      </w:r>
    </w:p>
    <w:p w:rsidR="0078794A" w:rsidRDefault="002F1ED1">
      <w:pPr>
        <w:pStyle w:val="Fundamentos"/>
      </w:pPr>
      <w:r>
        <w:rPr>
          <w:b/>
        </w:rPr>
        <w:t>I.</w:t>
      </w:r>
      <w:r>
        <w:t xml:space="preserve"> Se reciba una solicitud de acceso a la información;</w:t>
      </w:r>
    </w:p>
    <w:p w:rsidR="0078794A" w:rsidRDefault="002F1ED1">
      <w:pPr>
        <w:pStyle w:val="Fundamentos"/>
      </w:pPr>
      <w:r>
        <w:rPr>
          <w:b/>
        </w:rPr>
        <w:t>II.</w:t>
      </w:r>
      <w:r>
        <w:t xml:space="preserve"> </w:t>
      </w:r>
      <w:r>
        <w:rPr>
          <w:u w:val="single"/>
        </w:rPr>
        <w:t>Se determine mediante resolución de autoridad competente; o</w:t>
      </w:r>
    </w:p>
    <w:p w:rsidR="0078794A" w:rsidRDefault="002F1ED1">
      <w:pPr>
        <w:pStyle w:val="Fundamentos"/>
        <w:rPr>
          <w:u w:val="single"/>
        </w:rPr>
      </w:pPr>
      <w:r>
        <w:rPr>
          <w:b/>
        </w:rPr>
        <w:t>III.</w:t>
      </w:r>
      <w:r>
        <w:t xml:space="preserve"> </w:t>
      </w:r>
      <w:r>
        <w:rPr>
          <w:u w:val="single"/>
        </w:rPr>
        <w:t>Se generen versiones públicas para dar cumplimiento a las obligaciones de transparencia previstas en esta Ley.</w:t>
      </w:r>
    </w:p>
    <w:p w:rsidR="0078794A" w:rsidRDefault="002F1ED1">
      <w:pPr>
        <w:pStyle w:val="Fundamentos"/>
      </w:pPr>
      <w:r>
        <w:t>(…)</w:t>
      </w:r>
    </w:p>
    <w:p w:rsidR="0078794A" w:rsidRDefault="0078794A">
      <w:pPr>
        <w:rPr>
          <w:rFonts w:eastAsia="Palatino Linotype" w:cs="Palatino Linotype"/>
          <w:i/>
          <w:szCs w:val="24"/>
        </w:rPr>
      </w:pPr>
    </w:p>
    <w:p w:rsidR="0078794A" w:rsidRDefault="002F1ED1">
      <w:pPr>
        <w:rPr>
          <w:rFonts w:eastAsia="Palatino Linotype" w:cs="Palatino Linotype"/>
          <w:szCs w:val="24"/>
        </w:rPr>
      </w:pPr>
      <w:r>
        <w:rPr>
          <w:rFonts w:eastAsia="Palatino Linotype" w:cs="Palatino Linotype"/>
          <w:szCs w:val="24"/>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78794A" w:rsidRDefault="0078794A">
      <w:pPr>
        <w:rPr>
          <w:rFonts w:eastAsia="Palatino Linotype" w:cs="Palatino Linotype"/>
          <w:szCs w:val="24"/>
        </w:rPr>
      </w:pPr>
    </w:p>
    <w:p w:rsidR="0078794A" w:rsidRDefault="002F1ED1">
      <w:pPr>
        <w:rPr>
          <w:rFonts w:eastAsia="Palatino Linotype" w:cs="Palatino Linotype"/>
          <w:szCs w:val="24"/>
        </w:rPr>
      </w:pPr>
      <w:r>
        <w:rPr>
          <w:rFonts w:eastAsia="Palatino Linotype" w:cs="Palatino Linotype"/>
          <w:szCs w:val="24"/>
        </w:rPr>
        <w:t xml:space="preserve">Por otro lado, los </w:t>
      </w:r>
      <w:r>
        <w:rPr>
          <w:rFonts w:eastAsia="Palatino Linotype" w:cs="Palatino Linotype"/>
          <w:i/>
          <w:szCs w:val="24"/>
        </w:rPr>
        <w:t>Lineamientos Generales en Materia de Clasificación y Desclasificación de la Información, así como para la elaboración de Versiones Públicas</w:t>
      </w:r>
      <w:r>
        <w:rPr>
          <w:rFonts w:eastAsia="Palatino Linotype" w:cs="Palatino Linotype"/>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78794A" w:rsidRDefault="0078794A">
      <w:pPr>
        <w:rPr>
          <w:rFonts w:eastAsia="Palatino Linotype" w:cs="Palatino Linotype"/>
          <w:szCs w:val="24"/>
        </w:rPr>
      </w:pPr>
    </w:p>
    <w:p w:rsidR="0078794A" w:rsidRDefault="002F1ED1">
      <w:pPr>
        <w:rPr>
          <w:rFonts w:eastAsia="Palatino Linotype" w:cs="Palatino Linotype"/>
          <w:szCs w:val="24"/>
        </w:rPr>
      </w:pPr>
      <w:r>
        <w:rPr>
          <w:rFonts w:eastAsia="Palatino Linotype" w:cs="Palatino Linotype"/>
          <w:szCs w:val="24"/>
        </w:rPr>
        <w:t>Entorno a lo que aquí nos interesa, los Lineamientos Quincuagésimo sexto, Quincuagésimo séptimo y Quincuagésimo octavo, establecen lo siguiente:</w:t>
      </w:r>
    </w:p>
    <w:p w:rsidR="0078794A" w:rsidRDefault="0078794A">
      <w:pPr>
        <w:rPr>
          <w:rFonts w:eastAsia="Palatino Linotype" w:cs="Palatino Linotype"/>
        </w:rPr>
      </w:pPr>
    </w:p>
    <w:p w:rsidR="0078794A" w:rsidRDefault="002F1ED1">
      <w:pPr>
        <w:pStyle w:val="Fundamentos"/>
      </w:pPr>
      <w:r>
        <w:rPr>
          <w:b/>
        </w:rPr>
        <w:t>Quincuagésimo sexto.</w:t>
      </w:r>
      <w: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78794A" w:rsidRDefault="0078794A">
      <w:pPr>
        <w:pStyle w:val="Fundamentos"/>
      </w:pPr>
    </w:p>
    <w:p w:rsidR="0078794A" w:rsidRDefault="002F1ED1">
      <w:pPr>
        <w:pStyle w:val="Fundamentos"/>
      </w:pPr>
      <w:r>
        <w:rPr>
          <w:b/>
        </w:rPr>
        <w:t>Quincuagésimo séptimo.</w:t>
      </w:r>
      <w:r>
        <w:t xml:space="preserve"> Se considera, en principio, como información pública y no podrá omitirse de las versiones públicas la siguiente:</w:t>
      </w:r>
    </w:p>
    <w:p w:rsidR="0078794A" w:rsidRDefault="002F1ED1">
      <w:pPr>
        <w:pStyle w:val="Fundamentos"/>
      </w:pPr>
      <w:r>
        <w:t xml:space="preserve"> </w:t>
      </w:r>
    </w:p>
    <w:p w:rsidR="0078794A" w:rsidRDefault="002F1ED1">
      <w:pPr>
        <w:pStyle w:val="Fundamentos"/>
      </w:pPr>
      <w:r>
        <w:t xml:space="preserve">I. La relativa a las Obligaciones de Transparencia que contempla el Título V de la Ley General y las demás disposiciones legales aplicables; </w:t>
      </w:r>
    </w:p>
    <w:p w:rsidR="0078794A" w:rsidRDefault="002F1ED1">
      <w:pPr>
        <w:pStyle w:val="Fundamentos"/>
      </w:pPr>
      <w:r>
        <w:lastRenderedPageBreak/>
        <w:t xml:space="preserve">II. El nombre de los servidores públicos en los documentos, y sus firmas autógrafas, cuando sean utilizados en el ejercicio de las facultades conferidas para el desempeño del servicio público, y </w:t>
      </w:r>
    </w:p>
    <w:p w:rsidR="0078794A" w:rsidRDefault="002F1ED1">
      <w:pPr>
        <w:pStyle w:val="Fundamentos"/>
      </w:pPr>
      <w: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rsidR="0078794A" w:rsidRDefault="0078794A">
      <w:pPr>
        <w:pStyle w:val="Fundamentos"/>
      </w:pPr>
    </w:p>
    <w:p w:rsidR="0078794A" w:rsidRDefault="002F1ED1">
      <w:pPr>
        <w:pStyle w:val="Fundamentos"/>
      </w:pPr>
      <w:r>
        <w:t xml:space="preserve">Lo anterior, siempre y cuando no se acredite alguna causal de clasificación, prevista en las leyes o en los tratados internacionales suscritos por el Estado mexicano. </w:t>
      </w:r>
    </w:p>
    <w:p w:rsidR="0078794A" w:rsidRDefault="0078794A">
      <w:pPr>
        <w:pStyle w:val="Fundamentos"/>
      </w:pPr>
    </w:p>
    <w:p w:rsidR="0078794A" w:rsidRDefault="002F1ED1">
      <w:pPr>
        <w:pStyle w:val="Fundamentos"/>
      </w:pPr>
      <w:r>
        <w:rPr>
          <w:b/>
        </w:rPr>
        <w:t>Quincuagésimo octavo.</w:t>
      </w:r>
      <w:r>
        <w:t xml:space="preserve"> Los sujetos obligados garantizarán que los sistemas o medios empleados para eliminar la información en las versiones públicas no permitan la recuperación o visualización de la misma.</w:t>
      </w:r>
    </w:p>
    <w:p w:rsidR="0078794A" w:rsidRDefault="0078794A">
      <w:pPr>
        <w:rPr>
          <w:rFonts w:eastAsia="Palatino Linotype" w:cs="Palatino Linotype"/>
          <w:i/>
          <w:szCs w:val="24"/>
        </w:rPr>
      </w:pPr>
    </w:p>
    <w:p w:rsidR="0078794A" w:rsidRDefault="002F1ED1">
      <w:pPr>
        <w:rPr>
          <w:rFonts w:eastAsia="Palatino Linotype" w:cs="Palatino Linotype"/>
          <w:szCs w:val="24"/>
        </w:rPr>
      </w:pPr>
      <w:r>
        <w:rPr>
          <w:rFonts w:eastAsia="Palatino Linotype" w:cs="Palatino Linotype"/>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rsidR="0078794A" w:rsidRDefault="0078794A">
      <w:pPr>
        <w:rPr>
          <w:rFonts w:eastAsia="Palatino Linotype" w:cs="Palatino Linotype"/>
          <w:szCs w:val="24"/>
        </w:rPr>
      </w:pPr>
    </w:p>
    <w:p w:rsidR="0078794A" w:rsidRDefault="002F1ED1">
      <w:pPr>
        <w:rPr>
          <w:rFonts w:eastAsia="Palatino Linotype" w:cs="Palatino Linotype"/>
          <w:szCs w:val="24"/>
        </w:rPr>
      </w:pPr>
      <w:r>
        <w:rPr>
          <w:rFonts w:eastAsia="Palatino Linotype" w:cs="Palatino Linotype"/>
          <w:szCs w:val="24"/>
        </w:rPr>
        <w:t>Por lo que respecta al Acuerdo del Comité de Transparencia que sustente la versión pública de la documentación a entregar, deberá ser notificado mediante el SAIMEX.</w:t>
      </w:r>
    </w:p>
    <w:p w:rsidR="0078794A" w:rsidRDefault="0078794A">
      <w:pPr>
        <w:rPr>
          <w:rFonts w:eastAsia="Palatino Linotype" w:cs="Palatino Linotype"/>
          <w:szCs w:val="24"/>
        </w:rPr>
      </w:pPr>
    </w:p>
    <w:p w:rsidR="0078794A" w:rsidRDefault="002F1ED1">
      <w:pPr>
        <w:rPr>
          <w:szCs w:val="24"/>
        </w:rPr>
      </w:pPr>
      <w:r>
        <w:rPr>
          <w:rFonts w:eastAsia="Palatino Linotype" w:cs="Palatino Linotype"/>
          <w:color w:val="000000"/>
          <w:szCs w:val="24"/>
        </w:rPr>
        <w:lastRenderedPageBreak/>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 la Recurrente.</w:t>
      </w:r>
    </w:p>
    <w:p w:rsidR="0078794A" w:rsidRDefault="0078794A">
      <w:pPr>
        <w:contextualSpacing/>
        <w:rPr>
          <w:rFonts w:eastAsia="Palatino Linotype" w:cs="Palatino Linotype"/>
          <w:szCs w:val="24"/>
        </w:rPr>
      </w:pPr>
    </w:p>
    <w:p w:rsidR="0078794A" w:rsidRDefault="002F1ED1">
      <w:pPr>
        <w:pStyle w:val="Textoindependiente"/>
        <w:outlineLvl w:val="1"/>
        <w:rPr>
          <w:rFonts w:eastAsia="Palatino Linotype"/>
        </w:rPr>
      </w:pPr>
      <w:r>
        <w:rPr>
          <w:rFonts w:eastAsia="Palatino Linotype"/>
        </w:rPr>
        <w:t xml:space="preserve">En mérito de lo expuesto en líneas anteriores, este Instituto considera que los motivos de inconformidad planteados por la Recurrente resultan fundados en el recurso de revisión que es materia de esta resolución; por ello </w:t>
      </w:r>
      <w:r>
        <w:rPr>
          <w:rFonts w:eastAsia="Palatino Linotype"/>
          <w:b/>
        </w:rPr>
        <w:t xml:space="preserve">con fundamento en la segunda hipótesis de la fracción III del artículo 186 </w:t>
      </w:r>
      <w:r>
        <w:rPr>
          <w:rFonts w:eastAsia="Palatino Linotype"/>
        </w:rPr>
        <w:t xml:space="preserve">de la Ley de Transparencia y Acceso a la Información Pública del Estado de México y Municipios, se </w:t>
      </w:r>
      <w:r>
        <w:rPr>
          <w:rFonts w:eastAsia="Palatino Linotype"/>
          <w:b/>
        </w:rPr>
        <w:t xml:space="preserve">MODIFICA </w:t>
      </w:r>
      <w:r>
        <w:rPr>
          <w:rFonts w:eastAsia="Palatino Linotype"/>
        </w:rPr>
        <w:t>la respuesta a la solicitud de información número</w:t>
      </w:r>
      <w:r>
        <w:rPr>
          <w:rFonts w:eastAsia="Palatino Linotype"/>
          <w:b/>
        </w:rPr>
        <w:t xml:space="preserve"> </w:t>
      </w:r>
      <w:r>
        <w:rPr>
          <w:rFonts w:eastAsia="Palatino Linotype"/>
          <w:b/>
          <w:bCs/>
        </w:rPr>
        <w:t>00101/NICOROM/IP/2022</w:t>
      </w:r>
      <w:r>
        <w:rPr>
          <w:rFonts w:eastAsia="Palatino Linotype"/>
        </w:rPr>
        <w:t>,</w:t>
      </w:r>
      <w:r>
        <w:rPr>
          <w:rFonts w:eastAsia="Palatino Linotype"/>
          <w:b/>
        </w:rPr>
        <w:t xml:space="preserve"> </w:t>
      </w:r>
      <w:r>
        <w:rPr>
          <w:rFonts w:eastAsia="Palatino Linotype"/>
        </w:rPr>
        <w:t>que ha sido materia del presente estudio.</w:t>
      </w:r>
    </w:p>
    <w:p w:rsidR="0078794A" w:rsidRDefault="0078794A">
      <w:pPr>
        <w:pStyle w:val="Textoindependiente"/>
        <w:rPr>
          <w:rFonts w:eastAsia="Palatino Linotype"/>
        </w:rPr>
      </w:pPr>
    </w:p>
    <w:p w:rsidR="0078794A" w:rsidRDefault="002F1ED1">
      <w:pPr>
        <w:pStyle w:val="Textoindependiente"/>
        <w:rPr>
          <w:rFonts w:eastAsia="Palatino Linotype"/>
        </w:rPr>
      </w:pPr>
      <w:r>
        <w:rPr>
          <w:rFonts w:eastAsia="Palatino Linotype"/>
        </w:rPr>
        <w:t>Por lo antes expuesto y fundado es de resolverse y,</w:t>
      </w:r>
    </w:p>
    <w:p w:rsidR="0078794A" w:rsidRDefault="0078794A">
      <w:pPr>
        <w:rPr>
          <w:rFonts w:eastAsia="Palatino Linotype" w:cs="Palatino Linotype"/>
          <w:color w:val="000000"/>
          <w:szCs w:val="24"/>
        </w:rPr>
      </w:pPr>
    </w:p>
    <w:p w:rsidR="0078794A" w:rsidRDefault="002F1ED1">
      <w:pPr>
        <w:pStyle w:val="Ttulo1"/>
        <w:rPr>
          <w:rFonts w:eastAsia="Palatino Linotype"/>
        </w:rPr>
      </w:pPr>
      <w:r>
        <w:rPr>
          <w:rFonts w:eastAsia="Palatino Linotype"/>
        </w:rPr>
        <w:t>S E    R E S U E L V E</w:t>
      </w:r>
    </w:p>
    <w:p w:rsidR="0078794A" w:rsidRDefault="0078794A">
      <w:pPr>
        <w:rPr>
          <w:rFonts w:eastAsia="Palatino Linotype" w:cs="Palatino Linotype"/>
          <w:b/>
          <w:color w:val="000000"/>
          <w:szCs w:val="24"/>
        </w:rPr>
      </w:pPr>
    </w:p>
    <w:p w:rsidR="0078794A" w:rsidRDefault="002F1ED1">
      <w:pPr>
        <w:rPr>
          <w:rFonts w:eastAsia="Palatino Linotype" w:cs="Palatino Linotype"/>
          <w:color w:val="000000"/>
          <w:szCs w:val="24"/>
        </w:rPr>
      </w:pPr>
      <w:r>
        <w:rPr>
          <w:rFonts w:eastAsia="Palatino Linotype" w:cs="Palatino Linotype"/>
          <w:b/>
          <w:color w:val="000000"/>
          <w:szCs w:val="24"/>
        </w:rPr>
        <w:t>PRIMERO.</w:t>
      </w:r>
      <w:r>
        <w:rPr>
          <w:rFonts w:eastAsia="Palatino Linotype" w:cs="Palatino Linotype"/>
          <w:color w:val="000000"/>
          <w:szCs w:val="24"/>
        </w:rPr>
        <w:t xml:space="preserve"> Se </w:t>
      </w:r>
      <w:r>
        <w:rPr>
          <w:rFonts w:eastAsia="Palatino Linotype" w:cs="Palatino Linotype"/>
          <w:b/>
          <w:color w:val="000000"/>
          <w:szCs w:val="24"/>
        </w:rPr>
        <w:t>MODIFICA</w:t>
      </w:r>
      <w:r>
        <w:rPr>
          <w:rFonts w:eastAsia="Palatino Linotype" w:cs="Palatino Linotype"/>
          <w:color w:val="000000"/>
          <w:szCs w:val="24"/>
        </w:rPr>
        <w:t xml:space="preserve"> la respuesta entregada por el Sujeto Obligado</w:t>
      </w:r>
      <w:r>
        <w:rPr>
          <w:rFonts w:eastAsia="Palatino Linotype" w:cs="Palatino Linotype"/>
          <w:b/>
          <w:color w:val="000000"/>
          <w:szCs w:val="24"/>
        </w:rPr>
        <w:t xml:space="preserve"> </w:t>
      </w:r>
      <w:r>
        <w:rPr>
          <w:rFonts w:eastAsia="Palatino Linotype" w:cs="Palatino Linotype"/>
          <w:color w:val="000000"/>
          <w:szCs w:val="24"/>
        </w:rPr>
        <w:t xml:space="preserve">a la solicitud de información número </w:t>
      </w:r>
      <w:r>
        <w:rPr>
          <w:rFonts w:eastAsia="Palatino Linotype"/>
          <w:b/>
          <w:bCs/>
          <w:szCs w:val="24"/>
        </w:rPr>
        <w:t>00101/NICOROM/IP/2022</w:t>
      </w:r>
      <w:r>
        <w:rPr>
          <w:rFonts w:eastAsia="Palatino Linotype" w:cs="Palatino Linotype"/>
          <w:color w:val="000000"/>
          <w:szCs w:val="24"/>
        </w:rPr>
        <w:t>, por resultar fundados los motivos de inconformidad argüidos por el Recurrente, en términos del</w:t>
      </w:r>
      <w:r>
        <w:rPr>
          <w:rFonts w:eastAsia="Palatino Linotype" w:cs="Palatino Linotype"/>
          <w:b/>
          <w:color w:val="000000"/>
          <w:szCs w:val="24"/>
        </w:rPr>
        <w:t xml:space="preserve"> Considerando CUARTO </w:t>
      </w:r>
      <w:r>
        <w:rPr>
          <w:rFonts w:eastAsia="Palatino Linotype" w:cs="Palatino Linotype"/>
          <w:color w:val="000000"/>
          <w:szCs w:val="24"/>
        </w:rPr>
        <w:t xml:space="preserve">de la presente resolución. </w:t>
      </w:r>
    </w:p>
    <w:p w:rsidR="0078794A" w:rsidRDefault="0078794A">
      <w:pPr>
        <w:rPr>
          <w:rFonts w:eastAsia="Palatino Linotype" w:cs="Palatino Linotype"/>
          <w:color w:val="000000"/>
          <w:szCs w:val="24"/>
        </w:rPr>
      </w:pPr>
    </w:p>
    <w:p w:rsidR="0078794A" w:rsidRDefault="002F1ED1">
      <w:pPr>
        <w:rPr>
          <w:rFonts w:eastAsia="Palatino Linotype" w:cs="Palatino Linotype"/>
          <w:color w:val="000000"/>
          <w:szCs w:val="24"/>
        </w:rPr>
      </w:pPr>
      <w:r>
        <w:rPr>
          <w:rFonts w:eastAsia="Palatino Linotype" w:cs="Palatino Linotype"/>
          <w:b/>
          <w:color w:val="000000"/>
          <w:szCs w:val="24"/>
        </w:rPr>
        <w:lastRenderedPageBreak/>
        <w:t>SEGUNDO.</w:t>
      </w:r>
      <w:r>
        <w:rPr>
          <w:rFonts w:eastAsia="Palatino Linotype" w:cs="Palatino Linotype"/>
          <w:color w:val="000000"/>
          <w:szCs w:val="24"/>
        </w:rPr>
        <w:t xml:space="preserve"> Se </w:t>
      </w:r>
      <w:r>
        <w:rPr>
          <w:rFonts w:eastAsia="Palatino Linotype" w:cs="Palatino Linotype"/>
          <w:b/>
          <w:color w:val="000000"/>
          <w:szCs w:val="24"/>
        </w:rPr>
        <w:t>ORDENA</w:t>
      </w:r>
      <w:r>
        <w:rPr>
          <w:rFonts w:eastAsia="Palatino Linotype" w:cs="Palatino Linotype"/>
          <w:color w:val="000000"/>
          <w:szCs w:val="24"/>
        </w:rPr>
        <w:t xml:space="preserve"> al Sujeto Obligado que lleve a cabo una búsqueda exhaustiva y razonable en los archivos de las áreas competentes con el propósito de hacer entrega al Recurrente mediante el Sistema de Acceso a la Información Mexiquense (SAIMEX), en versión pública de ser procedente y en términos del </w:t>
      </w:r>
      <w:r>
        <w:rPr>
          <w:rFonts w:eastAsia="Palatino Linotype" w:cs="Palatino Linotype"/>
          <w:b/>
          <w:color w:val="000000"/>
          <w:szCs w:val="24"/>
        </w:rPr>
        <w:t>Considerando CUARTO</w:t>
      </w:r>
      <w:r>
        <w:rPr>
          <w:rFonts w:eastAsia="Palatino Linotype" w:cs="Palatino Linotype"/>
          <w:color w:val="000000"/>
          <w:szCs w:val="24"/>
        </w:rPr>
        <w:t>, de lo siguiente:</w:t>
      </w:r>
    </w:p>
    <w:p w:rsidR="0078794A" w:rsidRDefault="0078794A">
      <w:pPr>
        <w:rPr>
          <w:rFonts w:eastAsia="Palatino Linotype" w:cs="Palatino Linotype"/>
          <w:color w:val="000000"/>
          <w:szCs w:val="24"/>
        </w:rPr>
      </w:pPr>
    </w:p>
    <w:p w:rsidR="0078794A" w:rsidRDefault="002F1ED1">
      <w:pPr>
        <w:pStyle w:val="Prrafodelista"/>
        <w:numPr>
          <w:ilvl w:val="0"/>
          <w:numId w:val="5"/>
        </w:numPr>
        <w:spacing w:line="276" w:lineRule="auto"/>
        <w:rPr>
          <w:rFonts w:eastAsia="Palatino Linotype" w:cs="Palatino Linotype"/>
          <w:i/>
          <w:iCs/>
          <w:color w:val="000000"/>
        </w:rPr>
      </w:pPr>
      <w:r>
        <w:rPr>
          <w:rFonts w:eastAsia="Palatino Linotype" w:cs="Palatino Linotype"/>
          <w:i/>
          <w:iCs/>
          <w:color w:val="000000"/>
        </w:rPr>
        <w:t xml:space="preserve">De los contratos </w:t>
      </w:r>
      <w:r>
        <w:rPr>
          <w:rFonts w:eastAsia="Palatino Linotype" w:cs="Palatino Linotype"/>
          <w:i/>
          <w:iCs/>
        </w:rPr>
        <w:t>de adjudicación directa generados en los ejercicios 2012, 2013, 2014, 2015, 2016 y 2017, documentos en donde conste lo siguiente:</w:t>
      </w:r>
    </w:p>
    <w:p w:rsidR="0078794A" w:rsidRDefault="0078794A">
      <w:pPr>
        <w:pStyle w:val="Prrafodelista"/>
        <w:spacing w:line="276" w:lineRule="auto"/>
        <w:rPr>
          <w:rFonts w:eastAsia="Palatino Linotype" w:cs="Palatino Linotype"/>
          <w:i/>
          <w:iCs/>
          <w:color w:val="000000"/>
        </w:rPr>
      </w:pPr>
    </w:p>
    <w:p w:rsidR="0078794A" w:rsidRDefault="002F1ED1">
      <w:pPr>
        <w:pStyle w:val="Prrafodelista"/>
        <w:spacing w:line="276" w:lineRule="auto"/>
        <w:rPr>
          <w:rFonts w:eastAsia="Palatino Linotype" w:cs="Palatino Linotype"/>
          <w:i/>
          <w:iCs/>
          <w:color w:val="000000"/>
        </w:rPr>
      </w:pPr>
      <w:r>
        <w:rPr>
          <w:rFonts w:eastAsia="Palatino Linotype" w:cs="Palatino Linotype"/>
          <w:i/>
          <w:iCs/>
          <w:color w:val="000000"/>
        </w:rPr>
        <w:t>A.- Institución.</w:t>
      </w:r>
    </w:p>
    <w:p w:rsidR="0078794A" w:rsidRDefault="002F1ED1">
      <w:pPr>
        <w:pStyle w:val="Prrafodelista"/>
        <w:spacing w:line="276" w:lineRule="auto"/>
        <w:rPr>
          <w:rFonts w:eastAsia="Palatino Linotype" w:cs="Palatino Linotype"/>
          <w:i/>
          <w:iCs/>
          <w:color w:val="000000"/>
        </w:rPr>
      </w:pPr>
      <w:r>
        <w:rPr>
          <w:rFonts w:eastAsia="Palatino Linotype" w:cs="Palatino Linotype"/>
          <w:i/>
          <w:iCs/>
          <w:color w:val="000000"/>
        </w:rPr>
        <w:t>B.- Nombre de la unidad administrativa solicitante.</w:t>
      </w:r>
    </w:p>
    <w:p w:rsidR="0078794A" w:rsidRDefault="002F1ED1">
      <w:pPr>
        <w:pStyle w:val="Prrafodelista"/>
        <w:spacing w:line="276" w:lineRule="auto"/>
        <w:rPr>
          <w:rFonts w:eastAsia="Palatino Linotype" w:cs="Palatino Linotype"/>
          <w:i/>
          <w:iCs/>
          <w:color w:val="000000"/>
        </w:rPr>
      </w:pPr>
      <w:r>
        <w:rPr>
          <w:rFonts w:eastAsia="Palatino Linotype" w:cs="Palatino Linotype"/>
          <w:i/>
          <w:iCs/>
          <w:color w:val="000000"/>
        </w:rPr>
        <w:t>C.- Responsable de la unidad administrativa solicitante.</w:t>
      </w:r>
    </w:p>
    <w:p w:rsidR="0078794A" w:rsidRDefault="002F1ED1">
      <w:pPr>
        <w:pStyle w:val="Prrafodelista"/>
        <w:spacing w:line="276" w:lineRule="auto"/>
        <w:rPr>
          <w:rFonts w:eastAsia="Palatino Linotype" w:cs="Palatino Linotype"/>
          <w:i/>
          <w:iCs/>
          <w:color w:val="000000"/>
        </w:rPr>
      </w:pPr>
      <w:r>
        <w:rPr>
          <w:rFonts w:eastAsia="Palatino Linotype" w:cs="Palatino Linotype"/>
          <w:i/>
          <w:iCs/>
          <w:color w:val="000000"/>
        </w:rPr>
        <w:t xml:space="preserve">D.- Código del expediente. </w:t>
      </w:r>
    </w:p>
    <w:p w:rsidR="0078794A" w:rsidRDefault="002F1ED1">
      <w:pPr>
        <w:pStyle w:val="Prrafodelista"/>
        <w:spacing w:line="276" w:lineRule="auto"/>
        <w:rPr>
          <w:rFonts w:eastAsia="Palatino Linotype" w:cs="Palatino Linotype"/>
          <w:i/>
          <w:iCs/>
          <w:color w:val="000000"/>
        </w:rPr>
      </w:pPr>
      <w:r>
        <w:rPr>
          <w:rFonts w:eastAsia="Palatino Linotype" w:cs="Palatino Linotype"/>
          <w:i/>
          <w:iCs/>
          <w:color w:val="000000"/>
        </w:rPr>
        <w:t xml:space="preserve">E.- Referencia del expediente. </w:t>
      </w:r>
    </w:p>
    <w:p w:rsidR="0078794A" w:rsidRDefault="002F1ED1">
      <w:pPr>
        <w:pStyle w:val="Prrafodelista"/>
        <w:spacing w:line="276" w:lineRule="auto"/>
        <w:rPr>
          <w:rFonts w:eastAsia="Palatino Linotype" w:cs="Palatino Linotype"/>
          <w:i/>
          <w:iCs/>
          <w:color w:val="000000"/>
        </w:rPr>
      </w:pPr>
      <w:r>
        <w:rPr>
          <w:rFonts w:eastAsia="Palatino Linotype" w:cs="Palatino Linotype"/>
          <w:i/>
          <w:iCs/>
          <w:color w:val="000000"/>
        </w:rPr>
        <w:t xml:space="preserve">F.- Título del expediente. </w:t>
      </w:r>
    </w:p>
    <w:p w:rsidR="0078794A" w:rsidRDefault="002F1ED1">
      <w:pPr>
        <w:pStyle w:val="Prrafodelista"/>
        <w:spacing w:line="276" w:lineRule="auto"/>
        <w:rPr>
          <w:rFonts w:eastAsia="Palatino Linotype" w:cs="Palatino Linotype"/>
          <w:i/>
          <w:iCs/>
          <w:color w:val="000000"/>
        </w:rPr>
      </w:pPr>
      <w:r>
        <w:rPr>
          <w:rFonts w:eastAsia="Palatino Linotype" w:cs="Palatino Linotype"/>
          <w:i/>
          <w:iCs/>
          <w:color w:val="000000"/>
        </w:rPr>
        <w:t xml:space="preserve">G.- Fundamento legal. </w:t>
      </w:r>
    </w:p>
    <w:p w:rsidR="0078794A" w:rsidRDefault="002F1ED1">
      <w:pPr>
        <w:pStyle w:val="Prrafodelista"/>
        <w:spacing w:line="276" w:lineRule="auto"/>
        <w:rPr>
          <w:rFonts w:eastAsia="Palatino Linotype" w:cs="Palatino Linotype"/>
          <w:i/>
          <w:iCs/>
          <w:color w:val="000000"/>
        </w:rPr>
      </w:pPr>
      <w:r>
        <w:rPr>
          <w:rFonts w:eastAsia="Palatino Linotype" w:cs="Palatino Linotype"/>
          <w:i/>
          <w:iCs/>
          <w:color w:val="000000"/>
        </w:rPr>
        <w:t xml:space="preserve">H.- Número del procedimiento. </w:t>
      </w:r>
    </w:p>
    <w:p w:rsidR="0078794A" w:rsidRDefault="002F1ED1">
      <w:pPr>
        <w:pStyle w:val="Prrafodelista"/>
        <w:spacing w:line="276" w:lineRule="auto"/>
        <w:rPr>
          <w:rFonts w:eastAsia="Palatino Linotype" w:cs="Palatino Linotype"/>
          <w:i/>
          <w:iCs/>
          <w:color w:val="000000"/>
        </w:rPr>
      </w:pPr>
      <w:r>
        <w:rPr>
          <w:rFonts w:eastAsia="Palatino Linotype" w:cs="Palatino Linotype"/>
          <w:i/>
          <w:iCs/>
          <w:color w:val="000000"/>
        </w:rPr>
        <w:t>I.- Fecha de fallo.</w:t>
      </w:r>
    </w:p>
    <w:p w:rsidR="0078794A" w:rsidRDefault="002F1ED1">
      <w:pPr>
        <w:pStyle w:val="Prrafodelista"/>
        <w:spacing w:line="276" w:lineRule="auto"/>
        <w:rPr>
          <w:rFonts w:eastAsia="Palatino Linotype" w:cs="Palatino Linotype"/>
          <w:i/>
          <w:iCs/>
          <w:color w:val="000000"/>
        </w:rPr>
      </w:pPr>
      <w:r>
        <w:rPr>
          <w:rFonts w:eastAsia="Palatino Linotype" w:cs="Palatino Linotype"/>
          <w:i/>
          <w:iCs/>
          <w:color w:val="000000"/>
        </w:rPr>
        <w:t xml:space="preserve">J.- Fecha de publicación. </w:t>
      </w:r>
    </w:p>
    <w:p w:rsidR="0078794A" w:rsidRDefault="002F1ED1">
      <w:pPr>
        <w:pStyle w:val="Prrafodelista"/>
        <w:spacing w:line="276" w:lineRule="auto"/>
        <w:rPr>
          <w:rFonts w:eastAsia="Palatino Linotype" w:cs="Palatino Linotype"/>
          <w:i/>
          <w:iCs/>
          <w:color w:val="000000"/>
        </w:rPr>
      </w:pPr>
      <w:r>
        <w:rPr>
          <w:rFonts w:eastAsia="Palatino Linotype" w:cs="Palatino Linotype"/>
          <w:i/>
          <w:iCs/>
          <w:color w:val="000000"/>
        </w:rPr>
        <w:t xml:space="preserve">K.- Tipo de contratación. </w:t>
      </w:r>
    </w:p>
    <w:p w:rsidR="0078794A" w:rsidRDefault="002F1ED1">
      <w:pPr>
        <w:pStyle w:val="Prrafodelista"/>
        <w:spacing w:line="276" w:lineRule="auto"/>
        <w:rPr>
          <w:rFonts w:eastAsia="Palatino Linotype" w:cs="Palatino Linotype"/>
          <w:i/>
          <w:iCs/>
          <w:color w:val="000000"/>
        </w:rPr>
      </w:pPr>
      <w:r>
        <w:rPr>
          <w:rFonts w:eastAsia="Palatino Linotype" w:cs="Palatino Linotype"/>
          <w:i/>
          <w:iCs/>
          <w:color w:val="000000"/>
        </w:rPr>
        <w:t xml:space="preserve">L.- Tipo de procedimiento. </w:t>
      </w:r>
    </w:p>
    <w:p w:rsidR="0078794A" w:rsidRDefault="002F1ED1">
      <w:pPr>
        <w:pStyle w:val="Prrafodelista"/>
        <w:spacing w:line="276" w:lineRule="auto"/>
        <w:rPr>
          <w:rFonts w:eastAsia="Palatino Linotype" w:cs="Palatino Linotype"/>
          <w:i/>
          <w:iCs/>
          <w:color w:val="000000"/>
        </w:rPr>
      </w:pPr>
      <w:r>
        <w:rPr>
          <w:rFonts w:eastAsia="Palatino Linotype" w:cs="Palatino Linotype"/>
          <w:i/>
          <w:iCs/>
          <w:color w:val="000000"/>
        </w:rPr>
        <w:t xml:space="preserve">M.- Título del contrato. </w:t>
      </w:r>
    </w:p>
    <w:p w:rsidR="0078794A" w:rsidRDefault="002F1ED1">
      <w:pPr>
        <w:pStyle w:val="Prrafodelista"/>
        <w:spacing w:line="276" w:lineRule="auto"/>
        <w:rPr>
          <w:rFonts w:eastAsia="Palatino Linotype" w:cs="Palatino Linotype"/>
          <w:i/>
          <w:iCs/>
          <w:color w:val="000000"/>
        </w:rPr>
      </w:pPr>
      <w:r>
        <w:rPr>
          <w:rFonts w:eastAsia="Palatino Linotype" w:cs="Palatino Linotype"/>
          <w:i/>
          <w:iCs/>
          <w:color w:val="000000"/>
        </w:rPr>
        <w:t xml:space="preserve">N.- Descripción del contrato. </w:t>
      </w:r>
    </w:p>
    <w:p w:rsidR="0078794A" w:rsidRDefault="002F1ED1">
      <w:pPr>
        <w:pStyle w:val="Prrafodelista"/>
        <w:spacing w:line="276" w:lineRule="auto"/>
        <w:rPr>
          <w:rFonts w:eastAsia="Palatino Linotype" w:cs="Palatino Linotype"/>
          <w:i/>
          <w:iCs/>
          <w:color w:val="000000"/>
        </w:rPr>
      </w:pPr>
      <w:r>
        <w:rPr>
          <w:rFonts w:eastAsia="Palatino Linotype" w:cs="Palatino Linotype"/>
          <w:i/>
          <w:iCs/>
          <w:color w:val="000000"/>
        </w:rPr>
        <w:t xml:space="preserve">O.- Importe del contrato. </w:t>
      </w:r>
    </w:p>
    <w:p w:rsidR="0078794A" w:rsidRDefault="002F1ED1">
      <w:pPr>
        <w:pStyle w:val="Prrafodelista"/>
        <w:spacing w:line="276" w:lineRule="auto"/>
        <w:rPr>
          <w:rFonts w:eastAsia="Palatino Linotype" w:cs="Palatino Linotype"/>
          <w:i/>
          <w:iCs/>
          <w:color w:val="000000"/>
        </w:rPr>
      </w:pPr>
      <w:r>
        <w:rPr>
          <w:rFonts w:eastAsia="Palatino Linotype" w:cs="Palatino Linotype"/>
          <w:i/>
          <w:iCs/>
          <w:color w:val="000000"/>
        </w:rPr>
        <w:t xml:space="preserve">P.- Convenio modificatorio. </w:t>
      </w:r>
    </w:p>
    <w:p w:rsidR="0078794A" w:rsidRDefault="002F1ED1">
      <w:pPr>
        <w:pStyle w:val="Prrafodelista"/>
        <w:spacing w:line="276" w:lineRule="auto"/>
        <w:rPr>
          <w:rFonts w:eastAsia="Palatino Linotype" w:cs="Palatino Linotype"/>
          <w:i/>
          <w:iCs/>
          <w:color w:val="000000"/>
        </w:rPr>
      </w:pPr>
      <w:r>
        <w:rPr>
          <w:rFonts w:eastAsia="Palatino Linotype" w:cs="Palatino Linotype"/>
          <w:i/>
          <w:iCs/>
          <w:color w:val="000000"/>
        </w:rPr>
        <w:t>Q.- Registro Federal de Contribuyente del proveedor o contratista.</w:t>
      </w:r>
    </w:p>
    <w:p w:rsidR="0078794A" w:rsidRDefault="002F1ED1">
      <w:pPr>
        <w:pStyle w:val="Prrafodelista"/>
        <w:spacing w:line="276" w:lineRule="auto"/>
        <w:rPr>
          <w:rFonts w:eastAsia="Palatino Linotype" w:cs="Palatino Linotype"/>
          <w:i/>
          <w:iCs/>
          <w:color w:val="000000"/>
        </w:rPr>
      </w:pPr>
      <w:r>
        <w:rPr>
          <w:rFonts w:eastAsia="Palatino Linotype" w:cs="Palatino Linotype"/>
          <w:i/>
          <w:iCs/>
          <w:color w:val="000000"/>
        </w:rPr>
        <w:t>R.- Proveedor o contratista.</w:t>
      </w:r>
    </w:p>
    <w:p w:rsidR="0078794A" w:rsidRDefault="002F1ED1">
      <w:pPr>
        <w:pStyle w:val="Prrafodelista"/>
        <w:spacing w:line="276" w:lineRule="auto"/>
        <w:rPr>
          <w:rFonts w:eastAsia="Palatino Linotype" w:cs="Palatino Linotype"/>
          <w:i/>
          <w:iCs/>
          <w:color w:val="000000"/>
        </w:rPr>
      </w:pPr>
      <w:r>
        <w:rPr>
          <w:rFonts w:eastAsia="Palatino Linotype" w:cs="Palatino Linotype"/>
          <w:i/>
          <w:iCs/>
          <w:color w:val="000000"/>
        </w:rPr>
        <w:t>S.- Dirección del anuncio.</w:t>
      </w:r>
    </w:p>
    <w:p w:rsidR="0078794A" w:rsidRDefault="0078794A">
      <w:pPr>
        <w:pStyle w:val="Prrafodelista"/>
        <w:spacing w:line="276" w:lineRule="auto"/>
        <w:rPr>
          <w:rFonts w:eastAsia="Palatino Linotype" w:cs="Palatino Linotype"/>
          <w:i/>
          <w:iCs/>
          <w:color w:val="000000"/>
        </w:rPr>
      </w:pPr>
    </w:p>
    <w:p w:rsidR="0078794A" w:rsidRDefault="002F1ED1">
      <w:pPr>
        <w:pStyle w:val="Prrafodelista"/>
        <w:numPr>
          <w:ilvl w:val="0"/>
          <w:numId w:val="5"/>
        </w:numPr>
        <w:spacing w:line="276" w:lineRule="auto"/>
        <w:rPr>
          <w:rFonts w:eastAsia="Palatino Linotype" w:cs="Palatino Linotype"/>
          <w:i/>
          <w:iCs/>
          <w:color w:val="000000"/>
        </w:rPr>
      </w:pPr>
      <w:r>
        <w:rPr>
          <w:rFonts w:eastAsia="Palatino Linotype" w:cs="Palatino Linotype"/>
          <w:i/>
          <w:iCs/>
        </w:rPr>
        <w:lastRenderedPageBreak/>
        <w:t>De los contratos de licitación pública e invitación a cuando menos tres personas generados en los años 2012, 2013, 2014, 2015, 2016, 2017, 2018 y 2019, documentos en donde conste lo siguiente:</w:t>
      </w:r>
    </w:p>
    <w:p w:rsidR="0078794A" w:rsidRDefault="0078794A">
      <w:pPr>
        <w:pStyle w:val="Prrafodelista"/>
        <w:spacing w:line="276" w:lineRule="auto"/>
        <w:rPr>
          <w:rFonts w:eastAsia="Palatino Linotype" w:cs="Palatino Linotype"/>
          <w:i/>
          <w:iCs/>
          <w:color w:val="000000"/>
        </w:rPr>
      </w:pPr>
    </w:p>
    <w:p w:rsidR="0078794A" w:rsidRDefault="002F1ED1">
      <w:pPr>
        <w:pStyle w:val="Prrafodelista"/>
        <w:spacing w:line="276" w:lineRule="auto"/>
        <w:rPr>
          <w:rFonts w:eastAsia="Palatino Linotype" w:cs="Palatino Linotype"/>
          <w:i/>
          <w:iCs/>
          <w:color w:val="000000"/>
        </w:rPr>
      </w:pPr>
      <w:r>
        <w:rPr>
          <w:rFonts w:eastAsia="Palatino Linotype" w:cs="Palatino Linotype"/>
          <w:i/>
          <w:iCs/>
          <w:color w:val="000000"/>
        </w:rPr>
        <w:t>A.- Institución.</w:t>
      </w:r>
    </w:p>
    <w:p w:rsidR="0078794A" w:rsidRDefault="002F1ED1">
      <w:pPr>
        <w:pStyle w:val="Prrafodelista"/>
        <w:spacing w:line="276" w:lineRule="auto"/>
        <w:rPr>
          <w:rFonts w:eastAsia="Palatino Linotype" w:cs="Palatino Linotype"/>
          <w:i/>
          <w:iCs/>
          <w:color w:val="000000"/>
        </w:rPr>
      </w:pPr>
      <w:r>
        <w:rPr>
          <w:rFonts w:eastAsia="Palatino Linotype" w:cs="Palatino Linotype"/>
          <w:i/>
          <w:iCs/>
          <w:color w:val="000000"/>
        </w:rPr>
        <w:t>B.- Nombre de la unidad administrativa solicitante.</w:t>
      </w:r>
    </w:p>
    <w:p w:rsidR="0078794A" w:rsidRDefault="002F1ED1">
      <w:pPr>
        <w:pStyle w:val="Prrafodelista"/>
        <w:spacing w:line="276" w:lineRule="auto"/>
        <w:rPr>
          <w:rFonts w:eastAsia="Palatino Linotype" w:cs="Palatino Linotype"/>
          <w:i/>
          <w:iCs/>
          <w:color w:val="000000"/>
        </w:rPr>
      </w:pPr>
      <w:r>
        <w:rPr>
          <w:rFonts w:eastAsia="Palatino Linotype" w:cs="Palatino Linotype"/>
          <w:i/>
          <w:iCs/>
          <w:color w:val="000000"/>
        </w:rPr>
        <w:t>C.- Responsable de la unidad administrativa solicitante.</w:t>
      </w:r>
    </w:p>
    <w:p w:rsidR="0078794A" w:rsidRDefault="002F1ED1">
      <w:pPr>
        <w:pStyle w:val="Prrafodelista"/>
        <w:spacing w:line="276" w:lineRule="auto"/>
        <w:rPr>
          <w:rFonts w:eastAsia="Palatino Linotype" w:cs="Palatino Linotype"/>
          <w:i/>
          <w:iCs/>
          <w:color w:val="000000"/>
        </w:rPr>
      </w:pPr>
      <w:r>
        <w:rPr>
          <w:rFonts w:eastAsia="Palatino Linotype" w:cs="Palatino Linotype"/>
          <w:i/>
          <w:iCs/>
          <w:color w:val="000000"/>
        </w:rPr>
        <w:t xml:space="preserve">D.- Código del expediente. </w:t>
      </w:r>
    </w:p>
    <w:p w:rsidR="0078794A" w:rsidRDefault="002F1ED1">
      <w:pPr>
        <w:pStyle w:val="Prrafodelista"/>
        <w:spacing w:line="276" w:lineRule="auto"/>
        <w:rPr>
          <w:rFonts w:eastAsia="Palatino Linotype" w:cs="Palatino Linotype"/>
          <w:i/>
          <w:iCs/>
          <w:color w:val="000000"/>
        </w:rPr>
      </w:pPr>
      <w:r>
        <w:rPr>
          <w:rFonts w:eastAsia="Palatino Linotype" w:cs="Palatino Linotype"/>
          <w:i/>
          <w:iCs/>
          <w:color w:val="000000"/>
        </w:rPr>
        <w:t xml:space="preserve">E.- Referencia del expediente. </w:t>
      </w:r>
    </w:p>
    <w:p w:rsidR="0078794A" w:rsidRDefault="002F1ED1">
      <w:pPr>
        <w:pStyle w:val="Prrafodelista"/>
        <w:spacing w:line="276" w:lineRule="auto"/>
        <w:rPr>
          <w:rFonts w:eastAsia="Palatino Linotype" w:cs="Palatino Linotype"/>
          <w:i/>
          <w:iCs/>
          <w:color w:val="000000"/>
        </w:rPr>
      </w:pPr>
      <w:r>
        <w:rPr>
          <w:rFonts w:eastAsia="Palatino Linotype" w:cs="Palatino Linotype"/>
          <w:i/>
          <w:iCs/>
          <w:color w:val="000000"/>
        </w:rPr>
        <w:t xml:space="preserve">F.- Título del expediente. </w:t>
      </w:r>
    </w:p>
    <w:p w:rsidR="0078794A" w:rsidRDefault="002F1ED1">
      <w:pPr>
        <w:pStyle w:val="Prrafodelista"/>
        <w:spacing w:line="276" w:lineRule="auto"/>
        <w:rPr>
          <w:rFonts w:eastAsia="Palatino Linotype" w:cs="Palatino Linotype"/>
          <w:i/>
          <w:iCs/>
          <w:color w:val="000000"/>
        </w:rPr>
      </w:pPr>
      <w:r>
        <w:rPr>
          <w:rFonts w:eastAsia="Palatino Linotype" w:cs="Palatino Linotype"/>
          <w:i/>
          <w:iCs/>
          <w:color w:val="000000"/>
        </w:rPr>
        <w:t xml:space="preserve">G.- Fundamento legal. </w:t>
      </w:r>
    </w:p>
    <w:p w:rsidR="0078794A" w:rsidRDefault="002F1ED1">
      <w:pPr>
        <w:pStyle w:val="Prrafodelista"/>
        <w:spacing w:line="276" w:lineRule="auto"/>
        <w:rPr>
          <w:rFonts w:eastAsia="Palatino Linotype" w:cs="Palatino Linotype"/>
          <w:i/>
          <w:iCs/>
          <w:color w:val="000000"/>
        </w:rPr>
      </w:pPr>
      <w:r>
        <w:rPr>
          <w:rFonts w:eastAsia="Palatino Linotype" w:cs="Palatino Linotype"/>
          <w:i/>
          <w:iCs/>
          <w:color w:val="000000"/>
        </w:rPr>
        <w:t xml:space="preserve">H.- Número del procedimiento. </w:t>
      </w:r>
    </w:p>
    <w:p w:rsidR="0078794A" w:rsidRDefault="002F1ED1">
      <w:pPr>
        <w:pStyle w:val="Prrafodelista"/>
        <w:spacing w:line="276" w:lineRule="auto"/>
        <w:rPr>
          <w:rFonts w:eastAsia="Palatino Linotype" w:cs="Palatino Linotype"/>
          <w:i/>
          <w:iCs/>
          <w:color w:val="000000"/>
        </w:rPr>
      </w:pPr>
      <w:r>
        <w:rPr>
          <w:rFonts w:eastAsia="Palatino Linotype" w:cs="Palatino Linotype"/>
          <w:i/>
          <w:iCs/>
          <w:color w:val="000000"/>
        </w:rPr>
        <w:t>I.- Fecha de fallo.</w:t>
      </w:r>
    </w:p>
    <w:p w:rsidR="0078794A" w:rsidRDefault="002F1ED1">
      <w:pPr>
        <w:pStyle w:val="Prrafodelista"/>
        <w:spacing w:line="276" w:lineRule="auto"/>
        <w:rPr>
          <w:rFonts w:eastAsia="Palatino Linotype" w:cs="Palatino Linotype"/>
          <w:i/>
          <w:iCs/>
          <w:color w:val="000000"/>
        </w:rPr>
      </w:pPr>
      <w:r>
        <w:rPr>
          <w:rFonts w:eastAsia="Palatino Linotype" w:cs="Palatino Linotype"/>
          <w:i/>
          <w:iCs/>
          <w:color w:val="000000"/>
        </w:rPr>
        <w:t xml:space="preserve">J.- Fecha de publicación. </w:t>
      </w:r>
    </w:p>
    <w:p w:rsidR="0078794A" w:rsidRDefault="002F1ED1">
      <w:pPr>
        <w:pStyle w:val="Prrafodelista"/>
        <w:spacing w:line="276" w:lineRule="auto"/>
        <w:rPr>
          <w:rFonts w:eastAsia="Palatino Linotype" w:cs="Palatino Linotype"/>
          <w:i/>
          <w:iCs/>
          <w:color w:val="000000"/>
        </w:rPr>
      </w:pPr>
      <w:r>
        <w:rPr>
          <w:rFonts w:eastAsia="Palatino Linotype" w:cs="Palatino Linotype"/>
          <w:i/>
          <w:iCs/>
          <w:color w:val="000000"/>
        </w:rPr>
        <w:t xml:space="preserve">K.- Tipo de contratación. </w:t>
      </w:r>
    </w:p>
    <w:p w:rsidR="0078794A" w:rsidRDefault="002F1ED1">
      <w:pPr>
        <w:pStyle w:val="Prrafodelista"/>
        <w:spacing w:line="276" w:lineRule="auto"/>
        <w:rPr>
          <w:rFonts w:eastAsia="Palatino Linotype" w:cs="Palatino Linotype"/>
          <w:i/>
          <w:iCs/>
          <w:color w:val="000000"/>
        </w:rPr>
      </w:pPr>
      <w:r>
        <w:rPr>
          <w:rFonts w:eastAsia="Palatino Linotype" w:cs="Palatino Linotype"/>
          <w:i/>
          <w:iCs/>
          <w:color w:val="000000"/>
        </w:rPr>
        <w:t xml:space="preserve">L.- Tipo de procedimiento. </w:t>
      </w:r>
    </w:p>
    <w:p w:rsidR="0078794A" w:rsidRDefault="002F1ED1">
      <w:pPr>
        <w:pStyle w:val="Prrafodelista"/>
        <w:spacing w:line="276" w:lineRule="auto"/>
        <w:rPr>
          <w:rFonts w:eastAsia="Palatino Linotype" w:cs="Palatino Linotype"/>
          <w:i/>
          <w:iCs/>
          <w:color w:val="000000"/>
        </w:rPr>
      </w:pPr>
      <w:r>
        <w:rPr>
          <w:rFonts w:eastAsia="Palatino Linotype" w:cs="Palatino Linotype"/>
          <w:i/>
          <w:iCs/>
          <w:color w:val="000000"/>
        </w:rPr>
        <w:t xml:space="preserve">M.- Título del contrato. </w:t>
      </w:r>
    </w:p>
    <w:p w:rsidR="0078794A" w:rsidRDefault="002F1ED1">
      <w:pPr>
        <w:pStyle w:val="Prrafodelista"/>
        <w:spacing w:line="276" w:lineRule="auto"/>
        <w:rPr>
          <w:rFonts w:eastAsia="Palatino Linotype" w:cs="Palatino Linotype"/>
          <w:i/>
          <w:iCs/>
          <w:color w:val="000000"/>
        </w:rPr>
      </w:pPr>
      <w:r>
        <w:rPr>
          <w:rFonts w:eastAsia="Palatino Linotype" w:cs="Palatino Linotype"/>
          <w:i/>
          <w:iCs/>
          <w:color w:val="000000"/>
        </w:rPr>
        <w:t xml:space="preserve">N.- Descripción del contrato. </w:t>
      </w:r>
    </w:p>
    <w:p w:rsidR="0078794A" w:rsidRDefault="002F1ED1">
      <w:pPr>
        <w:pStyle w:val="Prrafodelista"/>
        <w:spacing w:line="276" w:lineRule="auto"/>
        <w:rPr>
          <w:rFonts w:eastAsia="Palatino Linotype" w:cs="Palatino Linotype"/>
          <w:i/>
          <w:iCs/>
          <w:color w:val="000000"/>
        </w:rPr>
      </w:pPr>
      <w:r>
        <w:rPr>
          <w:rFonts w:eastAsia="Palatino Linotype" w:cs="Palatino Linotype"/>
          <w:i/>
          <w:iCs/>
          <w:color w:val="000000"/>
        </w:rPr>
        <w:t xml:space="preserve">O.- Importe del contrato. </w:t>
      </w:r>
    </w:p>
    <w:p w:rsidR="0078794A" w:rsidRDefault="002F1ED1">
      <w:pPr>
        <w:pStyle w:val="Prrafodelista"/>
        <w:spacing w:line="276" w:lineRule="auto"/>
        <w:rPr>
          <w:rFonts w:eastAsia="Palatino Linotype" w:cs="Palatino Linotype"/>
          <w:i/>
          <w:iCs/>
          <w:color w:val="000000"/>
        </w:rPr>
      </w:pPr>
      <w:r>
        <w:rPr>
          <w:rFonts w:eastAsia="Palatino Linotype" w:cs="Palatino Linotype"/>
          <w:i/>
          <w:iCs/>
          <w:color w:val="000000"/>
        </w:rPr>
        <w:t xml:space="preserve">P.- Convenio modificatorio. </w:t>
      </w:r>
    </w:p>
    <w:p w:rsidR="0078794A" w:rsidRDefault="002F1ED1">
      <w:pPr>
        <w:pStyle w:val="Prrafodelista"/>
        <w:spacing w:line="276" w:lineRule="auto"/>
        <w:rPr>
          <w:rFonts w:eastAsia="Palatino Linotype" w:cs="Palatino Linotype"/>
          <w:i/>
          <w:iCs/>
          <w:color w:val="000000"/>
        </w:rPr>
      </w:pPr>
      <w:r>
        <w:rPr>
          <w:rFonts w:eastAsia="Palatino Linotype" w:cs="Palatino Linotype"/>
          <w:i/>
          <w:iCs/>
          <w:color w:val="000000"/>
        </w:rPr>
        <w:t>Q.- Registro Federal de Contribuyente del proveedor o contratista.</w:t>
      </w:r>
    </w:p>
    <w:p w:rsidR="0078794A" w:rsidRDefault="002F1ED1">
      <w:pPr>
        <w:pStyle w:val="Prrafodelista"/>
        <w:spacing w:line="276" w:lineRule="auto"/>
        <w:rPr>
          <w:rFonts w:eastAsia="Palatino Linotype" w:cs="Palatino Linotype"/>
          <w:i/>
          <w:iCs/>
          <w:color w:val="000000"/>
        </w:rPr>
      </w:pPr>
      <w:r>
        <w:rPr>
          <w:rFonts w:eastAsia="Palatino Linotype" w:cs="Palatino Linotype"/>
          <w:i/>
          <w:iCs/>
          <w:color w:val="000000"/>
        </w:rPr>
        <w:t>R.- Proveedor o contratista.</w:t>
      </w:r>
    </w:p>
    <w:p w:rsidR="0078794A" w:rsidRDefault="002F1ED1">
      <w:pPr>
        <w:pStyle w:val="Prrafodelista"/>
        <w:spacing w:line="276" w:lineRule="auto"/>
        <w:rPr>
          <w:rFonts w:eastAsia="Palatino Linotype" w:cs="Palatino Linotype"/>
          <w:i/>
          <w:iCs/>
          <w:color w:val="000000"/>
        </w:rPr>
      </w:pPr>
      <w:r>
        <w:rPr>
          <w:rFonts w:eastAsia="Palatino Linotype" w:cs="Palatino Linotype"/>
          <w:i/>
          <w:iCs/>
          <w:color w:val="000000"/>
        </w:rPr>
        <w:t>S.- Dirección del anuncio.</w:t>
      </w:r>
    </w:p>
    <w:p w:rsidR="0078794A" w:rsidRDefault="0078794A">
      <w:pPr>
        <w:pStyle w:val="Prrafodelista"/>
        <w:spacing w:line="276" w:lineRule="auto"/>
        <w:rPr>
          <w:rFonts w:eastAsia="Palatino Linotype" w:cs="Palatino Linotype"/>
          <w:i/>
          <w:iCs/>
          <w:color w:val="000000"/>
        </w:rPr>
      </w:pPr>
    </w:p>
    <w:p w:rsidR="0078794A" w:rsidRDefault="002F1ED1">
      <w:pPr>
        <w:pStyle w:val="Prrafodelista"/>
        <w:numPr>
          <w:ilvl w:val="0"/>
          <w:numId w:val="5"/>
        </w:numPr>
        <w:spacing w:line="276" w:lineRule="auto"/>
        <w:rPr>
          <w:rFonts w:eastAsia="Palatino Linotype" w:cs="Palatino Linotype"/>
          <w:i/>
          <w:iCs/>
          <w:color w:val="000000"/>
        </w:rPr>
      </w:pPr>
      <w:r>
        <w:rPr>
          <w:rFonts w:eastAsia="Palatino Linotype" w:cs="Palatino Linotype"/>
          <w:i/>
          <w:iCs/>
        </w:rPr>
        <w:t>Padrón de proveedores generado del primero de enero del dos mil doce al veintinueve de abril de dos mil veintidós.</w:t>
      </w:r>
    </w:p>
    <w:p w:rsidR="0078794A" w:rsidRDefault="0078794A">
      <w:pPr>
        <w:rPr>
          <w:szCs w:val="24"/>
        </w:rPr>
      </w:pPr>
    </w:p>
    <w:p w:rsidR="0078794A" w:rsidRDefault="002F1ED1">
      <w:pPr>
        <w:rPr>
          <w:rFonts w:eastAsia="Palatino Linotype" w:cs="Palatino Linotype"/>
          <w:color w:val="000000"/>
          <w:szCs w:val="24"/>
        </w:rPr>
      </w:pPr>
      <w:r>
        <w:rPr>
          <w:rFonts w:eastAsia="Palatino Linotype" w:cs="Palatino Linotype"/>
          <w:color w:val="000000"/>
          <w:szCs w:val="24"/>
        </w:rPr>
        <w:t xml:space="preserve">De ser necesario y como sustento de la versión pública, se deberá entregar el Acuerdo del Comité de Transparencia correspondiente, en términos del artículo 49, fracción VIII y 132, fracción II, de la Ley de Transparencia y Acceso a la Información Pública del Estado de </w:t>
      </w:r>
      <w:r>
        <w:rPr>
          <w:rFonts w:eastAsia="Palatino Linotype" w:cs="Palatino Linotype"/>
          <w:color w:val="000000"/>
          <w:szCs w:val="24"/>
        </w:rPr>
        <w:lastRenderedPageBreak/>
        <w:t>México y Municipios, en el que funde y motive las razones sobre los datos que se supriman o eliminen dentro de los documentos respectivos, y se ponga a disposición del Recurrente.</w:t>
      </w:r>
    </w:p>
    <w:p w:rsidR="0078794A" w:rsidRDefault="0078794A">
      <w:pPr>
        <w:rPr>
          <w:rFonts w:eastAsia="Palatino Linotype" w:cs="Palatino Linotype"/>
          <w:color w:val="000000"/>
          <w:szCs w:val="24"/>
        </w:rPr>
      </w:pPr>
    </w:p>
    <w:p w:rsidR="0078794A" w:rsidRDefault="002F1ED1">
      <w:pPr>
        <w:rPr>
          <w:rFonts w:eastAsia="Palatino Linotype" w:cs="Palatino Linotype"/>
          <w:color w:val="000000"/>
          <w:szCs w:val="24"/>
        </w:rPr>
      </w:pPr>
      <w:r>
        <w:rPr>
          <w:rFonts w:eastAsia="Palatino Linotype" w:cs="Palatino Linotype"/>
          <w:color w:val="000000"/>
          <w:szCs w:val="24"/>
        </w:rPr>
        <w:t>En el supuesto de que la información ordenada no se localice en los archivos de las áreas del Sujeto Obligado, se deberá hacer entrega del acuerdo que emita el Comité de Transparencia con el que se confirme la declaración de inexistencia de la información.</w:t>
      </w:r>
    </w:p>
    <w:p w:rsidR="0078794A" w:rsidRDefault="0078794A">
      <w:pPr>
        <w:rPr>
          <w:rFonts w:eastAsia="Palatino Linotype" w:cs="Palatino Linotype"/>
          <w:b/>
          <w:color w:val="000000"/>
          <w:sz w:val="20"/>
          <w:szCs w:val="20"/>
        </w:rPr>
      </w:pPr>
    </w:p>
    <w:p w:rsidR="0078794A" w:rsidRDefault="002F1ED1">
      <w:pPr>
        <w:rPr>
          <w:rFonts w:eastAsia="Palatino Linotype" w:cs="Palatino Linotype"/>
          <w:color w:val="000000"/>
          <w:szCs w:val="24"/>
        </w:rPr>
      </w:pPr>
      <w:r>
        <w:rPr>
          <w:rFonts w:eastAsia="Palatino Linotype" w:cs="Palatino Linotype"/>
          <w:b/>
          <w:color w:val="000000"/>
          <w:szCs w:val="24"/>
        </w:rPr>
        <w:t>TERCERO. Notifíquese</w:t>
      </w:r>
      <w:r>
        <w:rPr>
          <w:rFonts w:eastAsia="Palatino Linotype" w:cs="Palatino Linotype"/>
          <w:b/>
          <w:i/>
          <w:color w:val="000000"/>
          <w:szCs w:val="24"/>
        </w:rPr>
        <w:t xml:space="preserve"> </w:t>
      </w:r>
      <w:r>
        <w:rPr>
          <w:rFonts w:eastAsia="Palatino Linotype" w:cs="Palatino Linotype"/>
          <w:color w:val="000000"/>
          <w:szCs w:val="24"/>
        </w:rPr>
        <w:t>al Titular de la Unidad de Transparencia del</w:t>
      </w:r>
      <w:r>
        <w:rPr>
          <w:rFonts w:eastAsia="Palatino Linotype" w:cs="Palatino Linotype"/>
          <w:b/>
          <w:color w:val="000000"/>
          <w:szCs w:val="24"/>
        </w:rPr>
        <w:t xml:space="preserve"> </w:t>
      </w:r>
      <w:r>
        <w:rPr>
          <w:rFonts w:eastAsia="Palatino Linotype" w:cs="Palatino Linotype"/>
          <w:color w:val="000000"/>
          <w:szCs w:val="24"/>
        </w:rPr>
        <w:t>Sujeto Obligado, por medio del Sistema de Acceso a la Información Mexiquense (SAIMEX) para que, conforme a los artículos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78794A" w:rsidRDefault="0078794A">
      <w:pPr>
        <w:rPr>
          <w:rFonts w:eastAsia="Palatino Linotype" w:cs="Palatino Linotype"/>
          <w:color w:val="000000"/>
          <w:szCs w:val="24"/>
        </w:rPr>
      </w:pPr>
    </w:p>
    <w:p w:rsidR="0078794A" w:rsidRDefault="002F1ED1">
      <w:pPr>
        <w:rPr>
          <w:rFonts w:eastAsia="Palatino Linotype" w:cs="Palatino Linotype"/>
          <w:color w:val="000000"/>
          <w:szCs w:val="24"/>
        </w:rPr>
      </w:pPr>
      <w:r>
        <w:rPr>
          <w:rFonts w:eastAsia="Palatino Linotype" w:cs="Palatino Linotype"/>
          <w:b/>
          <w:color w:val="000000"/>
          <w:szCs w:val="24"/>
        </w:rPr>
        <w:t xml:space="preserve">CUARTO. </w:t>
      </w:r>
      <w:r>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78794A" w:rsidRDefault="0078794A">
      <w:pPr>
        <w:rPr>
          <w:rFonts w:eastAsia="Palatino Linotype" w:cs="Palatino Linotype"/>
          <w:b/>
          <w:color w:val="000000"/>
          <w:szCs w:val="24"/>
        </w:rPr>
      </w:pPr>
    </w:p>
    <w:p w:rsidR="0078794A" w:rsidRDefault="002F1ED1">
      <w:pPr>
        <w:contextualSpacing/>
        <w:rPr>
          <w:rFonts w:eastAsia="Palatino Linotype" w:cs="Palatino Linotype"/>
          <w:color w:val="000000"/>
          <w:szCs w:val="24"/>
        </w:rPr>
      </w:pPr>
      <w:r>
        <w:rPr>
          <w:rFonts w:eastAsia="Palatino Linotype" w:cs="Palatino Linotype"/>
          <w:b/>
          <w:color w:val="000000"/>
          <w:szCs w:val="24"/>
        </w:rPr>
        <w:t xml:space="preserve">QUINTO. Notifíquese </w:t>
      </w:r>
      <w:r>
        <w:rPr>
          <w:rFonts w:eastAsia="Palatino Linotype" w:cs="Palatino Linotype"/>
          <w:color w:val="000000"/>
          <w:szCs w:val="24"/>
        </w:rPr>
        <w:t xml:space="preserve">la presente resolución al Recurrente mediante el Sistema de Acceso a la Información Mexiquense (SAIMEX) y hágase de su conocimiento que, en caso de considerar que la presente resolución le cause algún perjuicio, podrá promover el </w:t>
      </w:r>
      <w:r>
        <w:rPr>
          <w:rFonts w:eastAsia="Palatino Linotype" w:cs="Palatino Linotype"/>
          <w:color w:val="000000"/>
          <w:szCs w:val="24"/>
        </w:rPr>
        <w:lastRenderedPageBreak/>
        <w:t>Juicio de Amparo en los términos de las leyes aplicables,</w:t>
      </w:r>
      <w:r>
        <w:rPr>
          <w:rFonts w:eastAsia="Palatino Linotype" w:cs="Palatino Linotype"/>
          <w:color w:val="000000"/>
          <w:szCs w:val="24"/>
          <w:highlight w:val="white"/>
        </w:rPr>
        <w:t xml:space="preserve"> de conformidad con lo establecido en el artículo 196 de la Ley de Transparencia y Acceso a la Información Pública del Estado de México y Municipios.</w:t>
      </w:r>
    </w:p>
    <w:p w:rsidR="0078794A" w:rsidRDefault="0078794A">
      <w:pPr>
        <w:contextualSpacing/>
        <w:rPr>
          <w:rFonts w:eastAsia="Palatino Linotype" w:cs="Palatino Linotype"/>
          <w:color w:val="000000"/>
          <w:szCs w:val="24"/>
        </w:rPr>
      </w:pPr>
    </w:p>
    <w:p w:rsidR="0078794A" w:rsidRDefault="002F1ED1">
      <w:pPr>
        <w:contextualSpacing/>
        <w:rPr>
          <w:rFonts w:eastAsia="Palatino Linotype" w:cs="Palatino Linotype"/>
          <w:color w:val="000000"/>
          <w:szCs w:val="24"/>
        </w:rPr>
      </w:pPr>
      <w:r>
        <w:rPr>
          <w:rFonts w:eastAsia="Palatino Linotype" w:cs="Palatino Linotype"/>
          <w:color w:val="000000"/>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SEGUNDA SESIÓN ORDINARIA CELEBRADA SIETE DE SEPTIEMBRE DE DOS MIL VEINTIDÓS, ANTE EL SECRETARIO TÉCNICO DEL PLENO, ALEXIS TAPIA RAMÍREZ.------------------------------------------------------------------------------------------------------------------------------------------------------------------------------------------------------------------------------------------------------------------------------------------------------------------------------------------------------------------------------------------------------------------------------------------------------------------------------------------------------------------------------------------------------------------------------------------------------------------------------------------------------------------------------------------------------------------------------------------------------------------------------------------------------------------------------------------------------------------------------------------------------------------------------------------------------------------------------------------------------------------------------------------------------------------------------------------------------------------------------------------------------------------------------------------------------------------------------------------------------------------------------------------------------------------------</w:t>
      </w:r>
    </w:p>
    <w:p w:rsidR="0078794A" w:rsidRDefault="002F1ED1">
      <w:pPr>
        <w:spacing w:line="240" w:lineRule="auto"/>
        <w:contextualSpacing/>
        <w:rPr>
          <w:rFonts w:eastAsia="Palatino Linotype" w:cs="Palatino Linotype"/>
          <w:color w:val="000000"/>
          <w:sz w:val="20"/>
          <w:szCs w:val="20"/>
        </w:rPr>
      </w:pPr>
      <w:r>
        <w:rPr>
          <w:rFonts w:eastAsia="Palatino Linotype" w:cs="Palatino Linotype"/>
          <w:color w:val="000000"/>
          <w:sz w:val="20"/>
          <w:szCs w:val="20"/>
        </w:rPr>
        <w:t>JMV/CCR/fzh</w:t>
      </w:r>
    </w:p>
    <w:p w:rsidR="0078794A" w:rsidRDefault="0078794A">
      <w:pPr>
        <w:contextualSpacing/>
        <w:rPr>
          <w:rFonts w:eastAsia="Palatino Linotype" w:cs="Palatino Linotype"/>
          <w:color w:val="000000"/>
          <w:sz w:val="20"/>
          <w:szCs w:val="20"/>
        </w:rPr>
      </w:pPr>
    </w:p>
    <w:p w:rsidR="0078794A" w:rsidRDefault="0078794A">
      <w:pPr>
        <w:contextualSpacing/>
        <w:rPr>
          <w:rFonts w:eastAsia="Palatino Linotype" w:cs="Palatino Linotype"/>
          <w:color w:val="000000"/>
          <w:sz w:val="20"/>
          <w:szCs w:val="20"/>
        </w:rPr>
      </w:pPr>
    </w:p>
    <w:p w:rsidR="0078794A" w:rsidRDefault="0078794A">
      <w:pPr>
        <w:contextualSpacing/>
        <w:rPr>
          <w:rFonts w:eastAsia="Palatino Linotype" w:cs="Palatino Linotype"/>
          <w:color w:val="000000"/>
          <w:sz w:val="20"/>
          <w:szCs w:val="20"/>
        </w:rPr>
      </w:pPr>
    </w:p>
    <w:p w:rsidR="0078794A" w:rsidRDefault="0078794A">
      <w:pPr>
        <w:contextualSpacing/>
        <w:rPr>
          <w:rFonts w:eastAsia="Palatino Linotype" w:cs="Palatino Linotype"/>
          <w:color w:val="000000"/>
          <w:sz w:val="20"/>
          <w:szCs w:val="20"/>
        </w:rPr>
      </w:pPr>
    </w:p>
    <w:p w:rsidR="0078794A" w:rsidRDefault="0078794A">
      <w:pPr>
        <w:contextualSpacing/>
        <w:rPr>
          <w:rFonts w:eastAsia="Palatino Linotype" w:cs="Palatino Linotype"/>
          <w:color w:val="000000"/>
          <w:sz w:val="20"/>
          <w:szCs w:val="20"/>
        </w:rPr>
      </w:pPr>
    </w:p>
    <w:p w:rsidR="0078794A" w:rsidRDefault="0078794A">
      <w:pPr>
        <w:contextualSpacing/>
        <w:rPr>
          <w:rFonts w:eastAsia="Palatino Linotype" w:cs="Palatino Linotype"/>
          <w:color w:val="000000"/>
          <w:sz w:val="20"/>
          <w:szCs w:val="20"/>
        </w:rPr>
      </w:pPr>
    </w:p>
    <w:p w:rsidR="0078794A" w:rsidRDefault="0078794A">
      <w:pPr>
        <w:contextualSpacing/>
        <w:rPr>
          <w:rFonts w:eastAsia="Palatino Linotype" w:cs="Palatino Linotype"/>
          <w:color w:val="000000"/>
          <w:sz w:val="20"/>
          <w:szCs w:val="20"/>
        </w:rPr>
      </w:pPr>
    </w:p>
    <w:p w:rsidR="0078794A" w:rsidRDefault="0078794A">
      <w:pPr>
        <w:contextualSpacing/>
        <w:rPr>
          <w:rFonts w:eastAsia="Palatino Linotype" w:cs="Palatino Linotype"/>
          <w:color w:val="000000"/>
          <w:sz w:val="20"/>
          <w:szCs w:val="20"/>
        </w:rPr>
      </w:pPr>
    </w:p>
    <w:p w:rsidR="0078794A" w:rsidRDefault="0078794A">
      <w:pPr>
        <w:contextualSpacing/>
        <w:rPr>
          <w:rFonts w:eastAsia="Palatino Linotype" w:cs="Palatino Linotype"/>
          <w:color w:val="000000"/>
          <w:sz w:val="20"/>
          <w:szCs w:val="20"/>
        </w:rPr>
      </w:pPr>
    </w:p>
    <w:p w:rsidR="0078794A" w:rsidRDefault="0078794A"/>
    <w:sectPr w:rsidR="0078794A">
      <w:headerReference w:type="even" r:id="rId36"/>
      <w:headerReference w:type="default" r:id="rId37"/>
      <w:footerReference w:type="default" r:id="rId38"/>
      <w:headerReference w:type="first" r:id="rId39"/>
      <w:footerReference w:type="first" r:id="rId40"/>
      <w:pgSz w:w="12240" w:h="15840"/>
      <w:pgMar w:top="2977" w:right="1134" w:bottom="1235"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1ED1" w:rsidRDefault="002F1ED1">
      <w:pPr>
        <w:spacing w:line="240" w:lineRule="auto"/>
      </w:pPr>
      <w:r>
        <w:separator/>
      </w:r>
    </w:p>
  </w:endnote>
  <w:endnote w:type="continuationSeparator" w:id="0">
    <w:p w:rsidR="002F1ED1" w:rsidRDefault="002F1E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94A" w:rsidRDefault="002F1ED1">
    <w:pPr>
      <w:pStyle w:val="Piedepgina"/>
      <w:jc w:val="right"/>
      <w:rPr>
        <w:rFonts w:ascii="Palatino Linotype" w:hAnsi="Palatino Linotype"/>
        <w:bCs/>
        <w:sz w:val="20"/>
      </w:rPr>
    </w:pPr>
    <w:r>
      <w:rPr>
        <w:rFonts w:ascii="Palatino Linotype" w:hAnsi="Palatino Linotype"/>
        <w:sz w:val="20"/>
      </w:rPr>
      <w:t xml:space="preserve">Página </w:t>
    </w:r>
    <w:r>
      <w:rPr>
        <w:rFonts w:ascii="Palatino Linotype" w:hAnsi="Palatino Linotype"/>
        <w:b/>
        <w:bCs/>
        <w:sz w:val="20"/>
      </w:rPr>
      <w:fldChar w:fldCharType="begin"/>
    </w:r>
    <w:r>
      <w:rPr>
        <w:rFonts w:ascii="Palatino Linotype" w:hAnsi="Palatino Linotype"/>
        <w:b/>
        <w:bCs/>
        <w:sz w:val="20"/>
      </w:rPr>
      <w:instrText>PAGE  \* Arabic  \* MERGEFORMAT</w:instrText>
    </w:r>
    <w:r>
      <w:rPr>
        <w:rFonts w:ascii="Palatino Linotype" w:hAnsi="Palatino Linotype"/>
        <w:b/>
        <w:bCs/>
        <w:sz w:val="20"/>
      </w:rPr>
      <w:fldChar w:fldCharType="separate"/>
    </w:r>
    <w:r w:rsidR="009B106C">
      <w:rPr>
        <w:rFonts w:ascii="Palatino Linotype" w:hAnsi="Palatino Linotype"/>
        <w:b/>
        <w:bCs/>
        <w:noProof/>
        <w:sz w:val="20"/>
      </w:rPr>
      <w:t>40</w:t>
    </w:r>
    <w:r>
      <w:rPr>
        <w:rFonts w:ascii="Palatino Linotype" w:hAnsi="Palatino Linotype"/>
        <w:b/>
        <w:bCs/>
        <w:sz w:val="20"/>
      </w:rPr>
      <w:fldChar w:fldCharType="end"/>
    </w:r>
    <w:r>
      <w:rPr>
        <w:rFonts w:ascii="Palatino Linotype" w:hAnsi="Palatino Linotype"/>
        <w:sz w:val="20"/>
      </w:rPr>
      <w:t xml:space="preserve"> de </w:t>
    </w:r>
    <w:r>
      <w:rPr>
        <w:rFonts w:ascii="Palatino Linotype" w:hAnsi="Palatino Linotype"/>
        <w:b/>
        <w:bCs/>
        <w:sz w:val="20"/>
      </w:rPr>
      <w:fldChar w:fldCharType="begin"/>
    </w:r>
    <w:r>
      <w:rPr>
        <w:rFonts w:ascii="Palatino Linotype" w:hAnsi="Palatino Linotype"/>
        <w:b/>
        <w:bCs/>
        <w:sz w:val="20"/>
      </w:rPr>
      <w:instrText>NUMPAGES  \* Arabic  \* MERGEFORMAT</w:instrText>
    </w:r>
    <w:r>
      <w:rPr>
        <w:rFonts w:ascii="Palatino Linotype" w:hAnsi="Palatino Linotype"/>
        <w:b/>
        <w:bCs/>
        <w:sz w:val="20"/>
      </w:rPr>
      <w:fldChar w:fldCharType="separate"/>
    </w:r>
    <w:r w:rsidR="009B106C">
      <w:rPr>
        <w:rFonts w:ascii="Palatino Linotype" w:hAnsi="Palatino Linotype"/>
        <w:b/>
        <w:bCs/>
        <w:noProof/>
        <w:sz w:val="20"/>
      </w:rPr>
      <w:t>63</w:t>
    </w:r>
    <w:r>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94A" w:rsidRDefault="002F1ED1">
    <w:pPr>
      <w:pStyle w:val="Piedepgina"/>
      <w:jc w:val="right"/>
      <w:rPr>
        <w:rFonts w:ascii="Palatino Linotype" w:hAnsi="Palatino Linotype"/>
        <w:bCs/>
        <w:sz w:val="20"/>
      </w:rPr>
    </w:pPr>
    <w:r>
      <w:rPr>
        <w:rFonts w:ascii="Palatino Linotype" w:hAnsi="Palatino Linotype"/>
        <w:sz w:val="20"/>
      </w:rPr>
      <w:t xml:space="preserve">Página </w:t>
    </w:r>
    <w:r>
      <w:rPr>
        <w:rFonts w:ascii="Palatino Linotype" w:hAnsi="Palatino Linotype"/>
        <w:b/>
        <w:bCs/>
        <w:sz w:val="20"/>
      </w:rPr>
      <w:fldChar w:fldCharType="begin"/>
    </w:r>
    <w:r>
      <w:rPr>
        <w:rFonts w:ascii="Palatino Linotype" w:hAnsi="Palatino Linotype"/>
        <w:b/>
        <w:bCs/>
        <w:sz w:val="20"/>
      </w:rPr>
      <w:instrText>PAGE  \* Arabic  \* MERGEFORMAT</w:instrText>
    </w:r>
    <w:r>
      <w:rPr>
        <w:rFonts w:ascii="Palatino Linotype" w:hAnsi="Palatino Linotype"/>
        <w:b/>
        <w:bCs/>
        <w:sz w:val="20"/>
      </w:rPr>
      <w:fldChar w:fldCharType="separate"/>
    </w:r>
    <w:r w:rsidR="009B106C">
      <w:rPr>
        <w:rFonts w:ascii="Palatino Linotype" w:hAnsi="Palatino Linotype"/>
        <w:b/>
        <w:bCs/>
        <w:noProof/>
        <w:sz w:val="20"/>
      </w:rPr>
      <w:t>1</w:t>
    </w:r>
    <w:r>
      <w:rPr>
        <w:rFonts w:ascii="Palatino Linotype" w:hAnsi="Palatino Linotype"/>
        <w:b/>
        <w:bCs/>
        <w:sz w:val="20"/>
      </w:rPr>
      <w:fldChar w:fldCharType="end"/>
    </w:r>
    <w:r>
      <w:rPr>
        <w:rFonts w:ascii="Palatino Linotype" w:hAnsi="Palatino Linotype"/>
        <w:sz w:val="20"/>
      </w:rPr>
      <w:t xml:space="preserve"> de </w:t>
    </w:r>
    <w:r>
      <w:rPr>
        <w:rFonts w:ascii="Palatino Linotype" w:hAnsi="Palatino Linotype"/>
        <w:b/>
        <w:bCs/>
        <w:sz w:val="20"/>
      </w:rPr>
      <w:fldChar w:fldCharType="begin"/>
    </w:r>
    <w:r>
      <w:rPr>
        <w:rFonts w:ascii="Palatino Linotype" w:hAnsi="Palatino Linotype"/>
        <w:b/>
        <w:bCs/>
        <w:sz w:val="20"/>
      </w:rPr>
      <w:instrText>NUMPAGES  \* Arabic  \* MERGEFORMAT</w:instrText>
    </w:r>
    <w:r>
      <w:rPr>
        <w:rFonts w:ascii="Palatino Linotype" w:hAnsi="Palatino Linotype"/>
        <w:b/>
        <w:bCs/>
        <w:sz w:val="20"/>
      </w:rPr>
      <w:fldChar w:fldCharType="separate"/>
    </w:r>
    <w:r w:rsidR="009B106C">
      <w:rPr>
        <w:rFonts w:ascii="Palatino Linotype" w:hAnsi="Palatino Linotype"/>
        <w:b/>
        <w:bCs/>
        <w:noProof/>
        <w:sz w:val="20"/>
      </w:rPr>
      <w:t>63</w:t>
    </w:r>
    <w:r>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1ED1" w:rsidRDefault="002F1ED1">
      <w:r>
        <w:separator/>
      </w:r>
    </w:p>
  </w:footnote>
  <w:footnote w:type="continuationSeparator" w:id="0">
    <w:p w:rsidR="002F1ED1" w:rsidRDefault="002F1ED1">
      <w:r>
        <w:continuationSeparator/>
      </w:r>
    </w:p>
  </w:footnote>
  <w:footnote w:id="1">
    <w:p w:rsidR="0078794A" w:rsidRDefault="002F1ED1">
      <w:pPr>
        <w:spacing w:line="240" w:lineRule="auto"/>
        <w:rPr>
          <w:rFonts w:eastAsia="Palatino Linotype" w:cs="Palatino Linotype"/>
          <w:color w:val="000000"/>
          <w:sz w:val="20"/>
          <w:szCs w:val="20"/>
        </w:rPr>
      </w:pPr>
      <w:r>
        <w:rPr>
          <w:sz w:val="20"/>
          <w:szCs w:val="20"/>
          <w:vertAlign w:val="superscript"/>
        </w:rPr>
        <w:footnoteRef/>
      </w:r>
      <w:r>
        <w:rPr>
          <w:color w:val="000000"/>
          <w:sz w:val="20"/>
          <w:szCs w:val="20"/>
        </w:rPr>
        <w:t xml:space="preserve"> </w:t>
      </w:r>
      <w:r>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rsidR="0078794A" w:rsidRDefault="0078794A">
      <w:pPr>
        <w:spacing w:line="240" w:lineRule="auto"/>
        <w:rPr>
          <w:rFonts w:eastAsia="Palatino Linotype" w:cs="Palatino Linotype"/>
          <w:color w:val="000000"/>
          <w:sz w:val="20"/>
          <w:szCs w:val="20"/>
        </w:rPr>
      </w:pPr>
    </w:p>
    <w:p w:rsidR="0078794A" w:rsidRDefault="002F1ED1">
      <w:pPr>
        <w:spacing w:line="240" w:lineRule="auto"/>
        <w:rPr>
          <w:rFonts w:eastAsia="Palatino Linotype" w:cs="Palatino Linotype"/>
          <w:b/>
          <w:i/>
          <w:sz w:val="20"/>
          <w:szCs w:val="20"/>
        </w:rPr>
      </w:pPr>
      <w:r>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rsidR="0078794A" w:rsidRDefault="002F1ED1">
      <w:pPr>
        <w:spacing w:line="240" w:lineRule="auto"/>
        <w:rPr>
          <w:rFonts w:eastAsia="Palatino Linotype" w:cs="Palatino Linotype"/>
          <w:i/>
          <w:sz w:val="20"/>
          <w:szCs w:val="20"/>
        </w:rPr>
      </w:pPr>
      <w:r>
        <w:rPr>
          <w:rFonts w:eastAsia="Palatino Linotype" w:cs="Palatino Linotype"/>
          <w:i/>
          <w:sz w:val="20"/>
          <w:szCs w:val="20"/>
        </w:rPr>
        <w:t xml:space="preserve">Del examen de compatibilidad de los artículos </w:t>
      </w:r>
      <w:hyperlink r:id="rId1">
        <w:r>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con el artículo </w:t>
      </w:r>
      <w:hyperlink r:id="rId2">
        <w:r>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794A" w:rsidRDefault="009B106C">
    <w:pPr>
      <w:pStyle w:val="Encabezado"/>
    </w:pPr>
    <w:r>
      <w:rPr>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49" type="#_x0000_t75" style="position:absolute;left:0;text-align:left;margin-left:0;margin-top:0;width:609.4pt;height:793.75pt;z-index:-251657728;mso-position-horizontal:center;mso-position-horizontal-relative:margin;mso-position-vertical:center;mso-position-vertical-relative:margin;mso-width-relative:page;mso-height-relative:page"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78794A">
      <w:trPr>
        <w:trHeight w:val="227"/>
      </w:trPr>
      <w:tc>
        <w:tcPr>
          <w:tcW w:w="5103" w:type="dxa"/>
        </w:tcPr>
        <w:p w:rsidR="0078794A" w:rsidRDefault="002F1ED1">
          <w:pPr>
            <w:ind w:right="69"/>
            <w:jc w:val="right"/>
            <w:rPr>
              <w:rFonts w:cs="Arial"/>
              <w:b/>
              <w:szCs w:val="24"/>
            </w:rPr>
          </w:pPr>
          <w:r>
            <w:rPr>
              <w:rFonts w:cs="Arial"/>
              <w:b/>
              <w:szCs w:val="24"/>
            </w:rPr>
            <w:t>Recurso de Revisión:</w:t>
          </w:r>
        </w:p>
      </w:tc>
      <w:tc>
        <w:tcPr>
          <w:tcW w:w="4395" w:type="dxa"/>
        </w:tcPr>
        <w:p w:rsidR="0078794A" w:rsidRDefault="002F1ED1">
          <w:pPr>
            <w:ind w:right="71"/>
            <w:jc w:val="right"/>
            <w:rPr>
              <w:rFonts w:cs="Arial"/>
              <w:b/>
              <w:szCs w:val="24"/>
            </w:rPr>
          </w:pPr>
          <w:r>
            <w:rPr>
              <w:rFonts w:cs="Arial"/>
              <w:b/>
              <w:bCs/>
              <w:szCs w:val="24"/>
            </w:rPr>
            <w:t>07965/INFOEM/IP/RR/2022</w:t>
          </w:r>
        </w:p>
      </w:tc>
    </w:tr>
    <w:tr w:rsidR="0078794A">
      <w:trPr>
        <w:trHeight w:val="242"/>
      </w:trPr>
      <w:tc>
        <w:tcPr>
          <w:tcW w:w="5103" w:type="dxa"/>
        </w:tcPr>
        <w:p w:rsidR="0078794A" w:rsidRDefault="002F1ED1">
          <w:pPr>
            <w:ind w:right="69"/>
            <w:jc w:val="right"/>
            <w:rPr>
              <w:rFonts w:cs="Arial"/>
              <w:b/>
              <w:szCs w:val="24"/>
            </w:rPr>
          </w:pPr>
          <w:r>
            <w:rPr>
              <w:rFonts w:cs="Arial"/>
              <w:b/>
              <w:szCs w:val="24"/>
            </w:rPr>
            <w:t>Sujeto Obligado:</w:t>
          </w:r>
        </w:p>
      </w:tc>
      <w:tc>
        <w:tcPr>
          <w:tcW w:w="4395" w:type="dxa"/>
        </w:tcPr>
        <w:p w:rsidR="0078794A" w:rsidRDefault="002F1ED1">
          <w:pPr>
            <w:spacing w:after="120" w:line="240" w:lineRule="auto"/>
            <w:ind w:left="-81" w:right="74"/>
            <w:jc w:val="right"/>
            <w:rPr>
              <w:rFonts w:cs="Arial"/>
              <w:szCs w:val="24"/>
            </w:rPr>
          </w:pPr>
          <w:r>
            <w:rPr>
              <w:rFonts w:cs="Arial"/>
              <w:szCs w:val="24"/>
            </w:rPr>
            <w:t xml:space="preserve">Ayuntamiento de Nicolás Romero </w:t>
          </w:r>
        </w:p>
      </w:tc>
    </w:tr>
    <w:tr w:rsidR="0078794A">
      <w:trPr>
        <w:trHeight w:val="342"/>
      </w:trPr>
      <w:tc>
        <w:tcPr>
          <w:tcW w:w="5103" w:type="dxa"/>
        </w:tcPr>
        <w:p w:rsidR="0078794A" w:rsidRDefault="002F1ED1">
          <w:pPr>
            <w:tabs>
              <w:tab w:val="left" w:pos="4892"/>
            </w:tabs>
            <w:ind w:right="69"/>
            <w:jc w:val="right"/>
            <w:rPr>
              <w:rFonts w:cs="Arial"/>
              <w:b/>
              <w:szCs w:val="24"/>
            </w:rPr>
          </w:pPr>
          <w:r>
            <w:rPr>
              <w:rFonts w:cs="Arial"/>
              <w:b/>
              <w:szCs w:val="24"/>
            </w:rPr>
            <w:t>Comisionado Ponente:</w:t>
          </w:r>
        </w:p>
      </w:tc>
      <w:tc>
        <w:tcPr>
          <w:tcW w:w="4395" w:type="dxa"/>
        </w:tcPr>
        <w:p w:rsidR="0078794A" w:rsidRDefault="002F1ED1">
          <w:pPr>
            <w:ind w:left="-486" w:right="71" w:firstLine="567"/>
            <w:jc w:val="right"/>
            <w:rPr>
              <w:rFonts w:cs="Arial"/>
              <w:szCs w:val="24"/>
            </w:rPr>
          </w:pPr>
          <w:r>
            <w:rPr>
              <w:rFonts w:cs="Arial"/>
              <w:szCs w:val="24"/>
            </w:rPr>
            <w:t>José Martínez Vilchis</w:t>
          </w:r>
        </w:p>
      </w:tc>
    </w:tr>
  </w:tbl>
  <w:p w:rsidR="0078794A" w:rsidRDefault="009B106C">
    <w:pPr>
      <w:pStyle w:val="Encabezado"/>
      <w:rPr>
        <w:sz w:val="2"/>
      </w:rPr>
    </w:pPr>
    <w:r>
      <w:rPr>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style="position:absolute;left:0;text-align:left;margin-left:-81.15pt;margin-top:-142.5pt;width:609.4pt;height:793.75pt;z-index:-251658752;mso-position-horizontal-relative:margin;mso-position-vertical-relative:margin;mso-width-relative:page;mso-height-relative:page" o:allowincell="f">
          <v:imagedata r:id="rId1" o:title="infoem"/>
          <w10:wrap anchorx="margin" anchory="margin"/>
        </v:shape>
      </w:pict>
    </w:r>
    <w:r w:rsidR="002F1ED1">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78794A">
      <w:trPr>
        <w:trHeight w:val="227"/>
      </w:trPr>
      <w:tc>
        <w:tcPr>
          <w:tcW w:w="5103" w:type="dxa"/>
        </w:tcPr>
        <w:p w:rsidR="0078794A" w:rsidRDefault="002F1ED1">
          <w:pPr>
            <w:ind w:right="68"/>
            <w:jc w:val="right"/>
            <w:rPr>
              <w:rFonts w:cs="Arial"/>
              <w:b/>
              <w:szCs w:val="24"/>
            </w:rPr>
          </w:pPr>
          <w:r>
            <w:rPr>
              <w:rFonts w:cs="Arial"/>
              <w:b/>
              <w:szCs w:val="24"/>
            </w:rPr>
            <w:t>Recurso de Revisión:</w:t>
          </w:r>
        </w:p>
      </w:tc>
      <w:tc>
        <w:tcPr>
          <w:tcW w:w="4395" w:type="dxa"/>
        </w:tcPr>
        <w:p w:rsidR="0078794A" w:rsidRDefault="002F1ED1">
          <w:pPr>
            <w:ind w:left="-486" w:right="68" w:firstLine="558"/>
            <w:jc w:val="right"/>
            <w:rPr>
              <w:rFonts w:cs="Arial"/>
              <w:b/>
              <w:szCs w:val="24"/>
            </w:rPr>
          </w:pPr>
          <w:r>
            <w:rPr>
              <w:rFonts w:cs="Arial"/>
              <w:b/>
              <w:bCs/>
              <w:szCs w:val="24"/>
            </w:rPr>
            <w:t>07965/INFOEM/IP/RR/2022</w:t>
          </w:r>
        </w:p>
      </w:tc>
    </w:tr>
    <w:tr w:rsidR="0078794A">
      <w:trPr>
        <w:trHeight w:val="196"/>
      </w:trPr>
      <w:tc>
        <w:tcPr>
          <w:tcW w:w="5103" w:type="dxa"/>
        </w:tcPr>
        <w:p w:rsidR="0078794A" w:rsidRDefault="002F1ED1">
          <w:pPr>
            <w:ind w:right="68"/>
            <w:jc w:val="right"/>
            <w:rPr>
              <w:rFonts w:cs="Arial"/>
              <w:b/>
              <w:szCs w:val="24"/>
            </w:rPr>
          </w:pPr>
          <w:r>
            <w:rPr>
              <w:rFonts w:cs="Arial"/>
              <w:b/>
              <w:szCs w:val="24"/>
            </w:rPr>
            <w:t>Recurrente:</w:t>
          </w:r>
        </w:p>
      </w:tc>
      <w:tc>
        <w:tcPr>
          <w:tcW w:w="4395" w:type="dxa"/>
        </w:tcPr>
        <w:p w:rsidR="0078794A" w:rsidRDefault="00093C9B">
          <w:pPr>
            <w:ind w:right="68"/>
            <w:jc w:val="right"/>
            <w:rPr>
              <w:rFonts w:cs="Arial"/>
              <w:szCs w:val="24"/>
            </w:rPr>
          </w:pPr>
          <w:r>
            <w:rPr>
              <w:rFonts w:cs="Arial"/>
              <w:szCs w:val="24"/>
            </w:rPr>
            <w:t>XXXXXXXXXXXXXXX</w:t>
          </w:r>
        </w:p>
      </w:tc>
    </w:tr>
    <w:tr w:rsidR="0078794A">
      <w:trPr>
        <w:trHeight w:val="242"/>
      </w:trPr>
      <w:tc>
        <w:tcPr>
          <w:tcW w:w="5103" w:type="dxa"/>
        </w:tcPr>
        <w:p w:rsidR="0078794A" w:rsidRDefault="002F1ED1">
          <w:pPr>
            <w:ind w:right="68"/>
            <w:jc w:val="right"/>
            <w:rPr>
              <w:rFonts w:cs="Arial"/>
              <w:b/>
              <w:szCs w:val="24"/>
            </w:rPr>
          </w:pPr>
          <w:r>
            <w:rPr>
              <w:rFonts w:cs="Arial"/>
              <w:b/>
              <w:szCs w:val="24"/>
            </w:rPr>
            <w:t>Sujeto Obligado:</w:t>
          </w:r>
        </w:p>
      </w:tc>
      <w:tc>
        <w:tcPr>
          <w:tcW w:w="4395" w:type="dxa"/>
        </w:tcPr>
        <w:p w:rsidR="0078794A" w:rsidRDefault="002F1ED1">
          <w:pPr>
            <w:spacing w:after="120" w:line="240" w:lineRule="auto"/>
            <w:ind w:left="-68" w:right="68"/>
            <w:jc w:val="right"/>
            <w:rPr>
              <w:rFonts w:cs="Arial"/>
              <w:szCs w:val="24"/>
            </w:rPr>
          </w:pPr>
          <w:r>
            <w:rPr>
              <w:rFonts w:cs="Arial"/>
              <w:szCs w:val="24"/>
            </w:rPr>
            <w:t>Ayuntamiento de Nicolás Romero</w:t>
          </w:r>
        </w:p>
      </w:tc>
    </w:tr>
    <w:tr w:rsidR="0078794A">
      <w:trPr>
        <w:trHeight w:val="342"/>
      </w:trPr>
      <w:tc>
        <w:tcPr>
          <w:tcW w:w="5103" w:type="dxa"/>
        </w:tcPr>
        <w:p w:rsidR="0078794A" w:rsidRDefault="002F1ED1">
          <w:pPr>
            <w:tabs>
              <w:tab w:val="left" w:pos="4892"/>
            </w:tabs>
            <w:ind w:right="68"/>
            <w:jc w:val="right"/>
            <w:rPr>
              <w:rFonts w:cs="Arial"/>
              <w:b/>
              <w:szCs w:val="24"/>
            </w:rPr>
          </w:pPr>
          <w:r>
            <w:rPr>
              <w:rFonts w:cs="Arial"/>
              <w:b/>
              <w:szCs w:val="24"/>
            </w:rPr>
            <w:t>Comisionado Ponente:</w:t>
          </w:r>
        </w:p>
      </w:tc>
      <w:tc>
        <w:tcPr>
          <w:tcW w:w="4395" w:type="dxa"/>
        </w:tcPr>
        <w:p w:rsidR="0078794A" w:rsidRDefault="002F1ED1">
          <w:pPr>
            <w:ind w:left="-486" w:right="68" w:firstLine="567"/>
            <w:jc w:val="right"/>
            <w:rPr>
              <w:rFonts w:cs="Arial"/>
              <w:szCs w:val="24"/>
            </w:rPr>
          </w:pPr>
          <w:r>
            <w:rPr>
              <w:rFonts w:cs="Arial"/>
              <w:szCs w:val="24"/>
            </w:rPr>
            <w:t>José Martínez Vilchis</w:t>
          </w:r>
        </w:p>
      </w:tc>
    </w:tr>
  </w:tbl>
  <w:p w:rsidR="0078794A" w:rsidRDefault="009B106C">
    <w:pPr>
      <w:pStyle w:val="Encabezado"/>
      <w:rPr>
        <w:sz w:val="2"/>
      </w:rPr>
    </w:pPr>
    <w:r>
      <w:rPr>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80.9pt;margin-top:-142.7pt;width:609.4pt;height:793.75pt;z-index:-251659776;mso-position-horizontal-relative:margin;mso-position-vertical-relative:margin;mso-width-relative:page;mso-height-relative:page" o:allowincell="f">
          <v:imagedata r:id="rId1" o:title="infoem"/>
          <w10:wrap anchorx="margin" anchory="margin"/>
        </v:shape>
      </w:pict>
    </w:r>
    <w:r w:rsidR="002F1ED1">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5E3769"/>
    <w:multiLevelType w:val="multilevel"/>
    <w:tmpl w:val="0F5E3769"/>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FB34B4E"/>
    <w:multiLevelType w:val="multilevel"/>
    <w:tmpl w:val="1FB34B4E"/>
    <w:lvl w:ilvl="0">
      <w:start w:val="1"/>
      <w:numFmt w:val="lowerLetter"/>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9AA0EA7"/>
    <w:multiLevelType w:val="multilevel"/>
    <w:tmpl w:val="29AA0EA7"/>
    <w:lvl w:ilvl="0">
      <w:start w:val="1"/>
      <w:numFmt w:val="lowerLetter"/>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8993896"/>
    <w:multiLevelType w:val="multilevel"/>
    <w:tmpl w:val="58993896"/>
    <w:lvl w:ilvl="0">
      <w:start w:val="1"/>
      <w:numFmt w:val="upperLetter"/>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D547FD4"/>
    <w:multiLevelType w:val="multilevel"/>
    <w:tmpl w:val="6D547FD4"/>
    <w:lvl w:ilvl="0">
      <w:start w:val="1"/>
      <w:numFmt w:val="upperRoman"/>
      <w:lvlText w:val="%1."/>
      <w:lvlJc w:val="left"/>
      <w:pPr>
        <w:ind w:left="992" w:hanging="425"/>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C6A"/>
    <w:rsid w:val="00003412"/>
    <w:rsid w:val="000034AA"/>
    <w:rsid w:val="00003F45"/>
    <w:rsid w:val="00004014"/>
    <w:rsid w:val="0000665B"/>
    <w:rsid w:val="00007857"/>
    <w:rsid w:val="0001151F"/>
    <w:rsid w:val="00011CCA"/>
    <w:rsid w:val="000124BD"/>
    <w:rsid w:val="00012BEE"/>
    <w:rsid w:val="00012D78"/>
    <w:rsid w:val="00015487"/>
    <w:rsid w:val="000154CA"/>
    <w:rsid w:val="000171BE"/>
    <w:rsid w:val="00021122"/>
    <w:rsid w:val="00021165"/>
    <w:rsid w:val="00021A08"/>
    <w:rsid w:val="000221D0"/>
    <w:rsid w:val="00024A6D"/>
    <w:rsid w:val="0002654F"/>
    <w:rsid w:val="00026582"/>
    <w:rsid w:val="00031BA3"/>
    <w:rsid w:val="00033479"/>
    <w:rsid w:val="00033562"/>
    <w:rsid w:val="0003521B"/>
    <w:rsid w:val="0003577D"/>
    <w:rsid w:val="00035A30"/>
    <w:rsid w:val="0003692B"/>
    <w:rsid w:val="00036D5F"/>
    <w:rsid w:val="00036EFC"/>
    <w:rsid w:val="00037635"/>
    <w:rsid w:val="00040A10"/>
    <w:rsid w:val="00040BB6"/>
    <w:rsid w:val="00041670"/>
    <w:rsid w:val="000417BE"/>
    <w:rsid w:val="00041AE7"/>
    <w:rsid w:val="00041DEA"/>
    <w:rsid w:val="00042C95"/>
    <w:rsid w:val="00045F86"/>
    <w:rsid w:val="00050FF1"/>
    <w:rsid w:val="00051732"/>
    <w:rsid w:val="00051F5E"/>
    <w:rsid w:val="0005219F"/>
    <w:rsid w:val="0005241C"/>
    <w:rsid w:val="00054689"/>
    <w:rsid w:val="0005480B"/>
    <w:rsid w:val="00054F6A"/>
    <w:rsid w:val="00055891"/>
    <w:rsid w:val="00055C90"/>
    <w:rsid w:val="000564B5"/>
    <w:rsid w:val="000575E4"/>
    <w:rsid w:val="0005787D"/>
    <w:rsid w:val="00057B42"/>
    <w:rsid w:val="00060716"/>
    <w:rsid w:val="00061B46"/>
    <w:rsid w:val="00061B8D"/>
    <w:rsid w:val="00064854"/>
    <w:rsid w:val="00065463"/>
    <w:rsid w:val="000666B3"/>
    <w:rsid w:val="000676A2"/>
    <w:rsid w:val="0007107B"/>
    <w:rsid w:val="000739AF"/>
    <w:rsid w:val="00075586"/>
    <w:rsid w:val="00075D5E"/>
    <w:rsid w:val="00076332"/>
    <w:rsid w:val="00077A55"/>
    <w:rsid w:val="00077F28"/>
    <w:rsid w:val="000802BA"/>
    <w:rsid w:val="00082E5D"/>
    <w:rsid w:val="00083498"/>
    <w:rsid w:val="0008496A"/>
    <w:rsid w:val="00085EA2"/>
    <w:rsid w:val="0008628E"/>
    <w:rsid w:val="000864CC"/>
    <w:rsid w:val="0008737D"/>
    <w:rsid w:val="00087AFB"/>
    <w:rsid w:val="00087F54"/>
    <w:rsid w:val="0009020C"/>
    <w:rsid w:val="00090297"/>
    <w:rsid w:val="00090A37"/>
    <w:rsid w:val="00092681"/>
    <w:rsid w:val="00092D82"/>
    <w:rsid w:val="0009320C"/>
    <w:rsid w:val="0009328A"/>
    <w:rsid w:val="0009397B"/>
    <w:rsid w:val="00093C9B"/>
    <w:rsid w:val="00094B23"/>
    <w:rsid w:val="00094FD7"/>
    <w:rsid w:val="000951B9"/>
    <w:rsid w:val="0009609D"/>
    <w:rsid w:val="00096248"/>
    <w:rsid w:val="000A110B"/>
    <w:rsid w:val="000A2CA6"/>
    <w:rsid w:val="000A2F65"/>
    <w:rsid w:val="000A3627"/>
    <w:rsid w:val="000A3F41"/>
    <w:rsid w:val="000A5EA1"/>
    <w:rsid w:val="000A702D"/>
    <w:rsid w:val="000B1F27"/>
    <w:rsid w:val="000B2390"/>
    <w:rsid w:val="000B28CF"/>
    <w:rsid w:val="000B491D"/>
    <w:rsid w:val="000B51CE"/>
    <w:rsid w:val="000B5608"/>
    <w:rsid w:val="000B65C3"/>
    <w:rsid w:val="000C0203"/>
    <w:rsid w:val="000C066A"/>
    <w:rsid w:val="000C0E5D"/>
    <w:rsid w:val="000C2D59"/>
    <w:rsid w:val="000C416A"/>
    <w:rsid w:val="000C51AF"/>
    <w:rsid w:val="000C568A"/>
    <w:rsid w:val="000C661C"/>
    <w:rsid w:val="000C7472"/>
    <w:rsid w:val="000C7F8F"/>
    <w:rsid w:val="000D14DA"/>
    <w:rsid w:val="000D3AA7"/>
    <w:rsid w:val="000D5244"/>
    <w:rsid w:val="000D55D2"/>
    <w:rsid w:val="000D5634"/>
    <w:rsid w:val="000D5C00"/>
    <w:rsid w:val="000D66A1"/>
    <w:rsid w:val="000D772A"/>
    <w:rsid w:val="000E06A3"/>
    <w:rsid w:val="000E0D32"/>
    <w:rsid w:val="000E1FD4"/>
    <w:rsid w:val="000E35E0"/>
    <w:rsid w:val="000E37D0"/>
    <w:rsid w:val="000E4AFE"/>
    <w:rsid w:val="000E4EBC"/>
    <w:rsid w:val="000E513A"/>
    <w:rsid w:val="000E57E9"/>
    <w:rsid w:val="000E74D7"/>
    <w:rsid w:val="000F0B57"/>
    <w:rsid w:val="000F114E"/>
    <w:rsid w:val="000F146C"/>
    <w:rsid w:val="000F196A"/>
    <w:rsid w:val="000F367A"/>
    <w:rsid w:val="000F54F6"/>
    <w:rsid w:val="0010147E"/>
    <w:rsid w:val="0010149D"/>
    <w:rsid w:val="00103C89"/>
    <w:rsid w:val="00103D8C"/>
    <w:rsid w:val="001050A9"/>
    <w:rsid w:val="001059AF"/>
    <w:rsid w:val="001067FE"/>
    <w:rsid w:val="00107256"/>
    <w:rsid w:val="001107C4"/>
    <w:rsid w:val="0011110C"/>
    <w:rsid w:val="001116B7"/>
    <w:rsid w:val="00112829"/>
    <w:rsid w:val="0011295F"/>
    <w:rsid w:val="00112F8F"/>
    <w:rsid w:val="00114F1E"/>
    <w:rsid w:val="00115495"/>
    <w:rsid w:val="00116E4B"/>
    <w:rsid w:val="00116F6B"/>
    <w:rsid w:val="00121842"/>
    <w:rsid w:val="00121F46"/>
    <w:rsid w:val="001235A0"/>
    <w:rsid w:val="00123D0B"/>
    <w:rsid w:val="00130C18"/>
    <w:rsid w:val="00131C40"/>
    <w:rsid w:val="00131C6C"/>
    <w:rsid w:val="00131F2D"/>
    <w:rsid w:val="00133F26"/>
    <w:rsid w:val="0013657B"/>
    <w:rsid w:val="00136A94"/>
    <w:rsid w:val="00140020"/>
    <w:rsid w:val="0014092A"/>
    <w:rsid w:val="00142D35"/>
    <w:rsid w:val="00143E8A"/>
    <w:rsid w:val="00143FC6"/>
    <w:rsid w:val="00144A6E"/>
    <w:rsid w:val="00144BA8"/>
    <w:rsid w:val="00145C22"/>
    <w:rsid w:val="001464CD"/>
    <w:rsid w:val="00150293"/>
    <w:rsid w:val="001502AD"/>
    <w:rsid w:val="001509C0"/>
    <w:rsid w:val="00151431"/>
    <w:rsid w:val="00151764"/>
    <w:rsid w:val="00151FF5"/>
    <w:rsid w:val="00152B40"/>
    <w:rsid w:val="001530E5"/>
    <w:rsid w:val="00154F75"/>
    <w:rsid w:val="00155CC6"/>
    <w:rsid w:val="00155F53"/>
    <w:rsid w:val="001564E3"/>
    <w:rsid w:val="001568D5"/>
    <w:rsid w:val="00157D2B"/>
    <w:rsid w:val="00160608"/>
    <w:rsid w:val="0016240C"/>
    <w:rsid w:val="001624E8"/>
    <w:rsid w:val="0016322B"/>
    <w:rsid w:val="0016339A"/>
    <w:rsid w:val="00165898"/>
    <w:rsid w:val="00166171"/>
    <w:rsid w:val="00167DF0"/>
    <w:rsid w:val="00170C31"/>
    <w:rsid w:val="00171192"/>
    <w:rsid w:val="00171475"/>
    <w:rsid w:val="00171AAD"/>
    <w:rsid w:val="00171BBC"/>
    <w:rsid w:val="0017292D"/>
    <w:rsid w:val="001744AB"/>
    <w:rsid w:val="0017523B"/>
    <w:rsid w:val="00175B42"/>
    <w:rsid w:val="0017633C"/>
    <w:rsid w:val="00176522"/>
    <w:rsid w:val="001809A8"/>
    <w:rsid w:val="00181A9D"/>
    <w:rsid w:val="001823E3"/>
    <w:rsid w:val="00182FC0"/>
    <w:rsid w:val="00184AEA"/>
    <w:rsid w:val="0018577B"/>
    <w:rsid w:val="00185C61"/>
    <w:rsid w:val="0018735B"/>
    <w:rsid w:val="001904DC"/>
    <w:rsid w:val="00190B5A"/>
    <w:rsid w:val="00190F59"/>
    <w:rsid w:val="00192D02"/>
    <w:rsid w:val="00194C85"/>
    <w:rsid w:val="0019539C"/>
    <w:rsid w:val="001957E6"/>
    <w:rsid w:val="00195845"/>
    <w:rsid w:val="0019584A"/>
    <w:rsid w:val="001960AD"/>
    <w:rsid w:val="001A057E"/>
    <w:rsid w:val="001A0AFD"/>
    <w:rsid w:val="001A0E96"/>
    <w:rsid w:val="001A1BDB"/>
    <w:rsid w:val="001A316F"/>
    <w:rsid w:val="001A3C5F"/>
    <w:rsid w:val="001A3F75"/>
    <w:rsid w:val="001A4BDF"/>
    <w:rsid w:val="001A6849"/>
    <w:rsid w:val="001A773B"/>
    <w:rsid w:val="001B0259"/>
    <w:rsid w:val="001B0262"/>
    <w:rsid w:val="001B117B"/>
    <w:rsid w:val="001B156A"/>
    <w:rsid w:val="001B28D1"/>
    <w:rsid w:val="001B3FD2"/>
    <w:rsid w:val="001B5693"/>
    <w:rsid w:val="001B6C2D"/>
    <w:rsid w:val="001B7147"/>
    <w:rsid w:val="001C087E"/>
    <w:rsid w:val="001C0F32"/>
    <w:rsid w:val="001C2099"/>
    <w:rsid w:val="001C27A3"/>
    <w:rsid w:val="001C2A51"/>
    <w:rsid w:val="001C2C72"/>
    <w:rsid w:val="001C3145"/>
    <w:rsid w:val="001C3387"/>
    <w:rsid w:val="001C54A1"/>
    <w:rsid w:val="001C5CD0"/>
    <w:rsid w:val="001C72C0"/>
    <w:rsid w:val="001C7347"/>
    <w:rsid w:val="001C7697"/>
    <w:rsid w:val="001C7C31"/>
    <w:rsid w:val="001D1B77"/>
    <w:rsid w:val="001D225B"/>
    <w:rsid w:val="001D3563"/>
    <w:rsid w:val="001D3687"/>
    <w:rsid w:val="001D3EE2"/>
    <w:rsid w:val="001D41E0"/>
    <w:rsid w:val="001D4382"/>
    <w:rsid w:val="001D6CA8"/>
    <w:rsid w:val="001E04CC"/>
    <w:rsid w:val="001E2186"/>
    <w:rsid w:val="001E21A0"/>
    <w:rsid w:val="001E35AE"/>
    <w:rsid w:val="001E5453"/>
    <w:rsid w:val="001E5C3D"/>
    <w:rsid w:val="001E678B"/>
    <w:rsid w:val="001F2BC9"/>
    <w:rsid w:val="001F34DD"/>
    <w:rsid w:val="001F408E"/>
    <w:rsid w:val="001F4860"/>
    <w:rsid w:val="001F4EDD"/>
    <w:rsid w:val="001F57CD"/>
    <w:rsid w:val="001F5B07"/>
    <w:rsid w:val="001F5E58"/>
    <w:rsid w:val="001F6270"/>
    <w:rsid w:val="001F65BE"/>
    <w:rsid w:val="001F6C72"/>
    <w:rsid w:val="001F72D3"/>
    <w:rsid w:val="001F7890"/>
    <w:rsid w:val="001F7D9A"/>
    <w:rsid w:val="00200FAD"/>
    <w:rsid w:val="00201765"/>
    <w:rsid w:val="0020257F"/>
    <w:rsid w:val="00204AA1"/>
    <w:rsid w:val="00205455"/>
    <w:rsid w:val="00205FAC"/>
    <w:rsid w:val="0020763C"/>
    <w:rsid w:val="00207E11"/>
    <w:rsid w:val="0021063D"/>
    <w:rsid w:val="00210714"/>
    <w:rsid w:val="0021327B"/>
    <w:rsid w:val="00214B09"/>
    <w:rsid w:val="002155ED"/>
    <w:rsid w:val="0021627B"/>
    <w:rsid w:val="0021698E"/>
    <w:rsid w:val="00216D13"/>
    <w:rsid w:val="002207CF"/>
    <w:rsid w:val="0022245F"/>
    <w:rsid w:val="00224FEA"/>
    <w:rsid w:val="002262C0"/>
    <w:rsid w:val="002264AE"/>
    <w:rsid w:val="00227691"/>
    <w:rsid w:val="00227DBC"/>
    <w:rsid w:val="00230E13"/>
    <w:rsid w:val="0023118D"/>
    <w:rsid w:val="00232621"/>
    <w:rsid w:val="0023293E"/>
    <w:rsid w:val="00232A7A"/>
    <w:rsid w:val="00232DA5"/>
    <w:rsid w:val="00232F2F"/>
    <w:rsid w:val="00232F87"/>
    <w:rsid w:val="002338B9"/>
    <w:rsid w:val="00234061"/>
    <w:rsid w:val="002349A9"/>
    <w:rsid w:val="0023573F"/>
    <w:rsid w:val="00236B9A"/>
    <w:rsid w:val="002372F0"/>
    <w:rsid w:val="00240046"/>
    <w:rsid w:val="00241201"/>
    <w:rsid w:val="002432E1"/>
    <w:rsid w:val="00243315"/>
    <w:rsid w:val="00245AC1"/>
    <w:rsid w:val="00252443"/>
    <w:rsid w:val="0025386E"/>
    <w:rsid w:val="002547B2"/>
    <w:rsid w:val="0025565C"/>
    <w:rsid w:val="00255FD1"/>
    <w:rsid w:val="002562CE"/>
    <w:rsid w:val="00256CE0"/>
    <w:rsid w:val="00261A13"/>
    <w:rsid w:val="00261E57"/>
    <w:rsid w:val="00264CA1"/>
    <w:rsid w:val="0026506A"/>
    <w:rsid w:val="00267A7B"/>
    <w:rsid w:val="002704DF"/>
    <w:rsid w:val="00270521"/>
    <w:rsid w:val="00270F03"/>
    <w:rsid w:val="002710B5"/>
    <w:rsid w:val="0027116F"/>
    <w:rsid w:val="002729A0"/>
    <w:rsid w:val="00273E61"/>
    <w:rsid w:val="00273F5F"/>
    <w:rsid w:val="00273F7C"/>
    <w:rsid w:val="0027555F"/>
    <w:rsid w:val="00275719"/>
    <w:rsid w:val="00275BE9"/>
    <w:rsid w:val="00280398"/>
    <w:rsid w:val="002811E3"/>
    <w:rsid w:val="002813B2"/>
    <w:rsid w:val="00282431"/>
    <w:rsid w:val="00282E9E"/>
    <w:rsid w:val="00283D5E"/>
    <w:rsid w:val="00284245"/>
    <w:rsid w:val="00285034"/>
    <w:rsid w:val="00285A94"/>
    <w:rsid w:val="00290730"/>
    <w:rsid w:val="002913C5"/>
    <w:rsid w:val="00291DE2"/>
    <w:rsid w:val="0029208D"/>
    <w:rsid w:val="00292258"/>
    <w:rsid w:val="0029225E"/>
    <w:rsid w:val="00293F85"/>
    <w:rsid w:val="0029482F"/>
    <w:rsid w:val="00294892"/>
    <w:rsid w:val="00296073"/>
    <w:rsid w:val="00296626"/>
    <w:rsid w:val="00296E92"/>
    <w:rsid w:val="00297212"/>
    <w:rsid w:val="002A02E8"/>
    <w:rsid w:val="002A1797"/>
    <w:rsid w:val="002A1CF5"/>
    <w:rsid w:val="002A4560"/>
    <w:rsid w:val="002A51B8"/>
    <w:rsid w:val="002A5ADD"/>
    <w:rsid w:val="002A5FDF"/>
    <w:rsid w:val="002A6FCE"/>
    <w:rsid w:val="002A7501"/>
    <w:rsid w:val="002B0EA1"/>
    <w:rsid w:val="002B317E"/>
    <w:rsid w:val="002B3CE2"/>
    <w:rsid w:val="002B40FF"/>
    <w:rsid w:val="002B5F48"/>
    <w:rsid w:val="002B7549"/>
    <w:rsid w:val="002C0E65"/>
    <w:rsid w:val="002C0E9B"/>
    <w:rsid w:val="002C15CA"/>
    <w:rsid w:val="002C1DAF"/>
    <w:rsid w:val="002C26CD"/>
    <w:rsid w:val="002C2C08"/>
    <w:rsid w:val="002C3141"/>
    <w:rsid w:val="002C31FB"/>
    <w:rsid w:val="002C42A2"/>
    <w:rsid w:val="002C4718"/>
    <w:rsid w:val="002C6010"/>
    <w:rsid w:val="002C7329"/>
    <w:rsid w:val="002C7EC4"/>
    <w:rsid w:val="002D13BE"/>
    <w:rsid w:val="002D15F2"/>
    <w:rsid w:val="002D2F05"/>
    <w:rsid w:val="002D2F64"/>
    <w:rsid w:val="002D4953"/>
    <w:rsid w:val="002D5690"/>
    <w:rsid w:val="002D5CCE"/>
    <w:rsid w:val="002D639B"/>
    <w:rsid w:val="002D785E"/>
    <w:rsid w:val="002D7941"/>
    <w:rsid w:val="002E0FE2"/>
    <w:rsid w:val="002E1484"/>
    <w:rsid w:val="002E2D8A"/>
    <w:rsid w:val="002E37DA"/>
    <w:rsid w:val="002E40AD"/>
    <w:rsid w:val="002E5AFA"/>
    <w:rsid w:val="002E72F0"/>
    <w:rsid w:val="002E732F"/>
    <w:rsid w:val="002F1ED1"/>
    <w:rsid w:val="002F368E"/>
    <w:rsid w:val="002F3AAF"/>
    <w:rsid w:val="002F40FF"/>
    <w:rsid w:val="002F5101"/>
    <w:rsid w:val="002F713F"/>
    <w:rsid w:val="002F799E"/>
    <w:rsid w:val="002F7D3E"/>
    <w:rsid w:val="00300919"/>
    <w:rsid w:val="00302BF3"/>
    <w:rsid w:val="00302D8C"/>
    <w:rsid w:val="00303F92"/>
    <w:rsid w:val="00304386"/>
    <w:rsid w:val="00310825"/>
    <w:rsid w:val="003110C6"/>
    <w:rsid w:val="00312106"/>
    <w:rsid w:val="003126FB"/>
    <w:rsid w:val="0031280C"/>
    <w:rsid w:val="00313170"/>
    <w:rsid w:val="00314FB7"/>
    <w:rsid w:val="00315AE3"/>
    <w:rsid w:val="00315CA2"/>
    <w:rsid w:val="0031667E"/>
    <w:rsid w:val="00316A7B"/>
    <w:rsid w:val="003176D1"/>
    <w:rsid w:val="00321B9A"/>
    <w:rsid w:val="00324F09"/>
    <w:rsid w:val="00325C6E"/>
    <w:rsid w:val="003265D6"/>
    <w:rsid w:val="003275F8"/>
    <w:rsid w:val="0033070B"/>
    <w:rsid w:val="00331513"/>
    <w:rsid w:val="0033491A"/>
    <w:rsid w:val="00337088"/>
    <w:rsid w:val="00337638"/>
    <w:rsid w:val="00340ADD"/>
    <w:rsid w:val="00341178"/>
    <w:rsid w:val="00341B42"/>
    <w:rsid w:val="003420E1"/>
    <w:rsid w:val="003423FC"/>
    <w:rsid w:val="00344766"/>
    <w:rsid w:val="00344AD3"/>
    <w:rsid w:val="00345089"/>
    <w:rsid w:val="00345687"/>
    <w:rsid w:val="00345708"/>
    <w:rsid w:val="00346373"/>
    <w:rsid w:val="003467CD"/>
    <w:rsid w:val="003505B2"/>
    <w:rsid w:val="0035063B"/>
    <w:rsid w:val="00351EA3"/>
    <w:rsid w:val="00352677"/>
    <w:rsid w:val="0035393E"/>
    <w:rsid w:val="00355981"/>
    <w:rsid w:val="00360189"/>
    <w:rsid w:val="0036188D"/>
    <w:rsid w:val="00362013"/>
    <w:rsid w:val="0036336C"/>
    <w:rsid w:val="003637A1"/>
    <w:rsid w:val="00364C0A"/>
    <w:rsid w:val="003713C2"/>
    <w:rsid w:val="0037172A"/>
    <w:rsid w:val="0037269A"/>
    <w:rsid w:val="0037476E"/>
    <w:rsid w:val="0037526D"/>
    <w:rsid w:val="003839F9"/>
    <w:rsid w:val="00384206"/>
    <w:rsid w:val="00385421"/>
    <w:rsid w:val="00386A48"/>
    <w:rsid w:val="00387CF3"/>
    <w:rsid w:val="00390611"/>
    <w:rsid w:val="00392022"/>
    <w:rsid w:val="0039214E"/>
    <w:rsid w:val="0039256B"/>
    <w:rsid w:val="00393884"/>
    <w:rsid w:val="003938ED"/>
    <w:rsid w:val="0039393F"/>
    <w:rsid w:val="00393C4E"/>
    <w:rsid w:val="00393CC5"/>
    <w:rsid w:val="00393F5B"/>
    <w:rsid w:val="00397677"/>
    <w:rsid w:val="003A0B24"/>
    <w:rsid w:val="003A0BF2"/>
    <w:rsid w:val="003A0F14"/>
    <w:rsid w:val="003A3A32"/>
    <w:rsid w:val="003A59A6"/>
    <w:rsid w:val="003A6D5C"/>
    <w:rsid w:val="003A7D55"/>
    <w:rsid w:val="003A7ED9"/>
    <w:rsid w:val="003B10FB"/>
    <w:rsid w:val="003B1154"/>
    <w:rsid w:val="003B1752"/>
    <w:rsid w:val="003B1F9D"/>
    <w:rsid w:val="003B2AAD"/>
    <w:rsid w:val="003B3474"/>
    <w:rsid w:val="003B5841"/>
    <w:rsid w:val="003B595A"/>
    <w:rsid w:val="003B7208"/>
    <w:rsid w:val="003B7403"/>
    <w:rsid w:val="003C1100"/>
    <w:rsid w:val="003C14FB"/>
    <w:rsid w:val="003C1CFB"/>
    <w:rsid w:val="003C1DE6"/>
    <w:rsid w:val="003C30DA"/>
    <w:rsid w:val="003C4FF5"/>
    <w:rsid w:val="003D0AE2"/>
    <w:rsid w:val="003D17AF"/>
    <w:rsid w:val="003D2681"/>
    <w:rsid w:val="003D3477"/>
    <w:rsid w:val="003D372B"/>
    <w:rsid w:val="003D5450"/>
    <w:rsid w:val="003D63F5"/>
    <w:rsid w:val="003D70D0"/>
    <w:rsid w:val="003D7760"/>
    <w:rsid w:val="003E13A1"/>
    <w:rsid w:val="003E2955"/>
    <w:rsid w:val="003E44DA"/>
    <w:rsid w:val="003E468A"/>
    <w:rsid w:val="003E6C77"/>
    <w:rsid w:val="003E6E17"/>
    <w:rsid w:val="003E7594"/>
    <w:rsid w:val="003F1603"/>
    <w:rsid w:val="003F2491"/>
    <w:rsid w:val="003F308A"/>
    <w:rsid w:val="003F4582"/>
    <w:rsid w:val="003F5D5C"/>
    <w:rsid w:val="003F6192"/>
    <w:rsid w:val="00400915"/>
    <w:rsid w:val="00403319"/>
    <w:rsid w:val="00405A0E"/>
    <w:rsid w:val="00405D15"/>
    <w:rsid w:val="00406793"/>
    <w:rsid w:val="0040791E"/>
    <w:rsid w:val="00410699"/>
    <w:rsid w:val="00410C79"/>
    <w:rsid w:val="00410CE0"/>
    <w:rsid w:val="00411F8F"/>
    <w:rsid w:val="004135D8"/>
    <w:rsid w:val="004136D6"/>
    <w:rsid w:val="00414020"/>
    <w:rsid w:val="0041428D"/>
    <w:rsid w:val="00415270"/>
    <w:rsid w:val="004154DB"/>
    <w:rsid w:val="00417379"/>
    <w:rsid w:val="004176BF"/>
    <w:rsid w:val="004204D0"/>
    <w:rsid w:val="00420AC4"/>
    <w:rsid w:val="00420B7B"/>
    <w:rsid w:val="00421DD1"/>
    <w:rsid w:val="004229EE"/>
    <w:rsid w:val="004232C6"/>
    <w:rsid w:val="00426124"/>
    <w:rsid w:val="00426F24"/>
    <w:rsid w:val="00427BCF"/>
    <w:rsid w:val="0043072C"/>
    <w:rsid w:val="004310BB"/>
    <w:rsid w:val="004325EA"/>
    <w:rsid w:val="004338C7"/>
    <w:rsid w:val="00433E65"/>
    <w:rsid w:val="00434C3F"/>
    <w:rsid w:val="00437085"/>
    <w:rsid w:val="004406B5"/>
    <w:rsid w:val="004431D5"/>
    <w:rsid w:val="004436C5"/>
    <w:rsid w:val="00444E7F"/>
    <w:rsid w:val="00445514"/>
    <w:rsid w:val="00445853"/>
    <w:rsid w:val="00447748"/>
    <w:rsid w:val="00447A90"/>
    <w:rsid w:val="00451C0A"/>
    <w:rsid w:val="0045354B"/>
    <w:rsid w:val="00453687"/>
    <w:rsid w:val="004536F3"/>
    <w:rsid w:val="004558BD"/>
    <w:rsid w:val="004579DC"/>
    <w:rsid w:val="00460C5B"/>
    <w:rsid w:val="004615D3"/>
    <w:rsid w:val="0046281E"/>
    <w:rsid w:val="00463909"/>
    <w:rsid w:val="004639C1"/>
    <w:rsid w:val="00464AF4"/>
    <w:rsid w:val="00464D6B"/>
    <w:rsid w:val="00467C83"/>
    <w:rsid w:val="00471E09"/>
    <w:rsid w:val="004728C4"/>
    <w:rsid w:val="0047369A"/>
    <w:rsid w:val="00473C7A"/>
    <w:rsid w:val="00474C35"/>
    <w:rsid w:val="004750A1"/>
    <w:rsid w:val="004769A4"/>
    <w:rsid w:val="00480212"/>
    <w:rsid w:val="00480D99"/>
    <w:rsid w:val="004838A8"/>
    <w:rsid w:val="00483934"/>
    <w:rsid w:val="00483EC9"/>
    <w:rsid w:val="004841AE"/>
    <w:rsid w:val="0048423C"/>
    <w:rsid w:val="0048483C"/>
    <w:rsid w:val="00484C7F"/>
    <w:rsid w:val="00485194"/>
    <w:rsid w:val="00487BBD"/>
    <w:rsid w:val="0049095E"/>
    <w:rsid w:val="0049216F"/>
    <w:rsid w:val="004928F5"/>
    <w:rsid w:val="004933FC"/>
    <w:rsid w:val="00494029"/>
    <w:rsid w:val="004A0E7A"/>
    <w:rsid w:val="004A2091"/>
    <w:rsid w:val="004A212C"/>
    <w:rsid w:val="004A29FE"/>
    <w:rsid w:val="004A48E1"/>
    <w:rsid w:val="004A6B6D"/>
    <w:rsid w:val="004A6D54"/>
    <w:rsid w:val="004A6E6E"/>
    <w:rsid w:val="004B0090"/>
    <w:rsid w:val="004B05C6"/>
    <w:rsid w:val="004B1A74"/>
    <w:rsid w:val="004B3514"/>
    <w:rsid w:val="004B3867"/>
    <w:rsid w:val="004B3EDF"/>
    <w:rsid w:val="004B59E1"/>
    <w:rsid w:val="004B5FA6"/>
    <w:rsid w:val="004B6671"/>
    <w:rsid w:val="004B797A"/>
    <w:rsid w:val="004C0799"/>
    <w:rsid w:val="004C09C8"/>
    <w:rsid w:val="004C11B9"/>
    <w:rsid w:val="004C2853"/>
    <w:rsid w:val="004C2BB4"/>
    <w:rsid w:val="004C3B02"/>
    <w:rsid w:val="004C3C1C"/>
    <w:rsid w:val="004C3E4F"/>
    <w:rsid w:val="004C43C9"/>
    <w:rsid w:val="004C4418"/>
    <w:rsid w:val="004C45FA"/>
    <w:rsid w:val="004C4707"/>
    <w:rsid w:val="004C4BB7"/>
    <w:rsid w:val="004C6779"/>
    <w:rsid w:val="004C7D54"/>
    <w:rsid w:val="004C7F0C"/>
    <w:rsid w:val="004D0CC4"/>
    <w:rsid w:val="004D571F"/>
    <w:rsid w:val="004D6095"/>
    <w:rsid w:val="004D66AD"/>
    <w:rsid w:val="004D6995"/>
    <w:rsid w:val="004D79E9"/>
    <w:rsid w:val="004E07A1"/>
    <w:rsid w:val="004E109F"/>
    <w:rsid w:val="004E1729"/>
    <w:rsid w:val="004E1B3C"/>
    <w:rsid w:val="004E31A6"/>
    <w:rsid w:val="004E3959"/>
    <w:rsid w:val="004E3F86"/>
    <w:rsid w:val="004E4252"/>
    <w:rsid w:val="004E4AD1"/>
    <w:rsid w:val="004E5659"/>
    <w:rsid w:val="004E6E5F"/>
    <w:rsid w:val="004E77E1"/>
    <w:rsid w:val="004F0AB7"/>
    <w:rsid w:val="004F15D9"/>
    <w:rsid w:val="004F3291"/>
    <w:rsid w:val="004F32D0"/>
    <w:rsid w:val="004F342E"/>
    <w:rsid w:val="004F483D"/>
    <w:rsid w:val="004F5082"/>
    <w:rsid w:val="004F60C9"/>
    <w:rsid w:val="004F6671"/>
    <w:rsid w:val="004F78C4"/>
    <w:rsid w:val="00500E29"/>
    <w:rsid w:val="005025C7"/>
    <w:rsid w:val="00504B42"/>
    <w:rsid w:val="00506DB2"/>
    <w:rsid w:val="0051074E"/>
    <w:rsid w:val="00510808"/>
    <w:rsid w:val="00510870"/>
    <w:rsid w:val="00511AE4"/>
    <w:rsid w:val="00512A53"/>
    <w:rsid w:val="00512D81"/>
    <w:rsid w:val="00513D8C"/>
    <w:rsid w:val="0051421A"/>
    <w:rsid w:val="005149AC"/>
    <w:rsid w:val="005159EC"/>
    <w:rsid w:val="00515E8C"/>
    <w:rsid w:val="00516890"/>
    <w:rsid w:val="00516A4D"/>
    <w:rsid w:val="00517649"/>
    <w:rsid w:val="00521628"/>
    <w:rsid w:val="0052214D"/>
    <w:rsid w:val="00523C4A"/>
    <w:rsid w:val="00525F6D"/>
    <w:rsid w:val="0052661E"/>
    <w:rsid w:val="00526627"/>
    <w:rsid w:val="00526E75"/>
    <w:rsid w:val="00527666"/>
    <w:rsid w:val="00527EF6"/>
    <w:rsid w:val="00531016"/>
    <w:rsid w:val="00532218"/>
    <w:rsid w:val="00533849"/>
    <w:rsid w:val="00533D56"/>
    <w:rsid w:val="00535912"/>
    <w:rsid w:val="00536373"/>
    <w:rsid w:val="005367E7"/>
    <w:rsid w:val="005412A2"/>
    <w:rsid w:val="00542B22"/>
    <w:rsid w:val="00542CDB"/>
    <w:rsid w:val="00543B75"/>
    <w:rsid w:val="00544041"/>
    <w:rsid w:val="005449D0"/>
    <w:rsid w:val="00546FF2"/>
    <w:rsid w:val="00550934"/>
    <w:rsid w:val="00550ECE"/>
    <w:rsid w:val="005515F8"/>
    <w:rsid w:val="00553B9B"/>
    <w:rsid w:val="0055407F"/>
    <w:rsid w:val="005543AF"/>
    <w:rsid w:val="00554BD4"/>
    <w:rsid w:val="0055572B"/>
    <w:rsid w:val="00555CE3"/>
    <w:rsid w:val="0055603D"/>
    <w:rsid w:val="005600CD"/>
    <w:rsid w:val="00560E60"/>
    <w:rsid w:val="00562117"/>
    <w:rsid w:val="0056402C"/>
    <w:rsid w:val="00564672"/>
    <w:rsid w:val="0056494C"/>
    <w:rsid w:val="00564DDB"/>
    <w:rsid w:val="00565921"/>
    <w:rsid w:val="00566058"/>
    <w:rsid w:val="005660D0"/>
    <w:rsid w:val="00566380"/>
    <w:rsid w:val="0056658C"/>
    <w:rsid w:val="00567D41"/>
    <w:rsid w:val="005701EF"/>
    <w:rsid w:val="00570551"/>
    <w:rsid w:val="00571527"/>
    <w:rsid w:val="005727FC"/>
    <w:rsid w:val="00572C2A"/>
    <w:rsid w:val="00572F6A"/>
    <w:rsid w:val="00573B2C"/>
    <w:rsid w:val="00573B96"/>
    <w:rsid w:val="005742BF"/>
    <w:rsid w:val="00574D31"/>
    <w:rsid w:val="005807A8"/>
    <w:rsid w:val="00580D15"/>
    <w:rsid w:val="00581A2E"/>
    <w:rsid w:val="00584C51"/>
    <w:rsid w:val="0058512C"/>
    <w:rsid w:val="005879BA"/>
    <w:rsid w:val="00587B1E"/>
    <w:rsid w:val="00587E84"/>
    <w:rsid w:val="005913E6"/>
    <w:rsid w:val="00591A5C"/>
    <w:rsid w:val="005944ED"/>
    <w:rsid w:val="005964D7"/>
    <w:rsid w:val="00596D61"/>
    <w:rsid w:val="00597018"/>
    <w:rsid w:val="005A030B"/>
    <w:rsid w:val="005A0521"/>
    <w:rsid w:val="005A1EA5"/>
    <w:rsid w:val="005A2CE7"/>
    <w:rsid w:val="005A2F92"/>
    <w:rsid w:val="005A43E7"/>
    <w:rsid w:val="005A4480"/>
    <w:rsid w:val="005A60E9"/>
    <w:rsid w:val="005A77E1"/>
    <w:rsid w:val="005A7E33"/>
    <w:rsid w:val="005B10CC"/>
    <w:rsid w:val="005B23C4"/>
    <w:rsid w:val="005B28AB"/>
    <w:rsid w:val="005B4E14"/>
    <w:rsid w:val="005B52A0"/>
    <w:rsid w:val="005B538B"/>
    <w:rsid w:val="005B6FFD"/>
    <w:rsid w:val="005B72D5"/>
    <w:rsid w:val="005C16D1"/>
    <w:rsid w:val="005C196C"/>
    <w:rsid w:val="005C32BE"/>
    <w:rsid w:val="005C3DF3"/>
    <w:rsid w:val="005C5501"/>
    <w:rsid w:val="005C5AEA"/>
    <w:rsid w:val="005C7AFE"/>
    <w:rsid w:val="005C7D67"/>
    <w:rsid w:val="005D01B4"/>
    <w:rsid w:val="005D10B3"/>
    <w:rsid w:val="005D158D"/>
    <w:rsid w:val="005D1F9B"/>
    <w:rsid w:val="005D22BC"/>
    <w:rsid w:val="005D3A5F"/>
    <w:rsid w:val="005D60F3"/>
    <w:rsid w:val="005D6CE0"/>
    <w:rsid w:val="005E10A5"/>
    <w:rsid w:val="005E1A50"/>
    <w:rsid w:val="005E1AEC"/>
    <w:rsid w:val="005E21DE"/>
    <w:rsid w:val="005E24C2"/>
    <w:rsid w:val="005E2F74"/>
    <w:rsid w:val="005E34E9"/>
    <w:rsid w:val="005E35AB"/>
    <w:rsid w:val="005E76DB"/>
    <w:rsid w:val="005E7E9F"/>
    <w:rsid w:val="005F1439"/>
    <w:rsid w:val="005F21B0"/>
    <w:rsid w:val="005F30F1"/>
    <w:rsid w:val="005F3103"/>
    <w:rsid w:val="005F4D3D"/>
    <w:rsid w:val="005F5B10"/>
    <w:rsid w:val="005F6CAB"/>
    <w:rsid w:val="0060129A"/>
    <w:rsid w:val="0060244C"/>
    <w:rsid w:val="00605207"/>
    <w:rsid w:val="0060739A"/>
    <w:rsid w:val="00610A95"/>
    <w:rsid w:val="00613401"/>
    <w:rsid w:val="0061516D"/>
    <w:rsid w:val="00615B10"/>
    <w:rsid w:val="006168EB"/>
    <w:rsid w:val="00616DEB"/>
    <w:rsid w:val="00620DE2"/>
    <w:rsid w:val="00624E9E"/>
    <w:rsid w:val="0062573B"/>
    <w:rsid w:val="006263D3"/>
    <w:rsid w:val="0062694E"/>
    <w:rsid w:val="00630030"/>
    <w:rsid w:val="00630404"/>
    <w:rsid w:val="00630426"/>
    <w:rsid w:val="00631753"/>
    <w:rsid w:val="006330A1"/>
    <w:rsid w:val="00633207"/>
    <w:rsid w:val="0063561E"/>
    <w:rsid w:val="00635C2F"/>
    <w:rsid w:val="00636EB3"/>
    <w:rsid w:val="006377A9"/>
    <w:rsid w:val="0063788D"/>
    <w:rsid w:val="00637F6F"/>
    <w:rsid w:val="00640E61"/>
    <w:rsid w:val="006424D3"/>
    <w:rsid w:val="00642A8B"/>
    <w:rsid w:val="006439D3"/>
    <w:rsid w:val="00646105"/>
    <w:rsid w:val="006468ED"/>
    <w:rsid w:val="00647303"/>
    <w:rsid w:val="0064774D"/>
    <w:rsid w:val="00647DF7"/>
    <w:rsid w:val="006512F6"/>
    <w:rsid w:val="00653712"/>
    <w:rsid w:val="00653B0F"/>
    <w:rsid w:val="00655007"/>
    <w:rsid w:val="0065599C"/>
    <w:rsid w:val="00655B5C"/>
    <w:rsid w:val="006609B3"/>
    <w:rsid w:val="00660E52"/>
    <w:rsid w:val="0066148E"/>
    <w:rsid w:val="00661B3F"/>
    <w:rsid w:val="006625F9"/>
    <w:rsid w:val="00663A37"/>
    <w:rsid w:val="00663B72"/>
    <w:rsid w:val="00664590"/>
    <w:rsid w:val="00664BB4"/>
    <w:rsid w:val="00665A8F"/>
    <w:rsid w:val="00667860"/>
    <w:rsid w:val="0067157E"/>
    <w:rsid w:val="00672247"/>
    <w:rsid w:val="00675D66"/>
    <w:rsid w:val="00676D1D"/>
    <w:rsid w:val="00680659"/>
    <w:rsid w:val="00680D15"/>
    <w:rsid w:val="006818D9"/>
    <w:rsid w:val="006834AD"/>
    <w:rsid w:val="006838C7"/>
    <w:rsid w:val="0068643A"/>
    <w:rsid w:val="00686CD9"/>
    <w:rsid w:val="00687F16"/>
    <w:rsid w:val="00690405"/>
    <w:rsid w:val="00690944"/>
    <w:rsid w:val="006914D2"/>
    <w:rsid w:val="00691C06"/>
    <w:rsid w:val="00692DBD"/>
    <w:rsid w:val="006939B2"/>
    <w:rsid w:val="0069448A"/>
    <w:rsid w:val="006950D6"/>
    <w:rsid w:val="00696FD6"/>
    <w:rsid w:val="006A2E65"/>
    <w:rsid w:val="006A3246"/>
    <w:rsid w:val="006A4224"/>
    <w:rsid w:val="006A53BF"/>
    <w:rsid w:val="006A56F0"/>
    <w:rsid w:val="006A585F"/>
    <w:rsid w:val="006A721D"/>
    <w:rsid w:val="006A7CE2"/>
    <w:rsid w:val="006A7E3C"/>
    <w:rsid w:val="006B11C6"/>
    <w:rsid w:val="006B4CA4"/>
    <w:rsid w:val="006B6498"/>
    <w:rsid w:val="006B64AA"/>
    <w:rsid w:val="006B6868"/>
    <w:rsid w:val="006B7074"/>
    <w:rsid w:val="006B7C93"/>
    <w:rsid w:val="006C2214"/>
    <w:rsid w:val="006C372D"/>
    <w:rsid w:val="006C410C"/>
    <w:rsid w:val="006C48DE"/>
    <w:rsid w:val="006C52D3"/>
    <w:rsid w:val="006C55C2"/>
    <w:rsid w:val="006C55D7"/>
    <w:rsid w:val="006C6C41"/>
    <w:rsid w:val="006D1EC8"/>
    <w:rsid w:val="006D2D2B"/>
    <w:rsid w:val="006D3F59"/>
    <w:rsid w:val="006D41A6"/>
    <w:rsid w:val="006D6830"/>
    <w:rsid w:val="006D6B45"/>
    <w:rsid w:val="006D719C"/>
    <w:rsid w:val="006D7DF3"/>
    <w:rsid w:val="006E0A32"/>
    <w:rsid w:val="006E15A2"/>
    <w:rsid w:val="006E20F9"/>
    <w:rsid w:val="006E39E0"/>
    <w:rsid w:val="006E3F38"/>
    <w:rsid w:val="006E4B54"/>
    <w:rsid w:val="006E4C8D"/>
    <w:rsid w:val="006E59C4"/>
    <w:rsid w:val="006E5E9F"/>
    <w:rsid w:val="006E6076"/>
    <w:rsid w:val="006E6DD7"/>
    <w:rsid w:val="006F0222"/>
    <w:rsid w:val="006F04A3"/>
    <w:rsid w:val="006F114C"/>
    <w:rsid w:val="006F1A99"/>
    <w:rsid w:val="006F22DE"/>
    <w:rsid w:val="006F676C"/>
    <w:rsid w:val="00700C90"/>
    <w:rsid w:val="00701F34"/>
    <w:rsid w:val="007031A2"/>
    <w:rsid w:val="00704693"/>
    <w:rsid w:val="00704AB9"/>
    <w:rsid w:val="007054D8"/>
    <w:rsid w:val="00706D47"/>
    <w:rsid w:val="00711EE2"/>
    <w:rsid w:val="00712D71"/>
    <w:rsid w:val="007130DA"/>
    <w:rsid w:val="00713DD5"/>
    <w:rsid w:val="00714C8C"/>
    <w:rsid w:val="0071601C"/>
    <w:rsid w:val="007167AE"/>
    <w:rsid w:val="00720A77"/>
    <w:rsid w:val="00720D8F"/>
    <w:rsid w:val="0072149D"/>
    <w:rsid w:val="007214D9"/>
    <w:rsid w:val="00723C6D"/>
    <w:rsid w:val="0072514D"/>
    <w:rsid w:val="00725C5A"/>
    <w:rsid w:val="007263E6"/>
    <w:rsid w:val="007264EA"/>
    <w:rsid w:val="00726D09"/>
    <w:rsid w:val="00726F49"/>
    <w:rsid w:val="00732A25"/>
    <w:rsid w:val="00732AB3"/>
    <w:rsid w:val="007332CF"/>
    <w:rsid w:val="0073486B"/>
    <w:rsid w:val="00734FB5"/>
    <w:rsid w:val="007353CE"/>
    <w:rsid w:val="00736F47"/>
    <w:rsid w:val="00736F6B"/>
    <w:rsid w:val="00740ACC"/>
    <w:rsid w:val="00740DFE"/>
    <w:rsid w:val="007410C2"/>
    <w:rsid w:val="007411F0"/>
    <w:rsid w:val="0074208A"/>
    <w:rsid w:val="00744203"/>
    <w:rsid w:val="00746DD6"/>
    <w:rsid w:val="00746E60"/>
    <w:rsid w:val="00746FA8"/>
    <w:rsid w:val="007479B5"/>
    <w:rsid w:val="007514FB"/>
    <w:rsid w:val="00752886"/>
    <w:rsid w:val="00753070"/>
    <w:rsid w:val="00753A5C"/>
    <w:rsid w:val="00753ACF"/>
    <w:rsid w:val="00754023"/>
    <w:rsid w:val="007542EB"/>
    <w:rsid w:val="00754415"/>
    <w:rsid w:val="007550BD"/>
    <w:rsid w:val="007551E4"/>
    <w:rsid w:val="0075702C"/>
    <w:rsid w:val="0075799A"/>
    <w:rsid w:val="00757B6A"/>
    <w:rsid w:val="0076064B"/>
    <w:rsid w:val="00760F14"/>
    <w:rsid w:val="00761C38"/>
    <w:rsid w:val="00761EE8"/>
    <w:rsid w:val="00762151"/>
    <w:rsid w:val="0076215F"/>
    <w:rsid w:val="00762910"/>
    <w:rsid w:val="00762D4B"/>
    <w:rsid w:val="00764010"/>
    <w:rsid w:val="00764368"/>
    <w:rsid w:val="00764A05"/>
    <w:rsid w:val="00764B5B"/>
    <w:rsid w:val="00765287"/>
    <w:rsid w:val="007657CF"/>
    <w:rsid w:val="00765C81"/>
    <w:rsid w:val="00766A73"/>
    <w:rsid w:val="00766F19"/>
    <w:rsid w:val="007712C7"/>
    <w:rsid w:val="00773E96"/>
    <w:rsid w:val="0077455A"/>
    <w:rsid w:val="00775C09"/>
    <w:rsid w:val="00777372"/>
    <w:rsid w:val="00777417"/>
    <w:rsid w:val="00777527"/>
    <w:rsid w:val="007806A7"/>
    <w:rsid w:val="00780E83"/>
    <w:rsid w:val="00781849"/>
    <w:rsid w:val="00781B6F"/>
    <w:rsid w:val="0078246A"/>
    <w:rsid w:val="00782890"/>
    <w:rsid w:val="007833CB"/>
    <w:rsid w:val="00783B56"/>
    <w:rsid w:val="00784E6C"/>
    <w:rsid w:val="00785BC4"/>
    <w:rsid w:val="00786CFF"/>
    <w:rsid w:val="007874B4"/>
    <w:rsid w:val="0078754B"/>
    <w:rsid w:val="0078794A"/>
    <w:rsid w:val="00787C97"/>
    <w:rsid w:val="00791490"/>
    <w:rsid w:val="00791C7A"/>
    <w:rsid w:val="00791D59"/>
    <w:rsid w:val="00792D4C"/>
    <w:rsid w:val="007938AE"/>
    <w:rsid w:val="00793B7C"/>
    <w:rsid w:val="007A0DC1"/>
    <w:rsid w:val="007A19E0"/>
    <w:rsid w:val="007A1AB6"/>
    <w:rsid w:val="007A23F8"/>
    <w:rsid w:val="007A2D52"/>
    <w:rsid w:val="007A31AE"/>
    <w:rsid w:val="007A414E"/>
    <w:rsid w:val="007A4C14"/>
    <w:rsid w:val="007A4C43"/>
    <w:rsid w:val="007A550A"/>
    <w:rsid w:val="007A5B2E"/>
    <w:rsid w:val="007A5C18"/>
    <w:rsid w:val="007B28CF"/>
    <w:rsid w:val="007B4207"/>
    <w:rsid w:val="007B4416"/>
    <w:rsid w:val="007B46BF"/>
    <w:rsid w:val="007B6DD8"/>
    <w:rsid w:val="007C05DC"/>
    <w:rsid w:val="007C0FF7"/>
    <w:rsid w:val="007C14EE"/>
    <w:rsid w:val="007C3040"/>
    <w:rsid w:val="007C35DF"/>
    <w:rsid w:val="007C3BA4"/>
    <w:rsid w:val="007C5BB3"/>
    <w:rsid w:val="007C6783"/>
    <w:rsid w:val="007D07B3"/>
    <w:rsid w:val="007D1B1E"/>
    <w:rsid w:val="007D1D80"/>
    <w:rsid w:val="007D2550"/>
    <w:rsid w:val="007D4712"/>
    <w:rsid w:val="007D4AFF"/>
    <w:rsid w:val="007D5D30"/>
    <w:rsid w:val="007D6CF0"/>
    <w:rsid w:val="007E0B5E"/>
    <w:rsid w:val="007E0C9C"/>
    <w:rsid w:val="007E18F8"/>
    <w:rsid w:val="007E38F1"/>
    <w:rsid w:val="007E3C2E"/>
    <w:rsid w:val="007E3F8B"/>
    <w:rsid w:val="007E408D"/>
    <w:rsid w:val="007E648C"/>
    <w:rsid w:val="007E660F"/>
    <w:rsid w:val="007E781F"/>
    <w:rsid w:val="007E7E50"/>
    <w:rsid w:val="007F120F"/>
    <w:rsid w:val="007F1538"/>
    <w:rsid w:val="007F15FE"/>
    <w:rsid w:val="007F3D8B"/>
    <w:rsid w:val="007F3F9F"/>
    <w:rsid w:val="007F5BB9"/>
    <w:rsid w:val="007F5C41"/>
    <w:rsid w:val="007F5E4F"/>
    <w:rsid w:val="007F6C1A"/>
    <w:rsid w:val="007F7965"/>
    <w:rsid w:val="0080069B"/>
    <w:rsid w:val="00800777"/>
    <w:rsid w:val="00800EF1"/>
    <w:rsid w:val="008017D6"/>
    <w:rsid w:val="0080185B"/>
    <w:rsid w:val="008029F1"/>
    <w:rsid w:val="00802AC9"/>
    <w:rsid w:val="00803304"/>
    <w:rsid w:val="008041AC"/>
    <w:rsid w:val="008058D0"/>
    <w:rsid w:val="00806AC5"/>
    <w:rsid w:val="00807B2A"/>
    <w:rsid w:val="00810E97"/>
    <w:rsid w:val="0081123B"/>
    <w:rsid w:val="00811393"/>
    <w:rsid w:val="00812134"/>
    <w:rsid w:val="00815D01"/>
    <w:rsid w:val="00816C5A"/>
    <w:rsid w:val="00817344"/>
    <w:rsid w:val="00817678"/>
    <w:rsid w:val="0082049D"/>
    <w:rsid w:val="008217BC"/>
    <w:rsid w:val="00822BA1"/>
    <w:rsid w:val="00822DED"/>
    <w:rsid w:val="00824358"/>
    <w:rsid w:val="00824798"/>
    <w:rsid w:val="00824E58"/>
    <w:rsid w:val="008275DC"/>
    <w:rsid w:val="00827D60"/>
    <w:rsid w:val="00831D6C"/>
    <w:rsid w:val="00832F6C"/>
    <w:rsid w:val="008341ED"/>
    <w:rsid w:val="008362CE"/>
    <w:rsid w:val="00837584"/>
    <w:rsid w:val="00841673"/>
    <w:rsid w:val="00841963"/>
    <w:rsid w:val="00845B52"/>
    <w:rsid w:val="00846D3E"/>
    <w:rsid w:val="00846DE7"/>
    <w:rsid w:val="008477B9"/>
    <w:rsid w:val="00847C27"/>
    <w:rsid w:val="008505FB"/>
    <w:rsid w:val="008523FA"/>
    <w:rsid w:val="008529E6"/>
    <w:rsid w:val="00852BA3"/>
    <w:rsid w:val="00852CDD"/>
    <w:rsid w:val="00855E11"/>
    <w:rsid w:val="008575E1"/>
    <w:rsid w:val="0085760A"/>
    <w:rsid w:val="0086170A"/>
    <w:rsid w:val="00863328"/>
    <w:rsid w:val="00864348"/>
    <w:rsid w:val="0086448F"/>
    <w:rsid w:val="00864D6E"/>
    <w:rsid w:val="008659A2"/>
    <w:rsid w:val="0086690B"/>
    <w:rsid w:val="00866973"/>
    <w:rsid w:val="00867A0C"/>
    <w:rsid w:val="008710F8"/>
    <w:rsid w:val="00871A91"/>
    <w:rsid w:val="00871B94"/>
    <w:rsid w:val="00873012"/>
    <w:rsid w:val="008732A2"/>
    <w:rsid w:val="0087384A"/>
    <w:rsid w:val="0087417C"/>
    <w:rsid w:val="008755C2"/>
    <w:rsid w:val="008758DF"/>
    <w:rsid w:val="00875A6F"/>
    <w:rsid w:val="00877767"/>
    <w:rsid w:val="00877D63"/>
    <w:rsid w:val="00880580"/>
    <w:rsid w:val="00881947"/>
    <w:rsid w:val="00881D64"/>
    <w:rsid w:val="00882C01"/>
    <w:rsid w:val="00882E02"/>
    <w:rsid w:val="00883C16"/>
    <w:rsid w:val="008853EC"/>
    <w:rsid w:val="00885F19"/>
    <w:rsid w:val="00886866"/>
    <w:rsid w:val="00891CFC"/>
    <w:rsid w:val="00891E79"/>
    <w:rsid w:val="008921AE"/>
    <w:rsid w:val="00895187"/>
    <w:rsid w:val="00895BD3"/>
    <w:rsid w:val="00896EDC"/>
    <w:rsid w:val="008A06D7"/>
    <w:rsid w:val="008A0C9F"/>
    <w:rsid w:val="008A14F6"/>
    <w:rsid w:val="008A1645"/>
    <w:rsid w:val="008A3E6F"/>
    <w:rsid w:val="008A56C3"/>
    <w:rsid w:val="008A7EF2"/>
    <w:rsid w:val="008B0DFB"/>
    <w:rsid w:val="008B2951"/>
    <w:rsid w:val="008B2BBB"/>
    <w:rsid w:val="008B4EC8"/>
    <w:rsid w:val="008B646D"/>
    <w:rsid w:val="008B6842"/>
    <w:rsid w:val="008B70C4"/>
    <w:rsid w:val="008B7F11"/>
    <w:rsid w:val="008C004B"/>
    <w:rsid w:val="008C0CAF"/>
    <w:rsid w:val="008C18C1"/>
    <w:rsid w:val="008C3DC2"/>
    <w:rsid w:val="008C4229"/>
    <w:rsid w:val="008C442E"/>
    <w:rsid w:val="008C4943"/>
    <w:rsid w:val="008C5658"/>
    <w:rsid w:val="008C5DCA"/>
    <w:rsid w:val="008D0ADE"/>
    <w:rsid w:val="008D29AF"/>
    <w:rsid w:val="008D344B"/>
    <w:rsid w:val="008D346A"/>
    <w:rsid w:val="008D370B"/>
    <w:rsid w:val="008D41FC"/>
    <w:rsid w:val="008D4DD5"/>
    <w:rsid w:val="008D4ED9"/>
    <w:rsid w:val="008D6784"/>
    <w:rsid w:val="008D6B04"/>
    <w:rsid w:val="008D72B9"/>
    <w:rsid w:val="008E2254"/>
    <w:rsid w:val="008E2654"/>
    <w:rsid w:val="008E4929"/>
    <w:rsid w:val="008E4FF4"/>
    <w:rsid w:val="008F1C22"/>
    <w:rsid w:val="008F2554"/>
    <w:rsid w:val="008F47DC"/>
    <w:rsid w:val="008F635E"/>
    <w:rsid w:val="008F7956"/>
    <w:rsid w:val="009002CE"/>
    <w:rsid w:val="009025FB"/>
    <w:rsid w:val="009029DB"/>
    <w:rsid w:val="009038A8"/>
    <w:rsid w:val="00903DE2"/>
    <w:rsid w:val="00905C6E"/>
    <w:rsid w:val="0090753F"/>
    <w:rsid w:val="009118BA"/>
    <w:rsid w:val="0091243B"/>
    <w:rsid w:val="00913E51"/>
    <w:rsid w:val="00914986"/>
    <w:rsid w:val="00914DFE"/>
    <w:rsid w:val="0091614B"/>
    <w:rsid w:val="00916CEC"/>
    <w:rsid w:val="0091735D"/>
    <w:rsid w:val="00921287"/>
    <w:rsid w:val="0092131F"/>
    <w:rsid w:val="009214B4"/>
    <w:rsid w:val="00921595"/>
    <w:rsid w:val="00921DB0"/>
    <w:rsid w:val="00925D59"/>
    <w:rsid w:val="00926716"/>
    <w:rsid w:val="009308DA"/>
    <w:rsid w:val="00931DA6"/>
    <w:rsid w:val="00932A82"/>
    <w:rsid w:val="0093319A"/>
    <w:rsid w:val="00933540"/>
    <w:rsid w:val="0093396C"/>
    <w:rsid w:val="00933E6E"/>
    <w:rsid w:val="00934877"/>
    <w:rsid w:val="009353B8"/>
    <w:rsid w:val="00935439"/>
    <w:rsid w:val="009357D5"/>
    <w:rsid w:val="00935CD9"/>
    <w:rsid w:val="0093698A"/>
    <w:rsid w:val="009372AB"/>
    <w:rsid w:val="00937432"/>
    <w:rsid w:val="009374E9"/>
    <w:rsid w:val="00941D0E"/>
    <w:rsid w:val="0094290B"/>
    <w:rsid w:val="009453A6"/>
    <w:rsid w:val="009464A3"/>
    <w:rsid w:val="00946522"/>
    <w:rsid w:val="00946796"/>
    <w:rsid w:val="00950969"/>
    <w:rsid w:val="009511AA"/>
    <w:rsid w:val="0095183B"/>
    <w:rsid w:val="0095204C"/>
    <w:rsid w:val="009520FE"/>
    <w:rsid w:val="00953424"/>
    <w:rsid w:val="009534E7"/>
    <w:rsid w:val="00953B51"/>
    <w:rsid w:val="00953B7B"/>
    <w:rsid w:val="00954528"/>
    <w:rsid w:val="009558AA"/>
    <w:rsid w:val="009603E5"/>
    <w:rsid w:val="0096071A"/>
    <w:rsid w:val="00960A35"/>
    <w:rsid w:val="00960C91"/>
    <w:rsid w:val="00961AEB"/>
    <w:rsid w:val="00961B6D"/>
    <w:rsid w:val="00963717"/>
    <w:rsid w:val="00965CC4"/>
    <w:rsid w:val="0096624D"/>
    <w:rsid w:val="009676E3"/>
    <w:rsid w:val="00970143"/>
    <w:rsid w:val="00970B7F"/>
    <w:rsid w:val="00970C38"/>
    <w:rsid w:val="00971614"/>
    <w:rsid w:val="00972340"/>
    <w:rsid w:val="009752FA"/>
    <w:rsid w:val="009767C7"/>
    <w:rsid w:val="00977693"/>
    <w:rsid w:val="00977BB1"/>
    <w:rsid w:val="009818E4"/>
    <w:rsid w:val="00982494"/>
    <w:rsid w:val="00982697"/>
    <w:rsid w:val="009845F3"/>
    <w:rsid w:val="009845FD"/>
    <w:rsid w:val="00986E0B"/>
    <w:rsid w:val="00990523"/>
    <w:rsid w:val="00990935"/>
    <w:rsid w:val="00990A99"/>
    <w:rsid w:val="00990AFD"/>
    <w:rsid w:val="00991001"/>
    <w:rsid w:val="00991069"/>
    <w:rsid w:val="0099397C"/>
    <w:rsid w:val="00994A07"/>
    <w:rsid w:val="00994D8D"/>
    <w:rsid w:val="00996257"/>
    <w:rsid w:val="00996BCA"/>
    <w:rsid w:val="009A0E79"/>
    <w:rsid w:val="009A1740"/>
    <w:rsid w:val="009A216A"/>
    <w:rsid w:val="009A23B0"/>
    <w:rsid w:val="009A35C9"/>
    <w:rsid w:val="009A3604"/>
    <w:rsid w:val="009A473C"/>
    <w:rsid w:val="009A640D"/>
    <w:rsid w:val="009A7F00"/>
    <w:rsid w:val="009B106C"/>
    <w:rsid w:val="009B1548"/>
    <w:rsid w:val="009B3A1D"/>
    <w:rsid w:val="009B41F0"/>
    <w:rsid w:val="009B5D6E"/>
    <w:rsid w:val="009B69E9"/>
    <w:rsid w:val="009B7FFD"/>
    <w:rsid w:val="009C0279"/>
    <w:rsid w:val="009C21B4"/>
    <w:rsid w:val="009C3225"/>
    <w:rsid w:val="009C3CB8"/>
    <w:rsid w:val="009C4284"/>
    <w:rsid w:val="009C5DC4"/>
    <w:rsid w:val="009C61A3"/>
    <w:rsid w:val="009C66AA"/>
    <w:rsid w:val="009C6B84"/>
    <w:rsid w:val="009D0BC2"/>
    <w:rsid w:val="009D1368"/>
    <w:rsid w:val="009D2CDA"/>
    <w:rsid w:val="009D50C6"/>
    <w:rsid w:val="009D553D"/>
    <w:rsid w:val="009D5A24"/>
    <w:rsid w:val="009D5B2E"/>
    <w:rsid w:val="009D636F"/>
    <w:rsid w:val="009D7457"/>
    <w:rsid w:val="009D758F"/>
    <w:rsid w:val="009D7AC7"/>
    <w:rsid w:val="009D7BF2"/>
    <w:rsid w:val="009D7D83"/>
    <w:rsid w:val="009E0BE8"/>
    <w:rsid w:val="009E172F"/>
    <w:rsid w:val="009E19CB"/>
    <w:rsid w:val="009E426E"/>
    <w:rsid w:val="009E439C"/>
    <w:rsid w:val="009E620D"/>
    <w:rsid w:val="009E6E67"/>
    <w:rsid w:val="009E7F49"/>
    <w:rsid w:val="009F0B98"/>
    <w:rsid w:val="009F1641"/>
    <w:rsid w:val="009F1C46"/>
    <w:rsid w:val="009F1E25"/>
    <w:rsid w:val="009F2079"/>
    <w:rsid w:val="009F4BE1"/>
    <w:rsid w:val="009F4FF4"/>
    <w:rsid w:val="009F60F8"/>
    <w:rsid w:val="009F6493"/>
    <w:rsid w:val="009F69B5"/>
    <w:rsid w:val="009F79AE"/>
    <w:rsid w:val="00A004D3"/>
    <w:rsid w:val="00A00FFB"/>
    <w:rsid w:val="00A0406F"/>
    <w:rsid w:val="00A06896"/>
    <w:rsid w:val="00A07CA6"/>
    <w:rsid w:val="00A1292C"/>
    <w:rsid w:val="00A12981"/>
    <w:rsid w:val="00A14320"/>
    <w:rsid w:val="00A14E83"/>
    <w:rsid w:val="00A151A5"/>
    <w:rsid w:val="00A15263"/>
    <w:rsid w:val="00A15E74"/>
    <w:rsid w:val="00A164FB"/>
    <w:rsid w:val="00A16BEA"/>
    <w:rsid w:val="00A175E5"/>
    <w:rsid w:val="00A178C0"/>
    <w:rsid w:val="00A17EA1"/>
    <w:rsid w:val="00A17EDF"/>
    <w:rsid w:val="00A215DD"/>
    <w:rsid w:val="00A21746"/>
    <w:rsid w:val="00A24B55"/>
    <w:rsid w:val="00A24F34"/>
    <w:rsid w:val="00A24F60"/>
    <w:rsid w:val="00A254EA"/>
    <w:rsid w:val="00A274EF"/>
    <w:rsid w:val="00A27E41"/>
    <w:rsid w:val="00A300E8"/>
    <w:rsid w:val="00A30DB1"/>
    <w:rsid w:val="00A31101"/>
    <w:rsid w:val="00A32087"/>
    <w:rsid w:val="00A34451"/>
    <w:rsid w:val="00A34611"/>
    <w:rsid w:val="00A35811"/>
    <w:rsid w:val="00A35D0A"/>
    <w:rsid w:val="00A40FB6"/>
    <w:rsid w:val="00A42629"/>
    <w:rsid w:val="00A43944"/>
    <w:rsid w:val="00A43A45"/>
    <w:rsid w:val="00A43D2B"/>
    <w:rsid w:val="00A4524B"/>
    <w:rsid w:val="00A45454"/>
    <w:rsid w:val="00A4637B"/>
    <w:rsid w:val="00A46BB9"/>
    <w:rsid w:val="00A476B4"/>
    <w:rsid w:val="00A476D0"/>
    <w:rsid w:val="00A5087C"/>
    <w:rsid w:val="00A50D2F"/>
    <w:rsid w:val="00A50EE4"/>
    <w:rsid w:val="00A521D4"/>
    <w:rsid w:val="00A53511"/>
    <w:rsid w:val="00A541FE"/>
    <w:rsid w:val="00A55724"/>
    <w:rsid w:val="00A60841"/>
    <w:rsid w:val="00A61A4E"/>
    <w:rsid w:val="00A63700"/>
    <w:rsid w:val="00A64575"/>
    <w:rsid w:val="00A64C36"/>
    <w:rsid w:val="00A65A26"/>
    <w:rsid w:val="00A67625"/>
    <w:rsid w:val="00A67EF4"/>
    <w:rsid w:val="00A71399"/>
    <w:rsid w:val="00A73EF9"/>
    <w:rsid w:val="00A756C6"/>
    <w:rsid w:val="00A77200"/>
    <w:rsid w:val="00A80534"/>
    <w:rsid w:val="00A80BB6"/>
    <w:rsid w:val="00A80C68"/>
    <w:rsid w:val="00A821AF"/>
    <w:rsid w:val="00A844B8"/>
    <w:rsid w:val="00A849C8"/>
    <w:rsid w:val="00A855BE"/>
    <w:rsid w:val="00A86406"/>
    <w:rsid w:val="00A87937"/>
    <w:rsid w:val="00A9014B"/>
    <w:rsid w:val="00A9145E"/>
    <w:rsid w:val="00A914F3"/>
    <w:rsid w:val="00A915AB"/>
    <w:rsid w:val="00A9222E"/>
    <w:rsid w:val="00A92C7A"/>
    <w:rsid w:val="00A92DD2"/>
    <w:rsid w:val="00A93911"/>
    <w:rsid w:val="00A9454C"/>
    <w:rsid w:val="00A94751"/>
    <w:rsid w:val="00A954D7"/>
    <w:rsid w:val="00A95B2A"/>
    <w:rsid w:val="00A95E7F"/>
    <w:rsid w:val="00A96228"/>
    <w:rsid w:val="00A96DBD"/>
    <w:rsid w:val="00A970D5"/>
    <w:rsid w:val="00A97638"/>
    <w:rsid w:val="00AA0B4E"/>
    <w:rsid w:val="00AA1BBB"/>
    <w:rsid w:val="00AA1E74"/>
    <w:rsid w:val="00AA24D2"/>
    <w:rsid w:val="00AA423E"/>
    <w:rsid w:val="00AA7316"/>
    <w:rsid w:val="00AA78CE"/>
    <w:rsid w:val="00AA7F42"/>
    <w:rsid w:val="00AB0C12"/>
    <w:rsid w:val="00AB0FA7"/>
    <w:rsid w:val="00AB214C"/>
    <w:rsid w:val="00AB26D5"/>
    <w:rsid w:val="00AB3885"/>
    <w:rsid w:val="00AB5F3B"/>
    <w:rsid w:val="00AC004D"/>
    <w:rsid w:val="00AC09F1"/>
    <w:rsid w:val="00AC2BD0"/>
    <w:rsid w:val="00AC379C"/>
    <w:rsid w:val="00AC38A9"/>
    <w:rsid w:val="00AC4BF6"/>
    <w:rsid w:val="00AC5AF0"/>
    <w:rsid w:val="00AC6797"/>
    <w:rsid w:val="00AC6A7A"/>
    <w:rsid w:val="00AC6F68"/>
    <w:rsid w:val="00AC7507"/>
    <w:rsid w:val="00AD0BD3"/>
    <w:rsid w:val="00AD104E"/>
    <w:rsid w:val="00AD124D"/>
    <w:rsid w:val="00AD1EAE"/>
    <w:rsid w:val="00AD2280"/>
    <w:rsid w:val="00AD26C0"/>
    <w:rsid w:val="00AD4839"/>
    <w:rsid w:val="00AD4C7C"/>
    <w:rsid w:val="00AD76EF"/>
    <w:rsid w:val="00AE055E"/>
    <w:rsid w:val="00AE19D1"/>
    <w:rsid w:val="00AE1B39"/>
    <w:rsid w:val="00AE2666"/>
    <w:rsid w:val="00AE3BE0"/>
    <w:rsid w:val="00AE50C7"/>
    <w:rsid w:val="00AE5D09"/>
    <w:rsid w:val="00AE6037"/>
    <w:rsid w:val="00AE6B11"/>
    <w:rsid w:val="00AE7EBC"/>
    <w:rsid w:val="00AF434D"/>
    <w:rsid w:val="00AF4EE4"/>
    <w:rsid w:val="00B0036F"/>
    <w:rsid w:val="00B00C8E"/>
    <w:rsid w:val="00B01AFD"/>
    <w:rsid w:val="00B02AA5"/>
    <w:rsid w:val="00B04F50"/>
    <w:rsid w:val="00B05CA6"/>
    <w:rsid w:val="00B1073D"/>
    <w:rsid w:val="00B11CD7"/>
    <w:rsid w:val="00B11D60"/>
    <w:rsid w:val="00B1205D"/>
    <w:rsid w:val="00B13307"/>
    <w:rsid w:val="00B13B7B"/>
    <w:rsid w:val="00B15202"/>
    <w:rsid w:val="00B1553A"/>
    <w:rsid w:val="00B17577"/>
    <w:rsid w:val="00B21CD1"/>
    <w:rsid w:val="00B23256"/>
    <w:rsid w:val="00B23B08"/>
    <w:rsid w:val="00B24CF5"/>
    <w:rsid w:val="00B26507"/>
    <w:rsid w:val="00B269CE"/>
    <w:rsid w:val="00B31290"/>
    <w:rsid w:val="00B31CD8"/>
    <w:rsid w:val="00B32535"/>
    <w:rsid w:val="00B3277B"/>
    <w:rsid w:val="00B32B21"/>
    <w:rsid w:val="00B367AA"/>
    <w:rsid w:val="00B36B86"/>
    <w:rsid w:val="00B37176"/>
    <w:rsid w:val="00B373AA"/>
    <w:rsid w:val="00B40823"/>
    <w:rsid w:val="00B40DF9"/>
    <w:rsid w:val="00B41BF7"/>
    <w:rsid w:val="00B42083"/>
    <w:rsid w:val="00B42270"/>
    <w:rsid w:val="00B427A9"/>
    <w:rsid w:val="00B43455"/>
    <w:rsid w:val="00B435F8"/>
    <w:rsid w:val="00B4620E"/>
    <w:rsid w:val="00B46CB0"/>
    <w:rsid w:val="00B4725D"/>
    <w:rsid w:val="00B5180E"/>
    <w:rsid w:val="00B52A3F"/>
    <w:rsid w:val="00B539AD"/>
    <w:rsid w:val="00B5462A"/>
    <w:rsid w:val="00B54BC7"/>
    <w:rsid w:val="00B565AE"/>
    <w:rsid w:val="00B56C15"/>
    <w:rsid w:val="00B57348"/>
    <w:rsid w:val="00B578DA"/>
    <w:rsid w:val="00B61E5E"/>
    <w:rsid w:val="00B62D2B"/>
    <w:rsid w:val="00B63807"/>
    <w:rsid w:val="00B6426B"/>
    <w:rsid w:val="00B65D4D"/>
    <w:rsid w:val="00B66649"/>
    <w:rsid w:val="00B67741"/>
    <w:rsid w:val="00B67DF0"/>
    <w:rsid w:val="00B720DB"/>
    <w:rsid w:val="00B75683"/>
    <w:rsid w:val="00B75985"/>
    <w:rsid w:val="00B7667D"/>
    <w:rsid w:val="00B77EF9"/>
    <w:rsid w:val="00B80BD4"/>
    <w:rsid w:val="00B8179C"/>
    <w:rsid w:val="00B822DB"/>
    <w:rsid w:val="00B82D4E"/>
    <w:rsid w:val="00B84A8A"/>
    <w:rsid w:val="00B87C64"/>
    <w:rsid w:val="00B91A82"/>
    <w:rsid w:val="00B9279C"/>
    <w:rsid w:val="00B934BE"/>
    <w:rsid w:val="00B93569"/>
    <w:rsid w:val="00B941CE"/>
    <w:rsid w:val="00B9576A"/>
    <w:rsid w:val="00B962BB"/>
    <w:rsid w:val="00B97CD9"/>
    <w:rsid w:val="00BA088E"/>
    <w:rsid w:val="00BA1B4B"/>
    <w:rsid w:val="00BA2861"/>
    <w:rsid w:val="00BA395F"/>
    <w:rsid w:val="00BA636A"/>
    <w:rsid w:val="00BA6707"/>
    <w:rsid w:val="00BA7C0B"/>
    <w:rsid w:val="00BB0BD8"/>
    <w:rsid w:val="00BB0F85"/>
    <w:rsid w:val="00BB1940"/>
    <w:rsid w:val="00BB2E4D"/>
    <w:rsid w:val="00BB320B"/>
    <w:rsid w:val="00BB5301"/>
    <w:rsid w:val="00BB57E8"/>
    <w:rsid w:val="00BB7349"/>
    <w:rsid w:val="00BC0196"/>
    <w:rsid w:val="00BC0367"/>
    <w:rsid w:val="00BC219A"/>
    <w:rsid w:val="00BC42A8"/>
    <w:rsid w:val="00BC66EE"/>
    <w:rsid w:val="00BC69F2"/>
    <w:rsid w:val="00BC7535"/>
    <w:rsid w:val="00BC7F3C"/>
    <w:rsid w:val="00BC7FFB"/>
    <w:rsid w:val="00BD034D"/>
    <w:rsid w:val="00BD3209"/>
    <w:rsid w:val="00BD3ECE"/>
    <w:rsid w:val="00BD5782"/>
    <w:rsid w:val="00BD780A"/>
    <w:rsid w:val="00BE0194"/>
    <w:rsid w:val="00BE0234"/>
    <w:rsid w:val="00BE0630"/>
    <w:rsid w:val="00BE0CEB"/>
    <w:rsid w:val="00BE1E12"/>
    <w:rsid w:val="00BE346A"/>
    <w:rsid w:val="00BE46DF"/>
    <w:rsid w:val="00BE635E"/>
    <w:rsid w:val="00BE6364"/>
    <w:rsid w:val="00BE6D71"/>
    <w:rsid w:val="00BE718D"/>
    <w:rsid w:val="00BE7A12"/>
    <w:rsid w:val="00BE7ADF"/>
    <w:rsid w:val="00BE7CAE"/>
    <w:rsid w:val="00BF5945"/>
    <w:rsid w:val="00BF6362"/>
    <w:rsid w:val="00BF7293"/>
    <w:rsid w:val="00BF78D4"/>
    <w:rsid w:val="00C009C1"/>
    <w:rsid w:val="00C01B8A"/>
    <w:rsid w:val="00C01FED"/>
    <w:rsid w:val="00C02596"/>
    <w:rsid w:val="00C0468A"/>
    <w:rsid w:val="00C05398"/>
    <w:rsid w:val="00C056BE"/>
    <w:rsid w:val="00C06182"/>
    <w:rsid w:val="00C06249"/>
    <w:rsid w:val="00C068BC"/>
    <w:rsid w:val="00C07871"/>
    <w:rsid w:val="00C0787B"/>
    <w:rsid w:val="00C07B7F"/>
    <w:rsid w:val="00C07EC8"/>
    <w:rsid w:val="00C10243"/>
    <w:rsid w:val="00C13C38"/>
    <w:rsid w:val="00C1424F"/>
    <w:rsid w:val="00C14933"/>
    <w:rsid w:val="00C14E0B"/>
    <w:rsid w:val="00C157FC"/>
    <w:rsid w:val="00C200F2"/>
    <w:rsid w:val="00C2027F"/>
    <w:rsid w:val="00C205DB"/>
    <w:rsid w:val="00C20B16"/>
    <w:rsid w:val="00C216A8"/>
    <w:rsid w:val="00C233B3"/>
    <w:rsid w:val="00C235D5"/>
    <w:rsid w:val="00C238FB"/>
    <w:rsid w:val="00C240FA"/>
    <w:rsid w:val="00C25B3F"/>
    <w:rsid w:val="00C2627B"/>
    <w:rsid w:val="00C3227B"/>
    <w:rsid w:val="00C32ACE"/>
    <w:rsid w:val="00C32F37"/>
    <w:rsid w:val="00C33352"/>
    <w:rsid w:val="00C33E5F"/>
    <w:rsid w:val="00C346DD"/>
    <w:rsid w:val="00C34DB4"/>
    <w:rsid w:val="00C35A64"/>
    <w:rsid w:val="00C35E7C"/>
    <w:rsid w:val="00C36B0D"/>
    <w:rsid w:val="00C37839"/>
    <w:rsid w:val="00C37EA0"/>
    <w:rsid w:val="00C409F6"/>
    <w:rsid w:val="00C410D2"/>
    <w:rsid w:val="00C41479"/>
    <w:rsid w:val="00C43810"/>
    <w:rsid w:val="00C439F1"/>
    <w:rsid w:val="00C4452E"/>
    <w:rsid w:val="00C45272"/>
    <w:rsid w:val="00C45E71"/>
    <w:rsid w:val="00C536D2"/>
    <w:rsid w:val="00C54558"/>
    <w:rsid w:val="00C558A4"/>
    <w:rsid w:val="00C559CD"/>
    <w:rsid w:val="00C57E04"/>
    <w:rsid w:val="00C61B06"/>
    <w:rsid w:val="00C61FEC"/>
    <w:rsid w:val="00C62B4F"/>
    <w:rsid w:val="00C62FC2"/>
    <w:rsid w:val="00C65918"/>
    <w:rsid w:val="00C65FA7"/>
    <w:rsid w:val="00C7008E"/>
    <w:rsid w:val="00C71A87"/>
    <w:rsid w:val="00C72F35"/>
    <w:rsid w:val="00C73ED0"/>
    <w:rsid w:val="00C74F2A"/>
    <w:rsid w:val="00C76946"/>
    <w:rsid w:val="00C76CD4"/>
    <w:rsid w:val="00C76D2C"/>
    <w:rsid w:val="00C77686"/>
    <w:rsid w:val="00C80B05"/>
    <w:rsid w:val="00C81AD2"/>
    <w:rsid w:val="00C81CD7"/>
    <w:rsid w:val="00C81ECD"/>
    <w:rsid w:val="00C82268"/>
    <w:rsid w:val="00C83AEC"/>
    <w:rsid w:val="00C84348"/>
    <w:rsid w:val="00C85BE1"/>
    <w:rsid w:val="00C8742E"/>
    <w:rsid w:val="00C87D3E"/>
    <w:rsid w:val="00C90FC8"/>
    <w:rsid w:val="00C92A0D"/>
    <w:rsid w:val="00C93C99"/>
    <w:rsid w:val="00C9443B"/>
    <w:rsid w:val="00C9490F"/>
    <w:rsid w:val="00C96E34"/>
    <w:rsid w:val="00C97067"/>
    <w:rsid w:val="00C9717B"/>
    <w:rsid w:val="00C97465"/>
    <w:rsid w:val="00C97586"/>
    <w:rsid w:val="00CA0E7A"/>
    <w:rsid w:val="00CA1AD6"/>
    <w:rsid w:val="00CA295C"/>
    <w:rsid w:val="00CA39B7"/>
    <w:rsid w:val="00CA43EA"/>
    <w:rsid w:val="00CA5AF6"/>
    <w:rsid w:val="00CA760E"/>
    <w:rsid w:val="00CB2149"/>
    <w:rsid w:val="00CB2159"/>
    <w:rsid w:val="00CB4BBD"/>
    <w:rsid w:val="00CB4C86"/>
    <w:rsid w:val="00CB5B7B"/>
    <w:rsid w:val="00CB5F3F"/>
    <w:rsid w:val="00CB6418"/>
    <w:rsid w:val="00CC0C48"/>
    <w:rsid w:val="00CC2F81"/>
    <w:rsid w:val="00CC34DE"/>
    <w:rsid w:val="00CC3DCA"/>
    <w:rsid w:val="00CC4F1E"/>
    <w:rsid w:val="00CC5FBE"/>
    <w:rsid w:val="00CC6BC0"/>
    <w:rsid w:val="00CC7706"/>
    <w:rsid w:val="00CC7B1F"/>
    <w:rsid w:val="00CD19A8"/>
    <w:rsid w:val="00CD19DB"/>
    <w:rsid w:val="00CD2E3C"/>
    <w:rsid w:val="00CD30FC"/>
    <w:rsid w:val="00CD39A2"/>
    <w:rsid w:val="00CD4B87"/>
    <w:rsid w:val="00CD55DB"/>
    <w:rsid w:val="00CD5CD1"/>
    <w:rsid w:val="00CD63AD"/>
    <w:rsid w:val="00CE1045"/>
    <w:rsid w:val="00CE12F6"/>
    <w:rsid w:val="00CE1E88"/>
    <w:rsid w:val="00CE26E6"/>
    <w:rsid w:val="00CE3486"/>
    <w:rsid w:val="00CE4450"/>
    <w:rsid w:val="00CE4772"/>
    <w:rsid w:val="00CE49B6"/>
    <w:rsid w:val="00CE4A28"/>
    <w:rsid w:val="00CE56C5"/>
    <w:rsid w:val="00CE5C3A"/>
    <w:rsid w:val="00CF0972"/>
    <w:rsid w:val="00CF0AE0"/>
    <w:rsid w:val="00CF1436"/>
    <w:rsid w:val="00CF31B4"/>
    <w:rsid w:val="00CF4CEF"/>
    <w:rsid w:val="00CF6431"/>
    <w:rsid w:val="00CF6592"/>
    <w:rsid w:val="00CF6E52"/>
    <w:rsid w:val="00D01DCF"/>
    <w:rsid w:val="00D02606"/>
    <w:rsid w:val="00D04514"/>
    <w:rsid w:val="00D067C4"/>
    <w:rsid w:val="00D076D9"/>
    <w:rsid w:val="00D11A35"/>
    <w:rsid w:val="00D11E06"/>
    <w:rsid w:val="00D1224D"/>
    <w:rsid w:val="00D1259C"/>
    <w:rsid w:val="00D13846"/>
    <w:rsid w:val="00D1440E"/>
    <w:rsid w:val="00D146EB"/>
    <w:rsid w:val="00D15656"/>
    <w:rsid w:val="00D20835"/>
    <w:rsid w:val="00D20D52"/>
    <w:rsid w:val="00D20EF6"/>
    <w:rsid w:val="00D219AA"/>
    <w:rsid w:val="00D21D01"/>
    <w:rsid w:val="00D2237A"/>
    <w:rsid w:val="00D22D3F"/>
    <w:rsid w:val="00D23E73"/>
    <w:rsid w:val="00D24BD1"/>
    <w:rsid w:val="00D2588A"/>
    <w:rsid w:val="00D25B60"/>
    <w:rsid w:val="00D26217"/>
    <w:rsid w:val="00D26522"/>
    <w:rsid w:val="00D278F0"/>
    <w:rsid w:val="00D30081"/>
    <w:rsid w:val="00D32986"/>
    <w:rsid w:val="00D338DB"/>
    <w:rsid w:val="00D35042"/>
    <w:rsid w:val="00D3511F"/>
    <w:rsid w:val="00D36BE0"/>
    <w:rsid w:val="00D36DB6"/>
    <w:rsid w:val="00D3721B"/>
    <w:rsid w:val="00D3752B"/>
    <w:rsid w:val="00D40470"/>
    <w:rsid w:val="00D41147"/>
    <w:rsid w:val="00D444E9"/>
    <w:rsid w:val="00D44AD8"/>
    <w:rsid w:val="00D4515E"/>
    <w:rsid w:val="00D4521D"/>
    <w:rsid w:val="00D45819"/>
    <w:rsid w:val="00D46397"/>
    <w:rsid w:val="00D464F2"/>
    <w:rsid w:val="00D52933"/>
    <w:rsid w:val="00D52C36"/>
    <w:rsid w:val="00D52FF0"/>
    <w:rsid w:val="00D56683"/>
    <w:rsid w:val="00D6001A"/>
    <w:rsid w:val="00D6189E"/>
    <w:rsid w:val="00D61E4F"/>
    <w:rsid w:val="00D62E71"/>
    <w:rsid w:val="00D63146"/>
    <w:rsid w:val="00D64BB4"/>
    <w:rsid w:val="00D65159"/>
    <w:rsid w:val="00D65AEB"/>
    <w:rsid w:val="00D65C56"/>
    <w:rsid w:val="00D66CBB"/>
    <w:rsid w:val="00D70514"/>
    <w:rsid w:val="00D71305"/>
    <w:rsid w:val="00D718B8"/>
    <w:rsid w:val="00D71BF7"/>
    <w:rsid w:val="00D7260C"/>
    <w:rsid w:val="00D731D0"/>
    <w:rsid w:val="00D738D2"/>
    <w:rsid w:val="00D73CDD"/>
    <w:rsid w:val="00D741C8"/>
    <w:rsid w:val="00D74E94"/>
    <w:rsid w:val="00D75395"/>
    <w:rsid w:val="00D76565"/>
    <w:rsid w:val="00D766B4"/>
    <w:rsid w:val="00D809E4"/>
    <w:rsid w:val="00D81B85"/>
    <w:rsid w:val="00D81EDD"/>
    <w:rsid w:val="00D8486E"/>
    <w:rsid w:val="00D84F77"/>
    <w:rsid w:val="00D85CDF"/>
    <w:rsid w:val="00D8663B"/>
    <w:rsid w:val="00D878B6"/>
    <w:rsid w:val="00D87FC0"/>
    <w:rsid w:val="00D90C1B"/>
    <w:rsid w:val="00D90FB3"/>
    <w:rsid w:val="00D925D1"/>
    <w:rsid w:val="00D92668"/>
    <w:rsid w:val="00D93089"/>
    <w:rsid w:val="00D93AD4"/>
    <w:rsid w:val="00D93C84"/>
    <w:rsid w:val="00D94F27"/>
    <w:rsid w:val="00D95B37"/>
    <w:rsid w:val="00D979CF"/>
    <w:rsid w:val="00DA0B8F"/>
    <w:rsid w:val="00DA1A7B"/>
    <w:rsid w:val="00DA1F2A"/>
    <w:rsid w:val="00DA432C"/>
    <w:rsid w:val="00DA4677"/>
    <w:rsid w:val="00DB08A2"/>
    <w:rsid w:val="00DB0D6D"/>
    <w:rsid w:val="00DB1035"/>
    <w:rsid w:val="00DB1F84"/>
    <w:rsid w:val="00DB44A1"/>
    <w:rsid w:val="00DB5CD7"/>
    <w:rsid w:val="00DB6647"/>
    <w:rsid w:val="00DC0C9F"/>
    <w:rsid w:val="00DC1727"/>
    <w:rsid w:val="00DC1843"/>
    <w:rsid w:val="00DC33BA"/>
    <w:rsid w:val="00DC4957"/>
    <w:rsid w:val="00DC4AE2"/>
    <w:rsid w:val="00DC63B3"/>
    <w:rsid w:val="00DC6B6C"/>
    <w:rsid w:val="00DD2877"/>
    <w:rsid w:val="00DD2EDE"/>
    <w:rsid w:val="00DD3144"/>
    <w:rsid w:val="00DD38A3"/>
    <w:rsid w:val="00DD67AC"/>
    <w:rsid w:val="00DD7FD2"/>
    <w:rsid w:val="00DE0E0F"/>
    <w:rsid w:val="00DE0F3E"/>
    <w:rsid w:val="00DE1DEE"/>
    <w:rsid w:val="00DE2A8A"/>
    <w:rsid w:val="00DE3218"/>
    <w:rsid w:val="00DE33F9"/>
    <w:rsid w:val="00DE5831"/>
    <w:rsid w:val="00DE5C5C"/>
    <w:rsid w:val="00DE6816"/>
    <w:rsid w:val="00DE6B73"/>
    <w:rsid w:val="00DF06C4"/>
    <w:rsid w:val="00DF0BD1"/>
    <w:rsid w:val="00DF1156"/>
    <w:rsid w:val="00DF1173"/>
    <w:rsid w:val="00DF2CB0"/>
    <w:rsid w:val="00DF31D9"/>
    <w:rsid w:val="00DF383C"/>
    <w:rsid w:val="00DF4465"/>
    <w:rsid w:val="00DF451B"/>
    <w:rsid w:val="00DF481A"/>
    <w:rsid w:val="00DF5D03"/>
    <w:rsid w:val="00DF5F8C"/>
    <w:rsid w:val="00DF6006"/>
    <w:rsid w:val="00DF6955"/>
    <w:rsid w:val="00DF7B01"/>
    <w:rsid w:val="00DF7E4B"/>
    <w:rsid w:val="00E03FD2"/>
    <w:rsid w:val="00E0443E"/>
    <w:rsid w:val="00E0480A"/>
    <w:rsid w:val="00E05FCE"/>
    <w:rsid w:val="00E076EA"/>
    <w:rsid w:val="00E0787C"/>
    <w:rsid w:val="00E120FC"/>
    <w:rsid w:val="00E12D07"/>
    <w:rsid w:val="00E14BA9"/>
    <w:rsid w:val="00E1701F"/>
    <w:rsid w:val="00E2168A"/>
    <w:rsid w:val="00E22FD4"/>
    <w:rsid w:val="00E23A0E"/>
    <w:rsid w:val="00E23EE3"/>
    <w:rsid w:val="00E245A1"/>
    <w:rsid w:val="00E24831"/>
    <w:rsid w:val="00E25228"/>
    <w:rsid w:val="00E27953"/>
    <w:rsid w:val="00E31001"/>
    <w:rsid w:val="00E34A4E"/>
    <w:rsid w:val="00E41D06"/>
    <w:rsid w:val="00E41D0D"/>
    <w:rsid w:val="00E426BD"/>
    <w:rsid w:val="00E45508"/>
    <w:rsid w:val="00E46685"/>
    <w:rsid w:val="00E47FC9"/>
    <w:rsid w:val="00E50687"/>
    <w:rsid w:val="00E507BE"/>
    <w:rsid w:val="00E50A06"/>
    <w:rsid w:val="00E51D63"/>
    <w:rsid w:val="00E5265D"/>
    <w:rsid w:val="00E53A6C"/>
    <w:rsid w:val="00E540BC"/>
    <w:rsid w:val="00E545D0"/>
    <w:rsid w:val="00E546D8"/>
    <w:rsid w:val="00E55C26"/>
    <w:rsid w:val="00E55EA0"/>
    <w:rsid w:val="00E56C8D"/>
    <w:rsid w:val="00E600CD"/>
    <w:rsid w:val="00E62EF4"/>
    <w:rsid w:val="00E632EA"/>
    <w:rsid w:val="00E65521"/>
    <w:rsid w:val="00E65D6D"/>
    <w:rsid w:val="00E67455"/>
    <w:rsid w:val="00E6790E"/>
    <w:rsid w:val="00E701AC"/>
    <w:rsid w:val="00E719E2"/>
    <w:rsid w:val="00E730F3"/>
    <w:rsid w:val="00E74957"/>
    <w:rsid w:val="00E75386"/>
    <w:rsid w:val="00E758A1"/>
    <w:rsid w:val="00E75DEB"/>
    <w:rsid w:val="00E76832"/>
    <w:rsid w:val="00E76D1F"/>
    <w:rsid w:val="00E77015"/>
    <w:rsid w:val="00E77017"/>
    <w:rsid w:val="00E807E8"/>
    <w:rsid w:val="00E80AD6"/>
    <w:rsid w:val="00E812B7"/>
    <w:rsid w:val="00E818B2"/>
    <w:rsid w:val="00E8267D"/>
    <w:rsid w:val="00E83C17"/>
    <w:rsid w:val="00E844ED"/>
    <w:rsid w:val="00E849D5"/>
    <w:rsid w:val="00E860AD"/>
    <w:rsid w:val="00E8653F"/>
    <w:rsid w:val="00E86C05"/>
    <w:rsid w:val="00E90C8F"/>
    <w:rsid w:val="00E91006"/>
    <w:rsid w:val="00E92106"/>
    <w:rsid w:val="00E92204"/>
    <w:rsid w:val="00E93276"/>
    <w:rsid w:val="00E93457"/>
    <w:rsid w:val="00E93F35"/>
    <w:rsid w:val="00E94535"/>
    <w:rsid w:val="00E97824"/>
    <w:rsid w:val="00EA04FB"/>
    <w:rsid w:val="00EA0688"/>
    <w:rsid w:val="00EA4C1F"/>
    <w:rsid w:val="00EA5B2B"/>
    <w:rsid w:val="00EA7EA7"/>
    <w:rsid w:val="00EB0239"/>
    <w:rsid w:val="00EB0AFA"/>
    <w:rsid w:val="00EB2BE8"/>
    <w:rsid w:val="00EB2F9B"/>
    <w:rsid w:val="00EB311C"/>
    <w:rsid w:val="00EB352A"/>
    <w:rsid w:val="00EB3FD5"/>
    <w:rsid w:val="00EB4897"/>
    <w:rsid w:val="00EB5F05"/>
    <w:rsid w:val="00EB6396"/>
    <w:rsid w:val="00EB65D1"/>
    <w:rsid w:val="00EB6916"/>
    <w:rsid w:val="00EC1362"/>
    <w:rsid w:val="00EC21A8"/>
    <w:rsid w:val="00EC238F"/>
    <w:rsid w:val="00EC291E"/>
    <w:rsid w:val="00EC2EEA"/>
    <w:rsid w:val="00EC6A66"/>
    <w:rsid w:val="00EC6ABB"/>
    <w:rsid w:val="00EC7B44"/>
    <w:rsid w:val="00ED10D9"/>
    <w:rsid w:val="00ED28F4"/>
    <w:rsid w:val="00ED30A9"/>
    <w:rsid w:val="00ED3FD9"/>
    <w:rsid w:val="00ED42D5"/>
    <w:rsid w:val="00ED43C6"/>
    <w:rsid w:val="00ED52D1"/>
    <w:rsid w:val="00ED5476"/>
    <w:rsid w:val="00ED62D1"/>
    <w:rsid w:val="00ED7864"/>
    <w:rsid w:val="00EE0200"/>
    <w:rsid w:val="00EE0F6C"/>
    <w:rsid w:val="00EE1465"/>
    <w:rsid w:val="00EE1D25"/>
    <w:rsid w:val="00EE2C69"/>
    <w:rsid w:val="00EE34DD"/>
    <w:rsid w:val="00EE3C92"/>
    <w:rsid w:val="00EE447F"/>
    <w:rsid w:val="00EE4674"/>
    <w:rsid w:val="00EE47C6"/>
    <w:rsid w:val="00EE4D84"/>
    <w:rsid w:val="00EE575C"/>
    <w:rsid w:val="00EE6B6F"/>
    <w:rsid w:val="00EE76B1"/>
    <w:rsid w:val="00EF0DE0"/>
    <w:rsid w:val="00EF0F59"/>
    <w:rsid w:val="00EF1196"/>
    <w:rsid w:val="00EF2B23"/>
    <w:rsid w:val="00EF31CB"/>
    <w:rsid w:val="00EF3A01"/>
    <w:rsid w:val="00EF4D0F"/>
    <w:rsid w:val="00EF52F1"/>
    <w:rsid w:val="00EF5FF8"/>
    <w:rsid w:val="00EF6F58"/>
    <w:rsid w:val="00EF7935"/>
    <w:rsid w:val="00F004E8"/>
    <w:rsid w:val="00F01526"/>
    <w:rsid w:val="00F023A7"/>
    <w:rsid w:val="00F03034"/>
    <w:rsid w:val="00F039E2"/>
    <w:rsid w:val="00F04A95"/>
    <w:rsid w:val="00F058D3"/>
    <w:rsid w:val="00F11FF3"/>
    <w:rsid w:val="00F12F4D"/>
    <w:rsid w:val="00F12FB0"/>
    <w:rsid w:val="00F13A10"/>
    <w:rsid w:val="00F16039"/>
    <w:rsid w:val="00F206DE"/>
    <w:rsid w:val="00F20DCF"/>
    <w:rsid w:val="00F2498E"/>
    <w:rsid w:val="00F249C5"/>
    <w:rsid w:val="00F270F0"/>
    <w:rsid w:val="00F27DB1"/>
    <w:rsid w:val="00F30FCB"/>
    <w:rsid w:val="00F32B26"/>
    <w:rsid w:val="00F3332A"/>
    <w:rsid w:val="00F34068"/>
    <w:rsid w:val="00F3421F"/>
    <w:rsid w:val="00F35ED7"/>
    <w:rsid w:val="00F423F6"/>
    <w:rsid w:val="00F43521"/>
    <w:rsid w:val="00F43916"/>
    <w:rsid w:val="00F44552"/>
    <w:rsid w:val="00F44F84"/>
    <w:rsid w:val="00F466E6"/>
    <w:rsid w:val="00F47094"/>
    <w:rsid w:val="00F4786D"/>
    <w:rsid w:val="00F50576"/>
    <w:rsid w:val="00F508F3"/>
    <w:rsid w:val="00F51133"/>
    <w:rsid w:val="00F51165"/>
    <w:rsid w:val="00F51C42"/>
    <w:rsid w:val="00F51CC4"/>
    <w:rsid w:val="00F51EAB"/>
    <w:rsid w:val="00F53747"/>
    <w:rsid w:val="00F54AF1"/>
    <w:rsid w:val="00F55B3B"/>
    <w:rsid w:val="00F55CBC"/>
    <w:rsid w:val="00F55DCB"/>
    <w:rsid w:val="00F56426"/>
    <w:rsid w:val="00F5643F"/>
    <w:rsid w:val="00F56CB4"/>
    <w:rsid w:val="00F62332"/>
    <w:rsid w:val="00F62371"/>
    <w:rsid w:val="00F62544"/>
    <w:rsid w:val="00F62E9B"/>
    <w:rsid w:val="00F63239"/>
    <w:rsid w:val="00F63C65"/>
    <w:rsid w:val="00F64F0D"/>
    <w:rsid w:val="00F656E5"/>
    <w:rsid w:val="00F66279"/>
    <w:rsid w:val="00F70652"/>
    <w:rsid w:val="00F70B12"/>
    <w:rsid w:val="00F70F10"/>
    <w:rsid w:val="00F74A3D"/>
    <w:rsid w:val="00F74A8F"/>
    <w:rsid w:val="00F74FB9"/>
    <w:rsid w:val="00F77D38"/>
    <w:rsid w:val="00F815F4"/>
    <w:rsid w:val="00F8543D"/>
    <w:rsid w:val="00F861B1"/>
    <w:rsid w:val="00F86C5F"/>
    <w:rsid w:val="00F86D62"/>
    <w:rsid w:val="00F874BB"/>
    <w:rsid w:val="00F90DA5"/>
    <w:rsid w:val="00F9118F"/>
    <w:rsid w:val="00F914C6"/>
    <w:rsid w:val="00F92B59"/>
    <w:rsid w:val="00F931A2"/>
    <w:rsid w:val="00F94250"/>
    <w:rsid w:val="00F97115"/>
    <w:rsid w:val="00F97289"/>
    <w:rsid w:val="00F97B3C"/>
    <w:rsid w:val="00F97DE7"/>
    <w:rsid w:val="00FA00A8"/>
    <w:rsid w:val="00FA016F"/>
    <w:rsid w:val="00FA1F4B"/>
    <w:rsid w:val="00FA3644"/>
    <w:rsid w:val="00FA4168"/>
    <w:rsid w:val="00FA4A6C"/>
    <w:rsid w:val="00FA4CAD"/>
    <w:rsid w:val="00FA4DC7"/>
    <w:rsid w:val="00FA4FF3"/>
    <w:rsid w:val="00FA5D15"/>
    <w:rsid w:val="00FA5F65"/>
    <w:rsid w:val="00FB1260"/>
    <w:rsid w:val="00FB1A7F"/>
    <w:rsid w:val="00FB3F61"/>
    <w:rsid w:val="00FB41FD"/>
    <w:rsid w:val="00FB4353"/>
    <w:rsid w:val="00FB4E64"/>
    <w:rsid w:val="00FB59AE"/>
    <w:rsid w:val="00FB6398"/>
    <w:rsid w:val="00FC0F87"/>
    <w:rsid w:val="00FC16AB"/>
    <w:rsid w:val="00FC3FBD"/>
    <w:rsid w:val="00FC54A4"/>
    <w:rsid w:val="00FC5909"/>
    <w:rsid w:val="00FC5CDF"/>
    <w:rsid w:val="00FC79E8"/>
    <w:rsid w:val="00FD0A58"/>
    <w:rsid w:val="00FD160B"/>
    <w:rsid w:val="00FD19B7"/>
    <w:rsid w:val="00FD325F"/>
    <w:rsid w:val="00FD39C9"/>
    <w:rsid w:val="00FD3CDC"/>
    <w:rsid w:val="00FD4378"/>
    <w:rsid w:val="00FD508D"/>
    <w:rsid w:val="00FD72C2"/>
    <w:rsid w:val="00FE0B52"/>
    <w:rsid w:val="00FE10DF"/>
    <w:rsid w:val="00FE1867"/>
    <w:rsid w:val="00FE26EC"/>
    <w:rsid w:val="00FE2DFF"/>
    <w:rsid w:val="00FE30A0"/>
    <w:rsid w:val="00FE35A8"/>
    <w:rsid w:val="00FE599A"/>
    <w:rsid w:val="00FE663C"/>
    <w:rsid w:val="00FE76FD"/>
    <w:rsid w:val="00FF0847"/>
    <w:rsid w:val="00FF1B91"/>
    <w:rsid w:val="00FF299D"/>
    <w:rsid w:val="00FF32F4"/>
    <w:rsid w:val="00FF421B"/>
    <w:rsid w:val="00FF47CD"/>
    <w:rsid w:val="00FF5344"/>
    <w:rsid w:val="00FF5532"/>
    <w:rsid w:val="00FF55E5"/>
    <w:rsid w:val="00FF5F70"/>
    <w:rsid w:val="00FF67D7"/>
    <w:rsid w:val="2697726E"/>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53F6BD7B-A570-4E4F-B5B2-F69830FDC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unhideWhenUsed="1" w:qFormat="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60" w:lineRule="auto"/>
      <w:jc w:val="both"/>
    </w:pPr>
    <w:rPr>
      <w:rFonts w:ascii="Palatino Linotype" w:eastAsia="Calibri" w:hAnsi="Palatino Linotype" w:cs="Calibri"/>
      <w:sz w:val="24"/>
      <w:szCs w:val="22"/>
    </w:rPr>
  </w:style>
  <w:style w:type="paragraph" w:styleId="Ttulo1">
    <w:name w:val="heading 1"/>
    <w:basedOn w:val="Normal"/>
    <w:next w:val="Normal"/>
    <w:link w:val="Ttulo1Car"/>
    <w:uiPriority w:val="9"/>
    <w:qFormat/>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basedOn w:val="Normal"/>
    <w:next w:val="Normal"/>
    <w:link w:val="Ttulo2Car"/>
    <w:uiPriority w:val="9"/>
    <w:unhideWhenUsed/>
    <w:qFormat/>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pPr>
      <w:keepNext/>
      <w:keepLines/>
      <w:outlineLvl w:val="2"/>
    </w:pPr>
    <w:rPr>
      <w:rFonts w:eastAsiaTheme="majorEastAsia" w:cstheme="majorBidi"/>
      <w:b/>
      <w:i/>
      <w:color w:val="000000" w:themeColor="text1"/>
      <w:szCs w:val="24"/>
      <w:u w:val="single"/>
    </w:rPr>
  </w:style>
  <w:style w:type="paragraph" w:styleId="Ttulo4">
    <w:name w:val="heading 4"/>
    <w:basedOn w:val="Normal"/>
    <w:next w:val="Normal"/>
    <w:link w:val="Ttulo4Car"/>
    <w:uiPriority w:val="9"/>
    <w:pPr>
      <w:spacing w:before="100" w:beforeAutospacing="1" w:after="100" w:afterAutospacing="1" w:line="240" w:lineRule="auto"/>
      <w:outlineLvl w:val="3"/>
    </w:pPr>
    <w:rPr>
      <w:rFonts w:ascii="Times New Roman" w:eastAsia="Times New Roman" w:hAnsi="Times New Roman" w:cs="Times New Roman"/>
      <w:b/>
      <w:bCs/>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basedOn w:val="Fuentedeprrafopredeter"/>
    <w:uiPriority w:val="99"/>
    <w:unhideWhenUsed/>
    <w:qFormat/>
    <w:rPr>
      <w:vertAlign w:val="superscript"/>
    </w:rPr>
  </w:style>
  <w:style w:type="character" w:styleId="nfasis">
    <w:name w:val="Emphasis"/>
    <w:basedOn w:val="Fuentedeprrafopredeter"/>
    <w:uiPriority w:val="20"/>
    <w:qFormat/>
    <w:rPr>
      <w:i/>
      <w:iCs/>
    </w:rPr>
  </w:style>
  <w:style w:type="character" w:styleId="Hipervnculo">
    <w:name w:val="Hyperlink"/>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uiPriority w:val="22"/>
    <w:qFormat/>
    <w:rPr>
      <w:b/>
      <w:bCs/>
    </w:rPr>
  </w:style>
  <w:style w:type="paragraph" w:styleId="Textonotapie">
    <w:name w:val="footnote text"/>
    <w:basedOn w:val="Normal"/>
    <w:link w:val="TextonotapieCar"/>
    <w:uiPriority w:val="99"/>
    <w:unhideWhenUsed/>
    <w:qFormat/>
    <w:pPr>
      <w:spacing w:line="240" w:lineRule="auto"/>
    </w:pPr>
    <w:rPr>
      <w:sz w:val="20"/>
      <w:szCs w:val="20"/>
    </w:rPr>
  </w:style>
  <w:style w:type="paragraph" w:styleId="Textonotaalfinal">
    <w:name w:val="endnote text"/>
    <w:basedOn w:val="Normal"/>
    <w:link w:val="TextonotaalfinalCar"/>
    <w:uiPriority w:val="99"/>
    <w:semiHidden/>
    <w:unhideWhenUsed/>
    <w:qFormat/>
    <w:pPr>
      <w:spacing w:line="240" w:lineRule="auto"/>
    </w:pPr>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qFormat/>
    <w:pPr>
      <w:spacing w:line="240" w:lineRule="auto"/>
    </w:pPr>
    <w:rPr>
      <w:sz w:val="20"/>
      <w:szCs w:val="20"/>
    </w:rPr>
  </w:style>
  <w:style w:type="paragraph" w:styleId="Textodeglobo">
    <w:name w:val="Balloon Text"/>
    <w:basedOn w:val="Normal"/>
    <w:link w:val="TextodegloboCar"/>
    <w:uiPriority w:val="99"/>
    <w:semiHidden/>
    <w:unhideWhenUsed/>
    <w:qFormat/>
    <w:pPr>
      <w:spacing w:line="240" w:lineRule="auto"/>
    </w:pPr>
    <w:rPr>
      <w:rFonts w:ascii="Segoe UI" w:hAnsi="Segoe UI" w:cs="Segoe UI"/>
      <w:sz w:val="18"/>
      <w:szCs w:val="18"/>
    </w:rPr>
  </w:style>
  <w:style w:type="paragraph" w:styleId="Encabezado">
    <w:name w:val="header"/>
    <w:basedOn w:val="Normal"/>
    <w:link w:val="EncabezadoCar"/>
    <w:uiPriority w:val="99"/>
    <w:unhideWhenUsed/>
    <w:qFormat/>
    <w:pPr>
      <w:tabs>
        <w:tab w:val="center" w:pos="4419"/>
        <w:tab w:val="right" w:pos="8838"/>
      </w:tabs>
      <w:spacing w:line="240" w:lineRule="auto"/>
    </w:pPr>
    <w:rPr>
      <w:rFonts w:ascii="Times New Roman" w:hAnsi="Times New Roman" w:cs="Times New Roman"/>
      <w:szCs w:val="24"/>
      <w:lang w:val="es-ES" w:eastAsia="es-ES"/>
    </w:rPr>
  </w:style>
  <w:style w:type="paragraph" w:styleId="Sangradetextonormal">
    <w:name w:val="Body Text Indent"/>
    <w:basedOn w:val="Normal"/>
    <w:link w:val="SangradetextonormalCar"/>
    <w:uiPriority w:val="99"/>
    <w:unhideWhenUsed/>
    <w:pPr>
      <w:spacing w:after="120" w:line="276" w:lineRule="auto"/>
      <w:ind w:left="283"/>
    </w:pPr>
    <w:rPr>
      <w:rFonts w:cs="Times New Roman"/>
      <w:lang w:eastAsia="en-US"/>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Cs w:val="24"/>
    </w:rPr>
  </w:style>
  <w:style w:type="paragraph" w:styleId="Piedepgina">
    <w:name w:val="footer"/>
    <w:basedOn w:val="Normal"/>
    <w:link w:val="PiedepginaCar"/>
    <w:uiPriority w:val="99"/>
    <w:unhideWhenUsed/>
    <w:qFormat/>
    <w:pPr>
      <w:tabs>
        <w:tab w:val="center" w:pos="4419"/>
        <w:tab w:val="right" w:pos="8838"/>
      </w:tabs>
      <w:spacing w:line="240" w:lineRule="auto"/>
    </w:pPr>
    <w:rPr>
      <w:rFonts w:ascii="Times New Roman" w:hAnsi="Times New Roman" w:cs="Times New Roman"/>
      <w:szCs w:val="24"/>
      <w:lang w:val="es-ES" w:eastAsia="es-ES"/>
    </w:rPr>
  </w:style>
  <w:style w:type="paragraph" w:styleId="Textoindependiente">
    <w:name w:val="Body Text"/>
    <w:basedOn w:val="Normal"/>
    <w:link w:val="TextoindependienteCar"/>
    <w:uiPriority w:val="1"/>
    <w:unhideWhenUsed/>
    <w:qFormat/>
    <w:rPr>
      <w:rFonts w:eastAsia="Times New Roman" w:cs="Times New Roman"/>
      <w:szCs w:val="24"/>
    </w:rPr>
  </w:style>
  <w:style w:type="paragraph" w:styleId="Textosinformato">
    <w:name w:val="Plain Text"/>
    <w:basedOn w:val="Normal"/>
    <w:link w:val="TextosinformatoCar"/>
    <w:qFormat/>
    <w:pPr>
      <w:spacing w:line="240" w:lineRule="auto"/>
    </w:pPr>
    <w:rPr>
      <w:rFonts w:ascii="Courier New" w:eastAsia="Times New Roman" w:hAnsi="Courier New" w:cs="Times New Roman"/>
      <w:sz w:val="20"/>
      <w:szCs w:val="20"/>
      <w:lang w:val="es-ES" w:eastAsia="es-ES"/>
    </w:r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qFormat/>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qFormat/>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pPr>
      <w:ind w:left="709"/>
    </w:pPr>
    <w:rPr>
      <w:rFonts w:eastAsia="Times New Roman" w:cs="Times New Roman"/>
      <w:szCs w:val="24"/>
      <w:lang w:val="es-ES" w:eastAsia="es-ES"/>
    </w:rPr>
  </w:style>
  <w:style w:type="character" w:customStyle="1" w:styleId="PrrafodelistaCar">
    <w:name w:val="Párrafo de lista Car"/>
    <w:link w:val="Prrafodelista"/>
    <w:uiPriority w:val="34"/>
    <w:qFormat/>
    <w:locked/>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qFormat/>
  </w:style>
  <w:style w:type="character" w:customStyle="1" w:styleId="TextonotapieCar">
    <w:name w:val="Texto nota pie Car"/>
    <w:basedOn w:val="Fuentedeprrafopredeter"/>
    <w:link w:val="Textonotapie"/>
    <w:uiPriority w:val="99"/>
    <w:qFormat/>
    <w:rPr>
      <w:sz w:val="20"/>
      <w:szCs w:val="20"/>
    </w:rPr>
  </w:style>
  <w:style w:type="paragraph" w:customStyle="1" w:styleId="Default">
    <w:name w:val="Default"/>
    <w:pPr>
      <w:autoSpaceDE w:val="0"/>
      <w:autoSpaceDN w:val="0"/>
      <w:adjustRightInd w:val="0"/>
    </w:pPr>
    <w:rPr>
      <w:rFonts w:ascii="Arial" w:hAnsi="Arial" w:cs="Arial"/>
      <w:color w:val="000000"/>
      <w:sz w:val="24"/>
      <w:szCs w:val="24"/>
      <w:lang w:eastAsia="en-US"/>
    </w:rPr>
  </w:style>
  <w:style w:type="character" w:customStyle="1" w:styleId="TextodegloboCar">
    <w:name w:val="Texto de globo Car"/>
    <w:basedOn w:val="Fuentedeprrafopredeter"/>
    <w:link w:val="Textodeglobo"/>
    <w:uiPriority w:val="99"/>
    <w:semiHidden/>
    <w:qFormat/>
    <w:rPr>
      <w:rFonts w:ascii="Segoe UI" w:hAnsi="Segoe UI" w:cs="Segoe UI"/>
      <w:sz w:val="18"/>
      <w:szCs w:val="18"/>
    </w:rPr>
  </w:style>
  <w:style w:type="paragraph" w:styleId="Sinespaciado">
    <w:name w:val="No Spacing"/>
    <w:link w:val="SinespaciadoCar"/>
    <w:uiPriority w:val="1"/>
    <w:qFormat/>
    <w:rPr>
      <w:rFonts w:ascii="Times New Roman" w:eastAsia="Times New Roman" w:hAnsi="Times New Roman" w:cs="Times New Roman"/>
      <w:sz w:val="24"/>
      <w:szCs w:val="24"/>
      <w:lang w:eastAsia="es-ES"/>
    </w:rPr>
  </w:style>
  <w:style w:type="character" w:customStyle="1" w:styleId="SinespaciadoCar">
    <w:name w:val="Sin espaciado Car"/>
    <w:link w:val="Sinespaciado"/>
    <w:uiPriority w:val="1"/>
    <w:qFormat/>
    <w:locked/>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9"/>
    <w:qFormat/>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basedOn w:val="Fuentedeprrafopredeter"/>
    <w:link w:val="Ttulo2"/>
    <w:uiPriority w:val="9"/>
    <w:qFormat/>
    <w:rPr>
      <w:rFonts w:ascii="Palatino Linotype" w:eastAsiaTheme="majorEastAsia" w:hAnsi="Palatino Linotype" w:cstheme="majorBidi"/>
      <w:b/>
      <w:color w:val="000000" w:themeColor="text1"/>
      <w:sz w:val="26"/>
      <w:szCs w:val="26"/>
      <w:lang w:eastAsia="es-MX"/>
    </w:rPr>
  </w:style>
  <w:style w:type="character" w:customStyle="1" w:styleId="TextoindependienteCar">
    <w:name w:val="Texto independiente Car"/>
    <w:basedOn w:val="Fuentedeprrafopredeter"/>
    <w:link w:val="Textoindependiente"/>
    <w:uiPriority w:val="1"/>
    <w:qFormat/>
    <w:rPr>
      <w:rFonts w:ascii="Palatino Linotype" w:eastAsia="Times New Roman" w:hAnsi="Palatino Linotype" w:cs="Times New Roman"/>
      <w:sz w:val="24"/>
      <w:szCs w:val="24"/>
      <w:lang w:eastAsia="es-MX"/>
    </w:rPr>
  </w:style>
  <w:style w:type="character" w:customStyle="1" w:styleId="TextocomentarioCar">
    <w:name w:val="Texto comentario Car"/>
    <w:basedOn w:val="Fuentedeprrafopredeter"/>
    <w:link w:val="Textocomentario"/>
    <w:uiPriority w:val="99"/>
    <w:semiHidden/>
    <w:qFormat/>
    <w:rPr>
      <w:sz w:val="20"/>
      <w:szCs w:val="20"/>
    </w:rPr>
  </w:style>
  <w:style w:type="character" w:customStyle="1" w:styleId="AsuntodelcomentarioCar">
    <w:name w:val="Asunto del comentario Car"/>
    <w:basedOn w:val="TextocomentarioCar"/>
    <w:link w:val="Asuntodelcomentario"/>
    <w:uiPriority w:val="99"/>
    <w:semiHidden/>
    <w:qFormat/>
    <w:rPr>
      <w:b/>
      <w:bCs/>
      <w:sz w:val="20"/>
      <w:szCs w:val="20"/>
    </w:rPr>
  </w:style>
  <w:style w:type="paragraph" w:customStyle="1" w:styleId="j">
    <w:name w:val="j"/>
    <w:basedOn w:val="Normal"/>
    <w:qFormat/>
    <w:pPr>
      <w:spacing w:before="100" w:beforeAutospacing="1" w:after="100" w:afterAutospacing="1" w:line="240" w:lineRule="auto"/>
    </w:pPr>
    <w:rPr>
      <w:rFonts w:ascii="Times New Roman" w:hAnsi="Times New Roman" w:cs="Times New Roman"/>
      <w:szCs w:val="24"/>
    </w:rPr>
  </w:style>
  <w:style w:type="table" w:customStyle="1" w:styleId="Tablaconcuadrcula1">
    <w:name w:val="Tabla con cuadrícula1"/>
    <w:basedOn w:val="Tablanormal"/>
    <w:uiPriority w:val="39"/>
    <w:qFormat/>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qFormat/>
    <w:rPr>
      <w:color w:val="605E5C"/>
      <w:shd w:val="clear" w:color="auto" w:fill="E1DFDD"/>
    </w:rPr>
  </w:style>
  <w:style w:type="character" w:customStyle="1" w:styleId="Ttulo4Car">
    <w:name w:val="Título 4 Car"/>
    <w:basedOn w:val="Fuentedeprrafopredeter"/>
    <w:link w:val="Ttulo4"/>
    <w:uiPriority w:val="9"/>
    <w:qFormat/>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qFormat/>
    <w:rPr>
      <w:rFonts w:ascii="Calibri" w:eastAsia="Calibri" w:hAnsi="Calibri" w:cs="Calibri"/>
      <w:sz w:val="20"/>
      <w:szCs w:val="20"/>
      <w:lang w:eastAsia="es-MX"/>
    </w:rPr>
  </w:style>
  <w:style w:type="character" w:customStyle="1" w:styleId="il">
    <w:name w:val="il"/>
    <w:basedOn w:val="Fuentedeprrafopredeter"/>
    <w:qFormat/>
  </w:style>
  <w:style w:type="paragraph" w:customStyle="1" w:styleId="n2">
    <w:name w:val="n2"/>
    <w:basedOn w:val="Normal"/>
    <w:qFormat/>
    <w:pPr>
      <w:spacing w:before="100" w:beforeAutospacing="1" w:after="100" w:afterAutospacing="1" w:line="240" w:lineRule="auto"/>
    </w:pPr>
    <w:rPr>
      <w:rFonts w:ascii="Times New Roman" w:eastAsia="Times New Roman" w:hAnsi="Times New Roman" w:cs="Times New Roman"/>
      <w:szCs w:val="24"/>
    </w:rPr>
  </w:style>
  <w:style w:type="character" w:customStyle="1" w:styleId="nacep">
    <w:name w:val="n_acep"/>
    <w:basedOn w:val="Fuentedeprrafopredeter"/>
    <w:qFormat/>
  </w:style>
  <w:style w:type="character" w:customStyle="1" w:styleId="notranslate">
    <w:name w:val="notranslate"/>
    <w:basedOn w:val="Fuentedeprrafopredeter"/>
    <w:qFormat/>
  </w:style>
  <w:style w:type="character" w:customStyle="1" w:styleId="apple-style-span">
    <w:name w:val="apple-style-span"/>
    <w:qFormat/>
  </w:style>
  <w:style w:type="paragraph" w:customStyle="1" w:styleId="paragraph">
    <w:name w:val="paragraph"/>
    <w:basedOn w:val="Normal"/>
    <w:qFormat/>
    <w:pPr>
      <w:spacing w:before="100"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Fuentedeprrafopredeter"/>
    <w:qFormat/>
  </w:style>
  <w:style w:type="paragraph" w:customStyle="1" w:styleId="Body1">
    <w:name w:val="Body 1"/>
    <w:qFormat/>
    <w:pPr>
      <w:spacing w:after="200" w:line="276" w:lineRule="auto"/>
      <w:outlineLvl w:val="0"/>
    </w:pPr>
    <w:rPr>
      <w:rFonts w:ascii="Helvetica" w:eastAsia="Arial Unicode MS" w:hAnsi="Helvetica" w:cs="Times New Roman"/>
      <w:color w:val="000000"/>
      <w:sz w:val="22"/>
      <w:u w:color="000000"/>
    </w:rPr>
  </w:style>
  <w:style w:type="character" w:customStyle="1" w:styleId="TextosinformatoCar">
    <w:name w:val="Texto sin formato Car"/>
    <w:basedOn w:val="Fuentedeprrafopredeter"/>
    <w:link w:val="Textosinformato"/>
    <w:qFormat/>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style>
  <w:style w:type="character" w:customStyle="1" w:styleId="red">
    <w:name w:val="red"/>
    <w:basedOn w:val="Fuentedeprrafopredeter"/>
    <w:qFormat/>
  </w:style>
  <w:style w:type="paragraph" w:customStyle="1" w:styleId="francesa">
    <w:name w:val="francesa"/>
    <w:basedOn w:val="Normal"/>
    <w:pPr>
      <w:spacing w:before="100" w:beforeAutospacing="1" w:after="100" w:afterAutospacing="1" w:line="240" w:lineRule="auto"/>
    </w:pPr>
    <w:rPr>
      <w:rFonts w:ascii="Times New Roman" w:eastAsia="Times New Roman" w:hAnsi="Times New Roman" w:cs="Times New Roman"/>
      <w:szCs w:val="24"/>
    </w:rPr>
  </w:style>
  <w:style w:type="paragraph" w:customStyle="1" w:styleId="Pa0">
    <w:name w:val="Pa0"/>
    <w:basedOn w:val="Default"/>
    <w:next w:val="Default"/>
    <w:uiPriority w:val="99"/>
    <w:pPr>
      <w:spacing w:line="221" w:lineRule="atLeast"/>
    </w:pPr>
    <w:rPr>
      <w:color w:val="auto"/>
    </w:rPr>
  </w:style>
  <w:style w:type="paragraph" w:customStyle="1" w:styleId="j2">
    <w:name w:val="j2"/>
    <w:basedOn w:val="Normal"/>
    <w:qFormat/>
    <w:pPr>
      <w:spacing w:before="100" w:beforeAutospacing="1" w:after="100" w:afterAutospacing="1" w:line="240" w:lineRule="auto"/>
    </w:pPr>
    <w:rPr>
      <w:rFonts w:ascii="Times New Roman" w:eastAsia="Times New Roman" w:hAnsi="Times New Roman" w:cs="Times New Roman"/>
      <w:szCs w:val="24"/>
    </w:rPr>
  </w:style>
  <w:style w:type="paragraph" w:customStyle="1" w:styleId="o">
    <w:name w:val="o"/>
    <w:basedOn w:val="Normal"/>
    <w:pPr>
      <w:spacing w:before="100" w:beforeAutospacing="1" w:after="100" w:afterAutospacing="1" w:line="240" w:lineRule="auto"/>
    </w:pPr>
    <w:rPr>
      <w:rFonts w:ascii="Times New Roman" w:eastAsia="Times New Roman" w:hAnsi="Times New Roman" w:cs="Times New Roman"/>
      <w:szCs w:val="24"/>
    </w:rPr>
  </w:style>
  <w:style w:type="character" w:customStyle="1" w:styleId="h">
    <w:name w:val="h"/>
    <w:basedOn w:val="Fuentedeprrafopredeter"/>
  </w:style>
  <w:style w:type="character" w:customStyle="1" w:styleId="i1">
    <w:name w:val="i1"/>
    <w:basedOn w:val="Fuentedeprrafopredeter"/>
  </w:style>
  <w:style w:type="character" w:customStyle="1" w:styleId="SangradetextonormalCar">
    <w:name w:val="Sangría de texto normal Car"/>
    <w:basedOn w:val="Fuentedeprrafopredeter"/>
    <w:link w:val="Sangradetextonormal"/>
    <w:uiPriority w:val="99"/>
    <w:rPr>
      <w:rFonts w:ascii="Calibri" w:eastAsia="Calibri" w:hAnsi="Calibri" w:cs="Times New Roman"/>
    </w:rPr>
  </w:style>
  <w:style w:type="character" w:customStyle="1" w:styleId="Ttulo3Car">
    <w:name w:val="Título 3 Car"/>
    <w:basedOn w:val="Fuentedeprrafopredeter"/>
    <w:link w:val="Ttulo3"/>
    <w:uiPriority w:val="9"/>
    <w:rPr>
      <w:rFonts w:ascii="Palatino Linotype" w:eastAsiaTheme="majorEastAsia" w:hAnsi="Palatino Linotype" w:cstheme="majorBidi"/>
      <w:b/>
      <w:i/>
      <w:color w:val="000000" w:themeColor="text1"/>
      <w:sz w:val="24"/>
      <w:szCs w:val="24"/>
      <w:u w:val="single"/>
      <w:lang w:eastAsia="es-MX"/>
    </w:rPr>
  </w:style>
  <w:style w:type="paragraph" w:customStyle="1" w:styleId="Fundamentos">
    <w:name w:val="Fundamentos"/>
    <w:basedOn w:val="Normal"/>
    <w:next w:val="Normal"/>
    <w:qFormat/>
    <w:pP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pPr>
      <w:spacing w:line="240" w:lineRule="auto"/>
      <w:contextualSpacing/>
    </w:pPr>
    <w:rPr>
      <w:rFonts w:eastAsia="Palatino Linotype" w:cs="Palatino Linotype"/>
      <w:i/>
      <w:color w:val="000000"/>
      <w:sz w:val="20"/>
      <w:szCs w:val="24"/>
    </w:rPr>
  </w:style>
  <w:style w:type="character" w:customStyle="1" w:styleId="UnresolvedMention">
    <w:name w:val="Unresolved Mention"/>
    <w:basedOn w:val="Fuentedeprrafopredeter"/>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ipomex.org.mx/ipo3/lgt/indice/NICOLASROMERO/art_92_xxxii.web"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pomex.org.mx/ipo3/lgt/indice/NICOLASROMERO/art_92_xxxii.web"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2.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1.xml"/><Relationship Id="rId10" Type="http://schemas.openxmlformats.org/officeDocument/2006/relationships/hyperlink" Target="https://www.ipomex.org.mx/ipo3/lgt/indice/NICOLASROMERO/art_92_xxix_b.web"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hyperlink" Target="https://www.ipomex.org.mx/ipo3/lgt/indice/NICOLASROMERO/art_92_xxix_a.web" TargetMode="External"/><Relationship Id="rId14" Type="http://schemas.openxmlformats.org/officeDocument/2006/relationships/hyperlink" Target="https://www.ipomex.org.mx/ipo3/lgt/indice/NICOLASROMERO/art_92_xxix_b.web"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www.ipomex.org.mx/ipo3/lgt/indice/NICOLASROMERO/art_92_xxix_a.web"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_rels/header3.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4"/>
    <customShpInfo spid="_x0000_s3073"/>
    <customShpInfo spid="_x0000_s307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3A8DCCA-5509-403D-90FF-5A4A77BF9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11789</Words>
  <Characters>64842</Characters>
  <Application>Microsoft Office Word</Application>
  <DocSecurity>0</DocSecurity>
  <Lines>540</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2019-06-13T15:30:00Z</cp:lastPrinted>
  <dcterms:created xsi:type="dcterms:W3CDTF">2022-10-10T16:35:00Z</dcterms:created>
  <dcterms:modified xsi:type="dcterms:W3CDTF">2022-10-10T16:35:00Z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2058-11.2.0.11306</vt:lpwstr>
  </property>
  <property fmtid="{D5CDD505-2E9C-101B-9397-08002B2CF9AE}" pid="3" name="ICV">
    <vt:lpwstr>BC3EAA897684471F9E536BE4948430E2</vt:lpwstr>
  </property>
</Properties>
</file>