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F6BA" w14:textId="77777777" w:rsidR="003F3CA0" w:rsidRDefault="003F3CA0" w:rsidP="008D7D0A">
      <w:pPr>
        <w:tabs>
          <w:tab w:val="left" w:pos="8931"/>
        </w:tabs>
        <w:spacing w:after="0" w:line="360" w:lineRule="auto"/>
        <w:rPr>
          <w:rFonts w:cs="Tahoma"/>
          <w:bCs/>
        </w:rPr>
      </w:pPr>
    </w:p>
    <w:p w14:paraId="5F6FE23B" w14:textId="0135EB8A" w:rsidR="00051642" w:rsidRPr="003D5B55" w:rsidRDefault="00051642" w:rsidP="008D7D0A">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167F45">
        <w:rPr>
          <w:rFonts w:eastAsia="Calibri" w:cs="Tahoma"/>
          <w:lang w:val="es-ES"/>
        </w:rPr>
        <w:t>cuatro</w:t>
      </w:r>
      <w:r>
        <w:rPr>
          <w:rFonts w:eastAsia="Calibri" w:cs="Tahoma"/>
          <w:lang w:val="es-ES"/>
        </w:rPr>
        <w:t xml:space="preserve"> de </w:t>
      </w:r>
      <w:r w:rsidR="00E64AB0">
        <w:rPr>
          <w:rFonts w:eastAsia="Calibri" w:cs="Tahoma"/>
          <w:lang w:val="es-ES"/>
        </w:rPr>
        <w:t>febrero</w:t>
      </w:r>
      <w:r>
        <w:rPr>
          <w:rFonts w:eastAsia="Calibri" w:cs="Tahoma"/>
          <w:lang w:val="es-ES"/>
        </w:rPr>
        <w:t xml:space="preserve"> de dos mil veinti</w:t>
      </w:r>
      <w:r w:rsidR="00E64AB0">
        <w:rPr>
          <w:rFonts w:eastAsia="Calibri" w:cs="Tahoma"/>
          <w:lang w:val="es-ES"/>
        </w:rPr>
        <w:t>dós</w:t>
      </w:r>
      <w:r>
        <w:rPr>
          <w:rFonts w:eastAsia="Calibri" w:cs="Tahoma"/>
          <w:lang w:val="es-ES"/>
        </w:rPr>
        <w:t xml:space="preserve">. </w:t>
      </w:r>
    </w:p>
    <w:p w14:paraId="6246E0DA" w14:textId="77777777" w:rsidR="00051642" w:rsidRPr="003D5B55" w:rsidRDefault="00051642" w:rsidP="008D7D0A">
      <w:pPr>
        <w:spacing w:after="0" w:line="360" w:lineRule="auto"/>
        <w:rPr>
          <w:rFonts w:eastAsia="Calibri" w:cs="Tahoma"/>
          <w:b/>
          <w:bCs/>
          <w:lang w:val="es-ES"/>
        </w:rPr>
      </w:pPr>
    </w:p>
    <w:p w14:paraId="542CE8DB" w14:textId="46F7A8E3" w:rsidR="00051642" w:rsidRDefault="00051642" w:rsidP="008D7D0A">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bookmarkStart w:id="0" w:name="_Hlk94086058"/>
      <w:bookmarkStart w:id="1" w:name="_Hlk94093986"/>
      <w:r w:rsidR="00375CC2" w:rsidRPr="00375CC2">
        <w:rPr>
          <w:rFonts w:eastAsia="Calibri" w:cs="Tahoma"/>
        </w:rPr>
        <w:t>06341/INFOEM/IP/RR/2021</w:t>
      </w:r>
      <w:r w:rsidR="00375CC2">
        <w:rPr>
          <w:rFonts w:eastAsia="Calibri" w:cs="Tahoma"/>
        </w:rPr>
        <w:t xml:space="preserve"> </w:t>
      </w:r>
      <w:bookmarkEnd w:id="0"/>
      <w:r w:rsidR="005924C4">
        <w:rPr>
          <w:rFonts w:eastAsia="Calibri" w:cs="Tahoma"/>
        </w:rPr>
        <w:t xml:space="preserve">y </w:t>
      </w:r>
      <w:bookmarkStart w:id="2" w:name="_Hlk94086067"/>
      <w:r w:rsidR="00375CC2" w:rsidRPr="00375CC2">
        <w:rPr>
          <w:rFonts w:eastAsia="Calibri" w:cs="Tahoma"/>
        </w:rPr>
        <w:t>0634</w:t>
      </w:r>
      <w:r w:rsidR="00375CC2">
        <w:rPr>
          <w:rFonts w:eastAsia="Calibri" w:cs="Tahoma"/>
        </w:rPr>
        <w:t>2</w:t>
      </w:r>
      <w:r w:rsidR="00375CC2" w:rsidRPr="00375CC2">
        <w:rPr>
          <w:rFonts w:eastAsia="Calibri" w:cs="Tahoma"/>
        </w:rPr>
        <w:t>/INFOEM/IP/RR/2021</w:t>
      </w:r>
      <w:bookmarkEnd w:id="1"/>
      <w:bookmarkEnd w:id="2"/>
      <w:r>
        <w:rPr>
          <w:rFonts w:eastAsia="Calibri" w:cs="Tahoma"/>
        </w:rPr>
        <w:t>, interpuesto</w:t>
      </w:r>
      <w:r w:rsidR="008567E8">
        <w:rPr>
          <w:rFonts w:eastAsia="Calibri" w:cs="Tahoma"/>
        </w:rPr>
        <w:t>s</w:t>
      </w:r>
      <w:r>
        <w:rPr>
          <w:rFonts w:eastAsia="Calibri" w:cs="Tahoma"/>
        </w:rPr>
        <w:t xml:space="preserve"> por </w:t>
      </w:r>
      <w:r w:rsidR="00D679B6">
        <w:rPr>
          <w:rFonts w:eastAsia="Calibri" w:cs="Tahoma"/>
        </w:rPr>
        <w:t xml:space="preserve">el </w:t>
      </w:r>
      <w:r w:rsidRPr="00240180">
        <w:rPr>
          <w:rFonts w:cs="Tahoma"/>
          <w:color w:val="0D0D0D" w:themeColor="text1" w:themeTint="F2"/>
        </w:rPr>
        <w:t xml:space="preserve">Recurrente o Particular, en contra de la falta de respuesta del Sujeto Obligado, </w:t>
      </w:r>
      <w:bookmarkStart w:id="3" w:name="_Hlk94086193"/>
      <w:r w:rsidR="00375CC2" w:rsidRPr="00375CC2">
        <w:rPr>
          <w:rFonts w:cs="Tahoma"/>
          <w:color w:val="0D0D0D" w:themeColor="text1" w:themeTint="F2"/>
        </w:rPr>
        <w:t>Organismo Descentralizado de Agua y Saneamiento de Chicoloapan</w:t>
      </w:r>
      <w:bookmarkEnd w:id="3"/>
      <w:r w:rsidRPr="00240180">
        <w:rPr>
          <w:rFonts w:cs="Tahoma"/>
          <w:color w:val="0D0D0D" w:themeColor="text1" w:themeTint="F2"/>
        </w:rPr>
        <w:t xml:space="preserve">, </w:t>
      </w:r>
      <w:r>
        <w:rPr>
          <w:rFonts w:cs="Tahoma"/>
          <w:color w:val="0D0D0D" w:themeColor="text1" w:themeTint="F2"/>
        </w:rPr>
        <w:t>a la</w:t>
      </w:r>
      <w:r w:rsidR="008567E8">
        <w:rPr>
          <w:rFonts w:cs="Tahoma"/>
          <w:color w:val="0D0D0D" w:themeColor="text1" w:themeTint="F2"/>
        </w:rPr>
        <w:t>s</w:t>
      </w:r>
      <w:r>
        <w:rPr>
          <w:rFonts w:cs="Tahoma"/>
          <w:color w:val="0D0D0D" w:themeColor="text1" w:themeTint="F2"/>
        </w:rPr>
        <w:t xml:space="preserve"> solicitud</w:t>
      </w:r>
      <w:r w:rsidR="008567E8">
        <w:rPr>
          <w:rFonts w:cs="Tahoma"/>
          <w:color w:val="0D0D0D" w:themeColor="text1" w:themeTint="F2"/>
        </w:rPr>
        <w:t>es</w:t>
      </w:r>
      <w:r>
        <w:rPr>
          <w:rFonts w:cs="Tahoma"/>
          <w:color w:val="0D0D0D" w:themeColor="text1" w:themeTint="F2"/>
        </w:rPr>
        <w:t xml:space="preserve"> de acceso a la información pública </w:t>
      </w:r>
      <w:r w:rsidR="00375CC2" w:rsidRPr="00375CC2">
        <w:rPr>
          <w:rFonts w:cs="Tahoma"/>
          <w:color w:val="0D0D0D" w:themeColor="text1" w:themeTint="F2"/>
        </w:rPr>
        <w:t>00016/OASCHICOLO/IP/2021</w:t>
      </w:r>
      <w:r w:rsidR="00375CC2">
        <w:rPr>
          <w:rFonts w:cs="Tahoma"/>
          <w:color w:val="0D0D0D" w:themeColor="text1" w:themeTint="F2"/>
        </w:rPr>
        <w:t xml:space="preserve"> </w:t>
      </w:r>
      <w:r w:rsidR="005924C4">
        <w:rPr>
          <w:rFonts w:cs="Tahoma"/>
          <w:color w:val="0D0D0D" w:themeColor="text1" w:themeTint="F2"/>
        </w:rPr>
        <w:t xml:space="preserve">y </w:t>
      </w:r>
      <w:r w:rsidR="00375CC2" w:rsidRPr="00375CC2">
        <w:rPr>
          <w:rFonts w:cs="Tahoma"/>
          <w:color w:val="0D0D0D" w:themeColor="text1" w:themeTint="F2"/>
        </w:rPr>
        <w:t>00017/OASCHICOLO/IP/2021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A1C6FC2" w14:textId="77777777" w:rsidR="005369D0" w:rsidRPr="00004084" w:rsidRDefault="005369D0" w:rsidP="008D7D0A">
      <w:pPr>
        <w:spacing w:after="0" w:line="360" w:lineRule="auto"/>
        <w:rPr>
          <w:rFonts w:cs="Tahoma"/>
          <w:color w:val="0D0D0D" w:themeColor="text1" w:themeTint="F2"/>
        </w:rPr>
      </w:pPr>
    </w:p>
    <w:p w14:paraId="18EA1E5E" w14:textId="77777777" w:rsidR="00051642" w:rsidRPr="003D5B55" w:rsidRDefault="00051642" w:rsidP="008D7D0A">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D7D0A">
      <w:pPr>
        <w:spacing w:after="0" w:line="360" w:lineRule="auto"/>
        <w:rPr>
          <w:lang w:val="es-ES"/>
        </w:rPr>
      </w:pPr>
    </w:p>
    <w:p w14:paraId="38CCD1DD" w14:textId="532F98C1" w:rsidR="00051642" w:rsidRPr="003D5B55" w:rsidRDefault="00051642" w:rsidP="008D7D0A">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8D7D0A">
      <w:pPr>
        <w:spacing w:after="0" w:line="360" w:lineRule="auto"/>
        <w:rPr>
          <w:rFonts w:eastAsia="Calibri" w:cs="Tahoma"/>
          <w:b/>
          <w:bCs/>
          <w:lang w:val="es-ES"/>
        </w:rPr>
      </w:pPr>
    </w:p>
    <w:p w14:paraId="6DD77042" w14:textId="1971D062" w:rsidR="005369D0" w:rsidRPr="0033044C" w:rsidRDefault="005369D0" w:rsidP="008D7D0A">
      <w:pPr>
        <w:autoSpaceDE w:val="0"/>
        <w:autoSpaceDN w:val="0"/>
        <w:adjustRightInd w:val="0"/>
        <w:spacing w:after="0" w:line="360" w:lineRule="auto"/>
        <w:rPr>
          <w:rFonts w:cs="Tahoma"/>
          <w:bCs/>
        </w:rPr>
      </w:pPr>
      <w:r w:rsidRPr="00033B8E">
        <w:rPr>
          <w:rFonts w:cs="Tahoma"/>
        </w:rPr>
        <w:t xml:space="preserve">Con fecha </w:t>
      </w:r>
      <w:r w:rsidR="00375CC2">
        <w:rPr>
          <w:rFonts w:cs="Tahoma"/>
        </w:rPr>
        <w:t>veintidós</w:t>
      </w:r>
      <w:r>
        <w:rPr>
          <w:rFonts w:cs="Tahoma"/>
        </w:rPr>
        <w:t xml:space="preserve"> de </w:t>
      </w:r>
      <w:r w:rsidR="00375CC2">
        <w:rPr>
          <w:rFonts w:cs="Tahoma"/>
        </w:rPr>
        <w:t>nov</w:t>
      </w:r>
      <w:r w:rsidR="00D679B6">
        <w:rPr>
          <w:rFonts w:cs="Tahoma"/>
        </w:rPr>
        <w:t>iembre</w:t>
      </w:r>
      <w:r>
        <w:rPr>
          <w:rFonts w:cs="Tahoma"/>
        </w:rPr>
        <w:t xml:space="preserve"> de dos mil veintiuno</w:t>
      </w:r>
      <w:r w:rsidRPr="00033B8E">
        <w:rPr>
          <w:rFonts w:cs="Tahoma"/>
        </w:rPr>
        <w:t xml:space="preserve">, </w:t>
      </w:r>
      <w:r>
        <w:rPr>
          <w:rFonts w:cs="Tahoma"/>
        </w:rPr>
        <w:t xml:space="preserve">el Particular </w:t>
      </w:r>
      <w:r w:rsidRPr="00033B8E">
        <w:rPr>
          <w:rFonts w:cs="Tahoma"/>
        </w:rPr>
        <w:t xml:space="preserve">presentó </w:t>
      </w:r>
      <w:r w:rsidR="008567E8">
        <w:rPr>
          <w:rFonts w:cs="Tahoma"/>
        </w:rPr>
        <w:t>dos solicitudes</w:t>
      </w:r>
      <w:r w:rsidRPr="00033B8E">
        <w:rPr>
          <w:rFonts w:cs="Tahoma"/>
        </w:rPr>
        <w:t xml:space="preserve"> de acceso a la información pública, a través del Sistema de Acceso a la Información Mexiquense (SAIMEX), ante </w:t>
      </w:r>
      <w:r w:rsidR="00D679B6">
        <w:rPr>
          <w:rFonts w:cs="Tahoma"/>
        </w:rPr>
        <w:t>el</w:t>
      </w:r>
      <w:r w:rsidRPr="00033B8E">
        <w:rPr>
          <w:rFonts w:cs="Tahoma"/>
        </w:rPr>
        <w:t xml:space="preserve"> </w:t>
      </w:r>
      <w:r w:rsidR="00375CC2" w:rsidRPr="00375CC2">
        <w:rPr>
          <w:rFonts w:cs="Tahoma"/>
          <w:bCs/>
        </w:rPr>
        <w:t>Organismo Descentralizado de Agua y Saneamiento de Chicoloapan</w:t>
      </w:r>
      <w:r w:rsidRPr="0033044C">
        <w:rPr>
          <w:rFonts w:cs="Tahoma"/>
          <w:bCs/>
        </w:rPr>
        <w:t>, en los siguientes términos:</w:t>
      </w:r>
    </w:p>
    <w:p w14:paraId="514850CA" w14:textId="77777777" w:rsidR="002A2C08" w:rsidRDefault="002A2C08" w:rsidP="008D7D0A">
      <w:pPr>
        <w:spacing w:after="0" w:line="360" w:lineRule="auto"/>
        <w:ind w:left="567" w:right="567"/>
        <w:rPr>
          <w:rFonts w:cs="Tahoma"/>
          <w:b/>
          <w:bCs/>
        </w:rPr>
      </w:pPr>
    </w:p>
    <w:p w14:paraId="232ECB34" w14:textId="39153441" w:rsidR="002A2C08" w:rsidRPr="008567E8" w:rsidRDefault="002A2C08" w:rsidP="008D7D0A">
      <w:pPr>
        <w:spacing w:after="0" w:line="360" w:lineRule="auto"/>
        <w:ind w:left="567" w:right="567"/>
        <w:rPr>
          <w:rFonts w:cs="Tahoma"/>
          <w:b/>
          <w:bCs/>
          <w:sz w:val="20"/>
          <w:szCs w:val="20"/>
        </w:rPr>
      </w:pPr>
      <w:bookmarkStart w:id="4" w:name="_Hlk86067858"/>
      <w:bookmarkStart w:id="5" w:name="_Hlk94083321"/>
      <w:r w:rsidRPr="008567E8">
        <w:rPr>
          <w:rFonts w:cs="Tahoma"/>
          <w:b/>
          <w:bCs/>
          <w:sz w:val="20"/>
          <w:szCs w:val="20"/>
        </w:rPr>
        <w:t xml:space="preserve">Solicitud de Información </w:t>
      </w:r>
      <w:bookmarkEnd w:id="4"/>
      <w:r w:rsidR="00375CC2" w:rsidRPr="00375CC2">
        <w:rPr>
          <w:rFonts w:cs="Tahoma"/>
          <w:b/>
          <w:bCs/>
          <w:sz w:val="20"/>
          <w:szCs w:val="20"/>
        </w:rPr>
        <w:t>00016/OASCHICOLO/IP/2021</w:t>
      </w:r>
    </w:p>
    <w:bookmarkEnd w:id="5"/>
    <w:p w14:paraId="553643A9" w14:textId="1615A446" w:rsidR="002A2C08" w:rsidRPr="003D5B55" w:rsidRDefault="006606A5" w:rsidP="008D7D0A">
      <w:pPr>
        <w:tabs>
          <w:tab w:val="left" w:pos="4667"/>
        </w:tabs>
        <w:spacing w:after="0" w:line="360" w:lineRule="auto"/>
        <w:ind w:left="567" w:right="567"/>
        <w:rPr>
          <w:rFonts w:cs="Tahoma"/>
          <w:b/>
          <w:bCs/>
          <w:i/>
          <w:sz w:val="20"/>
          <w:szCs w:val="20"/>
        </w:rPr>
      </w:pPr>
      <w:r>
        <w:rPr>
          <w:rFonts w:cs="Tahoma"/>
          <w:b/>
          <w:bCs/>
          <w:i/>
          <w:sz w:val="20"/>
          <w:szCs w:val="20"/>
        </w:rPr>
        <w:t>“</w:t>
      </w:r>
      <w:r w:rsidR="002A2C08" w:rsidRPr="003D5B55">
        <w:rPr>
          <w:rFonts w:cs="Tahoma"/>
          <w:b/>
          <w:bCs/>
          <w:i/>
          <w:sz w:val="20"/>
          <w:szCs w:val="20"/>
        </w:rPr>
        <w:t>DESCRIPCIÓN CLARA Y PRECISA DE LA INFORMACIÓN SOLICITADA</w:t>
      </w:r>
    </w:p>
    <w:p w14:paraId="1DCE85F6" w14:textId="5B7BECB7" w:rsidR="002A2C08" w:rsidRDefault="00375CC2" w:rsidP="008D7D0A">
      <w:pPr>
        <w:tabs>
          <w:tab w:val="left" w:pos="4667"/>
        </w:tabs>
        <w:spacing w:after="0" w:line="360" w:lineRule="auto"/>
        <w:ind w:left="567" w:right="567"/>
        <w:rPr>
          <w:rFonts w:cs="Tahoma"/>
          <w:bCs/>
          <w:i/>
          <w:sz w:val="20"/>
          <w:szCs w:val="20"/>
        </w:rPr>
      </w:pPr>
      <w:r w:rsidRPr="00375CC2">
        <w:rPr>
          <w:rFonts w:cs="Tahoma"/>
          <w:bCs/>
          <w:i/>
          <w:sz w:val="20"/>
          <w:szCs w:val="20"/>
        </w:rPr>
        <w:t xml:space="preserve">Conforme al documento anexo a la presente solicitud identificado con el número de oficio UIT/OPDAPASCHI/22/09/2021/0018, de fecha 22 de septiembre de 2021, signado por el titular de la Unidad de Transparencia del OPDAPAS Chicoloapan, el cual hace referencia al diverso DO/CHI/AGO/2021/171, de fecha 15 de agosto de 2021, signado por el Director Operativo </w:t>
      </w:r>
      <w:r w:rsidRPr="00375CC2">
        <w:rPr>
          <w:rFonts w:cs="Tahoma"/>
          <w:bCs/>
          <w:i/>
          <w:sz w:val="20"/>
          <w:szCs w:val="20"/>
        </w:rPr>
        <w:lastRenderedPageBreak/>
        <w:t>OPDAPAS Chicoloapan mediante el cual da atención al folio de la solicitud de mérito, al respecto, REQUIERO la versión pública del expediente DO/CHI/JUL/2021/0131 y DO/CHI/AGO/2021/0145</w:t>
      </w:r>
      <w:r w:rsidR="006606A5">
        <w:rPr>
          <w:rFonts w:cs="Tahoma"/>
          <w:bCs/>
          <w:i/>
          <w:sz w:val="20"/>
          <w:szCs w:val="20"/>
        </w:rPr>
        <w:t>”</w:t>
      </w:r>
      <w:r w:rsidRPr="00375CC2">
        <w:rPr>
          <w:rFonts w:cs="Tahoma"/>
          <w:bCs/>
          <w:i/>
          <w:sz w:val="20"/>
          <w:szCs w:val="20"/>
        </w:rPr>
        <w:t xml:space="preserve"> </w:t>
      </w:r>
      <w:r w:rsidR="002A2C08" w:rsidRPr="003D5B55">
        <w:rPr>
          <w:rFonts w:cs="Tahoma"/>
          <w:bCs/>
          <w:i/>
          <w:sz w:val="20"/>
          <w:szCs w:val="20"/>
        </w:rPr>
        <w:t>(Sic.)</w:t>
      </w:r>
    </w:p>
    <w:p w14:paraId="77E32122" w14:textId="6026FAAD" w:rsidR="002A2C08" w:rsidRDefault="002A2C08" w:rsidP="008D7D0A">
      <w:pPr>
        <w:spacing w:after="0" w:line="360" w:lineRule="auto"/>
        <w:ind w:left="567" w:right="567"/>
        <w:rPr>
          <w:rFonts w:cs="Tahoma"/>
          <w:b/>
          <w:bCs/>
        </w:rPr>
      </w:pPr>
    </w:p>
    <w:p w14:paraId="38245033" w14:textId="230519D7" w:rsidR="002A2C08" w:rsidRPr="0058456F" w:rsidRDefault="003F3CA0" w:rsidP="008D7D0A">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2A2C08" w:rsidRPr="0058456F">
        <w:rPr>
          <w:rFonts w:eastAsia="Times New Roman" w:cs="Tahoma"/>
          <w:b/>
          <w:bCs/>
          <w:i/>
          <w:iCs/>
          <w:color w:val="auto"/>
          <w:sz w:val="20"/>
          <w:lang w:eastAsia="es-ES"/>
        </w:rPr>
        <w:t>MODALIDAD DE ENTREGA</w:t>
      </w:r>
    </w:p>
    <w:p w14:paraId="526BA7E5" w14:textId="401F6CA5" w:rsidR="002A2C08" w:rsidRDefault="002A2C08" w:rsidP="008D7D0A">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w:t>
      </w:r>
      <w:r w:rsidR="003F3CA0">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187C2967" w14:textId="77777777" w:rsidR="0031732A" w:rsidRDefault="0031732A" w:rsidP="008D7D0A">
      <w:pPr>
        <w:spacing w:after="0" w:line="360" w:lineRule="auto"/>
        <w:ind w:left="567" w:right="567"/>
        <w:rPr>
          <w:rFonts w:eastAsia="Times New Roman" w:cs="Arial"/>
          <w:bCs/>
          <w:i/>
          <w:iCs/>
          <w:color w:val="auto"/>
          <w:sz w:val="20"/>
          <w:lang w:eastAsia="es-ES"/>
        </w:rPr>
      </w:pPr>
    </w:p>
    <w:p w14:paraId="1732B99D" w14:textId="00809CC5" w:rsidR="002A2C08" w:rsidRPr="008567E8" w:rsidRDefault="002A2C08" w:rsidP="008D7D0A">
      <w:pPr>
        <w:spacing w:after="0" w:line="360" w:lineRule="auto"/>
        <w:ind w:left="567" w:right="567"/>
        <w:rPr>
          <w:rFonts w:cs="Tahoma"/>
          <w:b/>
          <w:bCs/>
          <w:sz w:val="20"/>
          <w:szCs w:val="20"/>
        </w:rPr>
      </w:pPr>
      <w:r w:rsidRPr="008567E8">
        <w:rPr>
          <w:rFonts w:cs="Tahoma"/>
          <w:b/>
          <w:bCs/>
          <w:sz w:val="20"/>
          <w:szCs w:val="20"/>
        </w:rPr>
        <w:t xml:space="preserve">Solicitud de Información </w:t>
      </w:r>
      <w:r w:rsidR="00375CC2" w:rsidRPr="00375CC2">
        <w:rPr>
          <w:rFonts w:cs="Tahoma"/>
          <w:b/>
          <w:bCs/>
          <w:sz w:val="20"/>
          <w:szCs w:val="20"/>
        </w:rPr>
        <w:t>00017/OASCHICOLO/IP/2021</w:t>
      </w:r>
    </w:p>
    <w:p w14:paraId="51292EC6" w14:textId="3C322CB0" w:rsidR="00051642" w:rsidRPr="003D5B55" w:rsidRDefault="003F3CA0" w:rsidP="008D7D0A">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493AB70C" w:rsidR="00051642" w:rsidRDefault="00375CC2" w:rsidP="008D7D0A">
      <w:pPr>
        <w:tabs>
          <w:tab w:val="left" w:pos="4667"/>
        </w:tabs>
        <w:spacing w:after="0" w:line="360" w:lineRule="auto"/>
        <w:ind w:left="567" w:right="567"/>
        <w:rPr>
          <w:rFonts w:cs="Tahoma"/>
          <w:bCs/>
          <w:i/>
          <w:sz w:val="20"/>
          <w:szCs w:val="20"/>
        </w:rPr>
      </w:pPr>
      <w:r w:rsidRPr="00375CC2">
        <w:rPr>
          <w:rFonts w:cs="Tahoma"/>
          <w:bCs/>
          <w:i/>
          <w:sz w:val="20"/>
          <w:szCs w:val="20"/>
        </w:rPr>
        <w:t xml:space="preserve">TOMANDO EN CUANTA QUE ES UN DERECHO HUMANO EL CONTAR CON AGUA POTABLE: 1) Requiero digitalmente el extracto conforme a su manual de procedimientos donde se muestre el procedimiento para para conectar una toma de agua respecto de un predio que no cuenta con el servicio; 2) Requiero fundado y motivado así como los requisitos para solicitar al sistema de aguas el servicio para una nueva toma de agua respecto de un predio que no cuenta con el servicio de agua; 3) Requiero fundado y motivado por parte de la unidad administrativa responsable sobre la cantidad de documentos que se deben de presentar para solicitar el servicio de </w:t>
      </w:r>
      <w:proofErr w:type="spellStart"/>
      <w:r w:rsidRPr="00375CC2">
        <w:rPr>
          <w:rFonts w:cs="Tahoma"/>
          <w:bCs/>
          <w:i/>
          <w:sz w:val="20"/>
          <w:szCs w:val="20"/>
        </w:rPr>
        <w:t>de</w:t>
      </w:r>
      <w:proofErr w:type="spellEnd"/>
      <w:r w:rsidRPr="00375CC2">
        <w:rPr>
          <w:rFonts w:cs="Tahoma"/>
          <w:bCs/>
          <w:i/>
          <w:sz w:val="20"/>
          <w:szCs w:val="20"/>
        </w:rPr>
        <w:t xml:space="preserve"> una nueva toma de agua potable y el </w:t>
      </w:r>
      <w:proofErr w:type="spellStart"/>
      <w:r w:rsidRPr="00375CC2">
        <w:rPr>
          <w:rFonts w:cs="Tahoma"/>
          <w:bCs/>
          <w:i/>
          <w:sz w:val="20"/>
          <w:szCs w:val="20"/>
        </w:rPr>
        <w:t>numero</w:t>
      </w:r>
      <w:proofErr w:type="spellEnd"/>
      <w:r w:rsidRPr="00375CC2">
        <w:rPr>
          <w:rFonts w:cs="Tahoma"/>
          <w:bCs/>
          <w:i/>
          <w:sz w:val="20"/>
          <w:szCs w:val="20"/>
        </w:rPr>
        <w:t xml:space="preserve"> de copias simples a presentar; 4) Requiero el fundamento legal y administrativo del costo para el ejercicio fiscal 2021; 5) Requiero el nombre completo, cargo y detalles sobre a </w:t>
      </w:r>
      <w:proofErr w:type="spellStart"/>
      <w:r w:rsidRPr="00375CC2">
        <w:rPr>
          <w:rFonts w:cs="Tahoma"/>
          <w:bCs/>
          <w:i/>
          <w:sz w:val="20"/>
          <w:szCs w:val="20"/>
        </w:rPr>
        <w:t>quien</w:t>
      </w:r>
      <w:proofErr w:type="spellEnd"/>
      <w:r w:rsidRPr="00375CC2">
        <w:rPr>
          <w:rFonts w:cs="Tahoma"/>
          <w:bCs/>
          <w:i/>
          <w:sz w:val="20"/>
          <w:szCs w:val="20"/>
        </w:rPr>
        <w:t xml:space="preserve"> va dirigido el escrito de petición para el servicio de una nueva toma de agua; 6) En cuanto tiempo se obtiene una respuesta una vez ingresado el escrito de petición de una nueva toma de agua potable; 7) Ubicación de la </w:t>
      </w:r>
      <w:proofErr w:type="spellStart"/>
      <w:r w:rsidRPr="00375CC2">
        <w:rPr>
          <w:rFonts w:cs="Tahoma"/>
          <w:bCs/>
          <w:i/>
          <w:sz w:val="20"/>
          <w:szCs w:val="20"/>
        </w:rPr>
        <w:t>oficialia</w:t>
      </w:r>
      <w:proofErr w:type="spellEnd"/>
      <w:r w:rsidRPr="00375CC2">
        <w:rPr>
          <w:rFonts w:cs="Tahoma"/>
          <w:bCs/>
          <w:i/>
          <w:sz w:val="20"/>
          <w:szCs w:val="20"/>
        </w:rPr>
        <w:t xml:space="preserve"> de partes para ingresar peticiones y escritos al sistema de aguas; 8) Nombre del responsable de recibir los escritos y peticiones en el sistema de aguas; 9) Horario de recepción de escritos y peticiones en el sistema de aguas del municipio de </w:t>
      </w:r>
      <w:proofErr w:type="spellStart"/>
      <w:r w:rsidRPr="00375CC2">
        <w:rPr>
          <w:rFonts w:cs="Tahoma"/>
          <w:bCs/>
          <w:i/>
          <w:sz w:val="20"/>
          <w:szCs w:val="20"/>
        </w:rPr>
        <w:t>chicoloapan</w:t>
      </w:r>
      <w:proofErr w:type="spellEnd"/>
      <w:r w:rsidRPr="00375CC2">
        <w:rPr>
          <w:rFonts w:cs="Tahoma"/>
          <w:bCs/>
          <w:i/>
          <w:sz w:val="20"/>
          <w:szCs w:val="20"/>
        </w:rPr>
        <w:t>.</w:t>
      </w:r>
      <w:r w:rsidR="003F3CA0">
        <w:rPr>
          <w:rFonts w:cs="Tahoma"/>
          <w:bCs/>
          <w:i/>
          <w:sz w:val="20"/>
          <w:szCs w:val="20"/>
        </w:rPr>
        <w:t>”</w:t>
      </w:r>
      <w:r w:rsidRPr="00375CC2">
        <w:rPr>
          <w:rFonts w:cs="Tahoma"/>
          <w:bCs/>
          <w:i/>
          <w:sz w:val="20"/>
          <w:szCs w:val="20"/>
        </w:rPr>
        <w:t xml:space="preserve"> </w:t>
      </w:r>
      <w:r w:rsidR="00051642" w:rsidRPr="003D5B55">
        <w:rPr>
          <w:rFonts w:cs="Tahoma"/>
          <w:bCs/>
          <w:i/>
          <w:sz w:val="20"/>
          <w:szCs w:val="20"/>
        </w:rPr>
        <w:t>(Sic.)</w:t>
      </w:r>
    </w:p>
    <w:p w14:paraId="3C0781D7" w14:textId="77777777" w:rsidR="00051642" w:rsidRDefault="00051642" w:rsidP="008D7D0A">
      <w:pPr>
        <w:tabs>
          <w:tab w:val="left" w:pos="4667"/>
        </w:tabs>
        <w:spacing w:after="0" w:line="360" w:lineRule="auto"/>
        <w:ind w:left="567" w:right="567"/>
        <w:rPr>
          <w:rFonts w:cs="Tahoma"/>
          <w:bCs/>
          <w:i/>
          <w:sz w:val="20"/>
          <w:szCs w:val="20"/>
        </w:rPr>
      </w:pPr>
    </w:p>
    <w:p w14:paraId="070CFBD6" w14:textId="0BA9B6E6" w:rsidR="00051642" w:rsidRPr="0058456F" w:rsidRDefault="003F3CA0" w:rsidP="008D7D0A">
      <w:pPr>
        <w:tabs>
          <w:tab w:val="left" w:pos="4667"/>
        </w:tabs>
        <w:spacing w:after="0" w:line="360" w:lineRule="auto"/>
        <w:ind w:left="567" w:right="567"/>
        <w:rPr>
          <w:rFonts w:eastAsia="Times New Roman" w:cs="Tahoma"/>
          <w:b/>
          <w:bCs/>
          <w:i/>
          <w:iCs/>
          <w:color w:val="auto"/>
          <w:sz w:val="20"/>
          <w:lang w:eastAsia="es-ES"/>
        </w:rPr>
      </w:pPr>
      <w:bookmarkStart w:id="6" w:name="_Hlk86067762"/>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4167C2D8" w:rsidR="00FA1130" w:rsidRDefault="00051642" w:rsidP="008D7D0A">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w:t>
      </w:r>
      <w:r w:rsidR="003F3CA0">
        <w:rPr>
          <w:rFonts w:eastAsia="Times New Roman" w:cs="Arial"/>
          <w:bCs/>
          <w:i/>
          <w:iCs/>
          <w:color w:val="auto"/>
          <w:sz w:val="20"/>
          <w:lang w:eastAsia="es-ES"/>
        </w:rPr>
        <w:t>”</w:t>
      </w:r>
      <w:r>
        <w:rPr>
          <w:rFonts w:eastAsia="Times New Roman" w:cs="Arial"/>
          <w:bCs/>
          <w:i/>
          <w:iCs/>
          <w:color w:val="auto"/>
          <w:sz w:val="20"/>
          <w:lang w:eastAsia="es-ES"/>
        </w:rPr>
        <w:t xml:space="preserve"> (Sic)</w:t>
      </w:r>
    </w:p>
    <w:bookmarkEnd w:id="6"/>
    <w:p w14:paraId="59BDA8EA" w14:textId="77777777" w:rsidR="006606A5" w:rsidRDefault="006606A5" w:rsidP="008D7D0A">
      <w:pPr>
        <w:spacing w:after="0" w:line="360" w:lineRule="auto"/>
        <w:ind w:right="567"/>
        <w:rPr>
          <w:rFonts w:eastAsia="Times New Roman" w:cs="Arial"/>
          <w:bCs/>
          <w:color w:val="auto"/>
          <w:szCs w:val="24"/>
          <w:lang w:eastAsia="es-ES"/>
        </w:rPr>
      </w:pPr>
    </w:p>
    <w:p w14:paraId="5DCD7DDF" w14:textId="77777777" w:rsidR="003F3CA0" w:rsidRDefault="003F3CA0" w:rsidP="008D7D0A">
      <w:pPr>
        <w:spacing w:after="0" w:line="360" w:lineRule="auto"/>
        <w:ind w:right="567"/>
        <w:rPr>
          <w:rFonts w:eastAsia="Times New Roman" w:cs="Arial"/>
          <w:bCs/>
          <w:color w:val="auto"/>
          <w:szCs w:val="24"/>
          <w:lang w:eastAsia="es-ES"/>
        </w:rPr>
      </w:pPr>
    </w:p>
    <w:p w14:paraId="2F62C036" w14:textId="77777777" w:rsidR="003F3CA0" w:rsidRDefault="003F3CA0" w:rsidP="008D7D0A">
      <w:pPr>
        <w:spacing w:after="0" w:line="360" w:lineRule="auto"/>
        <w:ind w:right="567"/>
        <w:rPr>
          <w:rFonts w:eastAsia="Times New Roman" w:cs="Arial"/>
          <w:bCs/>
          <w:color w:val="auto"/>
          <w:szCs w:val="24"/>
          <w:lang w:eastAsia="es-ES"/>
        </w:rPr>
      </w:pPr>
    </w:p>
    <w:p w14:paraId="7D6D1CE8" w14:textId="53BBECA6" w:rsidR="00E7170C" w:rsidRDefault="00BF25CB" w:rsidP="008D7D0A">
      <w:pPr>
        <w:spacing w:after="0" w:line="360" w:lineRule="auto"/>
        <w:ind w:right="567"/>
        <w:rPr>
          <w:rFonts w:eastAsia="Times New Roman" w:cs="Arial"/>
          <w:bCs/>
          <w:color w:val="auto"/>
          <w:szCs w:val="24"/>
          <w:lang w:eastAsia="es-ES"/>
        </w:rPr>
      </w:pPr>
      <w:r>
        <w:rPr>
          <w:rFonts w:eastAsia="Times New Roman" w:cs="Arial"/>
          <w:bCs/>
          <w:color w:val="auto"/>
          <w:szCs w:val="24"/>
          <w:lang w:eastAsia="es-ES"/>
        </w:rPr>
        <w:t>E</w:t>
      </w:r>
      <w:r w:rsidR="0031732A">
        <w:rPr>
          <w:rFonts w:eastAsia="Times New Roman" w:cs="Arial"/>
          <w:bCs/>
          <w:color w:val="auto"/>
          <w:szCs w:val="24"/>
          <w:lang w:eastAsia="es-ES"/>
        </w:rPr>
        <w:t xml:space="preserve">l Particular adjuntó </w:t>
      </w:r>
      <w:r w:rsidR="00C949B0">
        <w:rPr>
          <w:rFonts w:eastAsia="Times New Roman" w:cs="Arial"/>
          <w:bCs/>
          <w:color w:val="auto"/>
          <w:szCs w:val="24"/>
          <w:lang w:eastAsia="es-ES"/>
        </w:rPr>
        <w:t>a la s</w:t>
      </w:r>
      <w:r w:rsidR="0031732A" w:rsidRPr="0031732A">
        <w:rPr>
          <w:rFonts w:eastAsia="Times New Roman" w:cs="Arial"/>
          <w:bCs/>
          <w:color w:val="auto"/>
          <w:szCs w:val="24"/>
          <w:lang w:eastAsia="es-ES"/>
        </w:rPr>
        <w:t xml:space="preserve">olicitud de </w:t>
      </w:r>
      <w:r w:rsidR="00C949B0">
        <w:rPr>
          <w:rFonts w:eastAsia="Times New Roman" w:cs="Arial"/>
          <w:bCs/>
          <w:color w:val="auto"/>
          <w:szCs w:val="24"/>
          <w:lang w:eastAsia="es-ES"/>
        </w:rPr>
        <w:t>i</w:t>
      </w:r>
      <w:r w:rsidR="0031732A" w:rsidRPr="0031732A">
        <w:rPr>
          <w:rFonts w:eastAsia="Times New Roman" w:cs="Arial"/>
          <w:bCs/>
          <w:color w:val="auto"/>
          <w:szCs w:val="24"/>
          <w:lang w:eastAsia="es-ES"/>
        </w:rPr>
        <w:t>nformación 00016/OASCHICOLO/IP/2021</w:t>
      </w:r>
      <w:r w:rsidR="006606A5">
        <w:rPr>
          <w:rFonts w:eastAsia="Times New Roman" w:cs="Arial"/>
          <w:bCs/>
          <w:color w:val="auto"/>
          <w:szCs w:val="24"/>
          <w:lang w:eastAsia="es-ES"/>
        </w:rPr>
        <w:t xml:space="preserve">, la digitalización del oficio </w:t>
      </w:r>
      <w:r w:rsidR="0031732A">
        <w:rPr>
          <w:rFonts w:eastAsia="Times New Roman" w:cs="Arial"/>
          <w:bCs/>
          <w:color w:val="auto"/>
          <w:szCs w:val="24"/>
          <w:lang w:eastAsia="es-ES"/>
        </w:rPr>
        <w:t xml:space="preserve"> número UIT/OPDAPASCHI/22/09/2021/0018</w:t>
      </w:r>
      <w:r w:rsidR="00C949B0">
        <w:rPr>
          <w:rFonts w:eastAsia="Times New Roman" w:cs="Arial"/>
          <w:bCs/>
          <w:color w:val="auto"/>
          <w:szCs w:val="24"/>
          <w:lang w:eastAsia="es-ES"/>
        </w:rPr>
        <w:t>,</w:t>
      </w:r>
      <w:r w:rsidR="0031732A">
        <w:rPr>
          <w:rFonts w:eastAsia="Times New Roman" w:cs="Arial"/>
          <w:bCs/>
          <w:color w:val="auto"/>
          <w:szCs w:val="24"/>
          <w:lang w:eastAsia="es-ES"/>
        </w:rPr>
        <w:t xml:space="preserve"> del veintidós de septiembre de dos mil veintiuno, </w:t>
      </w:r>
      <w:r w:rsidR="00AB63B4">
        <w:rPr>
          <w:rFonts w:eastAsia="Times New Roman" w:cs="Arial"/>
          <w:bCs/>
          <w:color w:val="auto"/>
          <w:szCs w:val="24"/>
          <w:lang w:eastAsia="es-ES"/>
        </w:rPr>
        <w:t xml:space="preserve">signado por el Titular de la Unidad de Transparencia </w:t>
      </w:r>
      <w:r w:rsidR="00C949B0">
        <w:rPr>
          <w:rFonts w:eastAsia="Times New Roman" w:cs="Arial"/>
          <w:bCs/>
          <w:color w:val="auto"/>
          <w:szCs w:val="24"/>
          <w:lang w:eastAsia="es-ES"/>
        </w:rPr>
        <w:t>y dirigido a un Particular</w:t>
      </w:r>
      <w:r w:rsidR="00AB63B4">
        <w:rPr>
          <w:rFonts w:eastAsia="Times New Roman" w:cs="Arial"/>
          <w:bCs/>
          <w:color w:val="auto"/>
          <w:szCs w:val="24"/>
          <w:lang w:eastAsia="es-ES"/>
        </w:rPr>
        <w:t xml:space="preserve">, por medio del </w:t>
      </w:r>
      <w:r>
        <w:rPr>
          <w:rFonts w:eastAsia="Times New Roman" w:cs="Arial"/>
          <w:bCs/>
          <w:color w:val="auto"/>
          <w:szCs w:val="24"/>
          <w:lang w:eastAsia="es-ES"/>
        </w:rPr>
        <w:t>cual remite</w:t>
      </w:r>
      <w:r w:rsidR="00AB63B4">
        <w:rPr>
          <w:rFonts w:eastAsia="Times New Roman" w:cs="Arial"/>
          <w:bCs/>
          <w:color w:val="auto"/>
          <w:szCs w:val="24"/>
          <w:lang w:eastAsia="es-ES"/>
        </w:rPr>
        <w:t xml:space="preserve"> la contestación del Titular de la Dirección Operativa, en relación a la solicitud número 00005/OASCHICOLO/IP/2021</w:t>
      </w:r>
      <w:r w:rsidR="00C949B0">
        <w:rPr>
          <w:rFonts w:eastAsia="Times New Roman" w:cs="Arial"/>
          <w:bCs/>
          <w:color w:val="auto"/>
          <w:szCs w:val="24"/>
          <w:lang w:eastAsia="es-ES"/>
        </w:rPr>
        <w:t>, correspondiente a los expedientes concluidos derivados del trámite de toma de agua.</w:t>
      </w:r>
    </w:p>
    <w:p w14:paraId="499DF2DC" w14:textId="77777777" w:rsidR="00AB63B4" w:rsidRPr="0031732A" w:rsidRDefault="00AB63B4" w:rsidP="008D7D0A">
      <w:pPr>
        <w:spacing w:after="0" w:line="360" w:lineRule="auto"/>
        <w:ind w:right="567"/>
        <w:rPr>
          <w:rFonts w:eastAsia="Times New Roman" w:cs="Arial"/>
          <w:bCs/>
          <w:color w:val="auto"/>
          <w:szCs w:val="24"/>
          <w:lang w:eastAsia="es-ES"/>
        </w:rPr>
      </w:pPr>
    </w:p>
    <w:p w14:paraId="14D6D935" w14:textId="00EDFF85" w:rsidR="00051642" w:rsidRPr="003D5B55" w:rsidRDefault="00FA1130" w:rsidP="008D7D0A">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8F8D61D" w14:textId="77777777" w:rsidR="00F90DE8" w:rsidRPr="003D5B55" w:rsidRDefault="00F90DE8" w:rsidP="008D7D0A">
      <w:pPr>
        <w:spacing w:after="0" w:line="360" w:lineRule="auto"/>
        <w:rPr>
          <w:rFonts w:eastAsia="Calibri" w:cs="Tahoma"/>
          <w:b/>
          <w:bCs/>
        </w:rPr>
      </w:pPr>
    </w:p>
    <w:p w14:paraId="62FFEDF4" w14:textId="7C59DD83" w:rsidR="00051642" w:rsidRDefault="00051642" w:rsidP="008D7D0A">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w:t>
      </w:r>
      <w:r w:rsidR="00AB63B4">
        <w:rPr>
          <w:rFonts w:eastAsia="Calibri" w:cs="Tahoma"/>
          <w:color w:val="000000"/>
        </w:rPr>
        <w:t>s</w:t>
      </w:r>
      <w:r>
        <w:rPr>
          <w:rFonts w:eastAsia="Calibri" w:cs="Tahoma"/>
          <w:color w:val="000000"/>
        </w:rPr>
        <w:t xml:space="preserve"> solicitud</w:t>
      </w:r>
      <w:r w:rsidR="00AB63B4">
        <w:rPr>
          <w:rFonts w:eastAsia="Calibri" w:cs="Tahoma"/>
          <w:color w:val="000000"/>
        </w:rPr>
        <w:t>es</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AB63B4" w:rsidRPr="00AB63B4">
        <w:rPr>
          <w:rFonts w:eastAsia="Calibri" w:cs="Tahoma"/>
          <w:b/>
          <w:bCs/>
        </w:rPr>
        <w:t>Organismo Descentralizado de Agua y Saneamiento de Chicoloapan</w:t>
      </w:r>
      <w:r w:rsidRPr="003D5B55">
        <w:rPr>
          <w:rFonts w:eastAsia="Calibri" w:cs="Tahoma"/>
          <w:bCs/>
          <w:color w:val="000000"/>
        </w:rPr>
        <w:t>, omitió dar respuesta</w:t>
      </w:r>
      <w:r>
        <w:rPr>
          <w:rFonts w:eastAsia="Calibri" w:cs="Tahoma"/>
          <w:bCs/>
          <w:color w:val="000000"/>
        </w:rPr>
        <w:t xml:space="preserve"> a la</w:t>
      </w:r>
      <w:r w:rsidR="002A2C08">
        <w:rPr>
          <w:rFonts w:eastAsia="Calibri" w:cs="Tahoma"/>
          <w:bCs/>
          <w:color w:val="000000"/>
        </w:rPr>
        <w:t>s</w:t>
      </w:r>
      <w:r>
        <w:rPr>
          <w:rFonts w:eastAsia="Calibri" w:cs="Tahoma"/>
          <w:bCs/>
          <w:color w:val="000000"/>
        </w:rPr>
        <w:t xml:space="preserve"> solicitud</w:t>
      </w:r>
      <w:r w:rsidR="002A2C08">
        <w:rPr>
          <w:rFonts w:eastAsia="Calibri" w:cs="Tahoma"/>
          <w:bCs/>
          <w:color w:val="000000"/>
        </w:rPr>
        <w:t>es</w:t>
      </w:r>
      <w:r>
        <w:rPr>
          <w:rFonts w:eastAsia="Calibri" w:cs="Tahoma"/>
          <w:bCs/>
          <w:color w:val="000000"/>
        </w:rPr>
        <w:t xml:space="preserve">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D7D0A">
      <w:pPr>
        <w:autoSpaceDE w:val="0"/>
        <w:autoSpaceDN w:val="0"/>
        <w:adjustRightInd w:val="0"/>
        <w:spacing w:after="0" w:line="360" w:lineRule="auto"/>
        <w:rPr>
          <w:rFonts w:eastAsia="Calibri" w:cs="Tahoma"/>
          <w:color w:val="000000"/>
          <w:lang w:val="es-ES"/>
        </w:rPr>
      </w:pPr>
    </w:p>
    <w:p w14:paraId="53B5A077" w14:textId="615531D8" w:rsidR="00051642" w:rsidRPr="005369D0" w:rsidRDefault="00E7170C" w:rsidP="008D7D0A">
      <w:pPr>
        <w:spacing w:after="0" w:line="360" w:lineRule="auto"/>
        <w:rPr>
          <w:rFonts w:eastAsia="Calibri" w:cs="Tahoma"/>
          <w:b/>
          <w:bCs/>
        </w:rPr>
      </w:pPr>
      <w:r w:rsidRPr="005369D0">
        <w:rPr>
          <w:rFonts w:eastAsia="Calibri" w:cs="Tahoma"/>
          <w:b/>
          <w:bCs/>
        </w:rPr>
        <w:t>III</w:t>
      </w:r>
      <w:r w:rsidR="00051642" w:rsidRPr="005369D0">
        <w:rPr>
          <w:rFonts w:eastAsia="Calibri" w:cs="Tahoma"/>
          <w:b/>
          <w:bCs/>
        </w:rPr>
        <w:t>. Interposición de</w:t>
      </w:r>
      <w:r w:rsidR="008567E8">
        <w:rPr>
          <w:rFonts w:eastAsia="Calibri" w:cs="Tahoma"/>
          <w:b/>
          <w:bCs/>
        </w:rPr>
        <w:t xml:space="preserve"> </w:t>
      </w:r>
      <w:r w:rsidR="00051642" w:rsidRPr="005369D0">
        <w:rPr>
          <w:rFonts w:eastAsia="Calibri" w:cs="Tahoma"/>
          <w:b/>
          <w:bCs/>
        </w:rPr>
        <w:t>l</w:t>
      </w:r>
      <w:r w:rsidR="008567E8">
        <w:rPr>
          <w:rFonts w:eastAsia="Calibri" w:cs="Tahoma"/>
          <w:b/>
          <w:bCs/>
        </w:rPr>
        <w:t>os</w:t>
      </w:r>
      <w:r w:rsidR="00051642" w:rsidRPr="005369D0">
        <w:rPr>
          <w:rFonts w:eastAsia="Calibri" w:cs="Tahoma"/>
          <w:b/>
          <w:bCs/>
        </w:rPr>
        <w:t xml:space="preserve"> Recurso</w:t>
      </w:r>
      <w:r w:rsidR="008567E8">
        <w:rPr>
          <w:rFonts w:eastAsia="Calibri" w:cs="Tahoma"/>
          <w:b/>
          <w:bCs/>
        </w:rPr>
        <w:t>s</w:t>
      </w:r>
      <w:r w:rsidR="00051642" w:rsidRPr="005369D0">
        <w:rPr>
          <w:rFonts w:eastAsia="Calibri" w:cs="Tahoma"/>
          <w:b/>
          <w:bCs/>
        </w:rPr>
        <w:t xml:space="preserve"> de Revisión. </w:t>
      </w:r>
    </w:p>
    <w:p w14:paraId="79D9CE18" w14:textId="77777777" w:rsidR="00051642" w:rsidRPr="003D5B55" w:rsidRDefault="00051642" w:rsidP="008D7D0A">
      <w:pPr>
        <w:spacing w:after="0" w:line="360" w:lineRule="auto"/>
        <w:rPr>
          <w:rFonts w:eastAsia="Times New Roman" w:cs="Tahoma"/>
          <w:bCs/>
          <w:color w:val="auto"/>
          <w:lang w:eastAsia="es-ES"/>
        </w:rPr>
      </w:pPr>
    </w:p>
    <w:p w14:paraId="33C458E5" w14:textId="3B24EA64" w:rsidR="00051642" w:rsidRDefault="00051642" w:rsidP="008D7D0A">
      <w:pPr>
        <w:spacing w:after="0" w:line="360" w:lineRule="auto"/>
        <w:rPr>
          <w:rFonts w:eastAsia="Times New Roman" w:cs="Tahoma"/>
          <w:bCs/>
          <w:color w:val="auto"/>
          <w:lang w:eastAsia="es-ES"/>
        </w:rPr>
      </w:pPr>
      <w:r w:rsidRPr="00CA21DC">
        <w:rPr>
          <w:rFonts w:eastAsia="Times New Roman" w:cs="Tahoma"/>
          <w:bCs/>
          <w:color w:val="auto"/>
          <w:lang w:val="es-ES" w:eastAsia="es-ES"/>
        </w:rPr>
        <w:t xml:space="preserve">Con fecha </w:t>
      </w:r>
      <w:r w:rsidR="008758BA">
        <w:rPr>
          <w:rFonts w:eastAsia="Times New Roman" w:cs="Tahoma"/>
          <w:bCs/>
          <w:color w:val="auto"/>
          <w:lang w:val="es-ES" w:eastAsia="es-ES"/>
        </w:rPr>
        <w:t>catorce</w:t>
      </w:r>
      <w:r>
        <w:rPr>
          <w:rFonts w:eastAsia="Times New Roman" w:cs="Tahoma"/>
          <w:bCs/>
          <w:color w:val="auto"/>
          <w:lang w:val="es-ES" w:eastAsia="es-ES"/>
        </w:rPr>
        <w:t xml:space="preserve"> de </w:t>
      </w:r>
      <w:r w:rsidR="008758BA">
        <w:rPr>
          <w:rFonts w:eastAsia="Times New Roman" w:cs="Tahoma"/>
          <w:bCs/>
          <w:color w:val="auto"/>
          <w:lang w:val="es-ES" w:eastAsia="es-ES"/>
        </w:rPr>
        <w:t>diciem</w:t>
      </w:r>
      <w:r w:rsidR="00E7170C">
        <w:rPr>
          <w:rFonts w:eastAsia="Times New Roman" w:cs="Tahoma"/>
          <w:bCs/>
          <w:color w:val="auto"/>
          <w:lang w:val="es-ES" w:eastAsia="es-ES"/>
        </w:rPr>
        <w:t>bre</w:t>
      </w:r>
      <w:r>
        <w:rPr>
          <w:rFonts w:eastAsia="Times New Roman" w:cs="Tahoma"/>
          <w:bCs/>
          <w:color w:val="auto"/>
          <w:lang w:val="es-ES" w:eastAsia="es-ES"/>
        </w:rPr>
        <w:t xml:space="preserve"> de dos mil veintiuno</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8567E8">
        <w:rPr>
          <w:rFonts w:eastAsia="Times New Roman" w:cs="Tahoma"/>
          <w:bCs/>
          <w:color w:val="auto"/>
          <w:lang w:eastAsia="es-ES"/>
        </w:rPr>
        <w:t>dos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w:t>
      </w:r>
      <w:r w:rsidR="006606A5">
        <w:rPr>
          <w:rFonts w:eastAsia="Times New Roman" w:cs="Tahoma"/>
          <w:bCs/>
          <w:color w:val="auto"/>
          <w:lang w:eastAsia="es-ES"/>
        </w:rPr>
        <w:t>,</w:t>
      </w:r>
      <w:r w:rsidRPr="003D5B55">
        <w:rPr>
          <w:rFonts w:eastAsia="Times New Roman" w:cs="Tahoma"/>
          <w:bCs/>
          <w:color w:val="auto"/>
          <w:lang w:eastAsia="es-ES"/>
        </w:rPr>
        <w:t xml:space="preserve">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xml:space="preserve">, </w:t>
      </w:r>
      <w:r w:rsidR="006606A5">
        <w:rPr>
          <w:rFonts w:eastAsia="Times New Roman" w:cs="Tahoma"/>
          <w:bCs/>
          <w:color w:val="auto"/>
          <w:lang w:eastAsia="es-ES"/>
        </w:rPr>
        <w:t xml:space="preserve"> ambos </w:t>
      </w:r>
      <w:r w:rsidRPr="00CA21DC">
        <w:rPr>
          <w:rFonts w:eastAsia="Times New Roman" w:cs="Tahoma"/>
          <w:bCs/>
          <w:color w:val="auto"/>
          <w:lang w:eastAsia="es-ES"/>
        </w:rPr>
        <w:t>en los siguientes términos:</w:t>
      </w:r>
    </w:p>
    <w:p w14:paraId="588D4CCB" w14:textId="77777777" w:rsidR="006606A5" w:rsidRPr="00CA21DC" w:rsidRDefault="006606A5" w:rsidP="008D7D0A">
      <w:pPr>
        <w:spacing w:after="0" w:line="360" w:lineRule="auto"/>
        <w:rPr>
          <w:rFonts w:eastAsia="Times New Roman" w:cs="Tahoma"/>
          <w:bCs/>
          <w:color w:val="auto"/>
          <w:lang w:val="es-ES" w:eastAsia="es-ES"/>
        </w:rPr>
      </w:pPr>
    </w:p>
    <w:p w14:paraId="7A74962E" w14:textId="77777777" w:rsidR="003F3CA0" w:rsidRDefault="003F3CA0" w:rsidP="008D7D0A">
      <w:pPr>
        <w:spacing w:after="0" w:line="360" w:lineRule="auto"/>
        <w:ind w:left="567" w:right="567"/>
        <w:rPr>
          <w:rFonts w:eastAsia="Times New Roman" w:cs="Tahoma"/>
          <w:b/>
          <w:bCs/>
          <w:i/>
          <w:color w:val="auto"/>
          <w:sz w:val="20"/>
          <w:szCs w:val="20"/>
          <w:lang w:eastAsia="es-ES"/>
        </w:rPr>
      </w:pPr>
    </w:p>
    <w:p w14:paraId="14508806" w14:textId="740AD0D1" w:rsidR="002A2C08" w:rsidRPr="0085149F" w:rsidRDefault="003F3CA0" w:rsidP="008D7D0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707EFF8E" w14:textId="6AF3C30E" w:rsidR="002A2C08" w:rsidRPr="0085149F" w:rsidRDefault="008758BA" w:rsidP="008D7D0A">
      <w:pPr>
        <w:spacing w:after="0" w:line="360" w:lineRule="auto"/>
        <w:ind w:left="567" w:right="567"/>
        <w:rPr>
          <w:rFonts w:eastAsia="Times New Roman" w:cs="Tahoma"/>
          <w:bCs/>
          <w:i/>
          <w:color w:val="auto"/>
          <w:sz w:val="20"/>
          <w:szCs w:val="20"/>
          <w:lang w:eastAsia="es-ES"/>
        </w:rPr>
      </w:pPr>
      <w:r w:rsidRPr="008758BA">
        <w:rPr>
          <w:i/>
          <w:color w:val="000000"/>
          <w:sz w:val="20"/>
          <w:szCs w:val="20"/>
        </w:rPr>
        <w:t>La negativa de entregar la información requerida</w:t>
      </w:r>
      <w:r w:rsidR="003F3CA0">
        <w:rPr>
          <w:i/>
          <w:color w:val="000000"/>
          <w:sz w:val="20"/>
          <w:szCs w:val="20"/>
        </w:rPr>
        <w:t>”</w:t>
      </w:r>
      <w:r w:rsidRPr="008758BA">
        <w:rPr>
          <w:i/>
          <w:color w:val="000000"/>
          <w:sz w:val="20"/>
          <w:szCs w:val="20"/>
        </w:rPr>
        <w:t xml:space="preserve"> </w:t>
      </w:r>
      <w:r w:rsidR="002A2C08" w:rsidRPr="0085149F">
        <w:rPr>
          <w:rFonts w:eastAsia="Times New Roman" w:cs="Tahoma"/>
          <w:bCs/>
          <w:i/>
          <w:color w:val="auto"/>
          <w:sz w:val="20"/>
          <w:szCs w:val="20"/>
          <w:lang w:eastAsia="es-ES"/>
        </w:rPr>
        <w:t>(Sic.)</w:t>
      </w:r>
    </w:p>
    <w:p w14:paraId="712ED449" w14:textId="77777777" w:rsidR="006606A5" w:rsidRPr="0085149F" w:rsidRDefault="006606A5" w:rsidP="008D7D0A">
      <w:pPr>
        <w:spacing w:after="0" w:line="360" w:lineRule="auto"/>
        <w:ind w:left="567" w:right="567"/>
        <w:rPr>
          <w:rFonts w:eastAsia="Times New Roman" w:cs="Tahoma"/>
          <w:bCs/>
          <w:i/>
          <w:color w:val="auto"/>
          <w:sz w:val="20"/>
          <w:szCs w:val="20"/>
          <w:lang w:eastAsia="es-ES"/>
        </w:rPr>
      </w:pPr>
    </w:p>
    <w:p w14:paraId="626A4CFD" w14:textId="2779C6D8" w:rsidR="002A2C08" w:rsidRPr="0085149F" w:rsidRDefault="003F3CA0" w:rsidP="008D7D0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1DF224DC" w:rsidR="002A2C08" w:rsidRPr="0085149F" w:rsidRDefault="008758BA" w:rsidP="008D7D0A">
      <w:pPr>
        <w:spacing w:after="0" w:line="360" w:lineRule="auto"/>
        <w:ind w:left="567" w:right="567"/>
        <w:rPr>
          <w:rFonts w:eastAsia="Times New Roman" w:cs="Tahoma"/>
          <w:bCs/>
          <w:color w:val="auto"/>
          <w:sz w:val="20"/>
          <w:szCs w:val="20"/>
          <w:lang w:eastAsia="es-ES"/>
        </w:rPr>
      </w:pPr>
      <w:r w:rsidRPr="008758BA">
        <w:rPr>
          <w:i/>
          <w:color w:val="000000"/>
          <w:sz w:val="20"/>
          <w:szCs w:val="20"/>
        </w:rPr>
        <w:t>La negativa de entregar la información requerida</w:t>
      </w:r>
      <w:r w:rsidR="003F3CA0">
        <w:rPr>
          <w:i/>
          <w:color w:val="000000"/>
          <w:sz w:val="20"/>
          <w:szCs w:val="20"/>
        </w:rPr>
        <w:t>”</w:t>
      </w:r>
      <w:r w:rsidR="002A2C08" w:rsidRPr="00DB12DB">
        <w:rPr>
          <w:i/>
          <w:color w:val="000000"/>
          <w:sz w:val="20"/>
          <w:szCs w:val="20"/>
        </w:rPr>
        <w:t xml:space="preserve"> </w:t>
      </w:r>
      <w:r w:rsidR="002A2C08" w:rsidRPr="0085149F">
        <w:rPr>
          <w:rFonts w:eastAsia="Times New Roman" w:cs="Tahoma"/>
          <w:bCs/>
          <w:i/>
          <w:color w:val="auto"/>
          <w:sz w:val="20"/>
          <w:szCs w:val="20"/>
          <w:lang w:eastAsia="es-ES"/>
        </w:rPr>
        <w:t>(Sic)</w:t>
      </w:r>
    </w:p>
    <w:p w14:paraId="1CE91750" w14:textId="77777777" w:rsidR="00051642" w:rsidRPr="003D5B55" w:rsidRDefault="00051642" w:rsidP="008D7D0A">
      <w:pPr>
        <w:spacing w:after="0" w:line="360" w:lineRule="auto"/>
        <w:rPr>
          <w:rFonts w:eastAsia="Times New Roman" w:cs="Tahoma"/>
          <w:bCs/>
          <w:color w:val="auto"/>
          <w:lang w:eastAsia="es-ES"/>
        </w:rPr>
      </w:pPr>
    </w:p>
    <w:p w14:paraId="35300BB0" w14:textId="5392F99C" w:rsidR="00051642" w:rsidRDefault="00AC2906" w:rsidP="008D7D0A">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D7D0A">
      <w:pPr>
        <w:spacing w:after="0" w:line="360" w:lineRule="auto"/>
        <w:rPr>
          <w:rFonts w:eastAsia="Batang" w:cs="Tahoma"/>
          <w:bCs/>
          <w:color w:val="000000"/>
        </w:rPr>
      </w:pPr>
    </w:p>
    <w:p w14:paraId="3B955202" w14:textId="42BC15E2" w:rsidR="00051642" w:rsidRPr="00A36F31" w:rsidRDefault="00051642" w:rsidP="008D7D0A">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DB12DB" w:rsidRPr="00DB12DB">
        <w:rPr>
          <w:rFonts w:eastAsia="Times New Roman" w:cs="Tahoma"/>
          <w:bCs/>
          <w:color w:val="auto"/>
          <w:lang w:val="es-ES" w:eastAsia="es-ES"/>
        </w:rPr>
        <w:t>c</w:t>
      </w:r>
      <w:r w:rsidR="008758BA">
        <w:rPr>
          <w:rFonts w:eastAsia="Times New Roman" w:cs="Tahoma"/>
          <w:bCs/>
          <w:color w:val="auto"/>
          <w:lang w:val="es-ES" w:eastAsia="es-ES"/>
        </w:rPr>
        <w:t>atorce</w:t>
      </w:r>
      <w:r w:rsidR="00DB12DB" w:rsidRPr="00DB12DB">
        <w:rPr>
          <w:rFonts w:eastAsia="Times New Roman" w:cs="Tahoma"/>
          <w:bCs/>
          <w:color w:val="auto"/>
          <w:lang w:val="es-ES" w:eastAsia="es-ES"/>
        </w:rPr>
        <w:t xml:space="preserve"> de </w:t>
      </w:r>
      <w:r w:rsidR="008758BA">
        <w:rPr>
          <w:rFonts w:eastAsia="Times New Roman" w:cs="Tahoma"/>
          <w:bCs/>
          <w:color w:val="auto"/>
          <w:lang w:val="es-ES" w:eastAsia="es-ES"/>
        </w:rPr>
        <w:t>diciem</w:t>
      </w:r>
      <w:r w:rsidR="00DB12DB" w:rsidRPr="00DB12DB">
        <w:rPr>
          <w:rFonts w:eastAsia="Times New Roman" w:cs="Tahoma"/>
          <w:bCs/>
          <w:color w:val="auto"/>
          <w:lang w:val="es-ES" w:eastAsia="es-ES"/>
        </w:rPr>
        <w:t xml:space="preserve">bre </w:t>
      </w:r>
      <w:r w:rsidRPr="00126294">
        <w:rPr>
          <w:rFonts w:eastAsia="Times New Roman" w:cs="Tahoma"/>
          <w:bCs/>
          <w:color w:val="auto"/>
          <w:lang w:val="es-ES" w:eastAsia="es-ES"/>
        </w:rPr>
        <w:t>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7" w:name="_Hlk86071468"/>
      <w:r w:rsidR="007F211F" w:rsidRPr="007F211F">
        <w:rPr>
          <w:rFonts w:eastAsia="Batang" w:cs="Tahoma"/>
          <w:b/>
          <w:bCs/>
          <w:color w:val="000000"/>
        </w:rPr>
        <w:t>0634</w:t>
      </w:r>
      <w:r w:rsidR="007F211F">
        <w:rPr>
          <w:rFonts w:eastAsia="Batang" w:cs="Tahoma"/>
          <w:b/>
          <w:bCs/>
          <w:color w:val="000000"/>
        </w:rPr>
        <w:t>1</w:t>
      </w:r>
      <w:r w:rsidR="007F211F" w:rsidRPr="007F211F">
        <w:rPr>
          <w:rFonts w:eastAsia="Batang" w:cs="Tahoma"/>
          <w:b/>
          <w:bCs/>
          <w:color w:val="000000"/>
        </w:rPr>
        <w:t xml:space="preserve">/INFOEM/IP/RR/2021 </w:t>
      </w:r>
      <w:r w:rsidR="004640F3">
        <w:rPr>
          <w:rFonts w:eastAsia="Batang" w:cs="Tahoma"/>
          <w:b/>
          <w:bCs/>
          <w:color w:val="000000"/>
        </w:rPr>
        <w:t xml:space="preserve">y </w:t>
      </w:r>
      <w:bookmarkEnd w:id="7"/>
      <w:r w:rsidR="007F211F" w:rsidRPr="007F211F">
        <w:rPr>
          <w:rFonts w:eastAsia="Batang" w:cs="Tahoma"/>
          <w:b/>
          <w:bCs/>
          <w:color w:val="000000"/>
        </w:rPr>
        <w:t>06342/INFOEM/IP/RR/2021</w:t>
      </w:r>
      <w:r w:rsidRPr="00A36F31">
        <w:rPr>
          <w:rFonts w:eastAsia="Batang" w:cs="Tahoma"/>
          <w:bCs/>
          <w:color w:val="000000"/>
        </w:rPr>
        <w:t>, a</w:t>
      </w:r>
      <w:r w:rsidR="00DB5D3F">
        <w:rPr>
          <w:rFonts w:eastAsia="Batang" w:cs="Tahoma"/>
          <w:bCs/>
          <w:color w:val="000000"/>
        </w:rPr>
        <w:t xml:space="preserve"> </w:t>
      </w:r>
      <w:r w:rsidRPr="00A36F31">
        <w:rPr>
          <w:rFonts w:eastAsia="Batang" w:cs="Tahoma"/>
          <w:bCs/>
          <w:color w:val="000000"/>
        </w:rPr>
        <w:t>l</w:t>
      </w:r>
      <w:r w:rsidR="00DB5D3F">
        <w:rPr>
          <w:rFonts w:eastAsia="Batang" w:cs="Tahoma"/>
          <w:bCs/>
          <w:color w:val="000000"/>
        </w:rPr>
        <w:t>os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al Comisionado</w:t>
      </w:r>
      <w:r w:rsidR="007F211F">
        <w:rPr>
          <w:rFonts w:eastAsia="Batang" w:cs="Tahoma"/>
          <w:bCs/>
          <w:color w:val="000000"/>
        </w:rPr>
        <w:t xml:space="preserve"> </w:t>
      </w:r>
      <w:r w:rsidR="00382A3B" w:rsidRPr="00A36F31">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3D5B55" w:rsidRDefault="00051642" w:rsidP="008D7D0A">
      <w:pPr>
        <w:spacing w:after="0" w:line="360" w:lineRule="auto"/>
        <w:rPr>
          <w:rFonts w:eastAsia="Batang" w:cs="Tahoma"/>
          <w:bCs/>
          <w:color w:val="000000"/>
        </w:rPr>
      </w:pPr>
    </w:p>
    <w:p w14:paraId="14B3EF1A" w14:textId="73861601" w:rsidR="00051642" w:rsidRPr="003D5B55" w:rsidRDefault="00051642" w:rsidP="008D7D0A">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141E35">
        <w:rPr>
          <w:rFonts w:eastAsia="Batang" w:cs="Tahoma"/>
          <w:bCs/>
          <w:color w:val="000000"/>
        </w:rPr>
        <w:t xml:space="preserve">quince </w:t>
      </w:r>
      <w:r w:rsidR="004640F3">
        <w:rPr>
          <w:rFonts w:eastAsia="Batang" w:cs="Tahoma"/>
          <w:bCs/>
          <w:color w:val="000000"/>
        </w:rPr>
        <w:t xml:space="preserve">y </w:t>
      </w:r>
      <w:r w:rsidR="00141E35">
        <w:rPr>
          <w:rFonts w:eastAsia="Batang" w:cs="Tahoma"/>
          <w:bCs/>
          <w:color w:val="000000"/>
        </w:rPr>
        <w:t>diecisiete</w:t>
      </w:r>
      <w:r w:rsidR="004640F3">
        <w:rPr>
          <w:rFonts w:eastAsia="Batang" w:cs="Tahoma"/>
          <w:bCs/>
          <w:color w:val="000000"/>
        </w:rPr>
        <w:t xml:space="preserve"> </w:t>
      </w:r>
      <w:r>
        <w:rPr>
          <w:rFonts w:eastAsia="Batang" w:cs="Tahoma"/>
          <w:bCs/>
          <w:color w:val="000000"/>
        </w:rPr>
        <w:t xml:space="preserve">de </w:t>
      </w:r>
      <w:r w:rsidR="00141E35">
        <w:rPr>
          <w:rFonts w:eastAsia="Batang" w:cs="Tahoma"/>
          <w:bCs/>
          <w:color w:val="000000"/>
        </w:rPr>
        <w:t>diciem</w:t>
      </w:r>
      <w:r w:rsidR="00E7170C">
        <w:rPr>
          <w:rFonts w:eastAsia="Batang" w:cs="Tahoma"/>
          <w:bCs/>
          <w:color w:val="000000"/>
        </w:rPr>
        <w:t>bre</w:t>
      </w:r>
      <w:r>
        <w:rPr>
          <w:rFonts w:eastAsia="Batang" w:cs="Tahoma"/>
          <w:bCs/>
          <w:color w:val="000000"/>
        </w:rPr>
        <w:t xml:space="preserve"> de dos mil veintiuno</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141E35">
        <w:rPr>
          <w:rFonts w:eastAsia="Times New Roman" w:cs="Tahoma"/>
          <w:bCs/>
          <w:color w:val="auto"/>
          <w:lang w:val="es-ES_tradnl" w:eastAsia="es-ES"/>
        </w:rPr>
        <w:t>quince y veinte del mismo mes y año</w:t>
      </w:r>
      <w:r w:rsidR="00DB5D3F">
        <w:rPr>
          <w:rFonts w:eastAsia="Times New Roman" w:cs="Tahoma"/>
          <w:bCs/>
          <w:color w:val="auto"/>
          <w:lang w:val="es-ES_tradnl" w:eastAsia="es-ES"/>
        </w:rPr>
        <w:t>, 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D7D0A">
      <w:pPr>
        <w:spacing w:after="0" w:line="360" w:lineRule="auto"/>
        <w:rPr>
          <w:rFonts w:cs="Tahoma"/>
        </w:rPr>
      </w:pPr>
    </w:p>
    <w:p w14:paraId="53BFC908" w14:textId="4A955ED8" w:rsidR="00051642" w:rsidRDefault="00051642" w:rsidP="008D7D0A">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5F646FD7" w14:textId="2B23701C" w:rsidR="004640F3" w:rsidRDefault="004640F3" w:rsidP="008D7D0A">
      <w:pPr>
        <w:spacing w:after="0" w:line="360" w:lineRule="auto"/>
        <w:rPr>
          <w:rFonts w:cs="Tahoma"/>
          <w:lang w:val="es-ES_tradnl"/>
        </w:rPr>
      </w:pPr>
    </w:p>
    <w:p w14:paraId="0990B652" w14:textId="4BAF5382" w:rsidR="004640F3" w:rsidRDefault="00B821D5" w:rsidP="008D7D0A">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d) Acumulación de los asuntos.</w:t>
      </w:r>
      <w:r>
        <w:rPr>
          <w:rFonts w:eastAsia="Times New Roman" w:cs="Tahoma"/>
          <w:bCs/>
          <w:iCs/>
          <w:color w:val="auto"/>
          <w:lang w:val="es-ES" w:eastAsia="es-ES"/>
        </w:rPr>
        <w:t xml:space="preserve"> El</w:t>
      </w:r>
      <w:r w:rsidR="004B4850">
        <w:rPr>
          <w:rFonts w:eastAsia="Times New Roman" w:cs="Tahoma"/>
          <w:bCs/>
          <w:iCs/>
          <w:color w:val="auto"/>
          <w:lang w:val="es-ES" w:eastAsia="es-ES"/>
        </w:rPr>
        <w:t xml:space="preserve"> doce</w:t>
      </w:r>
      <w:r>
        <w:rPr>
          <w:rFonts w:eastAsia="Times New Roman" w:cs="Tahoma"/>
          <w:bCs/>
          <w:iCs/>
          <w:color w:val="auto"/>
          <w:lang w:val="es-ES" w:eastAsia="es-ES"/>
        </w:rPr>
        <w:t xml:space="preserve"> de </w:t>
      </w:r>
      <w:r w:rsidR="004B4850">
        <w:rPr>
          <w:rFonts w:eastAsia="Times New Roman" w:cs="Tahoma"/>
          <w:bCs/>
          <w:iCs/>
          <w:color w:val="auto"/>
          <w:lang w:val="es-ES" w:eastAsia="es-ES"/>
        </w:rPr>
        <w:t>enero</w:t>
      </w:r>
      <w:r>
        <w:rPr>
          <w:rFonts w:eastAsia="Times New Roman" w:cs="Tahoma"/>
          <w:bCs/>
          <w:iCs/>
          <w:color w:val="auto"/>
          <w:lang w:val="es-ES" w:eastAsia="es-ES"/>
        </w:rPr>
        <w:t xml:space="preserve"> de dos mil veinti</w:t>
      </w:r>
      <w:r w:rsidR="004B4850">
        <w:rPr>
          <w:rFonts w:eastAsia="Times New Roman" w:cs="Tahoma"/>
          <w:bCs/>
          <w:iCs/>
          <w:color w:val="auto"/>
          <w:lang w:val="es-ES" w:eastAsia="es-ES"/>
        </w:rPr>
        <w:t>dós</w:t>
      </w:r>
      <w:r>
        <w:rPr>
          <w:rFonts w:eastAsia="Times New Roman" w:cs="Tahoma"/>
          <w:bCs/>
          <w:iCs/>
          <w:color w:val="auto"/>
          <w:lang w:val="es-ES" w:eastAsia="es-ES"/>
        </w:rPr>
        <w:t xml:space="preserve">, el Pleno del </w:t>
      </w:r>
      <w:r w:rsidR="0035133F">
        <w:rPr>
          <w:rFonts w:eastAsia="Times New Roman" w:cs="Tahoma"/>
          <w:bCs/>
          <w:iCs/>
          <w:color w:val="auto"/>
          <w:lang w:val="es-ES" w:eastAsia="es-ES"/>
        </w:rPr>
        <w:t>Instituto de</w:t>
      </w:r>
      <w:r>
        <w:rPr>
          <w:rFonts w:eastAsia="Times New Roman" w:cs="Tahoma"/>
          <w:bCs/>
          <w:iCs/>
          <w:color w:val="auto"/>
          <w:lang w:val="es-ES" w:eastAsia="es-ES"/>
        </w:rPr>
        <w:t xml:space="preserve"> Transparencia, Acceso a la Información Pública y Protección de Datos Personales del Estado de México y Municipios, durante su </w:t>
      </w:r>
      <w:r w:rsidR="004B4850">
        <w:rPr>
          <w:rFonts w:eastAsia="Times New Roman" w:cs="Tahoma"/>
          <w:bCs/>
          <w:iCs/>
          <w:color w:val="auto"/>
          <w:lang w:val="es-ES" w:eastAsia="es-ES"/>
        </w:rPr>
        <w:t>Primera</w:t>
      </w:r>
      <w:r>
        <w:rPr>
          <w:rFonts w:eastAsia="Times New Roman" w:cs="Tahoma"/>
          <w:bCs/>
          <w:iCs/>
          <w:color w:val="auto"/>
          <w:lang w:val="es-ES" w:eastAsia="es-ES"/>
        </w:rPr>
        <w:t xml:space="preserve"> Sesión Ordinaria, con el propósito de privilegiar la resolución expedita y evitar resoluciones </w:t>
      </w:r>
      <w:r w:rsidR="0035133F">
        <w:rPr>
          <w:rFonts w:eastAsia="Times New Roman" w:cs="Tahoma"/>
          <w:bCs/>
          <w:iCs/>
          <w:color w:val="auto"/>
          <w:lang w:val="es-ES" w:eastAsia="es-ES"/>
        </w:rPr>
        <w:t>contradictorias,</w:t>
      </w:r>
      <w:r>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supletoria a la Ley de Transparencia y Acceso a la Información Pública del Estado de México y Municipios, según lo previsto en su artículo 195, acordó la acumulación de los Recursos de Revisión </w:t>
      </w:r>
      <w:r w:rsidR="004B4850" w:rsidRPr="004B4850">
        <w:rPr>
          <w:rFonts w:eastAsia="Batang" w:cs="Tahoma"/>
          <w:b/>
          <w:bCs/>
          <w:color w:val="000000"/>
        </w:rPr>
        <w:t>0634</w:t>
      </w:r>
      <w:r w:rsidR="004B4850">
        <w:rPr>
          <w:rFonts w:eastAsia="Batang" w:cs="Tahoma"/>
          <w:b/>
          <w:bCs/>
          <w:color w:val="000000"/>
        </w:rPr>
        <w:t>2</w:t>
      </w:r>
      <w:r w:rsidR="004B4850" w:rsidRPr="004B4850">
        <w:rPr>
          <w:rFonts w:eastAsia="Batang" w:cs="Tahoma"/>
          <w:b/>
          <w:bCs/>
          <w:color w:val="000000"/>
        </w:rPr>
        <w:t xml:space="preserve">/INFOEM/IP/RR/2021 </w:t>
      </w:r>
      <w:r w:rsidR="0035133F">
        <w:rPr>
          <w:rFonts w:eastAsia="Batang" w:cs="Tahoma"/>
          <w:b/>
          <w:bCs/>
          <w:color w:val="000000"/>
        </w:rPr>
        <w:t xml:space="preserve"> </w:t>
      </w:r>
      <w:r w:rsidR="00814577">
        <w:rPr>
          <w:rFonts w:eastAsia="Batang" w:cs="Tahoma"/>
          <w:b/>
          <w:bCs/>
          <w:color w:val="000000"/>
        </w:rPr>
        <w:t xml:space="preserve">al diverso </w:t>
      </w:r>
      <w:r w:rsidR="004B4850" w:rsidRPr="004B4850">
        <w:rPr>
          <w:rFonts w:eastAsia="Batang" w:cs="Tahoma"/>
          <w:b/>
          <w:bCs/>
          <w:color w:val="000000"/>
        </w:rPr>
        <w:t>06341/INFOEM/IP/RR/2021</w:t>
      </w:r>
      <w:r w:rsidR="0035133F">
        <w:rPr>
          <w:rFonts w:eastAsia="Batang" w:cs="Tahoma"/>
          <w:b/>
          <w:bCs/>
          <w:color w:val="000000"/>
        </w:rPr>
        <w:t xml:space="preserve">, </w:t>
      </w:r>
      <w:r w:rsidR="0035133F" w:rsidRPr="0035133F">
        <w:rPr>
          <w:rFonts w:eastAsia="Batang" w:cs="Tahoma"/>
          <w:color w:val="000000"/>
        </w:rPr>
        <w:t>por</w:t>
      </w:r>
      <w:r w:rsidR="0081457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sidR="000E75D0" w:rsidRPr="00E64AB0">
        <w:rPr>
          <w:rFonts w:eastAsia="Calibri" w:cs="Tahoma"/>
        </w:rPr>
        <w:t>Organismo Descentralizado de Agua y Saneamiento de Chicoloapan</w:t>
      </w:r>
      <w:r w:rsidR="00814577">
        <w:rPr>
          <w:rFonts w:eastAsia="Batang" w:cs="Tahoma"/>
          <w:color w:val="000000"/>
        </w:rPr>
        <w:t xml:space="preserve">. </w:t>
      </w:r>
    </w:p>
    <w:p w14:paraId="7F900F92" w14:textId="77777777" w:rsidR="00051642" w:rsidRDefault="00051642" w:rsidP="008D7D0A">
      <w:pPr>
        <w:widowControl w:val="0"/>
        <w:spacing w:after="0" w:line="360" w:lineRule="auto"/>
        <w:rPr>
          <w:rFonts w:eastAsia="Times New Roman" w:cs="Tahoma"/>
          <w:b/>
          <w:color w:val="auto"/>
          <w:szCs w:val="24"/>
          <w:lang w:eastAsia="es-ES"/>
        </w:rPr>
      </w:pPr>
    </w:p>
    <w:p w14:paraId="26F4DCAD" w14:textId="25E3851F" w:rsidR="007034D3" w:rsidRPr="007034D3" w:rsidRDefault="004640F3" w:rsidP="007034D3">
      <w:pPr>
        <w:spacing w:line="360" w:lineRule="auto"/>
        <w:contextualSpacing/>
        <w:rPr>
          <w:rFonts w:eastAsia="Times New Roman" w:cs="Tahoma"/>
          <w:i/>
          <w:color w:val="auto"/>
          <w:lang w:eastAsia="es-ES"/>
        </w:rPr>
      </w:pPr>
      <w:r>
        <w:rPr>
          <w:rFonts w:eastAsia="Times New Roman" w:cs="Tahoma"/>
          <w:b/>
          <w:color w:val="auto"/>
          <w:szCs w:val="24"/>
          <w:lang w:eastAsia="es-ES"/>
        </w:rPr>
        <w:t>e</w:t>
      </w:r>
      <w:r w:rsidR="00051642">
        <w:rPr>
          <w:rFonts w:eastAsia="Times New Roman" w:cs="Tahoma"/>
          <w:b/>
          <w:color w:val="auto"/>
          <w:szCs w:val="24"/>
          <w:lang w:eastAsia="es-ES"/>
        </w:rPr>
        <w:t>)</w:t>
      </w:r>
      <w:r w:rsidR="007034D3">
        <w:rPr>
          <w:rFonts w:eastAsia="Times New Roman" w:cs="Tahoma"/>
          <w:b/>
          <w:color w:val="auto"/>
          <w:szCs w:val="24"/>
          <w:lang w:eastAsia="es-ES"/>
        </w:rPr>
        <w:t xml:space="preserve"> </w:t>
      </w:r>
      <w:r w:rsidR="007034D3" w:rsidRPr="007034D3">
        <w:rPr>
          <w:rFonts w:eastAsia="Times New Roman" w:cs="Tahoma"/>
          <w:b/>
          <w:color w:val="auto"/>
          <w:lang w:eastAsia="es-ES"/>
        </w:rPr>
        <w:t xml:space="preserve">Recurso de Revisión Desistido. </w:t>
      </w:r>
      <w:r w:rsidR="007034D3" w:rsidRPr="007034D3">
        <w:rPr>
          <w:rFonts w:eastAsia="Times New Roman" w:cs="Tahoma"/>
          <w:color w:val="auto"/>
          <w:lang w:eastAsia="es-ES"/>
        </w:rPr>
        <w:t xml:space="preserve">El </w:t>
      </w:r>
      <w:r w:rsidR="007034D3">
        <w:rPr>
          <w:rFonts w:eastAsia="Times New Roman" w:cs="Tahoma"/>
          <w:color w:val="auto"/>
          <w:lang w:eastAsia="es-ES"/>
        </w:rPr>
        <w:t>treinta</w:t>
      </w:r>
      <w:r w:rsidR="007034D3" w:rsidRPr="007034D3">
        <w:rPr>
          <w:rFonts w:eastAsia="Times New Roman" w:cs="Tahoma"/>
          <w:color w:val="auto"/>
          <w:lang w:eastAsia="es-ES"/>
        </w:rPr>
        <w:t xml:space="preserve"> de </w:t>
      </w:r>
      <w:r w:rsidR="007034D3">
        <w:rPr>
          <w:rFonts w:eastAsia="Times New Roman" w:cs="Tahoma"/>
          <w:color w:val="auto"/>
          <w:lang w:eastAsia="es-ES"/>
        </w:rPr>
        <w:t>enero</w:t>
      </w:r>
      <w:r w:rsidR="007034D3" w:rsidRPr="007034D3">
        <w:rPr>
          <w:rFonts w:eastAsia="Times New Roman" w:cs="Tahoma"/>
          <w:color w:val="auto"/>
          <w:lang w:eastAsia="es-ES"/>
        </w:rPr>
        <w:t xml:space="preserve"> de dos mil veintiuno, el Recurrente, a través del Sistema de Acceso a la Información Mexiquense (SAIMEX), se desistió de</w:t>
      </w:r>
      <w:r w:rsidR="007166A9">
        <w:rPr>
          <w:rFonts w:eastAsia="Times New Roman" w:cs="Tahoma"/>
          <w:color w:val="auto"/>
          <w:lang w:eastAsia="es-ES"/>
        </w:rPr>
        <w:t xml:space="preserve"> </w:t>
      </w:r>
      <w:r w:rsidR="007034D3" w:rsidRPr="007034D3">
        <w:rPr>
          <w:rFonts w:eastAsia="Times New Roman" w:cs="Tahoma"/>
          <w:color w:val="auto"/>
          <w:lang w:eastAsia="es-ES"/>
        </w:rPr>
        <w:t>l</w:t>
      </w:r>
      <w:r w:rsidR="007166A9">
        <w:rPr>
          <w:rFonts w:eastAsia="Times New Roman" w:cs="Tahoma"/>
          <w:color w:val="auto"/>
          <w:lang w:eastAsia="es-ES"/>
        </w:rPr>
        <w:t>os</w:t>
      </w:r>
      <w:r w:rsidR="007034D3" w:rsidRPr="007034D3">
        <w:rPr>
          <w:rFonts w:eastAsia="Times New Roman" w:cs="Tahoma"/>
          <w:color w:val="auto"/>
          <w:lang w:eastAsia="es-ES"/>
        </w:rPr>
        <w:t xml:space="preserve"> Recurso</w:t>
      </w:r>
      <w:r w:rsidR="007166A9">
        <w:rPr>
          <w:rFonts w:eastAsia="Times New Roman" w:cs="Tahoma"/>
          <w:color w:val="auto"/>
          <w:lang w:eastAsia="es-ES"/>
        </w:rPr>
        <w:t>s</w:t>
      </w:r>
      <w:r w:rsidR="007034D3" w:rsidRPr="007034D3">
        <w:rPr>
          <w:rFonts w:eastAsia="Times New Roman" w:cs="Tahoma"/>
          <w:color w:val="auto"/>
          <w:lang w:eastAsia="es-ES"/>
        </w:rPr>
        <w:t xml:space="preserve"> de Revisión y señaló</w:t>
      </w:r>
      <w:r w:rsidR="007034D3">
        <w:rPr>
          <w:rFonts w:eastAsia="Times New Roman" w:cs="Tahoma"/>
          <w:color w:val="auto"/>
          <w:lang w:eastAsia="es-ES"/>
        </w:rPr>
        <w:t xml:space="preserve">, en ambas solicitudes de información, </w:t>
      </w:r>
      <w:r w:rsidR="007034D3" w:rsidRPr="007034D3">
        <w:rPr>
          <w:rFonts w:eastAsia="Times New Roman" w:cs="Tahoma"/>
          <w:color w:val="auto"/>
          <w:lang w:eastAsia="es-ES"/>
        </w:rPr>
        <w:t xml:space="preserve">como razón de dicha situación la siguiente: </w:t>
      </w:r>
      <w:r w:rsidR="007034D3" w:rsidRPr="007034D3">
        <w:rPr>
          <w:rFonts w:eastAsia="Times New Roman" w:cs="Tahoma"/>
          <w:i/>
          <w:color w:val="auto"/>
          <w:lang w:eastAsia="es-ES"/>
        </w:rPr>
        <w:t>“Me desisto por así convenir a mis intereses”</w:t>
      </w:r>
    </w:p>
    <w:p w14:paraId="4478928C" w14:textId="1AC290BF" w:rsidR="007034D3" w:rsidRDefault="007034D3" w:rsidP="008D7D0A">
      <w:pPr>
        <w:spacing w:after="0" w:line="360" w:lineRule="auto"/>
        <w:rPr>
          <w:rFonts w:eastAsia="Times New Roman" w:cs="Tahoma"/>
          <w:b/>
          <w:color w:val="auto"/>
          <w:szCs w:val="24"/>
          <w:lang w:eastAsia="es-ES"/>
        </w:rPr>
      </w:pPr>
    </w:p>
    <w:p w14:paraId="54B241CF" w14:textId="4C4468A8" w:rsidR="00051642" w:rsidRDefault="007034D3" w:rsidP="008D7D0A">
      <w:pPr>
        <w:spacing w:after="0" w:line="360" w:lineRule="auto"/>
        <w:rPr>
          <w:rFonts w:eastAsia="Times New Roman" w:cs="Tahoma"/>
          <w:color w:val="auto"/>
          <w:szCs w:val="24"/>
          <w:lang w:val="es-ES" w:eastAsia="es-ES"/>
        </w:rPr>
      </w:pPr>
      <w:r>
        <w:rPr>
          <w:rFonts w:eastAsia="Times New Roman" w:cs="Tahoma"/>
          <w:b/>
          <w:color w:val="auto"/>
          <w:szCs w:val="24"/>
          <w:lang w:eastAsia="es-ES"/>
        </w:rPr>
        <w:t xml:space="preserve">f) </w:t>
      </w:r>
      <w:r w:rsidR="00051642">
        <w:rPr>
          <w:rFonts w:eastAsia="Times New Roman" w:cs="Tahoma"/>
          <w:b/>
          <w:color w:val="auto"/>
          <w:szCs w:val="24"/>
          <w:lang w:eastAsia="es-ES"/>
        </w:rPr>
        <w:t>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Pr>
          <w:rFonts w:eastAsia="Times New Roman" w:cs="Tahoma"/>
          <w:color w:val="auto"/>
          <w:szCs w:val="24"/>
          <w:lang w:val="es-ES" w:eastAsia="es-ES"/>
        </w:rPr>
        <w:t>treinta y uno</w:t>
      </w:r>
      <w:r w:rsidR="00B650E9">
        <w:rPr>
          <w:rFonts w:eastAsia="Times New Roman" w:cs="Tahoma"/>
          <w:color w:val="auto"/>
          <w:szCs w:val="24"/>
          <w:lang w:val="es-ES" w:eastAsia="es-ES"/>
        </w:rPr>
        <w:t xml:space="preserve"> </w:t>
      </w:r>
      <w:r w:rsidR="00384DCB" w:rsidRPr="00FB2ACB">
        <w:rPr>
          <w:rFonts w:eastAsia="Times New Roman" w:cs="Tahoma"/>
          <w:color w:val="auto"/>
          <w:szCs w:val="24"/>
          <w:lang w:val="es-ES" w:eastAsia="es-ES"/>
        </w:rPr>
        <w:t xml:space="preserve">de </w:t>
      </w:r>
      <w:r w:rsidR="00B650E9">
        <w:rPr>
          <w:rFonts w:eastAsia="Times New Roman" w:cs="Tahoma"/>
          <w:color w:val="auto"/>
          <w:szCs w:val="24"/>
          <w:lang w:val="es-ES" w:eastAsia="es-ES"/>
        </w:rPr>
        <w:t>enero</w:t>
      </w:r>
      <w:r w:rsidR="00051642" w:rsidRPr="00FB2ACB">
        <w:rPr>
          <w:rFonts w:eastAsia="Times New Roman" w:cs="Tahoma"/>
          <w:color w:val="auto"/>
          <w:szCs w:val="24"/>
          <w:lang w:val="es-ES" w:eastAsia="es-ES"/>
        </w:rPr>
        <w:t xml:space="preserve"> de dos mil veinti</w:t>
      </w:r>
      <w:r w:rsidR="00B650E9">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3114C">
        <w:rPr>
          <w:rFonts w:eastAsia="Times New Roman" w:cs="Tahoma"/>
          <w:color w:val="auto"/>
          <w:szCs w:val="24"/>
          <w:lang w:eastAsia="es-ES"/>
        </w:rPr>
        <w:t>veinte y veinticinco de octubre de la misma anualidad</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D7D0A">
      <w:pPr>
        <w:spacing w:after="0" w:line="360" w:lineRule="auto"/>
        <w:rPr>
          <w:rFonts w:eastAsia="Times New Roman" w:cs="Tahoma"/>
          <w:color w:val="auto"/>
          <w:szCs w:val="24"/>
          <w:lang w:eastAsia="es-ES"/>
        </w:rPr>
      </w:pPr>
    </w:p>
    <w:p w14:paraId="6984A8D2" w14:textId="3A2F8447" w:rsidR="00051642" w:rsidRDefault="00051642" w:rsidP="008D7D0A">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2476AF6F" w14:textId="77777777" w:rsidR="007166A9" w:rsidRPr="00EA6F1A" w:rsidRDefault="007166A9" w:rsidP="008D7D0A">
      <w:pPr>
        <w:spacing w:after="0" w:line="360" w:lineRule="auto"/>
        <w:rPr>
          <w:rFonts w:eastAsia="Times New Roman" w:cs="Tahoma"/>
          <w:color w:val="000000"/>
          <w:szCs w:val="24"/>
          <w:lang w:eastAsia="es-ES"/>
        </w:rPr>
      </w:pPr>
    </w:p>
    <w:p w14:paraId="30D206CA" w14:textId="2D3649EB" w:rsidR="00051642" w:rsidRPr="006B4CAC" w:rsidRDefault="00051642" w:rsidP="008D7D0A">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8D7D0A">
      <w:pPr>
        <w:autoSpaceDE w:val="0"/>
        <w:autoSpaceDN w:val="0"/>
        <w:adjustRightInd w:val="0"/>
        <w:spacing w:after="0" w:line="360" w:lineRule="auto"/>
        <w:rPr>
          <w:rFonts w:eastAsia="Calibri" w:cs="Tahoma"/>
          <w:b/>
          <w:color w:val="000000"/>
          <w:szCs w:val="24"/>
          <w:lang w:val="es-ES" w:eastAsia="es-MX"/>
        </w:rPr>
      </w:pPr>
    </w:p>
    <w:p w14:paraId="3B94CD90" w14:textId="4BF263B2" w:rsidR="00051642" w:rsidRDefault="00051642" w:rsidP="008D7D0A">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6BA7D592" w14:textId="77777777" w:rsidR="008D7D0A" w:rsidRPr="003D5B55" w:rsidRDefault="008D7D0A" w:rsidP="008D7D0A">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D7D0A">
      <w:pPr>
        <w:spacing w:after="0" w:line="360" w:lineRule="auto"/>
        <w:rPr>
          <w:rFonts w:eastAsia="Times New Roman" w:cs="Tahoma"/>
          <w:bCs/>
          <w:color w:val="auto"/>
          <w:lang w:eastAsia="es-ES"/>
        </w:rPr>
      </w:pPr>
      <w:bookmarkStart w:id="8"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8"/>
    </w:p>
    <w:p w14:paraId="2986AFCC" w14:textId="77777777" w:rsidR="00051642" w:rsidRPr="003D5B55" w:rsidRDefault="00051642" w:rsidP="008D7D0A">
      <w:pPr>
        <w:spacing w:after="0" w:line="360" w:lineRule="auto"/>
      </w:pPr>
    </w:p>
    <w:p w14:paraId="05183856" w14:textId="77777777" w:rsidR="007034D3" w:rsidRPr="007034D3" w:rsidRDefault="007034D3" w:rsidP="007034D3">
      <w:pPr>
        <w:autoSpaceDE w:val="0"/>
        <w:autoSpaceDN w:val="0"/>
        <w:adjustRightInd w:val="0"/>
        <w:spacing w:after="0" w:line="360" w:lineRule="auto"/>
        <w:contextualSpacing/>
        <w:rPr>
          <w:rFonts w:eastAsia="Calibri" w:cs="Tahoma"/>
          <w:color w:val="000000"/>
          <w:lang w:eastAsia="es-MX"/>
        </w:rPr>
      </w:pPr>
      <w:r w:rsidRPr="007034D3">
        <w:rPr>
          <w:rFonts w:eastAsia="Calibri" w:cs="Tahoma"/>
          <w:b/>
          <w:color w:val="000000"/>
          <w:lang w:eastAsia="es-MX"/>
        </w:rPr>
        <w:t>SEGUNDO</w:t>
      </w:r>
      <w:r w:rsidRPr="007034D3">
        <w:rPr>
          <w:rFonts w:eastAsia="Calibri" w:cs="Tahoma"/>
          <w:color w:val="000000"/>
          <w:lang w:eastAsia="es-MX"/>
        </w:rPr>
        <w:t xml:space="preserve">. </w:t>
      </w:r>
      <w:r w:rsidRPr="007034D3">
        <w:rPr>
          <w:rFonts w:eastAsia="Calibri" w:cs="Tahoma"/>
          <w:b/>
          <w:color w:val="000000"/>
          <w:lang w:eastAsia="es-MX"/>
        </w:rPr>
        <w:t xml:space="preserve">Causales de improcedencia. </w:t>
      </w:r>
    </w:p>
    <w:p w14:paraId="0D35EF78" w14:textId="77777777" w:rsidR="007034D3" w:rsidRPr="007034D3" w:rsidRDefault="007034D3" w:rsidP="007034D3">
      <w:pPr>
        <w:autoSpaceDE w:val="0"/>
        <w:autoSpaceDN w:val="0"/>
        <w:adjustRightInd w:val="0"/>
        <w:spacing w:after="0" w:line="360" w:lineRule="auto"/>
        <w:rPr>
          <w:rFonts w:eastAsia="Calibri" w:cs="Tahoma"/>
          <w:color w:val="000000"/>
          <w:sz w:val="20"/>
          <w:lang w:eastAsia="es-MX"/>
        </w:rPr>
      </w:pPr>
    </w:p>
    <w:p w14:paraId="0872F641" w14:textId="2CE77D94" w:rsidR="007034D3" w:rsidRDefault="007034D3" w:rsidP="007034D3">
      <w:pPr>
        <w:autoSpaceDE w:val="0"/>
        <w:autoSpaceDN w:val="0"/>
        <w:adjustRightInd w:val="0"/>
        <w:spacing w:after="0" w:line="360" w:lineRule="auto"/>
        <w:contextualSpacing/>
        <w:rPr>
          <w:rFonts w:eastAsia="Calibri" w:cs="Tahoma"/>
          <w:color w:val="000000"/>
          <w:lang w:eastAsia="es-MX"/>
        </w:rPr>
      </w:pPr>
      <w:r w:rsidRPr="007034D3">
        <w:rPr>
          <w:rFonts w:eastAsia="Calibri" w:cs="Tahoma"/>
          <w:color w:val="000000"/>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w:t>
      </w:r>
      <w:r w:rsidRPr="007034D3">
        <w:rPr>
          <w:rFonts w:eastAsia="Calibri" w:cs="Tahoma"/>
          <w:color w:val="000000"/>
          <w:lang w:eastAsia="es-MX"/>
        </w:rPr>
        <w:lastRenderedPageBreak/>
        <w:t>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34FF80" w14:textId="77777777" w:rsidR="007166A9" w:rsidRPr="007034D3" w:rsidRDefault="007166A9" w:rsidP="007034D3">
      <w:pPr>
        <w:autoSpaceDE w:val="0"/>
        <w:autoSpaceDN w:val="0"/>
        <w:adjustRightInd w:val="0"/>
        <w:spacing w:after="0" w:line="360" w:lineRule="auto"/>
        <w:contextualSpacing/>
        <w:rPr>
          <w:rFonts w:eastAsia="Calibri" w:cs="Tahoma"/>
          <w:color w:val="000000"/>
          <w:lang w:eastAsia="es-MX"/>
        </w:rPr>
      </w:pPr>
    </w:p>
    <w:p w14:paraId="00A7B26B" w14:textId="50F189F9" w:rsidR="007034D3" w:rsidRPr="007034D3" w:rsidRDefault="007034D3" w:rsidP="007034D3">
      <w:pPr>
        <w:autoSpaceDE w:val="0"/>
        <w:autoSpaceDN w:val="0"/>
        <w:adjustRightInd w:val="0"/>
        <w:spacing w:after="0" w:line="360" w:lineRule="auto"/>
        <w:contextualSpacing/>
        <w:rPr>
          <w:rFonts w:eastAsia="Calibri" w:cs="Tahoma"/>
          <w:color w:val="000000"/>
          <w:lang w:eastAsia="es-MX"/>
        </w:rPr>
      </w:pPr>
      <w:r w:rsidRPr="007034D3">
        <w:rPr>
          <w:rFonts w:eastAsia="Calibri" w:cs="Tahoma"/>
          <w:color w:val="000000"/>
          <w:lang w:eastAsia="es-MX"/>
        </w:rPr>
        <w:t xml:space="preserve">En el presente caso, </w:t>
      </w:r>
      <w:r w:rsidRPr="007034D3">
        <w:rPr>
          <w:rFonts w:eastAsia="Calibri" w:cs="Tahoma"/>
          <w:b/>
          <w:color w:val="000000"/>
          <w:lang w:eastAsia="es-MX"/>
        </w:rPr>
        <w:t>no se actualiza ninguna de las causales de improcedencia</w:t>
      </w:r>
      <w:r w:rsidRPr="007034D3">
        <w:rPr>
          <w:rFonts w:eastAsia="Calibri"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C7459C2" w14:textId="77777777" w:rsidR="007034D3" w:rsidRPr="007034D3" w:rsidRDefault="007034D3" w:rsidP="007034D3">
      <w:pPr>
        <w:autoSpaceDE w:val="0"/>
        <w:autoSpaceDN w:val="0"/>
        <w:adjustRightInd w:val="0"/>
        <w:spacing w:after="0" w:line="360" w:lineRule="auto"/>
        <w:contextualSpacing/>
        <w:rPr>
          <w:rFonts w:eastAsia="Calibri" w:cs="Tahoma"/>
          <w:b/>
          <w:color w:val="000000"/>
          <w:lang w:eastAsia="es-MX"/>
        </w:rPr>
      </w:pPr>
    </w:p>
    <w:p w14:paraId="56A44BBB" w14:textId="77777777" w:rsidR="007034D3" w:rsidRPr="007034D3" w:rsidRDefault="007034D3" w:rsidP="007034D3">
      <w:pPr>
        <w:spacing w:after="0" w:line="360" w:lineRule="auto"/>
        <w:rPr>
          <w:rFonts w:eastAsia="Times New Roman" w:cs="Tahoma"/>
          <w:bCs/>
          <w:color w:val="auto"/>
          <w:lang w:eastAsia="es-ES"/>
        </w:rPr>
      </w:pPr>
      <w:r w:rsidRPr="007034D3">
        <w:rPr>
          <w:rFonts w:eastAsia="Times New Roman" w:cs="Tahoma"/>
          <w:bCs/>
          <w:color w:val="auto"/>
          <w:lang w:eastAsia="es-ES"/>
        </w:rPr>
        <w:t xml:space="preserve">Asimismo, se actualiza la causal de procedencia del Recurso de Revisión señalada en el artículo 179, fracción VII, de la Ley en cita, pues el Recurrente se inconformó con la falta de respuesta a su solicitud de acceso a la información. </w:t>
      </w:r>
    </w:p>
    <w:p w14:paraId="77FA2B95" w14:textId="77777777" w:rsidR="007034D3" w:rsidRPr="007034D3" w:rsidRDefault="007034D3" w:rsidP="007034D3">
      <w:pPr>
        <w:spacing w:after="0" w:line="360" w:lineRule="auto"/>
        <w:rPr>
          <w:rFonts w:eastAsia="Times New Roman" w:cs="Tahoma"/>
          <w:color w:val="auto"/>
          <w:lang w:val="es-ES" w:eastAsia="es-ES"/>
        </w:rPr>
      </w:pPr>
    </w:p>
    <w:p w14:paraId="5366ED7C" w14:textId="77777777" w:rsidR="007034D3" w:rsidRPr="007034D3" w:rsidRDefault="007034D3" w:rsidP="007034D3">
      <w:pPr>
        <w:autoSpaceDE w:val="0"/>
        <w:autoSpaceDN w:val="0"/>
        <w:adjustRightInd w:val="0"/>
        <w:spacing w:after="0" w:line="360" w:lineRule="auto"/>
        <w:rPr>
          <w:rFonts w:eastAsia="Calibri" w:cs="Tahoma"/>
          <w:b/>
          <w:color w:val="000000"/>
          <w:lang w:eastAsia="es-MX"/>
        </w:rPr>
      </w:pPr>
      <w:r w:rsidRPr="007034D3">
        <w:rPr>
          <w:rFonts w:eastAsia="Calibri" w:cs="Tahoma"/>
          <w:b/>
          <w:color w:val="000000"/>
          <w:lang w:eastAsia="es-MX"/>
        </w:rPr>
        <w:t>TERCERO. Causales de sobreseimiento.</w:t>
      </w:r>
    </w:p>
    <w:p w14:paraId="2EB19FB7" w14:textId="77777777" w:rsidR="007034D3" w:rsidRPr="007034D3" w:rsidRDefault="007034D3" w:rsidP="007034D3">
      <w:pPr>
        <w:autoSpaceDE w:val="0"/>
        <w:autoSpaceDN w:val="0"/>
        <w:adjustRightInd w:val="0"/>
        <w:spacing w:after="0" w:line="360" w:lineRule="auto"/>
        <w:contextualSpacing/>
        <w:rPr>
          <w:rFonts w:eastAsia="Calibri" w:cs="Tahoma"/>
          <w:b/>
          <w:color w:val="000000"/>
          <w:lang w:eastAsia="es-MX"/>
        </w:rPr>
      </w:pPr>
    </w:p>
    <w:p w14:paraId="6F48F802" w14:textId="77777777" w:rsidR="007034D3" w:rsidRPr="007034D3" w:rsidRDefault="007034D3" w:rsidP="007034D3">
      <w:pPr>
        <w:spacing w:after="0" w:line="360" w:lineRule="auto"/>
        <w:rPr>
          <w:rFonts w:eastAsia="Times New Roman" w:cs="Tahoma"/>
          <w:color w:val="auto"/>
          <w:lang w:eastAsia="es-ES"/>
        </w:rPr>
      </w:pPr>
      <w:r w:rsidRPr="007034D3">
        <w:rPr>
          <w:rFonts w:eastAsia="Times New Roman" w:cs="Tahoma"/>
          <w:color w:val="auto"/>
          <w:lang w:eastAsia="es-ES"/>
        </w:rPr>
        <w:t>Por ser de previo y especial pronunciamiento, este Instituto analiza si se actualiza alguna causal de sobreseimiento.</w:t>
      </w:r>
    </w:p>
    <w:p w14:paraId="5D5F5E55" w14:textId="77777777" w:rsidR="007034D3" w:rsidRPr="007034D3" w:rsidRDefault="007034D3" w:rsidP="007034D3">
      <w:pPr>
        <w:spacing w:after="0" w:line="360" w:lineRule="auto"/>
        <w:rPr>
          <w:rFonts w:eastAsia="Times New Roman" w:cs="Tahoma"/>
          <w:color w:val="auto"/>
          <w:lang w:eastAsia="es-ES"/>
        </w:rPr>
      </w:pPr>
    </w:p>
    <w:p w14:paraId="1E9EFB3C" w14:textId="47C96F68" w:rsidR="007034D3" w:rsidRDefault="007034D3" w:rsidP="00EA6F1A">
      <w:pPr>
        <w:widowControl w:val="0"/>
        <w:spacing w:after="0" w:line="360" w:lineRule="auto"/>
        <w:rPr>
          <w:rFonts w:eastAsia="Calibri" w:cs="Tahoma"/>
          <w:color w:val="auto"/>
          <w:lang w:eastAsia="es-ES_tradnl"/>
        </w:rPr>
      </w:pPr>
      <w:r w:rsidRPr="007034D3">
        <w:rPr>
          <w:rFonts w:eastAsia="Times New Roman" w:cs="Tahoma"/>
          <w:color w:val="auto"/>
          <w:lang w:eastAsia="es-ES"/>
        </w:rPr>
        <w:t xml:space="preserve">El artículo 192 de la </w:t>
      </w:r>
      <w:r w:rsidRPr="007034D3">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7034D3">
        <w:rPr>
          <w:rFonts w:eastAsia="Calibri" w:cs="Tahoma"/>
          <w:color w:val="auto"/>
          <w:lang w:eastAsia="es-ES_tradnl"/>
        </w:rPr>
        <w:t>del análisis realizado por este Instituto, se advierte que</w:t>
      </w:r>
      <w:r w:rsidRPr="007034D3">
        <w:rPr>
          <w:rFonts w:eastAsia="Calibri" w:cs="Tahoma"/>
          <w:b/>
          <w:color w:val="auto"/>
          <w:lang w:eastAsia="es-ES_tradnl"/>
        </w:rPr>
        <w:t xml:space="preserve"> no se configuran las causales establecidas en las fracciones II, III, IV y V, </w:t>
      </w:r>
      <w:r w:rsidRPr="007034D3">
        <w:rPr>
          <w:rFonts w:eastAsia="Calibri" w:cs="Tahoma"/>
          <w:color w:val="auto"/>
          <w:lang w:eastAsia="es-ES_tradnl"/>
        </w:rPr>
        <w:t xml:space="preserve">toda vez que no hay constancias en el expediente en que se actúa, de que el Recurrente haya fallecido, </w:t>
      </w:r>
      <w:r w:rsidRPr="007034D3">
        <w:rPr>
          <w:rFonts w:eastAsia="Calibri" w:cs="Tahoma"/>
          <w:color w:val="auto"/>
          <w:lang w:eastAsia="es-ES_tradnl"/>
        </w:rPr>
        <w:lastRenderedPageBreak/>
        <w:t>sobreviniera alguna causal de improcedencia, que el Sujeto Obligado hubiese modificado o revocado el acto impugnado o bien, haya quedado sin materia.</w:t>
      </w:r>
    </w:p>
    <w:p w14:paraId="15C3BE0D" w14:textId="77777777" w:rsidR="00EA6F1A" w:rsidRPr="007034D3" w:rsidRDefault="00EA6F1A" w:rsidP="00EA6F1A">
      <w:pPr>
        <w:widowControl w:val="0"/>
        <w:spacing w:after="0" w:line="360" w:lineRule="auto"/>
        <w:rPr>
          <w:rFonts w:eastAsia="Calibri" w:cs="Tahoma"/>
          <w:color w:val="auto"/>
          <w:lang w:eastAsia="es-ES_tradnl"/>
        </w:rPr>
      </w:pPr>
    </w:p>
    <w:p w14:paraId="0925DD54" w14:textId="659277E7" w:rsidR="00C4650D" w:rsidRDefault="007034D3" w:rsidP="00C4650D">
      <w:pPr>
        <w:spacing w:after="0" w:line="360" w:lineRule="auto"/>
        <w:rPr>
          <w:rFonts w:eastAsia="Calibri" w:cs="Tahoma"/>
          <w:color w:val="auto"/>
          <w:lang w:eastAsia="es-ES_tradnl"/>
        </w:rPr>
      </w:pPr>
      <w:r w:rsidRPr="007034D3">
        <w:rPr>
          <w:rFonts w:eastAsia="Times New Roman" w:cs="Tahoma"/>
          <w:color w:val="auto"/>
          <w:lang w:eastAsia="es-ES"/>
        </w:rPr>
        <w:t xml:space="preserve">No obstante, por lo que hace a la hipótesis prevista en </w:t>
      </w:r>
      <w:r w:rsidR="007166A9">
        <w:rPr>
          <w:rFonts w:eastAsia="Times New Roman" w:cs="Tahoma"/>
          <w:color w:val="auto"/>
          <w:lang w:eastAsia="es-ES"/>
        </w:rPr>
        <w:t>la fracción I, a saber, que el S</w:t>
      </w:r>
      <w:r w:rsidRPr="007034D3">
        <w:rPr>
          <w:rFonts w:eastAsia="Times New Roman" w:cs="Tahoma"/>
          <w:color w:val="auto"/>
          <w:lang w:eastAsia="es-ES"/>
        </w:rPr>
        <w:t>olicitante se haya desistido del Medio de Impugnación, se colige en el ahora Recurrente, se desistió expresamente de</w:t>
      </w:r>
      <w:r w:rsidR="007166A9">
        <w:rPr>
          <w:rFonts w:eastAsia="Times New Roman" w:cs="Tahoma"/>
          <w:color w:val="auto"/>
          <w:lang w:eastAsia="es-ES"/>
        </w:rPr>
        <w:t xml:space="preserve"> </w:t>
      </w:r>
      <w:r w:rsidRPr="007034D3">
        <w:rPr>
          <w:rFonts w:eastAsia="Times New Roman" w:cs="Tahoma"/>
          <w:color w:val="auto"/>
          <w:lang w:eastAsia="es-ES"/>
        </w:rPr>
        <w:t>l</w:t>
      </w:r>
      <w:r w:rsidR="007166A9">
        <w:rPr>
          <w:rFonts w:eastAsia="Times New Roman" w:cs="Tahoma"/>
          <w:color w:val="auto"/>
          <w:lang w:eastAsia="es-ES"/>
        </w:rPr>
        <w:t>os</w:t>
      </w:r>
      <w:r w:rsidRPr="007034D3">
        <w:rPr>
          <w:rFonts w:eastAsia="Times New Roman" w:cs="Tahoma"/>
          <w:color w:val="auto"/>
          <w:lang w:eastAsia="es-ES"/>
        </w:rPr>
        <w:t xml:space="preserve"> Recurso</w:t>
      </w:r>
      <w:r w:rsidR="007166A9">
        <w:rPr>
          <w:rFonts w:eastAsia="Times New Roman" w:cs="Tahoma"/>
          <w:color w:val="auto"/>
          <w:lang w:eastAsia="es-ES"/>
        </w:rPr>
        <w:t>s</w:t>
      </w:r>
      <w:r w:rsidRPr="007034D3">
        <w:rPr>
          <w:rFonts w:eastAsia="Times New Roman" w:cs="Tahoma"/>
          <w:color w:val="auto"/>
          <w:lang w:eastAsia="es-ES"/>
        </w:rPr>
        <w:t xml:space="preserve"> de Revisión, a través del Sistema de Acceso a la Información Mexiquense (SAIMEX), el </w:t>
      </w:r>
      <w:r w:rsidR="00C4650D">
        <w:rPr>
          <w:rFonts w:eastAsia="Times New Roman" w:cs="Tahoma"/>
          <w:color w:val="auto"/>
          <w:lang w:eastAsia="es-ES"/>
        </w:rPr>
        <w:t>treinta</w:t>
      </w:r>
      <w:r w:rsidRPr="007034D3">
        <w:rPr>
          <w:rFonts w:eastAsia="Times New Roman" w:cs="Tahoma"/>
          <w:color w:val="auto"/>
          <w:lang w:eastAsia="es-ES"/>
        </w:rPr>
        <w:t xml:space="preserve"> de </w:t>
      </w:r>
      <w:r w:rsidR="00C4650D">
        <w:rPr>
          <w:rFonts w:eastAsia="Times New Roman" w:cs="Tahoma"/>
          <w:color w:val="auto"/>
          <w:lang w:eastAsia="es-ES"/>
        </w:rPr>
        <w:t>enero</w:t>
      </w:r>
      <w:r w:rsidRPr="007034D3">
        <w:rPr>
          <w:rFonts w:eastAsia="Times New Roman" w:cs="Tahoma"/>
          <w:color w:val="auto"/>
          <w:lang w:eastAsia="es-ES"/>
        </w:rPr>
        <w:t xml:space="preserve"> de dos mil veint</w:t>
      </w:r>
      <w:r w:rsidR="00C4650D">
        <w:rPr>
          <w:rFonts w:eastAsia="Times New Roman" w:cs="Tahoma"/>
          <w:color w:val="auto"/>
          <w:lang w:eastAsia="es-ES"/>
        </w:rPr>
        <w:t>idós</w:t>
      </w:r>
      <w:r w:rsidRPr="007034D3">
        <w:rPr>
          <w:rFonts w:eastAsia="Times New Roman" w:cs="Tahoma"/>
          <w:color w:val="auto"/>
          <w:lang w:eastAsia="es-ES"/>
        </w:rPr>
        <w:t>,</w:t>
      </w:r>
      <w:r w:rsidRPr="007034D3">
        <w:rPr>
          <w:rFonts w:eastAsia="Calibri" w:cs="Tahoma"/>
          <w:color w:val="auto"/>
          <w:lang w:eastAsia="es-ES_tradnl"/>
        </w:rPr>
        <w:t xml:space="preserve"> como se observa a continuación:</w:t>
      </w:r>
    </w:p>
    <w:p w14:paraId="108867C3" w14:textId="77777777" w:rsidR="00C4650D" w:rsidRPr="00C4650D" w:rsidRDefault="00C4650D" w:rsidP="00C4650D">
      <w:pPr>
        <w:spacing w:after="0" w:line="360" w:lineRule="auto"/>
        <w:rPr>
          <w:rFonts w:eastAsia="Calibri" w:cs="Tahoma"/>
          <w:color w:val="auto"/>
          <w:lang w:eastAsia="es-ES_tradnl"/>
        </w:rPr>
      </w:pPr>
    </w:p>
    <w:p w14:paraId="5BCFB21C" w14:textId="5C014BA0" w:rsidR="00C4650D" w:rsidRDefault="00C4650D" w:rsidP="007034D3">
      <w:pPr>
        <w:spacing w:after="0" w:line="360" w:lineRule="auto"/>
        <w:contextualSpacing/>
        <w:jc w:val="center"/>
        <w:rPr>
          <w:rFonts w:eastAsia="Calibri" w:cs="Tahoma"/>
          <w:bCs/>
          <w:color w:val="000000"/>
          <w:lang w:eastAsia="es-ES_tradnl"/>
        </w:rPr>
      </w:pPr>
      <w:r>
        <w:rPr>
          <w:rFonts w:eastAsia="Calibri" w:cs="Tahoma"/>
          <w:bCs/>
          <w:noProof/>
          <w:color w:val="000000"/>
          <w:lang w:eastAsia="es-MX"/>
        </w:rPr>
        <w:drawing>
          <wp:inline distT="0" distB="0" distL="0" distR="0" wp14:anchorId="5B0770CA" wp14:editId="10F18D26">
            <wp:extent cx="2846189" cy="2314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8525" cy="2316475"/>
                    </a:xfrm>
                    <a:prstGeom prst="rect">
                      <a:avLst/>
                    </a:prstGeom>
                    <a:noFill/>
                  </pic:spPr>
                </pic:pic>
              </a:graphicData>
            </a:graphic>
          </wp:inline>
        </w:drawing>
      </w:r>
    </w:p>
    <w:p w14:paraId="6F0B9ABE" w14:textId="77777777" w:rsidR="00EA6F1A" w:rsidRDefault="00EA6F1A" w:rsidP="007034D3">
      <w:pPr>
        <w:spacing w:after="0" w:line="360" w:lineRule="auto"/>
        <w:contextualSpacing/>
        <w:jc w:val="center"/>
        <w:rPr>
          <w:noProof/>
        </w:rPr>
      </w:pPr>
    </w:p>
    <w:p w14:paraId="359A35DA" w14:textId="7C118361" w:rsidR="007034D3" w:rsidRDefault="00EA6F1A" w:rsidP="00EA6F1A">
      <w:pPr>
        <w:spacing w:after="0" w:line="360" w:lineRule="auto"/>
        <w:contextualSpacing/>
        <w:jc w:val="center"/>
        <w:rPr>
          <w:rFonts w:eastAsia="Calibri" w:cs="Tahoma"/>
          <w:bCs/>
          <w:color w:val="000000"/>
          <w:lang w:eastAsia="es-ES_tradnl"/>
        </w:rPr>
      </w:pPr>
      <w:r>
        <w:rPr>
          <w:noProof/>
          <w:lang w:eastAsia="es-MX"/>
        </w:rPr>
        <w:drawing>
          <wp:inline distT="0" distB="0" distL="0" distR="0" wp14:anchorId="76FFC510" wp14:editId="13830284">
            <wp:extent cx="2805715" cy="2324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67" t="11352" r="29627" b="10675"/>
                    <a:stretch/>
                  </pic:blipFill>
                  <pic:spPr bwMode="auto">
                    <a:xfrm>
                      <a:off x="0" y="0"/>
                      <a:ext cx="2812957" cy="2330735"/>
                    </a:xfrm>
                    <a:prstGeom prst="rect">
                      <a:avLst/>
                    </a:prstGeom>
                    <a:ln>
                      <a:noFill/>
                    </a:ln>
                    <a:extLst>
                      <a:ext uri="{53640926-AAD7-44D8-BBD7-CCE9431645EC}">
                        <a14:shadowObscured xmlns:a14="http://schemas.microsoft.com/office/drawing/2010/main"/>
                      </a:ext>
                    </a:extLst>
                  </pic:spPr>
                </pic:pic>
              </a:graphicData>
            </a:graphic>
          </wp:inline>
        </w:drawing>
      </w:r>
    </w:p>
    <w:p w14:paraId="7810BCD1" w14:textId="41526108" w:rsidR="007034D3" w:rsidRPr="007034D3" w:rsidRDefault="007034D3" w:rsidP="007034D3">
      <w:pPr>
        <w:spacing w:after="0" w:line="360" w:lineRule="auto"/>
        <w:contextualSpacing/>
        <w:rPr>
          <w:rFonts w:eastAsia="Calibri" w:cs="Tahoma"/>
          <w:bCs/>
          <w:color w:val="000000"/>
          <w:lang w:eastAsia="es-ES_tradnl"/>
        </w:rPr>
      </w:pPr>
      <w:r w:rsidRPr="007034D3">
        <w:rPr>
          <w:rFonts w:eastAsia="Calibri" w:cs="Tahoma"/>
          <w:bCs/>
          <w:color w:val="000000"/>
          <w:lang w:eastAsia="es-ES_tradnl"/>
        </w:rPr>
        <w:lastRenderedPageBreak/>
        <w:t>En ese orden de ideas y conforme a las constancias que integran el expediente electrónico del Medio de Impugnación, se aprecia que el Recurrente se desistió de</w:t>
      </w:r>
      <w:r w:rsidR="00C431DF">
        <w:rPr>
          <w:rFonts w:eastAsia="Calibri" w:cs="Tahoma"/>
          <w:bCs/>
          <w:color w:val="000000"/>
          <w:lang w:eastAsia="es-ES_tradnl"/>
        </w:rPr>
        <w:t xml:space="preserve"> </w:t>
      </w:r>
      <w:r w:rsidRPr="007034D3">
        <w:rPr>
          <w:rFonts w:eastAsia="Calibri" w:cs="Tahoma"/>
          <w:bCs/>
          <w:color w:val="000000"/>
          <w:lang w:eastAsia="es-ES_tradnl"/>
        </w:rPr>
        <w:t>l</w:t>
      </w:r>
      <w:r w:rsidR="00C431DF">
        <w:rPr>
          <w:rFonts w:eastAsia="Calibri" w:cs="Tahoma"/>
          <w:bCs/>
          <w:color w:val="000000"/>
          <w:lang w:eastAsia="es-ES_tradnl"/>
        </w:rPr>
        <w:t>os</w:t>
      </w:r>
      <w:r w:rsidRPr="007034D3">
        <w:rPr>
          <w:rFonts w:eastAsia="Calibri" w:cs="Tahoma"/>
          <w:bCs/>
          <w:color w:val="000000"/>
          <w:lang w:eastAsia="es-ES_tradnl"/>
        </w:rPr>
        <w:t xml:space="preserve"> Recurso</w:t>
      </w:r>
      <w:r w:rsidR="00C431DF">
        <w:rPr>
          <w:rFonts w:eastAsia="Calibri" w:cs="Tahoma"/>
          <w:bCs/>
          <w:color w:val="000000"/>
          <w:lang w:eastAsia="es-ES_tradnl"/>
        </w:rPr>
        <w:t>s</w:t>
      </w:r>
      <w:r w:rsidRPr="007034D3">
        <w:rPr>
          <w:rFonts w:eastAsia="Calibri" w:cs="Tahoma"/>
          <w:bCs/>
          <w:color w:val="000000"/>
          <w:lang w:eastAsia="es-ES_tradnl"/>
        </w:rPr>
        <w:t xml:space="preserve"> de Revisión a través del siguiente motivo o razón </w:t>
      </w:r>
      <w:r w:rsidRPr="007034D3">
        <w:rPr>
          <w:rFonts w:eastAsia="Calibri" w:cs="Tahoma"/>
          <w:bCs/>
          <w:i/>
          <w:color w:val="000000"/>
          <w:lang w:eastAsia="es-ES_tradnl"/>
        </w:rPr>
        <w:t>“</w:t>
      </w:r>
      <w:r w:rsidR="00EA6F1A" w:rsidRPr="00EA6F1A">
        <w:rPr>
          <w:rFonts w:eastAsia="Calibri" w:cs="Tahoma"/>
          <w:bCs/>
          <w:i/>
          <w:color w:val="000000"/>
          <w:lang w:eastAsia="es-ES_tradnl"/>
        </w:rPr>
        <w:t>Me desisto por así convenir a mis intereses</w:t>
      </w:r>
      <w:r w:rsidRPr="007034D3">
        <w:rPr>
          <w:rFonts w:eastAsia="Calibri" w:cs="Tahoma"/>
          <w:bCs/>
          <w:i/>
          <w:color w:val="000000"/>
          <w:lang w:eastAsia="es-ES_tradnl"/>
        </w:rPr>
        <w:t>”</w:t>
      </w:r>
      <w:r w:rsidR="00C431DF">
        <w:rPr>
          <w:rFonts w:eastAsia="Calibri" w:cs="Tahoma"/>
          <w:bCs/>
          <w:i/>
          <w:color w:val="000000"/>
          <w:lang w:eastAsia="es-ES_tradnl"/>
        </w:rPr>
        <w:t>.</w:t>
      </w:r>
    </w:p>
    <w:p w14:paraId="352888D9" w14:textId="77777777" w:rsidR="007034D3" w:rsidRPr="007034D3" w:rsidRDefault="007034D3" w:rsidP="007034D3">
      <w:pPr>
        <w:spacing w:after="0" w:line="360" w:lineRule="auto"/>
        <w:contextualSpacing/>
        <w:rPr>
          <w:rFonts w:eastAsia="Calibri" w:cs="Tahoma"/>
          <w:bCs/>
          <w:color w:val="000000"/>
          <w:lang w:eastAsia="es-ES_tradnl"/>
        </w:rPr>
      </w:pPr>
    </w:p>
    <w:p w14:paraId="6F16CE76" w14:textId="23876885" w:rsidR="007034D3" w:rsidRPr="007034D3" w:rsidRDefault="007034D3" w:rsidP="007034D3">
      <w:pPr>
        <w:spacing w:after="0" w:line="360" w:lineRule="auto"/>
        <w:contextualSpacing/>
        <w:rPr>
          <w:rFonts w:eastAsia="Calibri" w:cs="Tahoma"/>
          <w:color w:val="auto"/>
          <w:lang w:eastAsia="es-ES_tradnl"/>
        </w:rPr>
      </w:pPr>
      <w:r w:rsidRPr="007034D3">
        <w:rPr>
          <w:rFonts w:eastAsia="Calibri" w:cs="Tahoma"/>
          <w:bCs/>
          <w:color w:val="000000"/>
          <w:lang w:eastAsia="es-ES_tradnl"/>
        </w:rPr>
        <w:t xml:space="preserve">De lo anterior, se aprecia que el Particular </w:t>
      </w:r>
      <w:r w:rsidRPr="007034D3">
        <w:rPr>
          <w:rFonts w:eastAsia="Calibri" w:cs="Tahoma"/>
          <w:b/>
          <w:bCs/>
          <w:color w:val="000000"/>
          <w:lang w:eastAsia="es-ES_tradnl"/>
        </w:rPr>
        <w:t xml:space="preserve">manifestó expresamente su voluntad de desistirse del Recurso de Revisión </w:t>
      </w:r>
      <w:r w:rsidR="00EA6F1A" w:rsidRPr="00EA6F1A">
        <w:rPr>
          <w:rFonts w:eastAsia="Calibri" w:cs="Tahoma"/>
          <w:b/>
          <w:bCs/>
          <w:color w:val="auto"/>
        </w:rPr>
        <w:t>06341/INFOEM/IP/RR/2021 y acumulado</w:t>
      </w:r>
      <w:r w:rsidR="00C431DF">
        <w:rPr>
          <w:rFonts w:eastAsia="Calibri" w:cs="Tahoma"/>
          <w:b/>
          <w:bCs/>
          <w:color w:val="auto"/>
        </w:rPr>
        <w:t xml:space="preserve">, </w:t>
      </w:r>
      <w:r w:rsidRPr="007034D3">
        <w:rPr>
          <w:rFonts w:eastAsia="Calibri" w:cs="Tahoma"/>
          <w:color w:val="auto"/>
          <w:lang w:eastAsia="es-ES_tradnl"/>
        </w:rPr>
        <w:t>en consecuencia, se estima que se actualiza el supuesto previsto en el artículo 192, fracción I, de la Ley de Transparencia y Acceso a la Información Pública del Estado de México y Municipios.</w:t>
      </w:r>
    </w:p>
    <w:p w14:paraId="58FB78B5" w14:textId="77777777" w:rsidR="007034D3" w:rsidRPr="007034D3" w:rsidRDefault="007034D3" w:rsidP="007034D3">
      <w:pPr>
        <w:spacing w:after="0" w:line="360" w:lineRule="auto"/>
        <w:contextualSpacing/>
        <w:rPr>
          <w:rFonts w:eastAsia="Calibri" w:cs="Tahoma"/>
          <w:color w:val="auto"/>
          <w:lang w:eastAsia="es-ES_tradnl"/>
        </w:rPr>
      </w:pPr>
    </w:p>
    <w:p w14:paraId="42528AB3" w14:textId="77777777" w:rsidR="007034D3" w:rsidRPr="007034D3" w:rsidRDefault="007034D3" w:rsidP="007034D3">
      <w:pPr>
        <w:spacing w:after="0" w:line="360" w:lineRule="auto"/>
        <w:rPr>
          <w:rFonts w:eastAsia="Calibri" w:cs="Tahoma"/>
          <w:color w:val="auto"/>
          <w:lang w:eastAsia="es-ES_tradnl"/>
        </w:rPr>
      </w:pPr>
      <w:r w:rsidRPr="007034D3">
        <w:rPr>
          <w:rFonts w:eastAsia="Calibri" w:cs="Tahoma"/>
          <w:color w:val="auto"/>
          <w:lang w:eastAsia="es-ES_tradnl"/>
        </w:rPr>
        <w:t>En ese tenor, resulta aplicable la Jurisprudencia número 1a./J. 65/2005, Semanario Judicial de la Federación y su Gaceta, Novena Época, Tomo XXII, julio de dos mil cinco, página ciento sesenta y uno, que establece lo siguiente:</w:t>
      </w:r>
    </w:p>
    <w:p w14:paraId="739FD1C9" w14:textId="77777777" w:rsidR="007034D3" w:rsidRPr="007034D3" w:rsidRDefault="007034D3" w:rsidP="007034D3">
      <w:pPr>
        <w:spacing w:after="0" w:line="360" w:lineRule="auto"/>
        <w:rPr>
          <w:rFonts w:eastAsia="Calibri" w:cs="Tahoma"/>
          <w:color w:val="auto"/>
          <w:lang w:eastAsia="es-ES_tradnl"/>
        </w:rPr>
      </w:pPr>
    </w:p>
    <w:p w14:paraId="146400FE" w14:textId="15F8779E" w:rsidR="007034D3" w:rsidRPr="007034D3" w:rsidRDefault="007034D3" w:rsidP="007034D3">
      <w:pPr>
        <w:spacing w:after="0" w:line="360" w:lineRule="auto"/>
        <w:ind w:left="567" w:right="567"/>
        <w:rPr>
          <w:rFonts w:eastAsia="Calibri" w:cs="Tahoma"/>
          <w:i/>
          <w:color w:val="auto"/>
          <w:sz w:val="20"/>
          <w:szCs w:val="20"/>
          <w:lang w:val="es-ES" w:eastAsia="es-ES_tradnl"/>
        </w:rPr>
      </w:pPr>
      <w:r w:rsidRPr="007034D3">
        <w:rPr>
          <w:rFonts w:eastAsia="Calibri" w:cs="Tahoma"/>
          <w:i/>
          <w:color w:val="auto"/>
          <w:sz w:val="20"/>
          <w:szCs w:val="20"/>
          <w:lang w:val="es-ES" w:eastAsia="es-ES_tradnl"/>
        </w:rPr>
        <w:t>“</w:t>
      </w:r>
      <w:r w:rsidRPr="007034D3">
        <w:rPr>
          <w:rFonts w:eastAsia="Calibri" w:cs="Tahoma"/>
          <w:b/>
          <w:i/>
          <w:color w:val="auto"/>
          <w:sz w:val="20"/>
          <w:szCs w:val="20"/>
          <w:lang w:val="es-ES" w:eastAsia="es-ES_tradnl"/>
        </w:rPr>
        <w:t>DESISTIMIENTO DE LA INSTANCIA. SURTE EFECTOS DESDE EL MOMENTO EN QUE SE PRESENTA EL ESCRITO CORRESPONDIENTE.</w:t>
      </w:r>
      <w:r w:rsidRPr="007034D3">
        <w:rPr>
          <w:rFonts w:eastAsia="Calibri" w:cs="Tahoma"/>
          <w:i/>
          <w:color w:val="auto"/>
          <w:sz w:val="20"/>
          <w:szCs w:val="20"/>
          <w:lang w:val="es-ES" w:eastAsia="es-ES_tradnl"/>
        </w:rPr>
        <w:c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w:t>
      </w:r>
      <w:r w:rsidRPr="007034D3">
        <w:rPr>
          <w:rFonts w:eastAsia="Calibri" w:cs="Tahoma"/>
          <w:i/>
          <w:color w:val="auto"/>
          <w:sz w:val="20"/>
          <w:szCs w:val="20"/>
          <w:lang w:val="es-ES" w:eastAsia="es-ES_tradnl"/>
        </w:rPr>
        <w:lastRenderedPageBreak/>
        <w:t>estos casos, por igualdad de razón, los efectos del desistimiento se retrotraen a la fecha de presentación del escrito ante la autoridad jurisdiccional.”</w:t>
      </w:r>
    </w:p>
    <w:p w14:paraId="5B86CDB7" w14:textId="77777777" w:rsidR="007034D3" w:rsidRPr="007034D3" w:rsidRDefault="007034D3" w:rsidP="007034D3">
      <w:pPr>
        <w:spacing w:after="0" w:line="360" w:lineRule="auto"/>
        <w:contextualSpacing/>
        <w:rPr>
          <w:rFonts w:eastAsia="Calibri" w:cs="Tahoma"/>
          <w:bCs/>
          <w:color w:val="000000"/>
          <w:lang w:eastAsia="es-ES_tradnl"/>
        </w:rPr>
      </w:pPr>
    </w:p>
    <w:p w14:paraId="5D8EBD38" w14:textId="2D89F5DA" w:rsidR="007034D3" w:rsidRPr="007034D3" w:rsidRDefault="007034D3" w:rsidP="007034D3">
      <w:pPr>
        <w:spacing w:after="0" w:line="360" w:lineRule="auto"/>
        <w:rPr>
          <w:rFonts w:eastAsia="Times New Roman" w:cs="Tahoma"/>
          <w:color w:val="auto"/>
          <w:lang w:eastAsia="es-ES"/>
        </w:rPr>
      </w:pPr>
      <w:r w:rsidRPr="007034D3">
        <w:rPr>
          <w:rFonts w:eastAsia="Times New Roman" w:cs="Tahoma"/>
          <w:color w:val="auto"/>
          <w:lang w:eastAsia="es-ES"/>
        </w:rPr>
        <w:t xml:space="preserve">Conforme a lo citado, se puede colegir que cuando el Recurrente presente un escrito de desistimiento, le hace saber a este Instituto la intención de destruir los efectos jurídicos generados con el Recurso de Revisión, situación que </w:t>
      </w:r>
      <w:r w:rsidR="00167F45">
        <w:rPr>
          <w:rFonts w:eastAsia="Times New Roman" w:cs="Tahoma"/>
          <w:color w:val="auto"/>
          <w:lang w:eastAsia="es-ES"/>
        </w:rPr>
        <w:t>se traduce, al hecho</w:t>
      </w:r>
      <w:r w:rsidRPr="007034D3">
        <w:rPr>
          <w:rFonts w:eastAsia="Times New Roman" w:cs="Tahoma"/>
          <w:color w:val="auto"/>
          <w:lang w:eastAsia="es-ES"/>
        </w:rPr>
        <w:t xml:space="preserve">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14:paraId="424F91CD" w14:textId="77777777" w:rsidR="00051642" w:rsidRPr="003D5B55" w:rsidRDefault="00051642" w:rsidP="008D7D0A">
      <w:pPr>
        <w:spacing w:after="0" w:line="360" w:lineRule="auto"/>
        <w:rPr>
          <w:rFonts w:eastAsia="Calibri" w:cs="Tahoma"/>
          <w:color w:val="auto"/>
          <w:lang w:eastAsia="es-ES_tradnl"/>
        </w:rPr>
      </w:pPr>
    </w:p>
    <w:p w14:paraId="73DFACC8" w14:textId="77777777" w:rsidR="007034D3" w:rsidRPr="007034D3" w:rsidRDefault="007034D3" w:rsidP="007034D3">
      <w:pPr>
        <w:spacing w:after="0" w:line="360" w:lineRule="auto"/>
        <w:rPr>
          <w:rFonts w:eastAsia="Times New Roman" w:cs="Tahoma"/>
          <w:b/>
          <w:bCs/>
          <w:color w:val="auto"/>
          <w:lang w:eastAsia="es-ES"/>
        </w:rPr>
      </w:pPr>
      <w:r w:rsidRPr="007034D3">
        <w:rPr>
          <w:rFonts w:eastAsia="Times New Roman" w:cs="Tahoma"/>
          <w:b/>
          <w:bCs/>
          <w:color w:val="auto"/>
          <w:lang w:eastAsia="es-ES"/>
        </w:rPr>
        <w:t>CUARTO. Decisión</w:t>
      </w:r>
    </w:p>
    <w:p w14:paraId="66F463B3" w14:textId="77777777" w:rsidR="007034D3" w:rsidRPr="007034D3" w:rsidRDefault="007034D3" w:rsidP="007034D3">
      <w:pPr>
        <w:spacing w:after="0" w:line="360" w:lineRule="auto"/>
        <w:rPr>
          <w:rFonts w:eastAsia="Times New Roman" w:cs="Tahoma"/>
          <w:b/>
          <w:bCs/>
          <w:color w:val="auto"/>
          <w:lang w:eastAsia="es-ES"/>
        </w:rPr>
      </w:pPr>
    </w:p>
    <w:p w14:paraId="48A1AB5C" w14:textId="20A9666B" w:rsidR="007034D3" w:rsidRPr="007034D3" w:rsidRDefault="007034D3" w:rsidP="007034D3">
      <w:pPr>
        <w:widowControl w:val="0"/>
        <w:spacing w:after="0" w:line="360" w:lineRule="auto"/>
        <w:rPr>
          <w:rFonts w:eastAsia="Times New Roman" w:cs="Tahoma"/>
          <w:color w:val="auto"/>
          <w:lang w:eastAsia="es-ES"/>
        </w:rPr>
      </w:pPr>
      <w:r w:rsidRPr="007034D3">
        <w:rPr>
          <w:rFonts w:cs="Tahoma"/>
        </w:rPr>
        <w:t>Así, toda vez que este Instituto constató que la Recurrente se desistió por la vía idónea para realizar dicha acción, a saber, por el Sistema de Acceso a la Información Mexiquense (SAIMEX)</w:t>
      </w:r>
      <w:r w:rsidRPr="007034D3">
        <w:rPr>
          <w:rFonts w:eastAsia="Times New Roman" w:cs="Tahoma"/>
          <w:color w:val="auto"/>
          <w:lang w:eastAsia="es-ES"/>
        </w:rPr>
        <w:t xml:space="preserve">, resulta procedente </w:t>
      </w:r>
      <w:r w:rsidRPr="007034D3">
        <w:rPr>
          <w:rFonts w:eastAsia="Times New Roman" w:cs="Tahoma"/>
          <w:b/>
          <w:color w:val="auto"/>
          <w:lang w:eastAsia="es-ES"/>
        </w:rPr>
        <w:t xml:space="preserve">SOBRESEER </w:t>
      </w:r>
      <w:r w:rsidRPr="007034D3">
        <w:rPr>
          <w:rFonts w:eastAsia="Times New Roman" w:cs="Tahoma"/>
          <w:color w:val="auto"/>
          <w:lang w:eastAsia="es-ES"/>
        </w:rPr>
        <w:t xml:space="preserve">el Recurso de Revisión con número </w:t>
      </w:r>
      <w:r w:rsidR="008C0002" w:rsidRPr="008C0002">
        <w:rPr>
          <w:rFonts w:eastAsia="Calibri" w:cs="Tahoma"/>
          <w:b/>
          <w:bCs/>
          <w:color w:val="auto"/>
        </w:rPr>
        <w:t>06341/INFOEM/IP/RR/2021 y acumulado</w:t>
      </w:r>
      <w:r w:rsidR="00167F45">
        <w:rPr>
          <w:rFonts w:eastAsia="Calibri" w:cs="Tahoma"/>
          <w:b/>
          <w:bCs/>
          <w:color w:val="auto"/>
        </w:rPr>
        <w:t>,</w:t>
      </w:r>
      <w:r w:rsidR="008C0002" w:rsidRPr="008C0002">
        <w:rPr>
          <w:rFonts w:eastAsia="Calibri" w:cs="Tahoma"/>
          <w:b/>
          <w:bCs/>
          <w:color w:val="auto"/>
        </w:rPr>
        <w:t xml:space="preserve"> </w:t>
      </w:r>
      <w:r w:rsidRPr="007034D3">
        <w:rPr>
          <w:rFonts w:eastAsia="Times New Roman" w:cs="Tahoma"/>
          <w:color w:val="auto"/>
          <w:lang w:eastAsia="es-ES"/>
        </w:rPr>
        <w:t>al actualizarse el supuesto previsto en el artículo 192, fracción I, de la Ley de Transparencia y Acceso a la Información Pública del Estado de México y Municipios, en relación con el 186, fracción I de ese ordenamiento legal.</w:t>
      </w:r>
    </w:p>
    <w:p w14:paraId="7D37C062" w14:textId="77777777" w:rsidR="007034D3" w:rsidRPr="007034D3" w:rsidRDefault="007034D3" w:rsidP="007034D3">
      <w:pPr>
        <w:spacing w:after="0" w:line="360" w:lineRule="auto"/>
        <w:rPr>
          <w:rFonts w:cs="Tahoma"/>
          <w:lang w:val="es-ES"/>
        </w:rPr>
      </w:pPr>
    </w:p>
    <w:p w14:paraId="5EDC793E" w14:textId="77777777" w:rsidR="007034D3" w:rsidRPr="007034D3" w:rsidRDefault="007034D3" w:rsidP="007034D3">
      <w:pPr>
        <w:spacing w:after="0" w:line="360" w:lineRule="auto"/>
        <w:rPr>
          <w:rFonts w:cs="Tahoma"/>
          <w:b/>
          <w:bCs/>
          <w:iCs/>
          <w:lang w:val="es-ES"/>
        </w:rPr>
      </w:pPr>
      <w:r w:rsidRPr="007034D3">
        <w:rPr>
          <w:rFonts w:cs="Tahoma"/>
          <w:b/>
          <w:bCs/>
          <w:iCs/>
          <w:lang w:val="es-ES"/>
        </w:rPr>
        <w:t>Términos de la Resolución para conocimiento del Particular.</w:t>
      </w:r>
    </w:p>
    <w:p w14:paraId="4B24334A" w14:textId="77777777" w:rsidR="007034D3" w:rsidRPr="007034D3" w:rsidRDefault="007034D3" w:rsidP="007034D3">
      <w:pPr>
        <w:spacing w:after="0" w:line="360" w:lineRule="auto"/>
        <w:rPr>
          <w:rFonts w:cs="Tahoma"/>
          <w:b/>
          <w:iCs/>
        </w:rPr>
      </w:pPr>
    </w:p>
    <w:p w14:paraId="3A7DC893" w14:textId="08BDD968" w:rsidR="007034D3" w:rsidRPr="007034D3" w:rsidRDefault="007034D3" w:rsidP="007034D3">
      <w:pPr>
        <w:spacing w:after="0" w:line="360" w:lineRule="auto"/>
        <w:rPr>
          <w:rFonts w:cs="Tahoma"/>
          <w:bCs/>
          <w:iCs/>
        </w:rPr>
      </w:pPr>
      <w:r w:rsidRPr="007034D3">
        <w:rPr>
          <w:rFonts w:cs="Tahoma"/>
          <w:bCs/>
          <w:iCs/>
        </w:rPr>
        <w:t xml:space="preserve">Se le hace del conocimiento al ahora Recurrente que, en el presente caso, al desistirse del Medio de Impugnación, por haber recibido la información peticionada, se actualiza la causal de sobreseimiento, establecida en el artículo 192, fracción I, de la Ley de la materia. Finalmente, la labor </w:t>
      </w:r>
      <w:r w:rsidR="00167F45">
        <w:rPr>
          <w:rFonts w:cs="Tahoma"/>
          <w:bCs/>
          <w:iCs/>
        </w:rPr>
        <w:t>del Instituto</w:t>
      </w:r>
      <w:r w:rsidRPr="007034D3">
        <w:rPr>
          <w:rFonts w:cs="Tahoma"/>
          <w:bCs/>
          <w:iCs/>
        </w:rPr>
        <w:t>, es apoyar a la población a acceder a la información pública y garantizar la protección de sus datos personales.</w:t>
      </w:r>
    </w:p>
    <w:p w14:paraId="78119B0C" w14:textId="77777777" w:rsidR="00167F45" w:rsidRDefault="00167F45" w:rsidP="008C0002">
      <w:pPr>
        <w:spacing w:after="0" w:line="360" w:lineRule="auto"/>
        <w:rPr>
          <w:rFonts w:eastAsia="Times New Roman" w:cs="Arial"/>
          <w:bCs/>
          <w:lang w:eastAsia="es-ES"/>
        </w:rPr>
      </w:pPr>
    </w:p>
    <w:p w14:paraId="56761378" w14:textId="77777777" w:rsidR="00167F45" w:rsidRDefault="00167F45" w:rsidP="008C0002">
      <w:pPr>
        <w:spacing w:after="0" w:line="360" w:lineRule="auto"/>
        <w:rPr>
          <w:rFonts w:eastAsia="Times New Roman" w:cs="Arial"/>
          <w:bCs/>
          <w:lang w:eastAsia="es-ES"/>
        </w:rPr>
      </w:pPr>
    </w:p>
    <w:p w14:paraId="2708C61D" w14:textId="4EDF7FC2" w:rsidR="007034D3" w:rsidRDefault="007034D3" w:rsidP="008C0002">
      <w:pPr>
        <w:spacing w:after="0" w:line="360" w:lineRule="auto"/>
        <w:rPr>
          <w:rFonts w:eastAsia="Times New Roman" w:cs="Arial"/>
          <w:bCs/>
          <w:lang w:eastAsia="es-ES"/>
        </w:rPr>
      </w:pPr>
      <w:r w:rsidRPr="007034D3">
        <w:rPr>
          <w:rFonts w:eastAsia="Times New Roman" w:cs="Arial"/>
          <w:bCs/>
          <w:lang w:eastAsia="es-ES"/>
        </w:rPr>
        <w:t>Por lo expuesto y fundado, el Pleno de este Instituto:</w:t>
      </w:r>
    </w:p>
    <w:p w14:paraId="1DCACF85" w14:textId="77777777" w:rsidR="00167F45" w:rsidRPr="007034D3" w:rsidRDefault="00167F45" w:rsidP="008C0002">
      <w:pPr>
        <w:spacing w:after="0" w:line="360" w:lineRule="auto"/>
        <w:rPr>
          <w:rFonts w:eastAsia="Times New Roman" w:cs="Arial"/>
          <w:bCs/>
          <w:lang w:eastAsia="es-ES"/>
        </w:rPr>
      </w:pPr>
    </w:p>
    <w:p w14:paraId="16A50B52" w14:textId="77777777" w:rsidR="007034D3" w:rsidRPr="007034D3" w:rsidRDefault="007034D3" w:rsidP="007034D3">
      <w:pPr>
        <w:spacing w:after="0" w:line="360" w:lineRule="auto"/>
        <w:jc w:val="center"/>
        <w:rPr>
          <w:rFonts w:eastAsia="Times New Roman" w:cs="Arial"/>
          <w:bCs/>
          <w:lang w:eastAsia="es-ES"/>
        </w:rPr>
      </w:pPr>
      <w:r w:rsidRPr="007034D3">
        <w:rPr>
          <w:rFonts w:eastAsia="Times New Roman" w:cs="Arial"/>
          <w:b/>
          <w:bCs/>
          <w:lang w:eastAsia="es-ES"/>
        </w:rPr>
        <w:t>R E S U E L V E:</w:t>
      </w:r>
    </w:p>
    <w:p w14:paraId="54B018E3" w14:textId="77777777" w:rsidR="007034D3" w:rsidRPr="007034D3" w:rsidRDefault="007034D3" w:rsidP="007034D3">
      <w:pPr>
        <w:spacing w:after="0" w:line="360" w:lineRule="auto"/>
        <w:rPr>
          <w:rFonts w:eastAsia="Times New Roman" w:cs="Arial"/>
          <w:bCs/>
          <w:lang w:eastAsia="es-ES"/>
        </w:rPr>
      </w:pPr>
    </w:p>
    <w:p w14:paraId="02B79CFA" w14:textId="34B8E3E3" w:rsidR="007034D3" w:rsidRPr="007034D3" w:rsidRDefault="007034D3" w:rsidP="007034D3">
      <w:pPr>
        <w:spacing w:after="0" w:line="360" w:lineRule="auto"/>
        <w:rPr>
          <w:rFonts w:eastAsia="Times New Roman" w:cs="Arial"/>
          <w:bCs/>
          <w:lang w:val="es-ES" w:eastAsia="es-ES"/>
        </w:rPr>
      </w:pPr>
      <w:r w:rsidRPr="007034D3">
        <w:rPr>
          <w:rFonts w:eastAsia="Times New Roman" w:cs="Arial"/>
          <w:b/>
          <w:bCs/>
          <w:lang w:val="es-ES" w:eastAsia="es-ES"/>
        </w:rPr>
        <w:t xml:space="preserve">PRIMERO. </w:t>
      </w:r>
      <w:r w:rsidRPr="007034D3">
        <w:rPr>
          <w:rFonts w:eastAsia="Times New Roman" w:cs="Arial"/>
          <w:bCs/>
          <w:lang w:val="es-ES" w:eastAsia="es-ES"/>
        </w:rPr>
        <w:t xml:space="preserve">Se </w:t>
      </w:r>
      <w:r w:rsidRPr="007034D3">
        <w:rPr>
          <w:rFonts w:eastAsia="Times New Roman" w:cs="Arial"/>
          <w:b/>
          <w:bCs/>
          <w:lang w:val="es-ES" w:eastAsia="es-ES"/>
        </w:rPr>
        <w:t xml:space="preserve">SOBRESEE </w:t>
      </w:r>
      <w:r w:rsidRPr="007034D3">
        <w:rPr>
          <w:rFonts w:eastAsia="Times New Roman" w:cs="Arial"/>
          <w:bCs/>
          <w:lang w:val="es-ES" w:eastAsia="es-ES"/>
        </w:rPr>
        <w:t xml:space="preserve">el Recurso de Revisión número </w:t>
      </w:r>
      <w:r w:rsidR="008C0002" w:rsidRPr="008C0002">
        <w:rPr>
          <w:rFonts w:eastAsia="Calibri" w:cs="Tahoma"/>
          <w:b/>
          <w:bCs/>
          <w:color w:val="auto"/>
        </w:rPr>
        <w:t>06341/INFOEM/IP/RR/2021 y acumulado</w:t>
      </w:r>
      <w:r w:rsidRPr="007034D3">
        <w:rPr>
          <w:rFonts w:eastAsia="Times New Roman" w:cs="Arial"/>
          <w:bCs/>
          <w:lang w:val="es-ES" w:eastAsia="es-ES"/>
        </w:rPr>
        <w:t xml:space="preserve">, </w:t>
      </w:r>
      <w:r w:rsidRPr="007034D3">
        <w:rPr>
          <w:rFonts w:eastAsia="Times New Roman" w:cs="Arial"/>
          <w:b/>
          <w:bCs/>
          <w:lang w:val="es-ES" w:eastAsia="es-ES"/>
        </w:rPr>
        <w:t>por haberse desistido expresamente el Recurrente</w:t>
      </w:r>
      <w:r w:rsidRPr="007034D3">
        <w:rPr>
          <w:rFonts w:eastAsia="Times New Roman" w:cs="Arial"/>
          <w:bCs/>
          <w:lang w:val="es-ES" w:eastAsia="es-ES"/>
        </w:rPr>
        <w:t xml:space="preserve">, en términos del Considerando </w:t>
      </w:r>
      <w:r w:rsidRPr="007034D3">
        <w:rPr>
          <w:rFonts w:eastAsia="Times New Roman" w:cs="Arial"/>
          <w:b/>
          <w:bCs/>
          <w:lang w:val="es-ES" w:eastAsia="es-ES"/>
        </w:rPr>
        <w:t xml:space="preserve">TERCERO </w:t>
      </w:r>
      <w:r w:rsidRPr="007034D3">
        <w:rPr>
          <w:rFonts w:eastAsia="Times New Roman" w:cs="Arial"/>
          <w:lang w:val="es-ES" w:eastAsia="es-ES"/>
        </w:rPr>
        <w:t>y</w:t>
      </w:r>
      <w:r w:rsidRPr="007034D3">
        <w:rPr>
          <w:rFonts w:eastAsia="Times New Roman" w:cs="Arial"/>
          <w:b/>
          <w:bCs/>
          <w:lang w:val="es-ES" w:eastAsia="es-ES"/>
        </w:rPr>
        <w:t xml:space="preserve"> CUARTO </w:t>
      </w:r>
      <w:r w:rsidRPr="007034D3">
        <w:rPr>
          <w:rFonts w:eastAsia="Times New Roman" w:cs="Arial"/>
          <w:bCs/>
          <w:lang w:val="es-ES" w:eastAsia="es-ES"/>
        </w:rPr>
        <w:t>de la presente Resolución.</w:t>
      </w:r>
    </w:p>
    <w:p w14:paraId="590DD47F" w14:textId="77777777" w:rsidR="007034D3" w:rsidRPr="007034D3" w:rsidRDefault="007034D3" w:rsidP="007034D3">
      <w:pPr>
        <w:spacing w:after="0" w:line="360" w:lineRule="auto"/>
        <w:rPr>
          <w:rFonts w:eastAsia="Times New Roman" w:cs="Arial"/>
          <w:bCs/>
          <w:lang w:val="es-ES" w:eastAsia="es-ES"/>
        </w:rPr>
      </w:pPr>
    </w:p>
    <w:p w14:paraId="029DF664" w14:textId="77777777" w:rsidR="007034D3" w:rsidRPr="007034D3" w:rsidRDefault="007034D3" w:rsidP="007034D3">
      <w:pPr>
        <w:spacing w:after="0" w:line="360" w:lineRule="auto"/>
        <w:rPr>
          <w:rFonts w:eastAsia="Times New Roman" w:cs="Arial"/>
          <w:b/>
          <w:bCs/>
          <w:lang w:val="es-ES" w:eastAsia="es-ES"/>
        </w:rPr>
      </w:pPr>
      <w:r w:rsidRPr="007034D3">
        <w:rPr>
          <w:rFonts w:eastAsia="Times New Roman" w:cs="Arial"/>
          <w:b/>
          <w:bCs/>
          <w:lang w:val="es-ES" w:eastAsia="es-ES"/>
        </w:rPr>
        <w:t>SEGUNDO.</w:t>
      </w:r>
      <w:r w:rsidRPr="007034D3">
        <w:rPr>
          <w:rFonts w:eastAsia="Times New Roman" w:cs="Arial"/>
          <w:bCs/>
          <w:lang w:val="es-ES" w:eastAsia="es-ES"/>
        </w:rPr>
        <w:t xml:space="preserve"> </w:t>
      </w:r>
      <w:r w:rsidRPr="007034D3">
        <w:rPr>
          <w:rFonts w:eastAsia="Times New Roman" w:cs="Arial"/>
          <w:b/>
          <w:bCs/>
          <w:lang w:val="es-ES" w:eastAsia="es-ES"/>
        </w:rPr>
        <w:t xml:space="preserve">NOTIFÍQUESE </w:t>
      </w:r>
      <w:r w:rsidRPr="007034D3">
        <w:rPr>
          <w:rFonts w:eastAsia="Times New Roman" w:cs="Arial"/>
          <w:bCs/>
          <w:lang w:val="es-ES" w:eastAsia="es-ES"/>
        </w:rPr>
        <w:t>la presente resolución</w:t>
      </w:r>
      <w:r w:rsidRPr="007034D3">
        <w:rPr>
          <w:rFonts w:eastAsia="Times New Roman" w:cs="Arial"/>
          <w:b/>
          <w:bCs/>
          <w:lang w:val="es-ES" w:eastAsia="es-ES"/>
        </w:rPr>
        <w:t xml:space="preserve"> </w:t>
      </w:r>
      <w:r w:rsidRPr="007034D3">
        <w:rPr>
          <w:rFonts w:eastAsia="Times New Roman" w:cs="Arial"/>
          <w:bCs/>
          <w:lang w:val="es-ES" w:eastAsia="es-ES"/>
        </w:rPr>
        <w:t>al Titular de la Unidad de Transparencia del Sujeto Obligado.</w:t>
      </w:r>
    </w:p>
    <w:p w14:paraId="0102142D" w14:textId="77777777" w:rsidR="007034D3" w:rsidRPr="007034D3" w:rsidRDefault="007034D3" w:rsidP="007034D3">
      <w:pPr>
        <w:spacing w:after="0" w:line="360" w:lineRule="auto"/>
        <w:rPr>
          <w:rFonts w:eastAsia="Times New Roman" w:cs="Arial"/>
          <w:bCs/>
          <w:lang w:val="es-ES" w:eastAsia="es-ES"/>
        </w:rPr>
      </w:pPr>
    </w:p>
    <w:p w14:paraId="47CCBE84" w14:textId="77777777" w:rsidR="007034D3" w:rsidRPr="007034D3" w:rsidRDefault="007034D3" w:rsidP="007034D3">
      <w:pPr>
        <w:spacing w:after="0" w:line="360" w:lineRule="auto"/>
        <w:ind w:right="-93"/>
        <w:rPr>
          <w:rFonts w:eastAsia="Times New Roman" w:cs="Tahoma"/>
          <w:color w:val="auto"/>
          <w:lang w:eastAsia="es-ES"/>
        </w:rPr>
      </w:pPr>
      <w:r w:rsidRPr="007034D3">
        <w:rPr>
          <w:rFonts w:eastAsia="Times New Roman" w:cs="Arial"/>
          <w:b/>
          <w:bCs/>
          <w:lang w:val="es-ES" w:eastAsia="es-ES"/>
        </w:rPr>
        <w:t>TERCERO.</w:t>
      </w:r>
      <w:r w:rsidRPr="007034D3">
        <w:rPr>
          <w:rFonts w:eastAsia="Times New Roman" w:cs="Arial"/>
          <w:bCs/>
          <w:lang w:val="es-ES" w:eastAsia="es-ES"/>
        </w:rPr>
        <w:t xml:space="preserve"> </w:t>
      </w:r>
      <w:r w:rsidRPr="007034D3">
        <w:rPr>
          <w:rFonts w:eastAsia="Times New Roman" w:cs="Tahoma"/>
          <w:b/>
          <w:color w:val="auto"/>
          <w:lang w:eastAsia="es-ES"/>
        </w:rPr>
        <w:t>NOTIFÍQUESE</w:t>
      </w:r>
      <w:r w:rsidRPr="007034D3">
        <w:rPr>
          <w:rFonts w:eastAsia="Times New Roman" w:cs="Tahoma"/>
          <w:color w:val="auto"/>
          <w:lang w:eastAsia="es-ES"/>
        </w:rPr>
        <w:t xml:space="preserve"> al Recurrente la presente Resolución, </w:t>
      </w:r>
      <w:r w:rsidRPr="007034D3">
        <w:rPr>
          <w:rFonts w:eastAsia="Calibri" w:cs="Tahoma"/>
          <w:bCs/>
          <w:color w:val="000000"/>
          <w:lang w:val="es-ES"/>
        </w:rPr>
        <w:t>a través del Sistema de Acceso a la Información Mexiquense (SAIMEX),</w:t>
      </w:r>
      <w:r w:rsidRPr="007034D3">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273C84B4" w14:textId="57BBAC41" w:rsidR="00104C84" w:rsidRDefault="00104C84" w:rsidP="008D7D0A">
      <w:pPr>
        <w:spacing w:after="0" w:line="360" w:lineRule="auto"/>
        <w:ind w:right="-93"/>
        <w:rPr>
          <w:rFonts w:eastAsia="Calibri" w:cs="Tahoma"/>
          <w:bCs/>
          <w:color w:val="auto"/>
        </w:rPr>
      </w:pPr>
    </w:p>
    <w:p w14:paraId="2C209EB6" w14:textId="67A746CE" w:rsidR="00966CA6" w:rsidRDefault="0003472C" w:rsidP="008D7D0A">
      <w:pPr>
        <w:spacing w:after="0" w:line="360" w:lineRule="auto"/>
      </w:pPr>
      <w:r w:rsidRPr="00445101">
        <w:rPr>
          <w:rFonts w:eastAsia="Calibri" w:cs="Tahoma"/>
          <w:lang w:val="es-ES" w:eastAsia="es-ES_tradnl"/>
        </w:rPr>
        <w:t xml:space="preserve">ASÍ LO RESUELVE, POR </w:t>
      </w:r>
      <w:r w:rsidRPr="0003472C">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eastAsia="Calibri" w:cs="Tahoma"/>
          <w:lang w:val="es-ES" w:eastAsia="es-ES_tradnl"/>
        </w:rPr>
        <w:t xml:space="preserve"> (AUSENCIA JUSTIFICADA)</w:t>
      </w:r>
      <w:r w:rsidRPr="00445101">
        <w:rPr>
          <w:rFonts w:eastAsia="Calibri" w:cs="Tahoma"/>
          <w:lang w:val="es-ES" w:eastAsia="es-ES_tradnl"/>
        </w:rPr>
        <w:t xml:space="preserve">, LUIS GUSTAVO PARRA NORIEGA Y GUADALUPE RAMÍREZ PEÑA, EN LA </w:t>
      </w:r>
      <w:r>
        <w:rPr>
          <w:rFonts w:eastAsia="Calibri" w:cs="Tahoma"/>
          <w:lang w:val="es-ES" w:eastAsia="es-ES_tradnl"/>
        </w:rPr>
        <w:t>CUARTA</w:t>
      </w:r>
      <w:r w:rsidRPr="00445101">
        <w:rPr>
          <w:rFonts w:eastAsia="Calibri" w:cs="Tahoma"/>
          <w:lang w:val="es-ES" w:eastAsia="es-ES_tradnl"/>
        </w:rPr>
        <w:t xml:space="preserve"> SESIÓN ORDINARIA, CELEBRADA EL </w:t>
      </w:r>
      <w:r>
        <w:rPr>
          <w:rFonts w:eastAsia="Calibri" w:cs="Tahoma"/>
          <w:lang w:val="es-ES" w:eastAsia="es-ES_tradnl"/>
        </w:rPr>
        <w:t>CUATRO</w:t>
      </w:r>
      <w:r w:rsidRPr="00445101">
        <w:rPr>
          <w:rFonts w:eastAsia="Calibri" w:cs="Tahoma"/>
          <w:lang w:val="es-ES" w:eastAsia="es-ES_tradnl"/>
        </w:rPr>
        <w:t xml:space="preserve"> DE </w:t>
      </w:r>
      <w:r>
        <w:rPr>
          <w:rFonts w:eastAsia="Calibri" w:cs="Tahoma"/>
          <w:lang w:val="es-ES" w:eastAsia="es-ES_tradnl"/>
        </w:rPr>
        <w:t>FEBRERO</w:t>
      </w:r>
      <w:r w:rsidRPr="00445101">
        <w:rPr>
          <w:rFonts w:eastAsia="Calibri" w:cs="Tahoma"/>
          <w:lang w:val="es-ES" w:eastAsia="es-ES_tradnl"/>
        </w:rPr>
        <w:t xml:space="preserve"> DE DOS MIL VEINTI</w:t>
      </w:r>
      <w:r>
        <w:rPr>
          <w:rFonts w:eastAsia="Calibri" w:cs="Tahoma"/>
          <w:lang w:val="es-ES" w:eastAsia="es-ES_tradnl"/>
        </w:rPr>
        <w:t>DÓS</w:t>
      </w:r>
      <w:r w:rsidRPr="00445101">
        <w:rPr>
          <w:rFonts w:eastAsia="Calibri" w:cs="Tahoma"/>
          <w:lang w:val="es-ES" w:eastAsia="es-ES_tradnl"/>
        </w:rPr>
        <w:t>, ANTE EL SECRETARIO TÉCNICO DEL PLENO, ALEXIS TAPIA RAMÍREZ</w:t>
      </w:r>
      <w:r w:rsidR="00110D79">
        <w:rPr>
          <w:rFonts w:eastAsia="Calibri" w:cs="Tahoma"/>
          <w:lang w:val="es-ES" w:eastAsia="es-ES_tradnl"/>
        </w:rPr>
        <w:t>.</w:t>
      </w:r>
      <w:r w:rsidR="00051642">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EE28D" w14:textId="77777777" w:rsidR="00372D64" w:rsidRDefault="00372D64" w:rsidP="00051642">
      <w:pPr>
        <w:spacing w:after="0" w:line="240" w:lineRule="auto"/>
      </w:pPr>
      <w:r>
        <w:separator/>
      </w:r>
    </w:p>
  </w:endnote>
  <w:endnote w:type="continuationSeparator" w:id="0">
    <w:p w14:paraId="713F9730" w14:textId="77777777" w:rsidR="00372D64" w:rsidRDefault="00372D64"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0347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7F4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7F45">
              <w:rPr>
                <w:b/>
                <w:bCs/>
                <w:noProof/>
              </w:rPr>
              <w:t>12</w:t>
            </w:r>
            <w:r>
              <w:rPr>
                <w:b/>
                <w:bCs/>
                <w:sz w:val="24"/>
                <w:szCs w:val="24"/>
              </w:rPr>
              <w:fldChar w:fldCharType="end"/>
            </w:r>
          </w:p>
        </w:sdtContent>
      </w:sdt>
    </w:sdtContent>
  </w:sdt>
  <w:p w14:paraId="148ABC98" w14:textId="77777777" w:rsidR="00881E53" w:rsidRDefault="000347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67F4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67F45">
              <w:rPr>
                <w:b/>
                <w:bCs/>
                <w:noProof/>
              </w:rPr>
              <w:t>12</w:t>
            </w:r>
            <w:r>
              <w:rPr>
                <w:b/>
                <w:bCs/>
                <w:sz w:val="24"/>
                <w:szCs w:val="24"/>
              </w:rPr>
              <w:fldChar w:fldCharType="end"/>
            </w:r>
          </w:p>
        </w:sdtContent>
      </w:sdt>
    </w:sdtContent>
  </w:sdt>
  <w:p w14:paraId="0054A614" w14:textId="77777777" w:rsidR="00881E53" w:rsidRDefault="000347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0A27" w14:textId="77777777" w:rsidR="00372D64" w:rsidRDefault="00372D64" w:rsidP="00051642">
      <w:pPr>
        <w:spacing w:after="0" w:line="240" w:lineRule="auto"/>
      </w:pPr>
      <w:r>
        <w:separator/>
      </w:r>
    </w:p>
  </w:footnote>
  <w:footnote w:type="continuationSeparator" w:id="0">
    <w:p w14:paraId="093A27FB" w14:textId="77777777" w:rsidR="00372D64" w:rsidRDefault="00372D64"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03472C">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252"/>
    </w:tblGrid>
    <w:tr w:rsidR="00881E53" w:rsidRPr="00E152D8" w14:paraId="38C70F26" w14:textId="77777777" w:rsidTr="006606A5">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65B05558" w14:textId="2CC1DF29" w:rsidR="00881E53" w:rsidRPr="00051642" w:rsidRDefault="00E64AB0" w:rsidP="00B93061">
          <w:pPr>
            <w:tabs>
              <w:tab w:val="right" w:pos="8838"/>
            </w:tabs>
            <w:ind w:right="-32"/>
            <w:rPr>
              <w:rFonts w:eastAsia="Calibri" w:cs="Tahoma"/>
            </w:rPr>
          </w:pPr>
          <w:r w:rsidRPr="00E64AB0">
            <w:rPr>
              <w:rFonts w:eastAsia="Calibri" w:cs="Tahoma"/>
              <w:lang w:val="es-MX"/>
            </w:rPr>
            <w:t>06341/INFOEM/IP/RR/2021</w:t>
          </w:r>
          <w:r>
            <w:rPr>
              <w:rFonts w:eastAsia="Calibri" w:cs="Tahoma"/>
              <w:lang w:val="es-MX"/>
            </w:rPr>
            <w:t xml:space="preserve"> </w:t>
          </w:r>
          <w:r w:rsidR="0032417C">
            <w:rPr>
              <w:rFonts w:eastAsia="Calibri" w:cs="Tahoma"/>
              <w:lang w:val="es-MX"/>
            </w:rPr>
            <w:t>y acumulado</w:t>
          </w:r>
        </w:p>
      </w:tc>
    </w:tr>
    <w:tr w:rsidR="00881E53" w:rsidRPr="00E152D8" w14:paraId="55B27BFC" w14:textId="77777777" w:rsidTr="006606A5">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6C35595F" w14:textId="3BF9DCDD" w:rsidR="00881E53" w:rsidRPr="00051642" w:rsidRDefault="00E64AB0" w:rsidP="00881E53">
          <w:pPr>
            <w:tabs>
              <w:tab w:val="right" w:pos="8838"/>
            </w:tabs>
            <w:ind w:left="-28" w:right="-32"/>
            <w:rPr>
              <w:rFonts w:eastAsia="Calibri" w:cs="Tahoma"/>
              <w:lang w:val="es-MX"/>
            </w:rPr>
          </w:pPr>
          <w:r w:rsidRPr="00E64AB0">
            <w:rPr>
              <w:rFonts w:eastAsia="Calibri" w:cs="Tahoma"/>
              <w:lang w:val="es-MX"/>
            </w:rPr>
            <w:t>Organismo Descentralizado de Agua y Saneamiento de Chicoloapan</w:t>
          </w:r>
        </w:p>
      </w:tc>
    </w:tr>
    <w:tr w:rsidR="00881E53" w:rsidRPr="00E152D8" w14:paraId="64299B43" w14:textId="77777777" w:rsidTr="006606A5">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03472C"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94.8pt;margin-top:-127.25pt;width:682.25pt;height:888.4pt;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4"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113"/>
    </w:tblGrid>
    <w:tr w:rsidR="00881E53" w:rsidRPr="00E152D8" w14:paraId="6E5B10C8" w14:textId="77777777" w:rsidTr="006606A5">
      <w:trPr>
        <w:trHeight w:val="132"/>
      </w:trPr>
      <w:tc>
        <w:tcPr>
          <w:tcW w:w="255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4113" w:type="dxa"/>
        </w:tcPr>
        <w:p w14:paraId="70CC72C0" w14:textId="26A07E96" w:rsidR="00881E53" w:rsidRPr="00051642" w:rsidRDefault="00E64AB0" w:rsidP="00881E53">
          <w:pPr>
            <w:tabs>
              <w:tab w:val="right" w:pos="8838"/>
            </w:tabs>
            <w:ind w:left="-111" w:right="-32"/>
            <w:rPr>
              <w:rFonts w:eastAsia="Calibri" w:cs="Tahoma"/>
            </w:rPr>
          </w:pPr>
          <w:r w:rsidRPr="00E64AB0">
            <w:rPr>
              <w:rFonts w:eastAsia="Calibri" w:cs="Tahoma"/>
              <w:lang w:val="es-MX"/>
            </w:rPr>
            <w:t>06341/INFOEM/IP/RR/2021</w:t>
          </w:r>
          <w:r w:rsidR="008567E8">
            <w:rPr>
              <w:rFonts w:eastAsia="Calibri" w:cs="Tahoma"/>
              <w:lang w:val="es-MX"/>
            </w:rPr>
            <w:t xml:space="preserve"> </w:t>
          </w:r>
          <w:r w:rsidR="005924C4">
            <w:rPr>
              <w:rFonts w:eastAsia="Calibri" w:cs="Tahoma"/>
              <w:lang w:val="es-MX"/>
            </w:rPr>
            <w:t>y acumulado</w:t>
          </w:r>
        </w:p>
      </w:tc>
    </w:tr>
    <w:tr w:rsidR="00881E53" w:rsidRPr="00E152D8" w14:paraId="43CEC0C7" w14:textId="77777777" w:rsidTr="006606A5">
      <w:trPr>
        <w:trHeight w:val="132"/>
      </w:trPr>
      <w:tc>
        <w:tcPr>
          <w:tcW w:w="255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113" w:type="dxa"/>
        </w:tcPr>
        <w:p w14:paraId="267724E2" w14:textId="294017E2" w:rsidR="00881E53" w:rsidRPr="00E152D8" w:rsidRDefault="0003472C" w:rsidP="00881E53">
          <w:pPr>
            <w:tabs>
              <w:tab w:val="right" w:pos="8838"/>
            </w:tabs>
            <w:ind w:left="-111" w:right="-109"/>
            <w:rPr>
              <w:rFonts w:eastAsia="Calibri" w:cs="Tahoma"/>
              <w:lang w:val="es-MX"/>
            </w:rPr>
          </w:pPr>
        </w:p>
      </w:tc>
    </w:tr>
    <w:tr w:rsidR="00881E53" w:rsidRPr="00E152D8" w14:paraId="30C3D119" w14:textId="77777777" w:rsidTr="006606A5">
      <w:trPr>
        <w:trHeight w:val="261"/>
      </w:trPr>
      <w:tc>
        <w:tcPr>
          <w:tcW w:w="255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3" w:type="dxa"/>
        </w:tcPr>
        <w:p w14:paraId="6E96F863" w14:textId="7EFDB491" w:rsidR="00881E53" w:rsidRPr="00051642" w:rsidRDefault="00E64AB0" w:rsidP="005E139E">
          <w:pPr>
            <w:tabs>
              <w:tab w:val="right" w:pos="8838"/>
            </w:tabs>
            <w:ind w:left="-111" w:right="-32"/>
            <w:rPr>
              <w:rFonts w:eastAsia="Calibri" w:cs="Tahoma"/>
              <w:lang w:val="es-MX"/>
            </w:rPr>
          </w:pPr>
          <w:r w:rsidRPr="00E64AB0">
            <w:rPr>
              <w:rFonts w:eastAsia="Calibri" w:cs="Tahoma"/>
              <w:lang w:val="es-MX"/>
            </w:rPr>
            <w:t>Organismo Descentralizado de Agua y Saneamiento de Chicoloapan</w:t>
          </w:r>
        </w:p>
      </w:tc>
    </w:tr>
    <w:tr w:rsidR="00881E53" w:rsidRPr="00E152D8" w14:paraId="1C2055A9" w14:textId="77777777" w:rsidTr="006606A5">
      <w:trPr>
        <w:trHeight w:val="261"/>
      </w:trPr>
      <w:tc>
        <w:tcPr>
          <w:tcW w:w="255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4113"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03472C"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4.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CF6E37"/>
    <w:multiLevelType w:val="hybridMultilevel"/>
    <w:tmpl w:val="5DF29A3E"/>
    <w:lvl w:ilvl="0" w:tplc="6E2E429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3472C"/>
    <w:rsid w:val="00050179"/>
    <w:rsid w:val="00051642"/>
    <w:rsid w:val="000E75D0"/>
    <w:rsid w:val="00104C84"/>
    <w:rsid w:val="00105647"/>
    <w:rsid w:val="00110D79"/>
    <w:rsid w:val="00141E35"/>
    <w:rsid w:val="00154C55"/>
    <w:rsid w:val="00167F45"/>
    <w:rsid w:val="00183086"/>
    <w:rsid w:val="001B742E"/>
    <w:rsid w:val="001C3821"/>
    <w:rsid w:val="001C5157"/>
    <w:rsid w:val="001C7154"/>
    <w:rsid w:val="00211E2C"/>
    <w:rsid w:val="002302CE"/>
    <w:rsid w:val="0023114C"/>
    <w:rsid w:val="002A2C08"/>
    <w:rsid w:val="002E67F1"/>
    <w:rsid w:val="002F3441"/>
    <w:rsid w:val="0031732A"/>
    <w:rsid w:val="0032417C"/>
    <w:rsid w:val="00324999"/>
    <w:rsid w:val="0035133F"/>
    <w:rsid w:val="00357735"/>
    <w:rsid w:val="003614B2"/>
    <w:rsid w:val="00372D64"/>
    <w:rsid w:val="0037319D"/>
    <w:rsid w:val="00375CC2"/>
    <w:rsid w:val="00380E10"/>
    <w:rsid w:val="00382A3B"/>
    <w:rsid w:val="00384DCB"/>
    <w:rsid w:val="003A02DB"/>
    <w:rsid w:val="003A5172"/>
    <w:rsid w:val="003A6482"/>
    <w:rsid w:val="003F3CA0"/>
    <w:rsid w:val="00413793"/>
    <w:rsid w:val="004270E2"/>
    <w:rsid w:val="004640F3"/>
    <w:rsid w:val="004A140A"/>
    <w:rsid w:val="004B4850"/>
    <w:rsid w:val="004D10C5"/>
    <w:rsid w:val="004E442D"/>
    <w:rsid w:val="00504AF0"/>
    <w:rsid w:val="0051175E"/>
    <w:rsid w:val="005325F4"/>
    <w:rsid w:val="005369D0"/>
    <w:rsid w:val="005441C8"/>
    <w:rsid w:val="00547EDB"/>
    <w:rsid w:val="00580E11"/>
    <w:rsid w:val="005924C4"/>
    <w:rsid w:val="00622E6A"/>
    <w:rsid w:val="006277C5"/>
    <w:rsid w:val="006606A5"/>
    <w:rsid w:val="006B4CAC"/>
    <w:rsid w:val="007034D3"/>
    <w:rsid w:val="007166A9"/>
    <w:rsid w:val="007A1B3A"/>
    <w:rsid w:val="007F211F"/>
    <w:rsid w:val="007F2C33"/>
    <w:rsid w:val="0080061B"/>
    <w:rsid w:val="00814577"/>
    <w:rsid w:val="00833D09"/>
    <w:rsid w:val="008567E8"/>
    <w:rsid w:val="008758BA"/>
    <w:rsid w:val="00894D31"/>
    <w:rsid w:val="008C0002"/>
    <w:rsid w:val="008D7D0A"/>
    <w:rsid w:val="008E2DA1"/>
    <w:rsid w:val="0090301F"/>
    <w:rsid w:val="009270EA"/>
    <w:rsid w:val="00966CA6"/>
    <w:rsid w:val="0097265A"/>
    <w:rsid w:val="009C40E0"/>
    <w:rsid w:val="00A21969"/>
    <w:rsid w:val="00A65186"/>
    <w:rsid w:val="00A97A26"/>
    <w:rsid w:val="00AA2348"/>
    <w:rsid w:val="00AB63B4"/>
    <w:rsid w:val="00AC2906"/>
    <w:rsid w:val="00AC54B3"/>
    <w:rsid w:val="00B650E9"/>
    <w:rsid w:val="00B821D5"/>
    <w:rsid w:val="00BA48B3"/>
    <w:rsid w:val="00BB72DD"/>
    <w:rsid w:val="00BF25CB"/>
    <w:rsid w:val="00C431DF"/>
    <w:rsid w:val="00C4650D"/>
    <w:rsid w:val="00C949B0"/>
    <w:rsid w:val="00CE1326"/>
    <w:rsid w:val="00D4465F"/>
    <w:rsid w:val="00D679B6"/>
    <w:rsid w:val="00D903F5"/>
    <w:rsid w:val="00DB12DB"/>
    <w:rsid w:val="00DB5D3F"/>
    <w:rsid w:val="00DC77CC"/>
    <w:rsid w:val="00DD3B9A"/>
    <w:rsid w:val="00E154FA"/>
    <w:rsid w:val="00E64AB0"/>
    <w:rsid w:val="00E7170C"/>
    <w:rsid w:val="00E843DC"/>
    <w:rsid w:val="00EA6F1A"/>
    <w:rsid w:val="00EB68E1"/>
    <w:rsid w:val="00EE0368"/>
    <w:rsid w:val="00EE59D5"/>
    <w:rsid w:val="00EF5DBE"/>
    <w:rsid w:val="00F026AD"/>
    <w:rsid w:val="00F144E4"/>
    <w:rsid w:val="00F5419D"/>
    <w:rsid w:val="00F90DE8"/>
    <w:rsid w:val="00FA1130"/>
    <w:rsid w:val="00FB2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A65186"/>
    <w:rPr>
      <w:color w:val="0563C1" w:themeColor="hyperlink"/>
      <w:u w:val="single"/>
    </w:rPr>
  </w:style>
  <w:style w:type="character" w:customStyle="1" w:styleId="Mencinsinresolver1">
    <w:name w:val="Mención sin resolver1"/>
    <w:basedOn w:val="Fuentedeprrafopredeter"/>
    <w:uiPriority w:val="99"/>
    <w:semiHidden/>
    <w:unhideWhenUsed/>
    <w:rsid w:val="0037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29924901">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5472776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6F09-36B6-47EC-B6B8-3009BFB7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2723</Words>
  <Characters>14978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3</cp:revision>
  <dcterms:created xsi:type="dcterms:W3CDTF">2022-02-02T01:34:00Z</dcterms:created>
  <dcterms:modified xsi:type="dcterms:W3CDTF">2022-02-04T20:15:00Z</dcterms:modified>
</cp:coreProperties>
</file>