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FF4F7"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veintitrés de febrero del dos mil veintidós.</w:t>
      </w:r>
    </w:p>
    <w:p w14:paraId="2335A47D" w14:textId="77777777" w:rsidR="00A907F0" w:rsidRDefault="006368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06059/INFOEM/IP/RR/2021</w:t>
      </w:r>
      <w:r>
        <w:rPr>
          <w:rFonts w:ascii="Palatino Linotype" w:eastAsia="Palatino Linotype" w:hAnsi="Palatino Linotype" w:cs="Palatino Linotype"/>
        </w:rPr>
        <w:t xml:space="preserve">, interpuesto por </w:t>
      </w:r>
      <w:r w:rsidR="000D09E0" w:rsidRPr="000D09E0">
        <w:rPr>
          <w:rFonts w:ascii="Palatino Linotype" w:eastAsia="Palatino Linotype" w:hAnsi="Palatino Linotype" w:cs="Palatino Linotype"/>
          <w:b/>
        </w:rPr>
        <w:t xml:space="preserve">XXXXXXX XXXX XXXXXXXX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00163/JALTENCOIP/2021,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Jaltenco,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5BF41385" w14:textId="77777777" w:rsidR="00A907F0" w:rsidRDefault="00636860">
      <w:pPr>
        <w:numPr>
          <w:ilvl w:val="0"/>
          <w:numId w:val="9"/>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3D9DB36D"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veintidós de noviembre del dos </w:t>
      </w:r>
      <w:proofErr w:type="gramStart"/>
      <w:r>
        <w:rPr>
          <w:rFonts w:ascii="Palatino Linotype" w:eastAsia="Palatino Linotype" w:hAnsi="Palatino Linotype" w:cs="Palatino Linotype"/>
        </w:rPr>
        <w:t>mil veintiuno</w:t>
      </w:r>
      <w:proofErr w:type="gramEnd"/>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65F93BD4" w14:textId="77777777" w:rsidR="00A907F0" w:rsidRDefault="00636860">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de la manera más atenta y respetuosa, con fundamento en el artículo 6° de la Constitución Política de los Estados Unidos Mexicanos, se proporcione la información solicitada en el archivo adjunto de nombre "</w:t>
      </w:r>
      <w:proofErr w:type="spellStart"/>
      <w:r>
        <w:rPr>
          <w:rFonts w:ascii="Palatino Linotype" w:eastAsia="Palatino Linotype" w:hAnsi="Palatino Linotype" w:cs="Palatino Linotype"/>
          <w:i/>
          <w:sz w:val="22"/>
          <w:szCs w:val="22"/>
        </w:rPr>
        <w:t>CensoAP</w:t>
      </w:r>
      <w:proofErr w:type="spellEnd"/>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5792F0D" w14:textId="77777777" w:rsidR="00A907F0" w:rsidRDefault="00A907F0">
      <w:pPr>
        <w:ind w:right="758"/>
        <w:jc w:val="both"/>
        <w:rPr>
          <w:rFonts w:ascii="Palatino Linotype" w:eastAsia="Palatino Linotype" w:hAnsi="Palatino Linotype" w:cs="Palatino Linotype"/>
          <w:i/>
          <w:sz w:val="22"/>
          <w:szCs w:val="22"/>
        </w:rPr>
      </w:pPr>
    </w:p>
    <w:p w14:paraId="350EC2F1" w14:textId="77777777" w:rsidR="00A907F0" w:rsidRDefault="00636860">
      <w:pPr>
        <w:tabs>
          <w:tab w:val="left" w:pos="284"/>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dicha solicitud de información se anexó el siguiente documento: </w:t>
      </w:r>
    </w:p>
    <w:p w14:paraId="12595A64" w14:textId="77777777" w:rsidR="00A907F0" w:rsidRDefault="00A907F0">
      <w:pPr>
        <w:ind w:right="758"/>
        <w:jc w:val="both"/>
        <w:rPr>
          <w:rFonts w:ascii="Palatino Linotype" w:eastAsia="Palatino Linotype" w:hAnsi="Palatino Linotype" w:cs="Palatino Linotype"/>
          <w:sz w:val="22"/>
          <w:szCs w:val="22"/>
        </w:rPr>
      </w:pPr>
    </w:p>
    <w:p w14:paraId="08ED62B5" w14:textId="77777777" w:rsidR="00A907F0" w:rsidRDefault="00636860">
      <w:pPr>
        <w:numPr>
          <w:ilvl w:val="0"/>
          <w:numId w:val="5"/>
        </w:numPr>
        <w:spacing w:before="280" w:after="280" w:line="360" w:lineRule="auto"/>
        <w:ind w:right="738"/>
        <w:rPr>
          <w:rFonts w:ascii="Palatino Linotype" w:eastAsia="Palatino Linotype" w:hAnsi="Palatino Linotype" w:cs="Palatino Linotype"/>
          <w:color w:val="333333"/>
        </w:rPr>
      </w:pPr>
      <w:r>
        <w:rPr>
          <w:rFonts w:ascii="Palatino Linotype" w:eastAsia="Palatino Linotype" w:hAnsi="Palatino Linotype" w:cs="Palatino Linotype"/>
          <w:b/>
          <w:i/>
          <w:sz w:val="22"/>
          <w:szCs w:val="22"/>
        </w:rPr>
        <w:t>CensoAP.docx.</w:t>
      </w:r>
      <w:r>
        <w:rPr>
          <w:rFonts w:ascii="Palatino Linotype" w:eastAsia="Palatino Linotype" w:hAnsi="Palatino Linotype" w:cs="Palatino Linotype"/>
          <w:color w:val="000000"/>
        </w:rPr>
        <w:t xml:space="preserve"> Documento electrónico que en dos (02) hojas contiene lo siguiente: </w:t>
      </w:r>
    </w:p>
    <w:p w14:paraId="15F06BF5" w14:textId="77777777" w:rsidR="00A907F0" w:rsidRDefault="00A907F0">
      <w:pPr>
        <w:ind w:left="851" w:right="758"/>
        <w:jc w:val="both"/>
        <w:rPr>
          <w:rFonts w:ascii="Palatino Linotype" w:eastAsia="Palatino Linotype" w:hAnsi="Palatino Linotype" w:cs="Palatino Linotype"/>
          <w:i/>
          <w:sz w:val="22"/>
          <w:szCs w:val="22"/>
        </w:rPr>
      </w:pPr>
    </w:p>
    <w:p w14:paraId="436A644E" w14:textId="77777777" w:rsidR="00A907F0" w:rsidRDefault="00636860">
      <w:pPr>
        <w:spacing w:before="240" w:after="240" w:line="360" w:lineRule="auto"/>
        <w:jc w:val="both"/>
        <w:rPr>
          <w:rFonts w:ascii="Palatino Linotype" w:eastAsia="Palatino Linotype" w:hAnsi="Palatino Linotype" w:cs="Palatino Linotype"/>
          <w:b/>
        </w:rPr>
      </w:pPr>
      <w:r>
        <w:rPr>
          <w:noProof/>
          <w:lang w:val="es-MX" w:eastAsia="es-MX"/>
        </w:rPr>
        <w:lastRenderedPageBreak/>
        <w:drawing>
          <wp:inline distT="0" distB="0" distL="0" distR="0" wp14:anchorId="1C94C8D1" wp14:editId="12E8AB4E">
            <wp:extent cx="4800600" cy="5905500"/>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800600" cy="5905500"/>
                    </a:xfrm>
                    <a:prstGeom prst="rect">
                      <a:avLst/>
                    </a:prstGeom>
                    <a:ln/>
                  </pic:spPr>
                </pic:pic>
              </a:graphicData>
            </a:graphic>
          </wp:inline>
        </w:drawing>
      </w:r>
    </w:p>
    <w:p w14:paraId="6396D70E" w14:textId="77777777" w:rsidR="00A907F0" w:rsidRDefault="00636860">
      <w:pPr>
        <w:spacing w:before="240" w:after="240" w:line="360" w:lineRule="auto"/>
        <w:jc w:val="both"/>
        <w:rPr>
          <w:rFonts w:ascii="Palatino Linotype" w:eastAsia="Palatino Linotype" w:hAnsi="Palatino Linotype" w:cs="Palatino Linotype"/>
          <w:b/>
        </w:rPr>
      </w:pPr>
      <w:r>
        <w:rPr>
          <w:noProof/>
          <w:lang w:val="es-MX" w:eastAsia="es-MX"/>
        </w:rPr>
        <w:lastRenderedPageBreak/>
        <w:drawing>
          <wp:inline distT="0" distB="0" distL="0" distR="0" wp14:anchorId="03009DB7" wp14:editId="49AF28CE">
            <wp:extent cx="4648200" cy="455295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48200" cy="4552950"/>
                    </a:xfrm>
                    <a:prstGeom prst="rect">
                      <a:avLst/>
                    </a:prstGeom>
                    <a:ln/>
                  </pic:spPr>
                </pic:pic>
              </a:graphicData>
            </a:graphic>
          </wp:inline>
        </w:drawing>
      </w:r>
    </w:p>
    <w:p w14:paraId="2CC5224F" w14:textId="77777777" w:rsidR="00A907F0" w:rsidRDefault="006368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elegida para la entrega de la información: SAIMEX</w:t>
      </w:r>
    </w:p>
    <w:p w14:paraId="21C1EB98" w14:textId="77777777" w:rsidR="00A907F0" w:rsidRDefault="0063686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tres de diciembre del dos </w:t>
      </w:r>
      <w:proofErr w:type="gramStart"/>
      <w:r>
        <w:rPr>
          <w:rFonts w:ascii="Palatino Linotype" w:eastAsia="Palatino Linotype" w:hAnsi="Palatino Linotype" w:cs="Palatino Linotype"/>
        </w:rPr>
        <w:t>mil veintiuno</w:t>
      </w:r>
      <w:proofErr w:type="gramEnd"/>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acceso a la información a través del SAIMEX, en los siguientes términos:</w:t>
      </w:r>
    </w:p>
    <w:p w14:paraId="2777F738" w14:textId="77777777" w:rsidR="00A907F0" w:rsidRDefault="000D09E0">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lastRenderedPageBreak/>
        <w:drawing>
          <wp:inline distT="0" distB="0" distL="0" distR="0" wp14:anchorId="5FBD50EF" wp14:editId="7CD6D975">
            <wp:extent cx="5562600" cy="3067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849"/>
                    <a:stretch/>
                  </pic:blipFill>
                  <pic:spPr bwMode="auto">
                    <a:xfrm>
                      <a:off x="0" y="0"/>
                      <a:ext cx="5562600"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4053E062" w14:textId="77777777" w:rsidR="00A907F0" w:rsidRDefault="00636860">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adjuntó a su respuesta los archivos electrónicos que se describe a continuación:</w:t>
      </w:r>
    </w:p>
    <w:p w14:paraId="6CD3DC8D" w14:textId="77777777" w:rsidR="00A907F0" w:rsidRDefault="00A907F0">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sz w:val="22"/>
          <w:szCs w:val="22"/>
        </w:rPr>
      </w:pPr>
    </w:p>
    <w:p w14:paraId="16C0FBF8" w14:textId="77777777" w:rsidR="00A907F0" w:rsidRDefault="00636860" w:rsidP="000D09E0">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t xml:space="preserve">DAP 2018_1.PDF. </w:t>
      </w:r>
      <w:r>
        <w:rPr>
          <w:rFonts w:ascii="Palatino Linotype" w:eastAsia="Palatino Linotype" w:hAnsi="Palatino Linotype" w:cs="Palatino Linotype"/>
          <w:color w:val="000000"/>
          <w:sz w:val="22"/>
          <w:szCs w:val="22"/>
        </w:rPr>
        <w:t xml:space="preserve">Contiene el convenio de colaboración por el que se establecen los términos y condiciones a los que se sujetará la recaudación del derecho por concepto de alumbrado público (DAP) celebrado entre el ayuntamiento y la Comisión Federal de Electricidad, celebrado en enero de dos mil dieciocho, tal como se advierte a continuación: </w:t>
      </w:r>
    </w:p>
    <w:p w14:paraId="048F1E8E" w14:textId="77777777" w:rsidR="00A907F0" w:rsidRDefault="00636860">
      <w:pPr>
        <w:spacing w:before="240" w:line="360" w:lineRule="auto"/>
        <w:jc w:val="both"/>
        <w:rPr>
          <w:rFonts w:ascii="Palatino Linotype" w:eastAsia="Palatino Linotype" w:hAnsi="Palatino Linotype" w:cs="Palatino Linotype"/>
          <w:sz w:val="22"/>
          <w:szCs w:val="22"/>
        </w:rPr>
      </w:pPr>
      <w:r>
        <w:rPr>
          <w:noProof/>
          <w:lang w:val="es-MX" w:eastAsia="es-MX"/>
        </w:rPr>
        <w:lastRenderedPageBreak/>
        <w:drawing>
          <wp:inline distT="0" distB="0" distL="0" distR="0" wp14:anchorId="59614847" wp14:editId="041E9F7E">
            <wp:extent cx="4781550" cy="5972175"/>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4781550" cy="5972175"/>
                    </a:xfrm>
                    <a:prstGeom prst="rect">
                      <a:avLst/>
                    </a:prstGeom>
                    <a:ln/>
                  </pic:spPr>
                </pic:pic>
              </a:graphicData>
            </a:graphic>
          </wp:inline>
        </w:drawing>
      </w:r>
    </w:p>
    <w:p w14:paraId="0193EFAD" w14:textId="77777777" w:rsidR="00A907F0" w:rsidRDefault="00A907F0">
      <w:pPr>
        <w:spacing w:line="360" w:lineRule="auto"/>
        <w:jc w:val="both"/>
        <w:rPr>
          <w:rFonts w:ascii="Palatino Linotype" w:eastAsia="Palatino Linotype" w:hAnsi="Palatino Linotype" w:cs="Palatino Linotype"/>
          <w:sz w:val="22"/>
          <w:szCs w:val="22"/>
        </w:rPr>
      </w:pPr>
    </w:p>
    <w:p w14:paraId="235E7B45" w14:textId="77777777" w:rsidR="00A907F0" w:rsidRDefault="0063686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CENSO LUMINARIAS 2021_1.PDF. </w:t>
      </w:r>
      <w:r>
        <w:rPr>
          <w:rFonts w:ascii="Palatino Linotype" w:eastAsia="Palatino Linotype" w:hAnsi="Palatino Linotype" w:cs="Palatino Linotype"/>
          <w:sz w:val="22"/>
          <w:szCs w:val="22"/>
        </w:rPr>
        <w:t xml:space="preserve">Contiene la minuta de trabajo del veintiséis de octubre de dos mil veintiuno en la que se revisaron los resultados del censo se lámparas de alumbrado público, así como el resumen y desglose del censo de alumbrado público del año dos mil veintiuno, se inserta una hoja a manera de ejemplo: </w:t>
      </w:r>
    </w:p>
    <w:p w14:paraId="7AABBB1D" w14:textId="77777777" w:rsidR="00A907F0" w:rsidRDefault="00636860">
      <w:pPr>
        <w:spacing w:line="360" w:lineRule="auto"/>
        <w:jc w:val="both"/>
        <w:rPr>
          <w:rFonts w:ascii="Palatino Linotype" w:eastAsia="Palatino Linotype" w:hAnsi="Palatino Linotype" w:cs="Palatino Linotype"/>
          <w:sz w:val="22"/>
          <w:szCs w:val="22"/>
        </w:rPr>
      </w:pPr>
      <w:r>
        <w:rPr>
          <w:noProof/>
          <w:lang w:val="es-MX" w:eastAsia="es-MX"/>
        </w:rPr>
        <w:lastRenderedPageBreak/>
        <w:drawing>
          <wp:inline distT="0" distB="0" distL="0" distR="0" wp14:anchorId="25D95421" wp14:editId="1D7D480A">
            <wp:extent cx="5612130" cy="3616960"/>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2130" cy="3616960"/>
                    </a:xfrm>
                    <a:prstGeom prst="rect">
                      <a:avLst/>
                    </a:prstGeom>
                    <a:ln/>
                  </pic:spPr>
                </pic:pic>
              </a:graphicData>
            </a:graphic>
          </wp:inline>
        </w:drawing>
      </w:r>
    </w:p>
    <w:p w14:paraId="293643F5" w14:textId="77777777" w:rsidR="00A907F0" w:rsidRDefault="00A907F0">
      <w:pPr>
        <w:spacing w:line="360" w:lineRule="auto"/>
        <w:jc w:val="both"/>
        <w:rPr>
          <w:rFonts w:ascii="Palatino Linotype" w:eastAsia="Palatino Linotype" w:hAnsi="Palatino Linotype" w:cs="Palatino Linotype"/>
          <w:b/>
          <w:i/>
          <w:sz w:val="22"/>
          <w:szCs w:val="22"/>
        </w:rPr>
      </w:pPr>
    </w:p>
    <w:p w14:paraId="21D9C5FA"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la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tres de diciembre del dos </w:t>
      </w:r>
      <w:proofErr w:type="gramStart"/>
      <w:r>
        <w:rPr>
          <w:rFonts w:ascii="Palatino Linotype" w:eastAsia="Palatino Linotype" w:hAnsi="Palatino Linotype" w:cs="Palatino Linotype"/>
        </w:rPr>
        <w:t>mil veintiuno</w:t>
      </w:r>
      <w:proofErr w:type="gramEnd"/>
      <w:r>
        <w:rPr>
          <w:rFonts w:ascii="Palatino Linotype" w:eastAsia="Palatino Linotype" w:hAnsi="Palatino Linotype" w:cs="Palatino Linotype"/>
        </w:rPr>
        <w:t>, a través del cual expresó lo siguiente:</w:t>
      </w:r>
    </w:p>
    <w:p w14:paraId="3A8CD599" w14:textId="77777777" w:rsidR="00A907F0" w:rsidRDefault="0063686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7EB16E3" w14:textId="77777777" w:rsidR="00A907F0" w:rsidRDefault="00636860">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respuesta del sujeto obligado.” </w:t>
      </w:r>
    </w:p>
    <w:p w14:paraId="20D9E72C" w14:textId="77777777" w:rsidR="00A907F0" w:rsidRDefault="0063686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2863B41" w14:textId="77777777" w:rsidR="00A907F0" w:rsidRDefault="00636860">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razones de la inconformidad son detalladas en el archivo adjunto de nombre "RR Jaltenco".</w:t>
      </w:r>
    </w:p>
    <w:p w14:paraId="529C1643" w14:textId="77777777" w:rsidR="00A907F0" w:rsidRDefault="00A907F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490EE686" w14:textId="77777777" w:rsidR="00A907F0" w:rsidRDefault="00636860">
      <w:pPr>
        <w:pBdr>
          <w:top w:val="nil"/>
          <w:left w:val="nil"/>
          <w:bottom w:val="nil"/>
          <w:right w:val="nil"/>
          <w:between w:val="nil"/>
        </w:pBdr>
        <w:tabs>
          <w:tab w:val="left" w:pos="426"/>
        </w:tabs>
        <w:spacing w:line="360"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 dicho recurso </w:t>
      </w:r>
      <w:r>
        <w:rPr>
          <w:rFonts w:ascii="Palatino Linotype" w:eastAsia="Palatino Linotype" w:hAnsi="Palatino Linotype" w:cs="Palatino Linotype"/>
        </w:rPr>
        <w:t>de revisión</w:t>
      </w:r>
      <w:r>
        <w:rPr>
          <w:rFonts w:ascii="Palatino Linotype" w:eastAsia="Palatino Linotype" w:hAnsi="Palatino Linotype" w:cs="Palatino Linotype"/>
          <w:color w:val="000000"/>
        </w:rPr>
        <w:t xml:space="preserve"> se anexó el documento </w:t>
      </w:r>
      <w:r>
        <w:rPr>
          <w:rFonts w:ascii="Palatino Linotype" w:eastAsia="Palatino Linotype" w:hAnsi="Palatino Linotype" w:cs="Palatino Linotype"/>
          <w:b/>
          <w:color w:val="000000"/>
        </w:rPr>
        <w:t>“</w:t>
      </w:r>
      <w:r>
        <w:rPr>
          <w:rFonts w:ascii="Palatino Linotype" w:eastAsia="Palatino Linotype" w:hAnsi="Palatino Linotype" w:cs="Palatino Linotype"/>
          <w:b/>
          <w:i/>
          <w:color w:val="000000"/>
        </w:rPr>
        <w:t>RR Jaltenco.pdf”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el cual contiene lo siguiente:</w:t>
      </w:r>
      <w:r>
        <w:rPr>
          <w:rFonts w:ascii="Palatino Linotype" w:eastAsia="Palatino Linotype" w:hAnsi="Palatino Linotype" w:cs="Palatino Linotype"/>
          <w:i/>
          <w:color w:val="000000"/>
        </w:rPr>
        <w:t xml:space="preserve"> </w:t>
      </w:r>
    </w:p>
    <w:p w14:paraId="5BAE88E1" w14:textId="77777777" w:rsidR="00A907F0" w:rsidRDefault="00A907F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p>
    <w:p w14:paraId="51C616A6" w14:textId="77777777" w:rsidR="00A907F0" w:rsidRDefault="00A907F0">
      <w:pPr>
        <w:spacing w:after="240"/>
        <w:ind w:left="851" w:right="900"/>
        <w:jc w:val="both"/>
        <w:rPr>
          <w:rFonts w:ascii="Palatino Linotype" w:eastAsia="Palatino Linotype" w:hAnsi="Palatino Linotype" w:cs="Palatino Linotype"/>
          <w:i/>
          <w:color w:val="000000"/>
        </w:rPr>
      </w:pPr>
    </w:p>
    <w:p w14:paraId="375FC243" w14:textId="77777777" w:rsidR="00A907F0" w:rsidRDefault="00636860">
      <w:pPr>
        <w:spacing w:before="240" w:line="360" w:lineRule="auto"/>
        <w:jc w:val="both"/>
        <w:rPr>
          <w:rFonts w:ascii="Palatino Linotype" w:eastAsia="Palatino Linotype" w:hAnsi="Palatino Linotype" w:cs="Palatino Linotype"/>
          <w:b/>
        </w:rPr>
      </w:pPr>
      <w:r>
        <w:rPr>
          <w:noProof/>
          <w:lang w:val="es-MX" w:eastAsia="es-MX"/>
        </w:rPr>
        <w:drawing>
          <wp:inline distT="0" distB="0" distL="0" distR="0" wp14:anchorId="6A415723" wp14:editId="67B8B9B2">
            <wp:extent cx="5612130" cy="4994275"/>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4994275"/>
                    </a:xfrm>
                    <a:prstGeom prst="rect">
                      <a:avLst/>
                    </a:prstGeom>
                    <a:ln/>
                  </pic:spPr>
                </pic:pic>
              </a:graphicData>
            </a:graphic>
          </wp:inline>
        </w:drawing>
      </w:r>
    </w:p>
    <w:p w14:paraId="6FAC43A7" w14:textId="77777777" w:rsidR="00A907F0" w:rsidRDefault="00A907F0">
      <w:pPr>
        <w:spacing w:line="360" w:lineRule="auto"/>
        <w:jc w:val="both"/>
        <w:rPr>
          <w:rFonts w:ascii="Palatino Linotype" w:eastAsia="Palatino Linotype" w:hAnsi="Palatino Linotype" w:cs="Palatino Linotype"/>
          <w:b/>
        </w:rPr>
      </w:pPr>
    </w:p>
    <w:p w14:paraId="3EAC4A2A" w14:textId="77777777" w:rsidR="00A907F0" w:rsidRDefault="00636860">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4. </w:t>
      </w:r>
      <w:r>
        <w:rPr>
          <w:rFonts w:ascii="Palatino Linotype" w:eastAsia="Palatino Linotype" w:hAnsi="Palatino Linotype" w:cs="Palatino Linotype"/>
          <w:b/>
          <w:color w:val="222222"/>
        </w:rPr>
        <w:t>Turno.  </w:t>
      </w:r>
      <w:r>
        <w:rPr>
          <w:rFonts w:ascii="Palatino Linotype" w:eastAsia="Palatino Linotype" w:hAnsi="Palatino Linotype" w:cs="Palatino Linotype"/>
          <w:color w:val="222222"/>
        </w:rPr>
        <w:t xml:space="preserve">En fecha tres de diciembre del año dos mil veintiuno, 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w:t>
      </w:r>
      <w:r>
        <w:rPr>
          <w:rFonts w:ascii="Palatino Linotype" w:eastAsia="Palatino Linotype" w:hAnsi="Palatino Linotype" w:cs="Palatino Linotype"/>
          <w:color w:val="222222"/>
        </w:rPr>
        <w:lastRenderedPageBreak/>
        <w:t>Municipios, a la</w:t>
      </w:r>
      <w:r>
        <w:rPr>
          <w:rFonts w:ascii="Palatino Linotype" w:eastAsia="Palatino Linotype" w:hAnsi="Palatino Linotype" w:cs="Palatino Linotype"/>
          <w:b/>
          <w:color w:val="222222"/>
        </w:rPr>
        <w:t xml:space="preserve"> Comisionada</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rPr>
        <w:t>Guadalupe Ramírez Peña</w:t>
      </w:r>
      <w:r>
        <w:rPr>
          <w:rFonts w:ascii="Palatino Linotype" w:eastAsia="Palatino Linotype" w:hAnsi="Palatino Linotype" w:cs="Palatino Linotype"/>
          <w:color w:val="222222"/>
        </w:rPr>
        <w:t> para su análisis, estudio, elaboración del proyecto y presentación ante el Pleno de este Instituto.</w:t>
      </w:r>
    </w:p>
    <w:p w14:paraId="72A607B2" w14:textId="77777777" w:rsidR="00A907F0" w:rsidRDefault="00A907F0">
      <w:pPr>
        <w:spacing w:line="360" w:lineRule="auto"/>
        <w:jc w:val="both"/>
        <w:rPr>
          <w:rFonts w:ascii="Palatino Linotype" w:eastAsia="Palatino Linotype" w:hAnsi="Palatino Linotype" w:cs="Palatino Linotype"/>
          <w:b/>
        </w:rPr>
      </w:pPr>
    </w:p>
    <w:p w14:paraId="66821AB8" w14:textId="77777777" w:rsidR="00A907F0" w:rsidRDefault="006368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ocho de diciembre del dos </w:t>
      </w:r>
      <w:proofErr w:type="gramStart"/>
      <w:r>
        <w:rPr>
          <w:rFonts w:ascii="Palatino Linotype" w:eastAsia="Palatino Linotype" w:hAnsi="Palatino Linotype" w:cs="Palatino Linotype"/>
        </w:rPr>
        <w:t>mil veintiuno</w:t>
      </w:r>
      <w:proofErr w:type="gramEnd"/>
      <w:r>
        <w:rPr>
          <w:rFonts w:ascii="Palatino Linotype" w:eastAsia="Palatino Linotype" w:hAnsi="Palatino Linotype" w:cs="Palatino Linotype"/>
        </w:rPr>
        <w:t>,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2847E3C8" w14:textId="77777777" w:rsidR="00A907F0" w:rsidRDefault="0063686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FF0000"/>
          <w:sz w:val="22"/>
          <w:szCs w:val="22"/>
          <w:highlight w:val="green"/>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sz w:val="22"/>
          <w:szCs w:val="22"/>
        </w:rPr>
        <w:t xml:space="preserve">Por su parte,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en fecha </w:t>
      </w:r>
      <w:r>
        <w:rPr>
          <w:rFonts w:ascii="Palatino Linotype" w:eastAsia="Palatino Linotype" w:hAnsi="Palatino Linotype" w:cs="Palatino Linotype"/>
          <w:b/>
          <w:color w:val="000000"/>
        </w:rPr>
        <w:t>nueve de diciembre del año dos mil veintiuno,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remite los archivos electrónicos</w:t>
      </w:r>
      <w:r>
        <w:rPr>
          <w:rFonts w:ascii="Palatino Linotype" w:eastAsia="Palatino Linotype" w:hAnsi="Palatino Linotype" w:cs="Palatino Linotype"/>
          <w:color w:val="000000"/>
          <w:sz w:val="22"/>
          <w:szCs w:val="22"/>
        </w:rPr>
        <w:t xml:space="preserve"> que se describen a continuación:</w:t>
      </w:r>
    </w:p>
    <w:p w14:paraId="68FA2873"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Edo_CTA_LUZ.rar</w:t>
      </w:r>
      <w:proofErr w:type="spellEnd"/>
      <w:r>
        <w:rPr>
          <w:rFonts w:ascii="Palatino Linotype" w:eastAsia="Palatino Linotype" w:hAnsi="Palatino Linotype" w:cs="Palatino Linotype"/>
          <w:b/>
          <w:i/>
        </w:rPr>
        <w:t>”:</w:t>
      </w:r>
      <w:r>
        <w:rPr>
          <w:rFonts w:ascii="Palatino Linotype" w:eastAsia="Palatino Linotype" w:hAnsi="Palatino Linotype" w:cs="Palatino Linotype"/>
        </w:rPr>
        <w:t xml:space="preserve"> Carpeta comprimida que a su vez contiene seis </w:t>
      </w:r>
      <w:proofErr w:type="gramStart"/>
      <w:r>
        <w:rPr>
          <w:rFonts w:ascii="Palatino Linotype" w:eastAsia="Palatino Linotype" w:hAnsi="Palatino Linotype" w:cs="Palatino Linotype"/>
        </w:rPr>
        <w:t>archivos emitido</w:t>
      </w:r>
      <w:proofErr w:type="gramEnd"/>
      <w:r>
        <w:rPr>
          <w:rFonts w:ascii="Palatino Linotype" w:eastAsia="Palatino Linotype" w:hAnsi="Palatino Linotype" w:cs="Palatino Linotype"/>
        </w:rPr>
        <w:t xml:space="preserve"> al 31 de diciembre de 2018, 2019, 2020 y 2021, los cuales se visualizan como estados de cuenta, tal como se advierte de las siguientes capturas de pantalla: </w:t>
      </w:r>
    </w:p>
    <w:p w14:paraId="5FEEB7D7" w14:textId="77777777" w:rsidR="00A907F0" w:rsidRDefault="00A907F0">
      <w:pPr>
        <w:spacing w:line="360" w:lineRule="auto"/>
        <w:jc w:val="both"/>
        <w:rPr>
          <w:rFonts w:ascii="Palatino Linotype" w:eastAsia="Palatino Linotype" w:hAnsi="Palatino Linotype" w:cs="Palatino Linotype"/>
        </w:rPr>
      </w:pPr>
    </w:p>
    <w:p w14:paraId="640F9ACE"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34B8D5A7" wp14:editId="31E94867">
            <wp:extent cx="5476875" cy="1276350"/>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476875" cy="1276350"/>
                    </a:xfrm>
                    <a:prstGeom prst="rect">
                      <a:avLst/>
                    </a:prstGeom>
                    <a:ln/>
                  </pic:spPr>
                </pic:pic>
              </a:graphicData>
            </a:graphic>
          </wp:inline>
        </w:drawing>
      </w:r>
    </w:p>
    <w:p w14:paraId="45B2B9A9" w14:textId="77777777" w:rsidR="00A907F0" w:rsidRDefault="00A907F0">
      <w:pPr>
        <w:spacing w:line="360" w:lineRule="auto"/>
        <w:jc w:val="both"/>
        <w:rPr>
          <w:rFonts w:ascii="Palatino Linotype" w:eastAsia="Palatino Linotype" w:hAnsi="Palatino Linotype" w:cs="Palatino Linotype"/>
        </w:rPr>
      </w:pPr>
    </w:p>
    <w:p w14:paraId="748966A7"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5D8B5E00" wp14:editId="46A203E3">
            <wp:extent cx="5610225" cy="205740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0225" cy="2057400"/>
                    </a:xfrm>
                    <a:prstGeom prst="rect">
                      <a:avLst/>
                    </a:prstGeom>
                    <a:ln/>
                  </pic:spPr>
                </pic:pic>
              </a:graphicData>
            </a:graphic>
          </wp:inline>
        </w:drawing>
      </w:r>
    </w:p>
    <w:p w14:paraId="563401D6"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07BE5CB" wp14:editId="3C2B7DC7">
            <wp:extent cx="5610225" cy="2066925"/>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610225" cy="2066925"/>
                    </a:xfrm>
                    <a:prstGeom prst="rect">
                      <a:avLst/>
                    </a:prstGeom>
                    <a:ln/>
                  </pic:spPr>
                </pic:pic>
              </a:graphicData>
            </a:graphic>
          </wp:inline>
        </w:drawing>
      </w:r>
    </w:p>
    <w:p w14:paraId="2437619C"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6B851DBF" wp14:editId="6CD31C26">
            <wp:extent cx="5610225" cy="215265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0225" cy="2152650"/>
                    </a:xfrm>
                    <a:prstGeom prst="rect">
                      <a:avLst/>
                    </a:prstGeom>
                    <a:ln/>
                  </pic:spPr>
                </pic:pic>
              </a:graphicData>
            </a:graphic>
          </wp:inline>
        </w:drawing>
      </w:r>
    </w:p>
    <w:p w14:paraId="7BA8629A" w14:textId="77777777" w:rsidR="00A907F0" w:rsidRDefault="00A907F0">
      <w:pPr>
        <w:spacing w:line="360" w:lineRule="auto"/>
        <w:jc w:val="both"/>
        <w:rPr>
          <w:rFonts w:ascii="Palatino Linotype" w:eastAsia="Palatino Linotype" w:hAnsi="Palatino Linotype" w:cs="Palatino Linotype"/>
        </w:rPr>
      </w:pPr>
    </w:p>
    <w:p w14:paraId="05DBB259" w14:textId="77777777" w:rsidR="00A907F0" w:rsidRDefault="00A907F0">
      <w:pPr>
        <w:spacing w:line="360" w:lineRule="auto"/>
        <w:jc w:val="both"/>
        <w:rPr>
          <w:rFonts w:ascii="Palatino Linotype" w:eastAsia="Palatino Linotype" w:hAnsi="Palatino Linotype" w:cs="Palatino Linotype"/>
        </w:rPr>
      </w:pPr>
    </w:p>
    <w:p w14:paraId="5855B24F" w14:textId="77777777" w:rsidR="00A907F0" w:rsidRDefault="00A907F0">
      <w:pPr>
        <w:spacing w:line="360" w:lineRule="auto"/>
        <w:jc w:val="both"/>
        <w:rPr>
          <w:rFonts w:ascii="Palatino Linotype" w:eastAsia="Palatino Linotype" w:hAnsi="Palatino Linotype" w:cs="Palatino Linotype"/>
        </w:rPr>
      </w:pPr>
    </w:p>
    <w:p w14:paraId="6AA66075" w14:textId="77777777" w:rsidR="00A907F0" w:rsidRDefault="00A907F0">
      <w:pPr>
        <w:spacing w:line="360" w:lineRule="auto"/>
        <w:jc w:val="both"/>
        <w:rPr>
          <w:rFonts w:ascii="Palatino Linotype" w:eastAsia="Palatino Linotype" w:hAnsi="Palatino Linotype" w:cs="Palatino Linotype"/>
        </w:rPr>
      </w:pPr>
    </w:p>
    <w:p w14:paraId="0BCF4797"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79EBD011" wp14:editId="669A1C87">
            <wp:extent cx="5610225" cy="1933575"/>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610225" cy="1933575"/>
                    </a:xfrm>
                    <a:prstGeom prst="rect">
                      <a:avLst/>
                    </a:prstGeom>
                    <a:ln/>
                  </pic:spPr>
                </pic:pic>
              </a:graphicData>
            </a:graphic>
          </wp:inline>
        </w:drawing>
      </w:r>
    </w:p>
    <w:p w14:paraId="29FA3297" w14:textId="77777777" w:rsidR="00A907F0" w:rsidRDefault="00A907F0">
      <w:pPr>
        <w:spacing w:line="360" w:lineRule="auto"/>
        <w:jc w:val="both"/>
        <w:rPr>
          <w:rFonts w:ascii="Palatino Linotype" w:eastAsia="Palatino Linotype" w:hAnsi="Palatino Linotype" w:cs="Palatino Linotype"/>
        </w:rPr>
      </w:pPr>
    </w:p>
    <w:p w14:paraId="7E73904F"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“Solic_00163_RR_06059_2021.pdf”: </w:t>
      </w:r>
      <w:r>
        <w:rPr>
          <w:rFonts w:ascii="Palatino Linotype" w:eastAsia="Palatino Linotype" w:hAnsi="Palatino Linotype" w:cs="Palatino Linotype"/>
        </w:rPr>
        <w:t xml:space="preserve">Oficio suscrito por la </w:t>
      </w:r>
      <w:proofErr w:type="gramStart"/>
      <w:r>
        <w:rPr>
          <w:rFonts w:ascii="Palatino Linotype" w:eastAsia="Palatino Linotype" w:hAnsi="Palatino Linotype" w:cs="Palatino Linotype"/>
        </w:rPr>
        <w:t>Directora</w:t>
      </w:r>
      <w:proofErr w:type="gramEnd"/>
      <w:r>
        <w:rPr>
          <w:rFonts w:ascii="Palatino Linotype" w:eastAsia="Palatino Linotype" w:hAnsi="Palatino Linotype" w:cs="Palatino Linotype"/>
        </w:rPr>
        <w:t xml:space="preserve"> de las Unidades de Información, Planeación y Evaluación, Transparencia y Gobierno Digital: </w:t>
      </w:r>
      <w:r>
        <w:rPr>
          <w:noProof/>
          <w:lang w:val="es-MX" w:eastAsia="es-MX"/>
        </w:rPr>
        <mc:AlternateContent>
          <mc:Choice Requires="wpg">
            <w:drawing>
              <wp:anchor distT="0" distB="0" distL="114300" distR="114300" simplePos="0" relativeHeight="251658240" behindDoc="0" locked="0" layoutInCell="1" hidden="0" allowOverlap="1" wp14:anchorId="414546BA" wp14:editId="19B725B0">
                <wp:simplePos x="0" y="0"/>
                <wp:positionH relativeFrom="column">
                  <wp:posOffset>139700</wp:posOffset>
                </wp:positionH>
                <wp:positionV relativeFrom="paragraph">
                  <wp:posOffset>596900</wp:posOffset>
                </wp:positionV>
                <wp:extent cx="5248275" cy="4362450"/>
                <wp:effectExtent l="0" t="0" r="0" b="0"/>
                <wp:wrapNone/>
                <wp:docPr id="36" name="Conector recto de flecha 36"/>
                <wp:cNvGraphicFramePr/>
                <a:graphic xmlns:a="http://schemas.openxmlformats.org/drawingml/2006/main">
                  <a:graphicData uri="http://schemas.microsoft.com/office/word/2010/wordprocessingShape">
                    <wps:wsp>
                      <wps:cNvCnPr/>
                      <wps:spPr>
                        <a:xfrm>
                          <a:off x="2726625" y="1603538"/>
                          <a:ext cx="5238750" cy="43529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596900</wp:posOffset>
                </wp:positionV>
                <wp:extent cx="5248275" cy="4362450"/>
                <wp:effectExtent b="0" l="0" r="0" t="0"/>
                <wp:wrapNone/>
                <wp:docPr id="36"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5248275" cy="4362450"/>
                        </a:xfrm>
                        <a:prstGeom prst="rect"/>
                        <a:ln/>
                      </pic:spPr>
                    </pic:pic>
                  </a:graphicData>
                </a:graphic>
              </wp:anchor>
            </w:drawing>
          </mc:Fallback>
        </mc:AlternateContent>
      </w:r>
    </w:p>
    <w:p w14:paraId="32743584" w14:textId="77777777" w:rsidR="00A907F0" w:rsidRDefault="00A907F0">
      <w:pPr>
        <w:spacing w:line="360" w:lineRule="auto"/>
        <w:jc w:val="both"/>
        <w:rPr>
          <w:rFonts w:ascii="Palatino Linotype" w:eastAsia="Palatino Linotype" w:hAnsi="Palatino Linotype" w:cs="Palatino Linotype"/>
        </w:rPr>
      </w:pPr>
    </w:p>
    <w:p w14:paraId="2F35C486" w14:textId="77777777" w:rsidR="00A907F0" w:rsidRDefault="00A907F0">
      <w:pPr>
        <w:spacing w:line="360" w:lineRule="auto"/>
        <w:jc w:val="both"/>
        <w:rPr>
          <w:rFonts w:ascii="Palatino Linotype" w:eastAsia="Palatino Linotype" w:hAnsi="Palatino Linotype" w:cs="Palatino Linotype"/>
        </w:rPr>
      </w:pPr>
    </w:p>
    <w:p w14:paraId="3CC10BAB" w14:textId="77777777" w:rsidR="00A907F0" w:rsidRDefault="00A907F0">
      <w:pPr>
        <w:spacing w:line="360" w:lineRule="auto"/>
        <w:jc w:val="both"/>
        <w:rPr>
          <w:rFonts w:ascii="Palatino Linotype" w:eastAsia="Palatino Linotype" w:hAnsi="Palatino Linotype" w:cs="Palatino Linotype"/>
        </w:rPr>
      </w:pPr>
    </w:p>
    <w:p w14:paraId="54E9616F" w14:textId="77777777" w:rsidR="00A907F0" w:rsidRDefault="00A907F0">
      <w:pPr>
        <w:spacing w:line="360" w:lineRule="auto"/>
        <w:jc w:val="both"/>
        <w:rPr>
          <w:rFonts w:ascii="Palatino Linotype" w:eastAsia="Palatino Linotype" w:hAnsi="Palatino Linotype" w:cs="Palatino Linotype"/>
        </w:rPr>
      </w:pPr>
    </w:p>
    <w:p w14:paraId="184BAFA6" w14:textId="77777777" w:rsidR="00A907F0" w:rsidRDefault="00636860">
      <w:pPr>
        <w:spacing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222D9BCB" wp14:editId="4ABE7FD4">
            <wp:extent cx="5737952" cy="5726265"/>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737952" cy="5726265"/>
                    </a:xfrm>
                    <a:prstGeom prst="rect">
                      <a:avLst/>
                    </a:prstGeom>
                    <a:ln/>
                  </pic:spPr>
                </pic:pic>
              </a:graphicData>
            </a:graphic>
          </wp:inline>
        </w:drawing>
      </w:r>
    </w:p>
    <w:p w14:paraId="2A9E425B" w14:textId="77777777" w:rsidR="00A907F0" w:rsidRDefault="00A907F0">
      <w:pPr>
        <w:spacing w:line="360" w:lineRule="auto"/>
        <w:jc w:val="both"/>
        <w:rPr>
          <w:rFonts w:ascii="Palatino Linotype" w:eastAsia="Palatino Linotype" w:hAnsi="Palatino Linotype" w:cs="Palatino Linotype"/>
        </w:rPr>
      </w:pPr>
    </w:p>
    <w:p w14:paraId="146468BD"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al ser información novedosa, se puso a disposición del Recurrente mediante acuerdo de fecha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así por cuanto hace al particular, se tiene que fue omiso en emitir pronunciamiento, alegato o cualquier manifestación que a su derecho convenga, por lo tanto se tiene por precluido su derecho para tal efecto.</w:t>
      </w:r>
    </w:p>
    <w:p w14:paraId="6B12DFAB"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con la finalidad de realizar un análisis exhaustivo de las constancias que obran en el expediente electrónico, adoptando las medidas pertinentes, a fin de aminorar los efectos que conlleva.</w:t>
      </w:r>
    </w:p>
    <w:p w14:paraId="4E1B8820"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Cierre de instrucción</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color w:val="000000"/>
        </w:rPr>
        <w:t>veintitrés de febrero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114207C6" w14:textId="77777777" w:rsidR="00A907F0" w:rsidRDefault="00A907F0">
      <w:pPr>
        <w:widowControl w:val="0"/>
        <w:pBdr>
          <w:top w:val="nil"/>
          <w:left w:val="nil"/>
          <w:bottom w:val="nil"/>
          <w:right w:val="nil"/>
          <w:between w:val="nil"/>
        </w:pBdr>
        <w:tabs>
          <w:tab w:val="left" w:pos="709"/>
        </w:tabs>
        <w:spacing w:before="120" w:line="360" w:lineRule="auto"/>
        <w:rPr>
          <w:rFonts w:ascii="Palatino Linotype" w:eastAsia="Palatino Linotype" w:hAnsi="Palatino Linotype" w:cs="Palatino Linotype"/>
          <w:b/>
          <w:color w:val="000000"/>
        </w:rPr>
      </w:pPr>
    </w:p>
    <w:p w14:paraId="2D30E9BC" w14:textId="77777777" w:rsidR="00A907F0" w:rsidRDefault="00636860">
      <w:pPr>
        <w:widowControl w:val="0"/>
        <w:pBdr>
          <w:top w:val="nil"/>
          <w:left w:val="nil"/>
          <w:bottom w:val="nil"/>
          <w:right w:val="nil"/>
          <w:between w:val="nil"/>
        </w:pBdr>
        <w:tabs>
          <w:tab w:val="left" w:pos="709"/>
        </w:tabs>
        <w:spacing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14:paraId="48838A9E" w14:textId="77777777" w:rsidR="00A907F0" w:rsidRDefault="0063686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w:t>
      </w:r>
      <w:r>
        <w:rPr>
          <w:rFonts w:ascii="Palatino Linotype" w:eastAsia="Palatino Linotype" w:hAnsi="Palatino Linotype" w:cs="Palatino Linotype"/>
          <w:highlight w:val="white"/>
        </w:rPr>
        <w:lastRenderedPageBreak/>
        <w:t xml:space="preserve">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7969A783"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la solicitante en fecha tres de diciembre del año dos mil veintiuno y el recurrente presentó su recurso de revisión el tres de diciembre del dos mil veintiuno, esto es al mismo día hábil de aquel en que tuvo conocimiento de la respuesta; evidenciándose que la interposición del recurso se encuentra dentro de los márgenes temporales previstos en el citado precepto legal. </w:t>
      </w:r>
    </w:p>
    <w:p w14:paraId="654C3DCE" w14:textId="77777777" w:rsidR="00A907F0" w:rsidRDefault="00636860">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w:t>
      </w:r>
      <w:r>
        <w:rPr>
          <w:rFonts w:ascii="Palatino Linotype" w:eastAsia="Palatino Linotype" w:hAnsi="Palatino Linotype" w:cs="Palatino Linotype"/>
          <w:color w:val="000000"/>
        </w:rPr>
        <w:t>Se advierte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w:t>
      </w:r>
      <w:r>
        <w:rPr>
          <w:rFonts w:ascii="Palatino Linotype" w:eastAsia="Palatino Linotype" w:hAnsi="Palatino Linotype" w:cs="Palatino Linotype"/>
          <w:color w:val="000000"/>
        </w:rPr>
        <w:lastRenderedPageBreak/>
        <w:t>Judicial de la Federación y su Gaceta, Libro 19, Junio de 2015, Tomo I, página 569 de la Décima época que lleva por rubro y texto los siguientes:</w:t>
      </w:r>
    </w:p>
    <w:p w14:paraId="38EBF35C" w14:textId="77777777" w:rsidR="00A907F0" w:rsidRDefault="00A907F0">
      <w:pPr>
        <w:pBdr>
          <w:top w:val="nil"/>
          <w:left w:val="nil"/>
          <w:bottom w:val="nil"/>
          <w:right w:val="nil"/>
          <w:between w:val="nil"/>
        </w:pBdr>
        <w:spacing w:line="360" w:lineRule="auto"/>
        <w:ind w:right="-150"/>
        <w:jc w:val="both"/>
        <w:rPr>
          <w:color w:val="000000"/>
        </w:rPr>
      </w:pPr>
    </w:p>
    <w:p w14:paraId="4EE3DCFF" w14:textId="77777777" w:rsidR="00A907F0" w:rsidRDefault="00636860">
      <w:pPr>
        <w:pBdr>
          <w:top w:val="nil"/>
          <w:left w:val="nil"/>
          <w:bottom w:val="nil"/>
          <w:right w:val="nil"/>
          <w:between w:val="nil"/>
        </w:pBdr>
        <w:spacing w:after="120"/>
        <w:ind w:left="992" w:right="1043"/>
        <w:jc w:val="both"/>
        <w:rPr>
          <w:color w:val="000000"/>
        </w:rPr>
      </w:pPr>
      <w:r>
        <w:rPr>
          <w:rFonts w:ascii="Palatino Linotype" w:eastAsia="Palatino Linotype" w:hAnsi="Palatino Linotype" w:cs="Palatino Linotype"/>
          <w:b/>
          <w:i/>
          <w:color w:val="000000"/>
          <w:sz w:val="22"/>
          <w:szCs w:val="22"/>
        </w:rPr>
        <w:t xml:space="preserve">“RECURSO DE RECLAMACIÓN. SU INTERPOSICIÓN NO ES EXTEMPORÁNEA SI SE REALIZA ANTES DE QUE INICIE EL PLAZO PARA HACERLO. </w:t>
      </w:r>
      <w:r>
        <w:rPr>
          <w:rFonts w:ascii="Palatino Linotype" w:eastAsia="Palatino Linotype" w:hAnsi="Palatino Linotype" w:cs="Palatino Linotype"/>
          <w:i/>
          <w:color w:val="000000"/>
          <w:sz w:val="22"/>
          <w:szCs w:val="22"/>
        </w:rPr>
        <w:t>Conforme al artículo </w:t>
      </w:r>
      <w:hyperlink r:id="rId22">
        <w:r>
          <w:rPr>
            <w:rFonts w:ascii="Palatino Linotype" w:eastAsia="Palatino Linotype" w:hAnsi="Palatino Linotype" w:cs="Palatino Linotype"/>
            <w:i/>
            <w:color w:val="000000"/>
            <w:sz w:val="22"/>
            <w:szCs w:val="22"/>
            <w:u w:val="single"/>
          </w:rPr>
          <w:t>104, párrafo segundo, de la Ley de Amparo</w:t>
        </w:r>
      </w:hyperlink>
      <w:r>
        <w:rPr>
          <w:rFonts w:ascii="Palatino Linotype" w:eastAsia="Palatino Linotype" w:hAnsi="Palatino Linotype" w:cs="Palatino Linotype"/>
          <w:i/>
          <w:color w:val="000000"/>
          <w:sz w:val="22"/>
          <w:szCs w:val="22"/>
        </w:rPr>
        <w:t xml:space="preserve">,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si dicho recurso se interpone antes de que inicie el plazo para hacerlo, su presentación no es extemporánea.”</w:t>
      </w:r>
    </w:p>
    <w:p w14:paraId="16A214E8" w14:textId="77777777" w:rsidR="00A907F0" w:rsidRDefault="0063686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el hecho de que el recurso haya sido presentado el mismo día en que fue notificada la respuesta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debe desecharse, debido a que no existe una prohibición expresa en la Ley para realizarlo el mismo día y en atención a los principios generales del derecho, todo aquello que no esté prohibido para el gobernado se tiene por permitido se debe de dar trámite al presente recurso.</w:t>
      </w:r>
    </w:p>
    <w:p w14:paraId="6308BBD5" w14:textId="77777777" w:rsidR="00A907F0" w:rsidRDefault="0063686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1AB304" w14:textId="77777777" w:rsidR="00A907F0" w:rsidRDefault="00636860">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recurrente en su acto impugnado como en sus motivos de inconformidad, de </w:t>
      </w:r>
      <w:r>
        <w:rPr>
          <w:rFonts w:ascii="Palatino Linotype" w:eastAsia="Palatino Linotype" w:hAnsi="Palatino Linotype" w:cs="Palatino Linotype"/>
          <w:color w:val="000000"/>
        </w:rPr>
        <w:lastRenderedPageBreak/>
        <w:t>acuerdo al artículo 179 fracciones III y IV de la Ley de Transparencia y Acceso a la Información Pública del Estado de México y Municipios; que a la letra dice:</w:t>
      </w:r>
    </w:p>
    <w:p w14:paraId="58529C15" w14:textId="77777777" w:rsidR="00A907F0" w:rsidRDefault="00A907F0">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743AC697" w14:textId="77777777" w:rsidR="00A907F0" w:rsidRDefault="00636860">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0DE17D74" w14:textId="77777777" w:rsidR="00A907F0" w:rsidRDefault="00636860">
      <w:pPr>
        <w:pBdr>
          <w:top w:val="nil"/>
          <w:left w:val="nil"/>
          <w:bottom w:val="nil"/>
          <w:right w:val="nil"/>
          <w:between w:val="nil"/>
        </w:pBdr>
        <w:ind w:left="992" w:right="10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1E968284" w14:textId="77777777" w:rsidR="00A907F0" w:rsidRDefault="00636860">
      <w:pPr>
        <w:pBdr>
          <w:top w:val="nil"/>
          <w:left w:val="nil"/>
          <w:bottom w:val="nil"/>
          <w:right w:val="nil"/>
          <w:between w:val="nil"/>
        </w:pBdr>
        <w:ind w:left="992" w:right="104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 La declaración de inexistencia de la información </w:t>
      </w:r>
    </w:p>
    <w:p w14:paraId="0F19BE59" w14:textId="77777777" w:rsidR="00A907F0" w:rsidRDefault="00636860">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 La entrega de información incompleta</w:t>
      </w:r>
      <w:r>
        <w:rPr>
          <w:rFonts w:ascii="Palatino Linotype" w:eastAsia="Palatino Linotype" w:hAnsi="Palatino Linotype" w:cs="Palatino Linotype"/>
          <w:i/>
          <w:color w:val="000000"/>
          <w:sz w:val="22"/>
          <w:szCs w:val="22"/>
        </w:rPr>
        <w:t>.”</w:t>
      </w:r>
    </w:p>
    <w:p w14:paraId="69A81F3E" w14:textId="77777777" w:rsidR="00A907F0" w:rsidRDefault="00A907F0">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14:paraId="71C36F3A" w14:textId="77777777" w:rsidR="00A907F0" w:rsidRDefault="00636860">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718EFEE0" w14:textId="77777777" w:rsidR="00A907F0" w:rsidRDefault="00A907F0">
      <w:pPr>
        <w:pBdr>
          <w:top w:val="nil"/>
          <w:left w:val="nil"/>
          <w:bottom w:val="nil"/>
          <w:right w:val="nil"/>
          <w:between w:val="nil"/>
        </w:pBdr>
        <w:spacing w:after="240"/>
        <w:ind w:left="992" w:right="1043"/>
        <w:jc w:val="both"/>
        <w:rPr>
          <w:rFonts w:ascii="Palatino Linotype" w:eastAsia="Palatino Linotype" w:hAnsi="Palatino Linotype" w:cs="Palatino Linotype"/>
          <w:i/>
          <w:color w:val="000000"/>
          <w:sz w:val="22"/>
          <w:szCs w:val="22"/>
        </w:rPr>
      </w:pPr>
    </w:p>
    <w:p w14:paraId="15D4CC7E" w14:textId="77777777" w:rsidR="00A907F0" w:rsidRDefault="0063686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1FB5ADA8" w14:textId="77777777" w:rsidR="00A907F0" w:rsidRDefault="0063686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rPr>
        <w:t xml:space="preserve">Cuarto. Estudio de fondo del asunto. </w:t>
      </w:r>
      <w:r>
        <w:rPr>
          <w:rFonts w:ascii="Palatino Linotype" w:eastAsia="Palatino Linotype" w:hAnsi="Palatino Linotype" w:cs="Palatino Linotype"/>
          <w:color w:val="000000"/>
        </w:rPr>
        <w:t xml:space="preserve">Ahora bien, retomando el análisis de las constancias que integran el presente recurso de revisión es conveniente recordar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su solicitud que le proporcionara lo siguiente</w:t>
      </w:r>
      <w:r>
        <w:rPr>
          <w:rFonts w:ascii="Palatino Linotype" w:eastAsia="Palatino Linotype" w:hAnsi="Palatino Linotype" w:cs="Palatino Linotype"/>
          <w:color w:val="000000"/>
          <w:sz w:val="22"/>
          <w:szCs w:val="22"/>
        </w:rPr>
        <w:t>:</w:t>
      </w:r>
    </w:p>
    <w:p w14:paraId="17D3BC22" w14:textId="77777777" w:rsidR="00A907F0" w:rsidRDefault="00A907F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0E51D60" w14:textId="77777777" w:rsidR="00A907F0" w:rsidRDefault="00636860">
      <w:pPr>
        <w:numPr>
          <w:ilvl w:val="0"/>
          <w:numId w:val="2"/>
        </w:numPr>
        <w:spacing w:line="360" w:lineRule="auto"/>
        <w:ind w:left="567" w:right="900" w:hanging="357"/>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sz w:val="22"/>
          <w:szCs w:val="22"/>
        </w:rPr>
        <w:t>Censo de luminarios de alumbrado público realizado y firmado por la Comisión Federal de Electricidad (CFE), correspondiente a los años 2018, 2019, 2020 y 2021;</w:t>
      </w:r>
    </w:p>
    <w:p w14:paraId="60A4A81E" w14:textId="77777777" w:rsidR="00A907F0" w:rsidRDefault="00636860">
      <w:pPr>
        <w:numPr>
          <w:ilvl w:val="0"/>
          <w:numId w:val="2"/>
        </w:numPr>
        <w:spacing w:line="360" w:lineRule="auto"/>
        <w:ind w:left="567" w:right="900" w:hanging="3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Convenio para la recaudación del Derecho de Alumbrado Público (DAP), entre la CFE y el Municipio, correspondiente a los años 2018, 2019, 2020 y 2021;</w:t>
      </w:r>
    </w:p>
    <w:p w14:paraId="27D2623D" w14:textId="77777777" w:rsidR="00A907F0" w:rsidRDefault="00636860">
      <w:pPr>
        <w:numPr>
          <w:ilvl w:val="0"/>
          <w:numId w:val="2"/>
        </w:numPr>
        <w:spacing w:after="80" w:line="360" w:lineRule="auto"/>
        <w:ind w:left="567" w:right="900" w:hanging="3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Facturación por el consumo de energía eléctrica en el alumbrado público municipal, así como la recaudación del DAP, ambos desglosados de manera mensual, correspondiente a los años 2018, 2019, 2020 y 2021</w:t>
      </w:r>
    </w:p>
    <w:p w14:paraId="4D0F81BF" w14:textId="77777777" w:rsidR="00A907F0" w:rsidRDefault="00636860">
      <w:pPr>
        <w:spacing w:before="8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Sujeto Obligado dio respuesta medularmente en los siguientes términos: </w:t>
      </w:r>
    </w:p>
    <w:p w14:paraId="66F15014" w14:textId="77777777" w:rsidR="00A907F0" w:rsidRDefault="006368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Remite el censo del año 2021. </w:t>
      </w:r>
    </w:p>
    <w:p w14:paraId="529A0B59" w14:textId="77777777" w:rsidR="00A907F0" w:rsidRDefault="006368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Respecto a los censos 2019 y 2020 señala que los mismos no se realizaron. </w:t>
      </w:r>
    </w:p>
    <w:p w14:paraId="7AB22760" w14:textId="77777777" w:rsidR="00A907F0" w:rsidRDefault="006368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Respecto al Censo 2018 refiere que no se localizó </w:t>
      </w:r>
    </w:p>
    <w:p w14:paraId="1F9D8A1C" w14:textId="77777777" w:rsidR="00A907F0" w:rsidRDefault="006368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Remite el convenio del año 2018 señalando que los de los demás años se encuentran bajo el cargo de la Tesorería. </w:t>
      </w:r>
    </w:p>
    <w:p w14:paraId="79C80DF0" w14:textId="77777777" w:rsidR="00A907F0" w:rsidRDefault="0063686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la facturación y recaudación del DAP refiere que dicha información obra en los archivos de la Tesorería. </w:t>
      </w:r>
    </w:p>
    <w:p w14:paraId="0ACBB21E"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no estar conforme con los términos de la misma, el particular interpuso el recurso de revisión que nos ocupa, donde señaló como motivos de inconformidad, mediante archivo digital, lo siguiente: </w:t>
      </w:r>
    </w:p>
    <w:p w14:paraId="437CDB2D" w14:textId="77777777" w:rsidR="00A907F0" w:rsidRDefault="00636860">
      <w:pPr>
        <w:spacing w:before="240"/>
        <w:ind w:left="851"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color w:val="000000"/>
          <w:sz w:val="22"/>
          <w:szCs w:val="22"/>
        </w:rPr>
        <w:t xml:space="preserve">“De acuerdo con la respuesta proporcionada por el sujeto obligado, municipio de Jaltenco, correspondiente a la solicitud de acceso a la información que respetuosamente fue realizada y de folio 00163/Jaltenco/IP/2021, en la cual indica que tanto </w:t>
      </w:r>
      <w:r>
        <w:rPr>
          <w:rFonts w:ascii="Palatino Linotype" w:eastAsia="Palatino Linotype" w:hAnsi="Palatino Linotype" w:cs="Palatino Linotype"/>
          <w:b/>
          <w:i/>
          <w:color w:val="000000"/>
          <w:sz w:val="22"/>
          <w:szCs w:val="22"/>
        </w:rPr>
        <w:t xml:space="preserve">los convenios de recaudación  por derecho de alumbrado público (DAP) firmados entre la CFE y el Municipio correspondientes a los años 2019, 2020 y 2021, así como las facturaciones por el servicio de alumbrado </w:t>
      </w:r>
      <w:r>
        <w:rPr>
          <w:rFonts w:ascii="Palatino Linotype" w:eastAsia="Palatino Linotype" w:hAnsi="Palatino Linotype" w:cs="Palatino Linotype"/>
          <w:b/>
          <w:i/>
          <w:color w:val="000000"/>
          <w:sz w:val="22"/>
          <w:szCs w:val="22"/>
        </w:rPr>
        <w:lastRenderedPageBreak/>
        <w:t xml:space="preserve">público y las recaudaciones DAP de los años 2018, 2019, 2020 y 2021 es información que obra en los archivos de la Tesorería Municipal. </w:t>
      </w:r>
    </w:p>
    <w:p w14:paraId="27F1229E" w14:textId="77777777" w:rsidR="00A907F0" w:rsidRDefault="00A907F0">
      <w:pPr>
        <w:ind w:left="851" w:right="902"/>
        <w:jc w:val="both"/>
        <w:rPr>
          <w:rFonts w:ascii="Palatino Linotype" w:eastAsia="Palatino Linotype" w:hAnsi="Palatino Linotype" w:cs="Palatino Linotype"/>
          <w:i/>
          <w:color w:val="000000"/>
          <w:sz w:val="22"/>
          <w:szCs w:val="22"/>
        </w:rPr>
      </w:pPr>
    </w:p>
    <w:p w14:paraId="68C9D5FF" w14:textId="77777777" w:rsidR="00A907F0" w:rsidRDefault="0063686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 fundamento en el artículo 162 de la Ley de Transparencia y Acceso a la Información Pública del Estado de México y Municipios y que a la letra dice,</w:t>
      </w:r>
    </w:p>
    <w:p w14:paraId="2223863C" w14:textId="77777777" w:rsidR="00A907F0" w:rsidRDefault="00636860">
      <w:pPr>
        <w:spacing w:after="240"/>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162. Las unidades de transparencia deberán de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7E1632B" w14:textId="77777777" w:rsidR="00A907F0" w:rsidRDefault="0063686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acuerdo con su respuesta, el servidor público no fundamenta haber cumplido con el artículo recién citado, en este caso turnar la solicitud a la Tesorería Municipal, por lo que no estaría dando desahogo a sus obligaciones como Sujeto Obligado, así como a la Ley de Transparencia y Acceso a la Información Pública del Estado de México y Municipios.</w:t>
      </w:r>
    </w:p>
    <w:p w14:paraId="2CA64B61" w14:textId="77777777" w:rsidR="00A907F0" w:rsidRDefault="0063686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otra parte, dentro de su respuesta, menciona que el censo de luminarios del alumbrado público no fue realizado en </w:t>
      </w:r>
      <w:r>
        <w:rPr>
          <w:rFonts w:ascii="Palatino Linotype" w:eastAsia="Palatino Linotype" w:hAnsi="Palatino Linotype" w:cs="Palatino Linotype"/>
          <w:b/>
          <w:i/>
          <w:color w:val="000000"/>
          <w:sz w:val="22"/>
          <w:szCs w:val="22"/>
          <w:u w:val="single"/>
        </w:rPr>
        <w:t>el año 2019</w:t>
      </w:r>
      <w:r>
        <w:rPr>
          <w:rFonts w:ascii="Palatino Linotype" w:eastAsia="Palatino Linotype" w:hAnsi="Palatino Linotype" w:cs="Palatino Linotype"/>
          <w:i/>
          <w:color w:val="000000"/>
          <w:sz w:val="22"/>
          <w:szCs w:val="22"/>
        </w:rPr>
        <w:t xml:space="preserve"> debido a la pandemia de Covid-19, a lo cual, me gustaría agregar que, por acuerdo de la </w:t>
      </w:r>
      <w:proofErr w:type="gramStart"/>
      <w:r>
        <w:rPr>
          <w:rFonts w:ascii="Palatino Linotype" w:eastAsia="Palatino Linotype" w:hAnsi="Palatino Linotype" w:cs="Palatino Linotype"/>
          <w:i/>
          <w:color w:val="000000"/>
          <w:sz w:val="22"/>
          <w:szCs w:val="22"/>
        </w:rPr>
        <w:t>Secretaria</w:t>
      </w:r>
      <w:proofErr w:type="gramEnd"/>
      <w:r>
        <w:rPr>
          <w:rFonts w:ascii="Palatino Linotype" w:eastAsia="Palatino Linotype" w:hAnsi="Palatino Linotype" w:cs="Palatino Linotype"/>
          <w:i/>
          <w:color w:val="000000"/>
          <w:sz w:val="22"/>
          <w:szCs w:val="22"/>
        </w:rPr>
        <w:t xml:space="preserve"> de Salud, las actividades no esenciales fueron suspendidas a partir del día 30 de marzo del año 2020 en el documento de nombre “ACUERDO por el que se establecen acciones extraordinarias para atender la emergencia sanitaria generada por el virus SARS-CoV2.” Que fue publicado en Diario Oficial de la Federación el día 31 de marzo de 2020; motivo por el cual</w:t>
      </w:r>
      <w:r>
        <w:rPr>
          <w:rFonts w:ascii="Palatino Linotype" w:eastAsia="Palatino Linotype" w:hAnsi="Palatino Linotype" w:cs="Palatino Linotype"/>
          <w:b/>
          <w:i/>
          <w:color w:val="000000"/>
          <w:sz w:val="22"/>
          <w:szCs w:val="22"/>
          <w:u w:val="single"/>
        </w:rPr>
        <w:t>, el censo de alumbrado público correspondiente al 2019 no pudo verse afectado por la pandemia ocasionada por Covid-19.</w:t>
      </w:r>
    </w:p>
    <w:p w14:paraId="02A68B27"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w:t>
      </w:r>
      <w:r>
        <w:rPr>
          <w:rFonts w:ascii="Palatino Linotype" w:eastAsia="Palatino Linotype" w:hAnsi="Palatino Linotype" w:cs="Palatino Linotype"/>
        </w:rPr>
        <w:lastRenderedPageBreak/>
        <w:t xml:space="preserve">para que en </w:t>
      </w:r>
      <w:proofErr w:type="gramStart"/>
      <w:r>
        <w:rPr>
          <w:rFonts w:ascii="Palatino Linotype" w:eastAsia="Palatino Linotype" w:hAnsi="Palatino Linotype" w:cs="Palatino Linotype"/>
        </w:rPr>
        <w:t>un  plazo</w:t>
      </w:r>
      <w:proofErr w:type="gramEnd"/>
      <w:r>
        <w:rPr>
          <w:rFonts w:ascii="Palatino Linotype" w:eastAsia="Palatino Linotype" w:hAnsi="Palatino Linotype" w:cs="Palatino Linotype"/>
        </w:rPr>
        <w:t xml:space="preserve"> máximo de siete días hábiles, manifestaran lo que a su derecho resultara conveniente.</w:t>
      </w:r>
    </w:p>
    <w:p w14:paraId="4A351283"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el presente asunto, en fecha </w:t>
      </w:r>
      <w:r>
        <w:rPr>
          <w:rFonts w:ascii="Palatino Linotype" w:eastAsia="Palatino Linotype" w:hAnsi="Palatino Linotype" w:cs="Palatino Linotype"/>
          <w:b/>
        </w:rPr>
        <w:t>nueve de diciembre de dos mil veintiuno</w:t>
      </w:r>
      <w:r>
        <w:rPr>
          <w:rFonts w:ascii="Palatino Linotype" w:eastAsia="Palatino Linotype" w:hAnsi="Palatino Linotype" w:cs="Palatino Linotype"/>
        </w:rPr>
        <w:t xml:space="preserve">, en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diversos soportes documentales tendientes a satisfacer el derecho de acceso a la información pública de </w:t>
      </w:r>
      <w:r>
        <w:rPr>
          <w:rFonts w:ascii="Palatino Linotype" w:eastAsia="Palatino Linotype" w:hAnsi="Palatino Linotype" w:cs="Palatino Linotype"/>
          <w:b/>
        </w:rPr>
        <w:t>la Recurrente</w:t>
      </w:r>
      <w:r>
        <w:rPr>
          <w:rFonts w:ascii="Palatino Linotype" w:eastAsia="Palatino Linotype" w:hAnsi="Palatino Linotype" w:cs="Palatino Linotype"/>
        </w:rPr>
        <w:t>.</w:t>
      </w:r>
    </w:p>
    <w:p w14:paraId="71140009"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esquematizar las actuaciones vertidas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dentro del expediente electrónico y a efecto de determinar si la información remitida es suficiente para colmar los requerimientos de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resulta conveniente traer a colación el siguiente cuadro de análisis: </w:t>
      </w: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76"/>
        <w:gridCol w:w="2112"/>
        <w:gridCol w:w="4340"/>
      </w:tblGrid>
      <w:tr w:rsidR="00636860" w14:paraId="3A2A0513" w14:textId="77777777" w:rsidTr="00636860">
        <w:tc>
          <w:tcPr>
            <w:tcW w:w="1346" w:type="pct"/>
            <w:shd w:val="clear" w:color="auto" w:fill="385623"/>
          </w:tcPr>
          <w:p w14:paraId="27523EF3" w14:textId="77777777" w:rsidR="00636860" w:rsidRDefault="00636860" w:rsidP="00523EC2">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Solicitud</w:t>
            </w:r>
          </w:p>
        </w:tc>
        <w:tc>
          <w:tcPr>
            <w:tcW w:w="1196" w:type="pct"/>
            <w:shd w:val="clear" w:color="auto" w:fill="385623"/>
          </w:tcPr>
          <w:p w14:paraId="1945B67D" w14:textId="77777777" w:rsidR="00636860" w:rsidRDefault="00636860" w:rsidP="00523EC2">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Respuesta</w:t>
            </w:r>
          </w:p>
        </w:tc>
        <w:tc>
          <w:tcPr>
            <w:tcW w:w="2458" w:type="pct"/>
            <w:shd w:val="clear" w:color="auto" w:fill="385623"/>
          </w:tcPr>
          <w:p w14:paraId="22769475" w14:textId="77777777" w:rsidR="00636860" w:rsidRDefault="00636860" w:rsidP="00523EC2">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Informe Justificado</w:t>
            </w:r>
          </w:p>
        </w:tc>
      </w:tr>
      <w:tr w:rsidR="00636860" w14:paraId="4A385C94" w14:textId="77777777" w:rsidTr="00636860">
        <w:tc>
          <w:tcPr>
            <w:tcW w:w="1346" w:type="pct"/>
          </w:tcPr>
          <w:p w14:paraId="7911890F" w14:textId="77777777" w:rsidR="00636860" w:rsidRDefault="00636860">
            <w:pPr>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sz w:val="18"/>
                <w:szCs w:val="18"/>
              </w:rPr>
              <w:t>1.-Censo de luminarios de alumbrado público realizado y firmado por la Comisión Federal de Electricidad (CFE), correspondiente a los años 2018, 2019, 2020 y 2021</w:t>
            </w:r>
          </w:p>
        </w:tc>
        <w:tc>
          <w:tcPr>
            <w:tcW w:w="1196" w:type="pct"/>
          </w:tcPr>
          <w:p w14:paraId="30C3F884" w14:textId="77777777" w:rsidR="00636860" w:rsidRDefault="00636860">
            <w:pPr>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sz w:val="20"/>
                <w:szCs w:val="20"/>
              </w:rPr>
              <w:t xml:space="preserve">Remite el archivo digital </w:t>
            </w:r>
            <w:r>
              <w:rPr>
                <w:rFonts w:ascii="Palatino Linotype" w:eastAsia="Palatino Linotype" w:hAnsi="Palatino Linotype" w:cs="Palatino Linotype"/>
                <w:b/>
                <w:i/>
                <w:color w:val="000000"/>
                <w:sz w:val="20"/>
                <w:szCs w:val="20"/>
              </w:rPr>
              <w:t xml:space="preserve">“CENSO LUMINARIAS 2021_1.PDF”, </w:t>
            </w:r>
            <w:r>
              <w:rPr>
                <w:rFonts w:ascii="Palatino Linotype" w:eastAsia="Palatino Linotype" w:hAnsi="Palatino Linotype" w:cs="Palatino Linotype"/>
                <w:color w:val="000000"/>
                <w:sz w:val="20"/>
                <w:szCs w:val="20"/>
              </w:rPr>
              <w:t>en el que obra el</w:t>
            </w:r>
            <w:r>
              <w:rPr>
                <w:rFonts w:ascii="Palatino Linotype" w:eastAsia="Palatino Linotype" w:hAnsi="Palatino Linotype" w:cs="Palatino Linotype"/>
              </w:rPr>
              <w:t xml:space="preserve"> </w:t>
            </w:r>
            <w:r>
              <w:rPr>
                <w:rFonts w:ascii="Palatino Linotype" w:eastAsia="Palatino Linotype" w:hAnsi="Palatino Linotype" w:cs="Palatino Linotype"/>
                <w:sz w:val="20"/>
                <w:szCs w:val="20"/>
              </w:rPr>
              <w:t xml:space="preserve">censo del año 2021, respecto al </w:t>
            </w:r>
            <w:proofErr w:type="gramStart"/>
            <w:r>
              <w:rPr>
                <w:rFonts w:ascii="Palatino Linotype" w:eastAsia="Palatino Linotype" w:hAnsi="Palatino Linotype" w:cs="Palatino Linotype"/>
                <w:sz w:val="20"/>
                <w:szCs w:val="20"/>
              </w:rPr>
              <w:t xml:space="preserve">censo </w:t>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sz w:val="20"/>
                <w:szCs w:val="20"/>
              </w:rPr>
              <w:t>2018</w:t>
            </w:r>
            <w:proofErr w:type="gramEnd"/>
            <w:r>
              <w:rPr>
                <w:rFonts w:ascii="Palatino Linotype" w:eastAsia="Palatino Linotype" w:hAnsi="Palatino Linotype" w:cs="Palatino Linotype"/>
                <w:sz w:val="20"/>
                <w:szCs w:val="20"/>
              </w:rPr>
              <w:t xml:space="preserve"> refiere que no se localizó y sobre los censos 2019 y 2020 señala que los mismos no se realizaron derivado de la pandemia de COVID-19</w:t>
            </w:r>
          </w:p>
        </w:tc>
        <w:tc>
          <w:tcPr>
            <w:tcW w:w="2458" w:type="pct"/>
          </w:tcPr>
          <w:p w14:paraId="6921A15D" w14:textId="77777777" w:rsidR="00636860" w:rsidRDefault="0063686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Ratifica la respuesta inicial</w:t>
            </w:r>
          </w:p>
        </w:tc>
      </w:tr>
      <w:tr w:rsidR="00636860" w14:paraId="16CC962F" w14:textId="77777777" w:rsidTr="00636860">
        <w:tc>
          <w:tcPr>
            <w:tcW w:w="1346" w:type="pct"/>
          </w:tcPr>
          <w:p w14:paraId="6F4473E7" w14:textId="77777777" w:rsidR="00636860" w:rsidRDefault="0063686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2.Convenio para la recaudación del Derecho de Alumbrado Público (DAP), entre la CFE y el </w:t>
            </w:r>
            <w:r>
              <w:rPr>
                <w:rFonts w:ascii="Palatino Linotype" w:eastAsia="Palatino Linotype" w:hAnsi="Palatino Linotype" w:cs="Palatino Linotype"/>
                <w:color w:val="000000"/>
                <w:sz w:val="18"/>
                <w:szCs w:val="18"/>
              </w:rPr>
              <w:lastRenderedPageBreak/>
              <w:t>Municipio, correspondiente a los años 2018, 2019, 2020 y 2021;</w:t>
            </w:r>
          </w:p>
        </w:tc>
        <w:tc>
          <w:tcPr>
            <w:tcW w:w="1196" w:type="pct"/>
          </w:tcPr>
          <w:p w14:paraId="301F5277" w14:textId="77777777" w:rsidR="00636860" w:rsidRDefault="00636860">
            <w:pPr>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sz w:val="18"/>
                <w:szCs w:val="18"/>
              </w:rPr>
              <w:lastRenderedPageBreak/>
              <w:t xml:space="preserve">Remite el soporte documental </w:t>
            </w:r>
            <w:r>
              <w:rPr>
                <w:rFonts w:ascii="Palatino Linotype" w:eastAsia="Palatino Linotype" w:hAnsi="Palatino Linotype" w:cs="Palatino Linotype"/>
                <w:b/>
                <w:i/>
                <w:color w:val="000000"/>
                <w:sz w:val="18"/>
                <w:szCs w:val="18"/>
              </w:rPr>
              <w:t xml:space="preserve">“DAP 2018_1.PDF”, </w:t>
            </w:r>
            <w:r>
              <w:rPr>
                <w:rFonts w:ascii="Palatino Linotype" w:eastAsia="Palatino Linotype" w:hAnsi="Palatino Linotype" w:cs="Palatino Linotype"/>
                <w:color w:val="000000"/>
                <w:sz w:val="18"/>
                <w:szCs w:val="18"/>
              </w:rPr>
              <w:t xml:space="preserve">señalando a su vez lo </w:t>
            </w:r>
            <w:r>
              <w:rPr>
                <w:rFonts w:ascii="Palatino Linotype" w:eastAsia="Palatino Linotype" w:hAnsi="Palatino Linotype" w:cs="Palatino Linotype"/>
                <w:color w:val="000000"/>
                <w:sz w:val="18"/>
                <w:szCs w:val="18"/>
              </w:rPr>
              <w:lastRenderedPageBreak/>
              <w:t xml:space="preserve">siguiente </w:t>
            </w:r>
            <w:r>
              <w:rPr>
                <w:rFonts w:ascii="Palatino Linotype" w:eastAsia="Palatino Linotype" w:hAnsi="Palatino Linotype" w:cs="Palatino Linotype"/>
                <w:b/>
                <w:i/>
                <w:color w:val="000000"/>
                <w:sz w:val="18"/>
                <w:szCs w:val="18"/>
              </w:rPr>
              <w:t>“Pongo a su amable disposición el convenio para la recaudación del derecho de alumbrado público (</w:t>
            </w:r>
            <w:proofErr w:type="spellStart"/>
            <w:r>
              <w:rPr>
                <w:rFonts w:ascii="Palatino Linotype" w:eastAsia="Palatino Linotype" w:hAnsi="Palatino Linotype" w:cs="Palatino Linotype"/>
                <w:b/>
                <w:i/>
                <w:color w:val="000000"/>
                <w:sz w:val="18"/>
                <w:szCs w:val="18"/>
              </w:rPr>
              <w:t>dap</w:t>
            </w:r>
            <w:proofErr w:type="spellEnd"/>
            <w:r>
              <w:rPr>
                <w:rFonts w:ascii="Palatino Linotype" w:eastAsia="Palatino Linotype" w:hAnsi="Palatino Linotype" w:cs="Palatino Linotype"/>
                <w:b/>
                <w:i/>
                <w:color w:val="000000"/>
                <w:sz w:val="18"/>
                <w:szCs w:val="18"/>
              </w:rPr>
              <w:t xml:space="preserve">), entre la </w:t>
            </w:r>
            <w:proofErr w:type="spellStart"/>
            <w:r>
              <w:rPr>
                <w:rFonts w:ascii="Palatino Linotype" w:eastAsia="Palatino Linotype" w:hAnsi="Palatino Linotype" w:cs="Palatino Linotype"/>
                <w:b/>
                <w:i/>
                <w:color w:val="000000"/>
                <w:sz w:val="18"/>
                <w:szCs w:val="18"/>
              </w:rPr>
              <w:t>cfe</w:t>
            </w:r>
            <w:proofErr w:type="spellEnd"/>
            <w:r>
              <w:rPr>
                <w:rFonts w:ascii="Palatino Linotype" w:eastAsia="Palatino Linotype" w:hAnsi="Palatino Linotype" w:cs="Palatino Linotype"/>
                <w:b/>
                <w:i/>
                <w:color w:val="000000"/>
                <w:sz w:val="18"/>
                <w:szCs w:val="18"/>
              </w:rPr>
              <w:t xml:space="preserve"> y el municipio, correspondiente al año 2018, ya que es el único convenio que su servidor tiene en sus archivos. Y el de los demás años se encuentran bajo el cargo de la tesorería municipal” (Sic)</w:t>
            </w:r>
          </w:p>
        </w:tc>
        <w:tc>
          <w:tcPr>
            <w:tcW w:w="2458" w:type="pct"/>
          </w:tcPr>
          <w:p w14:paraId="3CAB6849" w14:textId="77777777" w:rsidR="00636860" w:rsidRDefault="00636860">
            <w:pPr>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sz w:val="20"/>
                <w:szCs w:val="20"/>
              </w:rPr>
              <w:lastRenderedPageBreak/>
              <w:t>Mediante el archivo</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“Solic_00163_RR_06059_2021.pdf”</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color w:val="000000"/>
                <w:sz w:val="20"/>
                <w:szCs w:val="20"/>
              </w:rPr>
              <w:t xml:space="preserve">la </w:t>
            </w:r>
            <w:proofErr w:type="gramStart"/>
            <w:r>
              <w:rPr>
                <w:rFonts w:ascii="Palatino Linotype" w:eastAsia="Palatino Linotype" w:hAnsi="Palatino Linotype" w:cs="Palatino Linotype"/>
                <w:color w:val="000000"/>
                <w:sz w:val="20"/>
                <w:szCs w:val="20"/>
              </w:rPr>
              <w:t>Directora</w:t>
            </w:r>
            <w:proofErr w:type="gramEnd"/>
            <w:r>
              <w:rPr>
                <w:rFonts w:ascii="Palatino Linotype" w:eastAsia="Palatino Linotype" w:hAnsi="Palatino Linotype" w:cs="Palatino Linotype"/>
                <w:color w:val="000000"/>
                <w:sz w:val="20"/>
                <w:szCs w:val="20"/>
              </w:rPr>
              <w:t xml:space="preserve"> de las Unidades de Información, </w:t>
            </w:r>
            <w:r>
              <w:rPr>
                <w:rFonts w:ascii="Palatino Linotype" w:eastAsia="Palatino Linotype" w:hAnsi="Palatino Linotype" w:cs="Palatino Linotype"/>
                <w:color w:val="000000"/>
                <w:sz w:val="20"/>
                <w:szCs w:val="20"/>
              </w:rPr>
              <w:lastRenderedPageBreak/>
              <w:t>Planeación y Evaluación, Transparencia y Gobierno Digital manifiesta que el convenio de 2018 sigue vigente a la actualidad.</w:t>
            </w:r>
          </w:p>
        </w:tc>
      </w:tr>
      <w:tr w:rsidR="00636860" w14:paraId="77C5B79F" w14:textId="77777777" w:rsidTr="00636860">
        <w:tc>
          <w:tcPr>
            <w:tcW w:w="1346" w:type="pct"/>
          </w:tcPr>
          <w:p w14:paraId="41AA3E80" w14:textId="77777777" w:rsidR="00636860" w:rsidRDefault="00636860">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3.Facturación por el consumo de energía eléctrica en el alumbrado público municipal, así como la recaudación del DAP, ambos desglosados de manera mensual, correspondiente a los años 2018, 2019, 2020 y 2021</w:t>
            </w:r>
          </w:p>
        </w:tc>
        <w:tc>
          <w:tcPr>
            <w:tcW w:w="1196" w:type="pct"/>
          </w:tcPr>
          <w:p w14:paraId="3B2C7B88" w14:textId="77777777" w:rsidR="00636860" w:rsidRDefault="00636860">
            <w:pPr>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sz w:val="20"/>
                <w:szCs w:val="20"/>
              </w:rPr>
              <w:t>Refiere que dicha información obra en los archivos de la Tesorería</w:t>
            </w:r>
          </w:p>
        </w:tc>
        <w:tc>
          <w:tcPr>
            <w:tcW w:w="2458" w:type="pct"/>
          </w:tcPr>
          <w:p w14:paraId="348BF1BD" w14:textId="77777777" w:rsidR="00636860" w:rsidRDefault="00636860">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Remite la carpeta comprimida</w:t>
            </w:r>
            <w:r>
              <w:rPr>
                <w:rFonts w:ascii="Palatino Linotype" w:eastAsia="Palatino Linotype" w:hAnsi="Palatino Linotype" w:cs="Palatino Linotype"/>
                <w:b/>
                <w:i/>
                <w:color w:val="000000"/>
                <w:sz w:val="20"/>
                <w:szCs w:val="20"/>
              </w:rPr>
              <w:t xml:space="preserve"> “</w:t>
            </w:r>
            <w:proofErr w:type="spellStart"/>
            <w:r>
              <w:rPr>
                <w:rFonts w:ascii="Palatino Linotype" w:eastAsia="Palatino Linotype" w:hAnsi="Palatino Linotype" w:cs="Palatino Linotype"/>
                <w:b/>
                <w:i/>
                <w:color w:val="000000"/>
                <w:sz w:val="20"/>
                <w:szCs w:val="20"/>
              </w:rPr>
              <w:t>Edo_CTA_LUZ.rar</w:t>
            </w:r>
            <w:proofErr w:type="spellEnd"/>
            <w:r>
              <w:rPr>
                <w:rFonts w:ascii="Palatino Linotype" w:eastAsia="Palatino Linotype" w:hAnsi="Palatino Linotype" w:cs="Palatino Linotype"/>
                <w:b/>
                <w:i/>
                <w:color w:val="000000"/>
                <w:sz w:val="20"/>
                <w:szCs w:val="20"/>
              </w:rPr>
              <w:t>”:</w:t>
            </w:r>
            <w:r>
              <w:rPr>
                <w:rFonts w:ascii="Palatino Linotype" w:eastAsia="Palatino Linotype" w:hAnsi="Palatino Linotype" w:cs="Palatino Linotype"/>
                <w:color w:val="000000"/>
                <w:sz w:val="20"/>
                <w:szCs w:val="20"/>
              </w:rPr>
              <w:t xml:space="preserve"> que a su vez contiene seis archivos de estados de cuenta emitidos al 31 de diciembre de 2018, 2019, 2020 y 2021, asimismo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sz w:val="20"/>
                <w:szCs w:val="20"/>
              </w:rPr>
              <w:t xml:space="preserve">señalan que derivado de la carga de trabajo que tienen a la fecha, están imposibilitados para desglosar la información solicitada. </w:t>
            </w:r>
          </w:p>
        </w:tc>
      </w:tr>
    </w:tbl>
    <w:p w14:paraId="77225867"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no pasa inadvertido para este Órgano Garante que los motivos de inconformidad aducidos, no versan sobre la totalidad de la información proporcionada por el Sujeto Obligado, sino porque se le entregó incompleta, al señalar de manera expresa, que no se le entregó la información relacionada con: </w:t>
      </w:r>
    </w:p>
    <w:p w14:paraId="7BA65B2E" w14:textId="77777777" w:rsidR="00A907F0" w:rsidRDefault="00636860">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Los convenios de </w:t>
      </w:r>
      <w:proofErr w:type="gramStart"/>
      <w:r>
        <w:rPr>
          <w:rFonts w:ascii="Palatino Linotype" w:eastAsia="Palatino Linotype" w:hAnsi="Palatino Linotype" w:cs="Palatino Linotype"/>
          <w:b/>
          <w:i/>
          <w:color w:val="000000"/>
          <w:sz w:val="22"/>
          <w:szCs w:val="22"/>
        </w:rPr>
        <w:t>recaudación  por</w:t>
      </w:r>
      <w:proofErr w:type="gramEnd"/>
      <w:r>
        <w:rPr>
          <w:rFonts w:ascii="Palatino Linotype" w:eastAsia="Palatino Linotype" w:hAnsi="Palatino Linotype" w:cs="Palatino Linotype"/>
          <w:b/>
          <w:i/>
          <w:color w:val="000000"/>
          <w:sz w:val="22"/>
          <w:szCs w:val="22"/>
        </w:rPr>
        <w:t xml:space="preserve"> derecho de alumbrado público (DAP) firmados entre la CFE y el Municipio correspondientes a los años 2019, 2020 y 2021. </w:t>
      </w:r>
    </w:p>
    <w:p w14:paraId="3804E5FA" w14:textId="77777777" w:rsidR="00A907F0" w:rsidRDefault="00636860">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Las facturaciones por el servicio de alumbrado público y las recaudaciones DAP de los años 2018, 2019, 2020 y 2021 </w:t>
      </w:r>
    </w:p>
    <w:p w14:paraId="2EF781D0" w14:textId="77777777" w:rsidR="00A907F0" w:rsidRDefault="00636860">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2"/>
          <w:szCs w:val="22"/>
        </w:rPr>
      </w:pPr>
      <w:proofErr w:type="gramStart"/>
      <w:r>
        <w:rPr>
          <w:rFonts w:ascii="Palatino Linotype" w:eastAsia="Palatino Linotype" w:hAnsi="Palatino Linotype" w:cs="Palatino Linotype"/>
          <w:b/>
          <w:i/>
          <w:color w:val="000000"/>
          <w:sz w:val="22"/>
          <w:szCs w:val="22"/>
        </w:rPr>
        <w:t xml:space="preserve">La </w:t>
      </w:r>
      <w:r>
        <w:rPr>
          <w:rFonts w:ascii="Palatino Linotype" w:eastAsia="Palatino Linotype" w:hAnsi="Palatino Linotype" w:cs="Palatino Linotype"/>
          <w:b/>
          <w:color w:val="000000"/>
          <w:sz w:val="22"/>
          <w:szCs w:val="22"/>
        </w:rPr>
        <w:t xml:space="preserve"> información</w:t>
      </w:r>
      <w:proofErr w:type="gramEnd"/>
      <w:r>
        <w:rPr>
          <w:rFonts w:ascii="Palatino Linotype" w:eastAsia="Palatino Linotype" w:hAnsi="Palatino Linotype" w:cs="Palatino Linotype"/>
          <w:b/>
          <w:color w:val="000000"/>
          <w:sz w:val="22"/>
          <w:szCs w:val="22"/>
        </w:rPr>
        <w:t xml:space="preserve"> del censo del año 2019. </w:t>
      </w:r>
    </w:p>
    <w:p w14:paraId="683BC1CE"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consecuencia, la respuesta proporcionada respecto al convenio 2018, y los censos 2020 y 2021 que no fueron combatidos mediante el presente recurso de revisión, </w:t>
      </w:r>
      <w:r>
        <w:rPr>
          <w:rFonts w:ascii="Palatino Linotype" w:eastAsia="Palatino Linotype" w:hAnsi="Palatino Linotype" w:cs="Palatino Linotype"/>
          <w:color w:val="000000"/>
        </w:rPr>
        <w:t>deben declararse consentidos, toda vez que, al no haber realizado manifestaciones de inconformidad al respecto, se infiere que la información proporcionada por el Sujeto Obligado, satisface estos puntos de la solicitud.</w:t>
      </w:r>
    </w:p>
    <w:p w14:paraId="5786F358"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debido a que cuando el recurrente impugna la respuesta del Sujeto Obligado, 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F326C4E" w14:textId="77777777" w:rsidR="00A907F0" w:rsidRDefault="00A907F0">
      <w:pPr>
        <w:spacing w:line="360" w:lineRule="auto"/>
        <w:jc w:val="both"/>
        <w:rPr>
          <w:rFonts w:ascii="Palatino Linotype" w:eastAsia="Palatino Linotype" w:hAnsi="Palatino Linotype" w:cs="Palatino Linotype"/>
        </w:rPr>
      </w:pPr>
    </w:p>
    <w:p w14:paraId="7C71D768" w14:textId="77777777" w:rsidR="00A907F0" w:rsidRDefault="0063686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661A05A" w14:textId="77777777" w:rsidR="00A907F0" w:rsidRDefault="00A907F0">
      <w:pPr>
        <w:spacing w:line="276" w:lineRule="auto"/>
        <w:ind w:right="616"/>
        <w:jc w:val="both"/>
        <w:rPr>
          <w:rFonts w:ascii="Palatino Linotype" w:eastAsia="Palatino Linotype" w:hAnsi="Palatino Linotype" w:cs="Palatino Linotype"/>
          <w:sz w:val="22"/>
          <w:szCs w:val="22"/>
        </w:rPr>
      </w:pPr>
    </w:p>
    <w:p w14:paraId="5A516201" w14:textId="77777777" w:rsidR="00A907F0" w:rsidRDefault="00636860">
      <w:pPr>
        <w:spacing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la información proporcionada en respuesta, al no ser impugnada debe declararse consentida por la parte recurrente, toda vez que no se realizaron manifestaciones de inconformidad, por lo que no pueden producirse efectos jurídicos tendentes a revocar, confirmar o modificar el acto </w:t>
      </w:r>
      <w:r>
        <w:rPr>
          <w:rFonts w:ascii="Palatino Linotype" w:eastAsia="Palatino Linotype" w:hAnsi="Palatino Linotype" w:cs="Palatino Linotype"/>
        </w:rPr>
        <w:lastRenderedPageBreak/>
        <w:t>reclamado ya que se infiere un consentimiento del recurrente ante la falta de impugnación eficaz.</w:t>
      </w:r>
    </w:p>
    <w:p w14:paraId="7F299AE0" w14:textId="77777777" w:rsidR="00A907F0" w:rsidRDefault="00A907F0">
      <w:pPr>
        <w:spacing w:line="360" w:lineRule="auto"/>
        <w:ind w:right="616"/>
        <w:jc w:val="both"/>
        <w:rPr>
          <w:rFonts w:ascii="Palatino Linotype" w:eastAsia="Palatino Linotype" w:hAnsi="Palatino Linotype" w:cs="Palatino Linotype"/>
        </w:rPr>
      </w:pPr>
    </w:p>
    <w:p w14:paraId="7A276D65" w14:textId="77777777" w:rsidR="00A907F0" w:rsidRDefault="00636860">
      <w:pPr>
        <w:spacing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VI.3º.</w:t>
      </w:r>
      <w:proofErr w:type="gramStart"/>
      <w:r>
        <w:rPr>
          <w:rFonts w:ascii="Palatino Linotype" w:eastAsia="Palatino Linotype" w:hAnsi="Palatino Linotype" w:cs="Palatino Linotype"/>
        </w:rPr>
        <w:t>C.J</w:t>
      </w:r>
      <w:proofErr w:type="gramEnd"/>
      <w:r>
        <w:rPr>
          <w:rFonts w:ascii="Palatino Linotype" w:eastAsia="Palatino Linotype" w:hAnsi="Palatino Linotype" w:cs="Palatino Linotype"/>
        </w:rPr>
        <w:t>/60, publicada en el Seminario Judicial de la Federación  y su Gaceta bajo el número de registro 176,608 que a la letra dice:</w:t>
      </w:r>
    </w:p>
    <w:p w14:paraId="559CBCCB" w14:textId="77777777" w:rsidR="00A907F0" w:rsidRDefault="00A907F0">
      <w:pPr>
        <w:spacing w:line="360" w:lineRule="auto"/>
        <w:ind w:right="616"/>
        <w:jc w:val="both"/>
        <w:rPr>
          <w:rFonts w:ascii="Palatino Linotype" w:eastAsia="Palatino Linotype" w:hAnsi="Palatino Linotype" w:cs="Palatino Linotype"/>
        </w:rPr>
      </w:pPr>
    </w:p>
    <w:p w14:paraId="79039062" w14:textId="77777777" w:rsidR="00A907F0" w:rsidRDefault="00636860">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xml:space="preserve">. Debe reputarse como consentido el acto que no se impugnó por el medio establecido por la ley,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8C6FB3C" w14:textId="77777777" w:rsidR="00A907F0" w:rsidRDefault="00A907F0">
      <w:pPr>
        <w:spacing w:line="276" w:lineRule="auto"/>
        <w:ind w:right="616"/>
        <w:jc w:val="both"/>
        <w:rPr>
          <w:rFonts w:ascii="Palatino Linotype" w:eastAsia="Palatino Linotype" w:hAnsi="Palatino Linotype" w:cs="Palatino Linotype"/>
        </w:rPr>
      </w:pPr>
    </w:p>
    <w:p w14:paraId="24A0FB8C" w14:textId="77777777" w:rsidR="00A907F0" w:rsidRDefault="00636860">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apuntado lo anterior, este Órgano Garante procede al análisis de las razones o motivos de inconformidad hechos valer por el recurrente, estudio que versará únicamente sobre los puntos controvertidos, no así por los demás rubros materia de la solicitud.</w:t>
      </w:r>
    </w:p>
    <w:p w14:paraId="4EDF0007" w14:textId="77777777" w:rsidR="00A907F0" w:rsidRDefault="00636860">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Atento a ello, </w:t>
      </w:r>
      <w:proofErr w:type="gramStart"/>
      <w:r>
        <w:rPr>
          <w:rFonts w:ascii="Palatino Linotype" w:eastAsia="Palatino Linotype" w:hAnsi="Palatino Linotype" w:cs="Palatino Linotype"/>
        </w:rPr>
        <w:t>primeramente</w:t>
      </w:r>
      <w:proofErr w:type="gramEnd"/>
      <w:r>
        <w:rPr>
          <w:rFonts w:ascii="Palatino Linotype" w:eastAsia="Palatino Linotype" w:hAnsi="Palatino Linotype" w:cs="Palatino Linotype"/>
        </w:rPr>
        <w:t xml:space="preserve"> es importante señalar que el artículo 4, párrafo segundo de la Ley de Transparencia y Acceso a la Información Pública del Estado de México y Municipios, dispone:</w:t>
      </w:r>
    </w:p>
    <w:p w14:paraId="5C10E209" w14:textId="77777777" w:rsidR="00A907F0" w:rsidRDefault="00636860">
      <w:pPr>
        <w:pBdr>
          <w:top w:val="nil"/>
          <w:left w:val="nil"/>
          <w:bottom w:val="nil"/>
          <w:right w:val="nil"/>
          <w:between w:val="nil"/>
        </w:pBdr>
        <w:tabs>
          <w:tab w:val="left" w:pos="1511"/>
        </w:tabs>
        <w:rPr>
          <w:rFonts w:ascii="Calibri" w:eastAsia="Calibri" w:hAnsi="Calibri" w:cs="Calibri"/>
          <w:color w:val="000000"/>
          <w:sz w:val="22"/>
          <w:szCs w:val="22"/>
        </w:rPr>
      </w:pPr>
      <w:r>
        <w:rPr>
          <w:rFonts w:ascii="Calibri" w:eastAsia="Calibri" w:hAnsi="Calibri" w:cs="Calibri"/>
          <w:color w:val="000000"/>
          <w:sz w:val="22"/>
          <w:szCs w:val="22"/>
        </w:rPr>
        <w:tab/>
      </w:r>
    </w:p>
    <w:p w14:paraId="0EBC56C7" w14:textId="77777777" w:rsidR="00A907F0" w:rsidRDefault="00636860">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color w:val="000000"/>
          <w:sz w:val="22"/>
          <w:szCs w:val="22"/>
        </w:rPr>
        <w:t xml:space="preserve">Artículo 4. </w:t>
      </w:r>
      <w:r>
        <w:rPr>
          <w:rFonts w:ascii="Palatino Linotype" w:eastAsia="Palatino Linotype" w:hAnsi="Palatino Linotype" w:cs="Palatino Linotype"/>
          <w:i/>
          <w:color w:val="000000"/>
          <w:sz w:val="22"/>
          <w:szCs w:val="22"/>
        </w:rPr>
        <w:t xml:space="preserve">… </w:t>
      </w:r>
    </w:p>
    <w:p w14:paraId="6A59CC29"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Pr>
          <w:rFonts w:ascii="Palatino Linotype" w:eastAsia="Palatino Linotype" w:hAnsi="Palatino Linotype" w:cs="Palatino Linotype"/>
          <w:i/>
          <w:color w:val="000000"/>
          <w:sz w:val="22"/>
          <w:szCs w:val="22"/>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r>
        <w:rPr>
          <w:rFonts w:ascii="Palatino Linotype" w:eastAsia="Palatino Linotype" w:hAnsi="Palatino Linotype" w:cs="Palatino Linotype"/>
          <w:i/>
          <w:sz w:val="22"/>
          <w:szCs w:val="22"/>
        </w:rPr>
        <w:t>...)”</w:t>
      </w:r>
    </w:p>
    <w:p w14:paraId="11FA1FC2" w14:textId="77777777" w:rsidR="00A907F0" w:rsidRDefault="00A907F0">
      <w:pPr>
        <w:ind w:left="567" w:right="567"/>
        <w:jc w:val="both"/>
        <w:rPr>
          <w:rFonts w:ascii="Palatino Linotype" w:eastAsia="Palatino Linotype" w:hAnsi="Palatino Linotype" w:cs="Palatino Linotype"/>
          <w:i/>
          <w:color w:val="000000"/>
          <w:sz w:val="22"/>
          <w:szCs w:val="22"/>
        </w:rPr>
      </w:pPr>
    </w:p>
    <w:p w14:paraId="43A1074E"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13A20D29" w14:textId="77777777" w:rsidR="00A907F0" w:rsidRDefault="00A907F0">
      <w:pPr>
        <w:spacing w:line="360" w:lineRule="auto"/>
        <w:jc w:val="both"/>
        <w:rPr>
          <w:rFonts w:ascii="Palatino Linotype" w:eastAsia="Palatino Linotype" w:hAnsi="Palatino Linotype" w:cs="Palatino Linotype"/>
        </w:rPr>
      </w:pPr>
    </w:p>
    <w:p w14:paraId="4ADF9EDB"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FDE23E7" w14:textId="77777777" w:rsidR="00A907F0" w:rsidRDefault="00A907F0">
      <w:pPr>
        <w:pBdr>
          <w:top w:val="nil"/>
          <w:left w:val="nil"/>
          <w:bottom w:val="nil"/>
          <w:right w:val="nil"/>
          <w:between w:val="nil"/>
        </w:pBdr>
        <w:rPr>
          <w:rFonts w:ascii="Calibri" w:eastAsia="Calibri" w:hAnsi="Calibri" w:cs="Calibri"/>
          <w:color w:val="000000"/>
          <w:sz w:val="22"/>
          <w:szCs w:val="22"/>
        </w:rPr>
      </w:pPr>
    </w:p>
    <w:p w14:paraId="081447C9"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0D12AF08" w14:textId="77777777" w:rsidR="00A907F0" w:rsidRDefault="00A907F0">
      <w:pPr>
        <w:ind w:left="567" w:right="567"/>
        <w:jc w:val="both"/>
        <w:rPr>
          <w:rFonts w:ascii="Palatino Linotype" w:eastAsia="Palatino Linotype" w:hAnsi="Palatino Linotype" w:cs="Palatino Linotype"/>
          <w:i/>
          <w:color w:val="000000"/>
          <w:sz w:val="22"/>
          <w:szCs w:val="22"/>
        </w:rPr>
      </w:pPr>
    </w:p>
    <w:p w14:paraId="20D1848C"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sz w:val="22"/>
          <w:szCs w:val="22"/>
        </w:rPr>
        <w:t>”</w:t>
      </w:r>
    </w:p>
    <w:p w14:paraId="20D6C302" w14:textId="77777777" w:rsidR="00A907F0" w:rsidRDefault="00A907F0">
      <w:pPr>
        <w:ind w:left="567" w:right="567"/>
        <w:jc w:val="both"/>
        <w:rPr>
          <w:rFonts w:ascii="Palatino Linotype" w:eastAsia="Palatino Linotype" w:hAnsi="Palatino Linotype" w:cs="Palatino Linotype"/>
          <w:i/>
          <w:sz w:val="22"/>
          <w:szCs w:val="22"/>
        </w:rPr>
      </w:pPr>
    </w:p>
    <w:p w14:paraId="6A03D687"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w:t>
      </w:r>
      <w:r>
        <w:rPr>
          <w:rFonts w:ascii="Palatino Linotype" w:eastAsia="Palatino Linotype" w:hAnsi="Palatino Linotype" w:cs="Palatino Linotype"/>
          <w:color w:val="000000"/>
        </w:rPr>
        <w:lastRenderedPageBreak/>
        <w:t xml:space="preserve">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w:t>
      </w:r>
    </w:p>
    <w:p w14:paraId="3049D8BA" w14:textId="77777777" w:rsidR="00A907F0" w:rsidRDefault="00A907F0">
      <w:pPr>
        <w:spacing w:line="360" w:lineRule="auto"/>
        <w:jc w:val="both"/>
        <w:rPr>
          <w:rFonts w:ascii="Palatino Linotype" w:eastAsia="Palatino Linotype" w:hAnsi="Palatino Linotype" w:cs="Palatino Linotype"/>
          <w:color w:val="000000"/>
        </w:rPr>
      </w:pPr>
    </w:p>
    <w:p w14:paraId="1C0C2FB0" w14:textId="77777777" w:rsidR="00A907F0" w:rsidRDefault="0063686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Como apoyo a lo anterior, es aplicable el Criterio 03-17, emitido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1A8E3DCB" w14:textId="77777777" w:rsidR="00A907F0" w:rsidRDefault="00A907F0">
      <w:pPr>
        <w:spacing w:line="360" w:lineRule="auto"/>
        <w:jc w:val="both"/>
        <w:rPr>
          <w:rFonts w:ascii="Palatino Linotype" w:eastAsia="Palatino Linotype" w:hAnsi="Palatino Linotype" w:cs="Palatino Linotype"/>
          <w:b/>
          <w:color w:val="000000"/>
        </w:rPr>
      </w:pPr>
    </w:p>
    <w:p w14:paraId="5DE559D4" w14:textId="77777777" w:rsidR="00A907F0" w:rsidRDefault="00A907F0">
      <w:pPr>
        <w:ind w:left="851" w:right="850"/>
        <w:jc w:val="both"/>
        <w:rPr>
          <w:rFonts w:ascii="Palatino Linotype" w:eastAsia="Palatino Linotype" w:hAnsi="Palatino Linotype" w:cs="Palatino Linotype"/>
          <w:color w:val="000000"/>
          <w:sz w:val="2"/>
          <w:szCs w:val="2"/>
        </w:rPr>
      </w:pPr>
    </w:p>
    <w:p w14:paraId="42B405FD" w14:textId="77777777" w:rsidR="00A907F0" w:rsidRDefault="00636860">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F568AF0" w14:textId="77777777" w:rsidR="00A907F0" w:rsidRDefault="00A907F0">
      <w:pPr>
        <w:ind w:left="567" w:right="567"/>
        <w:jc w:val="both"/>
        <w:rPr>
          <w:rFonts w:ascii="Palatino Linotype" w:eastAsia="Palatino Linotype" w:hAnsi="Palatino Linotype" w:cs="Palatino Linotype"/>
          <w:i/>
          <w:color w:val="000000"/>
          <w:sz w:val="22"/>
          <w:szCs w:val="22"/>
        </w:rPr>
      </w:pPr>
    </w:p>
    <w:p w14:paraId="061CCC5E" w14:textId="77777777" w:rsidR="00A907F0" w:rsidRDefault="00636860">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19D8E7F3" w14:textId="77777777" w:rsidR="00A907F0" w:rsidRDefault="00636860">
      <w:pPr>
        <w:ind w:left="567" w:right="567"/>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314718CA" w14:textId="77777777" w:rsidR="00A907F0" w:rsidRDefault="00636860">
      <w:pPr>
        <w:ind w:left="567" w:right="567"/>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0F8ECA1D" w14:textId="77777777" w:rsidR="00A907F0" w:rsidRDefault="00636860">
      <w:pPr>
        <w:ind w:left="567" w:right="567"/>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14:paraId="73EC6E02" w14:textId="77777777" w:rsidR="00A907F0" w:rsidRDefault="00A907F0">
      <w:pPr>
        <w:jc w:val="both"/>
        <w:rPr>
          <w:rFonts w:ascii="Palatino Linotype" w:eastAsia="Palatino Linotype" w:hAnsi="Palatino Linotype" w:cs="Palatino Linotype"/>
          <w:sz w:val="22"/>
          <w:szCs w:val="22"/>
        </w:rPr>
      </w:pPr>
    </w:p>
    <w:p w14:paraId="50453AC3" w14:textId="77777777" w:rsidR="00A907F0" w:rsidRDefault="00A907F0">
      <w:pPr>
        <w:spacing w:line="360" w:lineRule="auto"/>
        <w:jc w:val="both"/>
        <w:rPr>
          <w:rFonts w:ascii="Palatino Linotype" w:eastAsia="Palatino Linotype" w:hAnsi="Palatino Linotype" w:cs="Palatino Linotype"/>
          <w:color w:val="000000"/>
        </w:rPr>
      </w:pPr>
    </w:p>
    <w:p w14:paraId="0AEC2462"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el artículo 19 de la Ley de Transparencia y Acceso a la Información Pública del Estado de México y Municipios, se presume que la información debe existir si se refiere a las facultades, competencias y funciones que los ordenamientos jurídicos aplicables otorgan a los sujetos obligados.</w:t>
      </w:r>
    </w:p>
    <w:p w14:paraId="203C7967" w14:textId="77777777" w:rsidR="00A907F0" w:rsidRDefault="00A907F0">
      <w:pPr>
        <w:spacing w:line="360" w:lineRule="auto"/>
        <w:jc w:val="both"/>
        <w:rPr>
          <w:rFonts w:ascii="Palatino Linotype" w:eastAsia="Palatino Linotype" w:hAnsi="Palatino Linotype" w:cs="Palatino Linotype"/>
          <w:color w:val="000000"/>
        </w:rPr>
      </w:pPr>
    </w:p>
    <w:p w14:paraId="4B0A27EE"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los casos en que ciertas facultades, competencias o funciones no se hayan ejercido, se debe motivar la respuesta en función de las causas que motiven tal circunstancia.</w:t>
      </w:r>
    </w:p>
    <w:p w14:paraId="5FAAA230" w14:textId="77777777" w:rsidR="00A907F0" w:rsidRDefault="00A907F0">
      <w:pPr>
        <w:spacing w:line="360" w:lineRule="auto"/>
        <w:jc w:val="both"/>
        <w:rPr>
          <w:rFonts w:ascii="Palatino Linotype" w:eastAsia="Palatino Linotype" w:hAnsi="Palatino Linotype" w:cs="Palatino Linotype"/>
          <w:color w:val="000000"/>
        </w:rPr>
      </w:pPr>
    </w:p>
    <w:p w14:paraId="301CE547"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 el Sujeto Obligado, en el ejercicio de sus atribuciones, debía generar, poseer o administrar la información, pero ésta no se encuentra, el comité de transparencia deberá emitir un acuerdo de inexistencia, debidamente fundado y motivado, en el que se detalle las razones del por qué no obra en sus archivos. </w:t>
      </w:r>
    </w:p>
    <w:p w14:paraId="5F94A677" w14:textId="77777777" w:rsidR="00A907F0" w:rsidRDefault="00A907F0">
      <w:pPr>
        <w:jc w:val="both"/>
        <w:rPr>
          <w:rFonts w:ascii="Palatino Linotype" w:eastAsia="Palatino Linotype" w:hAnsi="Palatino Linotype" w:cs="Palatino Linotype"/>
          <w:sz w:val="22"/>
          <w:szCs w:val="22"/>
        </w:rPr>
      </w:pPr>
    </w:p>
    <w:p w14:paraId="64C2FC9E"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24, de la Ley de la materia, dispone que los Sujetos Obligados 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622DFD" w14:textId="77777777" w:rsidR="00A907F0" w:rsidRDefault="00A907F0">
      <w:pPr>
        <w:spacing w:line="360" w:lineRule="auto"/>
        <w:jc w:val="both"/>
        <w:rPr>
          <w:rFonts w:ascii="Palatino Linotype" w:eastAsia="Palatino Linotype" w:hAnsi="Palatino Linotype" w:cs="Palatino Linotype"/>
          <w:color w:val="000000"/>
        </w:rPr>
      </w:pPr>
    </w:p>
    <w:p w14:paraId="7C8B0EA9"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a efecto de garantizar el efectivo ejercicio derecho de acceso a la información consagrado en la constitución, resulta pertinente entrar a las consideraciones de hecho y derecho de los puntos vertidos en la solicitud: </w:t>
      </w:r>
    </w:p>
    <w:p w14:paraId="7DBE5BBB" w14:textId="77777777" w:rsidR="00A907F0" w:rsidRDefault="00A907F0">
      <w:pPr>
        <w:spacing w:line="360" w:lineRule="auto"/>
        <w:jc w:val="both"/>
        <w:rPr>
          <w:rFonts w:ascii="Palatino Linotype" w:eastAsia="Palatino Linotype" w:hAnsi="Palatino Linotype" w:cs="Palatino Linotype"/>
          <w:color w:val="000000"/>
        </w:rPr>
      </w:pPr>
    </w:p>
    <w:p w14:paraId="0AD21C55" w14:textId="77777777" w:rsidR="00A907F0" w:rsidRDefault="0063686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1.- Censo de luminarios de alumbrado público realizado y firmado por la Comisión Federal de Electricidad (CFE), correspondiente al </w:t>
      </w:r>
      <w:proofErr w:type="gramStart"/>
      <w:r>
        <w:rPr>
          <w:rFonts w:ascii="Palatino Linotype" w:eastAsia="Palatino Linotype" w:hAnsi="Palatino Linotype" w:cs="Palatino Linotype"/>
          <w:b/>
          <w:color w:val="000000"/>
        </w:rPr>
        <w:t>año  2019</w:t>
      </w:r>
      <w:proofErr w:type="gramEnd"/>
    </w:p>
    <w:p w14:paraId="3995A50C" w14:textId="77777777" w:rsidR="00A907F0" w:rsidRDefault="00A907F0">
      <w:pPr>
        <w:spacing w:line="360" w:lineRule="auto"/>
        <w:jc w:val="both"/>
        <w:rPr>
          <w:rFonts w:ascii="Palatino Linotype" w:eastAsia="Palatino Linotype" w:hAnsi="Palatino Linotype" w:cs="Palatino Linotype"/>
          <w:b/>
          <w:color w:val="000000"/>
        </w:rPr>
      </w:pPr>
    </w:p>
    <w:p w14:paraId="3CE991BB" w14:textId="77777777" w:rsidR="00A907F0" w:rsidRDefault="00636860">
      <w:pP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Debemos iniciar resaltando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manifestó que respecto al </w:t>
      </w:r>
      <w:proofErr w:type="gramStart"/>
      <w:r>
        <w:rPr>
          <w:rFonts w:ascii="Palatino Linotype" w:eastAsia="Palatino Linotype" w:hAnsi="Palatino Linotype" w:cs="Palatino Linotype"/>
          <w:color w:val="000000"/>
        </w:rPr>
        <w:t>censo  2018</w:t>
      </w:r>
      <w:proofErr w:type="gramEnd"/>
      <w:r>
        <w:rPr>
          <w:rFonts w:ascii="Palatino Linotype" w:eastAsia="Palatino Linotype" w:hAnsi="Palatino Linotype" w:cs="Palatino Linotype"/>
          <w:color w:val="000000"/>
        </w:rPr>
        <w:t xml:space="preserve"> refiere que no se localizó, sobre los censos 2019 y 2020 señala que los mismos </w:t>
      </w:r>
      <w:r>
        <w:rPr>
          <w:rFonts w:ascii="Palatino Linotype" w:eastAsia="Palatino Linotype" w:hAnsi="Palatino Linotype" w:cs="Palatino Linotype"/>
          <w:color w:val="000000"/>
        </w:rPr>
        <w:lastRenderedPageBreak/>
        <w:t xml:space="preserve">no se realizaron derivado de la pandemia de COVID-19 y sobre el censo del año 2021 remitió el archivo digital </w:t>
      </w:r>
      <w:r>
        <w:rPr>
          <w:rFonts w:ascii="Palatino Linotype" w:eastAsia="Palatino Linotype" w:hAnsi="Palatino Linotype" w:cs="Palatino Linotype"/>
          <w:b/>
          <w:i/>
          <w:color w:val="000000"/>
        </w:rPr>
        <w:t xml:space="preserve">“CENSO LUMINARIAS 2021_1.PDF”. </w:t>
      </w:r>
    </w:p>
    <w:p w14:paraId="67887AA3" w14:textId="77777777" w:rsidR="00A907F0" w:rsidRDefault="00A907F0">
      <w:pPr>
        <w:spacing w:line="360" w:lineRule="auto"/>
        <w:jc w:val="both"/>
        <w:rPr>
          <w:rFonts w:ascii="Palatino Linotype" w:eastAsia="Palatino Linotype" w:hAnsi="Palatino Linotype" w:cs="Palatino Linotype"/>
          <w:color w:val="000000"/>
        </w:rPr>
      </w:pPr>
    </w:p>
    <w:p w14:paraId="79D5B8E5"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debe precisarse que mediante el Sistema de Acceso a la Información Mexiquense (SAIMEX), la solicitud se turnó de la siguiente manera: </w:t>
      </w:r>
    </w:p>
    <w:p w14:paraId="172328CC" w14:textId="77777777" w:rsidR="00A907F0" w:rsidRDefault="00636860">
      <w:pPr>
        <w:spacing w:line="360" w:lineRule="auto"/>
        <w:jc w:val="both"/>
        <w:rPr>
          <w:rFonts w:ascii="Palatino Linotype" w:eastAsia="Palatino Linotype" w:hAnsi="Palatino Linotype" w:cs="Palatino Linotype"/>
          <w:color w:val="000000"/>
        </w:rPr>
      </w:pPr>
      <w:r>
        <w:rPr>
          <w:noProof/>
          <w:lang w:val="es-MX" w:eastAsia="es-MX"/>
        </w:rPr>
        <w:drawing>
          <wp:anchor distT="0" distB="0" distL="114300" distR="114300" simplePos="0" relativeHeight="251659264" behindDoc="0" locked="0" layoutInCell="1" hidden="0" allowOverlap="1" wp14:anchorId="093AD3FE" wp14:editId="30E360EF">
            <wp:simplePos x="0" y="0"/>
            <wp:positionH relativeFrom="column">
              <wp:posOffset>-666114</wp:posOffset>
            </wp:positionH>
            <wp:positionV relativeFrom="paragraph">
              <wp:posOffset>306070</wp:posOffset>
            </wp:positionV>
            <wp:extent cx="6901467" cy="1476375"/>
            <wp:effectExtent l="0" t="0" r="0" b="0"/>
            <wp:wrapTopAndBottom distT="0" dist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901467" cy="1476375"/>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60288" behindDoc="0" locked="0" layoutInCell="1" hidden="0" allowOverlap="1" wp14:anchorId="1E0A8A5E" wp14:editId="156AEDF3">
                <wp:simplePos x="0" y="0"/>
                <wp:positionH relativeFrom="column">
                  <wp:posOffset>698500</wp:posOffset>
                </wp:positionH>
                <wp:positionV relativeFrom="paragraph">
                  <wp:posOffset>279400</wp:posOffset>
                </wp:positionV>
                <wp:extent cx="723900" cy="904875"/>
                <wp:effectExtent l="0" t="0" r="0" b="0"/>
                <wp:wrapNone/>
                <wp:docPr id="38" name="Rectángulo 38"/>
                <wp:cNvGraphicFramePr/>
                <a:graphic xmlns:a="http://schemas.openxmlformats.org/drawingml/2006/main">
                  <a:graphicData uri="http://schemas.microsoft.com/office/word/2010/wordprocessingShape">
                    <wps:wsp>
                      <wps:cNvSpPr/>
                      <wps:spPr>
                        <a:xfrm>
                          <a:off x="5003100" y="3346613"/>
                          <a:ext cx="685800" cy="866775"/>
                        </a:xfrm>
                        <a:prstGeom prst="rect">
                          <a:avLst/>
                        </a:prstGeom>
                        <a:noFill/>
                        <a:ln w="38100" cap="flat" cmpd="sng">
                          <a:solidFill>
                            <a:srgbClr val="002060"/>
                          </a:solidFill>
                          <a:prstDash val="solid"/>
                          <a:miter lim="800000"/>
                          <a:headEnd type="none" w="sm" len="sm"/>
                          <a:tailEnd type="none" w="sm" len="sm"/>
                        </a:ln>
                      </wps:spPr>
                      <wps:txbx>
                        <w:txbxContent>
                          <w:p w14:paraId="5A64483D" w14:textId="77777777" w:rsidR="00523EC2" w:rsidRDefault="00523EC2">
                            <w:pPr>
                              <w:textDirection w:val="btLr"/>
                            </w:pPr>
                          </w:p>
                        </w:txbxContent>
                      </wps:txbx>
                      <wps:bodyPr spcFirstLastPara="1" wrap="square" lIns="91425" tIns="91425" rIns="91425" bIns="91425" anchor="ctr" anchorCtr="0">
                        <a:noAutofit/>
                      </wps:bodyPr>
                    </wps:wsp>
                  </a:graphicData>
                </a:graphic>
              </wp:anchor>
            </w:drawing>
          </mc:Choice>
          <mc:Fallback>
            <w:pict>
              <v:rect id="Rectángulo 38" o:spid="_x0000_s1026" style="position:absolute;left:0;text-align:left;margin-left:55pt;margin-top:22pt;width:57pt;height:7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" filled="f" strokecolor="#002060" strokeweight="3pt">
                <v:stroke startarrowwidth="narrow" startarrowlength="short" endarrowwidth="narrow" endarrowlength="short"/>
                <v:textbox inset="2.53958mm,2.53958mm,2.53958mm,2.53958mm">
                  <w:txbxContent>
                    <w:p w:rsidR="00523EC2" w:rsidRDefault="00523EC2">
                      <w:pPr>
                        <w:textDirection w:val="btLr"/>
                      </w:pPr>
                    </w:p>
                  </w:txbxContent>
                </v:textbox>
              </v:rect>
            </w:pict>
          </mc:Fallback>
        </mc:AlternateContent>
      </w:r>
    </w:p>
    <w:p w14:paraId="3AE0DA79" w14:textId="77777777" w:rsidR="00A907F0" w:rsidRDefault="00A907F0">
      <w:pPr>
        <w:spacing w:line="360" w:lineRule="auto"/>
        <w:jc w:val="both"/>
        <w:rPr>
          <w:rFonts w:ascii="Palatino Linotype" w:eastAsia="Palatino Linotype" w:hAnsi="Palatino Linotype" w:cs="Palatino Linotype"/>
          <w:color w:val="000000"/>
        </w:rPr>
      </w:pPr>
    </w:p>
    <w:p w14:paraId="5F2A2EEB"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comparativo con lo reportado por el Sujeto Obligado en su portal de Información Pública de Oficio Mexiquense (IPOMEX), se obtuvo que el servidor público ostenta el siguiente cargo: </w:t>
      </w:r>
    </w:p>
    <w:p w14:paraId="7056DAD7" w14:textId="77777777" w:rsidR="00A907F0" w:rsidRDefault="00636860">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423746CA" wp14:editId="5DA3801C">
            <wp:extent cx="4622798" cy="3727508"/>
            <wp:effectExtent l="0" t="0" r="0" b="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4622798" cy="3727508"/>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1312" behindDoc="0" locked="0" layoutInCell="1" hidden="0" allowOverlap="1" wp14:anchorId="64768C02" wp14:editId="32E620C3">
                <wp:simplePos x="0" y="0"/>
                <wp:positionH relativeFrom="column">
                  <wp:posOffset>482600</wp:posOffset>
                </wp:positionH>
                <wp:positionV relativeFrom="paragraph">
                  <wp:posOffset>381000</wp:posOffset>
                </wp:positionV>
                <wp:extent cx="4476750" cy="1028700"/>
                <wp:effectExtent l="0" t="0" r="0" b="0"/>
                <wp:wrapNone/>
                <wp:docPr id="37" name="Rectángulo 37"/>
                <wp:cNvGraphicFramePr/>
                <a:graphic xmlns:a="http://schemas.openxmlformats.org/drawingml/2006/main">
                  <a:graphicData uri="http://schemas.microsoft.com/office/word/2010/wordprocessingShape">
                    <wps:wsp>
                      <wps:cNvSpPr/>
                      <wps:spPr>
                        <a:xfrm>
                          <a:off x="3121913" y="3279938"/>
                          <a:ext cx="4448175" cy="1000125"/>
                        </a:xfrm>
                        <a:prstGeom prst="rect">
                          <a:avLst/>
                        </a:prstGeom>
                        <a:noFill/>
                        <a:ln w="28575" cap="flat" cmpd="sng">
                          <a:solidFill>
                            <a:srgbClr val="002060"/>
                          </a:solidFill>
                          <a:prstDash val="solid"/>
                          <a:miter lim="800000"/>
                          <a:headEnd type="none" w="sm" len="sm"/>
                          <a:tailEnd type="none" w="sm" len="sm"/>
                        </a:ln>
                      </wps:spPr>
                      <wps:txbx>
                        <w:txbxContent>
                          <w:p w14:paraId="71EA256A" w14:textId="77777777" w:rsidR="00523EC2" w:rsidRDefault="00523EC2">
                            <w:pPr>
                              <w:textDirection w:val="btLr"/>
                            </w:pPr>
                          </w:p>
                        </w:txbxContent>
                      </wps:txbx>
                      <wps:bodyPr spcFirstLastPara="1" wrap="square" lIns="91425" tIns="91425" rIns="91425" bIns="91425" anchor="ctr" anchorCtr="0">
                        <a:noAutofit/>
                      </wps:bodyPr>
                    </wps:wsp>
                  </a:graphicData>
                </a:graphic>
              </wp:anchor>
            </w:drawing>
          </mc:Choice>
          <mc:Fallback>
            <w:pict>
              <v:rect id="Rectángulo 37" o:spid="_x0000_s1027" style="position:absolute;left:0;text-align:left;margin-left:38pt;margin-top:30pt;width:352.5pt;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" filled="f" strokecolor="#002060" strokeweight="2.25pt">
                <v:stroke startarrowwidth="narrow" startarrowlength="short" endarrowwidth="narrow" endarrowlength="short"/>
                <v:textbox inset="2.53958mm,2.53958mm,2.53958mm,2.53958mm">
                  <w:txbxContent>
                    <w:p w:rsidR="00523EC2" w:rsidRDefault="00523EC2">
                      <w:pPr>
                        <w:textDirection w:val="btLr"/>
                      </w:pPr>
                    </w:p>
                  </w:txbxContent>
                </v:textbox>
              </v:rect>
            </w:pict>
          </mc:Fallback>
        </mc:AlternateContent>
      </w:r>
    </w:p>
    <w:p w14:paraId="4F165268"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el Bando Municipal prevé que la Dirección de Servicios Públicos desempeñará las siguientes funciones: </w:t>
      </w:r>
    </w:p>
    <w:p w14:paraId="266433A1" w14:textId="77777777" w:rsidR="00A907F0" w:rsidRDefault="00A907F0">
      <w:pPr>
        <w:spacing w:line="360" w:lineRule="auto"/>
        <w:jc w:val="both"/>
        <w:rPr>
          <w:rFonts w:ascii="Palatino Linotype" w:eastAsia="Palatino Linotype" w:hAnsi="Palatino Linotype" w:cs="Palatino Linotype"/>
          <w:color w:val="000000"/>
        </w:rPr>
      </w:pPr>
    </w:p>
    <w:p w14:paraId="6D1D64C7"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“CAPÍTULO X </w:t>
      </w:r>
    </w:p>
    <w:p w14:paraId="1BB01677"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LOS SERVICIOS PÚBLICOS </w:t>
      </w:r>
    </w:p>
    <w:p w14:paraId="4D5A838F"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126.- Corresponde al Ayuntamiento el dotar, organizar, administrar, poner en funcionamiento y prestar los servicios públicos municipales de forma continua, general, uniforme, eficiente. </w:t>
      </w:r>
    </w:p>
    <w:p w14:paraId="2475E4DC"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127.- Son servicios públicos municipales, de manera enunciativa y no limitativa, los siguientes: </w:t>
      </w:r>
    </w:p>
    <w:p w14:paraId="59D99294"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AD91C9F" w14:textId="77777777" w:rsidR="00A907F0" w:rsidRDefault="00636860">
      <w:pPr>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II. Alumbrado público;</w:t>
      </w:r>
    </w:p>
    <w:p w14:paraId="462BC5F8"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8569C81"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137.- Las atribuciones de la Dirección de Servicios Públicos, serán ejercidas por su Titular, para el cumplimiento de las mismas tendrá las siguientes facultades, ellas independientemente de las contenidas en las demás disposiciones legales o reglamentarias aplicables a la materia</w:t>
      </w:r>
      <w:r>
        <w:rPr>
          <w:rFonts w:ascii="Palatino Linotype" w:eastAsia="Palatino Linotype" w:hAnsi="Palatino Linotype" w:cs="Palatino Linotype"/>
          <w:i/>
          <w:color w:val="000000"/>
          <w:sz w:val="22"/>
          <w:szCs w:val="22"/>
        </w:rPr>
        <w:t>:</w:t>
      </w:r>
    </w:p>
    <w:p w14:paraId="4DBEB96F"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I. Establecer los criterios y normas técnicas para la conservación y mantenimiento de la infraestructura y equipamiento vial, alumbrado público y de todos aquellos elementos que determinan el funcionamiento e imagen urbana de las vialidades en el Municipio;</w:t>
      </w:r>
    </w:p>
    <w:p w14:paraId="28DCB67C"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 Establecer los criterios y normas técnicas para realizar obras de alumbrado público que formen parte de la infraestructura y equipamiento de la imagen urbana;</w:t>
      </w:r>
    </w:p>
    <w:p w14:paraId="365180C0"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Participar en los estudios y proyectos de obras de infraestructura y equipamiento vial;</w:t>
      </w:r>
    </w:p>
    <w:p w14:paraId="6FC50716"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IV. Realizar las acciones de conservación y mantenimiento vial, alumbrado público y de todos aquellos elementos que determinan la funcionalidad e imagen urbana de vialidades que conforman la red vial primaria y las rápidas;</w:t>
      </w:r>
    </w:p>
    <w:p w14:paraId="74ADBFD0"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Realizar en coordinación con la Dirección de Obras Públicas, Desarrollo Urbano, y Biodiversidad, las acciones de conservación y mantenimiento vial, alumbrado público, panteones, parques, jardines y áreas verdes, así como la de todos aquellos elementos que determinan su funcionamiento;</w:t>
      </w:r>
    </w:p>
    <w:p w14:paraId="48A49343"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Desarrollar en coordinación con las autoridades competentes y en su caso, en base a las disposiciones jurídicas aplicables, las actividades de minimización, recolección y transferencia de los residuos sólidos urbanos;</w:t>
      </w:r>
    </w:p>
    <w:p w14:paraId="6CB23F30"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Realizar los estudios, proyectos y la construcción, conservación y mantenimiento de obras de infraestructura para el manejo de los desechos sólidos, estaciones de transferencia, plantas de selección y aprovechamiento, así como sitios de disposición final, dando estricto cumplimiento a las normas aplicables;</w:t>
      </w:r>
    </w:p>
    <w:p w14:paraId="0D2F0A14"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Darle la disposición final a los residuos sólidos de manejo especial que ingresan al relleno sanitario, así como establecer los sistemas de reciclamiento;</w:t>
      </w:r>
    </w:p>
    <w:p w14:paraId="60A25BA2"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IX. Participar en el ámbito de sus atribuciones, en el diseño y ejecución de las obras que requieran servicios públicos, cuyo desarrollo esté a cargo de otras unidades administrativas;</w:t>
      </w:r>
    </w:p>
    <w:p w14:paraId="4FA242CC"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 Participar en el ámbito de su competencia en la Planeación ordenada y responsable del crecimiento urbano, así como colaborar en la administración de uso adecuado del suelo en la jurisdicción territorial, considerando en su caso la opinión sobre imagen urbana que emitan las asociaciones de colonos debidamente acreditadas a través de su área técnica, sin que la misma sea determinante para el otorgamiento de autorizaciones o licencias; y</w:t>
      </w:r>
    </w:p>
    <w:p w14:paraId="1EE969FF"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Las demás que le señalen otros ordenamientos, leyes y disposiciones jurídicas aplicables y las que les encomiende el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Municipal en función de sus atribuciones.</w:t>
      </w:r>
    </w:p>
    <w:p w14:paraId="7B9425F6" w14:textId="77777777" w:rsidR="00A907F0" w:rsidRDefault="00636860">
      <w:pPr>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lastRenderedPageBreak/>
        <w:t>ARTÍCULO 138.- El H. Ayuntamiento a través de la Dirección General de Servicios Públicos tiene la obligación de proporcionar de manera regular y continua los siguientes servicios a todos los habitantes del municipio.</w:t>
      </w:r>
    </w:p>
    <w:p w14:paraId="7D8155C2"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 Alumbrado Público;</w:t>
      </w:r>
    </w:p>
    <w:p w14:paraId="65C3FC5E"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Limpia;</w:t>
      </w:r>
    </w:p>
    <w:p w14:paraId="2AB59CF5"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Calles, Parques, Jardines, Áreas Verdes y Recreativas;</w:t>
      </w:r>
    </w:p>
    <w:p w14:paraId="145331AE"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Control Canino y felino.</w:t>
      </w:r>
    </w:p>
    <w:p w14:paraId="56A5AF69"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139.- Para el estudio, planeación y despacho de los asuntos de su competencia la Dirección General de Servicios Públicos Municipal se integrará de la siguiente manera:</w:t>
      </w:r>
    </w:p>
    <w:p w14:paraId="2D4728C3"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I.-Dirección General de Servicios Públicos.</w:t>
      </w:r>
    </w:p>
    <w:p w14:paraId="1DF37D9C"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 Área de Servicios de Alumbrado Público;</w:t>
      </w:r>
    </w:p>
    <w:p w14:paraId="21268910"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Área de Servicios de Limpia;</w:t>
      </w:r>
    </w:p>
    <w:p w14:paraId="5E64F7EA"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Área de Servicios de Calles, Parques, Jardines, Áreas Verdes y Recreativas;</w:t>
      </w:r>
    </w:p>
    <w:p w14:paraId="6287A253"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 Coordinación de Control Canino y Felino.</w:t>
      </w:r>
    </w:p>
    <w:p w14:paraId="086B2D96" w14:textId="77777777" w:rsidR="00A907F0" w:rsidRDefault="00A907F0">
      <w:pPr>
        <w:ind w:left="567" w:right="900"/>
        <w:jc w:val="both"/>
        <w:rPr>
          <w:rFonts w:ascii="Palatino Linotype" w:eastAsia="Palatino Linotype" w:hAnsi="Palatino Linotype" w:cs="Palatino Linotype"/>
          <w:i/>
          <w:color w:val="000000"/>
          <w:sz w:val="22"/>
          <w:szCs w:val="22"/>
        </w:rPr>
      </w:pPr>
    </w:p>
    <w:p w14:paraId="12C08865" w14:textId="77777777" w:rsidR="00A907F0" w:rsidRDefault="00636860">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Hasta este punto, se tiene que el servidor público habilitado competente se pronunció sobre este requerimiento, toda vez que es la unidad administrativa a cargo de la prestación del servicio de alumbrado público y para despacho de los asuntos de su competencia, cuenta con un Área de Servicios de Alumbrado Público. </w:t>
      </w:r>
    </w:p>
    <w:p w14:paraId="7F3D474E" w14:textId="77777777" w:rsidR="00A907F0" w:rsidRDefault="00A907F0">
      <w:pPr>
        <w:spacing w:line="360" w:lineRule="auto"/>
        <w:ind w:right="51"/>
        <w:jc w:val="both"/>
        <w:rPr>
          <w:rFonts w:ascii="Palatino Linotype" w:eastAsia="Palatino Linotype" w:hAnsi="Palatino Linotype" w:cs="Palatino Linotype"/>
          <w:color w:val="000000"/>
        </w:rPr>
      </w:pPr>
    </w:p>
    <w:p w14:paraId="6CE57983" w14:textId="77777777" w:rsidR="00A907F0" w:rsidRDefault="00636860">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debemos recordar que en sus razones o motivos de inconformidad, el Recurrente expresó lo siguiente: “</w:t>
      </w:r>
      <w:r>
        <w:rPr>
          <w:rFonts w:ascii="Palatino Linotype" w:eastAsia="Palatino Linotype" w:hAnsi="Palatino Linotype" w:cs="Palatino Linotype"/>
          <w:i/>
          <w:color w:val="000000"/>
        </w:rPr>
        <w:t xml:space="preserve">Por otra parte, </w:t>
      </w:r>
      <w:r>
        <w:rPr>
          <w:rFonts w:ascii="Palatino Linotype" w:eastAsia="Palatino Linotype" w:hAnsi="Palatino Linotype" w:cs="Palatino Linotype"/>
          <w:b/>
          <w:i/>
          <w:color w:val="000000"/>
        </w:rPr>
        <w:t xml:space="preserve">dentro de su respuesta, menciona que el censo de luminarios del alumbrado público no fue realizado en el año 2019 debido a la pandemia de </w:t>
      </w:r>
      <w:proofErr w:type="spellStart"/>
      <w:r>
        <w:rPr>
          <w:rFonts w:ascii="Palatino Linotype" w:eastAsia="Palatino Linotype" w:hAnsi="Palatino Linotype" w:cs="Palatino Linotype"/>
          <w:b/>
          <w:i/>
          <w:color w:val="000000"/>
        </w:rPr>
        <w:t>Covid</w:t>
      </w:r>
      <w:proofErr w:type="spellEnd"/>
      <w:r>
        <w:rPr>
          <w:rFonts w:ascii="Palatino Linotype" w:eastAsia="Palatino Linotype" w:hAnsi="Palatino Linotype" w:cs="Palatino Linotype"/>
          <w:b/>
          <w:i/>
          <w:color w:val="000000"/>
        </w:rPr>
        <w:t xml:space="preserve"> 19</w:t>
      </w:r>
      <w:r>
        <w:rPr>
          <w:rFonts w:ascii="Palatino Linotype" w:eastAsia="Palatino Linotype" w:hAnsi="Palatino Linotype" w:cs="Palatino Linotype"/>
          <w:i/>
          <w:color w:val="000000"/>
        </w:rPr>
        <w:t xml:space="preserve">, a lo cual, me gustaría agregar que, por acuerdo de la Secretaría de Salud, las actividades no esenciales fueron suspendidas a partir del día 30 de marzo del año 2020 en el documento de nombre “ACUERDO por el que se establecen acciones extraordinarias para atender la emergencia sanitaria generada por el virus SARS-CoV2.” Que fue publicado en Diario Oficial de la Federación el día 31 de marzo de 2020; motivo por el cual, el censo de alumbrado público correspondiente al año 2019 no pudo verse afectado por la pandemia ocasionada por </w:t>
      </w:r>
      <w:proofErr w:type="spellStart"/>
      <w:r>
        <w:rPr>
          <w:rFonts w:ascii="Palatino Linotype" w:eastAsia="Palatino Linotype" w:hAnsi="Palatino Linotype" w:cs="Palatino Linotype"/>
          <w:i/>
          <w:color w:val="000000"/>
        </w:rPr>
        <w:t>Covid</w:t>
      </w:r>
      <w:proofErr w:type="spellEnd"/>
      <w:r>
        <w:rPr>
          <w:rFonts w:ascii="Palatino Linotype" w:eastAsia="Palatino Linotype" w:hAnsi="Palatino Linotype" w:cs="Palatino Linotype"/>
          <w:i/>
          <w:color w:val="000000"/>
        </w:rPr>
        <w:t xml:space="preserve"> 19.”</w:t>
      </w:r>
      <w:r>
        <w:rPr>
          <w:rFonts w:ascii="Palatino Linotype" w:eastAsia="Palatino Linotype" w:hAnsi="Palatino Linotype" w:cs="Palatino Linotype"/>
          <w:color w:val="000000"/>
        </w:rPr>
        <w:t xml:space="preserve">, de manera que como se apuntó </w:t>
      </w:r>
      <w:r>
        <w:rPr>
          <w:rFonts w:ascii="Palatino Linotype" w:eastAsia="Palatino Linotype" w:hAnsi="Palatino Linotype" w:cs="Palatino Linotype"/>
          <w:color w:val="000000"/>
        </w:rPr>
        <w:lastRenderedPageBreak/>
        <w:t>debidamente en líneas anteriores, únicamente se inconformó por la falta de entrega del censo de 2019.</w:t>
      </w:r>
    </w:p>
    <w:p w14:paraId="3A73924C" w14:textId="77777777" w:rsidR="00A907F0" w:rsidRDefault="00A907F0">
      <w:pPr>
        <w:ind w:right="900"/>
        <w:jc w:val="both"/>
        <w:rPr>
          <w:rFonts w:ascii="Palatino Linotype" w:eastAsia="Palatino Linotype" w:hAnsi="Palatino Linotype" w:cs="Palatino Linotype"/>
          <w:color w:val="000000"/>
          <w:sz w:val="22"/>
          <w:szCs w:val="22"/>
        </w:rPr>
      </w:pPr>
    </w:p>
    <w:p w14:paraId="7EC04340"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si bien,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pretende justificar la imposibilidad de entrega de información al señalar que: “</w:t>
      </w:r>
      <w:r>
        <w:rPr>
          <w:rFonts w:ascii="Palatino Linotype" w:eastAsia="Palatino Linotype" w:hAnsi="Palatino Linotype" w:cs="Palatino Linotype"/>
          <w:i/>
        </w:rPr>
        <w:t>LOS CENSOS DE ALUMBRADO PUBLICO DE LOS AÑOS 2019, 2020, NO SE EFECTUARON DEBIDO A LA PANDEMIA DEL COVID-19</w:t>
      </w:r>
      <w:r>
        <w:rPr>
          <w:rFonts w:ascii="Palatino Linotype" w:eastAsia="Palatino Linotype" w:hAnsi="Palatino Linotype" w:cs="Palatino Linotype"/>
        </w:rPr>
        <w:t>.”, lo cierto es que de la solicitud de información se advierte que el censo del año 2019, aconteció en fechas previas a que la Organización Mundial de la Salud declarara emergencia de salud pública ocasionada por el virus SARS-CoV-2, la cual se dio hasta el 30 de enero de 2020 y posteriormente se reconoció como una pandemia el 11 de marzo del mismo año, por lo que no se justifica la negativa de la información.</w:t>
      </w:r>
    </w:p>
    <w:p w14:paraId="30E0DFB1" w14:textId="77777777" w:rsidR="00A907F0" w:rsidRDefault="00A907F0">
      <w:pPr>
        <w:spacing w:line="360" w:lineRule="auto"/>
        <w:jc w:val="both"/>
        <w:rPr>
          <w:rFonts w:ascii="Palatino Linotype" w:eastAsia="Palatino Linotype" w:hAnsi="Palatino Linotype" w:cs="Palatino Linotype"/>
        </w:rPr>
      </w:pPr>
    </w:p>
    <w:p w14:paraId="3DF26371" w14:textId="77777777" w:rsidR="00A907F0" w:rsidRDefault="0063686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Circunstancia que en nuestro país se materializó con la publicación del Acuerdo por el que se establecen acciones extraordinarias para atender la emergencia sanitaria generada por el virus SARS-CoV2, publicado el 31 de marzo de 2020 en el Diario Oficial de la Federación. </w:t>
      </w:r>
    </w:p>
    <w:p w14:paraId="16DDAD3C" w14:textId="77777777" w:rsidR="00A907F0" w:rsidRDefault="00636860">
      <w:pPr>
        <w:ind w:left="567"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“CONSIDERANDO</w:t>
      </w:r>
    </w:p>
    <w:p w14:paraId="514B9FB4" w14:textId="77777777" w:rsidR="00A907F0" w:rsidRDefault="00636860">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Que mediante Decreto publicado el 27 de marzo de 2020 en el Diario Oficial de la Federación, el Titular del Poder Ejecutivo Federal, declaró diversas acciones extraordinarias en las regiones afectadas de todo el territorio nacional en materia de salubridad general, para combatir la enfermedad grave de atención prioritaria generada por el virus SARS-CoV2 (COVID-19);</w:t>
      </w:r>
    </w:p>
    <w:p w14:paraId="5D3A8C1D"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dentro de las acciones extraordinarias señaladas se contempló la necesidad de que, además de las señaladas expresamente en el citado Decreto, la Secretaría de Salud, implemente las demás que se estime necesarias;</w:t>
      </w:r>
    </w:p>
    <w:p w14:paraId="2A1E1891" w14:textId="77777777" w:rsidR="00A907F0" w:rsidRDefault="00636860">
      <w:pPr>
        <w:ind w:left="567" w:right="900"/>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el mismo sentido, el citado Decreto estableció que las dependencias y entidades de la Administración Pública Federal deberán coordinarse para brindar los apoyos que sean requeridos por la Secretaría de Salud para la instrumentación de las medidas de mitigación y control de la citada enfermedad en nuestro país;</w:t>
      </w:r>
    </w:p>
    <w:p w14:paraId="5FA138F5"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Que el 30 de marzo de 2020, el Consejo de Salubridad General publicó en el Diario Oficial de la Federación el Acuerdo por el que se declara como emergencia sanitaria por causa de fuerza mayor, a la epidemia de enfermedad generada por el virus SARS-CoV2 (COVID-19), señalando que la Secretaría de Salud determinaría todas las acciones que resulten necesarias para atender dicha emergencia;</w:t>
      </w:r>
    </w:p>
    <w:p w14:paraId="4712F761"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a efecto de fortalecer la coordinación y garantizar la acción inmediata del Gobierno Federal, se estima necesario incluir temporalmente dentro de la integración del Consejo de Salubridad General, a las instituciones públicas cuyo ámbito de competencia tiene relación con las acciones necesarias para enfrentar la enfermedad generada por el SARS-CoV2 (COVID-19), y</w:t>
      </w:r>
    </w:p>
    <w:p w14:paraId="3DA91F0D"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no obstante que el Gobierno de México ha implementado una serie de acciones dirigidas a mitigar y controlar la enfermedad por el virus SARS-CoV2 (COVID-19), resulta necesario dictar medidas extraordinarias para atender la emergencia sanitaria por causa de fuerza mayor generada por el mencionado virus, he tenido a bien expedir el siguiente</w:t>
      </w:r>
    </w:p>
    <w:p w14:paraId="1C191542" w14:textId="77777777" w:rsidR="00A907F0" w:rsidRDefault="00636860">
      <w:pPr>
        <w:ind w:left="567"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ACUERDO</w:t>
      </w:r>
    </w:p>
    <w:p w14:paraId="09514F29" w14:textId="77777777" w:rsidR="00A907F0" w:rsidRDefault="00636860">
      <w:pPr>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 xml:space="preserve">ARTÍCULO </w:t>
      </w:r>
      <w:proofErr w:type="gramStart"/>
      <w:r>
        <w:rPr>
          <w:rFonts w:ascii="Palatino Linotype" w:eastAsia="Palatino Linotype" w:hAnsi="Palatino Linotype" w:cs="Palatino Linotype"/>
          <w:b/>
          <w:i/>
          <w:sz w:val="22"/>
          <w:szCs w:val="22"/>
        </w:rPr>
        <w:t>PRIMERO.-</w:t>
      </w:r>
      <w:proofErr w:type="gramEnd"/>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u w:val="single"/>
        </w:rPr>
        <w:t>Se establece como acción extraordinaria, para atender la emergencia sanitaria generada por el virus SARS-CoV2, que los sectores público, social y privado deberán implementar las siguientes medidas:</w:t>
      </w:r>
    </w:p>
    <w:p w14:paraId="0F5684A1" w14:textId="77777777" w:rsidR="00A907F0" w:rsidRDefault="00636860">
      <w:pPr>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u w:val="single"/>
        </w:rPr>
        <w:t>Se ordena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 nacional;</w:t>
      </w:r>
    </w:p>
    <w:p w14:paraId="052AD8D4"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Solamente podrán continuar en funcionamiento las siguientes actividades, consideradas esenciales:</w:t>
      </w:r>
    </w:p>
    <w:p w14:paraId="57CCE34E"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Las que son directamente necesarias para atender la emergencia sanitaria, como son las actividades laborales de la rama médica, paramédica, administrativa y de apoyo en todo el Sistema Nacional de Salud. También los que participan en su abasto, servicios y proveeduría, entre las que destacan el sector farmacéutico, tanto en su producción como en su distribución (farmacias); la manufactura de insumos, equipamiento médico y tecnologías para la atención de la salud; los involucrados en la disposición adecuada de los residuos peligrosos biológicos-infecciosos (RPBI), así como la limpieza y sanitización de las unidades médicas en los diferentes niveles de atención;</w:t>
      </w:r>
    </w:p>
    <w:p w14:paraId="6A38FA34"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Las involucradas en la seguridad pública y la protección ciudadana; en la defensa de la integridad y la soberanía nacionales; la procuración e impartición de justicia; así como la actividad legislativa en los niveles federal y estatal;</w:t>
      </w:r>
    </w:p>
    <w:p w14:paraId="26E3990C"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c)</w:t>
      </w:r>
      <w:r>
        <w:rPr>
          <w:rFonts w:ascii="Palatino Linotype" w:eastAsia="Palatino Linotype" w:hAnsi="Palatino Linotype" w:cs="Palatino Linotype"/>
          <w:i/>
          <w:sz w:val="22"/>
          <w:szCs w:val="22"/>
        </w:rPr>
        <w:t>    Las de los sectores fundamentales de la economía: financieros, el de recaudación tributaria, distribución y venta de energéticos, gasolineras y gas, generación y distribución de agua potable, industria de alimentos y bebidas no alcohólicas, mercados de alimentos,</w:t>
      </w:r>
    </w:p>
    <w:p w14:paraId="04733A61"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supermercados, tiendas de autoservicio, abarrotes y venta de alimentos preparados; servicios de transporte de pasajeros y de carga; producción agrícola, pesquera y pecuaria, agroindustria, industria química, productos de limpieza; ferreterías, servicios de mensajería, guardias en labores de seguridad privada; guarderías y estancias infantiles, asilos y estancias para personas adultas mayores, refugios y centros de atención a mujeres víctimas de violencia, sus hijas e hijos; telecomunicaciones y medios de información; servicios privados de emergencia, servicios funerarios y de inhumación, servicios de almacenamiento y cadena de frío de insumos esenciales; logística (aeropuertos, puertos y ferrocarriles), así como actividades cuya suspensión pueda tener efectos irreversibles para su continuación;</w:t>
      </w:r>
    </w:p>
    <w:p w14:paraId="5393469F"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Las relacionadas directamente con la operación de los programas sociales del gobierno, y</w:t>
      </w:r>
    </w:p>
    <w:p w14:paraId="5409221E"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Las necesarias para la conservación, mantenimiento y reparación de la infraestructura crítica que asegura la producción y distribución de servicios indispensables; a saber: agua potable, energía eléctrica, gas, petróleo, gasolina, turbosina, saneamiento básico, transporte público, infraestructura hospitalaria y médica, entre otros más que pudieran listarse en esta categoría;</w:t>
      </w:r>
    </w:p>
    <w:p w14:paraId="7D6EC95D"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En todos los lugares y recintos en los que se realizan las actividades definidas como esenciales, se deberán observar, de manera obligatoria, las siguientes prácticas:</w:t>
      </w:r>
    </w:p>
    <w:p w14:paraId="1E2FE747"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No se podrán realizar reuniones o congregaciones de más de 50 personas;</w:t>
      </w:r>
    </w:p>
    <w:p w14:paraId="2EC85740"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Las personas deberán lavarse las manos frecuentemente;</w:t>
      </w:r>
    </w:p>
    <w:p w14:paraId="56C7FE87"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Las personas deberán estornudar o toser aplicando la etiqueta respiratoria (cubriendo nariz y boca con un pañuelo desechable o con el antebrazo);</w:t>
      </w:r>
    </w:p>
    <w:p w14:paraId="517C576F"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No saludar de beso, de mano o abrazo (saludo a distancia), y</w:t>
      </w:r>
    </w:p>
    <w:p w14:paraId="2A3327B9"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Todas las demás medidas de sana distancia vigentes, emitidas por la Secretaría de Salud Federal;</w:t>
      </w:r>
    </w:p>
    <w:p w14:paraId="0787BB5A"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Se exhorta a toda la población residente en el territorio mexicano, incluida la que arribe al mismo procedente del extranjero y que no participa en actividades laborales esenciales, a cumplir resguardo domiciliario corresponsable del 30 de marzo al 30 de abril de 2020. </w:t>
      </w:r>
    </w:p>
    <w:p w14:paraId="7D2B28AF"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entiende como resguardo domiciliario corresponsable a la limitación voluntaria de movilidad, permaneciendo en el domicilio particular o sitio distinto al espacio público, el mayor tiempo posible;</w:t>
      </w:r>
    </w:p>
    <w:p w14:paraId="7BC4BC3A"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El resguardo domiciliario corresponsable se aplica de manera estricta a toda persona mayor de 60 años de edad, estado de embarazo o puerperio inmediato, o con </w:t>
      </w:r>
      <w:r>
        <w:rPr>
          <w:rFonts w:ascii="Palatino Linotype" w:eastAsia="Palatino Linotype" w:hAnsi="Palatino Linotype" w:cs="Palatino Linotype"/>
          <w:i/>
          <w:sz w:val="22"/>
          <w:szCs w:val="22"/>
        </w:rPr>
        <w:lastRenderedPageBreak/>
        <w:t>diagnóstico de hipertensión arterial, diabetes mellitus, enfermedad cardíaca o pulmonar crónicas, inmunosupresión (adquirida o provocada), insuficiencia renal o hepática, independientemente de si su actividad laboral se considera esencial. El personal esencial de interés público podrá, de manera voluntaria, presentarse a laborar;</w:t>
      </w:r>
    </w:p>
    <w:p w14:paraId="45760A9C"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Una vez terminado el periodo de vigencia de las medidas establecidas en el presente Acuerdo, la Secretaría de Salud, en coordinación con la Secretaría de Economía y la Secretaría del Trabajo y Previsión Social, emitirán los lineamientos para un regreso, ordenado, escalonado y regionalizado a las actividades laborales, económicas y sociales de toda la población en México;</w:t>
      </w:r>
    </w:p>
    <w:p w14:paraId="5C81E128" w14:textId="77777777" w:rsidR="00A907F0" w:rsidRDefault="00636860">
      <w:pPr>
        <w:ind w:left="567" w:right="900"/>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b/>
          <w:i/>
          <w:sz w:val="22"/>
          <w:szCs w:val="22"/>
        </w:rPr>
        <w:t>VII.</w:t>
      </w:r>
      <w:r>
        <w:rPr>
          <w:rFonts w:ascii="Palatino Linotype" w:eastAsia="Palatino Linotype" w:hAnsi="Palatino Linotype" w:cs="Palatino Linotype"/>
          <w:b/>
          <w:i/>
          <w:sz w:val="22"/>
          <w:szCs w:val="22"/>
          <w:u w:val="single"/>
        </w:rPr>
        <w:t>Se</w:t>
      </w:r>
      <w:proofErr w:type="spellEnd"/>
      <w:r>
        <w:rPr>
          <w:rFonts w:ascii="Palatino Linotype" w:eastAsia="Palatino Linotype" w:hAnsi="Palatino Linotype" w:cs="Palatino Linotype"/>
          <w:b/>
          <w:i/>
          <w:sz w:val="22"/>
          <w:szCs w:val="22"/>
          <w:u w:val="single"/>
        </w:rPr>
        <w:t xml:space="preserve"> deberán posponer, hasta nuevo aviso, todos los censos y encuestas a realizarse en el territorio nacional que involucren la movilización de personas y la interacción física (cara a cara) entre las mismas, y</w:t>
      </w:r>
    </w:p>
    <w:p w14:paraId="7DA7973D"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Todas las medidas establecidas en el presente Acuerdo deberán aplicarse con estricto respeto a los derechos humanos de todas las personas.”</w:t>
      </w:r>
    </w:p>
    <w:p w14:paraId="21620BF4" w14:textId="77777777" w:rsidR="00A907F0" w:rsidRDefault="00A907F0">
      <w:pPr>
        <w:ind w:left="567" w:right="900"/>
        <w:jc w:val="both"/>
        <w:rPr>
          <w:rFonts w:ascii="Palatino Linotype" w:eastAsia="Palatino Linotype" w:hAnsi="Palatino Linotype" w:cs="Palatino Linotype"/>
          <w:i/>
          <w:sz w:val="22"/>
          <w:szCs w:val="22"/>
        </w:rPr>
      </w:pPr>
    </w:p>
    <w:p w14:paraId="49714ECE" w14:textId="77777777" w:rsidR="00A907F0" w:rsidRDefault="0063686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AE91366" w14:textId="77777777" w:rsidR="00A907F0" w:rsidRDefault="00A907F0">
      <w:pPr>
        <w:jc w:val="both"/>
        <w:rPr>
          <w:rFonts w:ascii="Palatino Linotype" w:eastAsia="Palatino Linotype" w:hAnsi="Palatino Linotype" w:cs="Palatino Linotype"/>
          <w:i/>
          <w:sz w:val="22"/>
          <w:szCs w:val="22"/>
        </w:rPr>
      </w:pPr>
    </w:p>
    <w:p w14:paraId="7A99EC5E"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 improcedente la negativa a proporcionar el soporte documental consistente en el censo practicado en el año 2019, por lo que es dable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realice una búsqueda exhaustiva y razonable en sus archivos para efecto de localizar el censo del año 2019, si después de una búsqueda exhaustiva no se localiza la información solicitada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7E0DDAD0" w14:textId="77777777" w:rsidR="00A907F0" w:rsidRDefault="00A907F0">
      <w:pPr>
        <w:spacing w:line="360" w:lineRule="auto"/>
        <w:jc w:val="both"/>
        <w:rPr>
          <w:rFonts w:ascii="Palatino Linotype" w:eastAsia="Palatino Linotype" w:hAnsi="Palatino Linotype" w:cs="Palatino Linotype"/>
        </w:rPr>
      </w:pPr>
    </w:p>
    <w:p w14:paraId="749069C0"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w:t>
      </w:r>
      <w:proofErr w:type="gramStart"/>
      <w:r>
        <w:rPr>
          <w:rFonts w:ascii="Palatino Linotype" w:eastAsia="Palatino Linotype" w:hAnsi="Palatino Linotype" w:cs="Palatino Linotype"/>
        </w:rPr>
        <w:t>aquéllas</w:t>
      </w:r>
      <w:proofErr w:type="gramEnd"/>
      <w:r>
        <w:rPr>
          <w:rFonts w:ascii="Palatino Linotype" w:eastAsia="Palatino Linotype" w:hAnsi="Palatino Linotype" w:cs="Palatino Linotype"/>
        </w:rPr>
        <w:t xml:space="preserve"> circunstancias de modo, tiempo y lugar que se tomaron en cuenta para llegar a determinar que no obra en sus archivos la información requerida. De este modo, el particular puede tener la certeza de que se </w:t>
      </w:r>
      <w:r>
        <w:rPr>
          <w:rFonts w:ascii="Palatino Linotype" w:eastAsia="Palatino Linotype" w:hAnsi="Palatino Linotype" w:cs="Palatino Linotype"/>
        </w:rPr>
        <w:lastRenderedPageBreak/>
        <w:t>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a los artículos 47 y 49, fracciones II y III, de la Ley de Transparencia y Acceso a la Información Pública del Estado de México y Municipios:</w:t>
      </w:r>
    </w:p>
    <w:p w14:paraId="6335E542"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25A8EE38" w14:textId="77777777" w:rsidR="00A907F0" w:rsidRDefault="00A907F0">
      <w:pPr>
        <w:ind w:left="567" w:right="567"/>
        <w:jc w:val="both"/>
        <w:rPr>
          <w:rFonts w:ascii="Palatino Linotype" w:eastAsia="Palatino Linotype" w:hAnsi="Palatino Linotype" w:cs="Palatino Linotype"/>
          <w:i/>
          <w:sz w:val="22"/>
          <w:szCs w:val="22"/>
        </w:rPr>
      </w:pPr>
    </w:p>
    <w:p w14:paraId="5CC79AA1"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Pr>
          <w:rFonts w:ascii="Palatino Linotype" w:eastAsia="Palatino Linotype" w:hAnsi="Palatino Linotype" w:cs="Palatino Linotype"/>
          <w:i/>
          <w:sz w:val="22"/>
          <w:szCs w:val="22"/>
        </w:rPr>
        <w:t>voz</w:t>
      </w:r>
      <w:proofErr w:type="gramEnd"/>
      <w:r>
        <w:rPr>
          <w:rFonts w:ascii="Palatino Linotype" w:eastAsia="Palatino Linotype" w:hAnsi="Palatino Linotype" w:cs="Palatino Linotype"/>
          <w:i/>
          <w:sz w:val="22"/>
          <w:szCs w:val="22"/>
        </w:rPr>
        <w:t xml:space="preserve"> pero no voto.</w:t>
      </w:r>
    </w:p>
    <w:p w14:paraId="70840CD8" w14:textId="77777777" w:rsidR="00A907F0" w:rsidRDefault="00A907F0">
      <w:pPr>
        <w:ind w:left="567" w:right="567"/>
        <w:jc w:val="both"/>
        <w:rPr>
          <w:rFonts w:ascii="Palatino Linotype" w:eastAsia="Palatino Linotype" w:hAnsi="Palatino Linotype" w:cs="Palatino Linotype"/>
          <w:i/>
          <w:sz w:val="22"/>
          <w:szCs w:val="22"/>
        </w:rPr>
      </w:pPr>
    </w:p>
    <w:p w14:paraId="14EDAC10"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7CEEA35F" w14:textId="77777777" w:rsidR="00A907F0" w:rsidRDefault="00A907F0">
      <w:pPr>
        <w:ind w:left="567" w:right="567"/>
        <w:jc w:val="both"/>
        <w:rPr>
          <w:rFonts w:ascii="Palatino Linotype" w:eastAsia="Palatino Linotype" w:hAnsi="Palatino Linotype" w:cs="Palatino Linotype"/>
          <w:i/>
          <w:sz w:val="22"/>
          <w:szCs w:val="22"/>
        </w:rPr>
      </w:pPr>
    </w:p>
    <w:p w14:paraId="69FE713D"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14B2991" w14:textId="77777777" w:rsidR="00A907F0" w:rsidRDefault="00A907F0">
      <w:pPr>
        <w:ind w:left="567" w:right="567"/>
        <w:jc w:val="both"/>
        <w:rPr>
          <w:rFonts w:ascii="Palatino Linotype" w:eastAsia="Palatino Linotype" w:hAnsi="Palatino Linotype" w:cs="Palatino Linotype"/>
          <w:i/>
          <w:sz w:val="22"/>
          <w:szCs w:val="22"/>
        </w:rPr>
      </w:pPr>
    </w:p>
    <w:p w14:paraId="1B869BE9"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1617F344" w14:textId="77777777" w:rsidR="00A907F0" w:rsidRDefault="00A907F0">
      <w:pPr>
        <w:ind w:left="567" w:right="567"/>
        <w:jc w:val="both"/>
        <w:rPr>
          <w:rFonts w:ascii="Palatino Linotype" w:eastAsia="Palatino Linotype" w:hAnsi="Palatino Linotype" w:cs="Palatino Linotype"/>
          <w:i/>
          <w:sz w:val="22"/>
          <w:szCs w:val="22"/>
        </w:rPr>
      </w:pPr>
    </w:p>
    <w:p w14:paraId="2FDC4555"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305C8840" w14:textId="77777777" w:rsidR="00A907F0" w:rsidRDefault="00A907F0">
      <w:pPr>
        <w:ind w:left="567" w:right="567"/>
        <w:jc w:val="both"/>
        <w:rPr>
          <w:rFonts w:ascii="Palatino Linotype" w:eastAsia="Palatino Linotype" w:hAnsi="Palatino Linotype" w:cs="Palatino Linotype"/>
          <w:i/>
          <w:sz w:val="22"/>
          <w:szCs w:val="22"/>
        </w:rPr>
      </w:pPr>
    </w:p>
    <w:p w14:paraId="68E3C5D5"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14:paraId="05295A45"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78AD09"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Confirmar, modificar o revocar las determinaciones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14:paraId="1692ECF1"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9895A5" w14:textId="77777777" w:rsidR="00A907F0" w:rsidRDefault="0063686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01B1A859" w14:textId="77777777" w:rsidR="00A907F0" w:rsidRDefault="00A907F0">
      <w:pPr>
        <w:spacing w:line="360" w:lineRule="auto"/>
        <w:jc w:val="both"/>
        <w:rPr>
          <w:rFonts w:ascii="Palatino Linotype" w:eastAsia="Palatino Linotype" w:hAnsi="Palatino Linotype" w:cs="Palatino Linotype"/>
          <w:i/>
        </w:rPr>
      </w:pPr>
    </w:p>
    <w:p w14:paraId="179403CD"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24627C0F" w14:textId="77777777" w:rsidR="00A907F0" w:rsidRDefault="00A907F0">
      <w:pPr>
        <w:spacing w:line="360" w:lineRule="auto"/>
        <w:jc w:val="both"/>
        <w:rPr>
          <w:rFonts w:ascii="Palatino Linotype" w:eastAsia="Palatino Linotype" w:hAnsi="Palatino Linotype" w:cs="Palatino Linotype"/>
        </w:rPr>
      </w:pPr>
    </w:p>
    <w:p w14:paraId="713E18D9"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764C2F05" w14:textId="77777777" w:rsidR="00A907F0" w:rsidRDefault="00A907F0">
      <w:pPr>
        <w:ind w:left="567" w:right="567"/>
        <w:jc w:val="both"/>
        <w:rPr>
          <w:rFonts w:ascii="Palatino Linotype" w:eastAsia="Palatino Linotype" w:hAnsi="Palatino Linotype" w:cs="Palatino Linotype"/>
          <w:i/>
          <w:sz w:val="22"/>
          <w:szCs w:val="22"/>
        </w:rPr>
      </w:pPr>
    </w:p>
    <w:p w14:paraId="63B4CC20"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14:paraId="2A07C476" w14:textId="77777777" w:rsidR="00A907F0" w:rsidRDefault="00A907F0">
      <w:pPr>
        <w:ind w:left="567" w:right="567"/>
        <w:jc w:val="both"/>
        <w:rPr>
          <w:rFonts w:ascii="Palatino Linotype" w:eastAsia="Palatino Linotype" w:hAnsi="Palatino Linotype" w:cs="Palatino Linotype"/>
          <w:i/>
          <w:sz w:val="22"/>
          <w:szCs w:val="22"/>
        </w:rPr>
      </w:pPr>
    </w:p>
    <w:p w14:paraId="0708BEBC"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14:paraId="7589D9EE" w14:textId="77777777" w:rsidR="00A907F0" w:rsidRDefault="00A907F0">
      <w:pPr>
        <w:ind w:left="567" w:right="567"/>
        <w:jc w:val="both"/>
        <w:rPr>
          <w:rFonts w:ascii="Palatino Linotype" w:eastAsia="Palatino Linotype" w:hAnsi="Palatino Linotype" w:cs="Palatino Linotype"/>
          <w:i/>
          <w:sz w:val="22"/>
          <w:szCs w:val="22"/>
        </w:rPr>
      </w:pPr>
    </w:p>
    <w:p w14:paraId="447A8309"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B01C89D" w14:textId="77777777" w:rsidR="00A907F0" w:rsidRDefault="00A907F0">
      <w:pPr>
        <w:ind w:left="567" w:right="567"/>
        <w:jc w:val="both"/>
        <w:rPr>
          <w:rFonts w:ascii="Palatino Linotype" w:eastAsia="Palatino Linotype" w:hAnsi="Palatino Linotype" w:cs="Palatino Linotype"/>
          <w:i/>
          <w:sz w:val="22"/>
          <w:szCs w:val="22"/>
        </w:rPr>
      </w:pPr>
    </w:p>
    <w:p w14:paraId="7E79E86D"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14:paraId="25D6A30C" w14:textId="77777777" w:rsidR="00A907F0" w:rsidRDefault="00A907F0">
      <w:pPr>
        <w:ind w:left="567" w:right="567"/>
        <w:jc w:val="both"/>
        <w:rPr>
          <w:rFonts w:ascii="Palatino Linotype" w:eastAsia="Palatino Linotype" w:hAnsi="Palatino Linotype" w:cs="Palatino Linotype"/>
          <w:i/>
          <w:sz w:val="22"/>
          <w:szCs w:val="22"/>
        </w:rPr>
      </w:pPr>
    </w:p>
    <w:p w14:paraId="3639CA2B"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620DA00C" w14:textId="77777777" w:rsidR="00A907F0" w:rsidRDefault="00A907F0">
      <w:pPr>
        <w:ind w:left="567" w:right="567"/>
        <w:jc w:val="both"/>
        <w:rPr>
          <w:rFonts w:ascii="Palatino Linotype" w:eastAsia="Palatino Linotype" w:hAnsi="Palatino Linotype" w:cs="Palatino Linotype"/>
          <w:i/>
          <w:sz w:val="22"/>
          <w:szCs w:val="22"/>
        </w:rPr>
      </w:pPr>
    </w:p>
    <w:p w14:paraId="3FC1D0B0"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96FD219" w14:textId="77777777" w:rsidR="00A907F0" w:rsidRDefault="00A907F0">
      <w:pPr>
        <w:ind w:left="567" w:right="567"/>
        <w:jc w:val="both"/>
        <w:rPr>
          <w:rFonts w:ascii="Palatino Linotype" w:eastAsia="Palatino Linotype" w:hAnsi="Palatino Linotype" w:cs="Palatino Linotype"/>
          <w:i/>
          <w:sz w:val="22"/>
          <w:szCs w:val="22"/>
        </w:rPr>
      </w:pPr>
    </w:p>
    <w:p w14:paraId="21DBBA9D" w14:textId="77777777" w:rsidR="00A907F0" w:rsidRDefault="0063686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w:t>
      </w:r>
      <w:r>
        <w:rPr>
          <w:rFonts w:ascii="Palatino Linotype" w:eastAsia="Palatino Linotype" w:hAnsi="Palatino Linotype" w:cs="Palatino Linotype"/>
          <w:i/>
          <w:sz w:val="22"/>
          <w:szCs w:val="22"/>
        </w:rPr>
        <w:lastRenderedPageBreak/>
        <w:t xml:space="preserve">tener la certeza de que se utilizó un criterio de búsqueda exhaustivo, además de señalar las circunstancias de tiempo, modo y lugar que generaron la existencia en cuestión y señalará al servidor público responsable de contar con la misma. </w:t>
      </w:r>
    </w:p>
    <w:p w14:paraId="0592CEFD" w14:textId="77777777" w:rsidR="00A907F0" w:rsidRDefault="00A907F0">
      <w:pPr>
        <w:ind w:left="567" w:right="567"/>
        <w:jc w:val="both"/>
        <w:rPr>
          <w:rFonts w:ascii="Palatino Linotype" w:eastAsia="Palatino Linotype" w:hAnsi="Palatino Linotype" w:cs="Palatino Linotype"/>
        </w:rPr>
      </w:pPr>
    </w:p>
    <w:p w14:paraId="6C1B6AFE" w14:textId="77777777" w:rsidR="00A907F0" w:rsidRDefault="0063686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72E47D1E" w14:textId="77777777" w:rsidR="00A907F0" w:rsidRDefault="00A907F0">
      <w:pPr>
        <w:spacing w:line="360" w:lineRule="auto"/>
        <w:jc w:val="both"/>
        <w:rPr>
          <w:rFonts w:ascii="Palatino Linotype" w:eastAsia="Palatino Linotype" w:hAnsi="Palatino Linotype" w:cs="Palatino Linotype"/>
        </w:rPr>
      </w:pPr>
    </w:p>
    <w:p w14:paraId="42A0E900"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2177DA4" w14:textId="77777777" w:rsidR="00A907F0" w:rsidRDefault="00636860">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14:paraId="4A3BD1D9" w14:textId="77777777" w:rsidR="00A907F0" w:rsidRDefault="00636860">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14:paraId="73EE406E" w14:textId="77777777" w:rsidR="00A907F0" w:rsidRDefault="00636860">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162AAA8F" w14:textId="77777777" w:rsidR="00A907F0" w:rsidRDefault="00A907F0">
      <w:pPr>
        <w:pBdr>
          <w:top w:val="nil"/>
          <w:left w:val="nil"/>
          <w:bottom w:val="nil"/>
          <w:right w:val="nil"/>
          <w:between w:val="nil"/>
        </w:pBdr>
        <w:rPr>
          <w:color w:val="000000"/>
        </w:rPr>
      </w:pPr>
    </w:p>
    <w:p w14:paraId="7DDDE751" w14:textId="77777777" w:rsidR="00A907F0" w:rsidRDefault="00636860">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4500178B" w14:textId="77777777" w:rsidR="00A907F0" w:rsidRDefault="00636860">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14:paraId="2F9418EC" w14:textId="77777777" w:rsidR="00A907F0" w:rsidRDefault="00636860">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14:paraId="5F8CDF03" w14:textId="77777777" w:rsidR="00A907F0" w:rsidRDefault="00636860">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Los criterios de búsqueda utilizados, y </w:t>
      </w:r>
    </w:p>
    <w:p w14:paraId="3A5468A8" w14:textId="77777777" w:rsidR="00A907F0" w:rsidRDefault="00636860">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533FC474" w14:textId="77777777" w:rsidR="00636860" w:rsidRDefault="00636860">
      <w:pPr>
        <w:spacing w:line="360" w:lineRule="auto"/>
        <w:jc w:val="both"/>
        <w:rPr>
          <w:rFonts w:ascii="Palatino Linotype" w:eastAsia="Palatino Linotype" w:hAnsi="Palatino Linotype" w:cs="Palatino Linotype"/>
          <w:b/>
          <w:color w:val="000000"/>
        </w:rPr>
      </w:pPr>
    </w:p>
    <w:p w14:paraId="506084A9" w14:textId="77777777" w:rsidR="00A907F0" w:rsidRDefault="0063686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2. Convenio para la recaudación del Derecho de Alumbrado Público (DAP), entre la CFE y el Municipio, correspondiente a los años 2019, 2020 y 2021. </w:t>
      </w:r>
    </w:p>
    <w:p w14:paraId="21CE1E2A" w14:textId="77777777" w:rsidR="00A907F0" w:rsidRDefault="00A907F0">
      <w:pPr>
        <w:spacing w:line="360" w:lineRule="auto"/>
        <w:jc w:val="both"/>
        <w:rPr>
          <w:rFonts w:ascii="Palatino Linotype" w:eastAsia="Palatino Linotype" w:hAnsi="Palatino Linotype" w:cs="Palatino Linotype"/>
          <w:b/>
          <w:color w:val="000000"/>
        </w:rPr>
      </w:pPr>
    </w:p>
    <w:p w14:paraId="7B67F1C5"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este punto, el servidor público habilitado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 la Dirección de Servicios Públicos, remitió el soporte documental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 xml:space="preserve">“DAP 2018_1.PDF”, </w:t>
      </w:r>
      <w:r>
        <w:rPr>
          <w:rFonts w:ascii="Palatino Linotype" w:eastAsia="Palatino Linotype" w:hAnsi="Palatino Linotype" w:cs="Palatino Linotype"/>
          <w:color w:val="000000"/>
        </w:rPr>
        <w:t>señalando a su vez lo siguiente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“Pongo a su amable disposición el convenio para la recaudación del derecho de alumbrado público (</w:t>
      </w:r>
      <w:proofErr w:type="spellStart"/>
      <w:r>
        <w:rPr>
          <w:rFonts w:ascii="Palatino Linotype" w:eastAsia="Palatino Linotype" w:hAnsi="Palatino Linotype" w:cs="Palatino Linotype"/>
          <w:b/>
          <w:i/>
          <w:color w:val="000000"/>
        </w:rPr>
        <w:t>dap</w:t>
      </w:r>
      <w:proofErr w:type="spellEnd"/>
      <w:r>
        <w:rPr>
          <w:rFonts w:ascii="Palatino Linotype" w:eastAsia="Palatino Linotype" w:hAnsi="Palatino Linotype" w:cs="Palatino Linotype"/>
          <w:b/>
          <w:i/>
          <w:color w:val="000000"/>
        </w:rPr>
        <w:t xml:space="preserve">), entre la </w:t>
      </w:r>
      <w:proofErr w:type="spellStart"/>
      <w:r>
        <w:rPr>
          <w:rFonts w:ascii="Palatino Linotype" w:eastAsia="Palatino Linotype" w:hAnsi="Palatino Linotype" w:cs="Palatino Linotype"/>
          <w:b/>
          <w:i/>
          <w:color w:val="000000"/>
        </w:rPr>
        <w:t>cfe</w:t>
      </w:r>
      <w:proofErr w:type="spellEnd"/>
      <w:r>
        <w:rPr>
          <w:rFonts w:ascii="Palatino Linotype" w:eastAsia="Palatino Linotype" w:hAnsi="Palatino Linotype" w:cs="Palatino Linotype"/>
          <w:b/>
          <w:i/>
          <w:color w:val="000000"/>
        </w:rPr>
        <w:t xml:space="preserve"> y el municipio, correspondiente al año 2018, ya que es el único convenio que su servidor tiene en sus archivos. Y el de los demás años se encuentran bajo el cargo de la tesorería municipal” (Sic), </w:t>
      </w:r>
      <w:r>
        <w:rPr>
          <w:rFonts w:ascii="Palatino Linotype" w:eastAsia="Palatino Linotype" w:hAnsi="Palatino Linotype" w:cs="Palatino Linotype"/>
          <w:color w:val="000000"/>
        </w:rPr>
        <w:t>posteriormente en informe justificado, mediante el archivo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“Solic_00163_RR_06059_2021.pdf”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la </w:t>
      </w:r>
      <w:proofErr w:type="gramStart"/>
      <w:r>
        <w:rPr>
          <w:rFonts w:ascii="Palatino Linotype" w:eastAsia="Palatino Linotype" w:hAnsi="Palatino Linotype" w:cs="Palatino Linotype"/>
          <w:color w:val="000000"/>
        </w:rPr>
        <w:t>Directora</w:t>
      </w:r>
      <w:proofErr w:type="gramEnd"/>
      <w:r>
        <w:rPr>
          <w:rFonts w:ascii="Palatino Linotype" w:eastAsia="Palatino Linotype" w:hAnsi="Palatino Linotype" w:cs="Palatino Linotype"/>
          <w:color w:val="000000"/>
        </w:rPr>
        <w:t xml:space="preserve"> de las Unidades de Información, Planeación y Evaluación, Transparencia y Gobierno Digital manifiesta que el convenio de 2018 sigue vigente a la actualidad. </w:t>
      </w:r>
    </w:p>
    <w:p w14:paraId="5DB2FB77" w14:textId="77777777" w:rsidR="00A907F0" w:rsidRDefault="00A907F0">
      <w:pPr>
        <w:spacing w:line="360" w:lineRule="auto"/>
        <w:jc w:val="both"/>
        <w:rPr>
          <w:rFonts w:ascii="Palatino Linotype" w:eastAsia="Palatino Linotype" w:hAnsi="Palatino Linotype" w:cs="Palatino Linotype"/>
          <w:color w:val="000000"/>
        </w:rPr>
      </w:pPr>
    </w:p>
    <w:p w14:paraId="3665E976"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se inconformó por la falta de entrega de información por cuanto hace a los convenios 2019, 2020 y 2021, si bien es cierto, que la Titular de la Unidad de Transparencia bajo el cargo de Directora de las Unidades de Información, Planeación y Evaluación, Transparencia y Gobierno Digital, manifestó que el convenio de 2018 es el que continua vigente,  no menos cierto es que no es la unidad administrativa competente para pronunciarse sobre el punto, por lo tanto no se cumplió con lo previsto por el artículo 162 de la Ley de Transparencia del Estado de </w:t>
      </w:r>
      <w:r>
        <w:rPr>
          <w:rFonts w:ascii="Palatino Linotype" w:eastAsia="Palatino Linotype" w:hAnsi="Palatino Linotype" w:cs="Palatino Linotype"/>
          <w:color w:val="000000"/>
        </w:rPr>
        <w:lastRenderedPageBreak/>
        <w:t xml:space="preserve">México y Municipios que mandata turnar la solicitud a las unidades competentes para emitir un pronunciamiento al respecto, como en el presente caso pudieran ser la </w:t>
      </w:r>
      <w:r>
        <w:rPr>
          <w:rFonts w:ascii="Palatino Linotype" w:eastAsia="Palatino Linotype" w:hAnsi="Palatino Linotype" w:cs="Palatino Linotype"/>
          <w:b/>
          <w:color w:val="000000"/>
        </w:rPr>
        <w:t>Presidencia Municipal, Secretaría del Ayuntamiento y Tesorería Municipal,</w:t>
      </w:r>
      <w:r>
        <w:rPr>
          <w:rFonts w:ascii="Palatino Linotype" w:eastAsia="Palatino Linotype" w:hAnsi="Palatino Linotype" w:cs="Palatino Linotype"/>
          <w:color w:val="000000"/>
        </w:rPr>
        <w:t xml:space="preserve"> ello encuentra sustento en los siguientes preceptos legales: </w:t>
      </w:r>
    </w:p>
    <w:p w14:paraId="7EBA168D" w14:textId="77777777" w:rsidR="00A907F0" w:rsidRDefault="00636860">
      <w:p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De </w:t>
      </w:r>
      <w:r>
        <w:rPr>
          <w:rFonts w:ascii="Palatino Linotype" w:eastAsia="Palatino Linotype" w:hAnsi="Palatino Linotype" w:cs="Palatino Linotype"/>
        </w:rPr>
        <w:t xml:space="preserve">conformidad con el artículo 128, fracciones II y V de la Constitución Política del Estado Libre y Soberano de México, la Presidencia Municipal, es la figura que ejerce la representación jurídica del municipio: </w:t>
      </w:r>
    </w:p>
    <w:p w14:paraId="44001263" w14:textId="77777777" w:rsidR="00A907F0" w:rsidRDefault="00636860">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128.- </w:t>
      </w:r>
      <w:r>
        <w:rPr>
          <w:rFonts w:ascii="Palatino Linotype" w:eastAsia="Palatino Linotype" w:hAnsi="Palatino Linotype" w:cs="Palatino Linotype"/>
          <w:i/>
          <w:sz w:val="22"/>
          <w:szCs w:val="22"/>
        </w:rPr>
        <w:t>Son atribuciones de las presidentas o presidentes municipales:</w:t>
      </w:r>
    </w:p>
    <w:p w14:paraId="51CE40D9" w14:textId="77777777" w:rsidR="00A907F0" w:rsidRDefault="00636860">
      <w:pPr>
        <w:spacing w:before="240" w:after="240"/>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09A9959" w14:textId="77777777" w:rsidR="00A907F0" w:rsidRDefault="00636860">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Ejecutar las decisiones de los ayuntamientos e informar de su cumplimiento;</w:t>
      </w:r>
    </w:p>
    <w:p w14:paraId="75F9E756"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F2CBFC3" w14:textId="77777777" w:rsidR="00A907F0" w:rsidRDefault="00636860">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Asumir la representación jurídica del Municipio, conforme a la ley respectiva;</w:t>
      </w:r>
    </w:p>
    <w:p w14:paraId="42C55682" w14:textId="77777777" w:rsidR="00A907F0" w:rsidRDefault="00636860">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(Sic) (Énfasis añadido)</w:t>
      </w:r>
    </w:p>
    <w:p w14:paraId="27949BAF"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legal, la Ley Orgánica Municipal regula las atribuciones de los presidentes municipales, mismas que se describen a continuación para robustecer el presente estudio: </w:t>
      </w:r>
    </w:p>
    <w:p w14:paraId="0B2555FB" w14:textId="77777777" w:rsidR="00A907F0" w:rsidRDefault="00636860">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“CAPITULO PRIMERO </w:t>
      </w:r>
    </w:p>
    <w:p w14:paraId="326023A6" w14:textId="77777777" w:rsidR="00A907F0" w:rsidRDefault="00636860">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LOS PRESIDENTES MUNICIPALES</w:t>
      </w:r>
    </w:p>
    <w:p w14:paraId="2D446A40"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48.-</w:t>
      </w:r>
      <w:r>
        <w:rPr>
          <w:rFonts w:ascii="Palatino Linotype" w:eastAsia="Palatino Linotype" w:hAnsi="Palatino Linotype" w:cs="Palatino Linotype"/>
          <w:i/>
          <w:sz w:val="22"/>
          <w:szCs w:val="22"/>
        </w:rPr>
        <w:t xml:space="preserve"> El presidente municipal tiene las siguientes atribuciones:</w:t>
      </w:r>
    </w:p>
    <w:p w14:paraId="34ACF603"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Presidir y dirigir las sesiones del ayuntamiento;</w:t>
      </w:r>
    </w:p>
    <w:p w14:paraId="6A66A5FB" w14:textId="77777777" w:rsidR="00A907F0" w:rsidRDefault="00636860">
      <w:pPr>
        <w:spacing w:before="240" w:after="240"/>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 Ejecutar los acuerdos del ayuntamiento e informar su cumplimiento;</w:t>
      </w:r>
    </w:p>
    <w:p w14:paraId="7EFA86AA" w14:textId="77777777" w:rsidR="00A907F0" w:rsidRDefault="00636860">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w:t>
      </w:r>
    </w:p>
    <w:p w14:paraId="6C0D2AF4"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b/>
          <w:i/>
          <w:sz w:val="22"/>
          <w:szCs w:val="22"/>
          <w:u w:val="single"/>
        </w:rPr>
        <w:t xml:space="preserve">Asumir la representación jurídica del Municipio y del ayuntamiento, así como de las dependencias de la Administración Pública Municipal, </w:t>
      </w:r>
      <w:r>
        <w:rPr>
          <w:rFonts w:ascii="Palatino Linotype" w:eastAsia="Palatino Linotype" w:hAnsi="Palatino Linotype" w:cs="Palatino Linotype"/>
          <w:i/>
          <w:sz w:val="22"/>
          <w:szCs w:val="22"/>
        </w:rPr>
        <w:t>en los litigios en que este sea parte.”</w:t>
      </w:r>
    </w:p>
    <w:p w14:paraId="5035D4F1"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C36F698"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del </w:t>
      </w:r>
      <w:proofErr w:type="gramStart"/>
      <w:r>
        <w:rPr>
          <w:rFonts w:ascii="Palatino Linotype" w:eastAsia="Palatino Linotype" w:hAnsi="Palatino Linotype" w:cs="Palatino Linotype"/>
          <w:color w:val="000000"/>
        </w:rPr>
        <w:t>Secretario</w:t>
      </w:r>
      <w:proofErr w:type="gramEnd"/>
      <w:r>
        <w:rPr>
          <w:rFonts w:ascii="Palatino Linotype" w:eastAsia="Palatino Linotype" w:hAnsi="Palatino Linotype" w:cs="Palatino Linotype"/>
          <w:color w:val="000000"/>
        </w:rPr>
        <w:t xml:space="preserve"> del Ayuntamiento, la Ley Orgánica Municipal regula lo siguiente: </w:t>
      </w:r>
    </w:p>
    <w:p w14:paraId="239F0547"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91.- La Secretaría del Ayuntamiento estará a cargo de un </w:t>
      </w:r>
      <w:proofErr w:type="gramStart"/>
      <w:r>
        <w:rPr>
          <w:rFonts w:ascii="Palatino Linotype" w:eastAsia="Palatino Linotype" w:hAnsi="Palatino Linotype" w:cs="Palatino Linotype"/>
          <w:i/>
          <w:color w:val="000000"/>
          <w:sz w:val="22"/>
          <w:szCs w:val="22"/>
        </w:rPr>
        <w:t>Secretario</w:t>
      </w:r>
      <w:proofErr w:type="gramEnd"/>
      <w:r>
        <w:rPr>
          <w:rFonts w:ascii="Palatino Linotype" w:eastAsia="Palatino Linotype" w:hAnsi="Palatino Linotype" w:cs="Palatino Linotype"/>
          <w:i/>
          <w:color w:val="000000"/>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69A4964"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7FE3794"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 Tener a su cargo el archivo general del ayuntamiento;</w:t>
      </w:r>
    </w:p>
    <w:p w14:paraId="3EA6EFB9"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5476693"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Adicionalmente debe recordarse que el </w:t>
      </w:r>
      <w:proofErr w:type="gramStart"/>
      <w:r>
        <w:rPr>
          <w:rFonts w:ascii="Palatino Linotype" w:eastAsia="Palatino Linotype" w:hAnsi="Palatino Linotype" w:cs="Palatino Linotype"/>
          <w:color w:val="000000"/>
        </w:rPr>
        <w:t>Director</w:t>
      </w:r>
      <w:proofErr w:type="gramEnd"/>
      <w:r>
        <w:rPr>
          <w:rFonts w:ascii="Palatino Linotype" w:eastAsia="Palatino Linotype" w:hAnsi="Palatino Linotype" w:cs="Palatino Linotype"/>
          <w:color w:val="000000"/>
        </w:rPr>
        <w:t xml:space="preserve"> de Servicios Públicos manifestó en su respuesta que la Tesorería Municipal contaba con los convenios 2019, 2020 y 2021, por lo que resulta pertinente turnarle la solicitud para que efectué una búsqueda exhaustiva y razonable, asimismo conviene traer a colación sus funciones a desempeñar: </w:t>
      </w:r>
    </w:p>
    <w:p w14:paraId="3F36CB20" w14:textId="77777777" w:rsidR="00636860" w:rsidRDefault="00636860">
      <w:pPr>
        <w:spacing w:line="360" w:lineRule="auto"/>
        <w:jc w:val="both"/>
        <w:rPr>
          <w:rFonts w:ascii="Palatino Linotype" w:eastAsia="Palatino Linotype" w:hAnsi="Palatino Linotype" w:cs="Palatino Linotype"/>
          <w:color w:val="000000"/>
        </w:rPr>
      </w:pPr>
    </w:p>
    <w:p w14:paraId="341B6D88" w14:textId="77777777" w:rsidR="00A907F0" w:rsidRDefault="00636860">
      <w:pP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104.- </w:t>
      </w:r>
      <w:r>
        <w:rPr>
          <w:rFonts w:ascii="Palatino Linotype" w:eastAsia="Palatino Linotype" w:hAnsi="Palatino Linotype" w:cs="Palatino Linotype"/>
          <w:b/>
          <w:i/>
          <w:color w:val="000000"/>
          <w:sz w:val="22"/>
          <w:szCs w:val="22"/>
        </w:rPr>
        <w:t xml:space="preserve">La Tesorería Municipal es la dependencia encargada de administrar las finanzas y la hacienda pública municipal, </w:t>
      </w:r>
      <w:r>
        <w:rPr>
          <w:rFonts w:ascii="Palatino Linotype" w:eastAsia="Palatino Linotype" w:hAnsi="Palatino Linotype" w:cs="Palatino Linotype"/>
          <w:i/>
          <w:color w:val="000000"/>
          <w:sz w:val="22"/>
          <w:szCs w:val="22"/>
        </w:rPr>
        <w:t xml:space="preserve">recaudar los ingresos y </w:t>
      </w:r>
      <w:r>
        <w:rPr>
          <w:rFonts w:ascii="Palatino Linotype" w:eastAsia="Palatino Linotype" w:hAnsi="Palatino Linotype" w:cs="Palatino Linotype"/>
          <w:b/>
          <w:i/>
          <w:color w:val="000000"/>
          <w:sz w:val="22"/>
          <w:szCs w:val="22"/>
        </w:rPr>
        <w:t xml:space="preserve">realizar las erogaciones que efectúe la Administración Pública Municipal en los términos de las leyes y reglamentos de la materia, con las atribuciones que le confiere la legislación aplicable. </w:t>
      </w:r>
    </w:p>
    <w:p w14:paraId="1B45CB42" w14:textId="77777777" w:rsidR="00A907F0" w:rsidRDefault="00636860">
      <w:pP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105.- A la Tesorería Municipal por conducto de su titular, a quien se le denominará Tesorero Municipal, le corresponde además de las atribuciones que expresamente señalan la Constitución Política del Estado Libre y Soberano de México, la Ley Orgánica Municipal del Estado de México, el Código Financiero del Estado de México y Municipios, el Código Administrativo del Estado de México, el presente Bando municipal el Reglamento Orgánico de la Administración Pública </w:t>
      </w:r>
      <w:r>
        <w:rPr>
          <w:rFonts w:ascii="Palatino Linotype" w:eastAsia="Palatino Linotype" w:hAnsi="Palatino Linotype" w:cs="Palatino Linotype"/>
          <w:i/>
          <w:color w:val="000000"/>
          <w:sz w:val="22"/>
          <w:szCs w:val="22"/>
        </w:rPr>
        <w:lastRenderedPageBreak/>
        <w:t xml:space="preserve">Municipal y demás normas legales, administrativas y reglamentarias, deberá encargarse del despacho de los siguientes asuntos: </w:t>
      </w:r>
    </w:p>
    <w:p w14:paraId="5F935613" w14:textId="77777777" w:rsidR="00A907F0" w:rsidRDefault="00636860">
      <w:pPr>
        <w:numPr>
          <w:ilvl w:val="0"/>
          <w:numId w:val="7"/>
        </w:numPr>
        <w:pBdr>
          <w:top w:val="nil"/>
          <w:left w:val="nil"/>
          <w:bottom w:val="nil"/>
          <w:right w:val="nil"/>
          <w:between w:val="nil"/>
        </w:pBdr>
        <w:ind w:left="567" w:right="90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Formular y presentar al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Municipal y Cabildo Municipal los proyectos de presupuestos de ingresos y egresos; </w:t>
      </w:r>
    </w:p>
    <w:p w14:paraId="325A1276" w14:textId="77777777" w:rsidR="00A907F0" w:rsidRDefault="00636860">
      <w:pPr>
        <w:numPr>
          <w:ilvl w:val="0"/>
          <w:numId w:val="7"/>
        </w:numPr>
        <w:pBdr>
          <w:top w:val="nil"/>
          <w:left w:val="nil"/>
          <w:bottom w:val="nil"/>
          <w:right w:val="nil"/>
          <w:between w:val="nil"/>
        </w:pBdr>
        <w:ind w:left="567" w:right="902"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Llevar el registro y control de la deuda pública directa y contingente del Municipio; </w:t>
      </w:r>
    </w:p>
    <w:p w14:paraId="44830080" w14:textId="77777777" w:rsidR="00A907F0" w:rsidRDefault="00636860">
      <w:pPr>
        <w:numPr>
          <w:ilvl w:val="0"/>
          <w:numId w:val="7"/>
        </w:numPr>
        <w:pBdr>
          <w:top w:val="nil"/>
          <w:left w:val="nil"/>
          <w:bottom w:val="nil"/>
          <w:right w:val="nil"/>
          <w:between w:val="nil"/>
        </w:pBdr>
        <w:ind w:left="567" w:right="902"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Ejercer la facultad económico-coactiva conforme a las leyes correspondientes; </w:t>
      </w:r>
    </w:p>
    <w:p w14:paraId="70B6FAD9" w14:textId="77777777" w:rsidR="00A907F0" w:rsidRDefault="00636860">
      <w:pPr>
        <w:numPr>
          <w:ilvl w:val="0"/>
          <w:numId w:val="7"/>
        </w:numPr>
        <w:pBdr>
          <w:top w:val="nil"/>
          <w:left w:val="nil"/>
          <w:bottom w:val="nil"/>
          <w:right w:val="nil"/>
          <w:between w:val="nil"/>
        </w:pBdr>
        <w:ind w:left="567" w:right="902"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Efectuar los pagos conforme a los programas y presupuestos aprobados; </w:t>
      </w:r>
    </w:p>
    <w:p w14:paraId="36C25A8F" w14:textId="77777777" w:rsidR="00A907F0" w:rsidRDefault="00636860">
      <w:pPr>
        <w:numPr>
          <w:ilvl w:val="0"/>
          <w:numId w:val="7"/>
        </w:numPr>
        <w:pBdr>
          <w:top w:val="nil"/>
          <w:left w:val="nil"/>
          <w:bottom w:val="nil"/>
          <w:right w:val="nil"/>
          <w:between w:val="nil"/>
        </w:pBdr>
        <w:ind w:left="567" w:right="902"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Formular y presentar al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Municipal al Síndico Municipal y Secretario del Ayuntamiento los informes mensuales y la integración de la Cuenta pública Anual del H. Ayuntamiento; </w:t>
      </w:r>
    </w:p>
    <w:p w14:paraId="5918E003" w14:textId="77777777" w:rsidR="00A907F0" w:rsidRDefault="00636860">
      <w:pPr>
        <w:numPr>
          <w:ilvl w:val="0"/>
          <w:numId w:val="7"/>
        </w:numPr>
        <w:pBdr>
          <w:top w:val="nil"/>
          <w:left w:val="nil"/>
          <w:bottom w:val="nil"/>
          <w:right w:val="nil"/>
          <w:between w:val="nil"/>
        </w:pBdr>
        <w:ind w:left="567" w:right="902"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Cuidar que los empleados que manejen fondos del municipio, otorguen fianzas suficientes para garantizar su manejo; </w:t>
      </w:r>
    </w:p>
    <w:p w14:paraId="2A56B88B" w14:textId="77777777" w:rsidR="00A907F0" w:rsidRDefault="00636860">
      <w:pPr>
        <w:numPr>
          <w:ilvl w:val="0"/>
          <w:numId w:val="7"/>
        </w:numPr>
        <w:pBdr>
          <w:top w:val="nil"/>
          <w:left w:val="nil"/>
          <w:bottom w:val="nil"/>
          <w:right w:val="nil"/>
          <w:between w:val="nil"/>
        </w:pBdr>
        <w:ind w:left="567" w:right="902"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Presentar mensual y anualmente al Órgano Superior de Fiscalización del Estado de México, los estados financieros, presupuesto de </w:t>
      </w:r>
      <w:proofErr w:type="gramStart"/>
      <w:r>
        <w:rPr>
          <w:rFonts w:ascii="Palatino Linotype" w:eastAsia="Palatino Linotype" w:hAnsi="Palatino Linotype" w:cs="Palatino Linotype"/>
          <w:i/>
          <w:color w:val="000000"/>
          <w:sz w:val="22"/>
          <w:szCs w:val="22"/>
        </w:rPr>
        <w:t>ingresos</w:t>
      </w:r>
      <w:proofErr w:type="gramEnd"/>
      <w:r>
        <w:rPr>
          <w:rFonts w:ascii="Palatino Linotype" w:eastAsia="Palatino Linotype" w:hAnsi="Palatino Linotype" w:cs="Palatino Linotype"/>
          <w:i/>
          <w:color w:val="000000"/>
          <w:sz w:val="22"/>
          <w:szCs w:val="22"/>
        </w:rPr>
        <w:t xml:space="preserve"> así como la cuenta pública la cuenta pública, según corresponda; </w:t>
      </w:r>
    </w:p>
    <w:p w14:paraId="5BF28416" w14:textId="77777777" w:rsidR="00A907F0" w:rsidRDefault="00636860">
      <w:pPr>
        <w:numPr>
          <w:ilvl w:val="0"/>
          <w:numId w:val="7"/>
        </w:numPr>
        <w:pBdr>
          <w:top w:val="nil"/>
          <w:left w:val="nil"/>
          <w:bottom w:val="nil"/>
          <w:right w:val="nil"/>
          <w:between w:val="nil"/>
        </w:pBdr>
        <w:ind w:left="567" w:right="902"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Resguardar las formas numeradas y valoradas de la recaudación de los ingresos de la hacienda pública municipal;</w:t>
      </w:r>
    </w:p>
    <w:p w14:paraId="01C226CC" w14:textId="77777777" w:rsidR="00A907F0" w:rsidRDefault="00636860">
      <w:pPr>
        <w:pBdr>
          <w:top w:val="nil"/>
          <w:left w:val="nil"/>
          <w:bottom w:val="nil"/>
          <w:right w:val="nil"/>
          <w:between w:val="nil"/>
        </w:pBd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0571BAE" w14:textId="77777777" w:rsidR="00A907F0" w:rsidRDefault="00636860">
      <w:pPr>
        <w:pBdr>
          <w:top w:val="nil"/>
          <w:left w:val="nil"/>
          <w:bottom w:val="nil"/>
          <w:right w:val="nil"/>
          <w:between w:val="nil"/>
        </w:pBd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78CDA532" w14:textId="77777777" w:rsidR="00A907F0" w:rsidRDefault="00A907F0">
      <w:pPr>
        <w:spacing w:line="360" w:lineRule="auto"/>
        <w:jc w:val="both"/>
        <w:rPr>
          <w:rFonts w:ascii="Palatino Linotype" w:eastAsia="Palatino Linotype" w:hAnsi="Palatino Linotype" w:cs="Palatino Linotype"/>
        </w:rPr>
      </w:pPr>
    </w:p>
    <w:p w14:paraId="04476ED9" w14:textId="77777777" w:rsidR="00DE205E" w:rsidRDefault="00DE205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robustece con lo referido en la cláusula Decima Octava del convenio remitido en respuesta, la cual señala que el convenio tiene vigencia anual y acordando su renovación los primeros días hábiles de enero de cada año:   </w:t>
      </w:r>
    </w:p>
    <w:p w14:paraId="43741BBA" w14:textId="77777777" w:rsidR="00DE205E" w:rsidRDefault="00DE205E">
      <w:pPr>
        <w:spacing w:line="360" w:lineRule="auto"/>
        <w:jc w:val="both"/>
        <w:rPr>
          <w:rFonts w:ascii="Palatino Linotype" w:eastAsia="Palatino Linotype" w:hAnsi="Palatino Linotype" w:cs="Palatino Linotype"/>
        </w:rPr>
      </w:pPr>
      <w:r>
        <w:rPr>
          <w:noProof/>
          <w:lang w:val="es-MX" w:eastAsia="es-MX"/>
        </w:rPr>
        <w:drawing>
          <wp:inline distT="0" distB="0" distL="0" distR="0" wp14:anchorId="4183B23B" wp14:editId="74594FA8">
            <wp:extent cx="5612130" cy="9175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917575"/>
                    </a:xfrm>
                    <a:prstGeom prst="rect">
                      <a:avLst/>
                    </a:prstGeom>
                  </pic:spPr>
                </pic:pic>
              </a:graphicData>
            </a:graphic>
          </wp:inline>
        </w:drawing>
      </w:r>
      <w:r>
        <w:rPr>
          <w:rFonts w:ascii="Palatino Linotype" w:eastAsia="Palatino Linotype" w:hAnsi="Palatino Linotype" w:cs="Palatino Linotype"/>
        </w:rPr>
        <w:t xml:space="preserve"> </w:t>
      </w:r>
    </w:p>
    <w:p w14:paraId="58587E71" w14:textId="77777777" w:rsidR="00DE205E" w:rsidRDefault="00DE205E">
      <w:pPr>
        <w:spacing w:line="360" w:lineRule="auto"/>
        <w:jc w:val="both"/>
        <w:rPr>
          <w:rFonts w:ascii="Palatino Linotype" w:eastAsia="Palatino Linotype" w:hAnsi="Palatino Linotype" w:cs="Palatino Linotype"/>
          <w:color w:val="FF0000"/>
        </w:rPr>
      </w:pPr>
    </w:p>
    <w:p w14:paraId="55F7A704" w14:textId="77777777" w:rsidR="00636860" w:rsidRPr="00DE205E" w:rsidRDefault="00DE205E">
      <w:pPr>
        <w:spacing w:line="360" w:lineRule="auto"/>
        <w:jc w:val="both"/>
        <w:rPr>
          <w:rFonts w:ascii="Palatino Linotype" w:eastAsia="Palatino Linotype" w:hAnsi="Palatino Linotype" w:cs="Palatino Linotype"/>
        </w:rPr>
      </w:pPr>
      <w:r w:rsidRPr="00DE205E">
        <w:rPr>
          <w:rFonts w:ascii="Palatino Linotype" w:eastAsia="Palatino Linotype" w:hAnsi="Palatino Linotype" w:cs="Palatino Linotype"/>
        </w:rPr>
        <w:t>Por lo expuesto</w:t>
      </w:r>
      <w:r w:rsidR="00636860" w:rsidRPr="00DE205E">
        <w:rPr>
          <w:rFonts w:ascii="Palatino Linotype" w:eastAsia="Palatino Linotype" w:hAnsi="Palatino Linotype" w:cs="Palatino Linotype"/>
        </w:rPr>
        <w:t xml:space="preserve"> anterior</w:t>
      </w:r>
      <w:r w:rsidRPr="00DE205E">
        <w:rPr>
          <w:rFonts w:ascii="Palatino Linotype" w:eastAsia="Palatino Linotype" w:hAnsi="Palatino Linotype" w:cs="Palatino Linotype"/>
        </w:rPr>
        <w:t>mente</w:t>
      </w:r>
      <w:r w:rsidR="00636860" w:rsidRPr="00DE205E">
        <w:rPr>
          <w:rFonts w:ascii="Palatino Linotype" w:eastAsia="Palatino Linotype" w:hAnsi="Palatino Linotype" w:cs="Palatino Linotype"/>
        </w:rPr>
        <w:t xml:space="preserve">, es dable </w:t>
      </w:r>
      <w:r w:rsidR="00636860" w:rsidRPr="00DE205E">
        <w:rPr>
          <w:rFonts w:ascii="Palatino Linotype" w:eastAsia="Palatino Linotype" w:hAnsi="Palatino Linotype" w:cs="Palatino Linotype"/>
          <w:b/>
        </w:rPr>
        <w:t>ordenar</w:t>
      </w:r>
      <w:r w:rsidR="00636860" w:rsidRPr="00DE205E">
        <w:rPr>
          <w:rFonts w:ascii="Palatino Linotype" w:eastAsia="Palatino Linotype" w:hAnsi="Palatino Linotype" w:cs="Palatino Linotype"/>
        </w:rPr>
        <w:t xml:space="preserve"> al </w:t>
      </w:r>
      <w:r w:rsidR="00636860" w:rsidRPr="00DE205E">
        <w:rPr>
          <w:rFonts w:ascii="Palatino Linotype" w:eastAsia="Palatino Linotype" w:hAnsi="Palatino Linotype" w:cs="Palatino Linotype"/>
          <w:b/>
        </w:rPr>
        <w:t xml:space="preserve">Sujeto Obligado </w:t>
      </w:r>
      <w:r w:rsidR="00636860" w:rsidRPr="00DE205E">
        <w:rPr>
          <w:rFonts w:ascii="Palatino Linotype" w:eastAsia="Palatino Linotype" w:hAnsi="Palatino Linotype" w:cs="Palatino Linotype"/>
        </w:rPr>
        <w:t>realice una búsqueda exhaustiva y razonable en sus archivos para efecto de localizar los convenios de los años 2019,</w:t>
      </w:r>
      <w:r w:rsidR="00523EC2">
        <w:rPr>
          <w:rFonts w:ascii="Palatino Linotype" w:eastAsia="Palatino Linotype" w:hAnsi="Palatino Linotype" w:cs="Palatino Linotype"/>
        </w:rPr>
        <w:t xml:space="preserve"> 2020 y 2021, en caso de n</w:t>
      </w:r>
      <w:r w:rsidRPr="00DE205E">
        <w:rPr>
          <w:rFonts w:ascii="Palatino Linotype" w:eastAsia="Palatino Linotype" w:hAnsi="Palatino Linotype" w:cs="Palatino Linotype"/>
        </w:rPr>
        <w:t xml:space="preserve">o localizarlos deberá emitir la declaratoria de inexistencia en los términos señalados en párrafos anteriores. </w:t>
      </w:r>
    </w:p>
    <w:p w14:paraId="18CF28DC" w14:textId="77777777" w:rsidR="00636860" w:rsidRDefault="00636860">
      <w:pPr>
        <w:spacing w:line="360" w:lineRule="auto"/>
        <w:jc w:val="both"/>
        <w:rPr>
          <w:rFonts w:ascii="Palatino Linotype" w:eastAsia="Palatino Linotype" w:hAnsi="Palatino Linotype" w:cs="Palatino Linotype"/>
        </w:rPr>
      </w:pPr>
    </w:p>
    <w:p w14:paraId="5E5F42AE" w14:textId="77777777" w:rsidR="00A907F0" w:rsidRDefault="00A907F0">
      <w:pPr>
        <w:spacing w:line="360" w:lineRule="auto"/>
        <w:jc w:val="both"/>
        <w:rPr>
          <w:rFonts w:ascii="Palatino Linotype" w:eastAsia="Palatino Linotype" w:hAnsi="Palatino Linotype" w:cs="Palatino Linotype"/>
          <w:b/>
          <w:color w:val="000000"/>
          <w:sz w:val="22"/>
          <w:szCs w:val="22"/>
        </w:rPr>
      </w:pPr>
    </w:p>
    <w:p w14:paraId="078E0759" w14:textId="77777777" w:rsidR="00A907F0" w:rsidRPr="00636860" w:rsidRDefault="00636860">
      <w:pPr>
        <w:spacing w:line="360" w:lineRule="auto"/>
        <w:jc w:val="both"/>
        <w:rPr>
          <w:rFonts w:ascii="Palatino Linotype" w:eastAsia="Palatino Linotype" w:hAnsi="Palatino Linotype" w:cs="Palatino Linotype"/>
          <w:b/>
          <w:color w:val="000000"/>
        </w:rPr>
      </w:pPr>
      <w:r w:rsidRPr="00636860">
        <w:rPr>
          <w:rFonts w:ascii="Palatino Linotype" w:eastAsia="Palatino Linotype" w:hAnsi="Palatino Linotype" w:cs="Palatino Linotype"/>
          <w:b/>
          <w:color w:val="000000"/>
        </w:rPr>
        <w:t xml:space="preserve">3.Facturación por el consumo de energía eléctrica en el alumbrado público municipal, así como la recaudación del DAP, ambos desglosados de manera mensual, correspondiente a los años 2018, 2019, 2020 y 2021. </w:t>
      </w:r>
    </w:p>
    <w:p w14:paraId="6EBC97A7" w14:textId="77777777" w:rsidR="00A907F0" w:rsidRDefault="00A907F0">
      <w:pPr>
        <w:spacing w:line="360" w:lineRule="auto"/>
        <w:jc w:val="both"/>
        <w:rPr>
          <w:rFonts w:ascii="Palatino Linotype" w:eastAsia="Palatino Linotype" w:hAnsi="Palatino Linotype" w:cs="Palatino Linotype"/>
          <w:b/>
          <w:color w:val="000000"/>
          <w:sz w:val="22"/>
          <w:szCs w:val="22"/>
        </w:rPr>
      </w:pPr>
    </w:p>
    <w:p w14:paraId="5412D5F5"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este punto, el Director de Servicios Públicos, refiere que dicha información obra en los archivos de la Tesorería, sin embargo en la etapa de manifestaciones, el Sujeto Obligado remite la carpeta comprimida </w:t>
      </w:r>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Edo_CTA_LUZ.rar</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que a su vez contiene seis archivos de estados de cuenta emitidos al 31 de diciembre de 2018, 2019, 2020 y 2021, asimismo señalan que derivado de la carga de trabajo que tienen a la fecha, están imposibilitados para desglosar la información solicitada, sirve de referencia traer a colación un extracto de los citados archivos para ejemplificar lo expuesto: </w:t>
      </w:r>
    </w:p>
    <w:p w14:paraId="71A6EE3E" w14:textId="77777777" w:rsidR="00A907F0" w:rsidRDefault="00A907F0">
      <w:pPr>
        <w:spacing w:line="360" w:lineRule="auto"/>
        <w:ind w:left="360"/>
        <w:jc w:val="both"/>
        <w:rPr>
          <w:rFonts w:ascii="Palatino Linotype" w:eastAsia="Palatino Linotype" w:hAnsi="Palatino Linotype" w:cs="Palatino Linotype"/>
          <w:highlight w:val="magenta"/>
        </w:rPr>
      </w:pPr>
    </w:p>
    <w:p w14:paraId="2C0EC35A" w14:textId="77777777" w:rsidR="00A907F0" w:rsidRDefault="00636860">
      <w:pPr>
        <w:spacing w:line="360" w:lineRule="auto"/>
        <w:jc w:val="both"/>
        <w:rPr>
          <w:rFonts w:ascii="Palatino Linotype" w:eastAsia="Palatino Linotype" w:hAnsi="Palatino Linotype" w:cs="Palatino Linotype"/>
        </w:rPr>
      </w:pPr>
      <w:r>
        <w:rPr>
          <w:noProof/>
          <w:lang w:val="es-MX" w:eastAsia="es-MX"/>
        </w:rPr>
        <w:drawing>
          <wp:inline distT="0" distB="0" distL="0" distR="0" wp14:anchorId="2151D226" wp14:editId="5AF7C7DB">
            <wp:extent cx="5612130" cy="1778000"/>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612130" cy="1778000"/>
                    </a:xfrm>
                    <a:prstGeom prst="rect">
                      <a:avLst/>
                    </a:prstGeom>
                    <a:ln/>
                  </pic:spPr>
                </pic:pic>
              </a:graphicData>
            </a:graphic>
          </wp:inline>
        </w:drawing>
      </w:r>
    </w:p>
    <w:p w14:paraId="4D690CDD" w14:textId="77777777" w:rsidR="00A907F0" w:rsidRDefault="00636860">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De lo ilustrado con antelación, se tiene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bien es información novedosa en contraposición a lo expuesto en respuesta, esta no colma por no contar con los elementos requeridos por el particular, que son </w:t>
      </w:r>
      <w:r>
        <w:rPr>
          <w:rFonts w:ascii="Palatino Linotype" w:eastAsia="Palatino Linotype" w:hAnsi="Palatino Linotype" w:cs="Palatino Linotype"/>
          <w:b/>
          <w:u w:val="single"/>
        </w:rPr>
        <w:t xml:space="preserve">el consumo de energía eléctrica en </w:t>
      </w:r>
      <w:r>
        <w:rPr>
          <w:rFonts w:ascii="Palatino Linotype" w:eastAsia="Palatino Linotype" w:hAnsi="Palatino Linotype" w:cs="Palatino Linotype"/>
          <w:b/>
          <w:u w:val="single"/>
        </w:rPr>
        <w:lastRenderedPageBreak/>
        <w:t>el alumbrado público municipal, así como la recaudación del DAP, ambos desglosados de manera mensual.</w:t>
      </w:r>
    </w:p>
    <w:p w14:paraId="521F6AD4"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colmar este punto de la solicitud formulada por el particular, resulta pertinente analizar el contenido del convenio de colaboración, remitido en su respuesta, el cual fue celebrado entre el suministrador del servicio y el Municipio, para lo cual reviste interés el contenido de las </w:t>
      </w:r>
      <w:r>
        <w:rPr>
          <w:rFonts w:ascii="Palatino Linotype" w:eastAsia="Palatino Linotype" w:hAnsi="Palatino Linotype" w:cs="Palatino Linotype"/>
          <w:b/>
        </w:rPr>
        <w:t xml:space="preserve">cláusulas novena, décima y décima tercera </w:t>
      </w:r>
      <w:r>
        <w:rPr>
          <w:rFonts w:ascii="Palatino Linotype" w:eastAsia="Palatino Linotype" w:hAnsi="Palatino Linotype" w:cs="Palatino Linotype"/>
        </w:rPr>
        <w:t xml:space="preserve">del convenio celebrado remitido en respuesta, ello en razón de que en él se establece que el suministrador del servicio deberá entregar mensualmente un estado de cuenta en el que se visualice </w:t>
      </w:r>
      <w:r>
        <w:rPr>
          <w:rFonts w:ascii="Palatino Linotype" w:eastAsia="Palatino Linotype" w:hAnsi="Palatino Linotype" w:cs="Palatino Linotype"/>
          <w:b/>
        </w:rPr>
        <w:t>la facturación de energía eléctrica de los servicios, el importe recaudado por concepto del DAP</w:t>
      </w:r>
      <w:r>
        <w:rPr>
          <w:rFonts w:ascii="Palatino Linotype" w:eastAsia="Palatino Linotype" w:hAnsi="Palatino Linotype" w:cs="Palatino Linotype"/>
        </w:rPr>
        <w:t>, así como del importe de la contraprestación por recaudación, tal como se advierte en la siguiente captura de pantalla:</w:t>
      </w:r>
    </w:p>
    <w:p w14:paraId="1A521A1D"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6EBB0468" wp14:editId="17A5008C">
            <wp:extent cx="5400675" cy="4883150"/>
            <wp:effectExtent l="0" t="0" r="9525"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400675" cy="4883150"/>
                    </a:xfrm>
                    <a:prstGeom prst="rect">
                      <a:avLst/>
                    </a:prstGeom>
                    <a:ln/>
                  </pic:spPr>
                </pic:pic>
              </a:graphicData>
            </a:graphic>
          </wp:inline>
        </w:drawing>
      </w:r>
    </w:p>
    <w:p w14:paraId="5AC08EDE" w14:textId="77777777" w:rsidR="00A907F0" w:rsidRDefault="00A907F0">
      <w:pPr>
        <w:spacing w:line="360" w:lineRule="auto"/>
        <w:jc w:val="both"/>
        <w:rPr>
          <w:rFonts w:ascii="Palatino Linotype" w:eastAsia="Palatino Linotype" w:hAnsi="Palatino Linotype" w:cs="Palatino Linotype"/>
        </w:rPr>
      </w:pPr>
    </w:p>
    <w:p w14:paraId="2835CDAA"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3012AA97" wp14:editId="57273161">
            <wp:extent cx="5154842" cy="1948356"/>
            <wp:effectExtent l="0" t="0" r="0" b="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154842" cy="1948356"/>
                    </a:xfrm>
                    <a:prstGeom prst="rect">
                      <a:avLst/>
                    </a:prstGeom>
                    <a:ln/>
                  </pic:spPr>
                </pic:pic>
              </a:graphicData>
            </a:graphic>
          </wp:inline>
        </w:drawing>
      </w:r>
    </w:p>
    <w:p w14:paraId="331FC5A1" w14:textId="77777777" w:rsidR="00A907F0" w:rsidRDefault="00A907F0">
      <w:pPr>
        <w:spacing w:line="360" w:lineRule="auto"/>
        <w:jc w:val="both"/>
        <w:rPr>
          <w:rFonts w:ascii="Palatino Linotype" w:eastAsia="Palatino Linotype" w:hAnsi="Palatino Linotype" w:cs="Palatino Linotype"/>
        </w:rPr>
      </w:pPr>
    </w:p>
    <w:p w14:paraId="64ED8747" w14:textId="77777777" w:rsidR="00A907F0" w:rsidRPr="00636860" w:rsidRDefault="0063686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De tal suerte que, de lo ilustrado con antelación se advierte que el contenido de las cláusula décima y décima tercera dan sustento a la generación de la información requerida por el particular en el punto número tres de la solicitud, el cual versa sobre </w:t>
      </w:r>
      <w:r>
        <w:rPr>
          <w:rFonts w:ascii="Palatino Linotype" w:eastAsia="Palatino Linotype" w:hAnsi="Palatino Linotype" w:cs="Palatino Linotype"/>
          <w:i/>
          <w:color w:val="000000"/>
        </w:rPr>
        <w:t>“3.</w:t>
      </w:r>
      <w:r>
        <w:rPr>
          <w:rFonts w:ascii="Palatino Linotype" w:eastAsia="Palatino Linotype" w:hAnsi="Palatino Linotype" w:cs="Palatino Linotype"/>
          <w:b/>
          <w:i/>
          <w:color w:val="000000"/>
          <w:u w:val="single"/>
        </w:rPr>
        <w:t>Facturación por el consumo de energía eléctrica en el alumbrado público municipal, así como la recaudación del DAP</w:t>
      </w:r>
      <w:r>
        <w:rPr>
          <w:rFonts w:ascii="Palatino Linotype" w:eastAsia="Palatino Linotype" w:hAnsi="Palatino Linotype" w:cs="Palatino Linotype"/>
          <w:i/>
          <w:color w:val="000000"/>
        </w:rPr>
        <w:t xml:space="preserve">, ambos desglosados de manera mensual, correspondiente a los años 2018, 2019, 2020 y 2021”, </w:t>
      </w:r>
      <w:r>
        <w:rPr>
          <w:rFonts w:ascii="Palatino Linotype" w:eastAsia="Palatino Linotype" w:hAnsi="Palatino Linotype" w:cs="Palatino Linotype"/>
          <w:color w:val="000000"/>
        </w:rPr>
        <w:t>por lo que la justificación del Sujeto Obligado de no entregarla de manera mensual por la carga de trabajo es improcedente, en virtud de que es el Suministrador de Servicios Básicos quien lo entregara de manera mensual.</w:t>
      </w:r>
    </w:p>
    <w:p w14:paraId="076BAE2D"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Adicionalmente, es pertinente mencionar que la Constitución Política del Estado Libre y Soberano del Estado de México en su artículo 129 prevé que los recursos económicos del Estado, de los municipios, así como de los organismos autónomos, se administrarán con eficiencia, eficacia, economía, transparencia y honradez, para cumplir con los objetivos y programas a los que estén destinados. </w:t>
      </w:r>
    </w:p>
    <w:p w14:paraId="49059FBB"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los artículos 31, fracciones XVIII y XIX y 95, fracciones I y IV de la Ley Orgánica Municipal del Estado de México, disponen como atribuciones de los ayuntamientos las siguientes: </w:t>
      </w:r>
    </w:p>
    <w:p w14:paraId="77CDA94A"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Son atribuciones de los ayuntamientos:</w:t>
      </w:r>
    </w:p>
    <w:p w14:paraId="27E46C5A"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1D84E7"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XVIII. Administrar su hacienda en términos de ley, y controlar a través del presidente y síndico la aplicación del presupuesto de egresos del municipio;</w:t>
      </w:r>
    </w:p>
    <w:p w14:paraId="64803AFA"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Aprobar anualmente a más tardar el 20 de diciembre, su Presupuesto de Egresos, en base a los ingresos presupuestados para el ejercicio que corresponda, el cual podrá ser adecuado en función de las implicaciones que deriven de la aprobación </w:t>
      </w:r>
      <w:r>
        <w:rPr>
          <w:rFonts w:ascii="Palatino Linotype" w:eastAsia="Palatino Linotype" w:hAnsi="Palatino Linotype" w:cs="Palatino Linotype"/>
          <w:i/>
          <w:sz w:val="22"/>
          <w:szCs w:val="22"/>
        </w:rPr>
        <w:lastRenderedPageBreak/>
        <w:t>de la Ley de Ingresos Municipal que haga la Legislatura, así como por la asignación de las participaciones y aportaciones federales y estatales.</w:t>
      </w:r>
    </w:p>
    <w:p w14:paraId="26637758"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50E626D6"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286CBE9A"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remuneraciones de todo tipo del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6ED8F222"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ayuntamientos podrán promover el financiamiento de proyectos productivos de las mujeres emprendedoras.</w:t>
      </w:r>
    </w:p>
    <w:p w14:paraId="13CDFA8A"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0114118"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xml:space="preserve"> Son atribuciones del tesorero municipal:</w:t>
      </w:r>
    </w:p>
    <w:p w14:paraId="10FB2211" w14:textId="77777777" w:rsidR="00A907F0" w:rsidRDefault="00636860">
      <w:pPr>
        <w:numPr>
          <w:ilvl w:val="0"/>
          <w:numId w:val="8"/>
        </w:numPr>
        <w:spacing w:before="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Administrar la hacienda pública municipal, de conformidad con las disposiciones legales aplicables;</w:t>
      </w:r>
    </w:p>
    <w:p w14:paraId="0D56B2AE" w14:textId="77777777" w:rsidR="00A907F0" w:rsidRDefault="00636860">
      <w:pPr>
        <w:spacing w:after="240"/>
        <w:ind w:left="28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52118225"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Llevar los registros contables, financieros y administrativos de los ingresos, egresos, e inventarios;”</w:t>
      </w:r>
    </w:p>
    <w:p w14:paraId="04BAA37B"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normativos citados con anterioridad, se advierte que los ayuntamientos tienen la facultad de administrar libremente su hacienda y controlar la aplicación del presupuesto de egresos aprobado por dicho cuerpo colegiado, a más tardar el veinte de diciembre del año inmediato anterior, por lo que señala que </w:t>
      </w:r>
      <w:r>
        <w:rPr>
          <w:rFonts w:ascii="Palatino Linotype" w:eastAsia="Palatino Linotype" w:hAnsi="Palatino Linotype" w:cs="Palatino Linotype"/>
        </w:rPr>
        <w:lastRenderedPageBreak/>
        <w:t xml:space="preserve">será atribución del Tesorero Municipal, el llevar los registros contables, financieros y administrativos de los ingresos, egresos e inventarios, por lo tanto se estima que la información obra en los archivos de la Tesorería Municipal. </w:t>
      </w:r>
    </w:p>
    <w:p w14:paraId="071E5797" w14:textId="77777777" w:rsidR="00A907F0" w:rsidRDefault="0063686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su parte, en los artículos 343, 344 y 345 del Código Financiero del Estado de México y Municipios, se reconoce el sistema y las políticas que deben seguir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evaluación y contabilidad gubernamental</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en los siguientes términos:</w:t>
      </w:r>
    </w:p>
    <w:p w14:paraId="3212EE49"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343.-</w:t>
      </w:r>
      <w:r>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B4C235D"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sistema de contabilidad sobre base acumulativa total se sustentará en los postulados básicos y el marco conceptual de la contabilidad gubernamental.</w:t>
      </w:r>
    </w:p>
    <w:p w14:paraId="52F56D24"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344.-</w:t>
      </w:r>
      <w:r>
        <w:rPr>
          <w:rFonts w:ascii="Palatino Linotype" w:eastAsia="Palatino Linotype" w:hAnsi="Palatino Linotype" w:cs="Palatino Linotype"/>
          <w:i/>
          <w:sz w:val="22"/>
          <w:szCs w:val="22"/>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14:paraId="2C68ED6C"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691EED"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w:t>
      </w:r>
      <w:r>
        <w:rPr>
          <w:rFonts w:ascii="Palatino Linotype" w:eastAsia="Palatino Linotype" w:hAnsi="Palatino Linotype" w:cs="Palatino Linotype"/>
          <w:i/>
          <w:sz w:val="22"/>
          <w:szCs w:val="22"/>
        </w:rPr>
        <w:lastRenderedPageBreak/>
        <w:t xml:space="preserve">años contados a partir del ejercicio presupuesta/ siguiente al que corresponda, en el caso de los municipios se hará por la Tesorería. </w:t>
      </w:r>
    </w:p>
    <w:p w14:paraId="6BD44A01"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documentos de carácter histórico, se estará a lo dispuesto por la legislación de la materia. </w:t>
      </w:r>
    </w:p>
    <w:p w14:paraId="4A27F562"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345.-</w:t>
      </w:r>
      <w:r>
        <w:rPr>
          <w:rFonts w:ascii="Palatino Linotype" w:eastAsia="Palatino Linotype" w:hAnsi="Palatino Linotype" w:cs="Palatino Linotype"/>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9FD9587" w14:textId="77777777" w:rsidR="00A907F0" w:rsidRDefault="00636860">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w:t>
      </w:r>
    </w:p>
    <w:p w14:paraId="105E4F96" w14:textId="77777777" w:rsidR="00A907F0" w:rsidRDefault="0063686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14:paraId="0D1FE491" w14:textId="77777777" w:rsidR="00A907F0" w:rsidRDefault="0063686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Para ello, las dependencias, entidades y unidades administrativas deberán registrar todas las operaciones financieras que realicen en el momento que ocurran, que para el caso del Sujeto Obligado será a través del su Tesorería, documentación que se deberá de conservar del año en curso y la de los ejercicios anteriores cuyas cuentas públicas ya hayan sido revisadas y fiscalizadas.</w:t>
      </w:r>
    </w:p>
    <w:p w14:paraId="1B90558F" w14:textId="77777777" w:rsidR="00A907F0" w:rsidRDefault="0063686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si bien es cierto que el Código Financiero del Estado de México y Municipios crea la obligación de los Municipios para llevar los registros contables y presupuestales, también lo es que dicho ordenamiento jurídico no establece lo que </w:t>
      </w:r>
      <w:r>
        <w:rPr>
          <w:rFonts w:ascii="Palatino Linotype" w:eastAsia="Palatino Linotype" w:hAnsi="Palatino Linotype" w:cs="Palatino Linotype"/>
        </w:rPr>
        <w:lastRenderedPageBreak/>
        <w:t>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B2F2259"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REGISTRO CONTABLE</w:t>
      </w:r>
      <w:r>
        <w:rPr>
          <w:rFonts w:ascii="Palatino Linotype" w:eastAsia="Palatino Linotype" w:hAnsi="Palatino Linotype" w:cs="Palatino Linotype"/>
          <w:i/>
          <w:sz w:val="22"/>
          <w:szCs w:val="22"/>
        </w:rPr>
        <w:t xml:space="preserve"> </w:t>
      </w:r>
    </w:p>
    <w:p w14:paraId="2A456A2E"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14:paraId="440722E1"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PRESUPUESTARIO</w:t>
      </w:r>
    </w:p>
    <w:p w14:paraId="60D1E61B"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6F7587E0" w14:textId="77777777" w:rsidR="00A907F0" w:rsidRDefault="0063686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14:paraId="0AEA9610" w14:textId="77777777" w:rsidR="00A907F0" w:rsidRDefault="0063686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que como ya ha sido mencionado en la normatividad antes citada, todo registro contable y presupuestal deberá estar soportado con los documentos comprobatorios originales, como lo son las facturas, los cuales deberán permanecer en custodia y conservación de la Tesorería Municipal y a disposición del Órgano Superior de Fiscalización del Estado de México y de los órganos de control interno, en el caso de los municipios; por un término de </w:t>
      </w:r>
      <w:r>
        <w:rPr>
          <w:rFonts w:ascii="Palatino Linotype" w:eastAsia="Palatino Linotype" w:hAnsi="Palatino Linotype" w:cs="Palatino Linotype"/>
          <w:b/>
          <w:u w:val="single"/>
        </w:rPr>
        <w:t>cinco años contados</w:t>
      </w:r>
      <w:r>
        <w:rPr>
          <w:rFonts w:ascii="Palatino Linotype" w:eastAsia="Palatino Linotype" w:hAnsi="Palatino Linotype" w:cs="Palatino Linotype"/>
        </w:rPr>
        <w:t xml:space="preserve"> a partir del </w:t>
      </w:r>
      <w:r>
        <w:rPr>
          <w:rFonts w:ascii="Palatino Linotype" w:eastAsia="Palatino Linotype" w:hAnsi="Palatino Linotype" w:cs="Palatino Linotype"/>
        </w:rPr>
        <w:lastRenderedPageBreak/>
        <w:t xml:space="preserve">ejercicio presupuestal siguiente al que corresponda, tal y como se establece en el Código Financiero del Estado de México. </w:t>
      </w:r>
    </w:p>
    <w:p w14:paraId="648B96B0" w14:textId="77777777" w:rsidR="00A907F0" w:rsidRDefault="00636860">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Derivado de lo anterior, se considera que existe fuente obligacional por parte del Sujeto Obligado, para generar, poseer y administrar la información solicitada.</w:t>
      </w:r>
    </w:p>
    <w:p w14:paraId="5A20C497" w14:textId="77777777" w:rsidR="00A907F0" w:rsidRDefault="00636860">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existe una clara atribución del Sujeto Obligado de remitir la información mensual al ente fiscalizador y por ende hacer entrega del soporte documental de donde se puedan desprender los requerimientos del particular correspondientes a la </w:t>
      </w:r>
      <w:proofErr w:type="gramStart"/>
      <w:r>
        <w:rPr>
          <w:rFonts w:ascii="Palatino Linotype" w:eastAsia="Palatino Linotype" w:hAnsi="Palatino Linotype" w:cs="Palatino Linotype"/>
          <w:i/>
          <w:color w:val="000000"/>
          <w:sz w:val="22"/>
          <w:szCs w:val="22"/>
        </w:rPr>
        <w:t>3.</w:t>
      </w:r>
      <w:r>
        <w:rPr>
          <w:rFonts w:ascii="Palatino Linotype" w:eastAsia="Palatino Linotype" w:hAnsi="Palatino Linotype" w:cs="Palatino Linotype"/>
          <w:b/>
          <w:i/>
          <w:color w:val="000000"/>
          <w:sz w:val="22"/>
          <w:szCs w:val="22"/>
          <w:u w:val="single"/>
        </w:rPr>
        <w:t>Facturación</w:t>
      </w:r>
      <w:proofErr w:type="gramEnd"/>
      <w:r>
        <w:rPr>
          <w:rFonts w:ascii="Palatino Linotype" w:eastAsia="Palatino Linotype" w:hAnsi="Palatino Linotype" w:cs="Palatino Linotype"/>
          <w:b/>
          <w:i/>
          <w:color w:val="000000"/>
          <w:sz w:val="22"/>
          <w:szCs w:val="22"/>
          <w:u w:val="single"/>
        </w:rPr>
        <w:t xml:space="preserve"> por el consumo de energía eléctrica en el alumbrado público municipal, así como la recaudación del DAP</w:t>
      </w:r>
      <w:r>
        <w:rPr>
          <w:rFonts w:ascii="Palatino Linotype" w:eastAsia="Palatino Linotype" w:hAnsi="Palatino Linotype" w:cs="Palatino Linotype"/>
          <w:i/>
          <w:color w:val="000000"/>
          <w:sz w:val="22"/>
          <w:szCs w:val="22"/>
        </w:rPr>
        <w:t>, ambos desglosados de manera mensual, correspondiente a los años 2018, 2019, 2020 y 2021</w:t>
      </w:r>
      <w:r>
        <w:rPr>
          <w:rFonts w:ascii="Palatino Linotype" w:eastAsia="Palatino Linotype" w:hAnsi="Palatino Linotype" w:cs="Palatino Linotype"/>
        </w:rPr>
        <w:t>.</w:t>
      </w:r>
    </w:p>
    <w:p w14:paraId="3622A8DA" w14:textId="77777777" w:rsidR="00A907F0" w:rsidRDefault="00636860">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Finalmente, no pasa desapercibido que el particular anexó en su solicitud de información un recuadro esquematizando la forma en que requería la información solicitada, así es necesario traer a contexto los numerales 11 y 12 de la Ley de Transparencia y Acceso a la Información Pública del Estado de México y Municipios, los cuales, exponen lo siguiente:</w:t>
      </w:r>
    </w:p>
    <w:p w14:paraId="6AB47E6C" w14:textId="77777777" w:rsidR="00A907F0" w:rsidRDefault="00636860">
      <w:pPr>
        <w:spacing w:before="160" w:after="160"/>
        <w:ind w:left="709"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sólo proporcionarán la información que generen en el ejercicio de sus atribuciones</w:t>
      </w:r>
      <w:r>
        <w:rPr>
          <w:rFonts w:ascii="Palatino Linotype" w:eastAsia="Palatino Linotype" w:hAnsi="Palatino Linotype" w:cs="Palatino Linotype"/>
          <w:i/>
          <w:sz w:val="22"/>
          <w:szCs w:val="22"/>
        </w:rPr>
        <w:t>.</w:t>
      </w:r>
    </w:p>
    <w:p w14:paraId="2962DD29" w14:textId="77777777" w:rsidR="00A907F0" w:rsidRDefault="00636860">
      <w:pPr>
        <w:spacing w:before="160" w:after="160"/>
        <w:ind w:left="709"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serán responsables de la misma en los términos de las disposiciones jurídicas </w:t>
      </w:r>
      <w:r>
        <w:rPr>
          <w:rFonts w:ascii="Palatino Linotype" w:eastAsia="Palatino Linotype" w:hAnsi="Palatino Linotype" w:cs="Palatino Linotype"/>
          <w:i/>
          <w:color w:val="000000"/>
          <w:sz w:val="22"/>
          <w:szCs w:val="22"/>
        </w:rPr>
        <w:t>aplicables</w:t>
      </w:r>
      <w:r>
        <w:rPr>
          <w:rFonts w:ascii="Palatino Linotype" w:eastAsia="Palatino Linotype" w:hAnsi="Palatino Linotype" w:cs="Palatino Linotype"/>
          <w:i/>
          <w:sz w:val="22"/>
          <w:szCs w:val="22"/>
        </w:rPr>
        <w:t xml:space="preserve">. </w:t>
      </w:r>
    </w:p>
    <w:p w14:paraId="50CB4543" w14:textId="77777777" w:rsidR="00A907F0" w:rsidRDefault="00636860">
      <w:pPr>
        <w:spacing w:before="160" w:after="160"/>
        <w:ind w:left="709"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sz w:val="22"/>
          <w:szCs w:val="22"/>
        </w:rPr>
        <w:t>”</w:t>
      </w:r>
    </w:p>
    <w:p w14:paraId="212CED3D" w14:textId="77777777" w:rsidR="00A907F0" w:rsidRDefault="00636860">
      <w:pPr>
        <w:spacing w:before="160" w:after="160"/>
        <w:ind w:left="709"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(Énfasis añadido)</w:t>
      </w:r>
    </w:p>
    <w:p w14:paraId="53960517" w14:textId="77777777" w:rsidR="00A907F0" w:rsidRDefault="00A907F0">
      <w:pPr>
        <w:tabs>
          <w:tab w:val="left" w:pos="142"/>
          <w:tab w:val="left" w:pos="284"/>
          <w:tab w:val="left" w:pos="426"/>
        </w:tabs>
        <w:spacing w:before="160" w:line="360" w:lineRule="auto"/>
        <w:jc w:val="both"/>
        <w:rPr>
          <w:rFonts w:ascii="Palatino Linotype" w:eastAsia="Palatino Linotype" w:hAnsi="Palatino Linotype" w:cs="Palatino Linotype"/>
          <w:b/>
        </w:rPr>
      </w:pPr>
    </w:p>
    <w:p w14:paraId="3D4E2B95" w14:textId="77777777" w:rsidR="00A907F0" w:rsidRDefault="00636860">
      <w:pPr>
        <w:tabs>
          <w:tab w:val="left" w:pos="142"/>
          <w:tab w:val="left" w:pos="284"/>
          <w:tab w:val="left" w:pos="426"/>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 lo anterior se entiende que el ejercicio del derecho de acceso a la información pública se centra en la potestad de los particulares de tener </w:t>
      </w:r>
      <w:r>
        <w:rPr>
          <w:rFonts w:ascii="Palatino Linotype" w:eastAsia="Palatino Linotype" w:hAnsi="Palatino Linotype" w:cs="Palatino Linotype"/>
          <w:b/>
        </w:rPr>
        <w:t>acceso a los documentos públicos que obren en los archivos de los Sujetos Obligados</w:t>
      </w:r>
      <w:r>
        <w:rPr>
          <w:rFonts w:ascii="Palatino Linotype" w:eastAsia="Palatino Linotype" w:hAnsi="Palatino Linotype" w:cs="Palatino Linotype"/>
        </w:rPr>
        <w:t xml:space="preserve">, ya sea porque los generen en el uso de sus atribuciones, los administren o simplemente los posean. </w:t>
      </w:r>
    </w:p>
    <w:p w14:paraId="7AEAC001" w14:textId="77777777" w:rsidR="00A907F0" w:rsidRDefault="00A907F0">
      <w:pPr>
        <w:tabs>
          <w:tab w:val="left" w:pos="142"/>
          <w:tab w:val="left" w:pos="284"/>
          <w:tab w:val="left" w:pos="426"/>
        </w:tabs>
        <w:spacing w:line="360" w:lineRule="auto"/>
        <w:jc w:val="both"/>
        <w:rPr>
          <w:rFonts w:ascii="Palatino Linotype" w:eastAsia="Palatino Linotype" w:hAnsi="Palatino Linotype" w:cs="Palatino Linotype"/>
          <w:b/>
        </w:rPr>
      </w:pPr>
    </w:p>
    <w:p w14:paraId="1AD4CE24" w14:textId="77777777" w:rsidR="00A907F0" w:rsidRDefault="00636860">
      <w:pPr>
        <w:tabs>
          <w:tab w:val="left" w:pos="142"/>
          <w:tab w:val="left" w:pos="284"/>
          <w:tab w:val="left" w:pos="426"/>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en el que conste la </w:t>
      </w:r>
      <w:r>
        <w:rPr>
          <w:rFonts w:ascii="Palatino Linotype" w:eastAsia="Palatino Linotype" w:hAnsi="Palatino Linotype" w:cs="Palatino Linotype"/>
          <w:b/>
          <w:i/>
          <w:u w:val="single"/>
        </w:rPr>
        <w:t>Facturación por el consumo de energía eléctrica en el alumbrado público municipal, así como la recaudación del DAP</w:t>
      </w:r>
      <w:r>
        <w:rPr>
          <w:rFonts w:ascii="Palatino Linotype" w:eastAsia="Palatino Linotype" w:hAnsi="Palatino Linotype" w:cs="Palatino Linotype"/>
        </w:rPr>
        <w:t xml:space="preserve">; esto es, que no tienen el deber de generar un documento </w:t>
      </w:r>
      <w:r>
        <w:rPr>
          <w:rFonts w:ascii="Palatino Linotype" w:eastAsia="Palatino Linotype" w:hAnsi="Palatino Linotype" w:cs="Palatino Linotype"/>
          <w:b/>
          <w:i/>
        </w:rPr>
        <w:t>ad hoc</w:t>
      </w:r>
      <w:r>
        <w:rPr>
          <w:rFonts w:ascii="Palatino Linotype" w:eastAsia="Palatino Linotype" w:hAnsi="Palatino Linotype" w:cs="Palatino Linotype"/>
        </w:rPr>
        <w:t>, para satisfacer el derecho de acceso a la información pública.</w:t>
      </w:r>
    </w:p>
    <w:p w14:paraId="70F50495" w14:textId="77777777" w:rsidR="00A907F0" w:rsidRDefault="00A907F0">
      <w:pPr>
        <w:tabs>
          <w:tab w:val="left" w:pos="142"/>
          <w:tab w:val="left" w:pos="284"/>
          <w:tab w:val="left" w:pos="426"/>
        </w:tabs>
        <w:spacing w:line="360" w:lineRule="auto"/>
        <w:jc w:val="both"/>
        <w:rPr>
          <w:rFonts w:ascii="Palatino Linotype" w:eastAsia="Palatino Linotype" w:hAnsi="Palatino Linotype" w:cs="Palatino Linotype"/>
          <w:b/>
        </w:rPr>
      </w:pPr>
    </w:p>
    <w:p w14:paraId="02BDA93D" w14:textId="77777777" w:rsidR="00A907F0" w:rsidRDefault="00636860">
      <w:pPr>
        <w:tabs>
          <w:tab w:val="left" w:pos="142"/>
          <w:tab w:val="left" w:pos="284"/>
          <w:tab w:val="left" w:pos="426"/>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Robustece lo anterior el Criterio 09/10, emitido por el Pleno del entonces Instituto Federal de Acceso a la Información y Protección de Datos (IFAI), ahora Instituto Nacional de Transparencia, Acceso a la Información y Protección de Datos Personales (INAI), que dice:</w:t>
      </w:r>
    </w:p>
    <w:p w14:paraId="41124C39" w14:textId="77777777" w:rsidR="00A907F0" w:rsidRDefault="00A907F0">
      <w:pPr>
        <w:tabs>
          <w:tab w:val="left" w:pos="142"/>
          <w:tab w:val="left" w:pos="284"/>
          <w:tab w:val="left" w:pos="426"/>
        </w:tabs>
        <w:spacing w:line="360" w:lineRule="auto"/>
        <w:jc w:val="both"/>
        <w:rPr>
          <w:rFonts w:ascii="Palatino Linotype" w:eastAsia="Palatino Linotype" w:hAnsi="Palatino Linotype" w:cs="Palatino Linotype"/>
          <w:b/>
        </w:rPr>
      </w:pPr>
    </w:p>
    <w:p w14:paraId="7602EFFC" w14:textId="77777777" w:rsidR="00A907F0" w:rsidRDefault="00636860">
      <w:pPr>
        <w:spacing w:after="16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w:t>
      </w:r>
      <w:r>
        <w:rPr>
          <w:rFonts w:ascii="Palatino Linotype" w:eastAsia="Palatino Linotype" w:hAnsi="Palatino Linotype" w:cs="Palatino Linotype"/>
          <w:b/>
          <w:i/>
          <w:sz w:val="22"/>
          <w:szCs w:val="22"/>
        </w:rPr>
        <w:t>las dependencias y entidades sólo estarán obligadas a entregar documentos que se encuentren en sus archivos</w:t>
      </w:r>
      <w:r>
        <w:rPr>
          <w:rFonts w:ascii="Palatino Linotype" w:eastAsia="Palatino Linotype" w:hAnsi="Palatino Linotype" w:cs="Palatino Linotype"/>
          <w:i/>
          <w:sz w:val="22"/>
          <w:szCs w:val="22"/>
        </w:rPr>
        <w:t xml:space="preserve">, las dependencias y entidades </w:t>
      </w:r>
      <w:r>
        <w:rPr>
          <w:rFonts w:ascii="Palatino Linotype" w:eastAsia="Palatino Linotype" w:hAnsi="Palatino Linotype" w:cs="Palatino Linotype"/>
          <w:b/>
          <w:i/>
          <w:sz w:val="22"/>
          <w:szCs w:val="22"/>
        </w:rPr>
        <w:t xml:space="preserve">no están obligadas a elaborar </w:t>
      </w:r>
      <w:r>
        <w:rPr>
          <w:rFonts w:ascii="Palatino Linotype" w:eastAsia="Palatino Linotype" w:hAnsi="Palatino Linotype" w:cs="Palatino Linotype"/>
          <w:b/>
          <w:i/>
          <w:sz w:val="22"/>
          <w:szCs w:val="22"/>
        </w:rPr>
        <w:lastRenderedPageBreak/>
        <w:t>documentos ad hoc para atender las solicitudes de información</w:t>
      </w:r>
      <w:r>
        <w:rPr>
          <w:rFonts w:ascii="Palatino Linotype" w:eastAsia="Palatino Linotype" w:hAnsi="Palatino Linotype" w:cs="Palatino Linotype"/>
          <w:i/>
          <w:sz w:val="22"/>
          <w:szCs w:val="22"/>
        </w:rPr>
        <w:t>, sino que deben garantizar el acceso a la información con la que cuentan en el formato que la misma así lo permita o se encuentre, en aras de dar satisfacción a la solicitud presentada.”</w:t>
      </w:r>
    </w:p>
    <w:p w14:paraId="69BDA01D" w14:textId="77777777" w:rsidR="00A907F0" w:rsidRDefault="00A907F0">
      <w:pPr>
        <w:spacing w:line="360" w:lineRule="auto"/>
        <w:rPr>
          <w:rFonts w:ascii="Palatino Linotype" w:eastAsia="Palatino Linotype" w:hAnsi="Palatino Linotype" w:cs="Palatino Linotype"/>
        </w:rPr>
      </w:pPr>
    </w:p>
    <w:p w14:paraId="2AB46542" w14:textId="77777777" w:rsidR="00A907F0" w:rsidRDefault="006368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para el caso en el que derivado de una búsqueda exhaustiva y razonable dentro de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se localice la información requerida deberá manifestarse a la parte solicitante de manera fundada y motivada, toda vez que así se brinda certeza jurídica a los particulares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realizó una búsqueda dentro de sus archivos. </w:t>
      </w:r>
    </w:p>
    <w:p w14:paraId="659D5DF4" w14:textId="77777777" w:rsidR="00A907F0" w:rsidRDefault="00A907F0">
      <w:pPr>
        <w:spacing w:line="360" w:lineRule="auto"/>
        <w:jc w:val="both"/>
        <w:rPr>
          <w:rFonts w:ascii="Palatino Linotype" w:eastAsia="Palatino Linotype" w:hAnsi="Palatino Linotype" w:cs="Palatino Linotype"/>
          <w:color w:val="000000"/>
        </w:rPr>
      </w:pPr>
    </w:p>
    <w:p w14:paraId="612A56B2" w14:textId="77777777" w:rsidR="00A907F0" w:rsidRDefault="0063686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DE LOS ACTOS ADMINISTRATIVOS</w:t>
      </w:r>
      <w:r>
        <w:rPr>
          <w:rFonts w:ascii="Palatino Linotype" w:eastAsia="Palatino Linotype" w:hAnsi="Palatino Linotype" w:cs="Palatino Linotype"/>
          <w:i/>
          <w:sz w:val="22"/>
          <w:szCs w:val="22"/>
        </w:rPr>
        <w:t xml:space="preserve">. De acuerdo con  el artículo 16 constitucional, </w:t>
      </w:r>
      <w:r>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Pr>
          <w:rFonts w:ascii="Palatino Linotype" w:eastAsia="Palatino Linotype" w:hAnsi="Palatino Linotype" w:cs="Palatino Linotype"/>
          <w:i/>
          <w:sz w:val="22"/>
          <w:szCs w:val="22"/>
        </w:rPr>
        <w:t>subincisos</w:t>
      </w:r>
      <w:proofErr w:type="spellEnd"/>
      <w:r>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304CCA93" w14:textId="77777777" w:rsidR="00A907F0" w:rsidRDefault="00A907F0">
      <w:pPr>
        <w:spacing w:line="360" w:lineRule="auto"/>
        <w:jc w:val="both"/>
        <w:rPr>
          <w:rFonts w:ascii="Palatino Linotype" w:eastAsia="Palatino Linotype" w:hAnsi="Palatino Linotype" w:cs="Palatino Linotype"/>
        </w:rPr>
      </w:pPr>
    </w:p>
    <w:p w14:paraId="0D043010" w14:textId="77777777" w:rsidR="00A907F0" w:rsidRDefault="006368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con todo lo anteriormente expuesto, que este Órgano Garante considera que el derecho de acceso a la información solamente puede tenerse por satisfecho en el momento en que el particular tenga en su poder los soportes documentales en los que conste </w:t>
      </w:r>
      <w:r>
        <w:rPr>
          <w:rFonts w:ascii="Palatino Linotype" w:eastAsia="Palatino Linotype" w:hAnsi="Palatino Linotype" w:cs="Palatino Linotype"/>
          <w:b/>
          <w:i/>
          <w:u w:val="single"/>
        </w:rPr>
        <w:t>el censo correspondiente al año 2019, los Convenios para la recaudación del Derecho de Alumbrado Público (DAP), entre la CFE y el Municipio, correspondiente a los años 2019, 2020 y 2021 y la</w:t>
      </w:r>
      <w:r>
        <w:rPr>
          <w:rFonts w:ascii="Palatino Linotype" w:eastAsia="Palatino Linotype" w:hAnsi="Palatino Linotype" w:cs="Palatino Linotype"/>
        </w:rPr>
        <w:t xml:space="preserve"> </w:t>
      </w:r>
      <w:r>
        <w:rPr>
          <w:rFonts w:ascii="Palatino Linotype" w:eastAsia="Palatino Linotype" w:hAnsi="Palatino Linotype" w:cs="Palatino Linotype"/>
          <w:b/>
          <w:i/>
          <w:u w:val="single"/>
        </w:rPr>
        <w:t>facturación por el consumo de energía eléctrica en el alumbrado público municipal, así como la recaudación del DAP</w:t>
      </w:r>
      <w:r>
        <w:rPr>
          <w:rFonts w:ascii="Palatino Linotype" w:eastAsia="Palatino Linotype" w:hAnsi="Palatino Linotype" w:cs="Palatino Linotype"/>
          <w:b/>
        </w:rPr>
        <w:t xml:space="preserve">, </w:t>
      </w:r>
      <w:r>
        <w:rPr>
          <w:rFonts w:ascii="Palatino Linotype" w:eastAsia="Palatino Linotype" w:hAnsi="Palatino Linotype" w:cs="Palatino Linotype"/>
          <w:b/>
          <w:i/>
          <w:u w:val="single"/>
        </w:rPr>
        <w:t>del 1 de enero de 2018 al 22 de noviembre de 2021</w:t>
      </w:r>
      <w:r>
        <w:rPr>
          <w:rFonts w:ascii="Palatino Linotype" w:eastAsia="Palatino Linotype" w:hAnsi="Palatino Linotype" w:cs="Palatino Linotype"/>
        </w:rPr>
        <w:t>, esta última por ser la fecha de presentación de la solicitud, por ello se determina ordenar al Sujeto Obligado, la entrega de la información al Recurrente, de ser procedente en versión pública, tal como se detallará en el considerando siguiente.</w:t>
      </w:r>
    </w:p>
    <w:p w14:paraId="74B4944D" w14:textId="77777777" w:rsidR="00A907F0" w:rsidRDefault="006368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EAA3A8B" w14:textId="77777777" w:rsidR="00A907F0" w:rsidRDefault="0063686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7394C7FA"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2DC8A7B9"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D73F40"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DA221F7"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3FFDBE8C"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83D515"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0924066"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BD649F"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DC9D9E4"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63B8C728"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42BD46BD"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724F8824"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7026B1DB"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82043D"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1E95E5E"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0D61D8F"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138AF85"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6B2607B"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042BF606"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58A0585"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B0281C7"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A398D8D"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CF84765"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BD7BA1F"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E0BF53A"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BCB9439" w14:textId="77777777" w:rsidR="00A907F0" w:rsidRDefault="006368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C024CF5"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sz w:val="22"/>
          <w:szCs w:val="22"/>
        </w:rPr>
        <w:t>internaciones suscritos</w:t>
      </w:r>
      <w:proofErr w:type="gramEnd"/>
      <w:r>
        <w:rPr>
          <w:rFonts w:ascii="Palatino Linotype" w:eastAsia="Palatino Linotype" w:hAnsi="Palatino Linotype" w:cs="Palatino Linotype"/>
          <w:i/>
          <w:sz w:val="22"/>
          <w:szCs w:val="22"/>
        </w:rPr>
        <w:t xml:space="preserve"> por el Estado mexicano. </w:t>
      </w:r>
    </w:p>
    <w:p w14:paraId="7F4F55C0" w14:textId="77777777" w:rsidR="00A907F0" w:rsidRDefault="006368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199A59B"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E72F2B8"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119"/>
        <w:gridCol w:w="1129"/>
        <w:gridCol w:w="3446"/>
      </w:tblGrid>
      <w:tr w:rsidR="00A907F0" w14:paraId="256EF377" w14:textId="77777777" w:rsidTr="00A9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14:paraId="3AD6344B" w14:textId="77777777" w:rsidR="00A907F0" w:rsidRDefault="00636860">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46A0E49B" w14:textId="77777777" w:rsidR="00A907F0" w:rsidRDefault="0063686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A907F0" w14:paraId="1BAA3F0F" w14:textId="77777777" w:rsidTr="00A9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C7ED7F3" w14:textId="77777777" w:rsidR="00A907F0" w:rsidRDefault="00636860">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119" w:type="dxa"/>
          </w:tcPr>
          <w:p w14:paraId="192F5634" w14:textId="77777777" w:rsidR="00A907F0" w:rsidRDefault="0063686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480AC2F6" w14:textId="77777777" w:rsidR="00A907F0" w:rsidRDefault="0063686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5FE62870" w14:textId="77777777" w:rsidR="00A907F0" w:rsidRDefault="0063686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A907F0" w14:paraId="14EBF1EA" w14:textId="77777777" w:rsidTr="00A907F0">
        <w:tc>
          <w:tcPr>
            <w:cnfStyle w:val="001000000000" w:firstRow="0" w:lastRow="0" w:firstColumn="1" w:lastColumn="0" w:oddVBand="0" w:evenVBand="0" w:oddHBand="0" w:evenHBand="0" w:firstRowFirstColumn="0" w:firstRowLastColumn="0" w:lastRowFirstColumn="0" w:lastRowLastColumn="0"/>
            <w:tcW w:w="8828" w:type="dxa"/>
            <w:gridSpan w:val="4"/>
          </w:tcPr>
          <w:p w14:paraId="6D41EB47" w14:textId="77777777" w:rsidR="00A907F0" w:rsidRDefault="00636860">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A907F0" w14:paraId="61ED56C5" w14:textId="77777777" w:rsidTr="00A9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AAC5FDF"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119" w:type="dxa"/>
          </w:tcPr>
          <w:p w14:paraId="01E6BAE4"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0B9C7E3E"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0DA3D9F5"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907F0" w14:paraId="0B94803D" w14:textId="77777777" w:rsidTr="00A907F0">
        <w:tc>
          <w:tcPr>
            <w:cnfStyle w:val="001000000000" w:firstRow="0" w:lastRow="0" w:firstColumn="1" w:lastColumn="0" w:oddVBand="0" w:evenVBand="0" w:oddHBand="0" w:evenHBand="0" w:firstRowFirstColumn="0" w:firstRowLastColumn="0" w:lastRowFirstColumn="0" w:lastRowLastColumn="0"/>
            <w:tcW w:w="1134" w:type="dxa"/>
          </w:tcPr>
          <w:p w14:paraId="6926BF29"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119" w:type="dxa"/>
          </w:tcPr>
          <w:p w14:paraId="0E806628"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6EDBD356"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02477D09"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A907F0" w14:paraId="35C6EE1E" w14:textId="77777777" w:rsidTr="00A9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B085FF4"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119" w:type="dxa"/>
          </w:tcPr>
          <w:p w14:paraId="6B560286"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lo conforman. Si el </w:t>
            </w:r>
            <w:r>
              <w:rPr>
                <w:rFonts w:ascii="Palatino Linotype" w:eastAsia="Palatino Linotype" w:hAnsi="Palatino Linotype" w:cs="Palatino Linotype"/>
                <w:sz w:val="12"/>
                <w:szCs w:val="12"/>
              </w:rPr>
              <w:lastRenderedPageBreak/>
              <w:t>documento no contiene información reservada, se tachará este apartado.</w:t>
            </w:r>
          </w:p>
        </w:tc>
        <w:tc>
          <w:tcPr>
            <w:tcW w:w="1129" w:type="dxa"/>
          </w:tcPr>
          <w:p w14:paraId="5DABB900"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Reservado</w:t>
            </w:r>
          </w:p>
        </w:tc>
        <w:tc>
          <w:tcPr>
            <w:tcW w:w="3446" w:type="dxa"/>
          </w:tcPr>
          <w:p w14:paraId="1FE52B9D"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A907F0" w14:paraId="0E13668E" w14:textId="77777777" w:rsidTr="00A907F0">
        <w:tc>
          <w:tcPr>
            <w:cnfStyle w:val="001000000000" w:firstRow="0" w:lastRow="0" w:firstColumn="1" w:lastColumn="0" w:oddVBand="0" w:evenVBand="0" w:oddHBand="0" w:evenHBand="0" w:firstRowFirstColumn="0" w:firstRowLastColumn="0" w:lastRowFirstColumn="0" w:lastRowLastColumn="0"/>
            <w:tcW w:w="1134" w:type="dxa"/>
          </w:tcPr>
          <w:p w14:paraId="2BA9C4B3"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119" w:type="dxa"/>
          </w:tcPr>
          <w:p w14:paraId="2AEBCBAA"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2F0FAEC"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61D6F21E"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907F0" w14:paraId="12A03700" w14:textId="77777777" w:rsidTr="00A9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9522084"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119" w:type="dxa"/>
          </w:tcPr>
          <w:p w14:paraId="7EB63400"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EF5F237"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2C59F888"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907F0" w14:paraId="4E24C29A" w14:textId="77777777" w:rsidTr="00A907F0">
        <w:tc>
          <w:tcPr>
            <w:cnfStyle w:val="001000000000" w:firstRow="0" w:lastRow="0" w:firstColumn="1" w:lastColumn="0" w:oddVBand="0" w:evenVBand="0" w:oddHBand="0" w:evenHBand="0" w:firstRowFirstColumn="0" w:firstRowLastColumn="0" w:lastRowFirstColumn="0" w:lastRowLastColumn="0"/>
            <w:tcW w:w="1134" w:type="dxa"/>
          </w:tcPr>
          <w:p w14:paraId="276ABA51"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119" w:type="dxa"/>
          </w:tcPr>
          <w:p w14:paraId="447A7B8F"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29E2F764"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03397406"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907F0" w14:paraId="3C452B64" w14:textId="77777777" w:rsidTr="00A9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4A5F2B"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119" w:type="dxa"/>
          </w:tcPr>
          <w:p w14:paraId="0731E192"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1FA755B7"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718FFF61"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A907F0" w14:paraId="6CE0444B" w14:textId="77777777" w:rsidTr="00A907F0">
        <w:tc>
          <w:tcPr>
            <w:cnfStyle w:val="001000000000" w:firstRow="0" w:lastRow="0" w:firstColumn="1" w:lastColumn="0" w:oddVBand="0" w:evenVBand="0" w:oddHBand="0" w:evenHBand="0" w:firstRowFirstColumn="0" w:firstRowLastColumn="0" w:lastRowFirstColumn="0" w:lastRowLastColumn="0"/>
            <w:tcW w:w="1134" w:type="dxa"/>
          </w:tcPr>
          <w:p w14:paraId="449E7E9C"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119" w:type="dxa"/>
          </w:tcPr>
          <w:p w14:paraId="0F6BF400"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3B7C68DC"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2ECF96FD"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907F0" w14:paraId="559D2077" w14:textId="77777777" w:rsidTr="00A9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2A8F006"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119" w:type="dxa"/>
          </w:tcPr>
          <w:p w14:paraId="560CFCE8"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4B4F2B52"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373DB6DD"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A907F0" w14:paraId="2CE901B8" w14:textId="77777777" w:rsidTr="00A907F0">
        <w:tc>
          <w:tcPr>
            <w:cnfStyle w:val="001000000000" w:firstRow="0" w:lastRow="0" w:firstColumn="1" w:lastColumn="0" w:oddVBand="0" w:evenVBand="0" w:oddHBand="0" w:evenHBand="0" w:firstRowFirstColumn="0" w:firstRowLastColumn="0" w:lastRowFirstColumn="0" w:lastRowLastColumn="0"/>
            <w:tcW w:w="1134" w:type="dxa"/>
          </w:tcPr>
          <w:p w14:paraId="07F34974" w14:textId="77777777" w:rsidR="00A907F0" w:rsidRDefault="006368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119" w:type="dxa"/>
          </w:tcPr>
          <w:p w14:paraId="1B55A0EA"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3F0AE635"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202E57BF"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A907F0" w14:paraId="3E31FA7E" w14:textId="77777777" w:rsidTr="00A9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1F3C6B1" w14:textId="77777777" w:rsidR="00A907F0" w:rsidRDefault="00A907F0">
            <w:pPr>
              <w:jc w:val="both"/>
              <w:rPr>
                <w:rFonts w:ascii="Palatino Linotype" w:eastAsia="Palatino Linotype" w:hAnsi="Palatino Linotype" w:cs="Palatino Linotype"/>
                <w:sz w:val="12"/>
                <w:szCs w:val="12"/>
              </w:rPr>
            </w:pPr>
          </w:p>
        </w:tc>
        <w:tc>
          <w:tcPr>
            <w:tcW w:w="3119" w:type="dxa"/>
          </w:tcPr>
          <w:p w14:paraId="001A156C" w14:textId="77777777" w:rsidR="00A907F0" w:rsidRDefault="00A907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03B48EA8"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40D172E8" w14:textId="77777777" w:rsidR="00A907F0" w:rsidRDefault="0063686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A907F0" w14:paraId="66918599" w14:textId="77777777" w:rsidTr="00A907F0">
        <w:tc>
          <w:tcPr>
            <w:cnfStyle w:val="001000000000" w:firstRow="0" w:lastRow="0" w:firstColumn="1" w:lastColumn="0" w:oddVBand="0" w:evenVBand="0" w:oddHBand="0" w:evenHBand="0" w:firstRowFirstColumn="0" w:firstRowLastColumn="0" w:lastRowFirstColumn="0" w:lastRowLastColumn="0"/>
            <w:tcW w:w="1134" w:type="dxa"/>
          </w:tcPr>
          <w:p w14:paraId="1E63927C" w14:textId="77777777" w:rsidR="00A907F0" w:rsidRDefault="00A907F0">
            <w:pPr>
              <w:jc w:val="both"/>
              <w:rPr>
                <w:rFonts w:ascii="Palatino Linotype" w:eastAsia="Palatino Linotype" w:hAnsi="Palatino Linotype" w:cs="Palatino Linotype"/>
                <w:sz w:val="12"/>
                <w:szCs w:val="12"/>
              </w:rPr>
            </w:pPr>
          </w:p>
        </w:tc>
        <w:tc>
          <w:tcPr>
            <w:tcW w:w="3119" w:type="dxa"/>
          </w:tcPr>
          <w:p w14:paraId="6CF7694C" w14:textId="77777777" w:rsidR="00A907F0" w:rsidRDefault="00A907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6A8F8909"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1F890500" w14:textId="77777777" w:rsidR="00A907F0" w:rsidRDefault="0063686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77BF2C0D"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14:paraId="7C09D705" w14:textId="77777777" w:rsidR="00A907F0" w:rsidRDefault="00636860">
      <w:pPr>
        <w:spacing w:before="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14:paraId="208AD507" w14:textId="77777777" w:rsidR="00A907F0" w:rsidRDefault="00A907F0">
      <w:pPr>
        <w:spacing w:line="360" w:lineRule="auto"/>
        <w:jc w:val="center"/>
        <w:rPr>
          <w:rFonts w:ascii="Palatino Linotype" w:eastAsia="Palatino Linotype" w:hAnsi="Palatino Linotype" w:cs="Palatino Linotype"/>
          <w:b/>
        </w:rPr>
      </w:pPr>
    </w:p>
    <w:p w14:paraId="091B2AEA" w14:textId="77777777" w:rsidR="00A907F0" w:rsidRDefault="006368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06059/INFOEM/IP/RR/2021</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 Sujeto Obligado.</w:t>
      </w:r>
    </w:p>
    <w:p w14:paraId="7249FD6A"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haga entrega </w:t>
      </w:r>
      <w:r>
        <w:rPr>
          <w:rFonts w:ascii="Palatino Linotype" w:eastAsia="Palatino Linotype" w:hAnsi="Palatino Linotype" w:cs="Palatino Linotype"/>
          <w:b/>
        </w:rPr>
        <w:t>al Recurrente</w:t>
      </w:r>
      <w:r>
        <w:rPr>
          <w:rFonts w:ascii="Palatino Linotype" w:eastAsia="Palatino Linotype" w:hAnsi="Palatino Linotype" w:cs="Palatino Linotype"/>
        </w:rPr>
        <w:t xml:space="preserve"> a través del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w:t>
      </w:r>
      <w:r>
        <w:rPr>
          <w:rFonts w:ascii="Palatino Linotype" w:eastAsia="Palatino Linotype" w:hAnsi="Palatino Linotype" w:cs="Palatino Linotype"/>
          <w:b/>
        </w:rPr>
        <w:t>versión pública de ser procedente</w:t>
      </w:r>
      <w:r>
        <w:rPr>
          <w:rFonts w:ascii="Palatino Linotype" w:eastAsia="Palatino Linotype" w:hAnsi="Palatino Linotype" w:cs="Palatino Linotype"/>
        </w:rPr>
        <w:t>, de lo siguiente:</w:t>
      </w:r>
    </w:p>
    <w:p w14:paraId="1B8BC45F" w14:textId="77777777" w:rsidR="00A907F0" w:rsidRDefault="00636860">
      <w:pPr>
        <w:numPr>
          <w:ilvl w:val="1"/>
          <w:numId w:val="5"/>
        </w:numPr>
        <w:spacing w:before="240" w:after="240"/>
        <w:ind w:left="567" w:right="900" w:hanging="283"/>
        <w:jc w:val="both"/>
        <w:rPr>
          <w:rFonts w:ascii="Palatino Linotype" w:eastAsia="Palatino Linotype" w:hAnsi="Palatino Linotype" w:cs="Palatino Linotype"/>
          <w:i/>
        </w:rPr>
      </w:pPr>
      <w:r>
        <w:rPr>
          <w:rFonts w:ascii="Palatino Linotype" w:eastAsia="Palatino Linotype" w:hAnsi="Palatino Linotype" w:cs="Palatino Linotype"/>
          <w:i/>
        </w:rPr>
        <w:t>Censo de luminarias de alumbrado público realizado por la Comisión Federal de Electricidad en el año 2019.</w:t>
      </w:r>
    </w:p>
    <w:p w14:paraId="5BF92389" w14:textId="77777777" w:rsidR="00A907F0" w:rsidRDefault="00636860">
      <w:pPr>
        <w:numPr>
          <w:ilvl w:val="1"/>
          <w:numId w:val="5"/>
        </w:numPr>
        <w:spacing w:before="240" w:after="240"/>
        <w:ind w:left="567" w:right="900" w:hanging="283"/>
        <w:jc w:val="both"/>
        <w:rPr>
          <w:rFonts w:ascii="Palatino Linotype" w:eastAsia="Palatino Linotype" w:hAnsi="Palatino Linotype" w:cs="Palatino Linotype"/>
          <w:i/>
        </w:rPr>
      </w:pPr>
      <w:r>
        <w:rPr>
          <w:rFonts w:ascii="Palatino Linotype" w:eastAsia="Palatino Linotype" w:hAnsi="Palatino Linotype" w:cs="Palatino Linotype"/>
          <w:i/>
        </w:rPr>
        <w:t>Los Convenios para la recaudación del Derecho de Alumbrado Público (DAP), entre la CFE y el Municipio, correspondiente a los años 2019, 2020 y 2021.</w:t>
      </w:r>
    </w:p>
    <w:p w14:paraId="7FD5335B" w14:textId="77777777" w:rsidR="00A907F0" w:rsidRDefault="00636860">
      <w:pPr>
        <w:numPr>
          <w:ilvl w:val="1"/>
          <w:numId w:val="5"/>
        </w:numPr>
        <w:spacing w:before="240" w:after="240"/>
        <w:ind w:left="567" w:right="900" w:hanging="283"/>
        <w:jc w:val="both"/>
        <w:rPr>
          <w:rFonts w:ascii="Palatino Linotype" w:eastAsia="Palatino Linotype" w:hAnsi="Palatino Linotype" w:cs="Palatino Linotype"/>
          <w:i/>
        </w:rPr>
      </w:pPr>
      <w:r>
        <w:rPr>
          <w:rFonts w:ascii="Palatino Linotype" w:eastAsia="Palatino Linotype" w:hAnsi="Palatino Linotype" w:cs="Palatino Linotype"/>
          <w:i/>
        </w:rPr>
        <w:t>Documento donde conste la facturación por el consumo de energía eléctrica en el alumbrado público municipal, así como la recaudación del DAP, del 1 de enero de 2018 al 22 de noviembre de 2021.</w:t>
      </w:r>
    </w:p>
    <w:p w14:paraId="31201C2D"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14:paraId="37E5B667" w14:textId="77777777" w:rsidR="00A907F0" w:rsidRDefault="006368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ser el caso de que la información de la que se ordena hacer entrega en el inciso b) no haya sido generada, poseída o administrada, el Sujeto Obligado deberá manifestar de manera fundada y motivada las razones que expliquen las causas por las cuales no se haya generado, poseído o administrado.</w:t>
      </w:r>
    </w:p>
    <w:p w14:paraId="02934EE9" w14:textId="77777777" w:rsidR="00A907F0" w:rsidRDefault="00636860">
      <w:pPr>
        <w:spacing w:before="240" w:after="240"/>
        <w:ind w:left="567" w:right="900"/>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En el caso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derivado de la búsqueda exhaustiva y razonable, no se localice la información que se ordena en el inciso a)</w:t>
      </w:r>
      <w:r w:rsidR="00E52E51">
        <w:rPr>
          <w:rFonts w:ascii="Palatino Linotype" w:eastAsia="Palatino Linotype" w:hAnsi="Palatino Linotype" w:cs="Palatino Linotype"/>
          <w:i/>
          <w:sz w:val="22"/>
          <w:szCs w:val="22"/>
        </w:rPr>
        <w:t xml:space="preserve"> y c</w:t>
      </w:r>
      <w:r w:rsidR="00DE205E">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6846EAAD" w14:textId="77777777" w:rsidR="00A907F0" w:rsidRDefault="00636860">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Tercero. Notifíquese </w:t>
      </w:r>
      <w:r>
        <w:rPr>
          <w:rFonts w:ascii="Palatino Linotype" w:eastAsia="Palatino Linotype" w:hAnsi="Palatino Linotype" w:cs="Palatino Linotype"/>
        </w:rPr>
        <w:t xml:space="preserve">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la presente resolución, al Responsable de la Unidad de Transparencia del Sujeto Obligado</w:t>
      </w:r>
      <w:r>
        <w:rPr>
          <w:rFonts w:ascii="Palatino Linotype" w:eastAsia="Palatino Linotype" w:hAnsi="Palatino Linotype" w:cs="Palatino Linotype"/>
          <w:highlight w:val="white"/>
        </w:rPr>
        <w:t xml:space="preserve">, para que conforme a los artículos 186 último párrafo y 189 </w:t>
      </w:r>
      <w:r>
        <w:rPr>
          <w:rFonts w:ascii="Palatino Linotype" w:eastAsia="Palatino Linotype" w:hAnsi="Palatino Linotype" w:cs="Palatino Linotype"/>
          <w:highlight w:val="white"/>
        </w:rPr>
        <w:lastRenderedPageBreak/>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3A5EB3C" w14:textId="77777777" w:rsidR="00A907F0" w:rsidRDefault="006368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F3E14FF" w14:textId="77777777" w:rsidR="00A907F0" w:rsidRDefault="006368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BB836F4" w14:textId="77777777" w:rsidR="00A907F0" w:rsidRDefault="00636860">
      <w:pPr>
        <w:spacing w:before="240" w:after="240" w:line="360" w:lineRule="auto"/>
        <w:jc w:val="both"/>
        <w:rPr>
          <w:rFonts w:ascii="Palatino Linotype" w:eastAsia="Palatino Linotype" w:hAnsi="Palatino Linotype" w:cs="Palatino Linotype"/>
        </w:rPr>
        <w:sectPr w:rsidR="00A907F0">
          <w:headerReference w:type="default" r:id="rId29"/>
          <w:footerReference w:type="default" r:id="rId30"/>
          <w:headerReference w:type="first" r:id="rId31"/>
          <w:footerReference w:type="first" r:id="rId32"/>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SÉPTIMA SESIÓN O</w:t>
      </w:r>
      <w:r w:rsidR="00DE205E">
        <w:rPr>
          <w:rFonts w:ascii="Palatino Linotype" w:eastAsia="Palatino Linotype" w:hAnsi="Palatino Linotype" w:cs="Palatino Linotype"/>
          <w:color w:val="222222"/>
          <w:highlight w:val="white"/>
        </w:rPr>
        <w:t>RDINARIA CELEBRADA EL VEINTITRÉS</w:t>
      </w:r>
      <w:r>
        <w:rPr>
          <w:rFonts w:ascii="Palatino Linotype" w:eastAsia="Palatino Linotype" w:hAnsi="Palatino Linotype" w:cs="Palatino Linotype"/>
          <w:color w:val="222222"/>
          <w:highlight w:val="white"/>
        </w:rPr>
        <w:t xml:space="preserve"> DE FEBRERO</w:t>
      </w:r>
      <w:r>
        <w:rPr>
          <w:rFonts w:ascii="Palatino Linotype" w:eastAsia="Palatino Linotype" w:hAnsi="Palatino Linotype" w:cs="Palatino Linotype"/>
        </w:rPr>
        <w:t xml:space="preserve"> DE DOS MIL </w:t>
      </w:r>
      <w:r>
        <w:rPr>
          <w:rFonts w:ascii="Palatino Linotype" w:eastAsia="Palatino Linotype" w:hAnsi="Palatino Linotype" w:cs="Palatino Linotype"/>
        </w:rPr>
        <w:lastRenderedPageBreak/>
        <w:t xml:space="preserve">VEINTIDOS, ANTE EL SECRETARIO TÉCNICO DEL PLENO ALEXIS TAPIA </w:t>
      </w:r>
      <w:r w:rsidR="00667DAF">
        <w:rPr>
          <w:rFonts w:ascii="Palatino Linotype" w:eastAsia="Palatino Linotype" w:hAnsi="Palatino Linotype" w:cs="Palatino Linotype"/>
          <w:noProof/>
          <w:lang w:val="es-MX" w:eastAsia="es-MX"/>
        </w:rPr>
        <mc:AlternateContent>
          <mc:Choice Requires="wps">
            <w:drawing>
              <wp:anchor distT="0" distB="0" distL="114300" distR="114300" simplePos="0" relativeHeight="251662336" behindDoc="0" locked="0" layoutInCell="1" allowOverlap="1" wp14:anchorId="159E3DDE" wp14:editId="72B82924">
                <wp:simplePos x="0" y="0"/>
                <wp:positionH relativeFrom="column">
                  <wp:posOffset>120014</wp:posOffset>
                </wp:positionH>
                <wp:positionV relativeFrom="paragraph">
                  <wp:posOffset>607695</wp:posOffset>
                </wp:positionV>
                <wp:extent cx="5229225" cy="70104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229225" cy="701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860544"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45pt,47.85pt" to="421.2pt,5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" strokecolor="black [3200]" strokeweight=".5pt">
                <v:stroke joinstyle="miter"/>
              </v:line>
            </w:pict>
          </mc:Fallback>
        </mc:AlternateContent>
      </w:r>
      <w:r>
        <w:rPr>
          <w:rFonts w:ascii="Palatino Linotype" w:eastAsia="Palatino Linotype" w:hAnsi="Palatino Linotype" w:cs="Palatino Linotype"/>
        </w:rPr>
        <w:t>RAMÍREZ.</w:t>
      </w:r>
    </w:p>
    <w:p w14:paraId="452110F2" w14:textId="77777777" w:rsidR="00A907F0" w:rsidRDefault="00A907F0">
      <w:pPr>
        <w:spacing w:before="240" w:after="240" w:line="360" w:lineRule="auto"/>
        <w:jc w:val="both"/>
        <w:rPr>
          <w:rFonts w:ascii="Palatino Linotype" w:eastAsia="Palatino Linotype" w:hAnsi="Palatino Linotype" w:cs="Palatino Linotype"/>
        </w:rPr>
      </w:pPr>
    </w:p>
    <w:p w14:paraId="2093F9BE" w14:textId="77777777" w:rsidR="00A907F0" w:rsidRDefault="00A907F0"/>
    <w:p w14:paraId="67E0C217" w14:textId="77777777" w:rsidR="00A907F0" w:rsidRDefault="00A907F0"/>
    <w:p w14:paraId="3482E4EB" w14:textId="77777777" w:rsidR="00A907F0" w:rsidRDefault="00A907F0"/>
    <w:sectPr w:rsidR="00A907F0">
      <w:headerReference w:type="first" r:id="rId33"/>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066D3" w14:textId="77777777" w:rsidR="00C427CC" w:rsidRDefault="00C427CC">
      <w:r>
        <w:separator/>
      </w:r>
    </w:p>
  </w:endnote>
  <w:endnote w:type="continuationSeparator" w:id="0">
    <w:p w14:paraId="6D374EB5" w14:textId="77777777" w:rsidR="00C427CC" w:rsidRDefault="00C42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7EF3" w14:textId="77777777" w:rsidR="00523EC2" w:rsidRDefault="00523EC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09E0">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09E0">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04AAFF2E" w14:textId="77777777" w:rsidR="00523EC2" w:rsidRDefault="00523EC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E2AC" w14:textId="77777777" w:rsidR="00523EC2" w:rsidRDefault="00523EC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09E0">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09E0">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0BC5DA8C" w14:textId="77777777" w:rsidR="00523EC2" w:rsidRDefault="00523EC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F2C76" w14:textId="77777777" w:rsidR="00C427CC" w:rsidRDefault="00C427CC">
      <w:r>
        <w:separator/>
      </w:r>
    </w:p>
  </w:footnote>
  <w:footnote w:type="continuationSeparator" w:id="0">
    <w:p w14:paraId="1BEF46CB" w14:textId="77777777" w:rsidR="00C427CC" w:rsidRDefault="00C427CC">
      <w:r>
        <w:continuationSeparator/>
      </w:r>
    </w:p>
  </w:footnote>
  <w:footnote w:id="1">
    <w:p w14:paraId="1677D00F" w14:textId="77777777" w:rsidR="00523EC2" w:rsidRDefault="00523EC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D7596DC" w14:textId="77777777" w:rsidR="00523EC2" w:rsidRDefault="00523EC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3292D5E" w14:textId="77777777" w:rsidR="00523EC2" w:rsidRDefault="00523EC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342 del Código Financiero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A52B" w14:textId="77777777" w:rsidR="00523EC2" w:rsidRDefault="00523EC2">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5E2EF96F" wp14:editId="4B240265">
          <wp:simplePos x="0" y="0"/>
          <wp:positionH relativeFrom="column">
            <wp:posOffset>-665860</wp:posOffset>
          </wp:positionH>
          <wp:positionV relativeFrom="paragraph">
            <wp:posOffset>-453617</wp:posOffset>
          </wp:positionV>
          <wp:extent cx="7635600" cy="9943200"/>
          <wp:effectExtent l="0" t="0" r="0" b="0"/>
          <wp:wrapNone/>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5812" w:type="dxa"/>
      <w:tblInd w:w="3119" w:type="dxa"/>
      <w:tblLayout w:type="fixed"/>
      <w:tblLook w:val="0400" w:firstRow="0" w:lastRow="0" w:firstColumn="0" w:lastColumn="0" w:noHBand="0" w:noVBand="1"/>
    </w:tblPr>
    <w:tblGrid>
      <w:gridCol w:w="2551"/>
      <w:gridCol w:w="3261"/>
    </w:tblGrid>
    <w:tr w:rsidR="00523EC2" w14:paraId="13ED8E96" w14:textId="77777777">
      <w:tc>
        <w:tcPr>
          <w:tcW w:w="2551" w:type="dxa"/>
          <w:vAlign w:val="center"/>
        </w:tcPr>
        <w:p w14:paraId="37703A5D" w14:textId="77777777" w:rsidR="00523EC2" w:rsidRDefault="00523E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677BD028" w14:textId="77777777" w:rsidR="00523EC2" w:rsidRDefault="00523E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06059/INFOEM/IP/RR/2021. </w:t>
          </w:r>
        </w:p>
      </w:tc>
    </w:tr>
    <w:tr w:rsidR="00523EC2" w14:paraId="3FAF44DE" w14:textId="77777777">
      <w:tc>
        <w:tcPr>
          <w:tcW w:w="2551" w:type="dxa"/>
          <w:vAlign w:val="center"/>
        </w:tcPr>
        <w:p w14:paraId="1B83D43B" w14:textId="77777777" w:rsidR="00523EC2" w:rsidRDefault="00523EC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2B7196B4" w14:textId="0E6156EC" w:rsidR="00523EC2" w:rsidRDefault="00523EC2">
          <w:pPr>
            <w:jc w:val="both"/>
            <w:rPr>
              <w:rFonts w:ascii="Palatino Linotype" w:eastAsia="Palatino Linotype" w:hAnsi="Palatino Linotype" w:cs="Palatino Linotype"/>
              <w:b/>
              <w:sz w:val="22"/>
              <w:szCs w:val="22"/>
            </w:rPr>
          </w:pPr>
        </w:p>
      </w:tc>
    </w:tr>
    <w:tr w:rsidR="00523EC2" w14:paraId="2381384C" w14:textId="77777777">
      <w:trPr>
        <w:trHeight w:val="228"/>
      </w:trPr>
      <w:tc>
        <w:tcPr>
          <w:tcW w:w="2551" w:type="dxa"/>
          <w:vAlign w:val="center"/>
        </w:tcPr>
        <w:p w14:paraId="41F1CB72" w14:textId="77777777" w:rsidR="00523EC2" w:rsidRDefault="00523E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7416A33C" w14:textId="77777777" w:rsidR="00523EC2" w:rsidRDefault="00523E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Jaltenco.</w:t>
          </w:r>
        </w:p>
      </w:tc>
    </w:tr>
    <w:tr w:rsidR="00523EC2" w14:paraId="277F776A" w14:textId="77777777">
      <w:tc>
        <w:tcPr>
          <w:tcW w:w="2551" w:type="dxa"/>
          <w:vAlign w:val="center"/>
        </w:tcPr>
        <w:p w14:paraId="2F598D0F" w14:textId="77777777" w:rsidR="00523EC2" w:rsidRDefault="00523E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19853CF0" w14:textId="77777777" w:rsidR="00523EC2" w:rsidRDefault="00523EC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14E822" w14:textId="77777777" w:rsidR="00523EC2" w:rsidRDefault="00523EC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4065" w14:textId="77777777" w:rsidR="00523EC2" w:rsidRDefault="00523EC2">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3F7CCC2F" wp14:editId="31B20BB4">
          <wp:simplePos x="0" y="0"/>
          <wp:positionH relativeFrom="column">
            <wp:posOffset>-1014094</wp:posOffset>
          </wp:positionH>
          <wp:positionV relativeFrom="paragraph">
            <wp:posOffset>-396874</wp:posOffset>
          </wp:positionV>
          <wp:extent cx="7635600" cy="9943200"/>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662" w:type="dxa"/>
      <w:tblInd w:w="3119" w:type="dxa"/>
      <w:tblLayout w:type="fixed"/>
      <w:tblLook w:val="0400" w:firstRow="0" w:lastRow="0" w:firstColumn="0" w:lastColumn="0" w:noHBand="0" w:noVBand="1"/>
    </w:tblPr>
    <w:tblGrid>
      <w:gridCol w:w="2551"/>
      <w:gridCol w:w="4111"/>
    </w:tblGrid>
    <w:tr w:rsidR="00523EC2" w14:paraId="7F34326F" w14:textId="77777777">
      <w:tc>
        <w:tcPr>
          <w:tcW w:w="2551" w:type="dxa"/>
          <w:vAlign w:val="center"/>
        </w:tcPr>
        <w:p w14:paraId="6AA02094" w14:textId="77777777" w:rsidR="00523EC2" w:rsidRDefault="00523E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14:paraId="1C0ECF52" w14:textId="77777777" w:rsidR="00523EC2" w:rsidRDefault="00523E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06059/INFOEM/IP/RR/2021. </w:t>
          </w:r>
        </w:p>
      </w:tc>
    </w:tr>
    <w:tr w:rsidR="00523EC2" w14:paraId="6F9B42AD" w14:textId="77777777">
      <w:tc>
        <w:tcPr>
          <w:tcW w:w="2551" w:type="dxa"/>
          <w:vAlign w:val="center"/>
        </w:tcPr>
        <w:p w14:paraId="107FCEA1" w14:textId="77777777" w:rsidR="00523EC2" w:rsidRDefault="00523E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vAlign w:val="center"/>
        </w:tcPr>
        <w:p w14:paraId="1226A52C" w14:textId="77777777" w:rsidR="00523EC2" w:rsidRDefault="000D09E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 XXXXXXXX</w:t>
          </w:r>
        </w:p>
      </w:tc>
    </w:tr>
    <w:tr w:rsidR="00523EC2" w14:paraId="3A747A9B" w14:textId="77777777">
      <w:trPr>
        <w:trHeight w:val="228"/>
      </w:trPr>
      <w:tc>
        <w:tcPr>
          <w:tcW w:w="2551" w:type="dxa"/>
          <w:vAlign w:val="center"/>
        </w:tcPr>
        <w:p w14:paraId="3259E1CE" w14:textId="77777777" w:rsidR="00523EC2" w:rsidRDefault="00523E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14:paraId="3D387886" w14:textId="77777777" w:rsidR="00523EC2" w:rsidRDefault="00523EC2">
          <w:pPr>
            <w:ind w:left="34"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Jaltenco.</w:t>
          </w:r>
        </w:p>
      </w:tc>
    </w:tr>
    <w:tr w:rsidR="00523EC2" w14:paraId="12C4F3F6" w14:textId="77777777">
      <w:tc>
        <w:tcPr>
          <w:tcW w:w="2551" w:type="dxa"/>
          <w:vAlign w:val="center"/>
        </w:tcPr>
        <w:p w14:paraId="2190628E" w14:textId="77777777" w:rsidR="00523EC2" w:rsidRDefault="00523E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14:paraId="3B2197AF" w14:textId="77777777" w:rsidR="00523EC2" w:rsidRDefault="00523EC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8CFE09C" w14:textId="77777777" w:rsidR="00523EC2" w:rsidRDefault="00523EC2">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DBE5" w14:textId="77777777" w:rsidR="00523EC2" w:rsidRDefault="00523EC2">
    <w:pPr>
      <w:pBdr>
        <w:top w:val="nil"/>
        <w:left w:val="nil"/>
        <w:bottom w:val="nil"/>
        <w:right w:val="nil"/>
        <w:between w:val="nil"/>
      </w:pBdr>
      <w:tabs>
        <w:tab w:val="center" w:pos="4419"/>
        <w:tab w:val="right" w:pos="8838"/>
      </w:tabs>
      <w:jc w:val="both"/>
      <w:rPr>
        <w:color w:val="000000"/>
      </w:rPr>
    </w:pPr>
  </w:p>
  <w:p w14:paraId="7978D84C" w14:textId="77777777" w:rsidR="00523EC2" w:rsidRDefault="00523EC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32AD0"/>
    <w:multiLevelType w:val="multilevel"/>
    <w:tmpl w:val="3158512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18487E"/>
    <w:multiLevelType w:val="multilevel"/>
    <w:tmpl w:val="A75857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024F65"/>
    <w:multiLevelType w:val="multilevel"/>
    <w:tmpl w:val="4EC425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C0405E"/>
    <w:multiLevelType w:val="multilevel"/>
    <w:tmpl w:val="2D58C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951D10"/>
    <w:multiLevelType w:val="multilevel"/>
    <w:tmpl w:val="43A44AEE"/>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72470B"/>
    <w:multiLevelType w:val="multilevel"/>
    <w:tmpl w:val="660A2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A7261F"/>
    <w:multiLevelType w:val="multilevel"/>
    <w:tmpl w:val="76668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Palatino Linotype" w:eastAsia="Palatino Linotype" w:hAnsi="Palatino Linotype" w:cs="Palatino Linotype"/>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6312889">
    <w:abstractNumId w:val="8"/>
  </w:num>
  <w:num w:numId="2" w16cid:durableId="1721707380">
    <w:abstractNumId w:val="6"/>
  </w:num>
  <w:num w:numId="3" w16cid:durableId="195898841">
    <w:abstractNumId w:val="0"/>
  </w:num>
  <w:num w:numId="4" w16cid:durableId="1961643223">
    <w:abstractNumId w:val="4"/>
  </w:num>
  <w:num w:numId="5" w16cid:durableId="2001082511">
    <w:abstractNumId w:val="7"/>
  </w:num>
  <w:num w:numId="6" w16cid:durableId="80220314">
    <w:abstractNumId w:val="5"/>
  </w:num>
  <w:num w:numId="7" w16cid:durableId="1508978149">
    <w:abstractNumId w:val="1"/>
  </w:num>
  <w:num w:numId="8" w16cid:durableId="1081633591">
    <w:abstractNumId w:val="3"/>
  </w:num>
  <w:num w:numId="9" w16cid:durableId="571545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7F0"/>
    <w:rsid w:val="000447AB"/>
    <w:rsid w:val="000D0100"/>
    <w:rsid w:val="000D09E0"/>
    <w:rsid w:val="003903CA"/>
    <w:rsid w:val="00523EC2"/>
    <w:rsid w:val="00636860"/>
    <w:rsid w:val="00667DAF"/>
    <w:rsid w:val="00A907F0"/>
    <w:rsid w:val="00C427CC"/>
    <w:rsid w:val="00DE205E"/>
    <w:rsid w:val="00E52E51"/>
    <w:rsid w:val="00F367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23103"/>
  <w15:docId w15:val="{EA2BCE46-200E-4A45-820D-4EDE6EBB6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FC5"/>
    <w:rPr>
      <w:lang w:eastAsia="es-ES"/>
    </w:rPr>
  </w:style>
  <w:style w:type="paragraph" w:styleId="Ttulo1">
    <w:name w:val="heading 1"/>
    <w:basedOn w:val="Normal"/>
    <w:next w:val="Normal"/>
    <w:link w:val="Ttulo1Car"/>
    <w:uiPriority w:val="9"/>
    <w:qFormat/>
    <w:rsid w:val="008E40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97FC5"/>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97FC5"/>
    <w:pPr>
      <w:ind w:left="708"/>
    </w:pPr>
    <w:rPr>
      <w:sz w:val="22"/>
      <w:szCs w:val="22"/>
      <w:lang w:eastAsia="en-US"/>
    </w:rPr>
  </w:style>
  <w:style w:type="paragraph" w:customStyle="1" w:styleId="paragraph">
    <w:name w:val="paragraph"/>
    <w:basedOn w:val="Normal"/>
    <w:rsid w:val="00A97FC5"/>
    <w:pPr>
      <w:spacing w:before="100" w:beforeAutospacing="1" w:after="100" w:afterAutospacing="1"/>
    </w:pPr>
    <w:rPr>
      <w:lang w:val="es-MX" w:eastAsia="es-MX"/>
    </w:rPr>
  </w:style>
  <w:style w:type="character" w:customStyle="1" w:styleId="normaltextrun">
    <w:name w:val="normaltextrun"/>
    <w:basedOn w:val="Fuentedeprrafopredeter"/>
    <w:rsid w:val="00A97FC5"/>
  </w:style>
  <w:style w:type="character" w:customStyle="1" w:styleId="apple-converted-space">
    <w:name w:val="apple-converted-space"/>
    <w:basedOn w:val="Fuentedeprrafopredeter"/>
    <w:rsid w:val="00A97FC5"/>
  </w:style>
  <w:style w:type="character" w:customStyle="1" w:styleId="eop">
    <w:name w:val="eop"/>
    <w:basedOn w:val="Fuentedeprrafopredeter"/>
    <w:rsid w:val="00A97FC5"/>
  </w:style>
  <w:style w:type="table" w:styleId="Tablaconcuadrcula">
    <w:name w:val="Table Grid"/>
    <w:basedOn w:val="Tablanormal"/>
    <w:uiPriority w:val="39"/>
    <w:rsid w:val="00A97FC5"/>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97FC5"/>
    <w:pPr>
      <w:tabs>
        <w:tab w:val="center" w:pos="4419"/>
        <w:tab w:val="right" w:pos="8838"/>
      </w:tabs>
    </w:pPr>
  </w:style>
  <w:style w:type="character" w:customStyle="1" w:styleId="EncabezadoCar">
    <w:name w:val="Encabezado Car"/>
    <w:basedOn w:val="Fuentedeprrafopredeter"/>
    <w:link w:val="Encabezado"/>
    <w:uiPriority w:val="99"/>
    <w:rsid w:val="00A97FC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97FC5"/>
    <w:pPr>
      <w:tabs>
        <w:tab w:val="center" w:pos="4419"/>
        <w:tab w:val="right" w:pos="8838"/>
      </w:tabs>
    </w:pPr>
  </w:style>
  <w:style w:type="character" w:customStyle="1" w:styleId="PiedepginaCar">
    <w:name w:val="Pie de página Car"/>
    <w:basedOn w:val="Fuentedeprrafopredeter"/>
    <w:link w:val="Piedepgina"/>
    <w:uiPriority w:val="99"/>
    <w:rsid w:val="00A97FC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761C85"/>
  </w:style>
  <w:style w:type="character" w:customStyle="1" w:styleId="SinespaciadoCar">
    <w:name w:val="Sin espaciado Car"/>
    <w:aliases w:val="Francesa Car,INAI Car"/>
    <w:link w:val="Sinespaciado"/>
    <w:uiPriority w:val="1"/>
    <w:locked/>
    <w:rsid w:val="00761C85"/>
  </w:style>
  <w:style w:type="paragraph" w:styleId="NormalWeb">
    <w:name w:val="Normal (Web)"/>
    <w:basedOn w:val="Normal"/>
    <w:uiPriority w:val="99"/>
    <w:unhideWhenUsed/>
    <w:rsid w:val="00F74D7C"/>
    <w:pPr>
      <w:spacing w:before="100" w:beforeAutospacing="1" w:after="100" w:afterAutospacing="1"/>
    </w:pPr>
    <w:rPr>
      <w:lang w:val="es-MX" w:eastAsia="es-MX"/>
    </w:rPr>
  </w:style>
  <w:style w:type="character" w:styleId="Hipervnculo">
    <w:name w:val="Hyperlink"/>
    <w:basedOn w:val="Fuentedeprrafopredeter"/>
    <w:uiPriority w:val="99"/>
    <w:semiHidden/>
    <w:unhideWhenUsed/>
    <w:rsid w:val="00F74D7C"/>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F1F5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F1F5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F1F55"/>
    <w:rPr>
      <w:sz w:val="20"/>
      <w:szCs w:val="20"/>
    </w:rPr>
  </w:style>
  <w:style w:type="character" w:customStyle="1" w:styleId="Ttulo1Car">
    <w:name w:val="Título 1 Car"/>
    <w:basedOn w:val="Fuentedeprrafopredeter"/>
    <w:link w:val="Ttulo1"/>
    <w:uiPriority w:val="9"/>
    <w:rsid w:val="008E4034"/>
    <w:rPr>
      <w:rFonts w:asciiTheme="majorHAnsi" w:eastAsiaTheme="majorEastAsia" w:hAnsiTheme="majorHAnsi" w:cstheme="majorBidi"/>
      <w:color w:val="2F5496" w:themeColor="accent1" w:themeShade="BF"/>
      <w:sz w:val="32"/>
      <w:szCs w:val="32"/>
      <w:lang w:val="es-ES" w:eastAsia="es-ES"/>
    </w:rPr>
  </w:style>
  <w:style w:type="table" w:customStyle="1" w:styleId="Tabladelista1clara-nfasis12">
    <w:name w:val="Tabla de lista 1 clara - Énfasis 12"/>
    <w:basedOn w:val="Tablanormal"/>
    <w:next w:val="Tabladelista1clara-nfasis1"/>
    <w:uiPriority w:val="46"/>
    <w:rsid w:val="00F6704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67043"/>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about:blank" TargetMode="External"/><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Kj66Wj63ZdJablBULTEdVr9NhHw==">AMUW2mUJ02ljqYd4vzJVYtWHeeSmDINzO1nZrcHaoKMx1iEirAYt4FFPZDhaaKlwiF7fpteASyzVgkQNA8qUAEiZeXZaCplPn2Zxnyunb8Y0yib0vXtn68Q7OVldWrA/aEfjK1F4FsOJ</go:docsCustomData>
</go:gDocsCustomXmlDataStorage>
</file>

<file path=customXml/itemProps1.xml><?xml version="1.0" encoding="utf-8"?>
<ds:datastoreItem xmlns:ds="http://schemas.openxmlformats.org/officeDocument/2006/customXml" ds:itemID="{97D6CACB-1990-4173-B2C3-A8EC496324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13188</Words>
  <Characters>72536</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misael hernandez</dc:creator>
  <cp:lastModifiedBy>KEPZAR Productos y Servicios de Tecnología</cp:lastModifiedBy>
  <cp:revision>2</cp:revision>
  <dcterms:created xsi:type="dcterms:W3CDTF">2022-04-26T19:01:00Z</dcterms:created>
  <dcterms:modified xsi:type="dcterms:W3CDTF">2022-04-26T19:01:00Z</dcterms:modified>
</cp:coreProperties>
</file>