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26D904" w14:textId="5D6D928F" w:rsidR="00AA541F" w:rsidRPr="00140ACF" w:rsidRDefault="001928B5">
      <w:pPr>
        <w:spacing w:before="240" w:after="240" w:line="360" w:lineRule="auto"/>
        <w:jc w:val="both"/>
        <w:rPr>
          <w:rFonts w:ascii="Palatino Linotype" w:eastAsia="Palatino Linotype" w:hAnsi="Palatino Linotype" w:cs="Palatino Linotype"/>
        </w:rPr>
      </w:pPr>
      <w:r w:rsidRPr="00140ACF">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A743B4" w:rsidRPr="00140ACF">
        <w:rPr>
          <w:rFonts w:ascii="Palatino Linotype" w:eastAsia="Palatino Linotype" w:hAnsi="Palatino Linotype" w:cs="Palatino Linotype"/>
        </w:rPr>
        <w:t xml:space="preserve">siete de septiembre </w:t>
      </w:r>
      <w:r w:rsidRPr="00140ACF">
        <w:rPr>
          <w:rFonts w:ascii="Palatino Linotype" w:eastAsia="Palatino Linotype" w:hAnsi="Palatino Linotype" w:cs="Palatino Linotype"/>
        </w:rPr>
        <w:t xml:space="preserve">de dos mil veintidós. </w:t>
      </w:r>
    </w:p>
    <w:p w14:paraId="3D602C92" w14:textId="32570B8E" w:rsidR="00AA541F" w:rsidRPr="00140ACF" w:rsidRDefault="001928B5">
      <w:pPr>
        <w:spacing w:before="240" w:after="240" w:line="360" w:lineRule="auto"/>
        <w:jc w:val="both"/>
        <w:rPr>
          <w:rFonts w:ascii="Palatino Linotype" w:eastAsia="Palatino Linotype" w:hAnsi="Palatino Linotype" w:cs="Palatino Linotype"/>
        </w:rPr>
      </w:pPr>
      <w:r w:rsidRPr="00140ACF">
        <w:rPr>
          <w:rFonts w:ascii="Palatino Linotype" w:eastAsia="Palatino Linotype" w:hAnsi="Palatino Linotype" w:cs="Palatino Linotype"/>
          <w:b/>
        </w:rPr>
        <w:t>VISTO</w:t>
      </w:r>
      <w:r w:rsidRPr="00140ACF">
        <w:rPr>
          <w:rFonts w:ascii="Palatino Linotype" w:eastAsia="Palatino Linotype" w:hAnsi="Palatino Linotype" w:cs="Palatino Linotype"/>
        </w:rPr>
        <w:t xml:space="preserve"> el expediente formado con motivo del recurso de revisión </w:t>
      </w:r>
      <w:r w:rsidRPr="00140ACF">
        <w:rPr>
          <w:rFonts w:ascii="Palatino Linotype" w:eastAsia="Palatino Linotype" w:hAnsi="Palatino Linotype" w:cs="Palatino Linotype"/>
          <w:b/>
        </w:rPr>
        <w:t>0</w:t>
      </w:r>
      <w:r w:rsidR="00A743B4" w:rsidRPr="00140ACF">
        <w:rPr>
          <w:rFonts w:ascii="Palatino Linotype" w:eastAsia="Palatino Linotype" w:hAnsi="Palatino Linotype" w:cs="Palatino Linotype"/>
          <w:b/>
        </w:rPr>
        <w:t>6679</w:t>
      </w:r>
      <w:r w:rsidRPr="00140ACF">
        <w:rPr>
          <w:rFonts w:ascii="Palatino Linotype" w:eastAsia="Palatino Linotype" w:hAnsi="Palatino Linotype" w:cs="Palatino Linotype"/>
          <w:b/>
        </w:rPr>
        <w:t>/INFOEM/IP/RR/2022</w:t>
      </w:r>
      <w:r w:rsidRPr="00140ACF">
        <w:rPr>
          <w:rFonts w:ascii="Palatino Linotype" w:eastAsia="Palatino Linotype" w:hAnsi="Palatino Linotype" w:cs="Palatino Linotype"/>
        </w:rPr>
        <w:t>, interpuesto por</w:t>
      </w:r>
      <w:r w:rsidR="004542FA" w:rsidRPr="00140ACF">
        <w:rPr>
          <w:rFonts w:ascii="Palatino Linotype" w:eastAsia="Palatino Linotype" w:hAnsi="Palatino Linotype" w:cs="Palatino Linotype"/>
        </w:rPr>
        <w:t xml:space="preserve"> </w:t>
      </w:r>
      <w:r w:rsidR="003459C9">
        <w:rPr>
          <w:rFonts w:ascii="Palatino Linotype" w:eastAsia="Palatino Linotype" w:hAnsi="Palatino Linotype" w:cs="Palatino Linotype"/>
          <w:b/>
        </w:rPr>
        <w:t>XXXXXXX</w:t>
      </w:r>
      <w:r w:rsidR="004542FA" w:rsidRPr="00140ACF">
        <w:rPr>
          <w:rFonts w:ascii="Palatino Linotype" w:eastAsia="Palatino Linotype" w:hAnsi="Palatino Linotype" w:cs="Palatino Linotype"/>
          <w:b/>
        </w:rPr>
        <w:t xml:space="preserve"> </w:t>
      </w:r>
      <w:r w:rsidR="003459C9">
        <w:rPr>
          <w:rFonts w:ascii="Palatino Linotype" w:eastAsia="Palatino Linotype" w:hAnsi="Palatino Linotype" w:cs="Palatino Linotype"/>
          <w:b/>
        </w:rPr>
        <w:t>XXXXXXXX</w:t>
      </w:r>
      <w:r w:rsidR="004542FA" w:rsidRPr="00140ACF">
        <w:rPr>
          <w:rFonts w:ascii="Palatino Linotype" w:eastAsia="Palatino Linotype" w:hAnsi="Palatino Linotype" w:cs="Palatino Linotype"/>
          <w:b/>
        </w:rPr>
        <w:t xml:space="preserve"> </w:t>
      </w:r>
      <w:r w:rsidR="003459C9">
        <w:rPr>
          <w:rFonts w:ascii="Palatino Linotype" w:eastAsia="Palatino Linotype" w:hAnsi="Palatino Linotype" w:cs="Palatino Linotype"/>
          <w:b/>
        </w:rPr>
        <w:t>X</w:t>
      </w:r>
      <w:bookmarkStart w:id="0" w:name="_GoBack"/>
      <w:bookmarkEnd w:id="0"/>
      <w:r w:rsidR="004542FA" w:rsidRPr="00140ACF">
        <w:rPr>
          <w:rFonts w:ascii="Palatino Linotype" w:eastAsia="Palatino Linotype" w:hAnsi="Palatino Linotype" w:cs="Palatino Linotype"/>
        </w:rPr>
        <w:t>, e</w:t>
      </w:r>
      <w:r w:rsidRPr="00140ACF">
        <w:rPr>
          <w:rFonts w:ascii="Palatino Linotype" w:eastAsia="Palatino Linotype" w:hAnsi="Palatino Linotype" w:cs="Palatino Linotype"/>
        </w:rPr>
        <w:t>n lo sucesivo</w:t>
      </w:r>
      <w:r w:rsidRPr="00140ACF">
        <w:rPr>
          <w:rFonts w:ascii="Palatino Linotype" w:eastAsia="Palatino Linotype" w:hAnsi="Palatino Linotype" w:cs="Palatino Linotype"/>
          <w:b/>
        </w:rPr>
        <w:t xml:space="preserve"> </w:t>
      </w:r>
      <w:r w:rsidRPr="00140ACF">
        <w:rPr>
          <w:rFonts w:ascii="Palatino Linotype" w:eastAsia="Palatino Linotype" w:hAnsi="Palatino Linotype" w:cs="Palatino Linotype"/>
        </w:rPr>
        <w:t xml:space="preserve">la parte </w:t>
      </w:r>
      <w:r w:rsidRPr="00140ACF">
        <w:rPr>
          <w:rFonts w:ascii="Palatino Linotype" w:eastAsia="Palatino Linotype" w:hAnsi="Palatino Linotype" w:cs="Palatino Linotype"/>
          <w:b/>
        </w:rPr>
        <w:t>Recurrente,</w:t>
      </w:r>
      <w:r w:rsidRPr="00140ACF">
        <w:rPr>
          <w:rFonts w:ascii="Palatino Linotype" w:eastAsia="Palatino Linotype" w:hAnsi="Palatino Linotype" w:cs="Palatino Linotype"/>
        </w:rPr>
        <w:t xml:space="preserve"> en contra de la respuesta a su solicitud por parte del </w:t>
      </w:r>
      <w:r w:rsidR="00A743B4" w:rsidRPr="00140ACF">
        <w:rPr>
          <w:rFonts w:ascii="Palatino Linotype" w:eastAsia="Palatino Linotype" w:hAnsi="Palatino Linotype" w:cs="Palatino Linotype"/>
          <w:b/>
        </w:rPr>
        <w:t>Ayuntamiento de Melchor Ocampo</w:t>
      </w:r>
      <w:r w:rsidRPr="00140ACF">
        <w:rPr>
          <w:rFonts w:ascii="Palatino Linotype" w:eastAsia="Palatino Linotype" w:hAnsi="Palatino Linotype" w:cs="Palatino Linotype"/>
          <w:b/>
        </w:rPr>
        <w:t xml:space="preserve">, </w:t>
      </w:r>
      <w:r w:rsidRPr="00140ACF">
        <w:rPr>
          <w:rFonts w:ascii="Palatino Linotype" w:eastAsia="Palatino Linotype" w:hAnsi="Palatino Linotype" w:cs="Palatino Linotype"/>
        </w:rPr>
        <w:t xml:space="preserve">en lo sucesivo el </w:t>
      </w:r>
      <w:r w:rsidRPr="00140ACF">
        <w:rPr>
          <w:rFonts w:ascii="Palatino Linotype" w:eastAsia="Palatino Linotype" w:hAnsi="Palatino Linotype" w:cs="Palatino Linotype"/>
          <w:b/>
        </w:rPr>
        <w:t xml:space="preserve">Sujeto Obligado, </w:t>
      </w:r>
      <w:r w:rsidRPr="00140ACF">
        <w:rPr>
          <w:rFonts w:ascii="Palatino Linotype" w:eastAsia="Palatino Linotype" w:hAnsi="Palatino Linotype" w:cs="Palatino Linotype"/>
        </w:rPr>
        <w:t xml:space="preserve">se procede a dictar la presente resolución con base en los siguientes: </w:t>
      </w:r>
    </w:p>
    <w:p w14:paraId="2D9AA6C5" w14:textId="77777777" w:rsidR="00AA541F" w:rsidRPr="00140ACF" w:rsidRDefault="001928B5">
      <w:pPr>
        <w:spacing w:before="240" w:after="240" w:line="360" w:lineRule="auto"/>
        <w:jc w:val="center"/>
        <w:rPr>
          <w:rFonts w:ascii="Palatino Linotype" w:eastAsia="Palatino Linotype" w:hAnsi="Palatino Linotype" w:cs="Palatino Linotype"/>
          <w:b/>
        </w:rPr>
      </w:pPr>
      <w:r w:rsidRPr="00140ACF">
        <w:rPr>
          <w:rFonts w:ascii="Palatino Linotype" w:eastAsia="Palatino Linotype" w:hAnsi="Palatino Linotype" w:cs="Palatino Linotype"/>
          <w:b/>
        </w:rPr>
        <w:t>I. A N T E C E D E N T E S</w:t>
      </w:r>
    </w:p>
    <w:p w14:paraId="20FCA338" w14:textId="5803E8A6" w:rsidR="00AA541F" w:rsidRPr="00140ACF" w:rsidRDefault="001928B5">
      <w:pPr>
        <w:spacing w:before="240" w:after="240" w:line="360" w:lineRule="auto"/>
        <w:jc w:val="both"/>
        <w:rPr>
          <w:rFonts w:ascii="Palatino Linotype" w:eastAsia="Palatino Linotype" w:hAnsi="Palatino Linotype" w:cs="Palatino Linotype"/>
        </w:rPr>
      </w:pPr>
      <w:r w:rsidRPr="00140ACF">
        <w:rPr>
          <w:rFonts w:ascii="Palatino Linotype" w:eastAsia="Palatino Linotype" w:hAnsi="Palatino Linotype" w:cs="Palatino Linotype"/>
          <w:b/>
        </w:rPr>
        <w:t>1. Solicitud de acceso a la información.</w:t>
      </w:r>
      <w:r w:rsidRPr="00140ACF">
        <w:rPr>
          <w:rFonts w:ascii="Palatino Linotype" w:eastAsia="Palatino Linotype" w:hAnsi="Palatino Linotype" w:cs="Palatino Linotype"/>
        </w:rPr>
        <w:t xml:space="preserve"> Con fecha </w:t>
      </w:r>
      <w:r w:rsidR="00F37ECA" w:rsidRPr="00140ACF">
        <w:rPr>
          <w:rFonts w:ascii="Palatino Linotype" w:eastAsia="Palatino Linotype" w:hAnsi="Palatino Linotype" w:cs="Palatino Linotype"/>
          <w:b/>
        </w:rPr>
        <w:t xml:space="preserve">veintitrés </w:t>
      </w:r>
      <w:r w:rsidRPr="00140ACF">
        <w:rPr>
          <w:rFonts w:ascii="Palatino Linotype" w:eastAsia="Palatino Linotype" w:hAnsi="Palatino Linotype" w:cs="Palatino Linotype"/>
          <w:b/>
        </w:rPr>
        <w:t>de marzo de dos mil veintidós,</w:t>
      </w:r>
      <w:r w:rsidRPr="00140ACF">
        <w:rPr>
          <w:rFonts w:ascii="Palatino Linotype" w:eastAsia="Palatino Linotype" w:hAnsi="Palatino Linotype" w:cs="Palatino Linotype"/>
        </w:rPr>
        <w:t xml:space="preserve"> la parte </w:t>
      </w:r>
      <w:r w:rsidRPr="00140ACF">
        <w:rPr>
          <w:rFonts w:ascii="Palatino Linotype" w:eastAsia="Palatino Linotype" w:hAnsi="Palatino Linotype" w:cs="Palatino Linotype"/>
          <w:b/>
        </w:rPr>
        <w:t xml:space="preserve">Recurrente </w:t>
      </w:r>
      <w:r w:rsidRPr="00140ACF">
        <w:rPr>
          <w:rFonts w:ascii="Palatino Linotype" w:eastAsia="Palatino Linotype" w:hAnsi="Palatino Linotype" w:cs="Palatino Linotype"/>
        </w:rPr>
        <w:t xml:space="preserve">presentó, través del Sistema de Acceso a la Información Mexiquense, en lo subsecuente el </w:t>
      </w:r>
      <w:r w:rsidRPr="00140ACF">
        <w:rPr>
          <w:rFonts w:ascii="Palatino Linotype" w:eastAsia="Palatino Linotype" w:hAnsi="Palatino Linotype" w:cs="Palatino Linotype"/>
          <w:b/>
        </w:rPr>
        <w:t>SAIMEX,</w:t>
      </w:r>
      <w:r w:rsidRPr="00140ACF">
        <w:rPr>
          <w:rFonts w:ascii="Palatino Linotype" w:eastAsia="Palatino Linotype" w:hAnsi="Palatino Linotype" w:cs="Palatino Linotype"/>
        </w:rPr>
        <w:t xml:space="preserve"> ante el </w:t>
      </w:r>
      <w:r w:rsidRPr="00140ACF">
        <w:rPr>
          <w:rFonts w:ascii="Palatino Linotype" w:eastAsia="Palatino Linotype" w:hAnsi="Palatino Linotype" w:cs="Palatino Linotype"/>
          <w:b/>
        </w:rPr>
        <w:t>Sujeto Obligado</w:t>
      </w:r>
      <w:r w:rsidRPr="00140ACF">
        <w:rPr>
          <w:rFonts w:ascii="Palatino Linotype" w:eastAsia="Palatino Linotype" w:hAnsi="Palatino Linotype" w:cs="Palatino Linotype"/>
        </w:rPr>
        <w:t>, la solicitud de acceso a la información pública, a la que se le asignó el número</w:t>
      </w:r>
      <w:r w:rsidRPr="00140ACF">
        <w:rPr>
          <w:rFonts w:ascii="Palatino Linotype" w:eastAsia="Palatino Linotype" w:hAnsi="Palatino Linotype" w:cs="Palatino Linotype"/>
          <w:b/>
        </w:rPr>
        <w:t xml:space="preserve"> </w:t>
      </w:r>
      <w:r w:rsidR="00A972BF" w:rsidRPr="00140ACF">
        <w:rPr>
          <w:rFonts w:ascii="Palatino Linotype" w:eastAsia="Palatino Linotype" w:hAnsi="Palatino Linotype" w:cs="Palatino Linotype"/>
          <w:b/>
        </w:rPr>
        <w:t>00041/MELOCAM/IP/2022</w:t>
      </w:r>
      <w:r w:rsidRPr="00140ACF">
        <w:rPr>
          <w:rFonts w:ascii="Palatino Linotype" w:eastAsia="Palatino Linotype" w:hAnsi="Palatino Linotype" w:cs="Palatino Linotype"/>
          <w:b/>
        </w:rPr>
        <w:t xml:space="preserve">, </w:t>
      </w:r>
      <w:r w:rsidRPr="00140ACF">
        <w:rPr>
          <w:rFonts w:ascii="Palatino Linotype" w:eastAsia="Palatino Linotype" w:hAnsi="Palatino Linotype" w:cs="Palatino Linotype"/>
        </w:rPr>
        <w:t xml:space="preserve">mediante la cual requirió la información siguiente: </w:t>
      </w:r>
    </w:p>
    <w:p w14:paraId="170E520B" w14:textId="054331C2" w:rsidR="00AA541F" w:rsidRPr="00140ACF" w:rsidRDefault="001928B5">
      <w:pPr>
        <w:spacing w:before="240" w:after="240"/>
        <w:ind w:left="851" w:right="902"/>
        <w:jc w:val="both"/>
        <w:rPr>
          <w:rFonts w:ascii="Palatino Linotype" w:eastAsia="Palatino Linotype" w:hAnsi="Palatino Linotype" w:cs="Palatino Linotype"/>
          <w:b/>
          <w:i/>
          <w:sz w:val="22"/>
          <w:szCs w:val="22"/>
        </w:rPr>
      </w:pPr>
      <w:bookmarkStart w:id="1" w:name="_heading=h.gjdgxs" w:colFirst="0" w:colLast="0"/>
      <w:bookmarkEnd w:id="1"/>
      <w:r w:rsidRPr="00140ACF">
        <w:rPr>
          <w:rFonts w:ascii="Palatino Linotype" w:eastAsia="Palatino Linotype" w:hAnsi="Palatino Linotype" w:cs="Palatino Linotype"/>
          <w:i/>
          <w:sz w:val="22"/>
          <w:szCs w:val="22"/>
        </w:rPr>
        <w:t>“</w:t>
      </w:r>
      <w:r w:rsidR="00F37ECA" w:rsidRPr="00140ACF">
        <w:rPr>
          <w:rFonts w:ascii="Palatino Linotype" w:eastAsia="Palatino Linotype" w:hAnsi="Palatino Linotype" w:cs="Palatino Linotype"/>
          <w:i/>
          <w:sz w:val="22"/>
          <w:szCs w:val="22"/>
        </w:rPr>
        <w:t>SOLICITO VERSION PÚBLICA DE LOS DOCUMENTOS QUE INDIQUEN EL NOMBRE Y PERCEPCIONES ECONOMICAS DE LA TOTALIDAD DE LOS TRABAJADORES DE BASE Y DE CONFIANZA (ESPECIFICANDO EN CADA CASO A QUE GRUPO PERTENECEN) DE LA ACTUAL ADMINISTRACION MUNICIPAL, ESPECIFICANDO SU ÁREA DE ADSCRIPCIÓN</w:t>
      </w:r>
      <w:r w:rsidRPr="00140ACF">
        <w:rPr>
          <w:rFonts w:ascii="Palatino Linotype" w:eastAsia="Palatino Linotype" w:hAnsi="Palatino Linotype" w:cs="Palatino Linotype"/>
          <w:i/>
          <w:sz w:val="22"/>
          <w:szCs w:val="22"/>
        </w:rPr>
        <w:t>.” (</w:t>
      </w:r>
      <w:proofErr w:type="gramStart"/>
      <w:r w:rsidRPr="00140ACF">
        <w:rPr>
          <w:rFonts w:ascii="Palatino Linotype" w:eastAsia="Palatino Linotype" w:hAnsi="Palatino Linotype" w:cs="Palatino Linotype"/>
          <w:i/>
          <w:sz w:val="22"/>
          <w:szCs w:val="22"/>
        </w:rPr>
        <w:t>sic</w:t>
      </w:r>
      <w:proofErr w:type="gramEnd"/>
      <w:r w:rsidRPr="00140ACF">
        <w:rPr>
          <w:rFonts w:ascii="Palatino Linotype" w:eastAsia="Palatino Linotype" w:hAnsi="Palatino Linotype" w:cs="Palatino Linotype"/>
          <w:i/>
          <w:sz w:val="22"/>
          <w:szCs w:val="22"/>
        </w:rPr>
        <w:t>)</w:t>
      </w:r>
    </w:p>
    <w:p w14:paraId="1B6E3A67" w14:textId="77777777" w:rsidR="00AA541F" w:rsidRPr="00140ACF" w:rsidRDefault="001928B5">
      <w:pPr>
        <w:spacing w:before="240" w:after="240" w:line="360" w:lineRule="auto"/>
        <w:ind w:right="900"/>
        <w:jc w:val="both"/>
        <w:rPr>
          <w:rFonts w:ascii="Palatino Linotype" w:eastAsia="Palatino Linotype" w:hAnsi="Palatino Linotype" w:cs="Palatino Linotype"/>
        </w:rPr>
      </w:pPr>
      <w:r w:rsidRPr="00140ACF">
        <w:rPr>
          <w:rFonts w:ascii="Palatino Linotype" w:eastAsia="Palatino Linotype" w:hAnsi="Palatino Linotype" w:cs="Palatino Linotype"/>
        </w:rPr>
        <w:t xml:space="preserve">La parte </w:t>
      </w:r>
      <w:r w:rsidRPr="00140ACF">
        <w:rPr>
          <w:rFonts w:ascii="Palatino Linotype" w:eastAsia="Palatino Linotype" w:hAnsi="Palatino Linotype" w:cs="Palatino Linotype"/>
          <w:b/>
        </w:rPr>
        <w:t>Recurrente</w:t>
      </w:r>
      <w:r w:rsidRPr="00140ACF">
        <w:rPr>
          <w:rFonts w:ascii="Palatino Linotype" w:eastAsia="Palatino Linotype" w:hAnsi="Palatino Linotype" w:cs="Palatino Linotype"/>
        </w:rPr>
        <w:t xml:space="preserve"> no adjuntó archivos.</w:t>
      </w:r>
    </w:p>
    <w:p w14:paraId="6EC3430D" w14:textId="7DD896B2" w:rsidR="00AA541F" w:rsidRPr="00140ACF" w:rsidRDefault="001928B5">
      <w:pPr>
        <w:spacing w:before="240" w:after="240" w:line="360" w:lineRule="auto"/>
        <w:jc w:val="both"/>
        <w:rPr>
          <w:rFonts w:ascii="Palatino Linotype" w:eastAsia="Palatino Linotype" w:hAnsi="Palatino Linotype" w:cs="Palatino Linotype"/>
        </w:rPr>
      </w:pPr>
      <w:r w:rsidRPr="00140ACF">
        <w:rPr>
          <w:rFonts w:ascii="Palatino Linotype" w:eastAsia="Palatino Linotype" w:hAnsi="Palatino Linotype" w:cs="Palatino Linotype"/>
          <w:b/>
        </w:rPr>
        <w:t>Modalidad de Entrega:</w:t>
      </w:r>
      <w:r w:rsidRPr="00140ACF">
        <w:rPr>
          <w:rFonts w:ascii="Palatino Linotype" w:eastAsia="Palatino Linotype" w:hAnsi="Palatino Linotype" w:cs="Palatino Linotype"/>
        </w:rPr>
        <w:t xml:space="preserve"> A través de </w:t>
      </w:r>
      <w:r w:rsidRPr="00140ACF">
        <w:rPr>
          <w:rFonts w:ascii="Palatino Linotype" w:eastAsia="Palatino Linotype" w:hAnsi="Palatino Linotype" w:cs="Palatino Linotype"/>
          <w:b/>
        </w:rPr>
        <w:t>SAIMEX</w:t>
      </w:r>
      <w:r w:rsidRPr="00140ACF">
        <w:rPr>
          <w:rFonts w:ascii="Palatino Linotype" w:eastAsia="Palatino Linotype" w:hAnsi="Palatino Linotype" w:cs="Palatino Linotype"/>
        </w:rPr>
        <w:t>.</w:t>
      </w:r>
    </w:p>
    <w:p w14:paraId="53F04E6B" w14:textId="38853448" w:rsidR="00AA541F" w:rsidRPr="00140ACF" w:rsidRDefault="001928B5">
      <w:pPr>
        <w:spacing w:before="240" w:after="240" w:line="360" w:lineRule="auto"/>
        <w:jc w:val="both"/>
        <w:rPr>
          <w:rFonts w:ascii="Palatino Linotype" w:eastAsia="Palatino Linotype" w:hAnsi="Palatino Linotype" w:cs="Palatino Linotype"/>
        </w:rPr>
      </w:pPr>
      <w:r w:rsidRPr="00140ACF">
        <w:rPr>
          <w:rFonts w:ascii="Palatino Linotype" w:eastAsia="Palatino Linotype" w:hAnsi="Palatino Linotype" w:cs="Palatino Linotype"/>
          <w:b/>
        </w:rPr>
        <w:lastRenderedPageBreak/>
        <w:t xml:space="preserve">2. Respuesta. </w:t>
      </w:r>
      <w:r w:rsidRPr="00140ACF">
        <w:rPr>
          <w:rFonts w:ascii="Palatino Linotype" w:eastAsia="Palatino Linotype" w:hAnsi="Palatino Linotype" w:cs="Palatino Linotype"/>
        </w:rPr>
        <w:t>Con fecha</w:t>
      </w:r>
      <w:r w:rsidRPr="00140ACF">
        <w:rPr>
          <w:rFonts w:ascii="Palatino Linotype" w:eastAsia="Palatino Linotype" w:hAnsi="Palatino Linotype" w:cs="Palatino Linotype"/>
          <w:b/>
        </w:rPr>
        <w:t xml:space="preserve"> </w:t>
      </w:r>
      <w:r w:rsidR="00A972BF" w:rsidRPr="00140ACF">
        <w:rPr>
          <w:rFonts w:ascii="Palatino Linotype" w:eastAsia="Palatino Linotype" w:hAnsi="Palatino Linotype" w:cs="Palatino Linotype"/>
          <w:b/>
        </w:rPr>
        <w:t>veinte</w:t>
      </w:r>
      <w:r w:rsidRPr="00140ACF">
        <w:rPr>
          <w:rFonts w:ascii="Palatino Linotype" w:eastAsia="Palatino Linotype" w:hAnsi="Palatino Linotype" w:cs="Palatino Linotype"/>
          <w:b/>
        </w:rPr>
        <w:t xml:space="preserve"> de abril de dos mil veintidós</w:t>
      </w:r>
      <w:r w:rsidRPr="00140ACF">
        <w:rPr>
          <w:rFonts w:ascii="Palatino Linotype" w:eastAsia="Palatino Linotype" w:hAnsi="Palatino Linotype" w:cs="Palatino Linotype"/>
        </w:rPr>
        <w:t xml:space="preserve">, el </w:t>
      </w:r>
      <w:r w:rsidRPr="00140ACF">
        <w:rPr>
          <w:rFonts w:ascii="Palatino Linotype" w:eastAsia="Palatino Linotype" w:hAnsi="Palatino Linotype" w:cs="Palatino Linotype"/>
          <w:b/>
        </w:rPr>
        <w:t xml:space="preserve">Sujeto Obligado </w:t>
      </w:r>
      <w:r w:rsidRPr="00140ACF">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45694244" w14:textId="1A1328D3" w:rsidR="00AA541F" w:rsidRPr="00140ACF" w:rsidRDefault="001928B5" w:rsidP="00A972BF">
      <w:pPr>
        <w:spacing w:before="240" w:after="240"/>
        <w:ind w:left="851" w:right="902"/>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i/>
          <w:sz w:val="22"/>
          <w:szCs w:val="22"/>
        </w:rPr>
        <w:t>“…</w:t>
      </w:r>
      <w:r w:rsidR="00A972BF" w:rsidRPr="00140ACF">
        <w:rPr>
          <w:rFonts w:ascii="Palatino Linotype" w:eastAsia="Palatino Linotype" w:hAnsi="Palatino Linotype" w:cs="Palatino Linotype"/>
          <w:i/>
          <w:sz w:val="22"/>
          <w:szCs w:val="22"/>
        </w:rPr>
        <w:t xml:space="preserve">con respecto a su petición 00041/MELOCAM/IP/2022 mediante el sistema SAIMEX, se le informa: La información se está subiendo al </w:t>
      </w:r>
      <w:proofErr w:type="spellStart"/>
      <w:r w:rsidR="00A972BF" w:rsidRPr="00140ACF">
        <w:rPr>
          <w:rFonts w:ascii="Palatino Linotype" w:eastAsia="Palatino Linotype" w:hAnsi="Palatino Linotype" w:cs="Palatino Linotype"/>
          <w:i/>
          <w:sz w:val="22"/>
          <w:szCs w:val="22"/>
        </w:rPr>
        <w:t>ipomex</w:t>
      </w:r>
      <w:proofErr w:type="spellEnd"/>
      <w:r w:rsidR="00A972BF" w:rsidRPr="00140ACF">
        <w:rPr>
          <w:rFonts w:ascii="Palatino Linotype" w:eastAsia="Palatino Linotype" w:hAnsi="Palatino Linotype" w:cs="Palatino Linotype"/>
          <w:i/>
          <w:sz w:val="22"/>
          <w:szCs w:val="22"/>
        </w:rPr>
        <w:t>, y podrá ser consultado. En virtud de lo anterior la presente solicitud se archiva como concluida...</w:t>
      </w:r>
      <w:r w:rsidRPr="00140ACF">
        <w:rPr>
          <w:rFonts w:ascii="Palatino Linotype" w:eastAsia="Palatino Linotype" w:hAnsi="Palatino Linotype" w:cs="Palatino Linotype"/>
          <w:i/>
          <w:sz w:val="22"/>
          <w:szCs w:val="22"/>
        </w:rPr>
        <w:t>” (</w:t>
      </w:r>
      <w:proofErr w:type="gramStart"/>
      <w:r w:rsidRPr="00140ACF">
        <w:rPr>
          <w:rFonts w:ascii="Palatino Linotype" w:eastAsia="Palatino Linotype" w:hAnsi="Palatino Linotype" w:cs="Palatino Linotype"/>
          <w:i/>
          <w:sz w:val="22"/>
          <w:szCs w:val="22"/>
        </w:rPr>
        <w:t>sic</w:t>
      </w:r>
      <w:proofErr w:type="gramEnd"/>
      <w:r w:rsidRPr="00140ACF">
        <w:rPr>
          <w:rFonts w:ascii="Palatino Linotype" w:eastAsia="Palatino Linotype" w:hAnsi="Palatino Linotype" w:cs="Palatino Linotype"/>
          <w:i/>
          <w:sz w:val="22"/>
          <w:szCs w:val="22"/>
        </w:rPr>
        <w:t>)</w:t>
      </w:r>
    </w:p>
    <w:p w14:paraId="72200B48" w14:textId="16ADBB24" w:rsidR="00AA541F" w:rsidRPr="00140ACF" w:rsidRDefault="001928B5">
      <w:pPr>
        <w:spacing w:before="240" w:after="240" w:line="360" w:lineRule="auto"/>
        <w:ind w:right="49"/>
        <w:jc w:val="both"/>
        <w:rPr>
          <w:rFonts w:ascii="Palatino Linotype" w:eastAsia="Palatino Linotype" w:hAnsi="Palatino Linotype" w:cs="Palatino Linotype"/>
        </w:rPr>
      </w:pPr>
      <w:r w:rsidRPr="00140ACF">
        <w:rPr>
          <w:rFonts w:ascii="Palatino Linotype" w:eastAsia="Palatino Linotype" w:hAnsi="Palatino Linotype" w:cs="Palatino Linotype"/>
        </w:rPr>
        <w:t xml:space="preserve">El </w:t>
      </w:r>
      <w:r w:rsidRPr="00140ACF">
        <w:rPr>
          <w:rFonts w:ascii="Palatino Linotype" w:eastAsia="Palatino Linotype" w:hAnsi="Palatino Linotype" w:cs="Palatino Linotype"/>
          <w:b/>
        </w:rPr>
        <w:t>Sujeto Obligado</w:t>
      </w:r>
      <w:r w:rsidRPr="00140ACF">
        <w:rPr>
          <w:rFonts w:ascii="Palatino Linotype" w:eastAsia="Palatino Linotype" w:hAnsi="Palatino Linotype" w:cs="Palatino Linotype"/>
        </w:rPr>
        <w:t xml:space="preserve"> </w:t>
      </w:r>
      <w:r w:rsidR="00A972BF" w:rsidRPr="00140ACF">
        <w:rPr>
          <w:rFonts w:ascii="Palatino Linotype" w:eastAsia="Palatino Linotype" w:hAnsi="Palatino Linotype" w:cs="Palatino Linotype"/>
        </w:rPr>
        <w:t xml:space="preserve">no </w:t>
      </w:r>
      <w:r w:rsidRPr="00140ACF">
        <w:rPr>
          <w:rFonts w:ascii="Palatino Linotype" w:eastAsia="Palatino Linotype" w:hAnsi="Palatino Linotype" w:cs="Palatino Linotype"/>
        </w:rPr>
        <w:t>adjuntó archivos</w:t>
      </w:r>
      <w:r w:rsidR="00A972BF" w:rsidRPr="00140ACF">
        <w:rPr>
          <w:rFonts w:ascii="Palatino Linotype" w:eastAsia="Palatino Linotype" w:hAnsi="Palatino Linotype" w:cs="Palatino Linotype"/>
        </w:rPr>
        <w:t>.</w:t>
      </w:r>
    </w:p>
    <w:p w14:paraId="7FBF1C8F" w14:textId="6EF00A58" w:rsidR="00AA541F" w:rsidRPr="00140ACF" w:rsidRDefault="001928B5">
      <w:pPr>
        <w:spacing w:before="240" w:after="240" w:line="360" w:lineRule="auto"/>
        <w:ind w:right="49"/>
        <w:jc w:val="both"/>
        <w:rPr>
          <w:rFonts w:ascii="Palatino Linotype" w:eastAsia="Palatino Linotype" w:hAnsi="Palatino Linotype" w:cs="Palatino Linotype"/>
        </w:rPr>
      </w:pPr>
      <w:r w:rsidRPr="00140ACF">
        <w:rPr>
          <w:rFonts w:ascii="Palatino Linotype" w:eastAsia="Palatino Linotype" w:hAnsi="Palatino Linotype" w:cs="Palatino Linotype"/>
          <w:b/>
        </w:rPr>
        <w:t xml:space="preserve">3. Interposición del recurso de revisión. </w:t>
      </w:r>
      <w:r w:rsidRPr="00140ACF">
        <w:rPr>
          <w:rFonts w:ascii="Palatino Linotype" w:eastAsia="Palatino Linotype" w:hAnsi="Palatino Linotype" w:cs="Palatino Linotype"/>
        </w:rPr>
        <w:t xml:space="preserve">Inconforme con los términos de la respuesta emitida por parte del </w:t>
      </w:r>
      <w:r w:rsidRPr="00140ACF">
        <w:rPr>
          <w:rFonts w:ascii="Palatino Linotype" w:eastAsia="Palatino Linotype" w:hAnsi="Palatino Linotype" w:cs="Palatino Linotype"/>
          <w:b/>
        </w:rPr>
        <w:t>Sujeto Obligado</w:t>
      </w:r>
      <w:r w:rsidRPr="00140ACF">
        <w:rPr>
          <w:rFonts w:ascii="Palatino Linotype" w:eastAsia="Palatino Linotype" w:hAnsi="Palatino Linotype" w:cs="Palatino Linotype"/>
        </w:rPr>
        <w:t xml:space="preserve">, el </w:t>
      </w:r>
      <w:r w:rsidR="008A5841" w:rsidRPr="00140ACF">
        <w:rPr>
          <w:rFonts w:ascii="Palatino Linotype" w:eastAsia="Palatino Linotype" w:hAnsi="Palatino Linotype" w:cs="Palatino Linotype"/>
          <w:b/>
        </w:rPr>
        <w:t>veintiséis</w:t>
      </w:r>
      <w:r w:rsidRPr="00140ACF">
        <w:rPr>
          <w:rFonts w:ascii="Palatino Linotype" w:eastAsia="Palatino Linotype" w:hAnsi="Palatino Linotype" w:cs="Palatino Linotype"/>
          <w:b/>
        </w:rPr>
        <w:t xml:space="preserve"> de abril de dos mil veintidós,</w:t>
      </w:r>
      <w:r w:rsidRPr="00140ACF">
        <w:rPr>
          <w:rFonts w:ascii="Palatino Linotype" w:eastAsia="Palatino Linotype" w:hAnsi="Palatino Linotype" w:cs="Palatino Linotype"/>
        </w:rPr>
        <w:t xml:space="preserve"> la parte </w:t>
      </w:r>
      <w:r w:rsidRPr="00140ACF">
        <w:rPr>
          <w:rFonts w:ascii="Palatino Linotype" w:eastAsia="Palatino Linotype" w:hAnsi="Palatino Linotype" w:cs="Palatino Linotype"/>
          <w:b/>
        </w:rPr>
        <w:t>Recurrente</w:t>
      </w:r>
      <w:r w:rsidRPr="00140ACF">
        <w:rPr>
          <w:rFonts w:ascii="Palatino Linotype" w:eastAsia="Palatino Linotype" w:hAnsi="Palatino Linotype" w:cs="Palatino Linotype"/>
        </w:rPr>
        <w:t xml:space="preserve"> interpuso el recurso de revisión a través de </w:t>
      </w:r>
      <w:r w:rsidRPr="00140ACF">
        <w:rPr>
          <w:rFonts w:ascii="Palatino Linotype" w:eastAsia="Palatino Linotype" w:hAnsi="Palatino Linotype" w:cs="Palatino Linotype"/>
          <w:b/>
        </w:rPr>
        <w:t xml:space="preserve">SAIMEX, </w:t>
      </w:r>
      <w:r w:rsidRPr="00140ACF">
        <w:rPr>
          <w:rFonts w:ascii="Palatino Linotype" w:eastAsia="Palatino Linotype" w:hAnsi="Palatino Linotype" w:cs="Palatino Linotype"/>
        </w:rPr>
        <w:t>en donde se manifestó de la siguiente manera:</w:t>
      </w:r>
    </w:p>
    <w:p w14:paraId="61B7A889" w14:textId="77777777" w:rsidR="00AA541F" w:rsidRPr="00140ACF" w:rsidRDefault="001928B5">
      <w:pPr>
        <w:tabs>
          <w:tab w:val="left" w:pos="2745"/>
        </w:tabs>
        <w:spacing w:before="240" w:after="240" w:line="360" w:lineRule="auto"/>
        <w:jc w:val="both"/>
        <w:rPr>
          <w:rFonts w:ascii="Palatino Linotype" w:eastAsia="Palatino Linotype" w:hAnsi="Palatino Linotype" w:cs="Palatino Linotype"/>
          <w:b/>
        </w:rPr>
      </w:pPr>
      <w:r w:rsidRPr="00140ACF">
        <w:rPr>
          <w:rFonts w:ascii="Palatino Linotype" w:eastAsia="Palatino Linotype" w:hAnsi="Palatino Linotype" w:cs="Palatino Linotype"/>
          <w:b/>
        </w:rPr>
        <w:t xml:space="preserve">Acto impugnado: </w:t>
      </w:r>
    </w:p>
    <w:p w14:paraId="5DC98315" w14:textId="1B9A8BE5" w:rsidR="00AA541F" w:rsidRPr="00140ACF" w:rsidRDefault="001928B5">
      <w:pPr>
        <w:tabs>
          <w:tab w:val="left" w:pos="2745"/>
        </w:tabs>
        <w:spacing w:before="240" w:after="240"/>
        <w:ind w:left="851" w:right="900"/>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i/>
          <w:sz w:val="22"/>
          <w:szCs w:val="22"/>
        </w:rPr>
        <w:t>“</w:t>
      </w:r>
      <w:r w:rsidR="008A5841" w:rsidRPr="00140ACF">
        <w:rPr>
          <w:rFonts w:ascii="Palatino Linotype" w:eastAsia="Palatino Linotype" w:hAnsi="Palatino Linotype" w:cs="Palatino Linotype"/>
          <w:i/>
          <w:sz w:val="22"/>
          <w:szCs w:val="22"/>
        </w:rPr>
        <w:t>NO SE ENTREGA LA INFORMACIÓN SOLICITADA.</w:t>
      </w:r>
      <w:r w:rsidRPr="00140ACF">
        <w:rPr>
          <w:rFonts w:ascii="Palatino Linotype" w:eastAsia="Palatino Linotype" w:hAnsi="Palatino Linotype" w:cs="Palatino Linotype"/>
          <w:i/>
          <w:sz w:val="22"/>
          <w:szCs w:val="22"/>
        </w:rPr>
        <w:t>” (</w:t>
      </w:r>
      <w:proofErr w:type="gramStart"/>
      <w:r w:rsidRPr="00140ACF">
        <w:rPr>
          <w:rFonts w:ascii="Palatino Linotype" w:eastAsia="Palatino Linotype" w:hAnsi="Palatino Linotype" w:cs="Palatino Linotype"/>
          <w:i/>
          <w:sz w:val="22"/>
          <w:szCs w:val="22"/>
        </w:rPr>
        <w:t>sic</w:t>
      </w:r>
      <w:proofErr w:type="gramEnd"/>
      <w:r w:rsidRPr="00140ACF">
        <w:rPr>
          <w:rFonts w:ascii="Palatino Linotype" w:eastAsia="Palatino Linotype" w:hAnsi="Palatino Linotype" w:cs="Palatino Linotype"/>
          <w:i/>
          <w:sz w:val="22"/>
          <w:szCs w:val="22"/>
        </w:rPr>
        <w:t>)</w:t>
      </w:r>
    </w:p>
    <w:p w14:paraId="16B6AB60" w14:textId="77777777" w:rsidR="00AA541F" w:rsidRPr="00140ACF" w:rsidRDefault="001928B5">
      <w:pPr>
        <w:spacing w:line="360" w:lineRule="auto"/>
        <w:jc w:val="both"/>
        <w:rPr>
          <w:rFonts w:ascii="Palatino Linotype" w:eastAsia="Palatino Linotype" w:hAnsi="Palatino Linotype" w:cs="Palatino Linotype"/>
        </w:rPr>
      </w:pPr>
      <w:r w:rsidRPr="00140ACF">
        <w:rPr>
          <w:rFonts w:ascii="Palatino Linotype" w:eastAsia="Palatino Linotype" w:hAnsi="Palatino Linotype" w:cs="Palatino Linotype"/>
          <w:b/>
        </w:rPr>
        <w:t>Y Razones o motivos de inconformidad</w:t>
      </w:r>
      <w:r w:rsidRPr="00140ACF">
        <w:rPr>
          <w:rFonts w:ascii="Palatino Linotype" w:eastAsia="Palatino Linotype" w:hAnsi="Palatino Linotype" w:cs="Palatino Linotype"/>
        </w:rPr>
        <w:t>:</w:t>
      </w:r>
    </w:p>
    <w:p w14:paraId="78D9472E" w14:textId="7513E686" w:rsidR="00AA541F" w:rsidRPr="00140ACF" w:rsidRDefault="001928B5">
      <w:pPr>
        <w:ind w:left="851" w:right="902"/>
        <w:jc w:val="both"/>
        <w:rPr>
          <w:rFonts w:ascii="Palatino Linotype" w:eastAsia="Palatino Linotype" w:hAnsi="Palatino Linotype" w:cs="Palatino Linotype"/>
          <w:i/>
          <w:sz w:val="22"/>
          <w:szCs w:val="22"/>
        </w:rPr>
      </w:pPr>
      <w:bookmarkStart w:id="2" w:name="_heading=h.30j0zll" w:colFirst="0" w:colLast="0"/>
      <w:bookmarkEnd w:id="2"/>
      <w:r w:rsidRPr="00140ACF">
        <w:rPr>
          <w:rFonts w:ascii="Palatino Linotype" w:eastAsia="Palatino Linotype" w:hAnsi="Palatino Linotype" w:cs="Palatino Linotype"/>
          <w:i/>
          <w:sz w:val="22"/>
          <w:szCs w:val="22"/>
        </w:rPr>
        <w:t xml:space="preserve"> “</w:t>
      </w:r>
      <w:r w:rsidR="008A5841" w:rsidRPr="00140ACF">
        <w:rPr>
          <w:rFonts w:ascii="Palatino Linotype" w:eastAsia="Palatino Linotype" w:hAnsi="Palatino Linotype" w:cs="Palatino Linotype"/>
          <w:i/>
          <w:sz w:val="22"/>
          <w:szCs w:val="22"/>
        </w:rPr>
        <w:t xml:space="preserve">EL SUJETO OBLIGADO </w:t>
      </w:r>
      <w:r w:rsidR="008A5841" w:rsidRPr="00140ACF">
        <w:rPr>
          <w:rFonts w:ascii="Palatino Linotype" w:eastAsia="Palatino Linotype" w:hAnsi="Palatino Linotype" w:cs="Palatino Linotype"/>
          <w:b/>
          <w:bCs/>
          <w:i/>
          <w:sz w:val="22"/>
          <w:szCs w:val="22"/>
        </w:rPr>
        <w:t>NO HACE ENTREGA DE LA INFORMACIÓN</w:t>
      </w:r>
      <w:r w:rsidR="008A5841" w:rsidRPr="00140ACF">
        <w:rPr>
          <w:rFonts w:ascii="Palatino Linotype" w:eastAsia="Palatino Linotype" w:hAnsi="Palatino Linotype" w:cs="Palatino Linotype"/>
          <w:i/>
          <w:sz w:val="22"/>
          <w:szCs w:val="22"/>
        </w:rPr>
        <w:t xml:space="preserve"> ARGUMENTANDO QUE "SE ESTA SUBIENDO AL PORTAL IPOMEX" Y QUE PODRÁ SER CONSULTADA EN EL PORTAL.</w:t>
      </w:r>
      <w:r w:rsidRPr="00140ACF">
        <w:rPr>
          <w:rFonts w:ascii="Palatino Linotype" w:eastAsia="Palatino Linotype" w:hAnsi="Palatino Linotype" w:cs="Palatino Linotype"/>
          <w:i/>
          <w:sz w:val="22"/>
          <w:szCs w:val="22"/>
        </w:rPr>
        <w:t>” (</w:t>
      </w:r>
      <w:proofErr w:type="gramStart"/>
      <w:r w:rsidRPr="00140ACF">
        <w:rPr>
          <w:rFonts w:ascii="Palatino Linotype" w:eastAsia="Palatino Linotype" w:hAnsi="Palatino Linotype" w:cs="Palatino Linotype"/>
          <w:i/>
          <w:sz w:val="22"/>
          <w:szCs w:val="22"/>
        </w:rPr>
        <w:t>sic</w:t>
      </w:r>
      <w:proofErr w:type="gramEnd"/>
      <w:r w:rsidRPr="00140ACF">
        <w:rPr>
          <w:rFonts w:ascii="Palatino Linotype" w:eastAsia="Palatino Linotype" w:hAnsi="Palatino Linotype" w:cs="Palatino Linotype"/>
          <w:i/>
          <w:sz w:val="22"/>
          <w:szCs w:val="22"/>
        </w:rPr>
        <w:t>)</w:t>
      </w:r>
    </w:p>
    <w:p w14:paraId="428CB096" w14:textId="77777777" w:rsidR="00AA541F" w:rsidRPr="00140ACF" w:rsidRDefault="001928B5">
      <w:pPr>
        <w:spacing w:before="240" w:after="240" w:line="360" w:lineRule="auto"/>
        <w:ind w:right="51"/>
        <w:jc w:val="both"/>
        <w:rPr>
          <w:rFonts w:ascii="Palatino Linotype" w:eastAsia="Palatino Linotype" w:hAnsi="Palatino Linotype" w:cs="Palatino Linotype"/>
        </w:rPr>
      </w:pPr>
      <w:r w:rsidRPr="00140ACF">
        <w:rPr>
          <w:rFonts w:ascii="Palatino Linotype" w:eastAsia="Palatino Linotype" w:hAnsi="Palatino Linotype" w:cs="Palatino Linotype"/>
          <w:b/>
        </w:rPr>
        <w:t xml:space="preserve">Anexos: </w:t>
      </w:r>
      <w:r w:rsidRPr="00140ACF">
        <w:rPr>
          <w:rFonts w:ascii="Palatino Linotype" w:eastAsia="Palatino Linotype" w:hAnsi="Palatino Linotype" w:cs="Palatino Linotype"/>
        </w:rPr>
        <w:t xml:space="preserve">La parte </w:t>
      </w:r>
      <w:r w:rsidRPr="00140ACF">
        <w:rPr>
          <w:rFonts w:ascii="Palatino Linotype" w:eastAsia="Palatino Linotype" w:hAnsi="Palatino Linotype" w:cs="Palatino Linotype"/>
          <w:b/>
        </w:rPr>
        <w:t>Recurrente</w:t>
      </w:r>
      <w:r w:rsidRPr="00140ACF">
        <w:rPr>
          <w:rFonts w:ascii="Palatino Linotype" w:eastAsia="Palatino Linotype" w:hAnsi="Palatino Linotype" w:cs="Palatino Linotype"/>
        </w:rPr>
        <w:t xml:space="preserve"> no adjuntó archivos.</w:t>
      </w:r>
    </w:p>
    <w:p w14:paraId="2A5F5484" w14:textId="77777777" w:rsidR="00AA541F" w:rsidRPr="00140ACF" w:rsidRDefault="001928B5">
      <w:pPr>
        <w:spacing w:before="240" w:after="240" w:line="360" w:lineRule="auto"/>
        <w:ind w:right="51"/>
        <w:jc w:val="both"/>
        <w:rPr>
          <w:rFonts w:ascii="Palatino Linotype" w:eastAsia="Palatino Linotype" w:hAnsi="Palatino Linotype" w:cs="Palatino Linotype"/>
        </w:rPr>
      </w:pPr>
      <w:r w:rsidRPr="00140ACF">
        <w:rPr>
          <w:rFonts w:ascii="Palatino Linotype" w:eastAsia="Palatino Linotype" w:hAnsi="Palatino Linotype" w:cs="Palatino Linotype"/>
          <w:b/>
        </w:rPr>
        <w:t xml:space="preserve">4. Turno. </w:t>
      </w:r>
      <w:r w:rsidRPr="00140ACF">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w:t>
      </w:r>
      <w:r w:rsidRPr="00140ACF">
        <w:rPr>
          <w:rFonts w:ascii="Palatino Linotype" w:eastAsia="Palatino Linotype" w:hAnsi="Palatino Linotype" w:cs="Palatino Linotype"/>
        </w:rPr>
        <w:lastRenderedPageBreak/>
        <w:t xml:space="preserve">del Estado de México y Municipios, a la Comisionada </w:t>
      </w:r>
      <w:r w:rsidRPr="00140ACF">
        <w:rPr>
          <w:rFonts w:ascii="Palatino Linotype" w:eastAsia="Palatino Linotype" w:hAnsi="Palatino Linotype" w:cs="Palatino Linotype"/>
          <w:b/>
        </w:rPr>
        <w:t xml:space="preserve">Guadalupe Ramírez Peña, </w:t>
      </w:r>
      <w:r w:rsidRPr="00140ACF">
        <w:rPr>
          <w:rFonts w:ascii="Palatino Linotype" w:eastAsia="Palatino Linotype" w:hAnsi="Palatino Linotype" w:cs="Palatino Linotype"/>
        </w:rPr>
        <w:t>a efecto de que analizara sobre su admisión o su desechamiento.</w:t>
      </w:r>
    </w:p>
    <w:p w14:paraId="263A269E" w14:textId="1D3755E9" w:rsidR="00AA541F" w:rsidRPr="00140ACF" w:rsidRDefault="001928B5">
      <w:pPr>
        <w:spacing w:before="240" w:after="240" w:line="360" w:lineRule="auto"/>
        <w:jc w:val="both"/>
        <w:rPr>
          <w:rFonts w:ascii="Palatino Linotype" w:eastAsia="Palatino Linotype" w:hAnsi="Palatino Linotype" w:cs="Palatino Linotype"/>
        </w:rPr>
      </w:pPr>
      <w:r w:rsidRPr="00140ACF">
        <w:rPr>
          <w:rFonts w:ascii="Palatino Linotype" w:eastAsia="Palatino Linotype" w:hAnsi="Palatino Linotype" w:cs="Palatino Linotype"/>
          <w:b/>
        </w:rPr>
        <w:t>5. Admisión del Recurso de revisión.</w:t>
      </w:r>
      <w:r w:rsidRPr="00140ACF">
        <w:rPr>
          <w:rFonts w:ascii="Palatino Linotype" w:eastAsia="Palatino Linotype" w:hAnsi="Palatino Linotype" w:cs="Palatino Linotype"/>
        </w:rPr>
        <w:t xml:space="preserve"> Con fecha </w:t>
      </w:r>
      <w:r w:rsidRPr="00140ACF">
        <w:rPr>
          <w:rFonts w:ascii="Palatino Linotype" w:eastAsia="Palatino Linotype" w:hAnsi="Palatino Linotype" w:cs="Palatino Linotype"/>
          <w:b/>
        </w:rPr>
        <w:t>veinti</w:t>
      </w:r>
      <w:r w:rsidR="00E83E7D" w:rsidRPr="00140ACF">
        <w:rPr>
          <w:rFonts w:ascii="Palatino Linotype" w:eastAsia="Palatino Linotype" w:hAnsi="Palatino Linotype" w:cs="Palatino Linotype"/>
          <w:b/>
        </w:rPr>
        <w:t>nueve</w:t>
      </w:r>
      <w:r w:rsidRPr="00140ACF">
        <w:rPr>
          <w:rFonts w:ascii="Palatino Linotype" w:eastAsia="Palatino Linotype" w:hAnsi="Palatino Linotype" w:cs="Palatino Linotype"/>
          <w:b/>
        </w:rPr>
        <w:t xml:space="preserve"> de abril</w:t>
      </w:r>
      <w:r w:rsidRPr="00140ACF">
        <w:rPr>
          <w:rFonts w:ascii="Palatino Linotype" w:eastAsia="Palatino Linotype" w:hAnsi="Palatino Linotype" w:cs="Palatino Linotype"/>
        </w:rPr>
        <w:t xml:space="preserve"> </w:t>
      </w:r>
      <w:r w:rsidRPr="00140ACF">
        <w:rPr>
          <w:rFonts w:ascii="Palatino Linotype" w:eastAsia="Palatino Linotype" w:hAnsi="Palatino Linotype" w:cs="Palatino Linotype"/>
          <w:b/>
        </w:rPr>
        <w:t xml:space="preserve">de dos mil veintidós, </w:t>
      </w:r>
      <w:r w:rsidRPr="00140ACF">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140ACF">
        <w:rPr>
          <w:rFonts w:ascii="Palatino Linotype" w:eastAsia="Palatino Linotype" w:hAnsi="Palatino Linotype" w:cs="Palatino Linotype"/>
          <w:b/>
        </w:rPr>
        <w:t xml:space="preserve">Sujeto Obligado </w:t>
      </w:r>
      <w:r w:rsidRPr="00140ACF">
        <w:rPr>
          <w:rFonts w:ascii="Palatino Linotype" w:eastAsia="Palatino Linotype" w:hAnsi="Palatino Linotype" w:cs="Palatino Linotype"/>
        </w:rPr>
        <w:t>presentara su informe justificado.</w:t>
      </w:r>
    </w:p>
    <w:p w14:paraId="1651C7F4" w14:textId="5EF86BDD" w:rsidR="00E83E7D" w:rsidRPr="00140ACF" w:rsidRDefault="001928B5" w:rsidP="00E83E7D">
      <w:pPr>
        <w:spacing w:before="240" w:after="240" w:line="360" w:lineRule="auto"/>
        <w:jc w:val="both"/>
        <w:rPr>
          <w:rFonts w:ascii="Palatino Linotype" w:eastAsia="Palatino Linotype" w:hAnsi="Palatino Linotype" w:cs="Palatino Linotype"/>
        </w:rPr>
      </w:pPr>
      <w:bookmarkStart w:id="3" w:name="_heading=h.2s8eyo1" w:colFirst="0" w:colLast="0"/>
      <w:bookmarkEnd w:id="3"/>
      <w:r w:rsidRPr="00140ACF">
        <w:rPr>
          <w:rFonts w:ascii="Palatino Linotype" w:eastAsia="Palatino Linotype" w:hAnsi="Palatino Linotype" w:cs="Palatino Linotype"/>
          <w:b/>
        </w:rPr>
        <w:t>6. Manifestaciones</w:t>
      </w:r>
      <w:r w:rsidRPr="00140ACF">
        <w:rPr>
          <w:rFonts w:ascii="Palatino Linotype" w:eastAsia="Palatino Linotype" w:hAnsi="Palatino Linotype" w:cs="Palatino Linotype"/>
        </w:rPr>
        <w:t xml:space="preserve">. </w:t>
      </w:r>
      <w:r w:rsidR="00E83E7D" w:rsidRPr="00140ACF">
        <w:rPr>
          <w:rFonts w:ascii="Palatino Linotype" w:eastAsia="Palatino Linotype" w:hAnsi="Palatino Linotype" w:cs="Palatino Linotype"/>
        </w:rPr>
        <w:t xml:space="preserve">De las constancias que obran en el expediente electrónico del SAIMEX se desprende que el </w:t>
      </w:r>
      <w:r w:rsidR="00E83E7D" w:rsidRPr="00140ACF">
        <w:rPr>
          <w:rFonts w:ascii="Palatino Linotype" w:eastAsia="Palatino Linotype" w:hAnsi="Palatino Linotype" w:cs="Palatino Linotype"/>
          <w:b/>
        </w:rPr>
        <w:t>Sujeto Obligado</w:t>
      </w:r>
      <w:r w:rsidR="00E83E7D" w:rsidRPr="00140ACF">
        <w:rPr>
          <w:rFonts w:ascii="Palatino Linotype" w:eastAsia="Palatino Linotype" w:hAnsi="Palatino Linotype" w:cs="Palatino Linotype"/>
        </w:rPr>
        <w:t xml:space="preserve"> no rindió su informe justificado, del mismo modo la parte </w:t>
      </w:r>
      <w:r w:rsidR="00E83E7D" w:rsidRPr="00140ACF">
        <w:rPr>
          <w:rFonts w:ascii="Palatino Linotype" w:eastAsia="Palatino Linotype" w:hAnsi="Palatino Linotype" w:cs="Palatino Linotype"/>
          <w:b/>
        </w:rPr>
        <w:t>Recurrente</w:t>
      </w:r>
      <w:r w:rsidR="00E83E7D" w:rsidRPr="00140ACF">
        <w:rPr>
          <w:rFonts w:ascii="Palatino Linotype" w:eastAsia="Palatino Linotype" w:hAnsi="Palatino Linotype" w:cs="Palatino Linotype"/>
        </w:rPr>
        <w:t xml:space="preserve"> omitió realizar manifestaciones, como se observa a continuación:</w:t>
      </w:r>
    </w:p>
    <w:p w14:paraId="7B4EE85B" w14:textId="2FD089B4" w:rsidR="00E83E7D" w:rsidRPr="00140ACF" w:rsidRDefault="00E83E7D" w:rsidP="00E83E7D">
      <w:pPr>
        <w:spacing w:before="240" w:after="240" w:line="360" w:lineRule="auto"/>
        <w:jc w:val="both"/>
        <w:rPr>
          <w:rFonts w:ascii="Palatino Linotype" w:eastAsia="Palatino Linotype" w:hAnsi="Palatino Linotype" w:cs="Palatino Linotype"/>
        </w:rPr>
      </w:pPr>
      <w:r w:rsidRPr="00140ACF">
        <w:rPr>
          <w:rFonts w:ascii="Palatino Linotype" w:eastAsia="Palatino Linotype" w:hAnsi="Palatino Linotype" w:cs="Palatino Linotype"/>
          <w:noProof/>
        </w:rPr>
        <w:drawing>
          <wp:inline distT="0" distB="0" distL="0" distR="0" wp14:anchorId="6FFC43D6" wp14:editId="21009E95">
            <wp:extent cx="5610225" cy="15906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1590675"/>
                    </a:xfrm>
                    <a:prstGeom prst="rect">
                      <a:avLst/>
                    </a:prstGeom>
                    <a:noFill/>
                    <a:ln>
                      <a:noFill/>
                    </a:ln>
                  </pic:spPr>
                </pic:pic>
              </a:graphicData>
            </a:graphic>
          </wp:inline>
        </w:drawing>
      </w:r>
    </w:p>
    <w:p w14:paraId="1D38C61B" w14:textId="14835DCB" w:rsidR="00AA541F" w:rsidRPr="00140ACF" w:rsidRDefault="001928B5" w:rsidP="00E83E7D">
      <w:pPr>
        <w:spacing w:after="240" w:line="360" w:lineRule="auto"/>
        <w:jc w:val="both"/>
        <w:rPr>
          <w:rFonts w:ascii="Palatino Linotype" w:eastAsia="Palatino Linotype" w:hAnsi="Palatino Linotype" w:cs="Palatino Linotype"/>
          <w:b/>
        </w:rPr>
      </w:pPr>
      <w:r w:rsidRPr="00140ACF">
        <w:rPr>
          <w:rFonts w:ascii="Palatino Linotype" w:eastAsia="Palatino Linotype" w:hAnsi="Palatino Linotype" w:cs="Palatino Linotype"/>
          <w:b/>
        </w:rPr>
        <w:t xml:space="preserve">7. Cierre de instrucción. </w:t>
      </w:r>
      <w:r w:rsidRPr="00140ACF">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E83E7D" w:rsidRPr="00140ACF">
        <w:rPr>
          <w:rFonts w:ascii="Palatino Linotype" w:eastAsia="Palatino Linotype" w:hAnsi="Palatino Linotype" w:cs="Palatino Linotype"/>
          <w:b/>
          <w:bCs/>
        </w:rPr>
        <w:t>trece de mayo</w:t>
      </w:r>
      <w:r w:rsidRPr="00140ACF">
        <w:rPr>
          <w:rFonts w:ascii="Palatino Linotype" w:eastAsia="Palatino Linotype" w:hAnsi="Palatino Linotype" w:cs="Palatino Linotype"/>
          <w:b/>
        </w:rPr>
        <w:t xml:space="preserve"> de dos mil veintidós</w:t>
      </w:r>
      <w:r w:rsidRPr="00140ACF">
        <w:rPr>
          <w:rFonts w:ascii="Palatino Linotype" w:eastAsia="Palatino Linotype" w:hAnsi="Palatino Linotype" w:cs="Palatino Linotype"/>
        </w:rPr>
        <w:t xml:space="preserve">, la Comisionada Ponente determinó </w:t>
      </w:r>
      <w:r w:rsidRPr="00140ACF">
        <w:rPr>
          <w:rFonts w:ascii="Palatino Linotype" w:eastAsia="Palatino Linotype" w:hAnsi="Palatino Linotype" w:cs="Palatino Linotype"/>
        </w:rPr>
        <w:lastRenderedPageBreak/>
        <w:t>el cierre de instrucción en términos de la fracción VI del artículo 185 de la Ley de Transparencia y Acceso a la Información Pública del Estado de México y Municipios.</w:t>
      </w:r>
    </w:p>
    <w:p w14:paraId="6BE0EF9B" w14:textId="7D94B282" w:rsidR="00E83E7D" w:rsidRPr="00140ACF" w:rsidRDefault="00E83E7D" w:rsidP="00E83E7D">
      <w:pPr>
        <w:spacing w:after="240" w:line="360" w:lineRule="auto"/>
        <w:jc w:val="both"/>
        <w:rPr>
          <w:rFonts w:ascii="Palatino Linotype" w:eastAsia="Palatino Linotype" w:hAnsi="Palatino Linotype" w:cs="Palatino Linotype"/>
        </w:rPr>
      </w:pPr>
      <w:r w:rsidRPr="00140ACF">
        <w:rPr>
          <w:rFonts w:ascii="Palatino Linotype" w:eastAsia="Palatino Linotype" w:hAnsi="Palatino Linotype" w:cs="Palatino Linotype"/>
          <w:b/>
          <w:bCs/>
        </w:rPr>
        <w:t xml:space="preserve">8. </w:t>
      </w:r>
      <w:r w:rsidRPr="00140ACF">
        <w:rPr>
          <w:rFonts w:ascii="Palatino Linotype" w:eastAsia="Palatino Linotype" w:hAnsi="Palatino Linotype" w:cs="Palatino Linotype"/>
          <w:b/>
        </w:rPr>
        <w:t>Ampliación del término para resolver</w:t>
      </w:r>
      <w:r w:rsidRPr="00140ACF">
        <w:rPr>
          <w:rFonts w:ascii="Palatino Linotype" w:eastAsia="Palatino Linotype" w:hAnsi="Palatino Linotype" w:cs="Palatino Linotype"/>
        </w:rPr>
        <w:t xml:space="preserve">. En fecha </w:t>
      </w:r>
      <w:r w:rsidRPr="00140ACF">
        <w:rPr>
          <w:rFonts w:ascii="Palatino Linotype" w:eastAsia="Palatino Linotype" w:hAnsi="Palatino Linotype" w:cs="Palatino Linotype"/>
          <w:b/>
        </w:rPr>
        <w:t>catorce de junio de dos mil veintidós</w:t>
      </w:r>
      <w:r w:rsidRPr="00140ACF">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2F54FDDA" w14:textId="77777777" w:rsidR="00E83E7D" w:rsidRPr="00140ACF" w:rsidRDefault="00E83E7D" w:rsidP="00E83E7D">
      <w:pPr>
        <w:spacing w:before="240" w:after="240" w:line="360" w:lineRule="auto"/>
        <w:jc w:val="both"/>
        <w:rPr>
          <w:rFonts w:ascii="Palatino Linotype" w:eastAsia="Palatino Linotype" w:hAnsi="Palatino Linotype" w:cs="Palatino Linotype"/>
        </w:rPr>
      </w:pPr>
      <w:r w:rsidRPr="00140ACF">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A9B6770" w14:textId="77777777" w:rsidR="00E83E7D" w:rsidRPr="00140ACF" w:rsidRDefault="00E83E7D" w:rsidP="00E83E7D">
      <w:pPr>
        <w:spacing w:before="240" w:after="240" w:line="360" w:lineRule="auto"/>
        <w:jc w:val="both"/>
        <w:rPr>
          <w:rFonts w:ascii="Palatino Linotype" w:eastAsia="Palatino Linotype" w:hAnsi="Palatino Linotype" w:cs="Palatino Linotype"/>
        </w:rPr>
      </w:pPr>
      <w:r w:rsidRPr="00140ACF">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66DC2C52" w14:textId="77777777" w:rsidR="00E83E7D" w:rsidRPr="00140ACF" w:rsidRDefault="00E83E7D" w:rsidP="00E83E7D">
      <w:pPr>
        <w:spacing w:before="240" w:after="240" w:line="360" w:lineRule="auto"/>
        <w:jc w:val="both"/>
        <w:rPr>
          <w:rFonts w:ascii="Palatino Linotype" w:eastAsia="Palatino Linotype" w:hAnsi="Palatino Linotype" w:cs="Palatino Linotype"/>
        </w:rPr>
      </w:pPr>
      <w:r w:rsidRPr="00140ACF">
        <w:rPr>
          <w:rFonts w:ascii="Palatino Linotype" w:eastAsia="Palatino Linotype" w:hAnsi="Palatino Linotype" w:cs="Palatino Linotype"/>
        </w:rPr>
        <w:t xml:space="preserve">Así, en términos de lo que establecen los artículos 8.1 y 25 de la Convención Americana sobre Derechos Humanos, los recursos deben ser sencillos y resolverse </w:t>
      </w:r>
      <w:r w:rsidRPr="00140ACF">
        <w:rPr>
          <w:rFonts w:ascii="Palatino Linotype" w:eastAsia="Palatino Linotype" w:hAnsi="Palatino Linotype" w:cs="Palatino Linotype"/>
        </w:rPr>
        <w:lastRenderedPageBreak/>
        <w:t>en el menor tiempo posible, tomando en consideración la dilación total del procedimiento; esto es, en un plazo razonable.</w:t>
      </w:r>
    </w:p>
    <w:p w14:paraId="279D3090" w14:textId="77777777" w:rsidR="00E83E7D" w:rsidRPr="00140ACF" w:rsidRDefault="00E83E7D" w:rsidP="00E83E7D">
      <w:pPr>
        <w:spacing w:before="240" w:after="240" w:line="360" w:lineRule="auto"/>
        <w:jc w:val="both"/>
        <w:rPr>
          <w:rFonts w:ascii="Palatino Linotype" w:eastAsia="Palatino Linotype" w:hAnsi="Palatino Linotype" w:cs="Palatino Linotype"/>
        </w:rPr>
      </w:pPr>
      <w:r w:rsidRPr="00140ACF">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45CD7EE" w14:textId="3799A24A" w:rsidR="00E83E7D" w:rsidRPr="00140ACF" w:rsidRDefault="00E83E7D" w:rsidP="00E83E7D">
      <w:pPr>
        <w:spacing w:before="240" w:after="240" w:line="360" w:lineRule="auto"/>
        <w:jc w:val="both"/>
        <w:rPr>
          <w:rFonts w:ascii="Palatino Linotype" w:eastAsia="Palatino Linotype" w:hAnsi="Palatino Linotype" w:cs="Palatino Linotype"/>
          <w:strike/>
        </w:rPr>
      </w:pPr>
      <w:r w:rsidRPr="00140ACF">
        <w:rPr>
          <w:rFonts w:ascii="Palatino Linotype" w:eastAsia="Palatino Linotype" w:hAnsi="Palatino Linotype" w:cs="Palatino Linotype"/>
        </w:rPr>
        <w:t>Por ello, excepcionalmente, si un asunto es resuelto con posterioridad a los plazos señalados por la norma debe analizarse la razonabilidad del tiem</w:t>
      </w:r>
      <w:r w:rsidR="00AD7727" w:rsidRPr="00140ACF">
        <w:rPr>
          <w:rFonts w:ascii="Palatino Linotype" w:eastAsia="Palatino Linotype" w:hAnsi="Palatino Linotype" w:cs="Palatino Linotype"/>
        </w:rPr>
        <w:t xml:space="preserve">po necesario para su resolución, </w:t>
      </w:r>
      <w:r w:rsidRPr="00140ACF">
        <w:rPr>
          <w:rFonts w:ascii="Palatino Linotype" w:eastAsia="Palatino Linotype" w:hAnsi="Palatino Linotype" w:cs="Palatino Linotype"/>
        </w:rPr>
        <w:t xml:space="preserve">atentos a los siguientes criterios: </w:t>
      </w:r>
    </w:p>
    <w:p w14:paraId="08D4BA94" w14:textId="77777777" w:rsidR="00E83E7D" w:rsidRPr="00140ACF" w:rsidRDefault="00E83E7D" w:rsidP="00E83E7D">
      <w:pPr>
        <w:numPr>
          <w:ilvl w:val="0"/>
          <w:numId w:val="1"/>
        </w:numPr>
        <w:spacing w:before="240" w:after="240" w:line="360" w:lineRule="auto"/>
        <w:jc w:val="both"/>
        <w:rPr>
          <w:rFonts w:ascii="Palatino Linotype" w:eastAsia="Palatino Linotype" w:hAnsi="Palatino Linotype" w:cs="Palatino Linotype"/>
        </w:rPr>
      </w:pPr>
      <w:r w:rsidRPr="00140ACF">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64066F91" w14:textId="77777777" w:rsidR="00E83E7D" w:rsidRPr="00140ACF" w:rsidRDefault="00E83E7D" w:rsidP="00E83E7D">
      <w:pPr>
        <w:numPr>
          <w:ilvl w:val="0"/>
          <w:numId w:val="1"/>
        </w:numPr>
        <w:spacing w:before="240" w:after="240" w:line="360" w:lineRule="auto"/>
        <w:jc w:val="both"/>
        <w:rPr>
          <w:rFonts w:ascii="Palatino Linotype" w:eastAsia="Palatino Linotype" w:hAnsi="Palatino Linotype" w:cs="Palatino Linotype"/>
        </w:rPr>
      </w:pPr>
      <w:r w:rsidRPr="00140ACF">
        <w:rPr>
          <w:rFonts w:ascii="Palatino Linotype" w:eastAsia="Palatino Linotype" w:hAnsi="Palatino Linotype" w:cs="Palatino Linotype"/>
        </w:rPr>
        <w:t>Actividad Procesal del interesado. Acciones u omisiones del interesado.</w:t>
      </w:r>
    </w:p>
    <w:p w14:paraId="65F30988" w14:textId="77777777" w:rsidR="00E83E7D" w:rsidRPr="00140ACF" w:rsidRDefault="00E83E7D" w:rsidP="00E83E7D">
      <w:pPr>
        <w:numPr>
          <w:ilvl w:val="0"/>
          <w:numId w:val="1"/>
        </w:numPr>
        <w:spacing w:before="240" w:after="240" w:line="360" w:lineRule="auto"/>
        <w:jc w:val="both"/>
        <w:rPr>
          <w:rFonts w:ascii="Palatino Linotype" w:eastAsia="Palatino Linotype" w:hAnsi="Palatino Linotype" w:cs="Palatino Linotype"/>
        </w:rPr>
      </w:pPr>
      <w:r w:rsidRPr="00140ACF">
        <w:rPr>
          <w:rFonts w:ascii="Palatino Linotype" w:eastAsia="Palatino Linotype" w:hAnsi="Palatino Linotype" w:cs="Palatino Linotype"/>
        </w:rPr>
        <w:t>Conducta de la Autoridad: Las Acciones u omisiones realizadas en el procedimiento. Así como si la autoridad actuó con la debida diligencia.</w:t>
      </w:r>
    </w:p>
    <w:p w14:paraId="37C189E9" w14:textId="77777777" w:rsidR="00E83E7D" w:rsidRPr="00140ACF" w:rsidRDefault="00E83E7D" w:rsidP="00E83E7D">
      <w:pPr>
        <w:spacing w:before="240" w:after="240" w:line="360" w:lineRule="auto"/>
        <w:ind w:left="567"/>
        <w:jc w:val="both"/>
        <w:rPr>
          <w:rFonts w:ascii="Palatino Linotype" w:eastAsia="Palatino Linotype" w:hAnsi="Palatino Linotype" w:cs="Palatino Linotype"/>
        </w:rPr>
      </w:pPr>
      <w:r w:rsidRPr="00140ACF">
        <w:rPr>
          <w:rFonts w:ascii="Palatino Linotype" w:eastAsia="Palatino Linotype" w:hAnsi="Palatino Linotype" w:cs="Palatino Linotype"/>
        </w:rPr>
        <w:t>d) La afectación generada en la situación jurídica de la persona involucrada en el proceso: Violación a sus derechos humanos.</w:t>
      </w:r>
    </w:p>
    <w:p w14:paraId="16D491E1" w14:textId="77777777" w:rsidR="00E83E7D" w:rsidRPr="00140ACF" w:rsidRDefault="00E83E7D" w:rsidP="00E83E7D">
      <w:pPr>
        <w:spacing w:before="240" w:after="240" w:line="360" w:lineRule="auto"/>
        <w:jc w:val="both"/>
        <w:rPr>
          <w:rFonts w:ascii="Palatino Linotype" w:eastAsia="Palatino Linotype" w:hAnsi="Palatino Linotype" w:cs="Palatino Linotype"/>
        </w:rPr>
      </w:pPr>
      <w:r w:rsidRPr="00140ACF">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140ACF">
        <w:rPr>
          <w:rFonts w:ascii="Palatino Linotype" w:eastAsia="Palatino Linotype" w:hAnsi="Palatino Linotype" w:cs="Palatino Linotype"/>
        </w:rPr>
        <w:lastRenderedPageBreak/>
        <w:t>considerarse normal, debe concluirse que es una excluyente de responsabilidad en relación con la actuación del funcionario, como ha acontecido en el caso que nos ocupa.</w:t>
      </w:r>
    </w:p>
    <w:p w14:paraId="73ED1D3B" w14:textId="77777777" w:rsidR="00E83E7D" w:rsidRPr="00140ACF" w:rsidRDefault="00E83E7D" w:rsidP="00E83E7D">
      <w:pPr>
        <w:spacing w:before="240" w:after="240" w:line="360" w:lineRule="auto"/>
        <w:jc w:val="both"/>
        <w:rPr>
          <w:rFonts w:ascii="Palatino Linotype" w:eastAsia="Palatino Linotype" w:hAnsi="Palatino Linotype" w:cs="Palatino Linotype"/>
          <w:b/>
        </w:rPr>
      </w:pPr>
      <w:r w:rsidRPr="00140ACF">
        <w:rPr>
          <w:rFonts w:ascii="Palatino Linotype" w:eastAsia="Palatino Linotype" w:hAnsi="Palatino Linotype" w:cs="Palatino Linotype"/>
        </w:rPr>
        <w:t>Argumento que encuentra sustento en la jurisprudencia P</w:t>
      </w:r>
      <w:proofErr w:type="gramStart"/>
      <w:r w:rsidRPr="00140ACF">
        <w:rPr>
          <w:rFonts w:ascii="Palatino Linotype" w:eastAsia="Palatino Linotype" w:hAnsi="Palatino Linotype" w:cs="Palatino Linotype"/>
        </w:rPr>
        <w:t>./</w:t>
      </w:r>
      <w:proofErr w:type="gramEnd"/>
      <w:r w:rsidRPr="00140ACF">
        <w:rPr>
          <w:rFonts w:ascii="Palatino Linotype" w:eastAsia="Palatino Linotype" w:hAnsi="Palatino Linotype" w:cs="Palatino Linotype"/>
        </w:rPr>
        <w:t xml:space="preserve">J. 32/92 emitida por el Pleno de la Suprema Corte de Justicia de la Nación de rubro </w:t>
      </w:r>
      <w:r w:rsidRPr="00140ACF">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140ACF">
        <w:rPr>
          <w:rFonts w:ascii="Palatino Linotype" w:eastAsia="Palatino Linotype" w:hAnsi="Palatino Linotype" w:cs="Palatino Linotype"/>
        </w:rPr>
        <w:t>, visible en la Gaceta del Seminario Judicial de la Federación con el registro digital 205635.</w:t>
      </w:r>
    </w:p>
    <w:p w14:paraId="6A875EFC" w14:textId="77777777" w:rsidR="00E83E7D" w:rsidRPr="00140ACF" w:rsidRDefault="00E83E7D" w:rsidP="00E83E7D">
      <w:pPr>
        <w:spacing w:before="240" w:after="240" w:line="360" w:lineRule="auto"/>
        <w:jc w:val="both"/>
        <w:rPr>
          <w:rFonts w:ascii="Palatino Linotype" w:eastAsia="Palatino Linotype" w:hAnsi="Palatino Linotype" w:cs="Palatino Linotype"/>
        </w:rPr>
      </w:pPr>
      <w:r w:rsidRPr="00140ACF">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653E1CE" w14:textId="77777777" w:rsidR="00E83E7D" w:rsidRPr="00140ACF" w:rsidRDefault="00E83E7D" w:rsidP="00E83E7D">
      <w:pPr>
        <w:spacing w:before="240" w:after="240" w:line="360" w:lineRule="auto"/>
        <w:jc w:val="both"/>
        <w:rPr>
          <w:rFonts w:ascii="Palatino Linotype" w:eastAsia="Palatino Linotype" w:hAnsi="Palatino Linotype" w:cs="Palatino Linotype"/>
        </w:rPr>
      </w:pPr>
      <w:r w:rsidRPr="00140ACF">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3B0A8A22" w14:textId="77777777" w:rsidR="00E83E7D" w:rsidRPr="00140ACF" w:rsidRDefault="00E83E7D" w:rsidP="00E83E7D">
      <w:pPr>
        <w:spacing w:before="240" w:after="240"/>
        <w:ind w:left="851" w:right="902"/>
        <w:jc w:val="both"/>
        <w:rPr>
          <w:rFonts w:ascii="Palatino Linotype" w:eastAsia="Palatino Linotype" w:hAnsi="Palatino Linotype" w:cs="Palatino Linotype"/>
          <w:sz w:val="22"/>
          <w:szCs w:val="22"/>
        </w:rPr>
      </w:pPr>
      <w:r w:rsidRPr="00140ACF">
        <w:rPr>
          <w:rFonts w:ascii="Palatino Linotype" w:eastAsia="Palatino Linotype" w:hAnsi="Palatino Linotype" w:cs="Palatino Linotype"/>
        </w:rPr>
        <w:t xml:space="preserve"> </w:t>
      </w:r>
      <w:r w:rsidRPr="00140ACF">
        <w:rPr>
          <w:rFonts w:ascii="Palatino Linotype" w:eastAsia="Palatino Linotype" w:hAnsi="Palatino Linotype" w:cs="Palatino Linotype"/>
          <w:i/>
          <w:sz w:val="22"/>
          <w:szCs w:val="22"/>
        </w:rPr>
        <w:t>“</w:t>
      </w:r>
      <w:r w:rsidRPr="00140ACF">
        <w:rPr>
          <w:rFonts w:ascii="Palatino Linotype" w:eastAsia="Palatino Linotype" w:hAnsi="Palatino Linotype" w:cs="Palatino Linotype"/>
          <w:b/>
          <w:i/>
          <w:sz w:val="22"/>
          <w:szCs w:val="22"/>
        </w:rPr>
        <w:t>PLAZO RAZONABLE PARA RESOLVER. DIMENSIÓN Y EFECTOS DE ESTE CONCEPTO CUANDO SE ADUCE EXCESIVA CARGA DE TRABAJO</w:t>
      </w:r>
      <w:r w:rsidRPr="00140ACF">
        <w:rPr>
          <w:rFonts w:ascii="Palatino Linotype" w:eastAsia="Palatino Linotype" w:hAnsi="Palatino Linotype" w:cs="Palatino Linotype"/>
          <w:i/>
          <w:sz w:val="22"/>
          <w:szCs w:val="22"/>
        </w:rPr>
        <w:t>.”</w:t>
      </w:r>
      <w:r w:rsidRPr="00140ACF">
        <w:rPr>
          <w:rFonts w:ascii="Palatino Linotype" w:eastAsia="Palatino Linotype" w:hAnsi="Palatino Linotype" w:cs="Palatino Linotype"/>
          <w:sz w:val="22"/>
          <w:szCs w:val="22"/>
        </w:rPr>
        <w:t xml:space="preserve"> consultable en el Seminario Judicial de la Federación y su gaceta, con el registro digital 2002351.</w:t>
      </w:r>
    </w:p>
    <w:p w14:paraId="1E61FC37" w14:textId="77777777" w:rsidR="00E83E7D" w:rsidRPr="00140ACF" w:rsidRDefault="00E83E7D" w:rsidP="00E83E7D">
      <w:pPr>
        <w:spacing w:before="240" w:after="240"/>
        <w:ind w:left="851" w:right="902"/>
        <w:jc w:val="both"/>
        <w:rPr>
          <w:rFonts w:ascii="Palatino Linotype" w:eastAsia="Palatino Linotype" w:hAnsi="Palatino Linotype" w:cs="Palatino Linotype"/>
          <w:sz w:val="22"/>
          <w:szCs w:val="22"/>
        </w:rPr>
      </w:pPr>
      <w:r w:rsidRPr="00140ACF">
        <w:rPr>
          <w:rFonts w:ascii="Palatino Linotype" w:eastAsia="Palatino Linotype" w:hAnsi="Palatino Linotype" w:cs="Palatino Linotype"/>
          <w:i/>
          <w:sz w:val="22"/>
          <w:szCs w:val="22"/>
        </w:rPr>
        <w:t>“</w:t>
      </w:r>
      <w:r w:rsidRPr="00140ACF">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140ACF">
        <w:rPr>
          <w:rFonts w:ascii="Palatino Linotype" w:eastAsia="Palatino Linotype" w:hAnsi="Palatino Linotype" w:cs="Palatino Linotype"/>
          <w:i/>
          <w:sz w:val="22"/>
          <w:szCs w:val="22"/>
        </w:rPr>
        <w:t>.”</w:t>
      </w:r>
      <w:r w:rsidRPr="00140ACF">
        <w:rPr>
          <w:rFonts w:ascii="Palatino Linotype" w:eastAsia="Palatino Linotype" w:hAnsi="Palatino Linotype" w:cs="Palatino Linotype"/>
          <w:sz w:val="22"/>
          <w:szCs w:val="22"/>
        </w:rPr>
        <w:t>, visible en el Seminario Judicial de la Federación y su gaceta, con el registro digital 2002350.</w:t>
      </w:r>
    </w:p>
    <w:p w14:paraId="2614B022" w14:textId="5A49B1FA" w:rsidR="00AA541F" w:rsidRPr="00140ACF" w:rsidRDefault="00E83E7D" w:rsidP="00E83E7D">
      <w:pPr>
        <w:spacing w:before="240" w:after="240" w:line="360" w:lineRule="auto"/>
        <w:jc w:val="both"/>
        <w:rPr>
          <w:rFonts w:ascii="Palatino Linotype" w:eastAsia="Palatino Linotype" w:hAnsi="Palatino Linotype" w:cs="Palatino Linotype"/>
        </w:rPr>
      </w:pPr>
      <w:r w:rsidRPr="00140ACF">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02B5D648" w14:textId="77777777" w:rsidR="00AA541F" w:rsidRPr="00140ACF" w:rsidRDefault="001928B5">
      <w:pPr>
        <w:spacing w:before="240" w:after="240" w:line="360" w:lineRule="auto"/>
        <w:jc w:val="both"/>
        <w:rPr>
          <w:rFonts w:ascii="Palatino Linotype" w:eastAsia="Palatino Linotype" w:hAnsi="Palatino Linotype" w:cs="Palatino Linotype"/>
        </w:rPr>
      </w:pPr>
      <w:r w:rsidRPr="00140ACF">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14EA380A" w14:textId="77777777" w:rsidR="00AA541F" w:rsidRPr="00140ACF" w:rsidRDefault="001928B5">
      <w:pPr>
        <w:widowControl w:val="0"/>
        <w:spacing w:before="240" w:after="240" w:line="360" w:lineRule="auto"/>
        <w:jc w:val="center"/>
        <w:rPr>
          <w:rFonts w:ascii="Palatino Linotype" w:eastAsia="Palatino Linotype" w:hAnsi="Palatino Linotype" w:cs="Palatino Linotype"/>
          <w:b/>
        </w:rPr>
      </w:pPr>
      <w:r w:rsidRPr="00140ACF">
        <w:rPr>
          <w:rFonts w:ascii="Palatino Linotype" w:eastAsia="Palatino Linotype" w:hAnsi="Palatino Linotype" w:cs="Palatino Linotype"/>
          <w:b/>
        </w:rPr>
        <w:t>II. C O N S I D E R A N D O S</w:t>
      </w:r>
    </w:p>
    <w:p w14:paraId="78748DBB" w14:textId="77777777" w:rsidR="00AA541F" w:rsidRPr="00140ACF" w:rsidRDefault="001928B5">
      <w:pPr>
        <w:spacing w:before="240" w:after="240" w:line="360" w:lineRule="auto"/>
        <w:jc w:val="both"/>
        <w:rPr>
          <w:rFonts w:ascii="Palatino Linotype" w:eastAsia="Palatino Linotype" w:hAnsi="Palatino Linotype" w:cs="Palatino Linotype"/>
        </w:rPr>
      </w:pPr>
      <w:r w:rsidRPr="00140ACF">
        <w:rPr>
          <w:rFonts w:ascii="Palatino Linotype" w:eastAsia="Palatino Linotype" w:hAnsi="Palatino Linotype" w:cs="Palatino Linotype"/>
          <w:b/>
        </w:rPr>
        <w:t>Primero. Competencia.</w:t>
      </w:r>
      <w:r w:rsidRPr="00140ACF">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w:t>
      </w:r>
      <w:r w:rsidRPr="00140ACF">
        <w:rPr>
          <w:rFonts w:ascii="Palatino Linotype" w:eastAsia="Palatino Linotype" w:hAnsi="Palatino Linotype" w:cs="Palatino Linotype"/>
        </w:rPr>
        <w:lastRenderedPageBreak/>
        <w:t>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2A6E3552" w14:textId="77777777" w:rsidR="00AA541F" w:rsidRPr="00140ACF" w:rsidRDefault="001928B5">
      <w:pPr>
        <w:spacing w:before="240" w:after="240" w:line="360" w:lineRule="auto"/>
        <w:jc w:val="both"/>
        <w:rPr>
          <w:rFonts w:ascii="Palatino Linotype" w:eastAsia="Palatino Linotype" w:hAnsi="Palatino Linotype" w:cs="Palatino Linotype"/>
        </w:rPr>
      </w:pPr>
      <w:bookmarkStart w:id="4" w:name="_heading=h.tyjcwt" w:colFirst="0" w:colLast="0"/>
      <w:bookmarkEnd w:id="4"/>
      <w:r w:rsidRPr="00140ACF">
        <w:rPr>
          <w:rFonts w:ascii="Palatino Linotype" w:eastAsia="Palatino Linotype" w:hAnsi="Palatino Linotype" w:cs="Palatino Linotype"/>
          <w:b/>
        </w:rPr>
        <w:t>Segundo. Oportunidad y Procedibilidad del Recurso de Revisión</w:t>
      </w:r>
      <w:r w:rsidRPr="00140ACF">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1006454" w14:textId="70CA3D88" w:rsidR="00AA541F" w:rsidRPr="00140ACF" w:rsidRDefault="001928B5">
      <w:pPr>
        <w:spacing w:before="240" w:after="240" w:line="360" w:lineRule="auto"/>
        <w:jc w:val="both"/>
        <w:rPr>
          <w:rFonts w:ascii="Palatino Linotype" w:eastAsia="Palatino Linotype" w:hAnsi="Palatino Linotype" w:cs="Palatino Linotype"/>
        </w:rPr>
      </w:pPr>
      <w:r w:rsidRPr="00140ACF">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140ACF">
        <w:rPr>
          <w:rFonts w:ascii="Palatino Linotype" w:eastAsia="Palatino Linotype" w:hAnsi="Palatino Linotype" w:cs="Palatino Linotype"/>
          <w:b/>
        </w:rPr>
        <w:t xml:space="preserve">Sujeto Obligado </w:t>
      </w:r>
      <w:r w:rsidRPr="00140ACF">
        <w:rPr>
          <w:rFonts w:ascii="Palatino Linotype" w:eastAsia="Palatino Linotype" w:hAnsi="Palatino Linotype" w:cs="Palatino Linotype"/>
        </w:rPr>
        <w:t xml:space="preserve">remitió la respuesta a la solicitud de información el día </w:t>
      </w:r>
      <w:r w:rsidR="00D12EB4" w:rsidRPr="00140ACF">
        <w:rPr>
          <w:rFonts w:ascii="Palatino Linotype" w:eastAsia="Palatino Linotype" w:hAnsi="Palatino Linotype" w:cs="Palatino Linotype"/>
          <w:b/>
        </w:rPr>
        <w:t>veinte</w:t>
      </w:r>
      <w:r w:rsidRPr="00140ACF">
        <w:rPr>
          <w:rFonts w:ascii="Palatino Linotype" w:eastAsia="Palatino Linotype" w:hAnsi="Palatino Linotype" w:cs="Palatino Linotype"/>
          <w:b/>
        </w:rPr>
        <w:t xml:space="preserve"> de abril de dos mil veintidós, </w:t>
      </w:r>
      <w:r w:rsidRPr="00140ACF">
        <w:rPr>
          <w:rFonts w:ascii="Palatino Linotype" w:eastAsia="Palatino Linotype" w:hAnsi="Palatino Linotype" w:cs="Palatino Linotype"/>
        </w:rPr>
        <w:t xml:space="preserve">mientras que el recurso de revisión interpuesto por la parte </w:t>
      </w:r>
      <w:r w:rsidRPr="00140ACF">
        <w:rPr>
          <w:rFonts w:ascii="Palatino Linotype" w:eastAsia="Palatino Linotype" w:hAnsi="Palatino Linotype" w:cs="Palatino Linotype"/>
          <w:b/>
        </w:rPr>
        <w:t>Recurrente</w:t>
      </w:r>
      <w:r w:rsidRPr="00140ACF">
        <w:rPr>
          <w:rFonts w:ascii="Palatino Linotype" w:eastAsia="Palatino Linotype" w:hAnsi="Palatino Linotype" w:cs="Palatino Linotype"/>
        </w:rPr>
        <w:t xml:space="preserve">, se tuvo por presentado el día </w:t>
      </w:r>
      <w:r w:rsidR="00D12EB4" w:rsidRPr="00140ACF">
        <w:rPr>
          <w:rFonts w:ascii="Palatino Linotype" w:eastAsia="Palatino Linotype" w:hAnsi="Palatino Linotype" w:cs="Palatino Linotype"/>
          <w:b/>
        </w:rPr>
        <w:t>veintiséis</w:t>
      </w:r>
      <w:r w:rsidRPr="00140ACF">
        <w:rPr>
          <w:rFonts w:ascii="Palatino Linotype" w:eastAsia="Palatino Linotype" w:hAnsi="Palatino Linotype" w:cs="Palatino Linotype"/>
          <w:b/>
        </w:rPr>
        <w:t xml:space="preserve"> de abril de dos mil veintidós</w:t>
      </w:r>
      <w:r w:rsidRPr="00140ACF">
        <w:rPr>
          <w:rFonts w:ascii="Palatino Linotype" w:eastAsia="Palatino Linotype" w:hAnsi="Palatino Linotype" w:cs="Palatino Linotype"/>
        </w:rPr>
        <w:t>, esto es, al tercer día hábil siguiente en que tuvo conocimiento de la respuesta impugnada.</w:t>
      </w:r>
    </w:p>
    <w:p w14:paraId="6715C6AD" w14:textId="25BD11D9" w:rsidR="00AA541F" w:rsidRPr="00140ACF" w:rsidRDefault="001928B5">
      <w:pPr>
        <w:spacing w:before="240" w:after="240" w:line="360" w:lineRule="auto"/>
        <w:jc w:val="both"/>
        <w:rPr>
          <w:rFonts w:ascii="Palatino Linotype" w:eastAsia="Palatino Linotype" w:hAnsi="Palatino Linotype" w:cs="Palatino Linotype"/>
        </w:rPr>
      </w:pPr>
      <w:bookmarkStart w:id="5" w:name="_heading=h.3znysh7" w:colFirst="0" w:colLast="0"/>
      <w:bookmarkEnd w:id="5"/>
      <w:r w:rsidRPr="00140ACF">
        <w:rPr>
          <w:rFonts w:ascii="Palatino Linotype" w:eastAsia="Palatino Linotype" w:hAnsi="Palatino Linotype" w:cs="Palatino Linotype"/>
        </w:rPr>
        <w:t xml:space="preserve">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w:t>
      </w:r>
      <w:r w:rsidRPr="00140ACF">
        <w:rPr>
          <w:rFonts w:ascii="Palatino Linotype" w:eastAsia="Palatino Linotype" w:hAnsi="Palatino Linotype" w:cs="Palatino Linotype"/>
        </w:rPr>
        <w:lastRenderedPageBreak/>
        <w:t>Municipios, en atención a que fue presentado mediante el formato visible en el SAIMEX.</w:t>
      </w:r>
    </w:p>
    <w:p w14:paraId="3C78144F" w14:textId="77777777" w:rsidR="00D0534B" w:rsidRPr="00140ACF" w:rsidRDefault="00D0534B" w:rsidP="00D0534B">
      <w:pPr>
        <w:spacing w:before="240" w:after="240" w:line="360" w:lineRule="auto"/>
        <w:jc w:val="both"/>
        <w:rPr>
          <w:rFonts w:ascii="Palatino Linotype" w:hAnsi="Palatino Linotype" w:cs="Arial"/>
        </w:rPr>
      </w:pPr>
      <w:r w:rsidRPr="00140ACF">
        <w:rPr>
          <w:rFonts w:ascii="Palatino Linotype" w:hAnsi="Palatino Linotype" w:cs="Arial"/>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65AFEC5E" w14:textId="769C1EEA" w:rsidR="00D0534B" w:rsidRPr="00140ACF" w:rsidRDefault="00D0534B" w:rsidP="00D0534B">
      <w:pPr>
        <w:spacing w:before="240" w:after="240" w:line="360" w:lineRule="auto"/>
        <w:jc w:val="both"/>
        <w:rPr>
          <w:rFonts w:ascii="Palatino Linotype" w:hAnsi="Palatino Linotype" w:cs="Arial"/>
        </w:rPr>
      </w:pPr>
      <w:r w:rsidRPr="00140ACF">
        <w:rPr>
          <w:rFonts w:ascii="Palatino Linotype" w:hAnsi="Palatino Linotype" w:cs="Arial"/>
        </w:rPr>
        <w:t xml:space="preserve">A efecto de sustentar lo anterior, es de suma importancia mencionar que si bien la persona solicitante </w:t>
      </w:r>
      <w:r w:rsidRPr="00140ACF">
        <w:rPr>
          <w:rFonts w:ascii="Palatino Linotype" w:hAnsi="Palatino Linotype" w:cs="Arial"/>
          <w:b/>
          <w:bCs/>
        </w:rPr>
        <w:t xml:space="preserve">no proporcionó nombre completo </w:t>
      </w:r>
      <w:r w:rsidRPr="00140ACF">
        <w:rPr>
          <w:rFonts w:ascii="Palatino Linotype" w:hAnsi="Palatino Linotype" w:cs="Arial"/>
        </w:rPr>
        <w:t>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90BD1E7" w14:textId="77777777" w:rsidR="00D0534B" w:rsidRPr="00140ACF" w:rsidRDefault="00D0534B" w:rsidP="00762B6B">
      <w:pPr>
        <w:spacing w:before="120" w:after="120"/>
        <w:ind w:left="851" w:right="902"/>
        <w:jc w:val="both"/>
        <w:rPr>
          <w:rFonts w:ascii="Palatino Linotype" w:hAnsi="Palatino Linotype" w:cs="Arial"/>
          <w:sz w:val="22"/>
          <w:szCs w:val="22"/>
        </w:rPr>
      </w:pPr>
      <w:r w:rsidRPr="00140ACF">
        <w:rPr>
          <w:rFonts w:ascii="Palatino Linotype" w:hAnsi="Palatino Linotype" w:cs="Arial"/>
          <w:i/>
          <w:iCs/>
          <w:sz w:val="22"/>
          <w:szCs w:val="22"/>
        </w:rPr>
        <w:t>"</w:t>
      </w:r>
      <w:r w:rsidRPr="00140ACF">
        <w:rPr>
          <w:rFonts w:ascii="Palatino Linotype" w:hAnsi="Palatino Linotype" w:cs="Arial"/>
          <w:b/>
          <w:bCs/>
          <w:i/>
          <w:iCs/>
          <w:sz w:val="22"/>
          <w:szCs w:val="22"/>
        </w:rPr>
        <w:t>Las solicitudes anónimas</w:t>
      </w:r>
      <w:r w:rsidRPr="00140ACF">
        <w:rPr>
          <w:rFonts w:ascii="Palatino Linotype" w:hAnsi="Palatino Linotype" w:cs="Arial"/>
          <w:i/>
          <w:iCs/>
          <w:sz w:val="22"/>
          <w:szCs w:val="22"/>
        </w:rPr>
        <w:t xml:space="preserve">, con nombre incompleto o seudónimo </w:t>
      </w:r>
      <w:r w:rsidRPr="00140ACF">
        <w:rPr>
          <w:rFonts w:ascii="Palatino Linotype" w:hAnsi="Palatino Linotype" w:cs="Arial"/>
          <w:b/>
          <w:bCs/>
          <w:i/>
          <w:iCs/>
          <w:sz w:val="22"/>
          <w:szCs w:val="22"/>
        </w:rPr>
        <w:t>serán procedentes para su trámite por parte del sujeto obligado ante quien se presente</w:t>
      </w:r>
      <w:r w:rsidRPr="00140ACF">
        <w:rPr>
          <w:rFonts w:ascii="Palatino Linotype" w:hAnsi="Palatino Linotype" w:cs="Arial"/>
          <w:i/>
          <w:iCs/>
          <w:sz w:val="22"/>
          <w:szCs w:val="22"/>
        </w:rPr>
        <w:t>. No podrá requerirse información adicional con motivo del nombre proporcionado por el solicitante."</w:t>
      </w:r>
    </w:p>
    <w:p w14:paraId="45805925" w14:textId="77777777" w:rsidR="00D0534B" w:rsidRPr="00140ACF" w:rsidRDefault="00D0534B" w:rsidP="00D0534B">
      <w:pPr>
        <w:spacing w:before="240" w:after="240" w:line="360" w:lineRule="auto"/>
        <w:jc w:val="both"/>
        <w:rPr>
          <w:rFonts w:ascii="Palatino Linotype" w:hAnsi="Palatino Linotype" w:cs="Arial"/>
        </w:rPr>
      </w:pPr>
      <w:r w:rsidRPr="00140ACF">
        <w:rPr>
          <w:rFonts w:ascii="Palatino Linotype" w:hAnsi="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w:t>
      </w:r>
      <w:r w:rsidRPr="00140ACF">
        <w:rPr>
          <w:rFonts w:ascii="Palatino Linotype" w:hAnsi="Palatino Linotype"/>
        </w:rPr>
        <w:lastRenderedPageBreak/>
        <w:t xml:space="preserve">el nombre de la parte </w:t>
      </w:r>
      <w:r w:rsidRPr="00140ACF">
        <w:rPr>
          <w:rFonts w:ascii="Palatino Linotype" w:hAnsi="Palatino Linotype"/>
          <w:b/>
        </w:rPr>
        <w:t>Recurrente</w:t>
      </w:r>
      <w:r w:rsidRPr="00140ACF">
        <w:rPr>
          <w:rFonts w:ascii="Palatino Linotype" w:hAnsi="Palatino Linotype"/>
        </w:rPr>
        <w:t>, por lo que, en el presente caso, al haber sido presentado el recurso de revisión vía SAIMEX, dicho requisito resulta innecesario</w:t>
      </w:r>
      <w:r w:rsidRPr="00140ACF">
        <w:rPr>
          <w:rFonts w:ascii="Palatino Linotype" w:hAnsi="Palatino Linotype" w:cs="Arial"/>
        </w:rPr>
        <w:t>.</w:t>
      </w:r>
    </w:p>
    <w:p w14:paraId="4973C4B9" w14:textId="6CA11A87" w:rsidR="00AA541F" w:rsidRPr="00140ACF" w:rsidRDefault="001928B5">
      <w:pPr>
        <w:spacing w:before="240" w:after="240" w:line="360" w:lineRule="auto"/>
        <w:jc w:val="both"/>
        <w:rPr>
          <w:rFonts w:ascii="Palatino Linotype" w:eastAsia="Palatino Linotype" w:hAnsi="Palatino Linotype" w:cs="Palatino Linotype"/>
        </w:rPr>
      </w:pPr>
      <w:r w:rsidRPr="00140ACF">
        <w:rPr>
          <w:rFonts w:ascii="Palatino Linotype" w:eastAsia="Palatino Linotype" w:hAnsi="Palatino Linotype" w:cs="Palatino Linotype"/>
        </w:rPr>
        <w:t xml:space="preserve">Finalmente, se advierte que resulta procedente la interposición del recurso, según lo manifestado por la parte </w:t>
      </w:r>
      <w:r w:rsidRPr="00140ACF">
        <w:rPr>
          <w:rFonts w:ascii="Palatino Linotype" w:eastAsia="Palatino Linotype" w:hAnsi="Palatino Linotype" w:cs="Palatino Linotype"/>
          <w:b/>
        </w:rPr>
        <w:t>Recurrente</w:t>
      </w:r>
      <w:r w:rsidRPr="00140ACF">
        <w:rPr>
          <w:rFonts w:ascii="Palatino Linotype" w:eastAsia="Palatino Linotype" w:hAnsi="Palatino Linotype" w:cs="Palatino Linotype"/>
        </w:rPr>
        <w:t xml:space="preserve"> en sus motivos de inconformidad, de acuerdo al artículo 179, fracciones </w:t>
      </w:r>
      <w:r w:rsidR="00D12EB4" w:rsidRPr="00140ACF">
        <w:rPr>
          <w:rFonts w:ascii="Palatino Linotype" w:eastAsia="Palatino Linotype" w:hAnsi="Palatino Linotype" w:cs="Palatino Linotype"/>
        </w:rPr>
        <w:t xml:space="preserve">I </w:t>
      </w:r>
      <w:r w:rsidRPr="00140ACF">
        <w:rPr>
          <w:rFonts w:ascii="Palatino Linotype" w:eastAsia="Palatino Linotype" w:hAnsi="Palatino Linotype" w:cs="Palatino Linotype"/>
        </w:rPr>
        <w:t xml:space="preserve">y </w:t>
      </w:r>
      <w:r w:rsidR="00D12EB4" w:rsidRPr="00140ACF">
        <w:rPr>
          <w:rFonts w:ascii="Palatino Linotype" w:eastAsia="Palatino Linotype" w:hAnsi="Palatino Linotype" w:cs="Palatino Linotype"/>
        </w:rPr>
        <w:t>VIII</w:t>
      </w:r>
      <w:r w:rsidRPr="00140ACF">
        <w:rPr>
          <w:rFonts w:ascii="Palatino Linotype" w:eastAsia="Palatino Linotype" w:hAnsi="Palatino Linotype" w:cs="Palatino Linotype"/>
        </w:rPr>
        <w:t xml:space="preserve"> del ordenamiento legal citado, que a la letra dice: </w:t>
      </w:r>
    </w:p>
    <w:p w14:paraId="794EB9EE" w14:textId="77777777" w:rsidR="00AA541F" w:rsidRPr="00140ACF" w:rsidRDefault="001928B5">
      <w:pPr>
        <w:spacing w:before="120" w:after="120"/>
        <w:ind w:left="851" w:right="902"/>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i/>
          <w:sz w:val="22"/>
          <w:szCs w:val="22"/>
        </w:rPr>
        <w:t>“</w:t>
      </w:r>
      <w:r w:rsidRPr="00140ACF">
        <w:rPr>
          <w:rFonts w:ascii="Palatino Linotype" w:eastAsia="Palatino Linotype" w:hAnsi="Palatino Linotype" w:cs="Palatino Linotype"/>
          <w:b/>
          <w:i/>
          <w:sz w:val="22"/>
          <w:szCs w:val="22"/>
        </w:rPr>
        <w:t>Artículo 179.</w:t>
      </w:r>
      <w:r w:rsidRPr="00140ACF">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5C3FDFA9" w14:textId="77777777" w:rsidR="00AA541F" w:rsidRPr="00140ACF" w:rsidRDefault="001928B5">
      <w:pPr>
        <w:spacing w:before="120" w:after="120"/>
        <w:ind w:left="1134"/>
        <w:rPr>
          <w:rFonts w:ascii="Palatino Linotype" w:eastAsia="Palatino Linotype" w:hAnsi="Palatino Linotype" w:cs="Palatino Linotype"/>
          <w:b/>
          <w:i/>
          <w:sz w:val="22"/>
          <w:szCs w:val="22"/>
        </w:rPr>
      </w:pPr>
      <w:r w:rsidRPr="00140ACF">
        <w:rPr>
          <w:rFonts w:ascii="Palatino Linotype" w:eastAsia="Palatino Linotype" w:hAnsi="Palatino Linotype" w:cs="Palatino Linotype"/>
          <w:b/>
          <w:i/>
          <w:sz w:val="22"/>
          <w:szCs w:val="22"/>
        </w:rPr>
        <w:t>...</w:t>
      </w:r>
    </w:p>
    <w:p w14:paraId="19744E82" w14:textId="29AFEE1F" w:rsidR="00AA541F" w:rsidRPr="00140ACF" w:rsidRDefault="00D12EB4">
      <w:pPr>
        <w:spacing w:before="120" w:after="120"/>
        <w:ind w:left="1134"/>
        <w:rPr>
          <w:rFonts w:ascii="Palatino Linotype" w:eastAsia="Palatino Linotype" w:hAnsi="Palatino Linotype" w:cs="Palatino Linotype"/>
          <w:b/>
          <w:i/>
          <w:sz w:val="22"/>
          <w:szCs w:val="22"/>
        </w:rPr>
      </w:pPr>
      <w:r w:rsidRPr="00140ACF">
        <w:rPr>
          <w:rFonts w:ascii="Palatino Linotype" w:eastAsia="Palatino Linotype" w:hAnsi="Palatino Linotype" w:cs="Palatino Linotype"/>
          <w:b/>
          <w:i/>
          <w:sz w:val="22"/>
          <w:szCs w:val="22"/>
        </w:rPr>
        <w:t xml:space="preserve">I. </w:t>
      </w:r>
      <w:r w:rsidRPr="00140ACF">
        <w:rPr>
          <w:rFonts w:ascii="Palatino Linotype" w:eastAsia="Palatino Linotype" w:hAnsi="Palatino Linotype" w:cs="Palatino Linotype"/>
          <w:bCs/>
          <w:i/>
          <w:sz w:val="22"/>
          <w:szCs w:val="22"/>
        </w:rPr>
        <w:t>La negativa a la información solicitada</w:t>
      </w:r>
      <w:r w:rsidR="001928B5" w:rsidRPr="00140ACF">
        <w:rPr>
          <w:rFonts w:ascii="Palatino Linotype" w:eastAsia="Palatino Linotype" w:hAnsi="Palatino Linotype" w:cs="Palatino Linotype"/>
          <w:b/>
          <w:i/>
          <w:sz w:val="22"/>
          <w:szCs w:val="22"/>
        </w:rPr>
        <w:t>;</w:t>
      </w:r>
    </w:p>
    <w:p w14:paraId="1DF48B39" w14:textId="77777777" w:rsidR="00AA541F" w:rsidRPr="00140ACF" w:rsidRDefault="001928B5">
      <w:pPr>
        <w:spacing w:before="120" w:after="120"/>
        <w:ind w:left="1134"/>
        <w:rPr>
          <w:rFonts w:ascii="Palatino Linotype" w:eastAsia="Palatino Linotype" w:hAnsi="Palatino Linotype" w:cs="Palatino Linotype"/>
          <w:b/>
          <w:i/>
          <w:sz w:val="22"/>
          <w:szCs w:val="22"/>
        </w:rPr>
      </w:pPr>
      <w:r w:rsidRPr="00140ACF">
        <w:rPr>
          <w:rFonts w:ascii="Palatino Linotype" w:eastAsia="Palatino Linotype" w:hAnsi="Palatino Linotype" w:cs="Palatino Linotype"/>
          <w:b/>
          <w:i/>
          <w:sz w:val="22"/>
          <w:szCs w:val="22"/>
        </w:rPr>
        <w:t>...</w:t>
      </w:r>
    </w:p>
    <w:p w14:paraId="49E50686" w14:textId="10F50EFB" w:rsidR="00D12EB4" w:rsidRPr="00140ACF" w:rsidRDefault="00D12EB4" w:rsidP="00311CA0">
      <w:pPr>
        <w:spacing w:before="120" w:after="120"/>
        <w:ind w:left="1134"/>
        <w:rPr>
          <w:rFonts w:ascii="Palatino Linotype" w:eastAsia="Palatino Linotype" w:hAnsi="Palatino Linotype" w:cs="Palatino Linotype"/>
          <w:i/>
          <w:sz w:val="22"/>
          <w:szCs w:val="22"/>
        </w:rPr>
      </w:pPr>
      <w:r w:rsidRPr="00140ACF">
        <w:rPr>
          <w:rFonts w:ascii="Palatino Linotype" w:eastAsia="Palatino Linotype" w:hAnsi="Palatino Linotype" w:cs="Palatino Linotype"/>
          <w:b/>
          <w:bCs/>
          <w:i/>
          <w:sz w:val="22"/>
          <w:szCs w:val="22"/>
        </w:rPr>
        <w:t>VIII</w:t>
      </w:r>
      <w:r w:rsidR="001928B5" w:rsidRPr="00140ACF">
        <w:rPr>
          <w:rFonts w:ascii="Palatino Linotype" w:eastAsia="Palatino Linotype" w:hAnsi="Palatino Linotype" w:cs="Palatino Linotype"/>
          <w:i/>
          <w:sz w:val="22"/>
          <w:szCs w:val="22"/>
        </w:rPr>
        <w:t xml:space="preserve">. </w:t>
      </w:r>
      <w:r w:rsidRPr="00140ACF">
        <w:rPr>
          <w:rFonts w:ascii="Palatino Linotype" w:eastAsia="Palatino Linotype" w:hAnsi="Palatino Linotype" w:cs="Palatino Linotype"/>
          <w:i/>
          <w:sz w:val="22"/>
          <w:szCs w:val="22"/>
        </w:rPr>
        <w:t>La notificación, entrega o puesta a disposición de información en</w:t>
      </w:r>
      <w:r w:rsidR="00311CA0" w:rsidRPr="00140ACF">
        <w:rPr>
          <w:rFonts w:ascii="Palatino Linotype" w:eastAsia="Palatino Linotype" w:hAnsi="Palatino Linotype" w:cs="Palatino Linotype"/>
          <w:i/>
          <w:sz w:val="22"/>
          <w:szCs w:val="22"/>
        </w:rPr>
        <w:t xml:space="preserve"> </w:t>
      </w:r>
      <w:r w:rsidRPr="00140ACF">
        <w:rPr>
          <w:rFonts w:ascii="Palatino Linotype" w:eastAsia="Palatino Linotype" w:hAnsi="Palatino Linotype" w:cs="Palatino Linotype"/>
          <w:i/>
          <w:sz w:val="22"/>
          <w:szCs w:val="22"/>
        </w:rPr>
        <w:t>una modalidad o formato distinto al solicitado;”</w:t>
      </w:r>
    </w:p>
    <w:p w14:paraId="61039EB0" w14:textId="77777777" w:rsidR="00AA541F" w:rsidRPr="00140ACF" w:rsidRDefault="001928B5">
      <w:pPr>
        <w:spacing w:before="240" w:after="240" w:line="360" w:lineRule="auto"/>
        <w:jc w:val="both"/>
        <w:rPr>
          <w:rFonts w:ascii="Palatino Linotype" w:eastAsia="Palatino Linotype" w:hAnsi="Palatino Linotype" w:cs="Palatino Linotype"/>
        </w:rPr>
      </w:pPr>
      <w:r w:rsidRPr="00140ACF">
        <w:rPr>
          <w:rFonts w:ascii="Palatino Linotype" w:eastAsia="Palatino Linotype" w:hAnsi="Palatino Linotype" w:cs="Palatino Linotype"/>
          <w:b/>
        </w:rPr>
        <w:t xml:space="preserve">Tercero. Materia de la revisión. </w:t>
      </w:r>
      <w:r w:rsidRPr="00140ACF">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140ACF">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140ACF">
        <w:rPr>
          <w:rFonts w:ascii="Palatino Linotype" w:eastAsia="Palatino Linotype" w:hAnsi="Palatino Linotype" w:cs="Palatino Linotype"/>
        </w:rPr>
        <w:t xml:space="preserve">de la parte </w:t>
      </w:r>
      <w:r w:rsidRPr="00140ACF">
        <w:rPr>
          <w:rFonts w:ascii="Palatino Linotype" w:eastAsia="Palatino Linotype" w:hAnsi="Palatino Linotype" w:cs="Palatino Linotype"/>
          <w:b/>
        </w:rPr>
        <w:t>Recurrente</w:t>
      </w:r>
      <w:r w:rsidRPr="00140ACF">
        <w:rPr>
          <w:rFonts w:ascii="Palatino Linotype" w:eastAsia="Palatino Linotype" w:hAnsi="Palatino Linotype" w:cs="Palatino Linotype"/>
        </w:rPr>
        <w:t>, o en su defecto, en caso de ser procedente, ordenar la entrega de información oportuna.</w:t>
      </w:r>
    </w:p>
    <w:p w14:paraId="62EBB4C1" w14:textId="77777777" w:rsidR="00AA541F" w:rsidRPr="00140ACF" w:rsidRDefault="001928B5">
      <w:pPr>
        <w:spacing w:before="240" w:after="240" w:line="360" w:lineRule="auto"/>
        <w:ind w:right="51"/>
        <w:jc w:val="both"/>
      </w:pPr>
      <w:bookmarkStart w:id="6" w:name="_heading=h.2et92p0" w:colFirst="0" w:colLast="0"/>
      <w:bookmarkEnd w:id="6"/>
      <w:r w:rsidRPr="00140ACF">
        <w:rPr>
          <w:rFonts w:ascii="Palatino Linotype" w:eastAsia="Palatino Linotype" w:hAnsi="Palatino Linotype" w:cs="Palatino Linotype"/>
          <w:b/>
        </w:rPr>
        <w:t xml:space="preserve">Cuarto. Estudio del asunto. </w:t>
      </w:r>
      <w:r w:rsidRPr="00140ACF">
        <w:rPr>
          <w:rFonts w:ascii="Palatino Linotype" w:eastAsia="Palatino Linotype" w:hAnsi="Palatino Linotype" w:cs="Palatino Linotype"/>
        </w:rPr>
        <w:t xml:space="preserve">Del análisis de la solicitud de información, motivo del recurso de revisión que ahora se resuelve se advierte que la parte </w:t>
      </w:r>
      <w:r w:rsidRPr="00140ACF">
        <w:rPr>
          <w:rFonts w:ascii="Palatino Linotype" w:eastAsia="Palatino Linotype" w:hAnsi="Palatino Linotype" w:cs="Palatino Linotype"/>
          <w:b/>
        </w:rPr>
        <w:t>Recurrente</w:t>
      </w:r>
      <w:r w:rsidRPr="00140ACF">
        <w:rPr>
          <w:rFonts w:ascii="Palatino Linotype" w:eastAsia="Palatino Linotype" w:hAnsi="Palatino Linotype" w:cs="Palatino Linotype"/>
        </w:rPr>
        <w:t xml:space="preserve"> requirió al </w:t>
      </w:r>
      <w:r w:rsidRPr="00140ACF">
        <w:rPr>
          <w:rFonts w:ascii="Palatino Linotype" w:eastAsia="Palatino Linotype" w:hAnsi="Palatino Linotype" w:cs="Palatino Linotype"/>
          <w:b/>
        </w:rPr>
        <w:t xml:space="preserve">Sujeto Obligado </w:t>
      </w:r>
      <w:r w:rsidRPr="00140ACF">
        <w:rPr>
          <w:rFonts w:ascii="Palatino Linotype" w:eastAsia="Palatino Linotype" w:hAnsi="Palatino Linotype" w:cs="Palatino Linotype"/>
        </w:rPr>
        <w:t>le proporcione, información consistente en lo siguiente</w:t>
      </w:r>
      <w:r w:rsidRPr="00140ACF">
        <w:t>:</w:t>
      </w:r>
    </w:p>
    <w:p w14:paraId="5B58949E" w14:textId="0744DB48" w:rsidR="00D0534B" w:rsidRPr="00140ACF" w:rsidRDefault="001928B5" w:rsidP="0033319C">
      <w:pPr>
        <w:spacing w:before="240" w:after="240" w:line="360" w:lineRule="auto"/>
        <w:ind w:left="426" w:right="49"/>
        <w:jc w:val="both"/>
        <w:rPr>
          <w:rFonts w:ascii="Palatino Linotype" w:eastAsia="Palatino Linotype" w:hAnsi="Palatino Linotype" w:cs="Palatino Linotype"/>
        </w:rPr>
      </w:pPr>
      <w:bookmarkStart w:id="7" w:name="_heading=h.26in1rg" w:colFirst="0" w:colLast="0"/>
      <w:bookmarkEnd w:id="7"/>
      <w:r w:rsidRPr="00140ACF">
        <w:rPr>
          <w:rFonts w:ascii="Palatino Linotype" w:eastAsia="Palatino Linotype" w:hAnsi="Palatino Linotype" w:cs="Palatino Linotype"/>
        </w:rPr>
        <w:lastRenderedPageBreak/>
        <w:t xml:space="preserve">1. </w:t>
      </w:r>
      <w:r w:rsidR="0033319C" w:rsidRPr="00140ACF">
        <w:rPr>
          <w:rFonts w:ascii="Palatino Linotype" w:eastAsia="Palatino Linotype" w:hAnsi="Palatino Linotype" w:cs="Palatino Linotype"/>
        </w:rPr>
        <w:t xml:space="preserve">Nombre, percepciones económicas y área de adscripción </w:t>
      </w:r>
      <w:r w:rsidR="0033319C" w:rsidRPr="00140ACF">
        <w:rPr>
          <w:rFonts w:ascii="Palatino Linotype" w:eastAsia="Palatino Linotype" w:hAnsi="Palatino Linotype" w:cs="Palatino Linotype"/>
          <w:u w:val="single"/>
        </w:rPr>
        <w:t>d</w:t>
      </w:r>
      <w:r w:rsidR="0033319C" w:rsidRPr="00140ACF">
        <w:rPr>
          <w:rFonts w:ascii="Palatino Linotype" w:eastAsia="Palatino Linotype" w:hAnsi="Palatino Linotype" w:cs="Palatino Linotype"/>
          <w:b/>
          <w:u w:val="single"/>
        </w:rPr>
        <w:t>e la totalidad de los trabajadores de base y de confianza</w:t>
      </w:r>
      <w:r w:rsidR="0033319C" w:rsidRPr="00140ACF">
        <w:rPr>
          <w:rFonts w:ascii="Palatino Linotype" w:eastAsia="Palatino Linotype" w:hAnsi="Palatino Linotype" w:cs="Palatino Linotype"/>
        </w:rPr>
        <w:t xml:space="preserve"> (especificando en cada caso a que grupo pertenecen) de la actual administración municipal.</w:t>
      </w:r>
    </w:p>
    <w:p w14:paraId="541FCC6A" w14:textId="076E52AF" w:rsidR="0033319C" w:rsidRPr="00140ACF" w:rsidRDefault="001928B5">
      <w:pPr>
        <w:spacing w:before="240" w:after="240" w:line="360" w:lineRule="auto"/>
        <w:ind w:right="49"/>
        <w:jc w:val="both"/>
        <w:rPr>
          <w:rFonts w:ascii="Palatino Linotype" w:eastAsia="Palatino Linotype" w:hAnsi="Palatino Linotype" w:cs="Palatino Linotype"/>
        </w:rPr>
      </w:pPr>
      <w:r w:rsidRPr="00140ACF">
        <w:rPr>
          <w:rFonts w:ascii="Palatino Linotype" w:eastAsia="Palatino Linotype" w:hAnsi="Palatino Linotype" w:cs="Palatino Linotype"/>
        </w:rPr>
        <w:t xml:space="preserve">En respuesta, el </w:t>
      </w:r>
      <w:r w:rsidRPr="00140ACF">
        <w:rPr>
          <w:rFonts w:ascii="Palatino Linotype" w:eastAsia="Palatino Linotype" w:hAnsi="Palatino Linotype" w:cs="Palatino Linotype"/>
          <w:b/>
        </w:rPr>
        <w:t xml:space="preserve">Sujeto Obligado, </w:t>
      </w:r>
      <w:r w:rsidRPr="00140ACF">
        <w:rPr>
          <w:rFonts w:ascii="Palatino Linotype" w:eastAsia="Palatino Linotype" w:hAnsi="Palatino Linotype" w:cs="Palatino Linotype"/>
        </w:rPr>
        <w:t>a través de la Unidad de Transparencia, hizo del conocimiento de la persona solicitante,</w:t>
      </w:r>
      <w:r w:rsidR="0033319C" w:rsidRPr="00140ACF">
        <w:rPr>
          <w:rFonts w:ascii="Palatino Linotype" w:eastAsia="Palatino Linotype" w:hAnsi="Palatino Linotype" w:cs="Palatino Linotype"/>
        </w:rPr>
        <w:t xml:space="preserve"> que la </w:t>
      </w:r>
      <w:r w:rsidR="0033319C" w:rsidRPr="00140ACF">
        <w:rPr>
          <w:rFonts w:ascii="Palatino Linotype" w:hAnsi="Palatino Linotype"/>
        </w:rPr>
        <w:t>información se estaba subiendo al portal de Información Pública de Oficio Mexiquense, IPOMEX, y que podría ser consultada, determinando archivar la solicitud como concluida.</w:t>
      </w:r>
    </w:p>
    <w:p w14:paraId="610654DD" w14:textId="63C10F98" w:rsidR="00694AC8" w:rsidRPr="00140ACF" w:rsidRDefault="001928B5">
      <w:pPr>
        <w:spacing w:before="240" w:after="240" w:line="360" w:lineRule="auto"/>
        <w:jc w:val="both"/>
        <w:rPr>
          <w:rFonts w:ascii="Palatino Linotype" w:eastAsia="Palatino Linotype" w:hAnsi="Palatino Linotype" w:cs="Palatino Linotype"/>
        </w:rPr>
      </w:pPr>
      <w:r w:rsidRPr="00140ACF">
        <w:rPr>
          <w:rFonts w:ascii="Palatino Linotype" w:eastAsia="Palatino Linotype" w:hAnsi="Palatino Linotype" w:cs="Palatino Linotype"/>
        </w:rPr>
        <w:t>Conocida la respuesta por la persona solicitante, al no estar conforme con los términos de la misma, interpuso el recurso de revisión que nos ocupa, mediante el cual señaló</w:t>
      </w:r>
      <w:r w:rsidR="00694AC8" w:rsidRPr="00140ACF">
        <w:rPr>
          <w:rFonts w:ascii="Palatino Linotype" w:eastAsia="Palatino Linotype" w:hAnsi="Palatino Linotype" w:cs="Palatino Linotype"/>
        </w:rPr>
        <w:t>,</w:t>
      </w:r>
      <w:r w:rsidRPr="00140ACF">
        <w:rPr>
          <w:rFonts w:ascii="Palatino Linotype" w:eastAsia="Palatino Linotype" w:hAnsi="Palatino Linotype" w:cs="Palatino Linotype"/>
        </w:rPr>
        <w:t xml:space="preserve"> como motivo de inconformidad</w:t>
      </w:r>
      <w:r w:rsidR="00694AC8" w:rsidRPr="00140ACF">
        <w:rPr>
          <w:rFonts w:ascii="Palatino Linotype" w:eastAsia="Palatino Linotype" w:hAnsi="Palatino Linotype" w:cs="Palatino Linotype"/>
        </w:rPr>
        <w:t>,</w:t>
      </w:r>
      <w:r w:rsidR="00B52737" w:rsidRPr="00140ACF">
        <w:rPr>
          <w:rFonts w:ascii="Palatino Linotype" w:eastAsia="Palatino Linotype" w:hAnsi="Palatino Linotype" w:cs="Palatino Linotype"/>
        </w:rPr>
        <w:t xml:space="preserve"> que el </w:t>
      </w:r>
      <w:r w:rsidR="00B52737" w:rsidRPr="00140ACF">
        <w:rPr>
          <w:rFonts w:ascii="Palatino Linotype" w:eastAsia="Palatino Linotype" w:hAnsi="Palatino Linotype" w:cs="Palatino Linotype"/>
          <w:b/>
          <w:bCs/>
        </w:rPr>
        <w:t>Sujeto Obligado</w:t>
      </w:r>
      <w:r w:rsidR="00B52737" w:rsidRPr="00140ACF">
        <w:rPr>
          <w:rFonts w:ascii="Palatino Linotype" w:eastAsia="Palatino Linotype" w:hAnsi="Palatino Linotype" w:cs="Palatino Linotype"/>
        </w:rPr>
        <w:t xml:space="preserve"> no hizo entrega de la información, bajo el argumento de que la misma se estaba subiendo al portal IPOMEX, pudiendo ser consultada en el mismo.</w:t>
      </w:r>
    </w:p>
    <w:p w14:paraId="77811DF5" w14:textId="231DE626" w:rsidR="00AA541F" w:rsidRPr="00140ACF" w:rsidRDefault="001928B5">
      <w:pPr>
        <w:spacing w:before="240" w:after="240" w:line="360" w:lineRule="auto"/>
        <w:jc w:val="both"/>
        <w:rPr>
          <w:rFonts w:ascii="Palatino Linotype" w:eastAsia="Palatino Linotype" w:hAnsi="Palatino Linotype" w:cs="Palatino Linotype"/>
        </w:rPr>
      </w:pPr>
      <w:r w:rsidRPr="00140ACF">
        <w:rPr>
          <w:rFonts w:ascii="Palatino Linotype" w:eastAsia="Palatino Linotype" w:hAnsi="Palatino Linotype" w:cs="Palatino Linotype"/>
        </w:rPr>
        <w:t>Admitido el presente recurso de revisión, en términos del artículo 185 fracción II</w:t>
      </w:r>
      <w:r w:rsidRPr="00140ACF">
        <w:rPr>
          <w:rFonts w:ascii="Palatino Linotype" w:eastAsia="Palatino Linotype" w:hAnsi="Palatino Linotype" w:cs="Palatino Linotype"/>
          <w:vertAlign w:val="superscript"/>
        </w:rPr>
        <w:footnoteReference w:id="1"/>
      </w:r>
      <w:r w:rsidRPr="00140ACF">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r w:rsidR="00B52737" w:rsidRPr="00140ACF">
        <w:rPr>
          <w:rFonts w:ascii="Palatino Linotype" w:eastAsia="Palatino Linotype" w:hAnsi="Palatino Linotype" w:cs="Palatino Linotype"/>
        </w:rPr>
        <w:t>, siendo ambas partes omisas en ejercer dicha prerrogativa, como se señaló anteriormente.</w:t>
      </w:r>
    </w:p>
    <w:p w14:paraId="42A172CE" w14:textId="77777777" w:rsidR="003009B2" w:rsidRPr="00140ACF" w:rsidRDefault="003009B2" w:rsidP="003009B2">
      <w:pPr>
        <w:spacing w:before="240" w:after="240" w:line="360" w:lineRule="auto"/>
        <w:ind w:right="51"/>
        <w:jc w:val="both"/>
        <w:rPr>
          <w:rFonts w:ascii="Palatino Linotype" w:eastAsia="Palatino Linotype" w:hAnsi="Palatino Linotype" w:cs="Palatino Linotype"/>
        </w:rPr>
      </w:pPr>
      <w:r w:rsidRPr="00140ACF">
        <w:rPr>
          <w:rFonts w:ascii="Palatino Linotype" w:eastAsia="Palatino Linotype" w:hAnsi="Palatino Linotype" w:cs="Palatino Linotype"/>
        </w:rPr>
        <w:t xml:space="preserve">En primer lugar  es conveniente mencionar que de conformidad con el artículo 4, párrafo segundo de la Ley de Transparencia y Acceso a la Información Pública del </w:t>
      </w:r>
      <w:r w:rsidRPr="00140ACF">
        <w:rPr>
          <w:rFonts w:ascii="Palatino Linotype" w:eastAsia="Palatino Linotype" w:hAnsi="Palatino Linotype" w:cs="Palatino Linotype"/>
        </w:rPr>
        <w:lastRenderedPageBreak/>
        <w:t>Estado de México y Municipios, toda la información generada, obtenida, adquirida, transformada, administrada o en posesión de los Sujetos Obligados es pública y accesible de manera permanente a cualquier persona, privilegiando el principio de máxima publicidad de la información, y esta sólo podrá ser clasificada excepcionalmente como reservada temporalmente por razones de interés público, en los términos de las causas legítimas y estrictamente necesarias previstas por dicha Ley, es decir, que por regla general, toda la información generada, obtenida, adquirida, transmitida, administrada o en posesión de los Sujetos Obligados es pública, y de manera excepcional puede ser clasificada.</w:t>
      </w:r>
    </w:p>
    <w:p w14:paraId="46BE175C" w14:textId="77777777" w:rsidR="003009B2" w:rsidRPr="00140ACF" w:rsidRDefault="003009B2" w:rsidP="003009B2">
      <w:pPr>
        <w:spacing w:before="240" w:after="240" w:line="360" w:lineRule="auto"/>
        <w:jc w:val="both"/>
        <w:rPr>
          <w:rFonts w:ascii="Palatino Linotype" w:eastAsia="Palatino Linotype" w:hAnsi="Palatino Linotype" w:cs="Palatino Linotype"/>
        </w:rPr>
      </w:pPr>
      <w:r w:rsidRPr="00140ACF">
        <w:rPr>
          <w:rFonts w:ascii="Palatino Linotype" w:eastAsia="Palatino Linotype" w:hAnsi="Palatino Linotype" w:cs="Palatino Linotype"/>
        </w:rPr>
        <w:t>Por su parte, el artículo 24 en su último párrafo de la Ley de la Materia, dispone que los Sujetos Obligados sólo proporcionarán la información pública que generen, administren o posean en el ejercicio de sus atribuciones; por consiguiente, la información generada por los entes públicos, se encuentra a disposición de cualquier persona, lo que implica que es deber de los Sujetos Obligados, garantizar el Derecho de Acceso a la Información Pública.</w:t>
      </w:r>
    </w:p>
    <w:p w14:paraId="05930C0D" w14:textId="77777777" w:rsidR="003009B2" w:rsidRPr="00140ACF" w:rsidRDefault="003009B2" w:rsidP="003009B2">
      <w:pPr>
        <w:spacing w:line="360" w:lineRule="auto"/>
        <w:jc w:val="both"/>
        <w:rPr>
          <w:rFonts w:ascii="Palatino Linotype" w:eastAsia="Palatino Linotype" w:hAnsi="Palatino Linotype" w:cs="Palatino Linotype"/>
        </w:rPr>
      </w:pPr>
      <w:r w:rsidRPr="00140ACF">
        <w:rPr>
          <w:rFonts w:ascii="Palatino Linotype" w:eastAsia="Palatino Linotype" w:hAnsi="Palatino Linotype" w:cs="Palatino Linotype"/>
        </w:rPr>
        <w:t xml:space="preserve">En otras palabras,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w:t>
      </w:r>
      <w:r w:rsidRPr="00140ACF">
        <w:rPr>
          <w:rFonts w:ascii="Palatino Linotype" w:eastAsia="Palatino Linotype" w:hAnsi="Palatino Linotype" w:cs="Palatino Linotype"/>
        </w:rPr>
        <w:lastRenderedPageBreak/>
        <w:t xml:space="preserve">informático u holográfico de conformidad con el artículo 3, fracción XI de la Ley de la materia, el cual señala lo siguiente: </w:t>
      </w:r>
    </w:p>
    <w:p w14:paraId="75420A36" w14:textId="77777777" w:rsidR="003009B2" w:rsidRPr="00140ACF" w:rsidRDefault="003009B2" w:rsidP="003009B2">
      <w:pPr>
        <w:ind w:left="851" w:right="899"/>
        <w:jc w:val="both"/>
        <w:rPr>
          <w:rFonts w:ascii="Palatino Linotype" w:eastAsia="Palatino Linotype" w:hAnsi="Palatino Linotype" w:cs="Palatino Linotype"/>
          <w:i/>
        </w:rPr>
      </w:pPr>
    </w:p>
    <w:p w14:paraId="018EC25E" w14:textId="77777777" w:rsidR="003009B2" w:rsidRPr="00140ACF" w:rsidRDefault="003009B2" w:rsidP="003009B2">
      <w:pPr>
        <w:ind w:left="851" w:right="899"/>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i/>
          <w:sz w:val="22"/>
          <w:szCs w:val="22"/>
        </w:rPr>
        <w:t>“</w:t>
      </w:r>
      <w:r w:rsidRPr="00140ACF">
        <w:rPr>
          <w:rFonts w:ascii="Palatino Linotype" w:eastAsia="Palatino Linotype" w:hAnsi="Palatino Linotype" w:cs="Palatino Linotype"/>
          <w:b/>
          <w:i/>
          <w:sz w:val="22"/>
          <w:szCs w:val="22"/>
        </w:rPr>
        <w:t xml:space="preserve">Artículo 3. </w:t>
      </w:r>
      <w:r w:rsidRPr="00140ACF">
        <w:rPr>
          <w:rFonts w:ascii="Palatino Linotype" w:eastAsia="Palatino Linotype" w:hAnsi="Palatino Linotype" w:cs="Palatino Linotype"/>
          <w:i/>
          <w:sz w:val="22"/>
          <w:szCs w:val="22"/>
        </w:rPr>
        <w:t>Para los efectos de la presente Ley se entenderá por:</w:t>
      </w:r>
    </w:p>
    <w:p w14:paraId="5CC3304B" w14:textId="77777777" w:rsidR="003009B2" w:rsidRPr="00140ACF" w:rsidRDefault="003009B2" w:rsidP="003009B2">
      <w:pPr>
        <w:ind w:left="1134" w:right="899"/>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i/>
          <w:sz w:val="22"/>
          <w:szCs w:val="22"/>
        </w:rPr>
        <w:t>…</w:t>
      </w:r>
    </w:p>
    <w:p w14:paraId="4720842A" w14:textId="77777777" w:rsidR="003009B2" w:rsidRPr="00140ACF" w:rsidRDefault="003009B2" w:rsidP="003009B2">
      <w:pPr>
        <w:ind w:left="1134" w:right="899"/>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b/>
          <w:i/>
          <w:sz w:val="22"/>
          <w:szCs w:val="22"/>
        </w:rPr>
        <w:t>XI. Documento:</w:t>
      </w:r>
      <w:r w:rsidRPr="00140ACF">
        <w:rPr>
          <w:rFonts w:ascii="Palatino Linotype" w:eastAsia="Palatino Linotype" w:hAnsi="Palatino Linotype" w:cs="Palatino Linotype"/>
          <w:i/>
          <w:sz w:val="22"/>
          <w:szCs w:val="22"/>
        </w:rPr>
        <w:t xml:space="preserve"> Los expedientes, reportes, estudios, actas</w:t>
      </w:r>
      <w:r w:rsidRPr="00140ACF">
        <w:rPr>
          <w:rFonts w:ascii="Palatino Linotype" w:eastAsia="Palatino Linotype" w:hAnsi="Palatino Linotype" w:cs="Palatino Linotype"/>
          <w:b/>
          <w:i/>
          <w:sz w:val="22"/>
          <w:szCs w:val="22"/>
        </w:rPr>
        <w:t>,</w:t>
      </w:r>
      <w:r w:rsidRPr="00140ACF">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457B192C" w14:textId="77777777" w:rsidR="003009B2" w:rsidRPr="00140ACF" w:rsidRDefault="003009B2" w:rsidP="003009B2">
      <w:pPr>
        <w:ind w:left="851" w:right="899"/>
        <w:jc w:val="both"/>
        <w:rPr>
          <w:rFonts w:ascii="Palatino Linotype" w:eastAsia="Palatino Linotype" w:hAnsi="Palatino Linotype" w:cs="Palatino Linotype"/>
          <w:sz w:val="22"/>
          <w:szCs w:val="22"/>
        </w:rPr>
      </w:pPr>
    </w:p>
    <w:p w14:paraId="1E8185A0" w14:textId="77777777" w:rsidR="003009B2" w:rsidRPr="00140ACF" w:rsidRDefault="003009B2" w:rsidP="003009B2">
      <w:pPr>
        <w:spacing w:line="360" w:lineRule="auto"/>
        <w:jc w:val="both"/>
        <w:rPr>
          <w:rFonts w:ascii="Palatino Linotype" w:eastAsia="Palatino Linotype" w:hAnsi="Palatino Linotype" w:cs="Palatino Linotype"/>
        </w:rPr>
      </w:pPr>
      <w:r w:rsidRPr="00140ACF">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9F02064" w14:textId="77777777" w:rsidR="003009B2" w:rsidRPr="00140ACF" w:rsidRDefault="003009B2" w:rsidP="003009B2">
      <w:pPr>
        <w:ind w:left="851" w:right="899"/>
        <w:jc w:val="both"/>
        <w:rPr>
          <w:rFonts w:ascii="Palatino Linotype" w:eastAsia="Palatino Linotype" w:hAnsi="Palatino Linotype" w:cs="Palatino Linotype"/>
        </w:rPr>
      </w:pPr>
    </w:p>
    <w:p w14:paraId="3C17914B" w14:textId="77777777" w:rsidR="003009B2" w:rsidRPr="00140ACF" w:rsidRDefault="003009B2" w:rsidP="003009B2">
      <w:pPr>
        <w:ind w:left="851" w:right="899"/>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b/>
          <w:sz w:val="22"/>
          <w:szCs w:val="22"/>
        </w:rPr>
        <w:t>“</w:t>
      </w:r>
      <w:r w:rsidRPr="00140ACF">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140ACF">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F2DB279" w14:textId="77777777" w:rsidR="003009B2" w:rsidRPr="00140ACF" w:rsidRDefault="003009B2" w:rsidP="003009B2">
      <w:pPr>
        <w:ind w:left="851" w:right="899"/>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4724D00E" w14:textId="77777777" w:rsidR="003009B2" w:rsidRPr="00140ACF" w:rsidRDefault="003009B2" w:rsidP="003009B2">
      <w:pPr>
        <w:ind w:left="1134" w:right="899"/>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6A4E8BEA" w14:textId="77777777" w:rsidR="003009B2" w:rsidRPr="00140ACF" w:rsidRDefault="003009B2" w:rsidP="003009B2">
      <w:pPr>
        <w:ind w:left="1134" w:right="899"/>
        <w:jc w:val="both"/>
        <w:rPr>
          <w:rFonts w:ascii="Palatino Linotype" w:eastAsia="Palatino Linotype" w:hAnsi="Palatino Linotype" w:cs="Palatino Linotype"/>
          <w:b/>
          <w:i/>
          <w:sz w:val="22"/>
          <w:szCs w:val="22"/>
        </w:rPr>
      </w:pPr>
      <w:r w:rsidRPr="00140ACF">
        <w:rPr>
          <w:rFonts w:ascii="Palatino Linotype" w:eastAsia="Palatino Linotype" w:hAnsi="Palatino Linotype" w:cs="Palatino Linotype"/>
          <w:b/>
          <w:i/>
          <w:sz w:val="22"/>
          <w:szCs w:val="22"/>
        </w:rPr>
        <w:lastRenderedPageBreak/>
        <w:t>2) Que se trate de información registrada en cualquier soporte documental, que en ejercicio de las atribuciones conferidas, sea administrada por los Sujetos Obligados, y</w:t>
      </w:r>
    </w:p>
    <w:p w14:paraId="625A8040" w14:textId="77777777" w:rsidR="003009B2" w:rsidRPr="00140ACF" w:rsidRDefault="003009B2" w:rsidP="003009B2">
      <w:pPr>
        <w:ind w:left="1134" w:right="899"/>
        <w:jc w:val="both"/>
        <w:rPr>
          <w:rFonts w:ascii="Palatino Linotype" w:eastAsia="Palatino Linotype" w:hAnsi="Palatino Linotype" w:cs="Palatino Linotype"/>
          <w:b/>
          <w:i/>
          <w:sz w:val="22"/>
          <w:szCs w:val="22"/>
        </w:rPr>
      </w:pPr>
      <w:r w:rsidRPr="00140ACF">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44F6F4D6" w14:textId="77777777" w:rsidR="003009B2" w:rsidRPr="00140ACF" w:rsidRDefault="003009B2" w:rsidP="003009B2">
      <w:pPr>
        <w:spacing w:before="240" w:after="240" w:line="360" w:lineRule="auto"/>
        <w:ind w:right="51"/>
        <w:jc w:val="both"/>
        <w:rPr>
          <w:rFonts w:ascii="Palatino Linotype" w:eastAsia="Palatino Linotype" w:hAnsi="Palatino Linotype" w:cs="Palatino Linotype"/>
        </w:rPr>
      </w:pPr>
      <w:r w:rsidRPr="00140ACF">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11B8A8F" w14:textId="77777777" w:rsidR="003009B2" w:rsidRPr="00140ACF" w:rsidRDefault="003009B2" w:rsidP="003009B2">
      <w:pPr>
        <w:spacing w:before="240" w:after="240" w:line="360" w:lineRule="auto"/>
        <w:jc w:val="both"/>
        <w:rPr>
          <w:rFonts w:ascii="Palatino Linotype" w:eastAsia="Palatino Linotype" w:hAnsi="Palatino Linotype" w:cs="Palatino Linotype"/>
        </w:rPr>
      </w:pPr>
      <w:r w:rsidRPr="00140ACF">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289F8178" w14:textId="77777777" w:rsidR="003009B2" w:rsidRPr="00140ACF" w:rsidRDefault="003009B2" w:rsidP="003009B2">
      <w:pPr>
        <w:spacing w:before="240" w:after="240" w:line="360" w:lineRule="auto"/>
        <w:ind w:right="49"/>
        <w:jc w:val="both"/>
        <w:rPr>
          <w:rFonts w:ascii="Palatino Linotype" w:eastAsia="Palatino Linotype" w:hAnsi="Palatino Linotype" w:cs="Palatino Linotype"/>
        </w:rPr>
      </w:pPr>
      <w:r w:rsidRPr="00140ACF">
        <w:rPr>
          <w:rFonts w:ascii="Palatino Linotype" w:eastAsia="Palatino Linotype" w:hAnsi="Palatino Linotype" w:cs="Palatino Linotype"/>
        </w:rPr>
        <w:lastRenderedPageBreak/>
        <w:t>Asimismo, resulta de suma importancia invocar el contenido de los artículos 162, 163, 164 y 165 de la Ley de Transparencia y Acceso a la Información Pública del Estado de México y Municipios, que rezan así:</w:t>
      </w:r>
    </w:p>
    <w:p w14:paraId="0A369331" w14:textId="77777777" w:rsidR="003009B2" w:rsidRPr="00140ACF" w:rsidRDefault="003009B2" w:rsidP="003009B2">
      <w:pPr>
        <w:spacing w:after="120"/>
        <w:ind w:left="851" w:right="900"/>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b/>
          <w:i/>
          <w:sz w:val="22"/>
          <w:szCs w:val="22"/>
        </w:rPr>
        <w:t>“Artículo 162.</w:t>
      </w:r>
      <w:r w:rsidRPr="00140ACF">
        <w:rPr>
          <w:rFonts w:ascii="Palatino Linotype" w:eastAsia="Palatino Linotype" w:hAnsi="Palatino Linotype" w:cs="Palatino Linotype"/>
          <w:i/>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6AB973EC" w14:textId="77777777" w:rsidR="003009B2" w:rsidRPr="00140ACF" w:rsidRDefault="003009B2" w:rsidP="003009B2">
      <w:pPr>
        <w:spacing w:after="120"/>
        <w:ind w:left="851" w:right="900"/>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b/>
          <w:i/>
          <w:sz w:val="22"/>
          <w:szCs w:val="22"/>
        </w:rPr>
        <w:t>Artículo 163.</w:t>
      </w:r>
      <w:r w:rsidRPr="00140ACF">
        <w:rPr>
          <w:rFonts w:ascii="Palatino Linotype" w:eastAsia="Palatino Linotype" w:hAnsi="Palatino Linotype" w:cs="Palatino Linotype"/>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  </w:t>
      </w:r>
    </w:p>
    <w:p w14:paraId="67A11C9E" w14:textId="77777777" w:rsidR="003009B2" w:rsidRPr="00140ACF" w:rsidRDefault="003009B2" w:rsidP="003009B2">
      <w:pPr>
        <w:spacing w:after="120"/>
        <w:ind w:left="851" w:right="900"/>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2AD3CB37" w14:textId="77777777" w:rsidR="003009B2" w:rsidRPr="00140ACF" w:rsidRDefault="003009B2" w:rsidP="003009B2">
      <w:pPr>
        <w:spacing w:after="120"/>
        <w:ind w:left="851" w:right="900"/>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b/>
          <w:i/>
          <w:sz w:val="22"/>
          <w:szCs w:val="22"/>
        </w:rPr>
        <w:t>Artículo 164.</w:t>
      </w:r>
      <w:r w:rsidRPr="00140ACF">
        <w:rPr>
          <w:rFonts w:ascii="Palatino Linotype" w:eastAsia="Palatino Linotype" w:hAnsi="Palatino Linotype" w:cs="Palatino Linotype"/>
          <w:i/>
          <w:sz w:val="22"/>
          <w:szCs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  </w:t>
      </w:r>
    </w:p>
    <w:p w14:paraId="1A27D373" w14:textId="77777777" w:rsidR="003009B2" w:rsidRPr="00140ACF" w:rsidRDefault="003009B2" w:rsidP="003009B2">
      <w:pPr>
        <w:spacing w:after="120"/>
        <w:ind w:left="851" w:right="900"/>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i/>
          <w:sz w:val="22"/>
          <w:szCs w:val="22"/>
        </w:rPr>
        <w:t xml:space="preserve">En cualquier caso, se deberá fundar y motivar la necesidad de ofrecer otras modalidades.  </w:t>
      </w:r>
    </w:p>
    <w:p w14:paraId="04E7ADC9" w14:textId="77777777" w:rsidR="003009B2" w:rsidRPr="00140ACF" w:rsidRDefault="003009B2" w:rsidP="003009B2">
      <w:pPr>
        <w:spacing w:after="120"/>
        <w:ind w:left="851" w:right="900"/>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b/>
          <w:i/>
          <w:sz w:val="22"/>
          <w:szCs w:val="22"/>
        </w:rPr>
        <w:t>Artículo 165.</w:t>
      </w:r>
      <w:r w:rsidRPr="00140ACF">
        <w:rPr>
          <w:rFonts w:ascii="Palatino Linotype" w:eastAsia="Palatino Linotype" w:hAnsi="Palatino Linotype" w:cs="Palatino Linotype"/>
          <w:i/>
          <w:sz w:val="22"/>
          <w:szCs w:val="22"/>
        </w:rPr>
        <w:t xml:space="preserve"> Los sujetos obligados establecerán la forma y términos en que darán trámite interno a las solicitudes en materia de acceso a la información…”</w:t>
      </w:r>
    </w:p>
    <w:p w14:paraId="4702A4AD" w14:textId="77777777" w:rsidR="003009B2" w:rsidRPr="00140ACF" w:rsidRDefault="003009B2" w:rsidP="003009B2">
      <w:pPr>
        <w:spacing w:before="240" w:after="240" w:line="360" w:lineRule="auto"/>
        <w:ind w:right="49"/>
        <w:jc w:val="both"/>
        <w:rPr>
          <w:rFonts w:ascii="Palatino Linotype" w:eastAsia="Palatino Linotype" w:hAnsi="Palatino Linotype" w:cs="Palatino Linotype"/>
        </w:rPr>
      </w:pPr>
      <w:r w:rsidRPr="00140ACF">
        <w:rPr>
          <w:rFonts w:ascii="Palatino Linotype" w:eastAsia="Palatino Linotype" w:hAnsi="Palatino Linotype" w:cs="Palatino Linotype"/>
        </w:rPr>
        <w:t>Del cuerpo normativo transcrito, se advierte que las unidades de transparencia deberán garantizar que las solicitudes se turnen a todas las áreas que cuenten con la información o que deban tenerla de acuerdo a sus facultades, competencias o funciones.</w:t>
      </w:r>
    </w:p>
    <w:p w14:paraId="4B746494" w14:textId="20AC82D9" w:rsidR="003009B2" w:rsidRPr="00140ACF" w:rsidRDefault="003009B2" w:rsidP="003009B2">
      <w:pPr>
        <w:spacing w:before="240" w:after="240" w:line="360" w:lineRule="auto"/>
        <w:ind w:right="49"/>
        <w:jc w:val="both"/>
        <w:rPr>
          <w:rFonts w:ascii="Palatino Linotype" w:eastAsia="Palatino Linotype" w:hAnsi="Palatino Linotype" w:cs="Palatino Linotype"/>
        </w:rPr>
      </w:pPr>
      <w:r w:rsidRPr="00140ACF">
        <w:rPr>
          <w:rFonts w:ascii="Palatino Linotype" w:eastAsia="Palatino Linotype" w:hAnsi="Palatino Linotype" w:cs="Palatino Linotype"/>
        </w:rPr>
        <w:lastRenderedPageBreak/>
        <w:t>Siendo la Unidad de Transparencia la responsable de hacer las notificaciones corre</w:t>
      </w:r>
      <w:r w:rsidR="00311CA0" w:rsidRPr="00140ACF">
        <w:rPr>
          <w:rFonts w:ascii="Palatino Linotype" w:eastAsia="Palatino Linotype" w:hAnsi="Palatino Linotype" w:cs="Palatino Linotype"/>
        </w:rPr>
        <w:t>spondientes, además de llevar a</w:t>
      </w:r>
      <w:r w:rsidRPr="00140ACF">
        <w:rPr>
          <w:rFonts w:ascii="Palatino Linotype" w:eastAsia="Palatino Linotype" w:hAnsi="Palatino Linotype" w:cs="Palatino Linotype"/>
        </w:rPr>
        <w:t>cabo todas las gestiones necesarias para facilitar el acceso a la información; así la respuesta deberá ser notificada al interesado en el menor tiempo posible, que no podrá exceder de quince días hábiles, contados a partir de la presentación de la solicitud.</w:t>
      </w:r>
    </w:p>
    <w:p w14:paraId="6AA86DFD" w14:textId="152475E8" w:rsidR="003009B2" w:rsidRPr="00140ACF" w:rsidRDefault="003009B2" w:rsidP="003009B2">
      <w:pPr>
        <w:spacing w:before="240" w:after="240" w:line="360" w:lineRule="auto"/>
        <w:jc w:val="both"/>
        <w:rPr>
          <w:rFonts w:ascii="Palatino Linotype" w:eastAsia="Palatino Linotype" w:hAnsi="Palatino Linotype" w:cs="Palatino Linotype"/>
        </w:rPr>
      </w:pPr>
      <w:r w:rsidRPr="00140ACF">
        <w:rPr>
          <w:rFonts w:ascii="Palatino Linotype" w:eastAsia="Palatino Linotype" w:hAnsi="Palatino Linotype" w:cs="Palatino Linotype"/>
        </w:rPr>
        <w:t>En el caso concreto, derivado de las constancias que obran en el expediente, se advierte que</w:t>
      </w:r>
      <w:r w:rsidR="003640D9" w:rsidRPr="00140ACF">
        <w:rPr>
          <w:rFonts w:ascii="Palatino Linotype" w:eastAsia="Palatino Linotype" w:hAnsi="Palatino Linotype" w:cs="Palatino Linotype"/>
        </w:rPr>
        <w:t xml:space="preserve"> la Unidad de Transparencia, </w:t>
      </w:r>
      <w:r w:rsidR="00311CA0" w:rsidRPr="00140ACF">
        <w:rPr>
          <w:rFonts w:ascii="Palatino Linotype" w:eastAsia="Palatino Linotype" w:hAnsi="Palatino Linotype" w:cs="Palatino Linotype"/>
        </w:rPr>
        <w:t xml:space="preserve">en </w:t>
      </w:r>
      <w:r w:rsidR="00224653" w:rsidRPr="00140ACF">
        <w:rPr>
          <w:rFonts w:ascii="Palatino Linotype" w:hAnsi="Palatino Linotype"/>
        </w:rPr>
        <w:t xml:space="preserve">observancia de lo previsto en los artículos </w:t>
      </w:r>
      <w:r w:rsidR="00224653" w:rsidRPr="00140ACF">
        <w:rPr>
          <w:rFonts w:ascii="Palatino Linotype" w:hAnsi="Palatino Linotype" w:cs="Arial"/>
        </w:rPr>
        <w:t>53 fracción II</w:t>
      </w:r>
      <w:r w:rsidR="00224653" w:rsidRPr="00140ACF">
        <w:rPr>
          <w:rStyle w:val="Refdenotaalpie"/>
          <w:rFonts w:ascii="Palatino Linotype" w:hAnsi="Palatino Linotype" w:cs="Arial"/>
        </w:rPr>
        <w:footnoteReference w:id="2"/>
      </w:r>
      <w:r w:rsidR="00224653" w:rsidRPr="00140ACF">
        <w:rPr>
          <w:rFonts w:ascii="Palatino Linotype" w:hAnsi="Palatino Linotype" w:cs="Arial"/>
        </w:rPr>
        <w:t xml:space="preserve"> y 162</w:t>
      </w:r>
      <w:r w:rsidR="00224653" w:rsidRPr="00140ACF">
        <w:rPr>
          <w:rStyle w:val="Refdenotaalpie"/>
          <w:rFonts w:ascii="Palatino Linotype" w:hAnsi="Palatino Linotype" w:cs="Arial"/>
        </w:rPr>
        <w:footnoteReference w:id="3"/>
      </w:r>
      <w:r w:rsidR="00224653" w:rsidRPr="00140ACF">
        <w:rPr>
          <w:rFonts w:ascii="Palatino Linotype" w:hAnsi="Palatino Linotype" w:cs="Arial"/>
        </w:rPr>
        <w:t xml:space="preserve"> de la Ley de Transparencia y Acceso a la Información Pública del Estado de México y Municipios, </w:t>
      </w:r>
      <w:r w:rsidR="00224653" w:rsidRPr="00140ACF">
        <w:rPr>
          <w:rFonts w:ascii="Palatino Linotype" w:hAnsi="Palatino Linotype"/>
        </w:rPr>
        <w:t xml:space="preserve">la Unidad de Transparencia </w:t>
      </w:r>
      <w:r w:rsidR="00224653" w:rsidRPr="00140ACF">
        <w:rPr>
          <w:rFonts w:ascii="Palatino Linotype" w:hAnsi="Palatino Linotype" w:cs="Arial"/>
        </w:rPr>
        <w:t xml:space="preserve">turnó la solicitud de información a la Servidora Pública Habilitada </w:t>
      </w:r>
      <w:r w:rsidRPr="00140ACF">
        <w:rPr>
          <w:rFonts w:ascii="Palatino Linotype" w:hAnsi="Palatino Linotype" w:cs="Arial"/>
        </w:rPr>
        <w:t xml:space="preserve">Karen Guadalupe Ruiz Morales, quien, </w:t>
      </w:r>
      <w:r w:rsidRPr="00140ACF">
        <w:rPr>
          <w:rFonts w:ascii="Palatino Linotype" w:eastAsia="Palatino Linotype" w:hAnsi="Palatino Linotype" w:cs="Palatino Linotype"/>
        </w:rPr>
        <w:t>de conformidad con la información contenida en el Portal de Información Pública de Oficio Mexiquense, IPOMEX, en cumplimiento a la obligación de transparencia de oficio, prevista en el artículo 92, fracción VII</w:t>
      </w:r>
      <w:r w:rsidRPr="00140ACF">
        <w:rPr>
          <w:rStyle w:val="Refdenotaalpie"/>
          <w:rFonts w:ascii="Palatino Linotype" w:eastAsia="Palatino Linotype" w:hAnsi="Palatino Linotype" w:cs="Palatino Linotype"/>
        </w:rPr>
        <w:footnoteReference w:id="4"/>
      </w:r>
      <w:r w:rsidRPr="00140ACF">
        <w:rPr>
          <w:rFonts w:ascii="Palatino Linotype" w:eastAsia="Palatino Linotype" w:hAnsi="Palatino Linotype" w:cs="Palatino Linotype"/>
        </w:rPr>
        <w:t xml:space="preserve"> de la Ley de Transparencia y Acceso a la Información Pública de Oficio Mexiquense, ostenta el cargo de Directora de Administración, como se muestra a continuación:</w:t>
      </w:r>
    </w:p>
    <w:p w14:paraId="19BB2D1A" w14:textId="675D2D4C" w:rsidR="003009B2" w:rsidRPr="00140ACF" w:rsidRDefault="003009B2" w:rsidP="003640D9">
      <w:pPr>
        <w:spacing w:before="240" w:after="240" w:line="360" w:lineRule="auto"/>
        <w:jc w:val="center"/>
        <w:rPr>
          <w:rFonts w:ascii="Palatino Linotype" w:eastAsia="Palatino Linotype" w:hAnsi="Palatino Linotype" w:cs="Palatino Linotype"/>
        </w:rPr>
      </w:pPr>
      <w:r w:rsidRPr="00140ACF">
        <w:rPr>
          <w:rFonts w:ascii="Palatino Linotype" w:eastAsia="Palatino Linotype" w:hAnsi="Palatino Linotype" w:cs="Palatino Linotype"/>
          <w:noProof/>
        </w:rPr>
        <w:lastRenderedPageBreak/>
        <w:drawing>
          <wp:inline distT="0" distB="0" distL="0" distR="0" wp14:anchorId="16968BA2" wp14:editId="10EE8EE9">
            <wp:extent cx="5610225" cy="11144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1114425"/>
                    </a:xfrm>
                    <a:prstGeom prst="rect">
                      <a:avLst/>
                    </a:prstGeom>
                    <a:noFill/>
                    <a:ln>
                      <a:noFill/>
                    </a:ln>
                  </pic:spPr>
                </pic:pic>
              </a:graphicData>
            </a:graphic>
          </wp:inline>
        </w:drawing>
      </w:r>
    </w:p>
    <w:p w14:paraId="7C9F9FBC" w14:textId="767CBD99" w:rsidR="003009B2" w:rsidRPr="00140ACF" w:rsidRDefault="003009B2" w:rsidP="003640D9">
      <w:pPr>
        <w:spacing w:before="240" w:after="240" w:line="360" w:lineRule="auto"/>
        <w:jc w:val="center"/>
        <w:rPr>
          <w:rFonts w:ascii="Palatino Linotype" w:eastAsia="Palatino Linotype" w:hAnsi="Palatino Linotype" w:cs="Palatino Linotype"/>
        </w:rPr>
      </w:pPr>
      <w:r w:rsidRPr="00140ACF">
        <w:rPr>
          <w:rFonts w:ascii="Palatino Linotype" w:eastAsia="Palatino Linotype" w:hAnsi="Palatino Linotype" w:cs="Palatino Linotype"/>
          <w:noProof/>
        </w:rPr>
        <w:drawing>
          <wp:inline distT="0" distB="0" distL="0" distR="0" wp14:anchorId="0D366BD1" wp14:editId="2B3A6404">
            <wp:extent cx="4860000" cy="4110277"/>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60000" cy="4110277"/>
                    </a:xfrm>
                    <a:prstGeom prst="rect">
                      <a:avLst/>
                    </a:prstGeom>
                    <a:noFill/>
                    <a:ln>
                      <a:noFill/>
                    </a:ln>
                  </pic:spPr>
                </pic:pic>
              </a:graphicData>
            </a:graphic>
          </wp:inline>
        </w:drawing>
      </w:r>
    </w:p>
    <w:p w14:paraId="3DEA909A" w14:textId="77777777" w:rsidR="007F4F96" w:rsidRPr="00140ACF" w:rsidRDefault="003640D9" w:rsidP="00550033">
      <w:pPr>
        <w:pBdr>
          <w:top w:val="nil"/>
          <w:left w:val="nil"/>
          <w:bottom w:val="nil"/>
          <w:right w:val="nil"/>
          <w:between w:val="nil"/>
        </w:pBdr>
        <w:spacing w:before="280" w:after="280" w:line="360" w:lineRule="auto"/>
        <w:jc w:val="both"/>
        <w:rPr>
          <w:rFonts w:ascii="Palatino Linotype" w:hAnsi="Palatino Linotype"/>
        </w:rPr>
      </w:pPr>
      <w:r w:rsidRPr="00140ACF">
        <w:rPr>
          <w:rFonts w:ascii="Palatino Linotype" w:eastAsia="Palatino Linotype" w:hAnsi="Palatino Linotype" w:cs="Palatino Linotype"/>
        </w:rPr>
        <w:t xml:space="preserve">Cabe señalar que conformidad con el artículo </w:t>
      </w:r>
      <w:r w:rsidR="00550033" w:rsidRPr="00140ACF">
        <w:rPr>
          <w:rFonts w:ascii="Palatino Linotype" w:eastAsia="Palatino Linotype" w:hAnsi="Palatino Linotype" w:cs="Palatino Linotype"/>
        </w:rPr>
        <w:t>69</w:t>
      </w:r>
      <w:r w:rsidRPr="00140ACF">
        <w:rPr>
          <w:rFonts w:ascii="Palatino Linotype" w:eastAsia="Palatino Linotype" w:hAnsi="Palatino Linotype" w:cs="Palatino Linotype"/>
        </w:rPr>
        <w:t xml:space="preserve"> del Bando Municipal de </w:t>
      </w:r>
      <w:r w:rsidR="00550033" w:rsidRPr="00140ACF">
        <w:rPr>
          <w:rFonts w:ascii="Palatino Linotype" w:eastAsia="Palatino Linotype" w:hAnsi="Palatino Linotype" w:cs="Palatino Linotype"/>
        </w:rPr>
        <w:t>Melchor Ocampo</w:t>
      </w:r>
      <w:r w:rsidRPr="00140ACF">
        <w:rPr>
          <w:rFonts w:ascii="Palatino Linotype" w:eastAsia="Palatino Linotype" w:hAnsi="Palatino Linotype" w:cs="Palatino Linotype"/>
        </w:rPr>
        <w:t>, la Dirección de Administración</w:t>
      </w:r>
      <w:r w:rsidR="00550033" w:rsidRPr="00140ACF">
        <w:rPr>
          <w:rFonts w:ascii="Palatino Linotype" w:eastAsia="Palatino Linotype" w:hAnsi="Palatino Linotype" w:cs="Palatino Linotype"/>
        </w:rPr>
        <w:t xml:space="preserve"> es la dependencia que </w:t>
      </w:r>
      <w:r w:rsidR="00550033" w:rsidRPr="00140ACF">
        <w:rPr>
          <w:rFonts w:ascii="Palatino Linotype" w:hAnsi="Palatino Linotype"/>
        </w:rPr>
        <w:t xml:space="preserve">proporciona a las áreas que conforman la Administración Pública Municipal, </w:t>
      </w:r>
      <w:r w:rsidR="00550033" w:rsidRPr="00140ACF">
        <w:rPr>
          <w:rFonts w:ascii="Palatino Linotype" w:hAnsi="Palatino Linotype"/>
          <w:b/>
          <w:bCs/>
        </w:rPr>
        <w:t>los recursos humanos</w:t>
      </w:r>
      <w:r w:rsidR="00550033" w:rsidRPr="00140ACF">
        <w:rPr>
          <w:rFonts w:ascii="Palatino Linotype" w:hAnsi="Palatino Linotype"/>
        </w:rPr>
        <w:t xml:space="preserve">, materiales y servicios, así como el soporte técnico y tecnológico; además asigna a las dependencias de la administración municipal, previa autorización de la Presidenta </w:t>
      </w:r>
      <w:r w:rsidR="00550033" w:rsidRPr="00140ACF">
        <w:rPr>
          <w:rFonts w:ascii="Palatino Linotype" w:hAnsi="Palatino Linotype"/>
        </w:rPr>
        <w:lastRenderedPageBreak/>
        <w:t>Municipal, el personal capacitado que se requiera para el cumplimiento de sus atribuciones, llevando el registro del mismo; at</w:t>
      </w:r>
      <w:r w:rsidR="00E30425" w:rsidRPr="00140ACF">
        <w:rPr>
          <w:rFonts w:ascii="Palatino Linotype" w:hAnsi="Palatino Linotype"/>
        </w:rPr>
        <w:t>i</w:t>
      </w:r>
      <w:r w:rsidR="00FB6895" w:rsidRPr="00140ACF">
        <w:rPr>
          <w:rFonts w:ascii="Palatino Linotype" w:hAnsi="Palatino Linotype"/>
        </w:rPr>
        <w:t>ende</w:t>
      </w:r>
      <w:r w:rsidR="00550033" w:rsidRPr="00140ACF">
        <w:rPr>
          <w:rFonts w:ascii="Palatino Linotype" w:hAnsi="Palatino Linotype"/>
        </w:rPr>
        <w:t xml:space="preserve"> las relaciones laborales en coordinación con la Dirección Jurídica; </w:t>
      </w:r>
      <w:r w:rsidR="00550033" w:rsidRPr="00140ACF">
        <w:rPr>
          <w:rFonts w:ascii="Palatino Linotype" w:hAnsi="Palatino Linotype"/>
          <w:b/>
          <w:bCs/>
        </w:rPr>
        <w:t>realiza el pago de remuneraciones en coordinación con la Tesorería Municipal</w:t>
      </w:r>
      <w:r w:rsidR="00550033" w:rsidRPr="00140ACF">
        <w:rPr>
          <w:rFonts w:ascii="Palatino Linotype" w:hAnsi="Palatino Linotype"/>
        </w:rPr>
        <w:t>, estable programas de capacitación; lleva a cabo los procedimientos de adquisiciones de bienes y servicios</w:t>
      </w:r>
      <w:r w:rsidR="007F4F96" w:rsidRPr="00140ACF">
        <w:rPr>
          <w:rFonts w:ascii="Palatino Linotype" w:hAnsi="Palatino Linotype"/>
        </w:rPr>
        <w:t>, entre otras atribuciones.</w:t>
      </w:r>
    </w:p>
    <w:p w14:paraId="20928941" w14:textId="075BB928" w:rsidR="00B948A0" w:rsidRPr="00140ACF" w:rsidRDefault="008A6270" w:rsidP="008A6270">
      <w:pPr>
        <w:spacing w:before="240" w:after="240" w:line="360" w:lineRule="auto"/>
        <w:jc w:val="both"/>
        <w:rPr>
          <w:rFonts w:ascii="Palatino Linotype" w:eastAsia="Palatino Linotype" w:hAnsi="Palatino Linotype" w:cs="Palatino Linotype"/>
        </w:rPr>
      </w:pPr>
      <w:r w:rsidRPr="00140ACF">
        <w:rPr>
          <w:rFonts w:ascii="Palatino Linotype" w:eastAsia="Palatino Linotype" w:hAnsi="Palatino Linotype" w:cs="Palatino Linotype"/>
        </w:rPr>
        <w:t xml:space="preserve">Como se advierte, la Dirección de Administración, cuenta con atribuciones para generar, administrar o poseer información relacionada con la materia de la solicitud, relativa al nombre, percepciones y área de adscripción de los servidores públicos, adscritos al </w:t>
      </w:r>
      <w:r w:rsidRPr="00140ACF">
        <w:rPr>
          <w:rFonts w:ascii="Palatino Linotype" w:eastAsia="Palatino Linotype" w:hAnsi="Palatino Linotype" w:cs="Palatino Linotype"/>
          <w:b/>
          <w:bCs/>
        </w:rPr>
        <w:t>Sujeto Obligado</w:t>
      </w:r>
      <w:r w:rsidR="00B948A0" w:rsidRPr="00140ACF">
        <w:rPr>
          <w:rFonts w:ascii="Palatino Linotype" w:eastAsia="Palatino Linotype" w:hAnsi="Palatino Linotype" w:cs="Palatino Linotype"/>
          <w:b/>
          <w:bCs/>
        </w:rPr>
        <w:t xml:space="preserve">, </w:t>
      </w:r>
      <w:r w:rsidR="00B948A0" w:rsidRPr="00140ACF">
        <w:rPr>
          <w:rFonts w:ascii="Palatino Linotype" w:eastAsia="Palatino Linotype" w:hAnsi="Palatino Linotype" w:cs="Palatino Linotype"/>
        </w:rPr>
        <w:t>no obstante, la Servidora Pública Habilitada se limitó a referir que la información de mérito se encontraba en proceso de ser cargada al portal de Información Pública de Oficio Mexiquense, IPOMEX.</w:t>
      </w:r>
    </w:p>
    <w:p w14:paraId="4B0A4FC8" w14:textId="77777777" w:rsidR="00C054C0" w:rsidRPr="00140ACF" w:rsidRDefault="00B948A0" w:rsidP="00C054C0">
      <w:pPr>
        <w:pBdr>
          <w:top w:val="nil"/>
          <w:left w:val="nil"/>
          <w:bottom w:val="nil"/>
          <w:right w:val="nil"/>
          <w:between w:val="nil"/>
        </w:pBdr>
        <w:spacing w:before="240" w:after="240" w:line="360" w:lineRule="auto"/>
        <w:jc w:val="both"/>
        <w:rPr>
          <w:rFonts w:ascii="Palatino Linotype" w:hAnsi="Palatino Linotype" w:cs="Arial"/>
        </w:rPr>
      </w:pPr>
      <w:r w:rsidRPr="00140ACF">
        <w:rPr>
          <w:rFonts w:ascii="Palatino Linotype" w:eastAsia="Palatino Linotype" w:hAnsi="Palatino Linotype" w:cs="Palatino Linotype"/>
        </w:rPr>
        <w:t>En tal sentido,</w:t>
      </w:r>
      <w:r w:rsidR="00C054C0" w:rsidRPr="00140ACF">
        <w:rPr>
          <w:rFonts w:ascii="Palatino Linotype" w:eastAsia="Palatino Linotype" w:hAnsi="Palatino Linotype" w:cs="Palatino Linotype"/>
        </w:rPr>
        <w:t xml:space="preserve"> es oportuno </w:t>
      </w:r>
      <w:r w:rsidR="00C054C0" w:rsidRPr="00140ACF">
        <w:rPr>
          <w:rFonts w:ascii="Palatino Linotype" w:hAnsi="Palatino Linotype" w:cs="Arial"/>
        </w:rPr>
        <w:t xml:space="preserve">traer a colación </w:t>
      </w:r>
      <w:r w:rsidR="00C054C0" w:rsidRPr="00140ACF">
        <w:rPr>
          <w:rFonts w:ascii="Palatino Linotype" w:hAnsi="Palatino Linotype"/>
        </w:rPr>
        <w:t xml:space="preserve">el contenido del </w:t>
      </w:r>
      <w:r w:rsidR="00C054C0" w:rsidRPr="00140ACF">
        <w:rPr>
          <w:rFonts w:ascii="Palatino Linotype" w:hAnsi="Palatino Linotype" w:cs="Arial"/>
          <w:szCs w:val="22"/>
        </w:rPr>
        <w:t>artículo 161</w:t>
      </w:r>
      <w:r w:rsidR="00C054C0" w:rsidRPr="00140ACF">
        <w:rPr>
          <w:rStyle w:val="Refdenotaalpie"/>
          <w:rFonts w:ascii="Palatino Linotype" w:hAnsi="Palatino Linotype" w:cs="Arial"/>
          <w:szCs w:val="22"/>
        </w:rPr>
        <w:footnoteReference w:id="5"/>
      </w:r>
      <w:r w:rsidR="00C054C0" w:rsidRPr="00140ACF">
        <w:rPr>
          <w:rFonts w:ascii="Palatino Linotype" w:hAnsi="Palatino Linotype" w:cs="Arial"/>
          <w:szCs w:val="22"/>
        </w:rPr>
        <w:t xml:space="preserve"> de la </w:t>
      </w:r>
      <w:r w:rsidR="00C054C0" w:rsidRPr="00140ACF">
        <w:rPr>
          <w:rFonts w:ascii="Palatino Linotype" w:hAnsi="Palatino Linotype"/>
        </w:rPr>
        <w:t>Ley de Transparencia y Acceso a la Información Pública del Estado de México y Municipios</w:t>
      </w:r>
      <w:r w:rsidR="00C054C0" w:rsidRPr="00140ACF">
        <w:rPr>
          <w:rFonts w:ascii="Palatino Linotype" w:hAnsi="Palatino Linotype"/>
          <w:i/>
        </w:rPr>
        <w:t xml:space="preserve">, </w:t>
      </w:r>
      <w:r w:rsidR="00C054C0" w:rsidRPr="00140ACF">
        <w:rPr>
          <w:rFonts w:ascii="Palatino Linotype" w:hAnsi="Palatino Linotype" w:cs="Arial"/>
        </w:rPr>
        <w:t xml:space="preserve">el cual establece las características que debe tener la información desde el momento en el que se genera, su publicación y entrega; así como el procedimiento a seguir por los Sujetos Obligados para informar a los solicitantes sobre información que se encuentre disponible en libros, compendios, formatos electrónicos, entre </w:t>
      </w:r>
      <w:r w:rsidR="00C054C0" w:rsidRPr="00140ACF">
        <w:rPr>
          <w:rFonts w:ascii="Palatino Linotype" w:hAnsi="Palatino Linotype" w:cs="Arial"/>
        </w:rPr>
        <w:lastRenderedPageBreak/>
        <w:t>otros, haciéndole saber al solicitante como podrá consultar, reproducir o adquirir la información, en un plazo no mayor a cinco días hábiles, comprendiendo:</w:t>
      </w:r>
    </w:p>
    <w:p w14:paraId="65A37E9A" w14:textId="77777777" w:rsidR="00C054C0" w:rsidRPr="00140ACF" w:rsidRDefault="00C054C0" w:rsidP="00C054C0">
      <w:pPr>
        <w:spacing w:before="120" w:after="120" w:line="276" w:lineRule="auto"/>
        <w:ind w:left="284" w:right="51"/>
        <w:jc w:val="both"/>
        <w:rPr>
          <w:rFonts w:ascii="Palatino Linotype" w:hAnsi="Palatino Linotype" w:cs="Arial"/>
        </w:rPr>
      </w:pPr>
      <w:r w:rsidRPr="00140ACF">
        <w:rPr>
          <w:rFonts w:ascii="Palatino Linotype" w:hAnsi="Palatino Linotype" w:cs="Arial"/>
        </w:rPr>
        <w:t>a) La fuente</w:t>
      </w:r>
    </w:p>
    <w:p w14:paraId="4C3CB6B5" w14:textId="77777777" w:rsidR="00C054C0" w:rsidRPr="00140ACF" w:rsidRDefault="00C054C0" w:rsidP="00C054C0">
      <w:pPr>
        <w:spacing w:before="120" w:after="120" w:line="276" w:lineRule="auto"/>
        <w:ind w:left="284" w:right="51"/>
        <w:jc w:val="both"/>
        <w:rPr>
          <w:rFonts w:ascii="Palatino Linotype" w:hAnsi="Palatino Linotype" w:cs="Arial"/>
        </w:rPr>
      </w:pPr>
      <w:r w:rsidRPr="00140ACF">
        <w:rPr>
          <w:rFonts w:ascii="Palatino Linotype" w:hAnsi="Palatino Linotype" w:cs="Arial"/>
        </w:rPr>
        <w:t>b) El lugar y</w:t>
      </w:r>
    </w:p>
    <w:p w14:paraId="503A12A6" w14:textId="77777777" w:rsidR="00C054C0" w:rsidRPr="00140ACF" w:rsidRDefault="00C054C0" w:rsidP="00C054C0">
      <w:pPr>
        <w:spacing w:before="120" w:after="120" w:line="276" w:lineRule="auto"/>
        <w:ind w:left="284" w:right="51"/>
        <w:jc w:val="both"/>
        <w:rPr>
          <w:rFonts w:ascii="Palatino Linotype" w:hAnsi="Palatino Linotype" w:cs="Arial"/>
        </w:rPr>
      </w:pPr>
      <w:r w:rsidRPr="00140ACF">
        <w:rPr>
          <w:rFonts w:ascii="Palatino Linotype" w:hAnsi="Palatino Linotype" w:cs="Arial"/>
        </w:rPr>
        <w:t>c) La forma</w:t>
      </w:r>
    </w:p>
    <w:p w14:paraId="5EEA3C6D" w14:textId="77777777" w:rsidR="00C054C0" w:rsidRPr="00140ACF" w:rsidRDefault="00C054C0" w:rsidP="00C054C0">
      <w:pPr>
        <w:spacing w:before="240" w:after="240" w:line="360" w:lineRule="auto"/>
        <w:ind w:right="49"/>
        <w:jc w:val="both"/>
        <w:rPr>
          <w:rFonts w:ascii="Palatino Linotype" w:hAnsi="Palatino Linotype" w:cs="Arial"/>
        </w:rPr>
      </w:pPr>
      <w:r w:rsidRPr="00140ACF">
        <w:rPr>
          <w:rFonts w:ascii="Palatino Linotype" w:hAnsi="Palatino Linotype" w:cs="Arial"/>
        </w:rPr>
        <w:t>Asimismo, se establece que la fuente de la información deberá ser:</w:t>
      </w:r>
    </w:p>
    <w:p w14:paraId="5B1CFE6F" w14:textId="77777777" w:rsidR="00C054C0" w:rsidRPr="00140ACF" w:rsidRDefault="00C054C0" w:rsidP="00C054C0">
      <w:pPr>
        <w:spacing w:before="120" w:after="120" w:line="276" w:lineRule="auto"/>
        <w:ind w:left="284" w:right="51"/>
        <w:jc w:val="both"/>
        <w:rPr>
          <w:rFonts w:ascii="Palatino Linotype" w:hAnsi="Palatino Linotype" w:cs="Arial"/>
        </w:rPr>
      </w:pPr>
      <w:r w:rsidRPr="00140ACF">
        <w:rPr>
          <w:rFonts w:ascii="Palatino Linotype" w:hAnsi="Palatino Linotype" w:cs="Arial"/>
        </w:rPr>
        <w:t>a) Precisa</w:t>
      </w:r>
    </w:p>
    <w:p w14:paraId="0259C431" w14:textId="77777777" w:rsidR="00C054C0" w:rsidRPr="00140ACF" w:rsidRDefault="00C054C0" w:rsidP="00C054C0">
      <w:pPr>
        <w:spacing w:before="120" w:after="120" w:line="276" w:lineRule="auto"/>
        <w:ind w:left="284" w:right="51"/>
        <w:jc w:val="both"/>
        <w:rPr>
          <w:rFonts w:ascii="Palatino Linotype" w:hAnsi="Palatino Linotype" w:cs="Arial"/>
        </w:rPr>
      </w:pPr>
      <w:r w:rsidRPr="00140ACF">
        <w:rPr>
          <w:rFonts w:ascii="Palatino Linotype" w:hAnsi="Palatino Linotype" w:cs="Arial"/>
        </w:rPr>
        <w:t>b) Concreta</w:t>
      </w:r>
    </w:p>
    <w:p w14:paraId="48C83370" w14:textId="77777777" w:rsidR="00C054C0" w:rsidRPr="00140ACF" w:rsidRDefault="00C054C0" w:rsidP="00C054C0">
      <w:pPr>
        <w:spacing w:before="120" w:after="120" w:line="276" w:lineRule="auto"/>
        <w:ind w:left="284" w:right="51"/>
        <w:jc w:val="both"/>
        <w:rPr>
          <w:rFonts w:ascii="Palatino Linotype" w:hAnsi="Palatino Linotype" w:cs="Arial"/>
        </w:rPr>
      </w:pPr>
      <w:r w:rsidRPr="00140ACF">
        <w:rPr>
          <w:rFonts w:ascii="Palatino Linotype" w:hAnsi="Palatino Linotype" w:cs="Arial"/>
        </w:rPr>
        <w:t>c) Y no debe implicar que el solicitante realice una búsqueda en toda la información que se encuentre disponible.</w:t>
      </w:r>
    </w:p>
    <w:p w14:paraId="436A2CE7" w14:textId="77777777" w:rsidR="00C054C0" w:rsidRPr="00140ACF" w:rsidRDefault="00C054C0" w:rsidP="00C054C0">
      <w:pPr>
        <w:spacing w:before="240" w:after="240" w:line="360" w:lineRule="auto"/>
        <w:ind w:right="49"/>
        <w:jc w:val="both"/>
        <w:rPr>
          <w:rFonts w:ascii="Palatino Linotype" w:hAnsi="Palatino Linotype" w:cs="Arial"/>
        </w:rPr>
      </w:pPr>
      <w:r w:rsidRPr="00140ACF">
        <w:rPr>
          <w:rFonts w:ascii="Palatino Linotype" w:hAnsi="Palatino Linotype" w:cs="Arial"/>
        </w:rPr>
        <w:t>Imperativos legales que establecen el procedimiento que deben seguir los Sujetos Obligados para que pueda tomarse como válida su orientación sobre la forma en que puede consultar la información requerida.</w:t>
      </w:r>
    </w:p>
    <w:p w14:paraId="050E5AE1" w14:textId="77777777" w:rsidR="00001447" w:rsidRPr="00140ACF" w:rsidRDefault="00C054C0" w:rsidP="00C054C0">
      <w:pPr>
        <w:spacing w:before="240" w:after="240" w:line="360" w:lineRule="auto"/>
        <w:jc w:val="both"/>
        <w:rPr>
          <w:rFonts w:ascii="Palatino Linotype" w:eastAsia="Palatino Linotype" w:hAnsi="Palatino Linotype" w:cs="Palatino Linotype"/>
        </w:rPr>
      </w:pPr>
      <w:r w:rsidRPr="00140ACF">
        <w:rPr>
          <w:rFonts w:ascii="Palatino Linotype" w:eastAsia="Palatino Linotype" w:hAnsi="Palatino Linotype" w:cs="Palatino Linotype"/>
        </w:rPr>
        <w:t>Así, en el caso que nos ocupa, si bien la Servidora Pública Habilitada señaló que la información que es del interés de la persona solicitante se publica en el portal de Información Pública de Oficio Mexiquense, IPOMEX, no escapa de la óptica de este Organismo Garante que no proporcionó la fuente, el lugar y la forma mediante la cual puede realizarse la consulta, toda vez que no proporcionó la dirección electrónica de la página en la que la información se encuentra alojada, impidiendo que la persona solicitante pudiera conocer los datos que son de su interés</w:t>
      </w:r>
      <w:r w:rsidR="00001447" w:rsidRPr="00140ACF">
        <w:rPr>
          <w:rFonts w:ascii="Palatino Linotype" w:eastAsia="Palatino Linotype" w:hAnsi="Palatino Linotype" w:cs="Palatino Linotype"/>
        </w:rPr>
        <w:t>.</w:t>
      </w:r>
    </w:p>
    <w:p w14:paraId="0480A6FC" w14:textId="58FB7AA7" w:rsidR="00C36AFC" w:rsidRPr="00140ACF" w:rsidRDefault="00001447" w:rsidP="00C054C0">
      <w:pPr>
        <w:spacing w:before="240" w:after="240" w:line="360" w:lineRule="auto"/>
        <w:jc w:val="both"/>
        <w:rPr>
          <w:rFonts w:ascii="Palatino Linotype" w:eastAsia="Palatino Linotype" w:hAnsi="Palatino Linotype" w:cs="Palatino Linotype"/>
        </w:rPr>
      </w:pPr>
      <w:r w:rsidRPr="00140ACF">
        <w:rPr>
          <w:rFonts w:ascii="Palatino Linotype" w:eastAsia="Palatino Linotype" w:hAnsi="Palatino Linotype" w:cs="Palatino Linotype"/>
        </w:rPr>
        <w:t xml:space="preserve">En esta tesitura, es evidente que el derecho de acceso a la información de la persona solicitante no puede tenerse por satisfecho, </w:t>
      </w:r>
      <w:r w:rsidR="00C36AFC" w:rsidRPr="00140ACF">
        <w:rPr>
          <w:rFonts w:ascii="Palatino Linotype" w:eastAsia="Palatino Linotype" w:hAnsi="Palatino Linotype" w:cs="Palatino Linotype"/>
        </w:rPr>
        <w:t xml:space="preserve">pues no le fueron proporcionados las </w:t>
      </w:r>
      <w:r w:rsidR="00C36AFC" w:rsidRPr="00140ACF">
        <w:rPr>
          <w:rFonts w:ascii="Palatino Linotype" w:eastAsia="Palatino Linotype" w:hAnsi="Palatino Linotype" w:cs="Palatino Linotype"/>
        </w:rPr>
        <w:lastRenderedPageBreak/>
        <w:t xml:space="preserve">herramientas necesarias que le permitieran averiguar el nombre, percepciones y área de adscripción de todos los servidores públicos adscritos al </w:t>
      </w:r>
      <w:r w:rsidR="00C36AFC" w:rsidRPr="00140ACF">
        <w:rPr>
          <w:rFonts w:ascii="Palatino Linotype" w:eastAsia="Palatino Linotype" w:hAnsi="Palatino Linotype" w:cs="Palatino Linotype"/>
          <w:b/>
          <w:bCs/>
        </w:rPr>
        <w:t>Sujeto Obligado</w:t>
      </w:r>
      <w:r w:rsidR="00C36AFC" w:rsidRPr="00140ACF">
        <w:rPr>
          <w:rFonts w:ascii="Palatino Linotype" w:eastAsia="Palatino Linotype" w:hAnsi="Palatino Linotype" w:cs="Palatino Linotype"/>
        </w:rPr>
        <w:t xml:space="preserve">, en consecuencia, se estima dable ordenar la entrega del soporte documental que </w:t>
      </w:r>
      <w:r w:rsidR="00311CA0" w:rsidRPr="00140ACF">
        <w:rPr>
          <w:rFonts w:ascii="Palatino Linotype" w:eastAsia="Palatino Linotype" w:hAnsi="Palatino Linotype" w:cs="Palatino Linotype"/>
        </w:rPr>
        <w:t>dé</w:t>
      </w:r>
      <w:r w:rsidR="00C36AFC" w:rsidRPr="00140ACF">
        <w:rPr>
          <w:rFonts w:ascii="Palatino Linotype" w:eastAsia="Palatino Linotype" w:hAnsi="Palatino Linotype" w:cs="Palatino Linotype"/>
        </w:rPr>
        <w:t xml:space="preserve"> cuenta de lo solicitado, de ser necesario en versión pública, conforme al considerando siguiente.</w:t>
      </w:r>
    </w:p>
    <w:p w14:paraId="0682CEED" w14:textId="553B2A6F" w:rsidR="00EF7BDB" w:rsidRPr="00140ACF" w:rsidRDefault="00EF7BDB" w:rsidP="00EF7BDB">
      <w:pPr>
        <w:spacing w:line="360" w:lineRule="auto"/>
        <w:jc w:val="both"/>
        <w:rPr>
          <w:rFonts w:ascii="Palatino Linotype" w:eastAsia="Calibri" w:hAnsi="Palatino Linotype" w:cs="Arial"/>
        </w:rPr>
      </w:pPr>
      <w:r w:rsidRPr="00140ACF">
        <w:rPr>
          <w:rFonts w:ascii="Palatino Linotype" w:hAnsi="Palatino Linotype" w:cs="Arial"/>
        </w:rPr>
        <w:t xml:space="preserve">Lo anterior en virtud de que el Sujeto Obligado </w:t>
      </w:r>
      <w:r w:rsidRPr="00140ACF">
        <w:rPr>
          <w:rFonts w:ascii="Palatino Linotype" w:eastAsia="Calibri" w:hAnsi="Palatino Linotype" w:cs="Arial"/>
        </w:rPr>
        <w:t xml:space="preserve">se encuentra constreñido a documentar todo acto que derive del ejercicio </w:t>
      </w:r>
      <w:r w:rsidRPr="00140ACF">
        <w:rPr>
          <w:rFonts w:ascii="Palatino Linotype" w:hAnsi="Palatino Linotype"/>
        </w:rPr>
        <w:t xml:space="preserve">sus facultades, competencias o funciones, considerando desde su origen la eventual publicidad y reutilización de la información que generen, según lo dispuesto en los artículos </w:t>
      </w:r>
      <w:r w:rsidRPr="00140ACF">
        <w:rPr>
          <w:rFonts w:ascii="Palatino Linotype" w:eastAsia="Calibri" w:hAnsi="Palatino Linotype" w:cs="Arial"/>
        </w:rPr>
        <w:t>18, 24 fracción XXII y 160 párrafo primero de la Ley de la Materia, que son del tenor literal siguiente:</w:t>
      </w:r>
    </w:p>
    <w:p w14:paraId="6348FB70" w14:textId="77777777" w:rsidR="00EF7BDB" w:rsidRPr="00140ACF" w:rsidRDefault="00EF7BDB" w:rsidP="00EF7BDB">
      <w:pPr>
        <w:pStyle w:val="Textonotapie"/>
        <w:spacing w:before="120" w:after="120"/>
        <w:ind w:left="851" w:right="902"/>
        <w:jc w:val="both"/>
        <w:rPr>
          <w:rFonts w:ascii="Palatino Linotype" w:hAnsi="Palatino Linotype"/>
          <w:i/>
          <w:iCs/>
          <w:sz w:val="22"/>
          <w:szCs w:val="22"/>
        </w:rPr>
      </w:pPr>
      <w:r w:rsidRPr="00140ACF">
        <w:rPr>
          <w:rFonts w:ascii="Palatino Linotype" w:hAnsi="Palatino Linotype"/>
          <w:b/>
          <w:i/>
          <w:iCs/>
          <w:sz w:val="22"/>
          <w:szCs w:val="22"/>
        </w:rPr>
        <w:t>“Artículo 18</w:t>
      </w:r>
      <w:r w:rsidRPr="00140ACF">
        <w:rPr>
          <w:rFonts w:ascii="Palatino Linotype" w:hAnsi="Palatino Linotype"/>
          <w:i/>
          <w:iCs/>
          <w:sz w:val="22"/>
          <w:szCs w:val="22"/>
        </w:rPr>
        <w:t xml:space="preserve">. Los sujetos obligados </w:t>
      </w:r>
      <w:r w:rsidRPr="00140ACF">
        <w:rPr>
          <w:rFonts w:ascii="Palatino Linotype" w:hAnsi="Palatino Linotype"/>
          <w:b/>
          <w:bCs/>
          <w:i/>
          <w:iCs/>
          <w:sz w:val="22"/>
          <w:szCs w:val="22"/>
        </w:rPr>
        <w:t>deberán documentar todo acto que derive del ejercicio de sus facultades, competencias o funciones,</w:t>
      </w:r>
      <w:r w:rsidRPr="00140ACF">
        <w:rPr>
          <w:rFonts w:ascii="Palatino Linotype" w:hAnsi="Palatino Linotype"/>
          <w:i/>
          <w:iCs/>
          <w:sz w:val="22"/>
          <w:szCs w:val="22"/>
        </w:rPr>
        <w:t xml:space="preserve"> considerando desde su origen la eventual publicidad y reutilización de la información que generen.</w:t>
      </w:r>
    </w:p>
    <w:p w14:paraId="01E2F160" w14:textId="77777777" w:rsidR="00EF7BDB" w:rsidRPr="00140ACF" w:rsidRDefault="00EF7BDB" w:rsidP="00EF4E22">
      <w:pPr>
        <w:pStyle w:val="Textonotapie"/>
        <w:spacing w:before="120" w:after="120"/>
        <w:ind w:left="1440" w:right="902" w:hanging="589"/>
        <w:jc w:val="both"/>
        <w:rPr>
          <w:rFonts w:ascii="Palatino Linotype" w:hAnsi="Palatino Linotype"/>
          <w:i/>
          <w:iCs/>
          <w:sz w:val="22"/>
          <w:szCs w:val="22"/>
          <w:u w:val="single"/>
        </w:rPr>
      </w:pPr>
      <w:r w:rsidRPr="00140ACF">
        <w:rPr>
          <w:rFonts w:ascii="Palatino Linotype" w:hAnsi="Palatino Linotype"/>
          <w:i/>
          <w:iCs/>
          <w:sz w:val="22"/>
          <w:szCs w:val="22"/>
        </w:rPr>
        <w:t>…</w:t>
      </w:r>
    </w:p>
    <w:p w14:paraId="7A52A2C0" w14:textId="77777777" w:rsidR="00EF7BDB" w:rsidRPr="00140ACF" w:rsidRDefault="00EF7BDB" w:rsidP="00EF7BDB">
      <w:pPr>
        <w:pStyle w:val="Textonotapie"/>
        <w:spacing w:before="120" w:after="120"/>
        <w:ind w:left="851" w:right="902"/>
        <w:jc w:val="both"/>
        <w:rPr>
          <w:rFonts w:ascii="Palatino Linotype" w:hAnsi="Palatino Linotype"/>
          <w:i/>
          <w:iCs/>
          <w:sz w:val="22"/>
          <w:szCs w:val="22"/>
        </w:rPr>
      </w:pPr>
      <w:r w:rsidRPr="00140ACF">
        <w:rPr>
          <w:rFonts w:ascii="Palatino Linotype" w:hAnsi="Palatino Linotype"/>
          <w:b/>
          <w:i/>
          <w:iCs/>
          <w:sz w:val="22"/>
          <w:szCs w:val="22"/>
        </w:rPr>
        <w:t>Artículo 24.</w:t>
      </w:r>
      <w:r w:rsidRPr="00140ACF">
        <w:rPr>
          <w:rFonts w:ascii="Palatino Linotype" w:hAnsi="Palatino Linotype"/>
          <w:i/>
          <w:iCs/>
          <w:sz w:val="22"/>
          <w:szCs w:val="22"/>
        </w:rPr>
        <w:t xml:space="preserve"> Para el cumplimiento de los objetivos de esta Ley, </w:t>
      </w:r>
      <w:r w:rsidRPr="00140ACF">
        <w:rPr>
          <w:rFonts w:ascii="Palatino Linotype" w:hAnsi="Palatino Linotype"/>
          <w:b/>
          <w:bCs/>
          <w:i/>
          <w:iCs/>
          <w:sz w:val="22"/>
          <w:szCs w:val="22"/>
        </w:rPr>
        <w:t>los sujetos obligados deberán</w:t>
      </w:r>
      <w:r w:rsidRPr="00140ACF">
        <w:rPr>
          <w:rFonts w:ascii="Palatino Linotype" w:hAnsi="Palatino Linotype"/>
          <w:i/>
          <w:iCs/>
          <w:sz w:val="22"/>
          <w:szCs w:val="22"/>
        </w:rPr>
        <w:t xml:space="preserve"> cumplir con las siguientes obligaciones, según corresponda, de acuerdo a su naturaleza:</w:t>
      </w:r>
    </w:p>
    <w:p w14:paraId="4F3A8667" w14:textId="77777777" w:rsidR="00EF7BDB" w:rsidRPr="00140ACF" w:rsidRDefault="00EF7BDB" w:rsidP="00EF7BDB">
      <w:pPr>
        <w:pStyle w:val="Textonotapie"/>
        <w:spacing w:before="120" w:after="120"/>
        <w:ind w:left="1134" w:right="902"/>
        <w:jc w:val="both"/>
        <w:rPr>
          <w:rFonts w:ascii="Palatino Linotype" w:hAnsi="Palatino Linotype"/>
          <w:b/>
          <w:i/>
          <w:iCs/>
          <w:sz w:val="22"/>
          <w:szCs w:val="22"/>
        </w:rPr>
      </w:pPr>
      <w:r w:rsidRPr="00140ACF">
        <w:rPr>
          <w:rFonts w:ascii="Palatino Linotype" w:hAnsi="Palatino Linotype"/>
          <w:b/>
          <w:i/>
          <w:iCs/>
          <w:sz w:val="22"/>
          <w:szCs w:val="22"/>
        </w:rPr>
        <w:t>...</w:t>
      </w:r>
    </w:p>
    <w:p w14:paraId="1343087E" w14:textId="77777777" w:rsidR="00EF7BDB" w:rsidRPr="00140ACF" w:rsidRDefault="00EF7BDB" w:rsidP="00EF7BDB">
      <w:pPr>
        <w:pStyle w:val="Textonotapie"/>
        <w:spacing w:before="120" w:after="120"/>
        <w:ind w:left="1134" w:right="902"/>
        <w:jc w:val="both"/>
        <w:rPr>
          <w:rFonts w:ascii="Palatino Linotype" w:hAnsi="Palatino Linotype"/>
          <w:i/>
          <w:iCs/>
          <w:sz w:val="22"/>
          <w:szCs w:val="22"/>
        </w:rPr>
      </w:pPr>
      <w:r w:rsidRPr="00140ACF">
        <w:rPr>
          <w:rFonts w:ascii="Palatino Linotype" w:hAnsi="Palatino Linotype"/>
          <w:b/>
          <w:i/>
          <w:iCs/>
          <w:sz w:val="22"/>
          <w:szCs w:val="22"/>
        </w:rPr>
        <w:t>XXII.</w:t>
      </w:r>
      <w:r w:rsidRPr="00140ACF">
        <w:rPr>
          <w:rFonts w:ascii="Palatino Linotype" w:hAnsi="Palatino Linotype"/>
          <w:i/>
          <w:iCs/>
          <w:sz w:val="22"/>
          <w:szCs w:val="22"/>
        </w:rPr>
        <w:t xml:space="preserve"> </w:t>
      </w:r>
      <w:r w:rsidRPr="00140ACF">
        <w:rPr>
          <w:rFonts w:ascii="Palatino Linotype" w:hAnsi="Palatino Linotype"/>
          <w:b/>
          <w:bCs/>
          <w:i/>
          <w:iCs/>
          <w:sz w:val="22"/>
          <w:szCs w:val="22"/>
        </w:rPr>
        <w:t>Documentar todo acto que derive del ejercicio de sus facultades, competencias o funciones</w:t>
      </w:r>
      <w:r w:rsidRPr="00140ACF">
        <w:rPr>
          <w:rFonts w:ascii="Palatino Linotype" w:hAnsi="Palatino Linotype"/>
          <w:i/>
          <w:iCs/>
          <w:sz w:val="22"/>
          <w:szCs w:val="22"/>
        </w:rPr>
        <w:t xml:space="preserve"> y abstenerse de destruirlos u ocultarlos, dentro de los que destacan los procesos deliberativos y de decisión definitiva;</w:t>
      </w:r>
    </w:p>
    <w:p w14:paraId="0DA992E8" w14:textId="77777777" w:rsidR="00EF7BDB" w:rsidRPr="00140ACF" w:rsidRDefault="00EF7BDB" w:rsidP="00EF7BDB">
      <w:pPr>
        <w:spacing w:before="120" w:after="120"/>
        <w:ind w:left="851" w:right="902"/>
        <w:jc w:val="both"/>
        <w:rPr>
          <w:rFonts w:ascii="Palatino Linotype" w:hAnsi="Palatino Linotype"/>
          <w:b/>
          <w:i/>
          <w:iCs/>
          <w:sz w:val="22"/>
          <w:szCs w:val="22"/>
        </w:rPr>
      </w:pPr>
      <w:r w:rsidRPr="00140ACF">
        <w:rPr>
          <w:rFonts w:ascii="Palatino Linotype" w:hAnsi="Palatino Linotype"/>
          <w:b/>
          <w:i/>
          <w:iCs/>
          <w:sz w:val="22"/>
          <w:szCs w:val="22"/>
        </w:rPr>
        <w:t>…</w:t>
      </w:r>
    </w:p>
    <w:p w14:paraId="3D758C8C" w14:textId="77777777" w:rsidR="00EF7BDB" w:rsidRPr="00140ACF" w:rsidRDefault="00EF7BDB" w:rsidP="00EF7BDB">
      <w:pPr>
        <w:spacing w:before="120" w:after="120"/>
        <w:ind w:left="851" w:right="902"/>
        <w:jc w:val="both"/>
        <w:rPr>
          <w:rFonts w:ascii="Palatino Linotype" w:eastAsia="Calibri" w:hAnsi="Palatino Linotype" w:cs="Arial"/>
          <w:i/>
          <w:iCs/>
          <w:sz w:val="36"/>
          <w:szCs w:val="36"/>
        </w:rPr>
      </w:pPr>
      <w:r w:rsidRPr="00140ACF">
        <w:rPr>
          <w:rFonts w:ascii="Palatino Linotype" w:hAnsi="Palatino Linotype"/>
          <w:b/>
          <w:i/>
          <w:iCs/>
          <w:sz w:val="22"/>
          <w:szCs w:val="22"/>
        </w:rPr>
        <w:t>Artículo 160</w:t>
      </w:r>
      <w:r w:rsidRPr="00140ACF">
        <w:rPr>
          <w:rFonts w:ascii="Palatino Linotype" w:hAnsi="Palatino Linotype"/>
          <w:i/>
          <w:iCs/>
          <w:sz w:val="22"/>
          <w:szCs w:val="22"/>
        </w:rPr>
        <w:t xml:space="preserve">. Los sujetos obligados </w:t>
      </w:r>
      <w:r w:rsidRPr="00140ACF">
        <w:rPr>
          <w:rFonts w:ascii="Palatino Linotype" w:hAnsi="Palatino Linotype"/>
          <w:b/>
          <w:bCs/>
          <w:i/>
          <w:iCs/>
          <w:sz w:val="22"/>
          <w:szCs w:val="22"/>
        </w:rPr>
        <w:t>deberán otorgar acceso a los documentos que se encuentren en sus archivos o que estén obligados a documentar de acuerdo con sus facultades, competencias o funciones</w:t>
      </w:r>
      <w:r w:rsidRPr="00140ACF">
        <w:rPr>
          <w:rFonts w:ascii="Palatino Linotype" w:hAnsi="Palatino Linotype"/>
          <w:i/>
          <w:iCs/>
          <w:sz w:val="22"/>
          <w:szCs w:val="22"/>
        </w:rPr>
        <w:t xml:space="preserve"> en el formato que el solicitante manifieste, de entre aquellos formatos existentes, conforme a las características físicas de la información o del lugar donde se encuentre así lo permita.”</w:t>
      </w:r>
    </w:p>
    <w:p w14:paraId="2D8C442A" w14:textId="0F285274" w:rsidR="00914416" w:rsidRPr="00140ACF" w:rsidRDefault="003E5743" w:rsidP="00EF7BDB">
      <w:pPr>
        <w:autoSpaceDE w:val="0"/>
        <w:autoSpaceDN w:val="0"/>
        <w:adjustRightInd w:val="0"/>
        <w:spacing w:before="240" w:after="240" w:line="360" w:lineRule="auto"/>
        <w:jc w:val="both"/>
        <w:rPr>
          <w:rFonts w:ascii="Palatino Linotype" w:hAnsi="Palatino Linotype" w:cs="Arial"/>
        </w:rPr>
      </w:pPr>
      <w:r w:rsidRPr="00140ACF">
        <w:rPr>
          <w:rFonts w:ascii="Palatino Linotype" w:hAnsi="Palatino Linotype" w:cs="Arial"/>
        </w:rPr>
        <w:lastRenderedPageBreak/>
        <w:t xml:space="preserve">Bajo este </w:t>
      </w:r>
      <w:r w:rsidR="00914416" w:rsidRPr="00140ACF">
        <w:rPr>
          <w:rFonts w:ascii="Palatino Linotype" w:hAnsi="Palatino Linotype" w:cs="Arial"/>
        </w:rPr>
        <w:t>argumento</w:t>
      </w:r>
      <w:r w:rsidRPr="00140ACF">
        <w:rPr>
          <w:rFonts w:ascii="Palatino Linotype" w:hAnsi="Palatino Linotype" w:cs="Arial"/>
        </w:rPr>
        <w:t xml:space="preserve">, se presume que la información debe existir en los archivos del </w:t>
      </w:r>
      <w:r w:rsidRPr="00140ACF">
        <w:rPr>
          <w:rFonts w:ascii="Palatino Linotype" w:hAnsi="Palatino Linotype" w:cs="Arial"/>
          <w:b/>
          <w:bCs/>
        </w:rPr>
        <w:t>Sujeto Obligado</w:t>
      </w:r>
      <w:r w:rsidRPr="00140ACF">
        <w:rPr>
          <w:rFonts w:ascii="Palatino Linotype" w:hAnsi="Palatino Linotype" w:cs="Arial"/>
        </w:rPr>
        <w:t xml:space="preserve">, como resultado del ejercicio de sus facultades, competencias o funciones, motivo por el cual </w:t>
      </w:r>
      <w:r w:rsidR="00914416" w:rsidRPr="00140ACF">
        <w:rPr>
          <w:rFonts w:ascii="Palatino Linotype" w:hAnsi="Palatino Linotype" w:cs="Arial"/>
        </w:rPr>
        <w:t>se</w:t>
      </w:r>
      <w:r w:rsidRPr="00140ACF">
        <w:rPr>
          <w:rFonts w:ascii="Palatino Linotype" w:hAnsi="Palatino Linotype" w:cs="Arial"/>
        </w:rPr>
        <w:t xml:space="preserve"> estima </w:t>
      </w:r>
      <w:r w:rsidR="00914416" w:rsidRPr="00140ACF">
        <w:rPr>
          <w:rFonts w:ascii="Palatino Linotype" w:hAnsi="Palatino Linotype" w:cs="Arial"/>
        </w:rPr>
        <w:t xml:space="preserve">dable </w:t>
      </w:r>
      <w:r w:rsidRPr="00140ACF">
        <w:rPr>
          <w:rFonts w:ascii="Palatino Linotype" w:hAnsi="Palatino Linotype" w:cs="Arial"/>
        </w:rPr>
        <w:t>ordenar la búsqueda exhaustiva y razonable de los documentos en los que se advierta</w:t>
      </w:r>
      <w:r w:rsidR="00914416" w:rsidRPr="00140ACF">
        <w:rPr>
          <w:rFonts w:ascii="Palatino Linotype" w:hAnsi="Palatino Linotype" w:cs="Arial"/>
        </w:rPr>
        <w:t xml:space="preserve"> el nombre, percepciones económicas y área de adscripción de todos los servidores públicos adscritos al </w:t>
      </w:r>
      <w:r w:rsidR="00914416" w:rsidRPr="00140ACF">
        <w:rPr>
          <w:rFonts w:ascii="Palatino Linotype" w:hAnsi="Palatino Linotype" w:cs="Arial"/>
          <w:b/>
          <w:bCs/>
        </w:rPr>
        <w:t>Sujeto Obligado</w:t>
      </w:r>
      <w:r w:rsidR="00914416" w:rsidRPr="00140ACF">
        <w:rPr>
          <w:rFonts w:ascii="Palatino Linotype" w:hAnsi="Palatino Linotype" w:cs="Arial"/>
        </w:rPr>
        <w:t>, para tener por atendida la solicitud de información.</w:t>
      </w:r>
    </w:p>
    <w:p w14:paraId="31C70362" w14:textId="261DDC1A" w:rsidR="004A410F" w:rsidRPr="00140ACF" w:rsidRDefault="004A410F" w:rsidP="004A410F">
      <w:pPr>
        <w:spacing w:before="240" w:after="360" w:line="360" w:lineRule="auto"/>
        <w:jc w:val="both"/>
        <w:rPr>
          <w:rFonts w:ascii="Palatino Linotype" w:eastAsia="Arial Unicode MS" w:hAnsi="Palatino Linotype" w:cs="Arial"/>
        </w:rPr>
      </w:pPr>
      <w:r w:rsidRPr="00140ACF">
        <w:rPr>
          <w:rFonts w:ascii="Palatino Linotype" w:hAnsi="Palatino Linotype"/>
        </w:rPr>
        <w:t xml:space="preserve">Como sustento de lo anterior, es aplicable el contenido del </w:t>
      </w:r>
      <w:r w:rsidRPr="00140ACF">
        <w:rPr>
          <w:rFonts w:ascii="Palatino Linotype" w:eastAsia="Arial Unicode MS" w:hAnsi="Palatino Linotype" w:cs="Arial"/>
        </w:rPr>
        <w:t>artículo 350 del Código Financiero del Estado de México y Municipios, en el que se establece la obligación a cargo de las entidades fiscalizables, -como lo es el Sujeto Obligado-, de comunicar al Órgano Superior de Fiscalización del Estado de México, todo lo relacionado con la información contable, presupuestal y financiera, en los términos siguientes:</w:t>
      </w:r>
    </w:p>
    <w:p w14:paraId="3AD999A0" w14:textId="77777777" w:rsidR="004A410F" w:rsidRPr="00140ACF" w:rsidRDefault="004A410F" w:rsidP="004A410F">
      <w:pPr>
        <w:ind w:left="851" w:right="849"/>
        <w:jc w:val="both"/>
        <w:rPr>
          <w:rFonts w:ascii="Palatino Linotype" w:eastAsia="Calibri" w:hAnsi="Palatino Linotype" w:cs="Arial"/>
          <w:i/>
          <w:sz w:val="22"/>
          <w:szCs w:val="22"/>
        </w:rPr>
      </w:pPr>
      <w:r w:rsidRPr="00140ACF">
        <w:rPr>
          <w:rFonts w:ascii="Palatino Linotype" w:eastAsia="Calibri" w:hAnsi="Palatino Linotype" w:cs="Arial"/>
          <w:i/>
          <w:sz w:val="22"/>
          <w:szCs w:val="22"/>
        </w:rPr>
        <w:t xml:space="preserve"> “</w:t>
      </w:r>
      <w:r w:rsidRPr="00140ACF">
        <w:rPr>
          <w:rFonts w:ascii="Palatino Linotype" w:eastAsia="Calibri" w:hAnsi="Palatino Linotype" w:cs="Arial"/>
          <w:b/>
          <w:i/>
          <w:sz w:val="22"/>
          <w:szCs w:val="22"/>
        </w:rPr>
        <w:t>Artículo 350.-</w:t>
      </w:r>
      <w:r w:rsidRPr="00140ACF">
        <w:rPr>
          <w:rFonts w:ascii="Palatino Linotype" w:eastAsia="Calibri" w:hAnsi="Palatino Linotype" w:cs="Arial"/>
          <w:i/>
          <w:sz w:val="22"/>
          <w:szCs w:val="22"/>
        </w:rPr>
        <w:t xml:space="preserve"> La Secretaría y las tesorerías enviarán al Órgano Superior, de manera trimestral, dentro de los primeros veinte días hábiles posteriores al término del trimestre que se informa, para su análisis, la siguiente información:</w:t>
      </w:r>
    </w:p>
    <w:p w14:paraId="48E7637E" w14:textId="77777777" w:rsidR="004A410F" w:rsidRPr="00140ACF" w:rsidRDefault="004A410F" w:rsidP="004A410F">
      <w:pPr>
        <w:ind w:left="1134" w:right="849"/>
        <w:jc w:val="both"/>
        <w:rPr>
          <w:rFonts w:ascii="Palatino Linotype" w:hAnsi="Palatino Linotype"/>
          <w:i/>
          <w:sz w:val="22"/>
          <w:szCs w:val="22"/>
        </w:rPr>
      </w:pPr>
      <w:r w:rsidRPr="00140ACF">
        <w:rPr>
          <w:rFonts w:ascii="Palatino Linotype" w:hAnsi="Palatino Linotype"/>
          <w:b/>
          <w:bCs/>
          <w:i/>
          <w:sz w:val="22"/>
          <w:szCs w:val="22"/>
        </w:rPr>
        <w:t>I.</w:t>
      </w:r>
      <w:r w:rsidRPr="00140ACF">
        <w:rPr>
          <w:rFonts w:ascii="Palatino Linotype" w:hAnsi="Palatino Linotype"/>
          <w:i/>
          <w:sz w:val="22"/>
          <w:szCs w:val="22"/>
        </w:rPr>
        <w:t xml:space="preserve"> Patrimonial. </w:t>
      </w:r>
    </w:p>
    <w:p w14:paraId="6FE0C6D7" w14:textId="77777777" w:rsidR="004A410F" w:rsidRPr="00140ACF" w:rsidRDefault="004A410F" w:rsidP="004A410F">
      <w:pPr>
        <w:ind w:left="1134" w:right="849"/>
        <w:jc w:val="both"/>
        <w:rPr>
          <w:rFonts w:ascii="Palatino Linotype" w:hAnsi="Palatino Linotype"/>
          <w:i/>
          <w:sz w:val="22"/>
          <w:szCs w:val="22"/>
        </w:rPr>
      </w:pPr>
      <w:r w:rsidRPr="00140ACF">
        <w:rPr>
          <w:rFonts w:ascii="Palatino Linotype" w:hAnsi="Palatino Linotype"/>
          <w:b/>
          <w:bCs/>
          <w:i/>
          <w:sz w:val="22"/>
          <w:szCs w:val="22"/>
        </w:rPr>
        <w:t>II</w:t>
      </w:r>
      <w:r w:rsidRPr="00140ACF">
        <w:rPr>
          <w:rFonts w:ascii="Palatino Linotype" w:hAnsi="Palatino Linotype"/>
          <w:i/>
          <w:sz w:val="22"/>
          <w:szCs w:val="22"/>
        </w:rPr>
        <w:t xml:space="preserve">. Presupuestal. </w:t>
      </w:r>
    </w:p>
    <w:p w14:paraId="1D391FCB" w14:textId="77777777" w:rsidR="004A410F" w:rsidRPr="00140ACF" w:rsidRDefault="004A410F" w:rsidP="004A410F">
      <w:pPr>
        <w:ind w:left="1134" w:right="849"/>
        <w:jc w:val="both"/>
        <w:rPr>
          <w:rFonts w:ascii="Palatino Linotype" w:hAnsi="Palatino Linotype"/>
          <w:i/>
          <w:sz w:val="22"/>
          <w:szCs w:val="22"/>
        </w:rPr>
      </w:pPr>
      <w:r w:rsidRPr="00140ACF">
        <w:rPr>
          <w:rFonts w:ascii="Palatino Linotype" w:hAnsi="Palatino Linotype"/>
          <w:b/>
          <w:bCs/>
          <w:i/>
          <w:sz w:val="22"/>
          <w:szCs w:val="22"/>
        </w:rPr>
        <w:t>III</w:t>
      </w:r>
      <w:r w:rsidRPr="00140ACF">
        <w:rPr>
          <w:rFonts w:ascii="Palatino Linotype" w:hAnsi="Palatino Linotype"/>
          <w:i/>
          <w:sz w:val="22"/>
          <w:szCs w:val="22"/>
        </w:rPr>
        <w:t>. De la obra pública.</w:t>
      </w:r>
    </w:p>
    <w:p w14:paraId="338561A0" w14:textId="77777777" w:rsidR="004A410F" w:rsidRPr="00140ACF" w:rsidRDefault="004A410F" w:rsidP="004A410F">
      <w:pPr>
        <w:ind w:left="1134" w:right="849"/>
        <w:jc w:val="both"/>
        <w:rPr>
          <w:rFonts w:ascii="Palatino Linotype" w:hAnsi="Palatino Linotype"/>
          <w:b/>
          <w:bCs/>
          <w:i/>
          <w:sz w:val="22"/>
          <w:szCs w:val="22"/>
        </w:rPr>
      </w:pPr>
      <w:r w:rsidRPr="00140ACF">
        <w:rPr>
          <w:rFonts w:ascii="Palatino Linotype" w:hAnsi="Palatino Linotype"/>
          <w:b/>
          <w:bCs/>
          <w:i/>
          <w:sz w:val="22"/>
          <w:szCs w:val="22"/>
        </w:rPr>
        <w:t>IV. De nómina.</w:t>
      </w:r>
    </w:p>
    <w:p w14:paraId="1EFEF76A" w14:textId="77777777" w:rsidR="004A410F" w:rsidRPr="00140ACF" w:rsidRDefault="004A410F" w:rsidP="004A410F">
      <w:pPr>
        <w:ind w:left="1134" w:right="849"/>
        <w:jc w:val="both"/>
        <w:rPr>
          <w:rFonts w:ascii="Palatino Linotype" w:hAnsi="Palatino Linotype"/>
          <w:i/>
          <w:sz w:val="22"/>
          <w:szCs w:val="22"/>
        </w:rPr>
      </w:pPr>
      <w:r w:rsidRPr="00140ACF">
        <w:rPr>
          <w:rFonts w:ascii="Palatino Linotype" w:hAnsi="Palatino Linotype"/>
          <w:b/>
          <w:bCs/>
          <w:i/>
          <w:sz w:val="22"/>
          <w:szCs w:val="22"/>
        </w:rPr>
        <w:t>V</w:t>
      </w:r>
      <w:r w:rsidRPr="00140ACF">
        <w:rPr>
          <w:rFonts w:ascii="Palatino Linotype" w:hAnsi="Palatino Linotype"/>
          <w:i/>
          <w:sz w:val="22"/>
          <w:szCs w:val="22"/>
        </w:rPr>
        <w:t xml:space="preserve">. Avance del cumplimiento del Plan de Desarrollo del Estado de México. </w:t>
      </w:r>
    </w:p>
    <w:p w14:paraId="36667181" w14:textId="77777777" w:rsidR="004A410F" w:rsidRPr="00140ACF" w:rsidRDefault="004A410F" w:rsidP="004A410F">
      <w:pPr>
        <w:ind w:left="851" w:right="849"/>
        <w:jc w:val="both"/>
        <w:rPr>
          <w:rFonts w:ascii="Palatino Linotype" w:hAnsi="Palatino Linotype"/>
          <w:i/>
          <w:sz w:val="22"/>
          <w:szCs w:val="22"/>
        </w:rPr>
      </w:pPr>
      <w:r w:rsidRPr="00140ACF">
        <w:rPr>
          <w:rFonts w:ascii="Palatino Linotype" w:hAnsi="Palatino Linotype"/>
          <w:i/>
          <w:sz w:val="22"/>
          <w:szCs w:val="22"/>
        </w:rPr>
        <w:t>Los informes trimestrales deberán contener la evolución de las finanzas públicas integradas con los comentarios correspondientes y los estados financieros consolidados, así como un reporte de los ingresos y egresos de los organismos auxiliares.</w:t>
      </w:r>
    </w:p>
    <w:p w14:paraId="131D2D18" w14:textId="77777777" w:rsidR="004A410F" w:rsidRPr="00140ACF" w:rsidRDefault="004A410F" w:rsidP="004A410F">
      <w:pPr>
        <w:ind w:left="851" w:right="849"/>
        <w:jc w:val="both"/>
        <w:rPr>
          <w:rFonts w:ascii="Palatino Linotype" w:eastAsia="Calibri" w:hAnsi="Palatino Linotype" w:cs="Arial"/>
          <w:b/>
          <w:i/>
          <w:sz w:val="22"/>
          <w:szCs w:val="22"/>
        </w:rPr>
      </w:pPr>
      <w:r w:rsidRPr="00140ACF">
        <w:rPr>
          <w:rFonts w:ascii="Palatino Linotype" w:hAnsi="Palatino Linotype"/>
          <w:i/>
          <w:sz w:val="22"/>
          <w:szCs w:val="22"/>
        </w:rPr>
        <w:t>El informe trimestral correspondiente al cuarto trimestre se entregará junto con las Cuentas Públicas del ejercicio fiscal de que se trate</w:t>
      </w:r>
      <w:r w:rsidRPr="00140ACF">
        <w:rPr>
          <w:rFonts w:ascii="Palatino Linotype" w:eastAsia="Calibri" w:hAnsi="Palatino Linotype" w:cs="Arial"/>
          <w:b/>
          <w:i/>
          <w:sz w:val="22"/>
          <w:szCs w:val="22"/>
        </w:rPr>
        <w:t>.”</w:t>
      </w:r>
    </w:p>
    <w:p w14:paraId="6157B348" w14:textId="62919794" w:rsidR="004A410F" w:rsidRPr="00140ACF" w:rsidRDefault="004A410F" w:rsidP="004A410F">
      <w:pPr>
        <w:spacing w:before="240" w:after="240" w:line="360" w:lineRule="auto"/>
        <w:jc w:val="both"/>
        <w:rPr>
          <w:rFonts w:ascii="Palatino Linotype" w:hAnsi="Palatino Linotype" w:cs="Arial"/>
        </w:rPr>
      </w:pPr>
      <w:r w:rsidRPr="00140ACF">
        <w:rPr>
          <w:rFonts w:ascii="Palatino Linotype" w:hAnsi="Palatino Linotype" w:cs="Arial"/>
        </w:rPr>
        <w:t xml:space="preserve">Para conocer lo que debe contener la información correspondiente a la nómina, es necesario señalar que, al Órgano Superior de Fiscalización del Estado de México, OSFEM, le asiste la facultad de emitir los lineamientos para la integración del </w:t>
      </w:r>
      <w:r w:rsidRPr="00140ACF">
        <w:rPr>
          <w:rFonts w:ascii="Palatino Linotype" w:hAnsi="Palatino Linotype" w:cs="Arial"/>
        </w:rPr>
        <w:lastRenderedPageBreak/>
        <w:t>informe trimestral, en términos de la fracción XI del artículo 8 de la Ley de Fiscalización Superior del Estado de México, que es del tenor literal siguiente:</w:t>
      </w:r>
    </w:p>
    <w:p w14:paraId="7C85A885" w14:textId="77777777" w:rsidR="004A410F" w:rsidRPr="00140ACF" w:rsidRDefault="004A410F" w:rsidP="004A410F">
      <w:pPr>
        <w:ind w:left="851" w:right="902"/>
        <w:jc w:val="both"/>
        <w:rPr>
          <w:rFonts w:ascii="Palatino Linotype" w:hAnsi="Palatino Linotype"/>
          <w:i/>
          <w:sz w:val="22"/>
          <w:szCs w:val="22"/>
        </w:rPr>
      </w:pPr>
      <w:r w:rsidRPr="00140ACF">
        <w:rPr>
          <w:rFonts w:ascii="Palatino Linotype" w:hAnsi="Palatino Linotype"/>
          <w:b/>
          <w:i/>
          <w:sz w:val="22"/>
          <w:szCs w:val="22"/>
        </w:rPr>
        <w:t>“Artículo 8.-</w:t>
      </w:r>
      <w:r w:rsidRPr="00140ACF">
        <w:rPr>
          <w:rFonts w:ascii="Palatino Linotype" w:hAnsi="Palatino Linotype"/>
          <w:i/>
          <w:sz w:val="22"/>
          <w:szCs w:val="22"/>
        </w:rPr>
        <w:t xml:space="preserve"> El </w:t>
      </w:r>
      <w:r w:rsidRPr="00140ACF">
        <w:rPr>
          <w:rFonts w:ascii="Palatino Linotype" w:hAnsi="Palatino Linotype"/>
          <w:b/>
          <w:i/>
          <w:sz w:val="22"/>
          <w:szCs w:val="22"/>
        </w:rPr>
        <w:t>Órgano Superior</w:t>
      </w:r>
      <w:r w:rsidRPr="00140ACF">
        <w:rPr>
          <w:rFonts w:ascii="Palatino Linotype" w:hAnsi="Palatino Linotype"/>
          <w:i/>
          <w:sz w:val="22"/>
          <w:szCs w:val="22"/>
        </w:rPr>
        <w:t xml:space="preserve"> tendrá las siguientes atribuciones:</w:t>
      </w:r>
    </w:p>
    <w:p w14:paraId="2E9EEE94" w14:textId="77777777" w:rsidR="004A410F" w:rsidRPr="00140ACF" w:rsidRDefault="004A410F" w:rsidP="004A410F">
      <w:pPr>
        <w:ind w:left="1134" w:right="902"/>
        <w:jc w:val="both"/>
        <w:rPr>
          <w:rFonts w:ascii="Palatino Linotype" w:hAnsi="Palatino Linotype"/>
          <w:i/>
          <w:sz w:val="22"/>
          <w:szCs w:val="22"/>
        </w:rPr>
      </w:pPr>
      <w:r w:rsidRPr="00140ACF">
        <w:rPr>
          <w:rFonts w:ascii="Palatino Linotype" w:hAnsi="Palatino Linotype"/>
          <w:i/>
          <w:sz w:val="22"/>
          <w:szCs w:val="22"/>
        </w:rPr>
        <w:t>…</w:t>
      </w:r>
    </w:p>
    <w:p w14:paraId="22336BC6" w14:textId="77777777" w:rsidR="004A410F" w:rsidRPr="00140ACF" w:rsidRDefault="004A410F" w:rsidP="004A410F">
      <w:pPr>
        <w:ind w:left="1134" w:right="902"/>
        <w:jc w:val="both"/>
        <w:rPr>
          <w:rFonts w:ascii="Palatino Linotype" w:hAnsi="Palatino Linotype" w:cs="Arial"/>
          <w:i/>
          <w:sz w:val="22"/>
          <w:szCs w:val="22"/>
        </w:rPr>
      </w:pPr>
      <w:r w:rsidRPr="00140ACF">
        <w:rPr>
          <w:rFonts w:ascii="Palatino Linotype" w:hAnsi="Palatino Linotype"/>
          <w:b/>
          <w:bCs/>
          <w:i/>
          <w:sz w:val="22"/>
          <w:szCs w:val="22"/>
        </w:rPr>
        <w:t>XI</w:t>
      </w:r>
      <w:r w:rsidRPr="00140ACF">
        <w:rPr>
          <w:rFonts w:ascii="Palatino Linotype" w:hAnsi="Palatino Linotype"/>
          <w:i/>
          <w:sz w:val="22"/>
          <w:szCs w:val="22"/>
        </w:rPr>
        <w:t>. Establecer los lineamientos, criterios, procedimientos, métodos y sistemas, así como todas aquellas disposiciones de carácter general para las acciones de control y evaluación, necesarios para la fiscalización de las cuentas públicas y los informes trimestrales;”</w:t>
      </w:r>
    </w:p>
    <w:p w14:paraId="29BA53C3" w14:textId="77777777" w:rsidR="004A410F" w:rsidRPr="00140ACF" w:rsidRDefault="004A410F" w:rsidP="004A410F">
      <w:pPr>
        <w:spacing w:before="240" w:after="240" w:line="360" w:lineRule="auto"/>
        <w:jc w:val="both"/>
        <w:rPr>
          <w:rFonts w:ascii="Palatino Linotype" w:hAnsi="Palatino Linotype"/>
          <w:i/>
          <w:sz w:val="22"/>
          <w:szCs w:val="22"/>
        </w:rPr>
      </w:pPr>
      <w:r w:rsidRPr="00140ACF">
        <w:rPr>
          <w:rFonts w:ascii="Palatino Linotype" w:hAnsi="Palatino Linotype" w:cs="Arial"/>
        </w:rPr>
        <w:t xml:space="preserve">Estos lineamientos son de observancia general para todos los servidores públicos de las entidades fiscalizables que desempeñen un empleo, cargo o comisión, de cualquier naturaleza en alguno de los poderes del Estado, en los ayuntamientos de los municipios y organismos auxiliares, así como </w:t>
      </w:r>
      <w:r w:rsidRPr="00140ACF">
        <w:rPr>
          <w:rFonts w:ascii="Palatino Linotype" w:hAnsi="Palatino Linotype"/>
        </w:rPr>
        <w:t xml:space="preserve">los titulares o quienes hagan sus veces en empresas de participación estatal o municipal, sociedades o asociaciones asimiladas a éstas y en los fideicomisos públicos, </w:t>
      </w:r>
      <w:r w:rsidRPr="00140ACF">
        <w:rPr>
          <w:rFonts w:ascii="Palatino Linotype" w:hAnsi="Palatino Linotype" w:cs="Arial"/>
        </w:rPr>
        <w:t xml:space="preserve"> y que manejen recursos públicos, como lo son los municipios; en atención a ello, el informe trimestral deberá ser presentado al OSFEM dentro de los veinte días posteriores al término del trimestre correspondiente de acuerdo a lo establecido en el artículo 350 </w:t>
      </w:r>
      <w:r w:rsidRPr="00140ACF">
        <w:rPr>
          <w:rFonts w:ascii="Palatino Linotype" w:eastAsia="Arial Unicode MS" w:hAnsi="Palatino Linotype" w:cs="Arial"/>
        </w:rPr>
        <w:t>del Código Financiero del Estado de México citado con antelación.</w:t>
      </w:r>
    </w:p>
    <w:p w14:paraId="6C2C2898" w14:textId="77777777" w:rsidR="004A410F" w:rsidRPr="00140ACF" w:rsidRDefault="004A410F" w:rsidP="004A410F">
      <w:pPr>
        <w:spacing w:before="240" w:after="240" w:line="360" w:lineRule="auto"/>
        <w:jc w:val="both"/>
        <w:rPr>
          <w:rFonts w:ascii="Palatino Linotype" w:hAnsi="Palatino Linotype" w:cs="Arial"/>
        </w:rPr>
      </w:pPr>
      <w:r w:rsidRPr="00140ACF">
        <w:rPr>
          <w:rFonts w:ascii="Palatino Linotype" w:hAnsi="Palatino Linotype" w:cs="Arial"/>
        </w:rPr>
        <w:t>La información documental comprobatoria de los informes trimestrales presentados, debe conservarse en los archivos de la entidad fiscalizada -</w:t>
      </w:r>
      <w:r w:rsidRPr="00140ACF">
        <w:rPr>
          <w:rFonts w:ascii="Palatino Linotype" w:hAnsi="Palatino Linotype" w:cs="Arial"/>
          <w:sz w:val="22"/>
        </w:rPr>
        <w:t xml:space="preserve">municipio- </w:t>
      </w:r>
      <w:r w:rsidRPr="00140ACF">
        <w:rPr>
          <w:rFonts w:ascii="Palatino Linotype" w:hAnsi="Palatino Linotype" w:cs="Arial"/>
        </w:rPr>
        <w:t>en original y debidamente integrada en términos de los lineamientos de referencia, pues son susceptibles de revisión directa por el Órgano Superior de Fiscalización del Estado de México.</w:t>
      </w:r>
    </w:p>
    <w:p w14:paraId="751E375E" w14:textId="77777777" w:rsidR="004A410F" w:rsidRPr="00140ACF" w:rsidRDefault="004A410F" w:rsidP="004A410F">
      <w:pPr>
        <w:spacing w:before="240" w:line="360" w:lineRule="auto"/>
        <w:ind w:right="49"/>
        <w:jc w:val="both"/>
        <w:rPr>
          <w:rFonts w:ascii="Palatino Linotype" w:eastAsia="Arial Unicode MS" w:hAnsi="Palatino Linotype" w:cs="Arial"/>
        </w:rPr>
      </w:pPr>
      <w:r w:rsidRPr="00140ACF">
        <w:rPr>
          <w:rFonts w:ascii="Palatino Linotype" w:hAnsi="Palatino Linotype" w:cs="Arial"/>
        </w:rPr>
        <w:lastRenderedPageBreak/>
        <w:t xml:space="preserve">En este contexto, el Órgano Superior de Fiscalización del Estado de México, emite en cada ejercicio fiscal las </w:t>
      </w:r>
      <w:r w:rsidRPr="00140ACF">
        <w:rPr>
          <w:rFonts w:ascii="Palatino Linotype" w:hAnsi="Palatino Linotype" w:cs="Arial"/>
          <w:iCs/>
        </w:rPr>
        <w:t xml:space="preserve">Políticas para la Integración del Informe Trimestral de los Sujetos de Fiscalización Municipales y los Instructivos de llenado correspondientes, </w:t>
      </w:r>
      <w:r w:rsidRPr="00140ACF">
        <w:rPr>
          <w:rFonts w:ascii="Palatino Linotype" w:hAnsi="Palatino Linotype" w:cs="Arial"/>
        </w:rPr>
        <w:t xml:space="preserve">mismos que se encuentran disponibles en su sitio </w:t>
      </w:r>
      <w:r w:rsidRPr="00140ACF">
        <w:rPr>
          <w:rFonts w:ascii="Palatino Linotype" w:eastAsia="Calibri" w:hAnsi="Palatino Linotype" w:cs="Arial"/>
        </w:rPr>
        <w:t>de internet</w:t>
      </w:r>
      <w:r w:rsidRPr="00140ACF">
        <w:rPr>
          <w:rStyle w:val="Refdenotaalpie"/>
          <w:rFonts w:ascii="Palatino Linotype" w:eastAsia="Calibri" w:hAnsi="Palatino Linotype" w:cs="Arial"/>
        </w:rPr>
        <w:footnoteReference w:id="6"/>
      </w:r>
      <w:r w:rsidRPr="00140ACF">
        <w:rPr>
          <w:rFonts w:ascii="Palatino Linotype" w:eastAsia="Calibri" w:hAnsi="Palatino Linotype" w:cs="Arial"/>
        </w:rPr>
        <w:t>,</w:t>
      </w:r>
      <w:r w:rsidRPr="00140ACF">
        <w:rPr>
          <w:rFonts w:ascii="Palatino Linotype" w:hAnsi="Palatino Linotype" w:cs="Arial"/>
        </w:rPr>
        <w:t xml:space="preserve"> </w:t>
      </w:r>
      <w:r w:rsidRPr="00140ACF">
        <w:rPr>
          <w:rFonts w:ascii="Palatino Linotype" w:eastAsia="Calibri" w:hAnsi="Palatino Linotype" w:cs="Arial"/>
        </w:rPr>
        <w:t xml:space="preserve">con la finalidad de </w:t>
      </w:r>
      <w:r w:rsidRPr="00140ACF">
        <w:rPr>
          <w:rFonts w:ascii="Palatino Linotype" w:hAnsi="Palatino Linotype"/>
        </w:rPr>
        <w:t xml:space="preserve">definir los criterios, los formatos y la documentación necesaria para presentar los informes trimestrales, que deben ser entregados </w:t>
      </w:r>
      <w:r w:rsidRPr="00140ACF">
        <w:rPr>
          <w:rFonts w:ascii="Palatino Linotype" w:eastAsia="Arial Unicode MS" w:hAnsi="Palatino Linotype" w:cs="Arial"/>
        </w:rPr>
        <w:t xml:space="preserve">a través de cuatro módulos, </w:t>
      </w:r>
      <w:r w:rsidRPr="00140ACF">
        <w:rPr>
          <w:rFonts w:ascii="Palatino Linotype" w:eastAsia="Calibri" w:hAnsi="Palatino Linotype" w:cs="Arial"/>
        </w:rPr>
        <w:t>que contienen la siguiente información:</w:t>
      </w:r>
    </w:p>
    <w:p w14:paraId="233EFD92" w14:textId="77777777" w:rsidR="004A410F" w:rsidRPr="00140ACF" w:rsidRDefault="004A410F" w:rsidP="004A410F">
      <w:pPr>
        <w:spacing w:before="240" w:line="360" w:lineRule="auto"/>
        <w:ind w:right="49"/>
        <w:jc w:val="center"/>
        <w:rPr>
          <w:rFonts w:ascii="Palatino Linotype" w:eastAsia="Calibri" w:hAnsi="Palatino Linotype" w:cs="Arial"/>
        </w:rPr>
      </w:pPr>
      <w:r w:rsidRPr="00140ACF">
        <w:rPr>
          <w:rFonts w:ascii="Palatino Linotype" w:eastAsia="Calibri" w:hAnsi="Palatino Linotype" w:cs="Arial"/>
          <w:noProof/>
        </w:rPr>
        <w:drawing>
          <wp:inline distT="0" distB="0" distL="0" distR="0" wp14:anchorId="3C7AE5F6" wp14:editId="51D4F565">
            <wp:extent cx="5610225" cy="23241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0225" cy="2324100"/>
                    </a:xfrm>
                    <a:prstGeom prst="rect">
                      <a:avLst/>
                    </a:prstGeom>
                    <a:noFill/>
                    <a:ln>
                      <a:noFill/>
                    </a:ln>
                  </pic:spPr>
                </pic:pic>
              </a:graphicData>
            </a:graphic>
          </wp:inline>
        </w:drawing>
      </w:r>
    </w:p>
    <w:p w14:paraId="42929D96" w14:textId="77777777" w:rsidR="004A410F" w:rsidRPr="00140ACF" w:rsidRDefault="004A410F" w:rsidP="004A410F">
      <w:pPr>
        <w:spacing w:before="240" w:line="360" w:lineRule="auto"/>
        <w:ind w:right="49"/>
        <w:jc w:val="both"/>
        <w:rPr>
          <w:rFonts w:ascii="Palatino Linotype" w:eastAsia="Calibri" w:hAnsi="Palatino Linotype" w:cs="Arial"/>
        </w:rPr>
      </w:pPr>
      <w:r w:rsidRPr="00140ACF">
        <w:rPr>
          <w:rFonts w:ascii="Palatino Linotype" w:eastAsia="Calibri" w:hAnsi="Palatino Linotype" w:cs="Arial"/>
        </w:rPr>
        <w:t xml:space="preserve">La información que con motivo de la nómina genera el </w:t>
      </w:r>
      <w:r w:rsidRPr="00140ACF">
        <w:rPr>
          <w:rFonts w:ascii="Palatino Linotype" w:eastAsia="Calibri" w:hAnsi="Palatino Linotype" w:cs="Arial"/>
          <w:b/>
          <w:bCs/>
        </w:rPr>
        <w:t>Sujeto Obligado</w:t>
      </w:r>
      <w:r w:rsidRPr="00140ACF">
        <w:rPr>
          <w:rFonts w:ascii="Palatino Linotype" w:eastAsia="Calibri" w:hAnsi="Palatino Linotype" w:cs="Arial"/>
        </w:rPr>
        <w:t xml:space="preserve">, se encuentra contenida en el Módulo 4 Información administrativa, </w:t>
      </w:r>
      <w:proofErr w:type="spellStart"/>
      <w:r w:rsidRPr="00140ACF">
        <w:rPr>
          <w:rFonts w:ascii="Palatino Linotype" w:eastAsia="Calibri" w:hAnsi="Palatino Linotype" w:cs="Arial"/>
        </w:rPr>
        <w:t>Submódulo</w:t>
      </w:r>
      <w:proofErr w:type="spellEnd"/>
      <w:r w:rsidRPr="00140ACF">
        <w:rPr>
          <w:rFonts w:ascii="Palatino Linotype" w:eastAsia="Calibri" w:hAnsi="Palatino Linotype" w:cs="Arial"/>
        </w:rPr>
        <w:t xml:space="preserve"> Nómina y Comprobantes Fiscales, como se muestra a continuación:</w:t>
      </w:r>
    </w:p>
    <w:p w14:paraId="0DB44B47" w14:textId="77777777" w:rsidR="004A410F" w:rsidRPr="00140ACF" w:rsidRDefault="004A410F" w:rsidP="004A410F">
      <w:pPr>
        <w:spacing w:before="240" w:line="360" w:lineRule="auto"/>
        <w:ind w:right="49"/>
        <w:jc w:val="both"/>
        <w:rPr>
          <w:rFonts w:ascii="Palatino Linotype" w:eastAsia="Calibri" w:hAnsi="Palatino Linotype" w:cs="Arial"/>
        </w:rPr>
      </w:pPr>
      <w:r w:rsidRPr="00140ACF">
        <w:rPr>
          <w:rFonts w:ascii="Palatino Linotype" w:eastAsia="Calibri" w:hAnsi="Palatino Linotype" w:cs="Arial"/>
          <w:noProof/>
        </w:rPr>
        <w:lastRenderedPageBreak/>
        <w:drawing>
          <wp:inline distT="0" distB="0" distL="0" distR="0" wp14:anchorId="71D6F429" wp14:editId="5E61CC3E">
            <wp:extent cx="5610225" cy="24955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0225" cy="2495550"/>
                    </a:xfrm>
                    <a:prstGeom prst="rect">
                      <a:avLst/>
                    </a:prstGeom>
                    <a:noFill/>
                    <a:ln>
                      <a:noFill/>
                    </a:ln>
                  </pic:spPr>
                </pic:pic>
              </a:graphicData>
            </a:graphic>
          </wp:inline>
        </w:drawing>
      </w:r>
      <w:r w:rsidRPr="00140ACF">
        <w:rPr>
          <w:rFonts w:ascii="Palatino Linotype" w:eastAsia="Calibri" w:hAnsi="Palatino Linotype" w:cs="Arial"/>
        </w:rPr>
        <w:t xml:space="preserve"> </w:t>
      </w:r>
    </w:p>
    <w:p w14:paraId="629CD0AA" w14:textId="1540CDA5" w:rsidR="001C6656" w:rsidRPr="00140ACF" w:rsidRDefault="004A410F" w:rsidP="001C6656">
      <w:pPr>
        <w:spacing w:before="240" w:line="360" w:lineRule="auto"/>
        <w:ind w:right="49"/>
        <w:jc w:val="both"/>
        <w:rPr>
          <w:rFonts w:ascii="Palatino Linotype" w:eastAsia="Calibri" w:hAnsi="Palatino Linotype" w:cs="Arial"/>
        </w:rPr>
      </w:pPr>
      <w:r w:rsidRPr="00140ACF">
        <w:rPr>
          <w:rFonts w:ascii="Palatino Linotype" w:eastAsia="Calibri" w:hAnsi="Palatino Linotype" w:cs="Arial"/>
        </w:rPr>
        <w:t xml:space="preserve">En tal sentido, se estima que los documentos que pudieran dar cuenta del nombre, </w:t>
      </w:r>
      <w:r w:rsidR="001C6656" w:rsidRPr="00140ACF">
        <w:rPr>
          <w:rFonts w:ascii="Palatino Linotype" w:eastAsia="Calibri" w:hAnsi="Palatino Linotype" w:cs="Arial"/>
        </w:rPr>
        <w:t xml:space="preserve">percepciones, área de adscripción y categoría </w:t>
      </w:r>
      <w:r w:rsidR="005E5E16" w:rsidRPr="00140ACF">
        <w:rPr>
          <w:rFonts w:ascii="Palatino Linotype" w:eastAsia="Calibri" w:hAnsi="Palatino Linotype" w:cs="Arial"/>
        </w:rPr>
        <w:t xml:space="preserve">o el tipo de empleado del que se trata (de base y/o confianza) </w:t>
      </w:r>
      <w:r w:rsidR="001C6656" w:rsidRPr="00140ACF">
        <w:rPr>
          <w:rFonts w:ascii="Palatino Linotype" w:eastAsia="Calibri" w:hAnsi="Palatino Linotype" w:cs="Arial"/>
        </w:rPr>
        <w:t>de la totalidad de los servidores públicos adscritos al Sujeto Obligado</w:t>
      </w:r>
      <w:r w:rsidRPr="00140ACF">
        <w:rPr>
          <w:rFonts w:ascii="Palatino Linotype" w:eastAsia="Calibri" w:hAnsi="Palatino Linotype" w:cs="Arial"/>
        </w:rPr>
        <w:t>, de manera enunciativa más no limitativa, lo</w:t>
      </w:r>
      <w:r w:rsidR="001C6656" w:rsidRPr="00140ACF">
        <w:rPr>
          <w:rFonts w:ascii="Palatino Linotype" w:eastAsia="Calibri" w:hAnsi="Palatino Linotype" w:cs="Arial"/>
        </w:rPr>
        <w:t xml:space="preserve"> es la </w:t>
      </w:r>
      <w:r w:rsidRPr="00140ACF">
        <w:rPr>
          <w:rFonts w:ascii="Palatino Linotype" w:eastAsia="Calibri" w:hAnsi="Palatino Linotype" w:cs="Arial"/>
        </w:rPr>
        <w:t>conciliación de la nómina mensual</w:t>
      </w:r>
      <w:r w:rsidR="001C6656" w:rsidRPr="00140ACF">
        <w:rPr>
          <w:rFonts w:ascii="Palatino Linotype" w:eastAsia="Calibri" w:hAnsi="Palatino Linotype" w:cs="Arial"/>
        </w:rPr>
        <w:t xml:space="preserve"> o los comprobantes fiscales digitales por internet por concepto de nómina.</w:t>
      </w:r>
    </w:p>
    <w:p w14:paraId="7EFC6647" w14:textId="2108C02C" w:rsidR="00914416" w:rsidRPr="00140ACF" w:rsidRDefault="001C6656" w:rsidP="001C6656">
      <w:pPr>
        <w:spacing w:before="240" w:line="360" w:lineRule="auto"/>
        <w:ind w:right="49"/>
        <w:jc w:val="both"/>
        <w:rPr>
          <w:rFonts w:ascii="Palatino Linotype" w:hAnsi="Palatino Linotype" w:cs="Arial"/>
        </w:rPr>
      </w:pPr>
      <w:r w:rsidRPr="00140ACF">
        <w:rPr>
          <w:rFonts w:ascii="Palatino Linotype" w:eastAsia="Calibri" w:hAnsi="Palatino Linotype" w:cs="Arial"/>
        </w:rPr>
        <w:t>Finalmente</w:t>
      </w:r>
      <w:r w:rsidR="00914416" w:rsidRPr="00140ACF">
        <w:rPr>
          <w:rFonts w:ascii="Palatino Linotype" w:hAnsi="Palatino Linotype"/>
        </w:rPr>
        <w:t xml:space="preserve">, es oportuno precisar que no escapa de la óptica de este Organismo Garante que la persona solicitante </w:t>
      </w:r>
      <w:r w:rsidR="00914416" w:rsidRPr="00140ACF">
        <w:rPr>
          <w:rFonts w:ascii="Palatino Linotype" w:hAnsi="Palatino Linotype" w:cs="Arial"/>
        </w:rPr>
        <w:t>fue omisa en señalar un periodo cierto o determinado sobre el cual requería la información, razón por la cual, en ejercicio de la facultad de suplencia prevista en los artículos 13</w:t>
      </w:r>
      <w:r w:rsidR="00914416" w:rsidRPr="00140ACF">
        <w:rPr>
          <w:rStyle w:val="Refdenotaalpie"/>
          <w:rFonts w:ascii="Palatino Linotype" w:hAnsi="Palatino Linotype" w:cs="Arial"/>
        </w:rPr>
        <w:footnoteReference w:id="7"/>
      </w:r>
      <w:r w:rsidR="00914416" w:rsidRPr="00140ACF">
        <w:rPr>
          <w:rFonts w:ascii="Palatino Linotype" w:hAnsi="Palatino Linotype" w:cs="Arial"/>
        </w:rPr>
        <w:t xml:space="preserve"> y 181</w:t>
      </w:r>
      <w:r w:rsidR="00914416" w:rsidRPr="00140ACF">
        <w:rPr>
          <w:rStyle w:val="Refdenotaalpie"/>
          <w:rFonts w:ascii="Palatino Linotype" w:hAnsi="Palatino Linotype" w:cs="Arial"/>
        </w:rPr>
        <w:footnoteReference w:id="8"/>
      </w:r>
      <w:r w:rsidR="00914416" w:rsidRPr="00140ACF">
        <w:rPr>
          <w:rFonts w:ascii="Palatino Linotype" w:hAnsi="Palatino Linotype" w:cs="Arial"/>
        </w:rPr>
        <w:t xml:space="preserve"> párrafo cuarto de la Ley de Transparencia y Acceso a la Información Pública del Estado de México y </w:t>
      </w:r>
      <w:r w:rsidR="00914416" w:rsidRPr="00140ACF">
        <w:rPr>
          <w:rFonts w:ascii="Palatino Linotype" w:hAnsi="Palatino Linotype" w:cs="Arial"/>
        </w:rPr>
        <w:lastRenderedPageBreak/>
        <w:t>Municipios, y atendiendo a la naturaleza de la información que se solicita, estima adecuado ordenar la entrega del soporte documental que corresponda a</w:t>
      </w:r>
      <w:r w:rsidR="00EF7BDB" w:rsidRPr="00140ACF">
        <w:rPr>
          <w:rFonts w:ascii="Palatino Linotype" w:hAnsi="Palatino Linotype" w:cs="Arial"/>
        </w:rPr>
        <w:t xml:space="preserve">l mes inmediato </w:t>
      </w:r>
      <w:r w:rsidR="00914416" w:rsidRPr="00140ACF">
        <w:rPr>
          <w:rFonts w:ascii="Palatino Linotype" w:hAnsi="Palatino Linotype" w:cs="Arial"/>
        </w:rPr>
        <w:t>anterior</w:t>
      </w:r>
      <w:r w:rsidR="00EF7BDB" w:rsidRPr="00140ACF">
        <w:rPr>
          <w:rFonts w:ascii="Palatino Linotype" w:hAnsi="Palatino Linotype" w:cs="Arial"/>
        </w:rPr>
        <w:t xml:space="preserve">, </w:t>
      </w:r>
      <w:r w:rsidR="00914416" w:rsidRPr="00140ACF">
        <w:rPr>
          <w:rFonts w:ascii="Palatino Linotype" w:hAnsi="Palatino Linotype" w:cs="Arial"/>
        </w:rPr>
        <w:t xml:space="preserve">a la presentación de la solicitud, esto es, la segunda quincena de </w:t>
      </w:r>
      <w:r w:rsidR="00EF7BDB" w:rsidRPr="00140ACF">
        <w:rPr>
          <w:rFonts w:ascii="Palatino Linotype" w:hAnsi="Palatino Linotype" w:cs="Arial"/>
        </w:rPr>
        <w:t xml:space="preserve">febrero </w:t>
      </w:r>
      <w:r w:rsidR="00914416" w:rsidRPr="00140ACF">
        <w:rPr>
          <w:rFonts w:ascii="Palatino Linotype" w:hAnsi="Palatino Linotype" w:cs="Arial"/>
        </w:rPr>
        <w:t xml:space="preserve">y primera quincena de </w:t>
      </w:r>
      <w:r w:rsidR="00EF7BDB" w:rsidRPr="00140ACF">
        <w:rPr>
          <w:rFonts w:ascii="Palatino Linotype" w:hAnsi="Palatino Linotype" w:cs="Arial"/>
        </w:rPr>
        <w:t xml:space="preserve">marzo </w:t>
      </w:r>
      <w:r w:rsidR="00914416" w:rsidRPr="00140ACF">
        <w:rPr>
          <w:rFonts w:ascii="Palatino Linotype" w:hAnsi="Palatino Linotype" w:cs="Arial"/>
        </w:rPr>
        <w:t>de dos mil veint</w:t>
      </w:r>
      <w:r w:rsidR="00EF7BDB" w:rsidRPr="00140ACF">
        <w:rPr>
          <w:rFonts w:ascii="Palatino Linotype" w:hAnsi="Palatino Linotype" w:cs="Arial"/>
        </w:rPr>
        <w:t>idós.</w:t>
      </w:r>
    </w:p>
    <w:p w14:paraId="5992FC2A" w14:textId="207A554F" w:rsidR="006069BC" w:rsidRPr="00140ACF" w:rsidRDefault="006069BC" w:rsidP="006069BC">
      <w:pPr>
        <w:spacing w:before="240" w:after="240" w:line="360" w:lineRule="auto"/>
        <w:ind w:right="51"/>
        <w:jc w:val="both"/>
        <w:rPr>
          <w:rFonts w:ascii="Palatino Linotype" w:eastAsia="Palatino Linotype" w:hAnsi="Palatino Linotype" w:cs="Palatino Linotype"/>
        </w:rPr>
      </w:pPr>
      <w:r w:rsidRPr="00140ACF">
        <w:rPr>
          <w:rFonts w:ascii="Palatino Linotype" w:eastAsia="Palatino Linotype" w:hAnsi="Palatino Linotype" w:cs="Palatino Linotype"/>
        </w:rPr>
        <w:t xml:space="preserve">De lo hasta aquí expuesto, se concluye que los motivos de inconformidad de la parte </w:t>
      </w:r>
      <w:r w:rsidRPr="00140ACF">
        <w:rPr>
          <w:rFonts w:ascii="Palatino Linotype" w:eastAsia="Palatino Linotype" w:hAnsi="Palatino Linotype" w:cs="Palatino Linotype"/>
          <w:b/>
        </w:rPr>
        <w:t xml:space="preserve">Recurrente </w:t>
      </w:r>
      <w:r w:rsidRPr="00140ACF">
        <w:rPr>
          <w:rFonts w:ascii="Palatino Linotype" w:eastAsia="Palatino Linotype" w:hAnsi="Palatino Linotype" w:cs="Palatino Linotype"/>
        </w:rPr>
        <w:t xml:space="preserve">devienen fundados, siendo procedente </w:t>
      </w:r>
      <w:r w:rsidRPr="00140ACF">
        <w:rPr>
          <w:rFonts w:ascii="Palatino Linotype" w:eastAsia="Palatino Linotype" w:hAnsi="Palatino Linotype" w:cs="Palatino Linotype"/>
          <w:i/>
          <w:iCs/>
        </w:rPr>
        <w:t>revocar</w:t>
      </w:r>
      <w:r w:rsidRPr="00140ACF">
        <w:rPr>
          <w:rFonts w:ascii="Palatino Linotype" w:eastAsia="Palatino Linotype" w:hAnsi="Palatino Linotype" w:cs="Palatino Linotype"/>
        </w:rPr>
        <w:t xml:space="preserve"> la respuesta proporcionada por el </w:t>
      </w:r>
      <w:r w:rsidRPr="00140ACF">
        <w:rPr>
          <w:rFonts w:ascii="Palatino Linotype" w:eastAsia="Palatino Linotype" w:hAnsi="Palatino Linotype" w:cs="Palatino Linotype"/>
          <w:b/>
        </w:rPr>
        <w:t xml:space="preserve">Sujeto Obligado </w:t>
      </w:r>
      <w:r w:rsidRPr="00140ACF">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3700AEDB" w14:textId="59D7CA13" w:rsidR="006069BC" w:rsidRPr="00140ACF" w:rsidRDefault="006069BC" w:rsidP="006069BC">
      <w:pPr>
        <w:tabs>
          <w:tab w:val="left" w:pos="709"/>
        </w:tabs>
        <w:spacing w:line="360" w:lineRule="auto"/>
        <w:jc w:val="both"/>
        <w:rPr>
          <w:rFonts w:ascii="Palatino Linotype" w:eastAsia="Palatino Linotype" w:hAnsi="Palatino Linotype" w:cs="Palatino Linotype"/>
        </w:rPr>
      </w:pPr>
      <w:r w:rsidRPr="00140ACF">
        <w:rPr>
          <w:rFonts w:ascii="Palatino Linotype" w:eastAsia="Palatino Linotype" w:hAnsi="Palatino Linotype" w:cs="Palatino Linotype"/>
          <w:b/>
        </w:rPr>
        <w:t xml:space="preserve">Quinto. Versión Pública. </w:t>
      </w:r>
      <w:r w:rsidRPr="00140ACF">
        <w:rPr>
          <w:rFonts w:ascii="Palatino Linotype" w:eastAsia="Palatino Linotype" w:hAnsi="Palatino Linotype" w:cs="Palatino Linotype"/>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w:t>
      </w:r>
      <w:r w:rsidRPr="00140ACF">
        <w:rPr>
          <w:rFonts w:ascii="Palatino Linotype" w:eastAsia="Palatino Linotype" w:hAnsi="Palatino Linotype" w:cs="Palatino Linotype"/>
          <w:b/>
        </w:rPr>
        <w:t>Sujeto Obligado</w:t>
      </w:r>
      <w:r w:rsidRPr="00140ACF">
        <w:rPr>
          <w:rFonts w:ascii="Palatino Linotype" w:eastAsia="Palatino Linotype" w:hAnsi="Palatino Linotype" w:cs="Palatino Linotype"/>
        </w:rPr>
        <w:t xml:space="preserve"> tendrá que hacer la elaboración de una versión pública de los documentos que vaya entregar para dar cumplimiento a esta resolución, a fin de satisfacer el derecho de acceso a la información pública de la</w:t>
      </w:r>
      <w:r w:rsidR="009C2B95" w:rsidRPr="00140ACF">
        <w:rPr>
          <w:rFonts w:ascii="Palatino Linotype" w:eastAsia="Palatino Linotype" w:hAnsi="Palatino Linotype" w:cs="Palatino Linotype"/>
        </w:rPr>
        <w:t xml:space="preserve"> parte</w:t>
      </w:r>
      <w:r w:rsidRPr="00140ACF">
        <w:rPr>
          <w:rFonts w:ascii="Palatino Linotype" w:eastAsia="Palatino Linotype" w:hAnsi="Palatino Linotype" w:cs="Palatino Linotype"/>
        </w:rPr>
        <w:t xml:space="preserve"> recurrente sin menoscabar el derecho a la protección de los datos personales de terceros, lo anterior, de conformidad a lo que señalan los artículos 3, fracciones IX, XX, XXXII, XLV; 6, 137 y 143 fracción I, de la Ley de Transparencia y Acceso a la Información Pública del Estado de México y Municipios vigente, los cuales establecen lo siguiente:</w:t>
      </w:r>
    </w:p>
    <w:p w14:paraId="3040DAA8" w14:textId="77777777" w:rsidR="006069BC" w:rsidRPr="00140ACF" w:rsidRDefault="006069BC" w:rsidP="006069BC">
      <w:pPr>
        <w:tabs>
          <w:tab w:val="left" w:pos="709"/>
        </w:tabs>
        <w:spacing w:before="120" w:after="120"/>
        <w:ind w:left="851" w:right="902"/>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i/>
          <w:sz w:val="22"/>
          <w:szCs w:val="22"/>
        </w:rPr>
        <w:t>“</w:t>
      </w:r>
      <w:r w:rsidRPr="00140ACF">
        <w:rPr>
          <w:rFonts w:ascii="Palatino Linotype" w:eastAsia="Palatino Linotype" w:hAnsi="Palatino Linotype" w:cs="Palatino Linotype"/>
          <w:b/>
          <w:i/>
          <w:sz w:val="22"/>
          <w:szCs w:val="22"/>
        </w:rPr>
        <w:t>Artículo 3.</w:t>
      </w:r>
      <w:r w:rsidRPr="00140ACF">
        <w:rPr>
          <w:rFonts w:ascii="Palatino Linotype" w:eastAsia="Palatino Linotype" w:hAnsi="Palatino Linotype" w:cs="Palatino Linotype"/>
          <w:i/>
          <w:sz w:val="22"/>
          <w:szCs w:val="22"/>
        </w:rPr>
        <w:t xml:space="preserve"> Para los efectos de la presente Ley se entenderá por:…</w:t>
      </w:r>
    </w:p>
    <w:p w14:paraId="4311235E" w14:textId="77777777" w:rsidR="006069BC" w:rsidRPr="00140ACF" w:rsidRDefault="006069BC" w:rsidP="006069BC">
      <w:pPr>
        <w:tabs>
          <w:tab w:val="left" w:pos="709"/>
        </w:tabs>
        <w:spacing w:before="120" w:after="120"/>
        <w:ind w:left="851" w:right="902"/>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b/>
          <w:i/>
          <w:sz w:val="22"/>
          <w:szCs w:val="22"/>
        </w:rPr>
        <w:lastRenderedPageBreak/>
        <w:t>XX.</w:t>
      </w:r>
      <w:r w:rsidRPr="00140ACF">
        <w:rPr>
          <w:rFonts w:ascii="Palatino Linotype" w:eastAsia="Palatino Linotype" w:hAnsi="Palatino Linotype" w:cs="Palatino Linotype"/>
          <w:i/>
          <w:sz w:val="22"/>
          <w:szCs w:val="22"/>
        </w:rPr>
        <w:t xml:space="preserve"> Información clasificada: Aquella considerada por la presente Ley como reservada o confidencial; </w:t>
      </w:r>
    </w:p>
    <w:p w14:paraId="038699CE" w14:textId="77777777" w:rsidR="006069BC" w:rsidRPr="00140ACF" w:rsidRDefault="006069BC" w:rsidP="006069BC">
      <w:pPr>
        <w:tabs>
          <w:tab w:val="left" w:pos="709"/>
        </w:tabs>
        <w:spacing w:before="120" w:after="120"/>
        <w:ind w:left="851" w:right="902"/>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b/>
          <w:i/>
          <w:sz w:val="22"/>
          <w:szCs w:val="22"/>
        </w:rPr>
        <w:t>XXI.</w:t>
      </w:r>
      <w:r w:rsidRPr="00140ACF">
        <w:rPr>
          <w:rFonts w:ascii="Palatino Linotype" w:eastAsia="Palatino Linotype" w:hAnsi="Palatino Linotype" w:cs="Palatino Linotype"/>
          <w:i/>
          <w:sz w:val="22"/>
          <w:szCs w:val="22"/>
        </w:rPr>
        <w:t xml:space="preserve">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DC72058" w14:textId="77777777" w:rsidR="006069BC" w:rsidRPr="00140ACF" w:rsidRDefault="006069BC" w:rsidP="006069BC">
      <w:pPr>
        <w:tabs>
          <w:tab w:val="left" w:pos="709"/>
        </w:tabs>
        <w:spacing w:before="120" w:after="120"/>
        <w:ind w:left="851" w:right="902"/>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i/>
          <w:sz w:val="22"/>
          <w:szCs w:val="22"/>
        </w:rPr>
        <w:t>…</w:t>
      </w:r>
    </w:p>
    <w:p w14:paraId="3B30A5C3" w14:textId="77777777" w:rsidR="006069BC" w:rsidRPr="00140ACF" w:rsidRDefault="006069BC" w:rsidP="006069BC">
      <w:pPr>
        <w:tabs>
          <w:tab w:val="left" w:pos="709"/>
        </w:tabs>
        <w:spacing w:before="120" w:after="120"/>
        <w:ind w:left="851" w:right="902"/>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b/>
          <w:i/>
          <w:sz w:val="22"/>
          <w:szCs w:val="22"/>
        </w:rPr>
        <w:t>XXXIV</w:t>
      </w:r>
      <w:r w:rsidRPr="00140ACF">
        <w:rPr>
          <w:rFonts w:ascii="Palatino Linotype" w:eastAsia="Palatino Linotype" w:hAnsi="Palatino Linotype" w:cs="Palatino Linotype"/>
          <w:i/>
          <w:sz w:val="22"/>
          <w:szCs w:val="22"/>
        </w:rPr>
        <w:t>. Prueba de interés público: Es el proceso de ponderación entre el beneficio que reporta dar a conocer la información confidencial solicitada contra el daño que su divulgación genera en los derechos de las personas, llevado a cabo por el Instituto en el ámbito de sus respectivas competencias</w:t>
      </w:r>
    </w:p>
    <w:p w14:paraId="545402DB" w14:textId="77777777" w:rsidR="006069BC" w:rsidRPr="00140ACF" w:rsidRDefault="006069BC" w:rsidP="006069BC">
      <w:pPr>
        <w:tabs>
          <w:tab w:val="left" w:pos="709"/>
        </w:tabs>
        <w:spacing w:before="120" w:after="120"/>
        <w:ind w:left="851" w:right="902"/>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i/>
          <w:sz w:val="22"/>
          <w:szCs w:val="22"/>
        </w:rPr>
        <w:t>…</w:t>
      </w:r>
    </w:p>
    <w:p w14:paraId="35FE5D4E" w14:textId="77777777" w:rsidR="006069BC" w:rsidRPr="00140ACF" w:rsidRDefault="006069BC" w:rsidP="006069BC">
      <w:pPr>
        <w:tabs>
          <w:tab w:val="left" w:pos="709"/>
        </w:tabs>
        <w:spacing w:before="120" w:after="120"/>
        <w:ind w:left="851" w:right="902"/>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b/>
          <w:i/>
          <w:sz w:val="22"/>
          <w:szCs w:val="22"/>
        </w:rPr>
        <w:t>XLV.</w:t>
      </w:r>
      <w:r w:rsidRPr="00140ACF">
        <w:rPr>
          <w:rFonts w:ascii="Palatino Linotype" w:eastAsia="Palatino Linotype" w:hAnsi="Palatino Linotype" w:cs="Palatino Linotype"/>
          <w:i/>
          <w:sz w:val="22"/>
          <w:szCs w:val="22"/>
        </w:rPr>
        <w:t xml:space="preserve"> Versión pública: Documento en el que se elimine, suprime o borra la información clasificada como reservada o confidencial para permitir su acceso</w:t>
      </w:r>
    </w:p>
    <w:p w14:paraId="7A4E59B1" w14:textId="77777777" w:rsidR="006069BC" w:rsidRPr="00140ACF" w:rsidRDefault="006069BC" w:rsidP="006069BC">
      <w:pPr>
        <w:tabs>
          <w:tab w:val="left" w:pos="709"/>
        </w:tabs>
        <w:spacing w:before="120" w:after="120"/>
        <w:ind w:left="851" w:right="902"/>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b/>
          <w:i/>
          <w:sz w:val="22"/>
          <w:szCs w:val="22"/>
        </w:rPr>
        <w:t>Artículo 91.</w:t>
      </w:r>
      <w:r w:rsidRPr="00140ACF">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2AD3CBC5" w14:textId="77777777" w:rsidR="006069BC" w:rsidRPr="00140ACF" w:rsidRDefault="006069BC" w:rsidP="006069BC">
      <w:pPr>
        <w:tabs>
          <w:tab w:val="left" w:pos="709"/>
        </w:tabs>
        <w:spacing w:before="120" w:after="120"/>
        <w:ind w:left="851" w:right="902"/>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b/>
          <w:i/>
          <w:sz w:val="22"/>
          <w:szCs w:val="22"/>
        </w:rPr>
        <w:t>Artículo 122.</w:t>
      </w:r>
      <w:r w:rsidRPr="00140ACF">
        <w:rPr>
          <w:rFonts w:ascii="Palatino Linotype" w:eastAsia="Palatino Linotype" w:hAnsi="Palatino Linotype" w:cs="Palatino Linotype"/>
          <w:i/>
          <w:sz w:val="22"/>
          <w:szCs w:val="22"/>
        </w:rPr>
        <w:t xml:space="preserve"> La clasificación es el proceso mediante el cual el sujeto obligado determina que la información en su poder </w:t>
      </w:r>
      <w:proofErr w:type="spellStart"/>
      <w:r w:rsidRPr="00140ACF">
        <w:rPr>
          <w:rFonts w:ascii="Palatino Linotype" w:eastAsia="Palatino Linotype" w:hAnsi="Palatino Linotype" w:cs="Palatino Linotype"/>
          <w:i/>
          <w:sz w:val="22"/>
          <w:szCs w:val="22"/>
        </w:rPr>
        <w:t>actualiza</w:t>
      </w:r>
      <w:proofErr w:type="spellEnd"/>
      <w:r w:rsidRPr="00140ACF">
        <w:rPr>
          <w:rFonts w:ascii="Palatino Linotype" w:eastAsia="Palatino Linotype" w:hAnsi="Palatino Linotype" w:cs="Palatino Linotype"/>
          <w:i/>
          <w:sz w:val="22"/>
          <w:szCs w:val="22"/>
        </w:rPr>
        <w:t xml:space="preserve"> alguno de los supuestos de reserva o confidencialidad, de conformidad con lo dispuesto en el presente título.</w:t>
      </w:r>
    </w:p>
    <w:p w14:paraId="1A3D10C5" w14:textId="77777777" w:rsidR="006069BC" w:rsidRPr="00140ACF" w:rsidRDefault="006069BC" w:rsidP="006069BC">
      <w:pPr>
        <w:tabs>
          <w:tab w:val="left" w:pos="709"/>
        </w:tabs>
        <w:spacing w:before="120" w:after="120"/>
        <w:ind w:left="851" w:right="902"/>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i/>
          <w:sz w:val="22"/>
          <w:szCs w:val="22"/>
        </w:rPr>
        <w:t>Los supuestos de reserva o confidencialidad previstos en las leyes deberán ser acordes con las bases, principios y disposiciones establecidos en la Ley General y, en ningún caso, podrán contravenirla.</w:t>
      </w:r>
    </w:p>
    <w:p w14:paraId="33B924FE" w14:textId="77777777" w:rsidR="006069BC" w:rsidRPr="00140ACF" w:rsidRDefault="006069BC" w:rsidP="006069BC">
      <w:pPr>
        <w:tabs>
          <w:tab w:val="left" w:pos="709"/>
        </w:tabs>
        <w:spacing w:before="120" w:after="120"/>
        <w:ind w:left="851" w:right="902"/>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i/>
          <w:sz w:val="22"/>
          <w:szCs w:val="22"/>
        </w:rPr>
        <w:t>Los titulares de las áreas de los sujetos obligados serán los responsables de clasificar la información, de conformidad con lo dispuesto en la presente Ley y demás disposiciones jurídicas aplicables</w:t>
      </w:r>
    </w:p>
    <w:p w14:paraId="60CCEC6D" w14:textId="77777777" w:rsidR="006069BC" w:rsidRPr="00140ACF" w:rsidRDefault="006069BC" w:rsidP="006069BC">
      <w:pPr>
        <w:tabs>
          <w:tab w:val="left" w:pos="709"/>
        </w:tabs>
        <w:spacing w:before="120" w:after="120"/>
        <w:ind w:left="851" w:right="902"/>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b/>
          <w:i/>
          <w:sz w:val="22"/>
          <w:szCs w:val="22"/>
        </w:rPr>
        <w:t>Artículo 135.</w:t>
      </w:r>
      <w:r w:rsidRPr="00140ACF">
        <w:rPr>
          <w:rFonts w:ascii="Palatino Linotype" w:eastAsia="Palatino Linotype" w:hAnsi="Palatino Linotype" w:cs="Palatino Linotype"/>
          <w:i/>
          <w:sz w:val="22"/>
          <w:szCs w:val="22"/>
        </w:rPr>
        <w:t xml:space="preserve"> Los lineamientos generales que se emitan al respecto en materia de clasificación de la información reservada y confidencial y, para la elaboración de versiones públicas, serán de observancia obligatoria para los sujetos obligados.</w:t>
      </w:r>
    </w:p>
    <w:p w14:paraId="30970EBB" w14:textId="77777777" w:rsidR="006069BC" w:rsidRPr="00140ACF" w:rsidRDefault="006069BC" w:rsidP="006069BC">
      <w:pPr>
        <w:tabs>
          <w:tab w:val="left" w:pos="709"/>
        </w:tabs>
        <w:spacing w:before="120" w:after="120"/>
        <w:ind w:left="851" w:right="902"/>
        <w:jc w:val="both"/>
        <w:rPr>
          <w:rFonts w:ascii="Palatino Linotype" w:eastAsia="Palatino Linotype" w:hAnsi="Palatino Linotype" w:cs="Palatino Linotype"/>
          <w:b/>
          <w:i/>
          <w:sz w:val="22"/>
          <w:szCs w:val="22"/>
        </w:rPr>
      </w:pPr>
      <w:r w:rsidRPr="00140ACF">
        <w:rPr>
          <w:rFonts w:ascii="Palatino Linotype" w:eastAsia="Palatino Linotype" w:hAnsi="Palatino Linotype" w:cs="Palatino Linotype"/>
          <w:b/>
          <w:i/>
          <w:sz w:val="22"/>
          <w:szCs w:val="22"/>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E1CDC73" w14:textId="77777777" w:rsidR="006069BC" w:rsidRPr="00140ACF" w:rsidRDefault="006069BC" w:rsidP="006069BC">
      <w:pPr>
        <w:tabs>
          <w:tab w:val="left" w:pos="709"/>
        </w:tabs>
        <w:spacing w:before="120" w:after="120"/>
        <w:ind w:left="851" w:right="902"/>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b/>
          <w:i/>
          <w:sz w:val="22"/>
          <w:szCs w:val="22"/>
        </w:rPr>
        <w:lastRenderedPageBreak/>
        <w:t>Artículo 143</w:t>
      </w:r>
      <w:r w:rsidRPr="00140ACF">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2441EA51" w14:textId="77777777" w:rsidR="006069BC" w:rsidRPr="00140ACF" w:rsidRDefault="006069BC" w:rsidP="006069BC">
      <w:pPr>
        <w:tabs>
          <w:tab w:val="left" w:pos="709"/>
        </w:tabs>
        <w:spacing w:before="120" w:after="120"/>
        <w:ind w:left="851" w:right="902"/>
        <w:jc w:val="both"/>
        <w:rPr>
          <w:rFonts w:ascii="Palatino Linotype" w:eastAsia="Palatino Linotype" w:hAnsi="Palatino Linotype" w:cs="Palatino Linotype"/>
          <w:b/>
          <w:i/>
          <w:sz w:val="22"/>
          <w:szCs w:val="22"/>
        </w:rPr>
      </w:pPr>
      <w:r w:rsidRPr="00140ACF">
        <w:rPr>
          <w:rFonts w:ascii="Palatino Linotype" w:eastAsia="Palatino Linotype" w:hAnsi="Palatino Linotype" w:cs="Palatino Linotype"/>
          <w:b/>
          <w:i/>
          <w:sz w:val="22"/>
          <w:szCs w:val="22"/>
        </w:rPr>
        <w:t xml:space="preserve">I. Se refiera a la información privada y los datos personales concernientes a una persona física o jurídica colectiva identificada o identificable; </w:t>
      </w:r>
    </w:p>
    <w:p w14:paraId="0FC6E44B" w14:textId="77777777" w:rsidR="006069BC" w:rsidRPr="00140ACF" w:rsidRDefault="006069BC" w:rsidP="006069BC">
      <w:pPr>
        <w:tabs>
          <w:tab w:val="left" w:pos="709"/>
        </w:tabs>
        <w:spacing w:before="120" w:after="120"/>
        <w:ind w:left="851" w:right="902"/>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b/>
          <w:i/>
          <w:sz w:val="22"/>
          <w:szCs w:val="22"/>
        </w:rPr>
        <w:t>II.</w:t>
      </w:r>
      <w:r w:rsidRPr="00140ACF">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 </w:t>
      </w:r>
    </w:p>
    <w:p w14:paraId="5C30D3EE" w14:textId="77777777" w:rsidR="006069BC" w:rsidRPr="00140ACF" w:rsidRDefault="006069BC" w:rsidP="006069BC">
      <w:pPr>
        <w:tabs>
          <w:tab w:val="left" w:pos="709"/>
        </w:tabs>
        <w:spacing w:before="120" w:after="120"/>
        <w:ind w:left="851" w:right="902"/>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b/>
          <w:i/>
          <w:sz w:val="22"/>
          <w:szCs w:val="22"/>
        </w:rPr>
        <w:t>III.</w:t>
      </w:r>
      <w:r w:rsidRPr="00140ACF">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14:paraId="583F44A0" w14:textId="77777777" w:rsidR="006069BC" w:rsidRPr="00140ACF" w:rsidRDefault="006069BC" w:rsidP="006069BC">
      <w:pPr>
        <w:tabs>
          <w:tab w:val="left" w:pos="709"/>
        </w:tabs>
        <w:spacing w:before="120" w:after="120"/>
        <w:ind w:left="851" w:right="902"/>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0E388EF0" w14:textId="77777777" w:rsidR="006069BC" w:rsidRPr="00140ACF" w:rsidRDefault="006069BC" w:rsidP="006069BC">
      <w:pPr>
        <w:tabs>
          <w:tab w:val="left" w:pos="709"/>
        </w:tabs>
        <w:spacing w:before="120" w:after="120"/>
        <w:ind w:left="851" w:right="902"/>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2AD03460" w14:textId="77777777" w:rsidR="006069BC" w:rsidRPr="00140ACF" w:rsidRDefault="006069BC" w:rsidP="006069BC">
      <w:pPr>
        <w:tabs>
          <w:tab w:val="left" w:pos="709"/>
        </w:tabs>
        <w:spacing w:before="120" w:after="120"/>
        <w:ind w:left="851" w:right="902"/>
        <w:jc w:val="both"/>
        <w:rPr>
          <w:rFonts w:ascii="Palatino Linotype" w:eastAsia="Palatino Linotype" w:hAnsi="Palatino Linotype" w:cs="Palatino Linotype"/>
          <w:b/>
          <w:i/>
          <w:sz w:val="22"/>
          <w:szCs w:val="22"/>
        </w:rPr>
      </w:pPr>
      <w:r w:rsidRPr="00140ACF">
        <w:rPr>
          <w:rFonts w:ascii="Palatino Linotype" w:eastAsia="Palatino Linotype" w:hAnsi="Palatino Linotype" w:cs="Palatino Linotype"/>
          <w:b/>
          <w:i/>
          <w:sz w:val="22"/>
          <w:szCs w:val="22"/>
        </w:rPr>
        <w:t>Artículo 147. Para que los sujetos obligados puedan permitir el acceso a información confidencial requieren obtener el consentimiento de los particulares titulares de la información.</w:t>
      </w:r>
    </w:p>
    <w:p w14:paraId="107620A4" w14:textId="77777777" w:rsidR="006069BC" w:rsidRPr="00140ACF" w:rsidRDefault="006069BC" w:rsidP="006069BC">
      <w:pPr>
        <w:tabs>
          <w:tab w:val="left" w:pos="709"/>
        </w:tabs>
        <w:spacing w:before="120" w:after="120"/>
        <w:ind w:left="851" w:right="902"/>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b/>
          <w:i/>
          <w:sz w:val="22"/>
          <w:szCs w:val="22"/>
        </w:rPr>
        <w:t>Artículo 148.</w:t>
      </w:r>
      <w:r w:rsidRPr="00140ACF">
        <w:rPr>
          <w:rFonts w:ascii="Palatino Linotype" w:eastAsia="Palatino Linotype" w:hAnsi="Palatino Linotype" w:cs="Palatino Linotype"/>
          <w:i/>
          <w:sz w:val="22"/>
          <w:szCs w:val="22"/>
        </w:rPr>
        <w:t xml:space="preserve"> No se requerirá el consentimiento del titular de la información confidencial cuando:</w:t>
      </w:r>
    </w:p>
    <w:p w14:paraId="1ECEFE49" w14:textId="77777777" w:rsidR="006069BC" w:rsidRPr="00140ACF" w:rsidRDefault="006069BC" w:rsidP="006069BC">
      <w:pPr>
        <w:tabs>
          <w:tab w:val="left" w:pos="709"/>
        </w:tabs>
        <w:spacing w:before="120" w:after="120"/>
        <w:ind w:left="851" w:right="902"/>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b/>
          <w:i/>
          <w:sz w:val="22"/>
          <w:szCs w:val="22"/>
        </w:rPr>
        <w:t>I.</w:t>
      </w:r>
      <w:r w:rsidRPr="00140ACF">
        <w:rPr>
          <w:rFonts w:ascii="Palatino Linotype" w:eastAsia="Palatino Linotype" w:hAnsi="Palatino Linotype" w:cs="Palatino Linotype"/>
          <w:i/>
          <w:sz w:val="22"/>
          <w:szCs w:val="22"/>
        </w:rPr>
        <w:t xml:space="preserve"> La información se encuentre en registros públicos o fuentes de acceso público;</w:t>
      </w:r>
    </w:p>
    <w:p w14:paraId="05FDEDAC" w14:textId="77777777" w:rsidR="006069BC" w:rsidRPr="00140ACF" w:rsidRDefault="006069BC" w:rsidP="006069BC">
      <w:pPr>
        <w:tabs>
          <w:tab w:val="left" w:pos="709"/>
        </w:tabs>
        <w:spacing w:before="120" w:after="120"/>
        <w:ind w:left="851" w:right="902"/>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b/>
          <w:i/>
          <w:sz w:val="22"/>
          <w:szCs w:val="22"/>
        </w:rPr>
        <w:t>II.</w:t>
      </w:r>
      <w:r w:rsidRPr="00140ACF">
        <w:rPr>
          <w:rFonts w:ascii="Palatino Linotype" w:eastAsia="Palatino Linotype" w:hAnsi="Palatino Linotype" w:cs="Palatino Linotype"/>
          <w:i/>
          <w:sz w:val="22"/>
          <w:szCs w:val="22"/>
        </w:rPr>
        <w:t xml:space="preserve"> Por Ley tenga el carácter de pública;</w:t>
      </w:r>
    </w:p>
    <w:p w14:paraId="799386F8" w14:textId="77777777" w:rsidR="006069BC" w:rsidRPr="00140ACF" w:rsidRDefault="006069BC" w:rsidP="006069BC">
      <w:pPr>
        <w:tabs>
          <w:tab w:val="left" w:pos="709"/>
        </w:tabs>
        <w:spacing w:before="120" w:after="120"/>
        <w:ind w:left="851" w:right="902"/>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b/>
          <w:i/>
          <w:sz w:val="22"/>
          <w:szCs w:val="22"/>
        </w:rPr>
        <w:t>III</w:t>
      </w:r>
      <w:r w:rsidRPr="00140ACF">
        <w:rPr>
          <w:rFonts w:ascii="Palatino Linotype" w:eastAsia="Palatino Linotype" w:hAnsi="Palatino Linotype" w:cs="Palatino Linotype"/>
          <w:i/>
          <w:sz w:val="22"/>
          <w:szCs w:val="22"/>
        </w:rPr>
        <w:t>. Exista una orden judicial;</w:t>
      </w:r>
    </w:p>
    <w:p w14:paraId="2BADCDBC" w14:textId="77777777" w:rsidR="006069BC" w:rsidRPr="00140ACF" w:rsidRDefault="006069BC" w:rsidP="006069BC">
      <w:pPr>
        <w:tabs>
          <w:tab w:val="left" w:pos="709"/>
        </w:tabs>
        <w:spacing w:before="120" w:after="120"/>
        <w:ind w:left="851" w:right="902"/>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b/>
          <w:i/>
          <w:sz w:val="22"/>
          <w:szCs w:val="22"/>
        </w:rPr>
        <w:t>IV.</w:t>
      </w:r>
      <w:r w:rsidRPr="00140ACF">
        <w:rPr>
          <w:rFonts w:ascii="Palatino Linotype" w:eastAsia="Palatino Linotype" w:hAnsi="Palatino Linotype" w:cs="Palatino Linotype"/>
          <w:i/>
          <w:sz w:val="22"/>
          <w:szCs w:val="22"/>
        </w:rPr>
        <w:t xml:space="preserve"> Por razones de seguridad pública, o para proteger los derechos de terceros, se requiera su publicación; o</w:t>
      </w:r>
    </w:p>
    <w:p w14:paraId="45BA5FAA" w14:textId="77777777" w:rsidR="006069BC" w:rsidRPr="00140ACF" w:rsidRDefault="006069BC" w:rsidP="006069BC">
      <w:pPr>
        <w:tabs>
          <w:tab w:val="left" w:pos="709"/>
        </w:tabs>
        <w:spacing w:before="120" w:after="120"/>
        <w:ind w:left="851" w:right="902"/>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b/>
          <w:i/>
          <w:sz w:val="22"/>
          <w:szCs w:val="22"/>
        </w:rPr>
        <w:t>V.</w:t>
      </w:r>
      <w:r w:rsidRPr="00140ACF">
        <w:rPr>
          <w:rFonts w:ascii="Palatino Linotype" w:eastAsia="Palatino Linotype" w:hAnsi="Palatino Linotype" w:cs="Palatino Linotype"/>
          <w:i/>
          <w:sz w:val="22"/>
          <w:szCs w:val="22"/>
        </w:rPr>
        <w:t xml:space="preserve"> Cuando se transmita entre sujetos obligados y entre éstos y los sujetos de derecho internacional, en términos de los tratados y los acuerdos interinstitucionales, siempre y cuando la información se utilice para el ejercicio de facultades propias de los mismos. Para efectos de la fracción I del presente artículo, deberá sujetarse a lo previsto en las disposiciones jurídicas aplicables.</w:t>
      </w:r>
    </w:p>
    <w:p w14:paraId="19F4E9B5" w14:textId="77777777" w:rsidR="006069BC" w:rsidRPr="00140ACF" w:rsidRDefault="006069BC" w:rsidP="006069BC">
      <w:pPr>
        <w:tabs>
          <w:tab w:val="left" w:pos="709"/>
        </w:tabs>
        <w:spacing w:before="120" w:after="120"/>
        <w:ind w:left="851" w:right="902"/>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i/>
          <w:sz w:val="22"/>
          <w:szCs w:val="22"/>
        </w:rPr>
        <w:t xml:space="preserve">Para efectos de la fracción IV del presente artículo, el Instituto deberá aplicar la prueba de interés público. Además, se deberá corroborar una conexión patente entre la información confidencial y un tema de interés público y la </w:t>
      </w:r>
      <w:r w:rsidRPr="00140ACF">
        <w:rPr>
          <w:rFonts w:ascii="Palatino Linotype" w:eastAsia="Palatino Linotype" w:hAnsi="Palatino Linotype" w:cs="Palatino Linotype"/>
          <w:i/>
          <w:sz w:val="22"/>
          <w:szCs w:val="22"/>
        </w:rPr>
        <w:lastRenderedPageBreak/>
        <w:t xml:space="preserve">proporcionalidad entre la invasión a la intimidad ocasionada por la divulgación de la información confidencial y el interés público de la información. </w:t>
      </w:r>
    </w:p>
    <w:p w14:paraId="63B67C46" w14:textId="77777777" w:rsidR="006069BC" w:rsidRPr="00140ACF" w:rsidRDefault="006069BC" w:rsidP="006069BC">
      <w:pPr>
        <w:tabs>
          <w:tab w:val="left" w:pos="709"/>
        </w:tabs>
        <w:spacing w:before="120" w:after="120"/>
        <w:ind w:left="851" w:right="902"/>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b/>
          <w:i/>
          <w:sz w:val="22"/>
          <w:szCs w:val="22"/>
        </w:rPr>
        <w:t>Artículo 149.</w:t>
      </w:r>
      <w:r w:rsidRPr="00140ACF">
        <w:rPr>
          <w:rFonts w:ascii="Palatino Linotype" w:eastAsia="Palatino Linotype" w:hAnsi="Palatino Linotype" w:cs="Palatino Linotype"/>
          <w:i/>
          <w:sz w:val="22"/>
          <w:szCs w:val="22"/>
        </w:rPr>
        <w:t xml:space="preserve"> El acuerdo que clasifique la información como confidencial deberá contener un razonamiento lógico en el que demuestre que la información se encuentra en alguna o algunas de las hipótesis previstas en la presente Ley.” (Sic)</w:t>
      </w:r>
    </w:p>
    <w:p w14:paraId="6ACA7A1F" w14:textId="77777777" w:rsidR="006069BC" w:rsidRPr="00140ACF" w:rsidRDefault="006069BC" w:rsidP="006069BC">
      <w:pPr>
        <w:spacing w:before="240" w:after="240" w:line="360" w:lineRule="auto"/>
        <w:jc w:val="both"/>
        <w:rPr>
          <w:rFonts w:ascii="Palatino Linotype" w:eastAsia="Palatino Linotype" w:hAnsi="Palatino Linotype" w:cs="Palatino Linotype"/>
        </w:rPr>
      </w:pPr>
      <w:r w:rsidRPr="00140ACF">
        <w:rPr>
          <w:rFonts w:ascii="Palatino Linotype" w:eastAsia="Palatino Linotype" w:hAnsi="Palatino Linotype" w:cs="Palatino Linotype"/>
        </w:rPr>
        <w:t>De los artículos transcritos anteriormente, se observan las excepciones que tiene el derecho de acceso a la información pública, respecto a algunos tipos de información, lo cual restringe su acceso, precisándose de manera clara las hipótesis que dan lugar a clasificar la información, la cual puede ser de dos maneras: Reservada o Confidencial.</w:t>
      </w:r>
    </w:p>
    <w:p w14:paraId="74BBD84A" w14:textId="77777777" w:rsidR="006069BC" w:rsidRPr="00140ACF" w:rsidRDefault="006069BC" w:rsidP="006069BC">
      <w:pPr>
        <w:spacing w:before="240" w:after="240" w:line="360" w:lineRule="auto"/>
        <w:jc w:val="both"/>
        <w:rPr>
          <w:rFonts w:ascii="Palatino Linotype" w:eastAsia="Palatino Linotype" w:hAnsi="Palatino Linotype" w:cs="Palatino Linotype"/>
        </w:rPr>
      </w:pPr>
      <w:r w:rsidRPr="00140ACF">
        <w:rPr>
          <w:rFonts w:ascii="Palatino Linotype" w:eastAsia="Palatino Linotype" w:hAnsi="Palatino Linotype" w:cs="Palatino Linotype"/>
        </w:rPr>
        <w:t>En otras palabras, la información confidencial será cuando por su naturaleza, contenga datos personales concernientes a una persona física o jurídico colectiva identificada o identificable, los secretos bancario, fiduciario, industrial, comercial, fiscal, bursátil y postal, cuya titularidad corresponda a particulares, sujetos de derecho internacional o a Sujetos Obligados cuando no involucren el ejercicio de recursos públicos y la que presenten los particulares a los Sujetos Obligados, de conformidad con lo dispuesto por las leyes o los tratados internacionales.</w:t>
      </w:r>
    </w:p>
    <w:p w14:paraId="656597C6" w14:textId="77777777" w:rsidR="006069BC" w:rsidRPr="00140ACF" w:rsidRDefault="006069BC" w:rsidP="006069BC">
      <w:pPr>
        <w:spacing w:line="360" w:lineRule="auto"/>
        <w:jc w:val="both"/>
        <w:rPr>
          <w:rFonts w:ascii="Palatino Linotype" w:eastAsia="Palatino Linotype" w:hAnsi="Palatino Linotype" w:cs="Palatino Linotype"/>
        </w:rPr>
      </w:pPr>
      <w:r w:rsidRPr="00140ACF">
        <w:rPr>
          <w:rFonts w:ascii="Palatino Linotype" w:eastAsia="Palatino Linotype" w:hAnsi="Palatino Linotype" w:cs="Palatino Linotype"/>
        </w:rPr>
        <w:t>De igual forma, para el caso de la información confidencial se aprecia, que se establece un procedimiento para clasificar la información como confidencial, mediante el cual se fundamentará y motivará la necesidad de clasificar la información, en el que se precisen los motivos que obliguen a la clasificación; lo que se consolida con lo señalado por el artículo 168 de la Ley en la Materia, que señala:</w:t>
      </w:r>
    </w:p>
    <w:p w14:paraId="057C81BE" w14:textId="77777777" w:rsidR="006069BC" w:rsidRPr="00140ACF" w:rsidRDefault="006069BC" w:rsidP="006069BC">
      <w:pPr>
        <w:spacing w:before="120" w:after="120"/>
        <w:ind w:left="851" w:right="902"/>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i/>
          <w:sz w:val="22"/>
          <w:szCs w:val="22"/>
        </w:rPr>
        <w:t>“</w:t>
      </w:r>
      <w:r w:rsidRPr="00140ACF">
        <w:rPr>
          <w:rFonts w:ascii="Palatino Linotype" w:eastAsia="Palatino Linotype" w:hAnsi="Palatino Linotype" w:cs="Palatino Linotype"/>
          <w:b/>
          <w:i/>
          <w:sz w:val="22"/>
          <w:szCs w:val="22"/>
        </w:rPr>
        <w:t>Artículo 168</w:t>
      </w:r>
      <w:r w:rsidRPr="00140ACF">
        <w:rPr>
          <w:rFonts w:ascii="Palatino Linotype" w:eastAsia="Palatino Linotype" w:hAnsi="Palatino Linotype" w:cs="Palatino Linotype"/>
          <w:i/>
          <w:sz w:val="22"/>
          <w:szCs w:val="22"/>
        </w:rPr>
        <w:t>. En caso de que los sujetos obligados consideren que los documentos o la información deban ser clasificados, se sujetará a lo siguiente:</w:t>
      </w:r>
    </w:p>
    <w:p w14:paraId="1489FE56" w14:textId="77777777" w:rsidR="006069BC" w:rsidRPr="00140ACF" w:rsidRDefault="006069BC" w:rsidP="006069BC">
      <w:pPr>
        <w:spacing w:before="120" w:after="120"/>
        <w:ind w:left="1134" w:right="902"/>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b/>
          <w:i/>
          <w:sz w:val="22"/>
          <w:szCs w:val="22"/>
        </w:rPr>
        <w:lastRenderedPageBreak/>
        <w:t>I.</w:t>
      </w:r>
      <w:r w:rsidRPr="00140ACF">
        <w:rPr>
          <w:rFonts w:ascii="Palatino Linotype" w:eastAsia="Palatino Linotype" w:hAnsi="Palatino Linotype" w:cs="Palatino Linotype"/>
          <w:i/>
          <w:sz w:val="22"/>
          <w:szCs w:val="22"/>
        </w:rPr>
        <w:t xml:space="preserve"> El Área deberá remitir la solicitud, así como un escrito en el que </w:t>
      </w:r>
      <w:r w:rsidRPr="00140ACF">
        <w:rPr>
          <w:rFonts w:ascii="Palatino Linotype" w:eastAsia="Palatino Linotype" w:hAnsi="Palatino Linotype" w:cs="Palatino Linotype"/>
          <w:b/>
          <w:i/>
          <w:sz w:val="22"/>
          <w:szCs w:val="22"/>
        </w:rPr>
        <w:t>funde y motive la clasificación al Comité de Transparencia</w:t>
      </w:r>
      <w:r w:rsidRPr="00140ACF">
        <w:rPr>
          <w:rFonts w:ascii="Palatino Linotype" w:eastAsia="Palatino Linotype" w:hAnsi="Palatino Linotype" w:cs="Palatino Linotype"/>
          <w:i/>
          <w:sz w:val="22"/>
          <w:szCs w:val="22"/>
        </w:rPr>
        <w:t>, mismo que deberá resolver para:</w:t>
      </w:r>
    </w:p>
    <w:p w14:paraId="0CEEF872" w14:textId="77777777" w:rsidR="006069BC" w:rsidRPr="00140ACF" w:rsidRDefault="006069BC" w:rsidP="006069BC">
      <w:pPr>
        <w:spacing w:before="120" w:after="120"/>
        <w:ind w:left="1418" w:right="902"/>
        <w:jc w:val="both"/>
        <w:rPr>
          <w:rFonts w:ascii="Palatino Linotype" w:eastAsia="Palatino Linotype" w:hAnsi="Palatino Linotype" w:cs="Palatino Linotype"/>
          <w:b/>
          <w:i/>
          <w:sz w:val="22"/>
          <w:szCs w:val="22"/>
        </w:rPr>
      </w:pPr>
      <w:r w:rsidRPr="00140ACF">
        <w:rPr>
          <w:rFonts w:ascii="Palatino Linotype" w:eastAsia="Palatino Linotype" w:hAnsi="Palatino Linotype" w:cs="Palatino Linotype"/>
          <w:i/>
          <w:sz w:val="22"/>
          <w:szCs w:val="22"/>
        </w:rPr>
        <w:t>a</w:t>
      </w:r>
      <w:r w:rsidRPr="00140ACF">
        <w:rPr>
          <w:rFonts w:ascii="Palatino Linotype" w:eastAsia="Palatino Linotype" w:hAnsi="Palatino Linotype" w:cs="Palatino Linotype"/>
          <w:b/>
          <w:i/>
          <w:sz w:val="22"/>
          <w:szCs w:val="22"/>
        </w:rPr>
        <w:t>) Confirmar la clasificación;</w:t>
      </w:r>
    </w:p>
    <w:p w14:paraId="46BDE0AA" w14:textId="77777777" w:rsidR="006069BC" w:rsidRPr="00140ACF" w:rsidRDefault="006069BC" w:rsidP="006069BC">
      <w:pPr>
        <w:spacing w:before="120" w:after="120"/>
        <w:ind w:left="1418" w:right="902"/>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i/>
          <w:sz w:val="22"/>
          <w:szCs w:val="22"/>
        </w:rPr>
        <w:t>b) Modificar la clasificación y otorgar total o parcialmente el acceso a la información; y</w:t>
      </w:r>
    </w:p>
    <w:p w14:paraId="7D60BCE2" w14:textId="77777777" w:rsidR="006069BC" w:rsidRPr="00140ACF" w:rsidRDefault="006069BC" w:rsidP="006069BC">
      <w:pPr>
        <w:spacing w:before="120" w:after="120"/>
        <w:ind w:left="1418" w:right="902"/>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i/>
          <w:sz w:val="22"/>
          <w:szCs w:val="22"/>
        </w:rPr>
        <w:t>c) Revocar la clasificación y conceder el acceso a la información.</w:t>
      </w:r>
    </w:p>
    <w:p w14:paraId="033B3639" w14:textId="77777777" w:rsidR="006069BC" w:rsidRPr="00140ACF" w:rsidRDefault="006069BC" w:rsidP="006069BC">
      <w:pPr>
        <w:spacing w:before="120" w:after="120"/>
        <w:ind w:left="1134" w:right="902"/>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b/>
          <w:i/>
          <w:sz w:val="22"/>
          <w:szCs w:val="22"/>
        </w:rPr>
        <w:t>II.</w:t>
      </w:r>
      <w:r w:rsidRPr="00140ACF">
        <w:rPr>
          <w:rFonts w:ascii="Palatino Linotype" w:eastAsia="Palatino Linotype" w:hAnsi="Palatino Linotype" w:cs="Palatino Linotype"/>
          <w:i/>
          <w:sz w:val="22"/>
          <w:szCs w:val="22"/>
        </w:rPr>
        <w:t xml:space="preserve"> El Comité de Transparencia podrá tener acceso a la información que esté en poder del Área correspondiente, de la cual se haya solicitado su clasificación; y</w:t>
      </w:r>
    </w:p>
    <w:p w14:paraId="119BCF99" w14:textId="77777777" w:rsidR="006069BC" w:rsidRPr="00140ACF" w:rsidRDefault="006069BC" w:rsidP="006069BC">
      <w:pPr>
        <w:spacing w:before="120" w:after="120"/>
        <w:ind w:left="1134" w:right="902"/>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b/>
          <w:i/>
          <w:sz w:val="22"/>
          <w:szCs w:val="22"/>
        </w:rPr>
        <w:t>III.</w:t>
      </w:r>
      <w:r w:rsidRPr="00140ACF">
        <w:rPr>
          <w:rFonts w:ascii="Palatino Linotype" w:eastAsia="Palatino Linotype" w:hAnsi="Palatino Linotype" w:cs="Palatino Linotype"/>
          <w:i/>
          <w:sz w:val="22"/>
          <w:szCs w:val="22"/>
        </w:rPr>
        <w:t xml:space="preserve"> La resolución del Comité de Transparencia será notificada al interesado en el plazo de respuesta a la solicitud que establece esta Ley.</w:t>
      </w:r>
    </w:p>
    <w:p w14:paraId="2177DE7A" w14:textId="77777777" w:rsidR="006069BC" w:rsidRPr="00140ACF" w:rsidRDefault="006069BC" w:rsidP="006069BC">
      <w:pPr>
        <w:spacing w:before="240" w:after="240" w:line="360" w:lineRule="auto"/>
        <w:ind w:right="51"/>
        <w:jc w:val="both"/>
        <w:rPr>
          <w:rFonts w:ascii="Palatino Linotype" w:eastAsia="Palatino Linotype" w:hAnsi="Palatino Linotype" w:cs="Palatino Linotype"/>
        </w:rPr>
      </w:pPr>
      <w:r w:rsidRPr="00140ACF">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140ACF">
        <w:rPr>
          <w:rFonts w:ascii="Palatino Linotype" w:eastAsia="Palatino Linotype" w:hAnsi="Palatino Linotype" w:cs="Palatino Linotype"/>
          <w:b/>
        </w:rPr>
        <w:t>Sujeto Obligado</w:t>
      </w:r>
      <w:r w:rsidRPr="00140ACF">
        <w:rPr>
          <w:rFonts w:ascii="Palatino Linotype" w:eastAsia="Palatino Linotype" w:hAnsi="Palatino Linotype" w:cs="Palatino Linotype"/>
        </w:rPr>
        <w:t xml:space="preserve"> deberá proceder a testar los datos personales que se encuentren contenidos en los documentos a entregar por parte del </w:t>
      </w:r>
      <w:r w:rsidRPr="00140ACF">
        <w:rPr>
          <w:rFonts w:ascii="Palatino Linotype" w:eastAsia="Palatino Linotype" w:hAnsi="Palatino Linotype" w:cs="Palatino Linotype"/>
          <w:b/>
        </w:rPr>
        <w:t>Sujeto Obligado</w:t>
      </w:r>
      <w:r w:rsidRPr="00140ACF">
        <w:rPr>
          <w:rFonts w:ascii="Palatino Linotype" w:eastAsia="Palatino Linotype" w:hAnsi="Palatino Linotype" w:cs="Palatino Linotype"/>
        </w:rPr>
        <w:t xml:space="preserve">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0E9EBA27" w14:textId="77777777" w:rsidR="006069BC" w:rsidRPr="00140ACF" w:rsidRDefault="006069BC" w:rsidP="006069BC">
      <w:pPr>
        <w:spacing w:before="240" w:after="240" w:line="360" w:lineRule="auto"/>
        <w:ind w:right="49"/>
        <w:jc w:val="both"/>
        <w:rPr>
          <w:rFonts w:ascii="Palatino Linotype" w:eastAsia="Palatino Linotype" w:hAnsi="Palatino Linotype" w:cs="Palatino Linotype"/>
        </w:rPr>
      </w:pPr>
      <w:r w:rsidRPr="00140ACF">
        <w:rPr>
          <w:rFonts w:ascii="Palatino Linotype" w:eastAsia="Palatino Linotype" w:hAnsi="Palatino Linotype" w:cs="Palatino Linotype"/>
        </w:rPr>
        <w:lastRenderedPageBreak/>
        <w:t xml:space="preserve">En el caso específico, es criterio reiterado de este Instituto que además de los datos especificados en la Ley de Transparencia y Acceso a la Información Pública del Estado de México y Municipios, se consideran confidenciales y por tanto deben testarse al momento de la elaboración de versiones públicas el </w:t>
      </w:r>
      <w:r w:rsidRPr="00140ACF">
        <w:rPr>
          <w:rFonts w:ascii="Palatino Linotype" w:eastAsia="Palatino Linotype" w:hAnsi="Palatino Linotype" w:cs="Palatino Linotype"/>
          <w:b/>
        </w:rPr>
        <w:t>Registro Federal de Contribuyentes</w:t>
      </w:r>
      <w:r w:rsidRPr="00140ACF">
        <w:rPr>
          <w:rFonts w:ascii="Palatino Linotype" w:eastAsia="Palatino Linotype" w:hAnsi="Palatino Linotype" w:cs="Palatino Linotype"/>
        </w:rPr>
        <w:t xml:space="preserve"> (RFC), la </w:t>
      </w:r>
      <w:r w:rsidRPr="00140ACF">
        <w:rPr>
          <w:rFonts w:ascii="Palatino Linotype" w:eastAsia="Palatino Linotype" w:hAnsi="Palatino Linotype" w:cs="Palatino Linotype"/>
          <w:b/>
        </w:rPr>
        <w:t>Clave Única de Registro de Población</w:t>
      </w:r>
      <w:r w:rsidRPr="00140ACF">
        <w:rPr>
          <w:rFonts w:ascii="Palatino Linotype" w:eastAsia="Palatino Linotype" w:hAnsi="Palatino Linotype" w:cs="Palatino Linotype"/>
        </w:rPr>
        <w:t xml:space="preserve"> (CURP) y la </w:t>
      </w:r>
      <w:r w:rsidRPr="00140ACF">
        <w:rPr>
          <w:rFonts w:ascii="Palatino Linotype" w:eastAsia="Palatino Linotype" w:hAnsi="Palatino Linotype" w:cs="Palatino Linotype"/>
          <w:b/>
        </w:rPr>
        <w:t>Clave de cualquier tipo de seguridad social</w:t>
      </w:r>
      <w:r w:rsidRPr="00140ACF">
        <w:rPr>
          <w:rFonts w:ascii="Palatino Linotype" w:eastAsia="Palatino Linotype" w:hAnsi="Palatino Linotype" w:cs="Palatino Linotype"/>
        </w:rPr>
        <w:t xml:space="preserve"> (ISSEMYM, u otros), así como, los </w:t>
      </w:r>
      <w:r w:rsidRPr="00140ACF">
        <w:rPr>
          <w:rFonts w:ascii="Palatino Linotype" w:eastAsia="Palatino Linotype" w:hAnsi="Palatino Linotype" w:cs="Palatino Linotype"/>
          <w:b/>
        </w:rPr>
        <w:t>préstamos o descuentos</w:t>
      </w:r>
      <w:r w:rsidRPr="00140ACF">
        <w:rPr>
          <w:rFonts w:ascii="Palatino Linotype" w:eastAsia="Palatino Linotype" w:hAnsi="Palatino Linotype" w:cs="Palatino Linotype"/>
        </w:rPr>
        <w:t xml:space="preserve"> que se le hagan a la persona y que no tengan relación con los impuestos o la cuota por seguridad social, así como los </w:t>
      </w:r>
      <w:r w:rsidRPr="00140ACF">
        <w:rPr>
          <w:rFonts w:ascii="Palatino Linotype" w:eastAsia="Palatino Linotype" w:hAnsi="Palatino Linotype" w:cs="Palatino Linotype"/>
          <w:b/>
        </w:rPr>
        <w:t>Códigos Bidimensionales</w:t>
      </w:r>
      <w:r w:rsidRPr="00140ACF">
        <w:rPr>
          <w:rFonts w:ascii="Palatino Linotype" w:eastAsia="Palatino Linotype" w:hAnsi="Palatino Linotype" w:cs="Palatino Linotype"/>
        </w:rPr>
        <w:t xml:space="preserve">, también denominados </w:t>
      </w:r>
      <w:r w:rsidRPr="00140ACF">
        <w:rPr>
          <w:rFonts w:ascii="Palatino Linotype" w:eastAsia="Palatino Linotype" w:hAnsi="Palatino Linotype" w:cs="Palatino Linotype"/>
          <w:b/>
        </w:rPr>
        <w:t>Códigos QR</w:t>
      </w:r>
      <w:r w:rsidRPr="00140ACF">
        <w:rPr>
          <w:rFonts w:ascii="Palatino Linotype" w:eastAsia="Palatino Linotype" w:hAnsi="Palatino Linotype" w:cs="Palatino Linotype"/>
        </w:rPr>
        <w:t>.</w:t>
      </w:r>
    </w:p>
    <w:p w14:paraId="7A5816BF" w14:textId="77777777" w:rsidR="006069BC" w:rsidRPr="00140ACF" w:rsidRDefault="006069BC" w:rsidP="006069BC">
      <w:pPr>
        <w:spacing w:before="240" w:after="240" w:line="360" w:lineRule="auto"/>
        <w:jc w:val="both"/>
        <w:rPr>
          <w:rFonts w:ascii="Palatino Linotype" w:eastAsia="Palatino Linotype" w:hAnsi="Palatino Linotype" w:cs="Palatino Linotype"/>
        </w:rPr>
      </w:pPr>
      <w:r w:rsidRPr="00140ACF">
        <w:rPr>
          <w:rFonts w:ascii="Palatino Linotype" w:eastAsia="Palatino Linotype" w:hAnsi="Palatino Linotype" w:cs="Palatino Linotype"/>
        </w:rPr>
        <w:t>En cuanto al RFC, este constituye un dato personal, ya que para su obtención es necesario acreditar ante la autoridad fiscal previamente la identidad de la persona, su fecha de nacimiento, entre otros aspectos.</w:t>
      </w:r>
    </w:p>
    <w:p w14:paraId="206DA083" w14:textId="77777777" w:rsidR="006069BC" w:rsidRPr="00140ACF" w:rsidRDefault="006069BC" w:rsidP="006069BC">
      <w:pPr>
        <w:spacing w:before="240" w:after="240" w:line="360" w:lineRule="auto"/>
        <w:jc w:val="both"/>
        <w:rPr>
          <w:rFonts w:ascii="Palatino Linotype" w:eastAsia="Palatino Linotype" w:hAnsi="Palatino Linotype" w:cs="Palatino Linotype"/>
        </w:rPr>
      </w:pPr>
      <w:r w:rsidRPr="00140ACF">
        <w:rPr>
          <w:rFonts w:ascii="Palatino Linotype" w:eastAsia="Palatino Linotype" w:hAnsi="Palatino Linotype" w:cs="Palatino Linotype"/>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28B396A3" w14:textId="77777777" w:rsidR="006069BC" w:rsidRPr="00140ACF" w:rsidRDefault="006069BC" w:rsidP="006069BC">
      <w:pPr>
        <w:spacing w:before="240" w:after="240" w:line="360" w:lineRule="auto"/>
        <w:jc w:val="both"/>
        <w:rPr>
          <w:rFonts w:ascii="Palatino Linotype" w:eastAsia="Palatino Linotype" w:hAnsi="Palatino Linotype" w:cs="Palatino Linotype"/>
        </w:rPr>
      </w:pPr>
      <w:r w:rsidRPr="00140ACF">
        <w:rPr>
          <w:rFonts w:ascii="Palatino Linotype" w:eastAsia="Palatino Linotype" w:hAnsi="Palatino Linotype" w:cs="Palatino Linotype"/>
        </w:rPr>
        <w:t>Lo anterior es compartido por el Instituto Nacional de Transparencia, Acceso a la Información y Protección de Datos (INAI) a través del Criterio 19/17, el cual es del tenor literal siguiente:</w:t>
      </w:r>
    </w:p>
    <w:p w14:paraId="0CA6A4EA" w14:textId="77777777" w:rsidR="006069BC" w:rsidRPr="00140ACF" w:rsidRDefault="006069BC" w:rsidP="006069BC">
      <w:pPr>
        <w:spacing w:after="120"/>
        <w:ind w:left="851" w:right="902"/>
        <w:jc w:val="both"/>
        <w:rPr>
          <w:rFonts w:ascii="Arial" w:eastAsia="Arial" w:hAnsi="Arial" w:cs="Arial"/>
        </w:rPr>
      </w:pPr>
      <w:r w:rsidRPr="00140ACF">
        <w:rPr>
          <w:rFonts w:ascii="Palatino Linotype" w:eastAsia="Palatino Linotype" w:hAnsi="Palatino Linotype" w:cs="Palatino Linotype"/>
          <w:b/>
          <w:i/>
          <w:sz w:val="20"/>
          <w:szCs w:val="20"/>
        </w:rPr>
        <w:t xml:space="preserve">“Registro Federal de Contribuyentes (RFC) de personas físicas. </w:t>
      </w:r>
      <w:r w:rsidRPr="00140ACF">
        <w:rPr>
          <w:rFonts w:ascii="Palatino Linotype" w:eastAsia="Palatino Linotype" w:hAnsi="Palatino Linotype" w:cs="Palatino Linotype"/>
          <w:i/>
          <w:sz w:val="20"/>
          <w:szCs w:val="20"/>
        </w:rPr>
        <w:t>El RFC es una clave de carácter fiscal, única e irrepetible, que permite identificar al titular, su edad y fecha de nacimiento, por lo que es un dato personal de carácter confidencial.” (Sic)</w:t>
      </w:r>
    </w:p>
    <w:p w14:paraId="7011533C" w14:textId="77777777" w:rsidR="006069BC" w:rsidRPr="00140ACF" w:rsidRDefault="006069BC" w:rsidP="006069BC">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140ACF">
        <w:rPr>
          <w:rFonts w:ascii="Palatino Linotype" w:eastAsia="Palatino Linotype" w:hAnsi="Palatino Linotype" w:cs="Palatino Linotype"/>
        </w:rPr>
        <w:lastRenderedPageBreak/>
        <w:t xml:space="preserve">Así, el RFC se vincula al nombre de su titular y permite identificar la edad de la persona, su fecha de nacimiento, así como su </w:t>
      </w:r>
      <w:proofErr w:type="spellStart"/>
      <w:r w:rsidRPr="00140ACF">
        <w:rPr>
          <w:rFonts w:ascii="Palatino Linotype" w:eastAsia="Palatino Linotype" w:hAnsi="Palatino Linotype" w:cs="Palatino Linotype"/>
        </w:rPr>
        <w:t>homoclave</w:t>
      </w:r>
      <w:proofErr w:type="spellEnd"/>
      <w:r w:rsidRPr="00140ACF">
        <w:rPr>
          <w:rFonts w:ascii="Palatino Linotype" w:eastAsia="Palatino Linotype" w:hAnsi="Palatino Linotype" w:cs="Palatino Linotype"/>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63B327C5" w14:textId="77777777" w:rsidR="006069BC" w:rsidRPr="00140ACF" w:rsidRDefault="006069BC" w:rsidP="006069BC">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140ACF">
        <w:rPr>
          <w:rFonts w:ascii="Palatino Linotype" w:eastAsia="Palatino Linotype" w:hAnsi="Palatino Linotype" w:cs="Palatino Linotype"/>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6B099DE2" w14:textId="77777777" w:rsidR="006069BC" w:rsidRPr="00140ACF" w:rsidRDefault="006069BC" w:rsidP="006069BC">
      <w:pPr>
        <w:spacing w:before="240" w:after="240" w:line="360" w:lineRule="auto"/>
        <w:jc w:val="both"/>
        <w:rPr>
          <w:rFonts w:ascii="Palatino Linotype" w:eastAsia="Palatino Linotype" w:hAnsi="Palatino Linotype" w:cs="Palatino Linotype"/>
        </w:rPr>
      </w:pPr>
      <w:r w:rsidRPr="00140ACF">
        <w:rPr>
          <w:rFonts w:ascii="Palatino Linotype" w:eastAsia="Palatino Linotype" w:hAnsi="Palatino Linotype" w:cs="Palatino Linotype"/>
        </w:rPr>
        <w:t>Argumento que es compartido por el Instituto Nacional de Transparencia, Acceso a la Información y Protección de Datos (INAI)</w:t>
      </w:r>
      <w:r w:rsidRPr="00140ACF">
        <w:rPr>
          <w:rFonts w:ascii="Palatino Linotype" w:eastAsia="Palatino Linotype" w:hAnsi="Palatino Linotype" w:cs="Palatino Linotype"/>
          <w:b/>
        </w:rPr>
        <w:t xml:space="preserve">, </w:t>
      </w:r>
      <w:r w:rsidRPr="00140ACF">
        <w:rPr>
          <w:rFonts w:ascii="Palatino Linotype" w:eastAsia="Palatino Linotype" w:hAnsi="Palatino Linotype" w:cs="Palatino Linotype"/>
          <w:bCs/>
        </w:rPr>
        <w:t>conforme al</w:t>
      </w:r>
      <w:r w:rsidRPr="00140ACF">
        <w:rPr>
          <w:rFonts w:ascii="Palatino Linotype" w:eastAsia="Palatino Linotype" w:hAnsi="Palatino Linotype" w:cs="Palatino Linotype"/>
          <w:b/>
        </w:rPr>
        <w:t xml:space="preserve"> </w:t>
      </w:r>
      <w:r w:rsidRPr="00140ACF">
        <w:rPr>
          <w:rFonts w:ascii="Palatino Linotype" w:eastAsia="Palatino Linotype" w:hAnsi="Palatino Linotype" w:cs="Palatino Linotype"/>
        </w:rPr>
        <w:t xml:space="preserve">criterio número 18/17, el cual refiere: </w:t>
      </w:r>
    </w:p>
    <w:p w14:paraId="6AFAE7D3" w14:textId="77777777" w:rsidR="006069BC" w:rsidRPr="00140ACF" w:rsidRDefault="006069BC" w:rsidP="006069BC">
      <w:pPr>
        <w:pBdr>
          <w:top w:val="nil"/>
          <w:left w:val="nil"/>
          <w:bottom w:val="nil"/>
          <w:right w:val="nil"/>
          <w:between w:val="nil"/>
        </w:pBdr>
        <w:spacing w:after="120"/>
        <w:ind w:left="851" w:right="902"/>
        <w:jc w:val="both"/>
        <w:rPr>
          <w:rFonts w:ascii="Arial" w:eastAsia="Arial" w:hAnsi="Arial" w:cs="Arial"/>
          <w:b/>
        </w:rPr>
      </w:pPr>
      <w:r w:rsidRPr="00140ACF">
        <w:rPr>
          <w:rFonts w:ascii="Palatino Linotype" w:eastAsia="Palatino Linotype" w:hAnsi="Palatino Linotype" w:cs="Palatino Linotype"/>
          <w:b/>
          <w:i/>
          <w:sz w:val="20"/>
          <w:szCs w:val="20"/>
        </w:rPr>
        <w:t xml:space="preserve">“Clave Única de Registro de Población (CURP). </w:t>
      </w:r>
      <w:r w:rsidRPr="00140ACF">
        <w:rPr>
          <w:rFonts w:ascii="Palatino Linotype" w:eastAsia="Palatino Linotype" w:hAnsi="Palatino Linotype" w:cs="Palatino Linotype"/>
          <w:i/>
          <w:sz w:val="20"/>
          <w:szCs w:val="20"/>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14:paraId="369C8C41" w14:textId="77777777" w:rsidR="006069BC" w:rsidRPr="00140ACF" w:rsidRDefault="006069BC" w:rsidP="006069BC">
      <w:pPr>
        <w:spacing w:before="240" w:after="240" w:line="360" w:lineRule="auto"/>
        <w:jc w:val="both"/>
        <w:rPr>
          <w:rFonts w:ascii="Palatino Linotype" w:eastAsia="Palatino Linotype" w:hAnsi="Palatino Linotype" w:cs="Palatino Linotype"/>
        </w:rPr>
      </w:pPr>
      <w:r w:rsidRPr="00140ACF">
        <w:rPr>
          <w:rFonts w:ascii="Palatino Linotype" w:eastAsia="Palatino Linotype" w:hAnsi="Palatino Linotype" w:cs="Palatino Linotype"/>
        </w:rPr>
        <w:t xml:space="preserve">Por otra parte y respecto a la clave de seguridad social y en su caso clave o número del servidor público –trabajador-, en virtud de que su divulgación no aporta a la transparencia o a la rendición de cuentas y sí provoca una transgresión a la vida privada e intimidad de la persona, esta información también resulta ser de carácter confidencial; siendo aplicable como orientador el criterio número 15/10 emitido por </w:t>
      </w:r>
      <w:r w:rsidRPr="00140ACF">
        <w:rPr>
          <w:rFonts w:ascii="Palatino Linotype" w:eastAsia="Palatino Linotype" w:hAnsi="Palatino Linotype" w:cs="Palatino Linotype"/>
        </w:rPr>
        <w:lastRenderedPageBreak/>
        <w:t>el entonces Instituto Federal de Transparencia y Acceso a la Información (INAI, cuyo texto y sentido literal es el siguiente:</w:t>
      </w:r>
    </w:p>
    <w:p w14:paraId="2EBD642B" w14:textId="77777777" w:rsidR="006069BC" w:rsidRPr="00140ACF" w:rsidRDefault="006069BC" w:rsidP="006069BC">
      <w:pPr>
        <w:spacing w:before="240" w:after="240"/>
        <w:ind w:left="851" w:right="900"/>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b/>
          <w:i/>
          <w:sz w:val="22"/>
          <w:szCs w:val="22"/>
        </w:rPr>
        <w:t>“El número de ficha de identificación única de los trabajadores es información de carácter confidencial.</w:t>
      </w:r>
      <w:r w:rsidRPr="00140ACF">
        <w:rPr>
          <w:rFonts w:ascii="Palatino Linotype" w:eastAsia="Palatino Linotype" w:hAnsi="Palatino Linotype" w:cs="Palatino Linotype"/>
          <w:i/>
          <w:sz w:val="22"/>
          <w:szCs w:val="22"/>
        </w:rPr>
        <w:t xml:space="preserve"> </w:t>
      </w:r>
      <w:r w:rsidRPr="00140ACF">
        <w:rPr>
          <w:rFonts w:ascii="Palatino Linotype" w:eastAsia="Palatino Linotype" w:hAnsi="Palatino Linotype" w:cs="Palatino Linotype"/>
          <w:i/>
          <w:sz w:val="22"/>
          <w:szCs w:val="22"/>
          <w:u w:val="single"/>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140ACF">
        <w:rPr>
          <w:rFonts w:ascii="Palatino Linotype" w:eastAsia="Palatino Linotype" w:hAnsi="Palatino Linotype" w:cs="Palatino Linotype"/>
          <w:i/>
          <w:sz w:val="22"/>
          <w:szCs w:val="22"/>
        </w:rPr>
        <w:t xml:space="preserve">, </w:t>
      </w:r>
      <w:r w:rsidRPr="00140ACF">
        <w:rPr>
          <w:rFonts w:ascii="Palatino Linotype" w:eastAsia="Palatino Linotype" w:hAnsi="Palatino Linotype" w:cs="Palatino Linotype"/>
          <w:i/>
          <w:sz w:val="22"/>
          <w:szCs w:val="22"/>
          <w:u w:val="single"/>
        </w:rPr>
        <w:t>dicha información es susceptible de clasificarse con el carácter de confidencial</w:t>
      </w:r>
      <w:r w:rsidRPr="00140ACF">
        <w:rPr>
          <w:rFonts w:ascii="Palatino Linotype" w:eastAsia="Palatino Linotype" w:hAnsi="Palatino Linotype" w:cs="Palatino Linotype"/>
          <w:i/>
          <w:sz w:val="22"/>
          <w:szCs w:val="22"/>
        </w:rPr>
        <w:t>, en términos de lo establecido en el artículo 18, fracción II de la Ley Federal de Transparencia y Acceso a la Información Pública Gubernamental, en virtud de que a través de la misma es posible conocer información personal de su titular.” (Sic)</w:t>
      </w:r>
    </w:p>
    <w:p w14:paraId="32B89532" w14:textId="77777777" w:rsidR="006069BC" w:rsidRPr="00140ACF" w:rsidRDefault="006069BC" w:rsidP="006069BC">
      <w:pPr>
        <w:spacing w:line="360" w:lineRule="auto"/>
        <w:jc w:val="both"/>
        <w:rPr>
          <w:rFonts w:ascii="Palatino Linotype" w:eastAsia="Palatino Linotype" w:hAnsi="Palatino Linotype" w:cs="Palatino Linotype"/>
        </w:rPr>
      </w:pPr>
      <w:r w:rsidRPr="00140ACF">
        <w:rPr>
          <w:rFonts w:ascii="Palatino Linotype" w:eastAsia="Palatino Linotype" w:hAnsi="Palatino Linotype" w:cs="Palatino Linotype"/>
        </w:rPr>
        <w:t xml:space="preserve">Respecto de los </w:t>
      </w:r>
      <w:r w:rsidRPr="00140ACF">
        <w:rPr>
          <w:rFonts w:ascii="Palatino Linotype" w:eastAsia="Palatino Linotype" w:hAnsi="Palatino Linotype" w:cs="Palatino Linotype"/>
          <w:b/>
        </w:rPr>
        <w:t>préstamos o descuentos</w:t>
      </w:r>
      <w:r w:rsidRPr="00140ACF">
        <w:rPr>
          <w:rFonts w:ascii="Palatino Linotype" w:eastAsia="Palatino Linotype" w:hAnsi="Palatino Linotype" w:cs="Palatino Linotype"/>
        </w:rPr>
        <w:t xml:space="preserve"> </w:t>
      </w:r>
      <w:r w:rsidRPr="00140ACF">
        <w:rPr>
          <w:rFonts w:ascii="Palatino Linotype" w:eastAsia="Palatino Linotype" w:hAnsi="Palatino Linotype" w:cs="Palatino Linotype"/>
          <w:b/>
        </w:rPr>
        <w:t>de carácter personal</w:t>
      </w:r>
      <w:r w:rsidRPr="00140ACF">
        <w:rPr>
          <w:rFonts w:ascii="Palatino Linotype" w:eastAsia="Palatino Linotype" w:hAnsi="Palatino Linotype" w:cs="Palatino Linotype"/>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6E407541" w14:textId="77777777" w:rsidR="006069BC" w:rsidRPr="00140ACF" w:rsidRDefault="006069BC" w:rsidP="006069BC">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140ACF">
        <w:rPr>
          <w:rFonts w:ascii="Palatino Linotype" w:eastAsia="Palatino Linotype" w:hAnsi="Palatino Linotype" w:cs="Palatino Linotype"/>
          <w:sz w:val="22"/>
          <w:szCs w:val="22"/>
        </w:rPr>
        <w:t>Por cuanto hace a las deducciones, para entender los límites y alcances de esta restricción, es oportuno recurrir al artículo 84 de la Ley del Trabajo de los Servidores Públicos del Estado y Municipios:</w:t>
      </w:r>
    </w:p>
    <w:p w14:paraId="39DF3381" w14:textId="77777777" w:rsidR="006069BC" w:rsidRPr="00140ACF" w:rsidRDefault="006069BC" w:rsidP="006069BC">
      <w:pPr>
        <w:ind w:left="851" w:right="851"/>
        <w:jc w:val="both"/>
        <w:rPr>
          <w:rFonts w:ascii="Palatino Linotype" w:eastAsia="Palatino Linotype" w:hAnsi="Palatino Linotype" w:cs="Palatino Linotype"/>
          <w:b/>
          <w:i/>
          <w:sz w:val="22"/>
          <w:szCs w:val="22"/>
        </w:rPr>
      </w:pPr>
      <w:r w:rsidRPr="00140ACF">
        <w:rPr>
          <w:rFonts w:ascii="Palatino Linotype" w:eastAsia="Palatino Linotype" w:hAnsi="Palatino Linotype" w:cs="Palatino Linotype"/>
          <w:b/>
          <w:i/>
          <w:sz w:val="22"/>
          <w:szCs w:val="22"/>
        </w:rPr>
        <w:t xml:space="preserve">“ARTÍCULO 84. </w:t>
      </w:r>
      <w:r w:rsidRPr="00140ACF">
        <w:rPr>
          <w:rFonts w:ascii="Palatino Linotype" w:eastAsia="Palatino Linotype" w:hAnsi="Palatino Linotype" w:cs="Palatino Linotype"/>
          <w:i/>
          <w:sz w:val="22"/>
          <w:szCs w:val="22"/>
        </w:rPr>
        <w:t>Sólo podrán hacerse retenciones, descuentos o deducciones al sueldo de los servidores públicos por concepto de:</w:t>
      </w:r>
    </w:p>
    <w:p w14:paraId="42C79D20" w14:textId="77777777" w:rsidR="006069BC" w:rsidRPr="00140ACF" w:rsidRDefault="006069BC" w:rsidP="006069BC">
      <w:pPr>
        <w:ind w:left="1134" w:right="851"/>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i/>
          <w:sz w:val="22"/>
          <w:szCs w:val="22"/>
        </w:rPr>
        <w:t>I. Gravámenes fiscales relacionados con el sueldo;</w:t>
      </w:r>
    </w:p>
    <w:p w14:paraId="7EE3B67A" w14:textId="77777777" w:rsidR="006069BC" w:rsidRPr="00140ACF" w:rsidRDefault="006069BC" w:rsidP="006069BC">
      <w:pPr>
        <w:ind w:left="1134" w:right="851"/>
        <w:jc w:val="both"/>
        <w:rPr>
          <w:rFonts w:ascii="Palatino Linotype" w:eastAsia="Palatino Linotype" w:hAnsi="Palatino Linotype" w:cs="Palatino Linotype"/>
          <w:b/>
          <w:i/>
          <w:sz w:val="22"/>
          <w:szCs w:val="22"/>
        </w:rPr>
      </w:pPr>
      <w:r w:rsidRPr="00140ACF">
        <w:rPr>
          <w:rFonts w:ascii="Palatino Linotype" w:eastAsia="Palatino Linotype" w:hAnsi="Palatino Linotype" w:cs="Palatino Linotype"/>
          <w:b/>
          <w:i/>
          <w:sz w:val="22"/>
          <w:szCs w:val="22"/>
        </w:rPr>
        <w:t>II. Deudas contraídas con las instituciones públicas o dependencias por concepto de anticipos de sueldo, pagos hechos con exceso, errores o pérdidas debidamente comprobados;</w:t>
      </w:r>
    </w:p>
    <w:p w14:paraId="00DC6F12" w14:textId="77777777" w:rsidR="006069BC" w:rsidRPr="00140ACF" w:rsidRDefault="006069BC" w:rsidP="006069BC">
      <w:pPr>
        <w:ind w:left="1134" w:right="851"/>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i/>
          <w:sz w:val="22"/>
          <w:szCs w:val="22"/>
        </w:rPr>
        <w:t>III. Cuotas sindicales;</w:t>
      </w:r>
    </w:p>
    <w:p w14:paraId="239DA5AF" w14:textId="77777777" w:rsidR="006069BC" w:rsidRPr="00140ACF" w:rsidRDefault="006069BC" w:rsidP="006069BC">
      <w:pPr>
        <w:ind w:left="1134" w:right="851"/>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i/>
          <w:sz w:val="22"/>
          <w:szCs w:val="22"/>
        </w:rPr>
        <w:lastRenderedPageBreak/>
        <w:t>IV. Cuotas de aportación a fondos para la constitución de cooperativas y de cajas de ahorro, siempre que el servidor público hubiese manifestado previamente, de manera expresa, su conformidad;</w:t>
      </w:r>
    </w:p>
    <w:p w14:paraId="71EA017D" w14:textId="77777777" w:rsidR="006069BC" w:rsidRPr="00140ACF" w:rsidRDefault="006069BC" w:rsidP="006069BC">
      <w:pPr>
        <w:ind w:left="1134" w:right="851"/>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i/>
          <w:sz w:val="22"/>
          <w:szCs w:val="22"/>
        </w:rPr>
        <w:t>V. Descuentos ordenados por el Instituto de Seguridad Social del Estado de México y Municipios, con motivo de cuotas y obligaciones contraídas con éste por los servidores públicos;</w:t>
      </w:r>
    </w:p>
    <w:p w14:paraId="394818BA" w14:textId="77777777" w:rsidR="006069BC" w:rsidRPr="00140ACF" w:rsidRDefault="006069BC" w:rsidP="006069BC">
      <w:pPr>
        <w:ind w:left="1134" w:right="851"/>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i/>
          <w:sz w:val="22"/>
          <w:szCs w:val="22"/>
        </w:rPr>
        <w:t>VI. Obligaciones a cargo del servidor público con las que haya consentido, derivadas de la adquisición o del uso de habitaciones consideradas como de interés social;</w:t>
      </w:r>
    </w:p>
    <w:p w14:paraId="1DE960A1" w14:textId="77777777" w:rsidR="006069BC" w:rsidRPr="00140ACF" w:rsidRDefault="006069BC" w:rsidP="006069BC">
      <w:pPr>
        <w:ind w:left="1134" w:right="851"/>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i/>
          <w:sz w:val="22"/>
          <w:szCs w:val="22"/>
        </w:rPr>
        <w:t>VII. Faltas de puntualidad o de asistencia injustificadas;</w:t>
      </w:r>
    </w:p>
    <w:p w14:paraId="1D2CB7CA" w14:textId="77777777" w:rsidR="006069BC" w:rsidRPr="00140ACF" w:rsidRDefault="006069BC" w:rsidP="006069BC">
      <w:pPr>
        <w:ind w:left="1134" w:right="851"/>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b/>
          <w:i/>
          <w:sz w:val="22"/>
          <w:szCs w:val="22"/>
        </w:rPr>
        <w:t>VIII. Pensiones alimenticias ordenadas por la autoridad judicial;</w:t>
      </w:r>
      <w:r w:rsidRPr="00140ACF">
        <w:rPr>
          <w:rFonts w:ascii="Palatino Linotype" w:eastAsia="Palatino Linotype" w:hAnsi="Palatino Linotype" w:cs="Palatino Linotype"/>
          <w:i/>
          <w:sz w:val="22"/>
          <w:szCs w:val="22"/>
        </w:rPr>
        <w:t xml:space="preserve"> o</w:t>
      </w:r>
    </w:p>
    <w:p w14:paraId="579375CE" w14:textId="77777777" w:rsidR="006069BC" w:rsidRPr="00140ACF" w:rsidRDefault="006069BC" w:rsidP="006069BC">
      <w:pPr>
        <w:ind w:left="1134" w:right="851"/>
        <w:jc w:val="both"/>
        <w:rPr>
          <w:rFonts w:ascii="Palatino Linotype" w:eastAsia="Palatino Linotype" w:hAnsi="Palatino Linotype" w:cs="Palatino Linotype"/>
          <w:b/>
          <w:i/>
          <w:sz w:val="22"/>
          <w:szCs w:val="22"/>
        </w:rPr>
      </w:pPr>
      <w:r w:rsidRPr="00140ACF">
        <w:rPr>
          <w:rFonts w:ascii="Palatino Linotype" w:eastAsia="Palatino Linotype" w:hAnsi="Palatino Linotype" w:cs="Palatino Linotype"/>
          <w:b/>
          <w:i/>
          <w:sz w:val="22"/>
          <w:szCs w:val="22"/>
        </w:rPr>
        <w:t>IX. Cualquier otro convenido con instituciones de servicios y aceptado por el servidor público.</w:t>
      </w:r>
    </w:p>
    <w:p w14:paraId="4F1B4D3B" w14:textId="77777777" w:rsidR="006069BC" w:rsidRPr="00140ACF" w:rsidRDefault="006069BC" w:rsidP="006069BC">
      <w:pPr>
        <w:spacing w:after="120"/>
        <w:ind w:left="851" w:right="851"/>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i/>
          <w:sz w:val="22"/>
          <w:szCs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(Sic)</w:t>
      </w:r>
    </w:p>
    <w:p w14:paraId="656EB1C3" w14:textId="77777777" w:rsidR="006069BC" w:rsidRPr="00140ACF" w:rsidRDefault="006069BC" w:rsidP="006069BC">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140ACF">
        <w:rPr>
          <w:rFonts w:ascii="Palatino Linotype" w:eastAsia="Palatino Linotype" w:hAnsi="Palatino Linotype" w:cs="Palatino Linotype"/>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14:paraId="62A6842B" w14:textId="77777777" w:rsidR="006069BC" w:rsidRPr="00140ACF" w:rsidRDefault="006069BC" w:rsidP="006069BC">
      <w:pPr>
        <w:pBdr>
          <w:top w:val="nil"/>
          <w:left w:val="nil"/>
          <w:bottom w:val="nil"/>
          <w:right w:val="nil"/>
          <w:between w:val="nil"/>
        </w:pBdr>
        <w:spacing w:line="360" w:lineRule="auto"/>
        <w:jc w:val="both"/>
        <w:rPr>
          <w:rFonts w:ascii="Palatino Linotype" w:eastAsia="Palatino Linotype" w:hAnsi="Palatino Linotype" w:cs="Palatino Linotype"/>
        </w:rPr>
      </w:pPr>
      <w:r w:rsidRPr="00140ACF">
        <w:rPr>
          <w:rFonts w:ascii="Palatino Linotype" w:eastAsia="Palatino Linotype" w:hAnsi="Palatino Linotype" w:cs="Palatino Linotype"/>
        </w:rPr>
        <w:t>En conclusión, los préstamos o descuentos de carácter personal, en virtud de no tener relación con la prestación del servicio y al no involucrar instituciones públicas, se consideran datos confidenciales.</w:t>
      </w:r>
    </w:p>
    <w:p w14:paraId="292948E7" w14:textId="77777777" w:rsidR="006069BC" w:rsidRPr="00140ACF" w:rsidRDefault="006069BC" w:rsidP="006069BC">
      <w:pPr>
        <w:spacing w:before="240" w:after="240" w:line="360" w:lineRule="auto"/>
        <w:jc w:val="both"/>
        <w:rPr>
          <w:rFonts w:ascii="Palatino Linotype" w:hAnsi="Palatino Linotype" w:cs="Arial"/>
        </w:rPr>
      </w:pPr>
      <w:r w:rsidRPr="00140ACF">
        <w:rPr>
          <w:rFonts w:ascii="Palatino Linotype" w:hAnsi="Palatino Linotype" w:cs="Arial"/>
        </w:rPr>
        <w:lastRenderedPageBreak/>
        <w:t xml:space="preserve">Los </w:t>
      </w:r>
      <w:r w:rsidRPr="00140ACF">
        <w:rPr>
          <w:rFonts w:ascii="Palatino Linotype" w:hAnsi="Palatino Linotype" w:cs="Arial"/>
          <w:b/>
        </w:rPr>
        <w:t>códigos bidimensionales</w:t>
      </w:r>
      <w:r w:rsidRPr="00140ACF">
        <w:rPr>
          <w:rFonts w:ascii="Palatino Linotype" w:hAnsi="Palatino Linotype" w:cs="Arial"/>
        </w:rPr>
        <w:t xml:space="preserve"> o </w:t>
      </w:r>
      <w:r w:rsidRPr="00140ACF">
        <w:rPr>
          <w:rFonts w:ascii="Palatino Linotype" w:hAnsi="Palatino Linotype" w:cs="Arial"/>
          <w:b/>
        </w:rPr>
        <w:t xml:space="preserve">códigos QR, </w:t>
      </w:r>
      <w:r w:rsidRPr="00140ACF">
        <w:rPr>
          <w:rFonts w:ascii="Palatino Linotype" w:hAnsi="Palatino Linotype" w:cs="Arial"/>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por lo que, si el </w:t>
      </w:r>
      <w:r w:rsidRPr="00140ACF">
        <w:rPr>
          <w:rFonts w:ascii="Palatino Linotype" w:hAnsi="Palatino Linotype" w:cs="Arial"/>
          <w:b/>
        </w:rPr>
        <w:t>Sujeto Obligado</w:t>
      </w:r>
      <w:r w:rsidRPr="00140ACF">
        <w:rPr>
          <w:rFonts w:ascii="Palatino Linotype" w:hAnsi="Palatino Linotype" w:cs="Arial"/>
        </w:rPr>
        <w:t xml:space="preserve"> advierte que en el presente caso se pueden obtener datos como el Registro Federal de Contribuyentes, la Clave Única del Registro de Población, entre otros que pudieran hacer identificable a una persona, deberá clasificarlo como confidencial.</w:t>
      </w:r>
    </w:p>
    <w:p w14:paraId="2FDE933F" w14:textId="0A8CBA71" w:rsidR="006069BC" w:rsidRPr="00140ACF" w:rsidRDefault="006069BC" w:rsidP="006069BC">
      <w:pPr>
        <w:spacing w:before="240" w:after="240" w:line="360" w:lineRule="auto"/>
        <w:ind w:right="50"/>
        <w:jc w:val="both"/>
        <w:rPr>
          <w:rFonts w:ascii="Palatino Linotype" w:eastAsia="Palatino Linotype" w:hAnsi="Palatino Linotype" w:cs="Palatino Linotype"/>
        </w:rPr>
      </w:pPr>
      <w:r w:rsidRPr="00140ACF">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4ED7EFAE" w14:textId="39CECB97" w:rsidR="002C08BF" w:rsidRPr="00140ACF" w:rsidRDefault="002C08BF" w:rsidP="00832119">
      <w:pPr>
        <w:spacing w:before="240" w:after="240" w:line="360" w:lineRule="auto"/>
        <w:jc w:val="both"/>
        <w:rPr>
          <w:rFonts w:ascii="Palatino Linotype" w:hAnsi="Palatino Linotype" w:cs="Arial"/>
        </w:rPr>
      </w:pPr>
      <w:r w:rsidRPr="00140ACF">
        <w:rPr>
          <w:rFonts w:ascii="Palatino Linotype" w:hAnsi="Palatino Linotype" w:cs="Arial"/>
        </w:rPr>
        <w:t xml:space="preserve">Por otro lado, derivado de la información que se ordena entregar pudiera existir información de la Dirección de Seguridad Pública del Ayuntamiento o su equivalente, la cual ponga en riesgo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los servidores públicos que integran dicha Dirección sólo por cuanto hace al nombre dejando intocable el rubro de percepciones que por su naturaleza conciernen a la ciudadanía por referirse a recursos de carácter público; circunstancia que en nada afecta al </w:t>
      </w:r>
      <w:r w:rsidRPr="00140ACF">
        <w:rPr>
          <w:rFonts w:ascii="Palatino Linotype" w:hAnsi="Palatino Linotype" w:cs="Arial"/>
        </w:rPr>
        <w:lastRenderedPageBreak/>
        <w:t xml:space="preserve">derecho tutelado por este </w:t>
      </w:r>
      <w:r w:rsidR="00832119" w:rsidRPr="00140ACF">
        <w:rPr>
          <w:rFonts w:ascii="Palatino Linotype" w:hAnsi="Palatino Linotype" w:cs="Arial"/>
        </w:rPr>
        <w:t>Organismo</w:t>
      </w:r>
      <w:r w:rsidRPr="00140ACF">
        <w:rPr>
          <w:rFonts w:ascii="Palatino Linotype" w:hAnsi="Palatino Linotype" w:cs="Arial"/>
        </w:rPr>
        <w:t xml:space="preserve"> Garante sino por el contrario también reafirma su compromiso con la rendición de cuentas del Estado y la protección a grupos vulnerables de acuerdo al cargo de seguridad Municipal, por lo que deberá testarse de igual manera sólo el nombre de los servidores públicos de la Policía Municipal</w:t>
      </w:r>
      <w:r w:rsidR="00832119" w:rsidRPr="00140ACF">
        <w:rPr>
          <w:rFonts w:ascii="Palatino Linotype" w:hAnsi="Palatino Linotype" w:cs="Arial"/>
        </w:rPr>
        <w:t xml:space="preserve"> </w:t>
      </w:r>
      <w:r w:rsidR="00832119" w:rsidRPr="00140ACF">
        <w:rPr>
          <w:rFonts w:ascii="Palatino Linotype" w:hAnsi="Palatino Linotype" w:cs="Arial"/>
          <w:b/>
        </w:rPr>
        <w:t>que desempeñen funciones operativas</w:t>
      </w:r>
      <w:r w:rsidR="00832119" w:rsidRPr="00140ACF">
        <w:rPr>
          <w:rFonts w:ascii="Palatino Linotype" w:hAnsi="Palatino Linotype" w:cs="Arial"/>
        </w:rPr>
        <w:t>.</w:t>
      </w:r>
    </w:p>
    <w:p w14:paraId="4D12C4FF" w14:textId="77777777" w:rsidR="002C08BF" w:rsidRPr="00140ACF" w:rsidRDefault="002C08BF" w:rsidP="002C08BF">
      <w:pPr>
        <w:spacing w:before="240" w:after="240" w:line="360" w:lineRule="auto"/>
        <w:jc w:val="both"/>
        <w:rPr>
          <w:rFonts w:ascii="Palatino Linotype" w:eastAsia="MS Mincho" w:hAnsi="Palatino Linotype" w:cs="Arial"/>
          <w:lang w:val="es-ES_tradnl"/>
        </w:rPr>
      </w:pPr>
      <w:r w:rsidRPr="00140ACF">
        <w:rPr>
          <w:rFonts w:ascii="Palatino Linotype" w:eastAsia="MS Mincho" w:hAnsi="Palatino Linotype" w:cs="Arial"/>
          <w:lang w:val="es-ES_tradnl"/>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 así como para la elaboración de versiones públicas, al aplicar la prueba de daño correspondiente.</w:t>
      </w:r>
    </w:p>
    <w:p w14:paraId="641C3BDB" w14:textId="77777777" w:rsidR="002C08BF" w:rsidRPr="00140ACF" w:rsidRDefault="002C08BF" w:rsidP="004542FA">
      <w:pPr>
        <w:spacing w:before="240" w:after="240" w:line="360" w:lineRule="auto"/>
        <w:jc w:val="both"/>
        <w:rPr>
          <w:rFonts w:ascii="Palatino Linotype" w:eastAsia="Calibri" w:hAnsi="Palatino Linotype" w:cs="Tahoma"/>
          <w:iCs/>
          <w:lang w:eastAsia="es-ES_tradnl"/>
        </w:rPr>
      </w:pPr>
      <w:r w:rsidRPr="00140ACF">
        <w:rPr>
          <w:rFonts w:ascii="Palatino Linotype" w:eastAsia="Calibri" w:hAnsi="Palatino Linotype" w:cs="Tahoma"/>
          <w:iCs/>
          <w:lang w:eastAsia="es-ES_tradnl"/>
        </w:rPr>
        <w:t>Al respecto, este Instituto advierte lo siguiente:</w:t>
      </w:r>
    </w:p>
    <w:p w14:paraId="2A313CDE" w14:textId="77777777" w:rsidR="002C08BF" w:rsidRPr="00140ACF" w:rsidRDefault="002C08BF" w:rsidP="004542FA">
      <w:pPr>
        <w:pStyle w:val="Prrafodelista"/>
        <w:numPr>
          <w:ilvl w:val="1"/>
          <w:numId w:val="3"/>
        </w:numPr>
        <w:tabs>
          <w:tab w:val="left" w:pos="8222"/>
        </w:tabs>
        <w:spacing w:before="240" w:after="240" w:line="360" w:lineRule="auto"/>
        <w:ind w:left="426" w:right="-28"/>
        <w:contextualSpacing w:val="0"/>
        <w:jc w:val="both"/>
        <w:rPr>
          <w:rFonts w:ascii="Palatino Linotype" w:hAnsi="Palatino Linotype" w:cs="Tahoma"/>
          <w:bCs/>
        </w:rPr>
      </w:pPr>
      <w:r w:rsidRPr="00140ACF">
        <w:rPr>
          <w:rFonts w:ascii="Palatino Linotype" w:eastAsia="Calibri" w:hAnsi="Palatino Linotype" w:cs="Tahoma"/>
          <w:bCs/>
        </w:rPr>
        <w:t xml:space="preserve">Que toda vez que se trata de </w:t>
      </w:r>
      <w:r w:rsidRPr="00140ACF">
        <w:rPr>
          <w:rFonts w:ascii="Palatino Linotype" w:eastAsia="Calibri" w:hAnsi="Palatino Linotype" w:cs="Tahoma"/>
          <w:bCs/>
          <w:lang w:eastAsia="en-US"/>
        </w:rPr>
        <w:t>dar a conocer los nombres de los integrantes de los cuerpos de seguridad pública</w:t>
      </w:r>
      <w:r w:rsidRPr="00140ACF">
        <w:rPr>
          <w:rFonts w:ascii="Palatino Linotype" w:eastAsia="Calibri" w:hAnsi="Palatino Linotype" w:cs="Tahoma"/>
          <w:bCs/>
        </w:rPr>
        <w:t xml:space="preserve">, es procedente la clasificación de la información como reservada, en el entendido de que se </w:t>
      </w:r>
      <w:r w:rsidRPr="00140ACF">
        <w:rPr>
          <w:rFonts w:ascii="Palatino Linotype" w:eastAsia="Calibri" w:hAnsi="Palatino Linotype" w:cs="Tahoma"/>
          <w:bCs/>
          <w:lang w:eastAsia="en-US"/>
        </w:rPr>
        <w:t>pone en riesgo su vida, salud y seguridad, dado que los hace identificables</w:t>
      </w:r>
      <w:r w:rsidRPr="00140ACF">
        <w:rPr>
          <w:rFonts w:ascii="Palatino Linotype" w:eastAsia="Calibri" w:hAnsi="Palatino Linotype" w:cs="Tahoma"/>
          <w:bCs/>
        </w:rPr>
        <w:t xml:space="preserve">. </w:t>
      </w:r>
    </w:p>
    <w:p w14:paraId="3DF8D13D" w14:textId="77777777" w:rsidR="002C08BF" w:rsidRPr="00140ACF" w:rsidRDefault="002C08BF" w:rsidP="004542FA">
      <w:pPr>
        <w:pStyle w:val="Prrafodelista"/>
        <w:numPr>
          <w:ilvl w:val="1"/>
          <w:numId w:val="3"/>
        </w:numPr>
        <w:tabs>
          <w:tab w:val="left" w:pos="8222"/>
        </w:tabs>
        <w:spacing w:before="240" w:after="240" w:line="360" w:lineRule="auto"/>
        <w:ind w:left="426" w:right="-28"/>
        <w:contextualSpacing w:val="0"/>
        <w:jc w:val="both"/>
        <w:rPr>
          <w:rFonts w:ascii="Palatino Linotype" w:hAnsi="Palatino Linotype" w:cs="Tahoma"/>
          <w:bCs/>
        </w:rPr>
      </w:pPr>
      <w:r w:rsidRPr="00140ACF">
        <w:rPr>
          <w:rFonts w:ascii="Palatino Linotype" w:hAnsi="Palatino Linotype" w:cs="Tahoma"/>
          <w:bCs/>
        </w:rPr>
        <w:t xml:space="preserve">Que el riesgo de perjuicio que supone la divulgación de la información supera el interés público general; </w:t>
      </w:r>
      <w:r w:rsidRPr="00140ACF">
        <w:rPr>
          <w:rFonts w:ascii="Palatino Linotype" w:eastAsia="Calibri" w:hAnsi="Palatino Linotype" w:cs="Tahoma"/>
          <w:bCs/>
        </w:rPr>
        <w:t xml:space="preserve">pues con dicha información, se </w:t>
      </w:r>
      <w:r w:rsidRPr="00140ACF">
        <w:rPr>
          <w:rFonts w:ascii="Palatino Linotype" w:eastAsia="Calibri" w:hAnsi="Palatino Linotype" w:cs="Tahoma"/>
          <w:bCs/>
          <w:lang w:eastAsia="en-US"/>
        </w:rPr>
        <w:t>comprometería el cumplimiento</w:t>
      </w:r>
      <w:r w:rsidRPr="00140ACF">
        <w:rPr>
          <w:rFonts w:ascii="Palatino Linotype" w:eastAsia="Calibri" w:hAnsi="Palatino Linotype" w:cs="Tahoma"/>
          <w:bCs/>
          <w:szCs w:val="22"/>
          <w:lang w:eastAsia="en-US"/>
        </w:rPr>
        <w:t xml:space="preserve"> de los objetivos</w:t>
      </w:r>
      <w:r w:rsidRPr="00140ACF">
        <w:rPr>
          <w:rFonts w:ascii="Palatino Linotype" w:eastAsia="Calibri" w:hAnsi="Palatino Linotype" w:cs="Tahoma"/>
          <w:bCs/>
        </w:rPr>
        <w:t xml:space="preserve"> en materia de seguridad pública, o bien, </w:t>
      </w:r>
      <w:r w:rsidRPr="00140ACF">
        <w:rPr>
          <w:rFonts w:ascii="Palatino Linotype" w:hAnsi="Palatino Linotype" w:cs="Arial"/>
        </w:rPr>
        <w:t xml:space="preserve">la </w:t>
      </w:r>
      <w:r w:rsidRPr="00140ACF">
        <w:rPr>
          <w:rFonts w:ascii="Palatino Linotype" w:hAnsi="Palatino Linotype" w:cs="Arial"/>
        </w:rPr>
        <w:lastRenderedPageBreak/>
        <w:t>consecución de la investigación de probables hechos delictivos y/o faltas administrativas.</w:t>
      </w:r>
    </w:p>
    <w:p w14:paraId="0D7FDAAB" w14:textId="77777777" w:rsidR="002C08BF" w:rsidRPr="00140ACF" w:rsidRDefault="002C08BF" w:rsidP="002C08BF">
      <w:pPr>
        <w:pStyle w:val="Prrafodelista"/>
        <w:numPr>
          <w:ilvl w:val="1"/>
          <w:numId w:val="3"/>
        </w:numPr>
        <w:tabs>
          <w:tab w:val="left" w:pos="8222"/>
        </w:tabs>
        <w:spacing w:after="240" w:line="360" w:lineRule="auto"/>
        <w:ind w:left="426" w:right="-28"/>
        <w:jc w:val="both"/>
        <w:rPr>
          <w:rFonts w:ascii="Palatino Linotype" w:hAnsi="Palatino Linotype" w:cs="Tahoma"/>
          <w:bCs/>
        </w:rPr>
      </w:pPr>
      <w:r w:rsidRPr="00140ACF">
        <w:rPr>
          <w:rFonts w:ascii="Palatino Linotype" w:hAnsi="Palatino Linotype" w:cs="Tahoma"/>
          <w:bCs/>
        </w:rPr>
        <w:t>La reserva no se traduce en un medio restrictivo al derecho de acceso a la información, en virtud, de que se trata de una medida temporal, cuya finalidad es salvaguardar la</w:t>
      </w:r>
      <w:r w:rsidRPr="00140ACF">
        <w:rPr>
          <w:rFonts w:ascii="Palatino Linotype" w:eastAsia="Calibri" w:hAnsi="Palatino Linotype" w:cs="Tahoma"/>
          <w:bCs/>
          <w:szCs w:val="22"/>
          <w:lang w:eastAsia="en-US"/>
        </w:rPr>
        <w:t xml:space="preserve"> vida, la salud y la seguridad de los servidores públicos, </w:t>
      </w:r>
      <w:r w:rsidRPr="00140ACF">
        <w:rPr>
          <w:rFonts w:ascii="Palatino Linotype" w:hAnsi="Palatino Linotype" w:cs="Arial"/>
        </w:rPr>
        <w:t xml:space="preserve">así como evitar que células delictivas neutralizar las acciones en materia de seguridad pública para la preservación del orden y la paz pública, </w:t>
      </w:r>
      <w:r w:rsidRPr="00140ACF">
        <w:rPr>
          <w:rFonts w:ascii="Palatino Linotype" w:hAnsi="Palatino Linotype" w:cs="Tahoma"/>
          <w:bCs/>
        </w:rPr>
        <w:t>por lo que, no se trata de una medida desproporcional, ni excesiva.</w:t>
      </w:r>
    </w:p>
    <w:p w14:paraId="73B43EA8" w14:textId="77777777" w:rsidR="00832119" w:rsidRPr="00140ACF" w:rsidRDefault="00832119" w:rsidP="00832119">
      <w:pPr>
        <w:spacing w:before="240" w:after="240" w:line="360" w:lineRule="auto"/>
        <w:jc w:val="both"/>
        <w:rPr>
          <w:rFonts w:ascii="Palatino Linotype" w:eastAsia="MS Mincho" w:hAnsi="Palatino Linotype" w:cs="Arial"/>
          <w:lang w:val="es-ES_tradnl"/>
        </w:rPr>
      </w:pPr>
      <w:r w:rsidRPr="00140ACF">
        <w:rPr>
          <w:rFonts w:ascii="Palatino Linotype" w:eastAsia="MS Mincho" w:hAnsi="Palatino Linotype" w:cs="Arial"/>
          <w:lang w:val="es-ES_tradnl"/>
        </w:rPr>
        <w:t>En ese entendido, la leyenda de clasificación que se genere, deberá establecer ambos supuestos de clasificación: reserva y confidencialidad, en congruencia con los requisitos establecidos en los lineamientos citados.</w:t>
      </w:r>
    </w:p>
    <w:p w14:paraId="1D7A094C" w14:textId="77777777" w:rsidR="00832119" w:rsidRPr="00140ACF" w:rsidRDefault="002C08BF" w:rsidP="00832119">
      <w:pPr>
        <w:spacing w:before="120" w:after="120" w:line="360" w:lineRule="auto"/>
        <w:jc w:val="both"/>
        <w:rPr>
          <w:rFonts w:ascii="Palatino Linotype" w:hAnsi="Palatino Linotype" w:cs="Tahoma"/>
        </w:rPr>
      </w:pPr>
      <w:r w:rsidRPr="00140ACF">
        <w:rPr>
          <w:rFonts w:ascii="Palatino Linotype" w:hAnsi="Palatino Linotype" w:cs="Arial"/>
        </w:rPr>
        <w:t>En este marco, cabe señalar que</w:t>
      </w:r>
      <w:r w:rsidR="00832119" w:rsidRPr="00140ACF">
        <w:rPr>
          <w:rFonts w:ascii="Palatino Linotype" w:hAnsi="Palatino Linotype" w:cs="Arial"/>
        </w:rPr>
        <w:t xml:space="preserve">, </w:t>
      </w:r>
      <w:r w:rsidRPr="00140ACF">
        <w:rPr>
          <w:rFonts w:ascii="Palatino Linotype" w:hAnsi="Palatino Linotype" w:cs="Arial"/>
        </w:rPr>
        <w:t>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w:t>
      </w:r>
      <w:r w:rsidR="00832119" w:rsidRPr="00140ACF">
        <w:rPr>
          <w:rFonts w:ascii="Palatino Linotype" w:hAnsi="Palatino Linotype" w:cs="Arial"/>
        </w:rPr>
        <w:t xml:space="preserve">, </w:t>
      </w:r>
      <w:r w:rsidR="00832119" w:rsidRPr="00140ACF">
        <w:rPr>
          <w:rFonts w:ascii="Palatino Linotype" w:eastAsia="Calibri" w:hAnsi="Palatino Linotype" w:cs="Tahoma"/>
          <w:bCs/>
          <w:lang w:eastAsia="en-US"/>
        </w:rPr>
        <w:t xml:space="preserve">resulta necesario traer por analogía, el Criterio 06/09, emitido por </w:t>
      </w:r>
      <w:r w:rsidR="00832119" w:rsidRPr="00140ACF">
        <w:rPr>
          <w:rFonts w:ascii="Palatino Linotype" w:hAnsi="Palatino Linotype" w:cs="Tahoma"/>
        </w:rPr>
        <w:t>el entonces Instituto Federal de Acceso a la Información y Protección de Datos ahora Instituto Nacional de Transparencia, Acceso a la Información y Protección de Datos Personales, que establece lo siguiente:</w:t>
      </w:r>
    </w:p>
    <w:p w14:paraId="6DC36693" w14:textId="77777777" w:rsidR="00832119" w:rsidRPr="00140ACF" w:rsidRDefault="00832119" w:rsidP="00832119">
      <w:pPr>
        <w:tabs>
          <w:tab w:val="left" w:pos="4962"/>
        </w:tabs>
        <w:spacing w:before="120" w:after="120"/>
        <w:ind w:left="851" w:right="902"/>
        <w:jc w:val="both"/>
        <w:rPr>
          <w:rFonts w:ascii="Palatino Linotype" w:hAnsi="Palatino Linotype" w:cs="Tahoma"/>
          <w:i/>
          <w:sz w:val="22"/>
        </w:rPr>
      </w:pPr>
      <w:r w:rsidRPr="00140ACF">
        <w:rPr>
          <w:rFonts w:ascii="Palatino Linotype" w:hAnsi="Palatino Linotype" w:cs="Tahoma"/>
          <w:b/>
          <w:i/>
          <w:sz w:val="22"/>
        </w:rPr>
        <w:t>“Nombres de servidores públicos dedicados a actividades en materia de seguridad, por excepción pueden considerarse información reservada.</w:t>
      </w:r>
      <w:r w:rsidRPr="00140ACF">
        <w:rPr>
          <w:rFonts w:ascii="Palatino Linotype" w:hAnsi="Palatino Linotype" w:cs="Tahoma"/>
          <w:i/>
          <w:sz w:val="22"/>
        </w:rPr>
        <w:t xml:space="preserve"> De conformidad con el artículo 7, fracciones I y III de la Ley Federal de Transparencia </w:t>
      </w:r>
      <w:r w:rsidRPr="00140ACF">
        <w:rPr>
          <w:rFonts w:ascii="Palatino Linotype" w:hAnsi="Palatino Linotype" w:cs="Tahoma"/>
          <w:i/>
          <w:sz w:val="22"/>
        </w:rPr>
        <w:lastRenderedPageBreak/>
        <w:t>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7C42F78E" w14:textId="77777777" w:rsidR="00832119" w:rsidRPr="00140ACF" w:rsidRDefault="00832119" w:rsidP="00832119">
      <w:pPr>
        <w:spacing w:before="240" w:after="240" w:line="360" w:lineRule="auto"/>
        <w:jc w:val="both"/>
        <w:rPr>
          <w:rFonts w:ascii="Palatino Linotype" w:eastAsia="Calibri" w:hAnsi="Palatino Linotype" w:cs="Tahoma"/>
          <w:bCs/>
          <w:lang w:eastAsia="en-US"/>
        </w:rPr>
      </w:pPr>
      <w:r w:rsidRPr="00140ACF">
        <w:rPr>
          <w:rFonts w:ascii="Palatino Linotype" w:eastAsia="Calibri" w:hAnsi="Palatino Linotype" w:cs="Tahoma"/>
          <w:bCs/>
          <w:lang w:eastAsia="en-US"/>
        </w:rPr>
        <w:t xml:space="preserve">De dicho criterio, se desprende que existen funciones a cargo de servidores públicos, tendentes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w:t>
      </w:r>
      <w:r w:rsidRPr="00140ACF">
        <w:rPr>
          <w:rFonts w:ascii="Palatino Linotype" w:eastAsia="Calibri" w:hAnsi="Palatino Linotype" w:cs="Tahoma"/>
          <w:b/>
          <w:bCs/>
          <w:lang w:eastAsia="en-US"/>
        </w:rPr>
        <w:t>funciones de carácter operativo.</w:t>
      </w:r>
    </w:p>
    <w:p w14:paraId="114662EF" w14:textId="77777777" w:rsidR="002C08BF" w:rsidRPr="00140ACF" w:rsidRDefault="002C08BF" w:rsidP="002C08BF">
      <w:pPr>
        <w:spacing w:before="240" w:after="360" w:line="360" w:lineRule="auto"/>
        <w:jc w:val="both"/>
        <w:rPr>
          <w:rFonts w:ascii="Palatino Linotype" w:eastAsiaTheme="minorHAnsi" w:hAnsi="Palatino Linotype" w:cstheme="minorBidi"/>
          <w:lang w:eastAsia="en-US"/>
        </w:rPr>
      </w:pPr>
      <w:r w:rsidRPr="00140ACF">
        <w:rPr>
          <w:rFonts w:ascii="Palatino Linotype" w:eastAsiaTheme="minorHAnsi" w:hAnsi="Palatino Linotype" w:cstheme="minorBidi"/>
          <w:lang w:eastAsia="en-US"/>
        </w:rPr>
        <w:t>Sirven de sustento a lo anterior las tesis jurisprudenciales emitidas por la Suprema corte de Justicia de la Nación, que son del literal siguiente:</w:t>
      </w:r>
    </w:p>
    <w:p w14:paraId="544E153C" w14:textId="77777777" w:rsidR="002C08BF" w:rsidRPr="00140ACF" w:rsidRDefault="002C08BF" w:rsidP="002C08BF">
      <w:pPr>
        <w:spacing w:before="120" w:after="120"/>
        <w:ind w:left="851" w:right="760"/>
        <w:jc w:val="both"/>
        <w:rPr>
          <w:rFonts w:ascii="Palatino Linotype" w:eastAsiaTheme="minorHAnsi" w:hAnsi="Palatino Linotype" w:cstheme="minorBidi"/>
          <w:b/>
          <w:i/>
          <w:sz w:val="22"/>
          <w:szCs w:val="20"/>
          <w:lang w:eastAsia="en-US"/>
        </w:rPr>
      </w:pPr>
      <w:r w:rsidRPr="00140ACF">
        <w:rPr>
          <w:rFonts w:ascii="Palatino Linotype" w:eastAsiaTheme="minorHAnsi" w:hAnsi="Palatino Linotype" w:cstheme="minorBidi"/>
          <w:b/>
          <w:i/>
          <w:sz w:val="22"/>
          <w:szCs w:val="20"/>
          <w:lang w:eastAsia="en-US"/>
        </w:rPr>
        <w:lastRenderedPageBreak/>
        <w:t xml:space="preserve">“DERECHO A LA INFORMACIÓN. SU EJERCICIO SE ENCUENTRA LIMITADO TANTO POR LOS INTERESES NACIONALES Y DE LA SOCIEDAD, COMO POR LOS DERECHOS DE TERCEROS. </w:t>
      </w:r>
      <w:r w:rsidRPr="00140ACF">
        <w:rPr>
          <w:rFonts w:ascii="Palatino Linotype" w:eastAsiaTheme="minorHAnsi" w:hAnsi="Palatino Linotype" w:cstheme="minorBidi"/>
          <w:i/>
          <w:sz w:val="22"/>
          <w:szCs w:val="20"/>
          <w:lang w:eastAsia="en-US"/>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140ACF">
        <w:rPr>
          <w:rFonts w:ascii="Palatino Linotype" w:eastAsiaTheme="minorHAnsi" w:hAnsi="Palatino Linotype" w:cstheme="minorBidi"/>
          <w:b/>
          <w:i/>
          <w:sz w:val="22"/>
          <w:szCs w:val="20"/>
          <w:lang w:eastAsia="en-US"/>
        </w:rPr>
        <w:t>restringen el acceso a la información en esta materia, en razón de que su conocimiento público puede generar daños a los intereses nacionales y, por el otro, sancionan la inobservancia de esa reserva;</w:t>
      </w:r>
      <w:r w:rsidRPr="00140ACF">
        <w:rPr>
          <w:rFonts w:ascii="Palatino Linotype" w:eastAsiaTheme="minorHAnsi" w:hAnsi="Palatino Linotype" w:cstheme="minorBidi"/>
          <w:i/>
          <w:sz w:val="22"/>
          <w:szCs w:val="20"/>
          <w:lang w:eastAsia="en-US"/>
        </w:rPr>
        <w:t xml:space="preserve"> por lo que hace al interés social, se cuenta con normas que tienden a proteger la averiguación de los delitos, la salud y la moral públicas, </w:t>
      </w:r>
      <w:r w:rsidRPr="00140ACF">
        <w:rPr>
          <w:rFonts w:ascii="Palatino Linotype" w:eastAsiaTheme="minorHAnsi" w:hAnsi="Palatino Linotype" w:cstheme="minorBidi"/>
          <w:b/>
          <w:i/>
          <w:sz w:val="22"/>
          <w:szCs w:val="20"/>
          <w:lang w:eastAsia="en-US"/>
        </w:rPr>
        <w:t>mientras que por lo que respecta a la protección de la persona existen normas que protegen el derecho a la vida o a la privacidad de los gobernados.</w:t>
      </w:r>
      <w:r w:rsidRPr="00140ACF">
        <w:rPr>
          <w:rFonts w:ascii="Palatino Linotype" w:eastAsiaTheme="minorHAnsi" w:hAnsi="Palatino Linotype" w:cstheme="minorBidi"/>
          <w:i/>
          <w:sz w:val="22"/>
          <w:szCs w:val="20"/>
          <w:lang w:eastAsia="en-US"/>
        </w:rPr>
        <w:t>”</w:t>
      </w:r>
    </w:p>
    <w:p w14:paraId="5291714B" w14:textId="77777777" w:rsidR="002C08BF" w:rsidRPr="00140ACF" w:rsidRDefault="002C08BF" w:rsidP="002C08BF">
      <w:pPr>
        <w:spacing w:before="120" w:after="120"/>
        <w:ind w:left="851" w:right="760"/>
        <w:jc w:val="both"/>
        <w:rPr>
          <w:rFonts w:ascii="Palatino Linotype" w:eastAsiaTheme="minorHAnsi" w:hAnsi="Palatino Linotype" w:cstheme="minorBidi"/>
          <w:i/>
          <w:sz w:val="22"/>
          <w:szCs w:val="20"/>
          <w:lang w:eastAsia="en-US"/>
        </w:rPr>
      </w:pPr>
    </w:p>
    <w:p w14:paraId="30B42390" w14:textId="77777777" w:rsidR="002C08BF" w:rsidRPr="00140ACF" w:rsidRDefault="002C08BF" w:rsidP="002C08BF">
      <w:pPr>
        <w:spacing w:before="120" w:after="120"/>
        <w:ind w:left="851" w:right="760"/>
        <w:jc w:val="both"/>
        <w:rPr>
          <w:rFonts w:ascii="Palatino Linotype" w:eastAsiaTheme="minorHAnsi" w:hAnsi="Palatino Linotype" w:cstheme="minorBidi"/>
          <w:i/>
          <w:sz w:val="22"/>
          <w:szCs w:val="20"/>
          <w:lang w:eastAsia="en-US"/>
        </w:rPr>
      </w:pPr>
      <w:r w:rsidRPr="00140ACF">
        <w:rPr>
          <w:rFonts w:ascii="Palatino Linotype" w:eastAsiaTheme="minorHAnsi" w:hAnsi="Palatino Linotype" w:cstheme="minorBidi"/>
          <w:b/>
          <w:i/>
          <w:sz w:val="22"/>
          <w:szCs w:val="20"/>
          <w:lang w:eastAsia="en-US"/>
        </w:rPr>
        <w:t>“TRANSPARENCIA Y ACCESO A LA INFORMACIÓN PÚBLICA GUBERNAMENTAL. EL ARTÍCULO 14, FRACCIÓN I, DE LA LEY FEDERAL RELATIVA, NO VIOLA LA GARANTÍA DE ACCESO A LA INFORMACIÓN.</w:t>
      </w:r>
      <w:r w:rsidRPr="00140ACF">
        <w:rPr>
          <w:rFonts w:ascii="Palatino Linotype" w:eastAsiaTheme="minorHAnsi" w:hAnsi="Palatino Linotype" w:cstheme="minorBidi"/>
          <w:i/>
          <w:sz w:val="22"/>
          <w:szCs w:val="20"/>
          <w:lang w:eastAsia="en-US"/>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w:t>
      </w:r>
      <w:r w:rsidRPr="00140ACF">
        <w:rPr>
          <w:rFonts w:ascii="Palatino Linotype" w:eastAsiaTheme="minorHAnsi" w:hAnsi="Palatino Linotype" w:cstheme="minorBidi"/>
          <w:i/>
          <w:sz w:val="22"/>
          <w:szCs w:val="20"/>
          <w:lang w:eastAsia="en-US"/>
        </w:rPr>
        <w:lastRenderedPageBreak/>
        <w:t xml:space="preserve">Política de los Estados Unidos Mexicanos, porque es jurídicamente adecuado que en las leyes reguladoras de cada materia, </w:t>
      </w:r>
      <w:r w:rsidRPr="00140ACF">
        <w:rPr>
          <w:rFonts w:ascii="Palatino Linotype" w:eastAsiaTheme="minorHAnsi" w:hAnsi="Palatino Linotype" w:cstheme="minorBidi"/>
          <w:b/>
          <w:i/>
          <w:sz w:val="22"/>
          <w:szCs w:val="20"/>
          <w:lang w:eastAsia="en-US"/>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140ACF">
        <w:rPr>
          <w:rFonts w:ascii="Palatino Linotype" w:eastAsiaTheme="minorHAnsi" w:hAnsi="Palatino Linotype" w:cstheme="minorBidi"/>
          <w:i/>
          <w:sz w:val="22"/>
          <w:szCs w:val="20"/>
          <w:lang w:eastAsia="en-US"/>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09C51293" w14:textId="77777777" w:rsidR="002C08BF" w:rsidRPr="00140ACF" w:rsidRDefault="002C08BF" w:rsidP="002C08BF">
      <w:pPr>
        <w:widowControl w:val="0"/>
        <w:autoSpaceDE w:val="0"/>
        <w:autoSpaceDN w:val="0"/>
        <w:adjustRightInd w:val="0"/>
        <w:spacing w:before="240" w:after="240" w:line="360" w:lineRule="auto"/>
        <w:jc w:val="both"/>
        <w:rPr>
          <w:rFonts w:ascii="Palatino Linotype" w:hAnsi="Palatino Linotype"/>
        </w:rPr>
      </w:pPr>
      <w:r w:rsidRPr="00140ACF">
        <w:rPr>
          <w:rFonts w:ascii="Palatino Linotype" w:hAnsi="Palatino Linotype" w:cs="Arial"/>
        </w:rPr>
        <w:t xml:space="preserve">El Acuerdo de Clasificación de Información, se emitirá en términos de lo dispuesto tanto como en los en </w:t>
      </w:r>
      <w:r w:rsidRPr="00140ACF">
        <w:rPr>
          <w:rFonts w:ascii="Palatino Linotype" w:hAnsi="Palatino Linotype"/>
        </w:rPr>
        <w:t>los artículos 128 y 129 de la Ley de Transparencia y Acceso a la Información Pública del Estado de México y Municipios, como en los</w:t>
      </w:r>
      <w:r w:rsidRPr="00140ACF">
        <w:rPr>
          <w:rFonts w:ascii="Palatino Linotype" w:hAnsi="Palatino Linotype" w:cs="Arial"/>
        </w:rPr>
        <w:t xml:space="preserve">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w:t>
      </w:r>
      <w:r w:rsidRPr="00140ACF">
        <w:rPr>
          <w:rFonts w:ascii="Palatino Linotype" w:hAnsi="Palatino Linotype"/>
        </w:rPr>
        <w:t xml:space="preserve">motivando la referida clasificación al señalar las </w:t>
      </w:r>
      <w:r w:rsidRPr="00140ACF">
        <w:rPr>
          <w:rFonts w:ascii="Palatino Linotype" w:hAnsi="Palatino Linotype"/>
          <w:b/>
          <w:u w:val="single"/>
        </w:rPr>
        <w:t>razones, motivos o circunstancias especiales</w:t>
      </w:r>
      <w:r w:rsidRPr="00140ACF">
        <w:rPr>
          <w:rFonts w:ascii="Palatino Linotype" w:hAnsi="Palatino Linotype"/>
        </w:rPr>
        <w:t xml:space="preserve"> que lo llevaron a concluir que el caso concreto, se ajustó a los supuestos previstos en la normatividad legal invocada como fundamento, para dichos efectos, debe proceder a su vez a realizar una prueba de daño, en la que se justificaran las razones, motivos y circunstancias que avalen que la divulgación de la información representa un riesgo real, demostrable e identificable de perjuicio significativo al interés público o a la seguridad nacional; que el riesgo de perjuicio que supondría la divulgación supera el interés público general de que se difunda, y que la limitación sea adecuada al principio de proporcionalidad y representa el medio menos restrictivo disponible </w:t>
      </w:r>
      <w:r w:rsidRPr="00140ACF">
        <w:rPr>
          <w:rFonts w:ascii="Palatino Linotype" w:hAnsi="Palatino Linotype"/>
        </w:rPr>
        <w:lastRenderedPageBreak/>
        <w:t>para evitar el perjuicio.</w:t>
      </w:r>
    </w:p>
    <w:p w14:paraId="08C39CC0" w14:textId="77777777" w:rsidR="006069BC" w:rsidRPr="00140ACF" w:rsidRDefault="006069BC" w:rsidP="006069BC">
      <w:pPr>
        <w:spacing w:before="240" w:after="240" w:line="360" w:lineRule="auto"/>
        <w:ind w:right="51"/>
        <w:jc w:val="both"/>
        <w:rPr>
          <w:rFonts w:ascii="Palatino Linotype" w:eastAsia="Palatino Linotype" w:hAnsi="Palatino Linotype" w:cs="Palatino Linotype"/>
        </w:rPr>
      </w:pPr>
      <w:r w:rsidRPr="00140ACF">
        <w:rPr>
          <w:rFonts w:ascii="Palatino Linotype" w:eastAsia="Palatino Linotype" w:hAnsi="Palatino Linotype" w:cs="Palatino Linotype"/>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53612274" w14:textId="77777777" w:rsidR="006069BC" w:rsidRPr="00140ACF" w:rsidRDefault="006069BC" w:rsidP="006069BC">
      <w:pPr>
        <w:ind w:left="851" w:right="900"/>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b/>
          <w:i/>
          <w:sz w:val="22"/>
          <w:szCs w:val="22"/>
        </w:rPr>
        <w:t>“Artículo 49.</w:t>
      </w:r>
      <w:r w:rsidRPr="00140ACF">
        <w:rPr>
          <w:rFonts w:ascii="Palatino Linotype" w:eastAsia="Palatino Linotype" w:hAnsi="Palatino Linotype" w:cs="Palatino Linotype"/>
          <w:i/>
          <w:sz w:val="22"/>
          <w:szCs w:val="22"/>
        </w:rPr>
        <w:t xml:space="preserve"> </w:t>
      </w:r>
      <w:r w:rsidRPr="00140ACF">
        <w:rPr>
          <w:rFonts w:ascii="Palatino Linotype" w:eastAsia="Palatino Linotype" w:hAnsi="Palatino Linotype" w:cs="Palatino Linotype"/>
          <w:b/>
          <w:i/>
          <w:sz w:val="22"/>
          <w:szCs w:val="22"/>
        </w:rPr>
        <w:t>Los Comités de Transparencia</w:t>
      </w:r>
      <w:r w:rsidRPr="00140ACF">
        <w:rPr>
          <w:rFonts w:ascii="Palatino Linotype" w:eastAsia="Palatino Linotype" w:hAnsi="Palatino Linotype" w:cs="Palatino Linotype"/>
          <w:i/>
          <w:sz w:val="22"/>
          <w:szCs w:val="22"/>
        </w:rPr>
        <w:t xml:space="preserve"> tendrán las siguientes atribuciones:</w:t>
      </w:r>
    </w:p>
    <w:p w14:paraId="50739887" w14:textId="77777777" w:rsidR="006069BC" w:rsidRPr="00140ACF" w:rsidRDefault="006069BC" w:rsidP="006069BC">
      <w:pPr>
        <w:ind w:left="1134" w:right="900"/>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b/>
          <w:i/>
          <w:sz w:val="22"/>
          <w:szCs w:val="22"/>
        </w:rPr>
        <w:t>VIII. Aprobar, modificar o revocar la clasificación de la información</w:t>
      </w:r>
      <w:r w:rsidRPr="00140ACF">
        <w:rPr>
          <w:rFonts w:ascii="Palatino Linotype" w:eastAsia="Palatino Linotype" w:hAnsi="Palatino Linotype" w:cs="Palatino Linotype"/>
          <w:i/>
          <w:sz w:val="22"/>
          <w:szCs w:val="22"/>
        </w:rPr>
        <w:t>…”</w:t>
      </w:r>
    </w:p>
    <w:p w14:paraId="7DAF4B74" w14:textId="77777777" w:rsidR="006069BC" w:rsidRPr="00140ACF" w:rsidRDefault="006069BC" w:rsidP="006069BC">
      <w:pPr>
        <w:ind w:left="1134" w:right="900"/>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i/>
          <w:sz w:val="22"/>
          <w:szCs w:val="22"/>
        </w:rPr>
        <w:t>“</w:t>
      </w:r>
      <w:r w:rsidRPr="00140ACF">
        <w:rPr>
          <w:rFonts w:ascii="Palatino Linotype" w:eastAsia="Palatino Linotype" w:hAnsi="Palatino Linotype" w:cs="Palatino Linotype"/>
          <w:b/>
          <w:i/>
          <w:sz w:val="22"/>
          <w:szCs w:val="22"/>
        </w:rPr>
        <w:t>Artículo 53.</w:t>
      </w:r>
      <w:r w:rsidRPr="00140ACF">
        <w:rPr>
          <w:rFonts w:ascii="Palatino Linotype" w:eastAsia="Palatino Linotype" w:hAnsi="Palatino Linotype" w:cs="Palatino Linotype"/>
          <w:i/>
          <w:sz w:val="22"/>
          <w:szCs w:val="22"/>
        </w:rPr>
        <w:t xml:space="preserve"> Las </w:t>
      </w:r>
      <w:r w:rsidRPr="00140ACF">
        <w:rPr>
          <w:rFonts w:ascii="Palatino Linotype" w:eastAsia="Palatino Linotype" w:hAnsi="Palatino Linotype" w:cs="Palatino Linotype"/>
          <w:b/>
          <w:i/>
          <w:sz w:val="22"/>
          <w:szCs w:val="22"/>
        </w:rPr>
        <w:t>Unidades de Transparencia</w:t>
      </w:r>
      <w:r w:rsidRPr="00140ACF">
        <w:rPr>
          <w:rFonts w:ascii="Palatino Linotype" w:eastAsia="Palatino Linotype" w:hAnsi="Palatino Linotype" w:cs="Palatino Linotype"/>
          <w:i/>
          <w:sz w:val="22"/>
          <w:szCs w:val="22"/>
        </w:rPr>
        <w:t xml:space="preserve"> tendrán las siguientes </w:t>
      </w:r>
      <w:r w:rsidRPr="00140ACF">
        <w:rPr>
          <w:rFonts w:ascii="Palatino Linotype" w:eastAsia="Palatino Linotype" w:hAnsi="Palatino Linotype" w:cs="Palatino Linotype"/>
          <w:b/>
          <w:i/>
          <w:sz w:val="22"/>
          <w:szCs w:val="22"/>
        </w:rPr>
        <w:t>funciones</w:t>
      </w:r>
      <w:r w:rsidRPr="00140ACF">
        <w:rPr>
          <w:rFonts w:ascii="Palatino Linotype" w:eastAsia="Palatino Linotype" w:hAnsi="Palatino Linotype" w:cs="Palatino Linotype"/>
          <w:i/>
          <w:sz w:val="22"/>
          <w:szCs w:val="22"/>
        </w:rPr>
        <w:t>:</w:t>
      </w:r>
    </w:p>
    <w:p w14:paraId="48EEAE3B" w14:textId="77777777" w:rsidR="006069BC" w:rsidRPr="00140ACF" w:rsidRDefault="006069BC" w:rsidP="006069BC">
      <w:pPr>
        <w:ind w:left="1134" w:right="900"/>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b/>
          <w:i/>
          <w:sz w:val="22"/>
          <w:szCs w:val="22"/>
        </w:rPr>
        <w:t>X. Presentar ante el Comité, el proyecto de clasificación de información</w:t>
      </w:r>
      <w:r w:rsidRPr="00140ACF">
        <w:rPr>
          <w:rFonts w:ascii="Palatino Linotype" w:eastAsia="Palatino Linotype" w:hAnsi="Palatino Linotype" w:cs="Palatino Linotype"/>
          <w:i/>
          <w:sz w:val="22"/>
          <w:szCs w:val="22"/>
        </w:rPr>
        <w:t xml:space="preserve">…” </w:t>
      </w:r>
    </w:p>
    <w:p w14:paraId="079EE87A" w14:textId="77777777" w:rsidR="006069BC" w:rsidRPr="00140ACF" w:rsidRDefault="006069BC" w:rsidP="006069BC">
      <w:pPr>
        <w:ind w:left="851" w:right="900"/>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b/>
          <w:i/>
          <w:sz w:val="22"/>
          <w:szCs w:val="22"/>
        </w:rPr>
        <w:t>“Artículo 59.</w:t>
      </w:r>
      <w:r w:rsidRPr="00140ACF">
        <w:rPr>
          <w:rFonts w:ascii="Palatino Linotype" w:eastAsia="Palatino Linotype" w:hAnsi="Palatino Linotype" w:cs="Palatino Linotype"/>
          <w:i/>
          <w:sz w:val="22"/>
          <w:szCs w:val="22"/>
        </w:rPr>
        <w:t xml:space="preserve"> Los </w:t>
      </w:r>
      <w:r w:rsidRPr="00140ACF">
        <w:rPr>
          <w:rFonts w:ascii="Palatino Linotype" w:eastAsia="Palatino Linotype" w:hAnsi="Palatino Linotype" w:cs="Palatino Linotype"/>
          <w:b/>
          <w:i/>
          <w:sz w:val="22"/>
          <w:szCs w:val="22"/>
        </w:rPr>
        <w:t>servidores públicos habilitados</w:t>
      </w:r>
      <w:r w:rsidRPr="00140ACF">
        <w:rPr>
          <w:rFonts w:ascii="Palatino Linotype" w:eastAsia="Palatino Linotype" w:hAnsi="Palatino Linotype" w:cs="Palatino Linotype"/>
          <w:i/>
          <w:sz w:val="22"/>
          <w:szCs w:val="22"/>
        </w:rPr>
        <w:t xml:space="preserve"> tendrán las </w:t>
      </w:r>
      <w:r w:rsidRPr="00140ACF">
        <w:rPr>
          <w:rFonts w:ascii="Palatino Linotype" w:eastAsia="Palatino Linotype" w:hAnsi="Palatino Linotype" w:cs="Palatino Linotype"/>
          <w:b/>
          <w:i/>
          <w:sz w:val="22"/>
          <w:szCs w:val="22"/>
        </w:rPr>
        <w:t>funciones</w:t>
      </w:r>
      <w:r w:rsidRPr="00140ACF">
        <w:rPr>
          <w:rFonts w:ascii="Palatino Linotype" w:eastAsia="Palatino Linotype" w:hAnsi="Palatino Linotype" w:cs="Palatino Linotype"/>
          <w:i/>
          <w:sz w:val="22"/>
          <w:szCs w:val="22"/>
        </w:rPr>
        <w:t xml:space="preserve"> siguientes:</w:t>
      </w:r>
    </w:p>
    <w:p w14:paraId="76493808" w14:textId="77777777" w:rsidR="006069BC" w:rsidRPr="00140ACF" w:rsidRDefault="006069BC" w:rsidP="006069BC">
      <w:pPr>
        <w:ind w:left="1134" w:right="900"/>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140ACF">
        <w:rPr>
          <w:rFonts w:ascii="Palatino Linotype" w:eastAsia="Palatino Linotype" w:hAnsi="Palatino Linotype" w:cs="Palatino Linotype"/>
          <w:i/>
          <w:sz w:val="22"/>
          <w:szCs w:val="22"/>
        </w:rPr>
        <w:t>, la cual tendrá los fundamentos y argumentos en que se basa dicha propuesta…”(Sic)</w:t>
      </w:r>
    </w:p>
    <w:p w14:paraId="71F76F15" w14:textId="77777777" w:rsidR="006069BC" w:rsidRPr="00140ACF" w:rsidRDefault="006069BC" w:rsidP="006069BC">
      <w:pPr>
        <w:spacing w:before="240" w:after="240" w:line="360" w:lineRule="auto"/>
        <w:jc w:val="both"/>
        <w:rPr>
          <w:rFonts w:ascii="Palatino Linotype" w:eastAsia="Palatino Linotype" w:hAnsi="Palatino Linotype" w:cs="Palatino Linotype"/>
        </w:rPr>
      </w:pPr>
      <w:r w:rsidRPr="00140ACF">
        <w:rPr>
          <w:rFonts w:ascii="Palatino Linotype" w:eastAsia="Palatino Linotype" w:hAnsi="Palatino Linotype" w:cs="Palatino Linotype"/>
        </w:rPr>
        <w:t xml:space="preserve">Denotándose de dichos elementos normativos que el determinar la clasificación de la información es un trabajo en conjunto tanto de los Servidores Públicos Habilitados, de las Unidades de Transparencia y del Comité de Transparencia del </w:t>
      </w:r>
      <w:r w:rsidRPr="00140ACF">
        <w:rPr>
          <w:rFonts w:ascii="Palatino Linotype" w:eastAsia="Palatino Linotype" w:hAnsi="Palatino Linotype" w:cs="Palatino Linotype"/>
          <w:b/>
        </w:rPr>
        <w:t>Sujeto Obligado</w:t>
      </w:r>
      <w:r w:rsidRPr="00140ACF">
        <w:rPr>
          <w:rFonts w:ascii="Palatino Linotype" w:eastAsia="Palatino Linotype" w:hAnsi="Palatino Linotype" w:cs="Palatino Linotype"/>
        </w:rPr>
        <w:t xml:space="preserve">, teniendo el deber los primeros de ellos de presentar ante la Unidad de Transparencia la propuesta de la clasificación de la información, para que luego ésta presente ante al Comité de Transparencia de así resultar procedente el </w:t>
      </w:r>
      <w:r w:rsidRPr="00140ACF">
        <w:rPr>
          <w:rFonts w:ascii="Palatino Linotype" w:eastAsia="Palatino Linotype" w:hAnsi="Palatino Linotype" w:cs="Palatino Linotype"/>
        </w:rPr>
        <w:lastRenderedPageBreak/>
        <w:t>proyecto de clasificación de la información y finalmente sea éste último quien apruebe, modifique o revoque la clasificación de la información solicitada.</w:t>
      </w:r>
    </w:p>
    <w:p w14:paraId="3C6D7349" w14:textId="77777777" w:rsidR="006069BC" w:rsidRPr="00140ACF" w:rsidRDefault="006069BC" w:rsidP="006069BC">
      <w:pPr>
        <w:spacing w:before="240" w:after="240" w:line="360" w:lineRule="auto"/>
        <w:jc w:val="both"/>
        <w:rPr>
          <w:rFonts w:ascii="Palatino Linotype" w:eastAsia="Palatino Linotype" w:hAnsi="Palatino Linotype" w:cs="Palatino Linotype"/>
        </w:rPr>
      </w:pPr>
      <w:r w:rsidRPr="00140ACF">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4DEC9EB2" w14:textId="77777777" w:rsidR="006069BC" w:rsidRPr="00140ACF" w:rsidRDefault="006069BC" w:rsidP="006069BC">
      <w:pPr>
        <w:spacing w:after="240"/>
        <w:ind w:left="851" w:right="900"/>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i/>
          <w:sz w:val="22"/>
          <w:szCs w:val="22"/>
        </w:rPr>
        <w:t>“</w:t>
      </w:r>
      <w:r w:rsidRPr="00140ACF">
        <w:rPr>
          <w:rFonts w:ascii="Palatino Linotype" w:eastAsia="Palatino Linotype" w:hAnsi="Palatino Linotype" w:cs="Palatino Linotype"/>
          <w:b/>
          <w:i/>
          <w:sz w:val="22"/>
          <w:szCs w:val="22"/>
        </w:rPr>
        <w:t>Artículo 149.</w:t>
      </w:r>
      <w:r w:rsidRPr="00140ACF">
        <w:rPr>
          <w:rFonts w:ascii="Palatino Linotype" w:eastAsia="Palatino Linotype" w:hAnsi="Palatino Linotype" w:cs="Palatino Linotype"/>
          <w:i/>
          <w:sz w:val="22"/>
          <w:szCs w:val="22"/>
        </w:rPr>
        <w:t xml:space="preserve"> El </w:t>
      </w:r>
      <w:r w:rsidRPr="00140ACF">
        <w:rPr>
          <w:rFonts w:ascii="Palatino Linotype" w:eastAsia="Palatino Linotype" w:hAnsi="Palatino Linotype" w:cs="Palatino Linotype"/>
          <w:b/>
          <w:i/>
          <w:sz w:val="22"/>
          <w:szCs w:val="22"/>
        </w:rPr>
        <w:t>acuerdo que clasifique la información como confidencial</w:t>
      </w:r>
      <w:r w:rsidRPr="00140ACF">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(Sic)</w:t>
      </w:r>
    </w:p>
    <w:p w14:paraId="0990F114" w14:textId="77777777" w:rsidR="006069BC" w:rsidRPr="00140ACF" w:rsidRDefault="006069BC" w:rsidP="006069BC">
      <w:pPr>
        <w:spacing w:before="240" w:after="240" w:line="360" w:lineRule="auto"/>
        <w:ind w:right="51"/>
        <w:jc w:val="both"/>
        <w:rPr>
          <w:rFonts w:ascii="Palatino Linotype" w:eastAsia="Palatino Linotype" w:hAnsi="Palatino Linotype" w:cs="Palatino Linotype"/>
        </w:rPr>
      </w:pPr>
      <w:r w:rsidRPr="00140ACF">
        <w:rPr>
          <w:rFonts w:ascii="Palatino Linotype" w:eastAsia="Palatino Linotype" w:hAnsi="Palatino Linotype" w:cs="Palatino Linotype"/>
        </w:rPr>
        <w:t xml:space="preserve">Es decir, el </w:t>
      </w:r>
      <w:r w:rsidRPr="00140ACF">
        <w:rPr>
          <w:rFonts w:ascii="Palatino Linotype" w:eastAsia="Palatino Linotype" w:hAnsi="Palatino Linotype" w:cs="Palatino Linotype"/>
          <w:b/>
        </w:rPr>
        <w:t>Sujeto Obligado</w:t>
      </w:r>
      <w:r w:rsidRPr="00140ACF">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187D3AA6" w14:textId="77777777" w:rsidR="006069BC" w:rsidRPr="00140ACF" w:rsidRDefault="006069BC" w:rsidP="006069BC">
      <w:pPr>
        <w:spacing w:before="240" w:after="240" w:line="360" w:lineRule="auto"/>
        <w:jc w:val="both"/>
        <w:rPr>
          <w:rFonts w:ascii="Palatino Linotype" w:eastAsia="Palatino Linotype" w:hAnsi="Palatino Linotype" w:cs="Palatino Linotype"/>
        </w:rPr>
      </w:pPr>
      <w:r w:rsidRPr="00140ACF">
        <w:rPr>
          <w:rFonts w:ascii="Palatino Linotype" w:eastAsia="Palatino Linotype" w:hAnsi="Palatino Linotype" w:cs="Palatino Linotype"/>
        </w:rPr>
        <w:t xml:space="preserve">Al respecto, se destaca que la versión pública que elabore el </w:t>
      </w:r>
      <w:r w:rsidRPr="00140ACF">
        <w:rPr>
          <w:rFonts w:ascii="Palatino Linotype" w:eastAsia="Palatino Linotype" w:hAnsi="Palatino Linotype" w:cs="Palatino Linotype"/>
          <w:b/>
        </w:rPr>
        <w:t>Sujeto Obligado</w:t>
      </w:r>
      <w:r w:rsidRPr="00140ACF">
        <w:rPr>
          <w:rFonts w:ascii="Palatino Linotype" w:eastAsia="Palatino Linotype" w:hAnsi="Palatino Linotype" w:cs="Palatino Linotype"/>
        </w:rPr>
        <w:t xml:space="preserve"> debe cumplir con las formalidades exigidas en la Ley; es decir, resulta necesario que el Comité de Transparencia del </w:t>
      </w:r>
      <w:r w:rsidRPr="00140ACF">
        <w:rPr>
          <w:rFonts w:ascii="Palatino Linotype" w:eastAsia="Palatino Linotype" w:hAnsi="Palatino Linotype" w:cs="Palatino Linotype"/>
          <w:b/>
        </w:rPr>
        <w:t>Sujeto Obligado</w:t>
      </w:r>
      <w:r w:rsidRPr="00140ACF">
        <w:rPr>
          <w:rFonts w:ascii="Palatino Linotype" w:eastAsia="Palatino Linotype" w:hAnsi="Palatino Linotype" w:cs="Palatino Linotype"/>
        </w:rPr>
        <w:t xml:space="preserve"> emita el Acuerdo de Clasificación correspondiente debidamente fundado y motivado, que sustente la versión pública, el cual deberá cumplir cabalmente con las formalidades previstas en el artículo 137 </w:t>
      </w:r>
      <w:r w:rsidRPr="00140ACF">
        <w:rPr>
          <w:rFonts w:ascii="Palatino Linotype" w:eastAsia="Palatino Linotype" w:hAnsi="Palatino Linotype" w:cs="Palatino Linotype"/>
        </w:rPr>
        <w:lastRenderedPageBreak/>
        <w:t xml:space="preserve">de la Ley de Transparencia y Acceso a la Información Pública del Estado de México y Municipios, ya expuesto; así como con los numerales aplicables de los </w:t>
      </w:r>
      <w:r w:rsidRPr="00140ACF">
        <w:rPr>
          <w:rFonts w:ascii="Palatino Linotype" w:eastAsia="Palatino Linotype" w:hAnsi="Palatino Linotype" w:cs="Palatino Linotype"/>
          <w:b/>
        </w:rPr>
        <w:t>LINEAMIENTOS GENERALES EN MATERIA DE CLASIFICACIÓN Y DESCLASIFICACIÓN DE LA INFORMACIÓN, ASÍ COMO PARA LA ELABORACIÓN DE VERSIONES PÚBLICAS</w:t>
      </w:r>
      <w:r w:rsidRPr="00140ACF">
        <w:rPr>
          <w:rFonts w:ascii="Palatino Linotype" w:eastAsia="Palatino Linotype" w:hAnsi="Palatino Linotype" w:cs="Palatino Linotype"/>
        </w:rPr>
        <w:t>, publicados en el Diario Oficial de la Federación en fecha quince de abril del año dos mil dieciséis, mediante Acuerdo del Consejo Nacional del Sistema Nacional de Transparencia, Acceso a la Información Pública y Protección de Datos Personales, que señalan:</w:t>
      </w:r>
    </w:p>
    <w:p w14:paraId="173FB67E" w14:textId="77777777" w:rsidR="006069BC" w:rsidRPr="00140ACF" w:rsidRDefault="006069BC" w:rsidP="006069BC">
      <w:pPr>
        <w:ind w:left="851" w:right="900"/>
        <w:jc w:val="both"/>
        <w:rPr>
          <w:rFonts w:ascii="Palatino Linotype" w:eastAsia="Palatino Linotype" w:hAnsi="Palatino Linotype" w:cs="Palatino Linotype"/>
          <w:b/>
          <w:i/>
          <w:sz w:val="22"/>
          <w:szCs w:val="22"/>
        </w:rPr>
      </w:pPr>
      <w:r w:rsidRPr="00140ACF">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0248BE7E" w14:textId="77777777" w:rsidR="006069BC" w:rsidRPr="00140ACF" w:rsidRDefault="006069BC" w:rsidP="006069BC">
      <w:pPr>
        <w:ind w:left="851" w:right="900"/>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i/>
          <w:sz w:val="22"/>
          <w:szCs w:val="22"/>
        </w:rPr>
        <w:t>“</w:t>
      </w:r>
      <w:r w:rsidRPr="00140ACF">
        <w:rPr>
          <w:rFonts w:ascii="Palatino Linotype" w:eastAsia="Palatino Linotype" w:hAnsi="Palatino Linotype" w:cs="Palatino Linotype"/>
          <w:b/>
          <w:i/>
          <w:sz w:val="22"/>
          <w:szCs w:val="22"/>
        </w:rPr>
        <w:t>Segundo.-</w:t>
      </w:r>
      <w:r w:rsidRPr="00140ACF">
        <w:rPr>
          <w:rFonts w:ascii="Palatino Linotype" w:eastAsia="Palatino Linotype" w:hAnsi="Palatino Linotype" w:cs="Palatino Linotype"/>
          <w:i/>
          <w:sz w:val="22"/>
          <w:szCs w:val="22"/>
        </w:rPr>
        <w:t xml:space="preserve"> Para efectos de los presentes Lineamientos Generales, se entenderá por:</w:t>
      </w:r>
    </w:p>
    <w:p w14:paraId="3BC09C86" w14:textId="77777777" w:rsidR="006069BC" w:rsidRPr="00140ACF" w:rsidRDefault="006069BC" w:rsidP="006069BC">
      <w:pPr>
        <w:ind w:left="851" w:right="900"/>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b/>
          <w:i/>
          <w:sz w:val="22"/>
          <w:szCs w:val="22"/>
        </w:rPr>
        <w:t>XVIII.</w:t>
      </w:r>
      <w:r w:rsidRPr="00140ACF">
        <w:rPr>
          <w:rFonts w:ascii="Palatino Linotype" w:eastAsia="Palatino Linotype" w:hAnsi="Palatino Linotype" w:cs="Palatino Linotype"/>
          <w:i/>
          <w:sz w:val="22"/>
          <w:szCs w:val="22"/>
        </w:rPr>
        <w:t xml:space="preserve"> </w:t>
      </w:r>
      <w:r w:rsidRPr="00140ACF">
        <w:rPr>
          <w:rFonts w:ascii="Palatino Linotype" w:eastAsia="Palatino Linotype" w:hAnsi="Palatino Linotype" w:cs="Palatino Linotype"/>
          <w:b/>
          <w:i/>
          <w:sz w:val="22"/>
          <w:szCs w:val="22"/>
        </w:rPr>
        <w:t>Versión pública:</w:t>
      </w:r>
      <w:r w:rsidRPr="00140ACF">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140ACF">
        <w:rPr>
          <w:rFonts w:ascii="Palatino Linotype" w:eastAsia="Palatino Linotype" w:hAnsi="Palatino Linotype" w:cs="Palatino Linotype"/>
          <w:b/>
          <w:i/>
          <w:sz w:val="22"/>
          <w:szCs w:val="22"/>
          <w:u w:val="single"/>
        </w:rPr>
        <w:t>fundando y motivando la</w:t>
      </w:r>
      <w:r w:rsidRPr="00140ACF">
        <w:rPr>
          <w:rFonts w:ascii="Palatino Linotype" w:eastAsia="Palatino Linotype" w:hAnsi="Palatino Linotype" w:cs="Palatino Linotype"/>
          <w:i/>
          <w:sz w:val="22"/>
          <w:szCs w:val="22"/>
        </w:rPr>
        <w:t xml:space="preserve"> reserva o </w:t>
      </w:r>
      <w:r w:rsidRPr="00140ACF">
        <w:rPr>
          <w:rFonts w:ascii="Palatino Linotype" w:eastAsia="Palatino Linotype" w:hAnsi="Palatino Linotype" w:cs="Palatino Linotype"/>
          <w:b/>
          <w:i/>
          <w:sz w:val="22"/>
          <w:szCs w:val="22"/>
          <w:u w:val="single"/>
        </w:rPr>
        <w:t>confidencialidad</w:t>
      </w:r>
      <w:r w:rsidRPr="00140ACF">
        <w:rPr>
          <w:rFonts w:ascii="Palatino Linotype" w:eastAsia="Palatino Linotype" w:hAnsi="Palatino Linotype" w:cs="Palatino Linotype"/>
          <w:i/>
          <w:sz w:val="22"/>
          <w:szCs w:val="22"/>
        </w:rPr>
        <w:t>, a través de la resolución que para tal efecto emita el Comité de Transparencia.</w:t>
      </w:r>
    </w:p>
    <w:p w14:paraId="674195B9" w14:textId="77777777" w:rsidR="006069BC" w:rsidRPr="00140ACF" w:rsidRDefault="006069BC" w:rsidP="006069BC">
      <w:pPr>
        <w:ind w:left="851" w:right="900"/>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b/>
          <w:i/>
          <w:sz w:val="22"/>
          <w:szCs w:val="22"/>
        </w:rPr>
        <w:t>Cuarto.</w:t>
      </w:r>
      <w:r w:rsidRPr="00140ACF">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A19D144" w14:textId="77777777" w:rsidR="006069BC" w:rsidRPr="00140ACF" w:rsidRDefault="006069BC" w:rsidP="006069BC">
      <w:pPr>
        <w:ind w:left="851" w:right="900"/>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2B7E0F99" w14:textId="77777777" w:rsidR="006069BC" w:rsidRPr="00140ACF" w:rsidRDefault="006069BC" w:rsidP="006069BC">
      <w:pPr>
        <w:ind w:left="851" w:right="900"/>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b/>
          <w:i/>
          <w:sz w:val="22"/>
          <w:szCs w:val="22"/>
        </w:rPr>
        <w:t>Quinto.</w:t>
      </w:r>
      <w:r w:rsidRPr="00140ACF">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w:t>
      </w:r>
      <w:r w:rsidRPr="00140ACF">
        <w:rPr>
          <w:rFonts w:ascii="Palatino Linotype" w:eastAsia="Palatino Linotype" w:hAnsi="Palatino Linotype" w:cs="Palatino Linotype"/>
          <w:i/>
          <w:sz w:val="22"/>
          <w:szCs w:val="22"/>
        </w:rPr>
        <w:lastRenderedPageBreak/>
        <w:t>transparencia, observando lo dispuesto en la Ley General y las demás disposiciones aplicables en la materia.</w:t>
      </w:r>
    </w:p>
    <w:p w14:paraId="1E2917A8" w14:textId="77777777" w:rsidR="006069BC" w:rsidRPr="00140ACF" w:rsidRDefault="006069BC" w:rsidP="006069BC">
      <w:pPr>
        <w:ind w:left="851" w:right="900"/>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b/>
          <w:i/>
          <w:sz w:val="22"/>
          <w:szCs w:val="22"/>
        </w:rPr>
        <w:t>Sexto.</w:t>
      </w:r>
      <w:r w:rsidRPr="00140ACF">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97D4EEA" w14:textId="77777777" w:rsidR="006069BC" w:rsidRPr="00140ACF" w:rsidRDefault="006069BC" w:rsidP="006069BC">
      <w:pPr>
        <w:ind w:left="851" w:right="900"/>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47493A67" w14:textId="77777777" w:rsidR="006069BC" w:rsidRPr="00140ACF" w:rsidRDefault="006069BC" w:rsidP="006069BC">
      <w:pPr>
        <w:ind w:left="851" w:right="900"/>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b/>
          <w:i/>
          <w:sz w:val="22"/>
          <w:szCs w:val="22"/>
        </w:rPr>
        <w:t>Séptimo.</w:t>
      </w:r>
      <w:r w:rsidRPr="00140ACF">
        <w:rPr>
          <w:rFonts w:ascii="Palatino Linotype" w:eastAsia="Palatino Linotype" w:hAnsi="Palatino Linotype" w:cs="Palatino Linotype"/>
          <w:i/>
          <w:sz w:val="22"/>
          <w:szCs w:val="22"/>
        </w:rPr>
        <w:t xml:space="preserve"> La clasificación de la información se llevará a cabo en el momento en que:</w:t>
      </w:r>
    </w:p>
    <w:p w14:paraId="5F5261A0" w14:textId="77777777" w:rsidR="006069BC" w:rsidRPr="00140ACF" w:rsidRDefault="006069BC" w:rsidP="006069BC">
      <w:pPr>
        <w:ind w:left="851" w:right="900"/>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b/>
          <w:i/>
          <w:sz w:val="22"/>
          <w:szCs w:val="22"/>
        </w:rPr>
        <w:t>I.</w:t>
      </w:r>
      <w:r w:rsidRPr="00140ACF">
        <w:rPr>
          <w:rFonts w:ascii="Palatino Linotype" w:eastAsia="Palatino Linotype" w:hAnsi="Palatino Linotype" w:cs="Palatino Linotype"/>
          <w:i/>
          <w:sz w:val="22"/>
          <w:szCs w:val="22"/>
        </w:rPr>
        <w:t xml:space="preserve"> Se reciba una solicitud de acceso a la información;</w:t>
      </w:r>
    </w:p>
    <w:p w14:paraId="767819A7" w14:textId="77777777" w:rsidR="006069BC" w:rsidRPr="00140ACF" w:rsidRDefault="006069BC" w:rsidP="006069BC">
      <w:pPr>
        <w:ind w:left="851" w:right="900"/>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b/>
          <w:i/>
          <w:sz w:val="22"/>
          <w:szCs w:val="22"/>
        </w:rPr>
        <w:t>II.</w:t>
      </w:r>
      <w:r w:rsidRPr="00140ACF">
        <w:rPr>
          <w:rFonts w:ascii="Palatino Linotype" w:eastAsia="Palatino Linotype" w:hAnsi="Palatino Linotype" w:cs="Palatino Linotype"/>
          <w:i/>
          <w:sz w:val="22"/>
          <w:szCs w:val="22"/>
        </w:rPr>
        <w:t xml:space="preserve"> Se determine mediante resolución de autoridad competente, o</w:t>
      </w:r>
    </w:p>
    <w:p w14:paraId="787D1666" w14:textId="77777777" w:rsidR="006069BC" w:rsidRPr="00140ACF" w:rsidRDefault="006069BC" w:rsidP="006069BC">
      <w:pPr>
        <w:ind w:left="851" w:right="900"/>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b/>
          <w:i/>
          <w:sz w:val="22"/>
          <w:szCs w:val="22"/>
        </w:rPr>
        <w:t>III.</w:t>
      </w:r>
      <w:r w:rsidRPr="00140ACF">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71D13546" w14:textId="77777777" w:rsidR="006069BC" w:rsidRPr="00140ACF" w:rsidRDefault="006069BC" w:rsidP="006069BC">
      <w:pPr>
        <w:ind w:left="851" w:right="900"/>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01F59FC4" w14:textId="77777777" w:rsidR="006069BC" w:rsidRPr="00140ACF" w:rsidRDefault="006069BC" w:rsidP="006069BC">
      <w:pPr>
        <w:ind w:left="851" w:right="900"/>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b/>
          <w:i/>
          <w:sz w:val="22"/>
          <w:szCs w:val="22"/>
        </w:rPr>
        <w:t>Octavo.</w:t>
      </w:r>
      <w:r w:rsidRPr="00140ACF">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6FED3E1" w14:textId="77777777" w:rsidR="006069BC" w:rsidRPr="00140ACF" w:rsidRDefault="006069BC" w:rsidP="006069BC">
      <w:pPr>
        <w:ind w:left="851" w:right="900"/>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391348FD" w14:textId="77777777" w:rsidR="006069BC" w:rsidRPr="00140ACF" w:rsidRDefault="006069BC" w:rsidP="006069BC">
      <w:pPr>
        <w:ind w:left="851" w:right="900"/>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33E3F21F" w14:textId="77777777" w:rsidR="006069BC" w:rsidRPr="00140ACF" w:rsidRDefault="006069BC" w:rsidP="006069BC">
      <w:pPr>
        <w:ind w:left="851" w:right="900"/>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4ACC4B6E" w14:textId="77777777" w:rsidR="006069BC" w:rsidRPr="00140ACF" w:rsidRDefault="006069BC" w:rsidP="006069BC">
      <w:pPr>
        <w:ind w:left="851" w:right="900"/>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1A768F55" w14:textId="77777777" w:rsidR="006069BC" w:rsidRPr="00140ACF" w:rsidRDefault="006069BC" w:rsidP="006069BC">
      <w:pPr>
        <w:ind w:left="851" w:right="900"/>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b/>
          <w:i/>
          <w:sz w:val="22"/>
          <w:szCs w:val="22"/>
        </w:rPr>
        <w:t>Noveno.</w:t>
      </w:r>
      <w:r w:rsidRPr="00140ACF">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1657796" w14:textId="77777777" w:rsidR="006069BC" w:rsidRPr="00140ACF" w:rsidRDefault="006069BC" w:rsidP="006069BC">
      <w:pPr>
        <w:ind w:left="851" w:right="900"/>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b/>
          <w:i/>
          <w:sz w:val="22"/>
          <w:szCs w:val="22"/>
        </w:rPr>
        <w:lastRenderedPageBreak/>
        <w:t>Décimo.</w:t>
      </w:r>
      <w:r w:rsidRPr="00140ACF">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CA988D0" w14:textId="77777777" w:rsidR="006069BC" w:rsidRPr="00140ACF" w:rsidRDefault="006069BC" w:rsidP="006069BC">
      <w:pPr>
        <w:ind w:left="851" w:right="900"/>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4EF26CCD" w14:textId="77777777" w:rsidR="006069BC" w:rsidRPr="00140ACF" w:rsidRDefault="006069BC" w:rsidP="006069BC">
      <w:pPr>
        <w:ind w:left="851" w:right="900"/>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b/>
          <w:i/>
          <w:sz w:val="22"/>
          <w:szCs w:val="22"/>
        </w:rPr>
        <w:t>Décimo primero.</w:t>
      </w:r>
      <w:r w:rsidRPr="00140ACF">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4544DB20" w14:textId="77777777" w:rsidR="006069BC" w:rsidRPr="00140ACF" w:rsidRDefault="006069BC" w:rsidP="006069BC">
      <w:pPr>
        <w:ind w:left="851" w:right="900"/>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i/>
          <w:sz w:val="22"/>
          <w:szCs w:val="22"/>
        </w:rPr>
        <w:t>[…]</w:t>
      </w:r>
    </w:p>
    <w:p w14:paraId="7D972E9E" w14:textId="77777777" w:rsidR="006069BC" w:rsidRPr="00140ACF" w:rsidRDefault="006069BC" w:rsidP="006069BC">
      <w:pPr>
        <w:ind w:left="851" w:right="900"/>
        <w:jc w:val="center"/>
        <w:rPr>
          <w:rFonts w:ascii="Palatino Linotype" w:eastAsia="Palatino Linotype" w:hAnsi="Palatino Linotype" w:cs="Palatino Linotype"/>
          <w:b/>
          <w:i/>
          <w:sz w:val="22"/>
          <w:szCs w:val="22"/>
        </w:rPr>
      </w:pPr>
      <w:r w:rsidRPr="00140ACF">
        <w:rPr>
          <w:rFonts w:ascii="Palatino Linotype" w:eastAsia="Palatino Linotype" w:hAnsi="Palatino Linotype" w:cs="Palatino Linotype"/>
          <w:b/>
          <w:i/>
          <w:sz w:val="22"/>
          <w:szCs w:val="22"/>
        </w:rPr>
        <w:t>CAPÍTULO VIII</w:t>
      </w:r>
    </w:p>
    <w:p w14:paraId="2BE454FE" w14:textId="77777777" w:rsidR="006069BC" w:rsidRPr="00140ACF" w:rsidRDefault="006069BC" w:rsidP="006069BC">
      <w:pPr>
        <w:ind w:left="851" w:right="900"/>
        <w:jc w:val="center"/>
        <w:rPr>
          <w:rFonts w:ascii="Palatino Linotype" w:eastAsia="Palatino Linotype" w:hAnsi="Palatino Linotype" w:cs="Palatino Linotype"/>
          <w:b/>
          <w:i/>
          <w:sz w:val="22"/>
          <w:szCs w:val="22"/>
        </w:rPr>
      </w:pPr>
      <w:r w:rsidRPr="00140ACF">
        <w:rPr>
          <w:rFonts w:ascii="Palatino Linotype" w:eastAsia="Palatino Linotype" w:hAnsi="Palatino Linotype" w:cs="Palatino Linotype"/>
          <w:b/>
          <w:i/>
          <w:sz w:val="22"/>
          <w:szCs w:val="22"/>
        </w:rPr>
        <w:t>DE LA LEYENDA DE CLASIFICACIÓN</w:t>
      </w:r>
    </w:p>
    <w:p w14:paraId="719D55D5" w14:textId="77777777" w:rsidR="006069BC" w:rsidRPr="00140ACF" w:rsidRDefault="006069BC" w:rsidP="006069BC">
      <w:pPr>
        <w:ind w:left="851" w:right="900"/>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b/>
          <w:i/>
          <w:sz w:val="22"/>
          <w:szCs w:val="22"/>
        </w:rPr>
        <w:t xml:space="preserve">Quincuagésimo. </w:t>
      </w:r>
      <w:r w:rsidRPr="00140ACF">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140ACF">
        <w:rPr>
          <w:rFonts w:ascii="Palatino Linotype" w:eastAsia="Palatino Linotype" w:hAnsi="Palatino Linotype" w:cs="Palatino Linotype"/>
          <w:i/>
          <w:sz w:val="22"/>
          <w:szCs w:val="22"/>
        </w:rPr>
        <w:t xml:space="preserve"> para señalar la clasificación de documentos o expedientes, sin perjuicio de que establezcan los propios.</w:t>
      </w:r>
    </w:p>
    <w:p w14:paraId="3BF2CA1C" w14:textId="77777777" w:rsidR="006069BC" w:rsidRPr="00140ACF" w:rsidRDefault="006069BC" w:rsidP="006069BC">
      <w:pPr>
        <w:ind w:left="851" w:right="900"/>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i/>
          <w:sz w:val="22"/>
          <w:szCs w:val="22"/>
        </w:rPr>
        <w:t>[…]</w:t>
      </w:r>
    </w:p>
    <w:p w14:paraId="6C406637" w14:textId="77777777" w:rsidR="006069BC" w:rsidRPr="00140ACF" w:rsidRDefault="006069BC" w:rsidP="006069BC">
      <w:pPr>
        <w:spacing w:after="160"/>
        <w:ind w:left="851" w:right="900"/>
        <w:jc w:val="both"/>
        <w:rPr>
          <w:rFonts w:ascii="Palatino Linotype" w:eastAsia="Palatino Linotype" w:hAnsi="Palatino Linotype" w:cs="Palatino Linotype"/>
          <w:i/>
          <w:sz w:val="22"/>
          <w:szCs w:val="22"/>
        </w:rPr>
      </w:pPr>
      <w:r w:rsidRPr="00140ACF">
        <w:rPr>
          <w:rFonts w:ascii="Palatino Linotype" w:eastAsia="Palatino Linotype" w:hAnsi="Palatino Linotype" w:cs="Palatino Linotype"/>
          <w:b/>
          <w:i/>
          <w:sz w:val="22"/>
          <w:szCs w:val="22"/>
        </w:rPr>
        <w:t xml:space="preserve">Quincuagésimo tercero. </w:t>
      </w:r>
      <w:r w:rsidRPr="00140ACF">
        <w:rPr>
          <w:rFonts w:ascii="Palatino Linotype" w:eastAsia="Palatino Linotype" w:hAnsi="Palatino Linotype" w:cs="Palatino Linotype"/>
          <w:b/>
          <w:i/>
          <w:sz w:val="22"/>
          <w:szCs w:val="22"/>
          <w:u w:val="single"/>
        </w:rPr>
        <w:t>El formato para señalar la clasificación parcial de un documento</w:t>
      </w:r>
      <w:r w:rsidRPr="00140ACF">
        <w:rPr>
          <w:rFonts w:ascii="Palatino Linotype" w:eastAsia="Palatino Linotype" w:hAnsi="Palatino Linotype" w:cs="Palatino Linotype"/>
          <w:i/>
          <w:sz w:val="22"/>
          <w:szCs w:val="22"/>
        </w:rPr>
        <w:t>, es el siguiente:</w:t>
      </w:r>
    </w:p>
    <w:tbl>
      <w:tblPr>
        <w:tblStyle w:val="Tabladelista1clara-nfasis1"/>
        <w:tblW w:w="0" w:type="auto"/>
        <w:tblLayout w:type="fixed"/>
        <w:tblLook w:val="04A0" w:firstRow="1" w:lastRow="0" w:firstColumn="1" w:lastColumn="0" w:noHBand="0" w:noVBand="1"/>
      </w:tblPr>
      <w:tblGrid>
        <w:gridCol w:w="1134"/>
        <w:gridCol w:w="3119"/>
        <w:gridCol w:w="1129"/>
        <w:gridCol w:w="3446"/>
      </w:tblGrid>
      <w:tr w:rsidR="00045AD9" w:rsidRPr="00140ACF" w14:paraId="42DFE463" w14:textId="77777777" w:rsidTr="008145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gridSpan w:val="2"/>
            <w:tcBorders>
              <w:top w:val="nil"/>
              <w:left w:val="nil"/>
              <w:right w:val="nil"/>
            </w:tcBorders>
            <w:hideMark/>
          </w:tcPr>
          <w:p w14:paraId="7D9E4835" w14:textId="77777777" w:rsidR="006069BC" w:rsidRPr="00140ACF" w:rsidRDefault="006069BC" w:rsidP="008145B6">
            <w:pPr>
              <w:jc w:val="center"/>
              <w:rPr>
                <w:rFonts w:ascii="Palatino Linotype" w:hAnsi="Palatino Linotype"/>
                <w:b w:val="0"/>
                <w:sz w:val="12"/>
                <w:szCs w:val="12"/>
              </w:rPr>
            </w:pPr>
            <w:r w:rsidRPr="00140ACF">
              <w:rPr>
                <w:rFonts w:ascii="Palatino Linotype" w:hAnsi="Palatino Linotype"/>
                <w:b w:val="0"/>
                <w:sz w:val="12"/>
                <w:szCs w:val="12"/>
              </w:rPr>
              <w:t>Parcial</w:t>
            </w:r>
          </w:p>
        </w:tc>
        <w:tc>
          <w:tcPr>
            <w:tcW w:w="4575" w:type="dxa"/>
            <w:gridSpan w:val="2"/>
            <w:tcBorders>
              <w:top w:val="nil"/>
              <w:left w:val="nil"/>
              <w:right w:val="nil"/>
            </w:tcBorders>
            <w:hideMark/>
          </w:tcPr>
          <w:p w14:paraId="3C451FC0" w14:textId="77777777" w:rsidR="006069BC" w:rsidRPr="00140ACF" w:rsidRDefault="006069BC" w:rsidP="008145B6">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sz w:val="12"/>
                <w:szCs w:val="12"/>
              </w:rPr>
            </w:pPr>
            <w:r w:rsidRPr="00140ACF">
              <w:rPr>
                <w:rFonts w:ascii="Palatino Linotype" w:hAnsi="Palatino Linotype"/>
                <w:b w:val="0"/>
                <w:sz w:val="12"/>
                <w:szCs w:val="12"/>
              </w:rPr>
              <w:t>Total</w:t>
            </w:r>
          </w:p>
        </w:tc>
      </w:tr>
      <w:tr w:rsidR="00045AD9" w:rsidRPr="00140ACF" w14:paraId="543FE48D" w14:textId="77777777" w:rsidTr="008145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hideMark/>
          </w:tcPr>
          <w:p w14:paraId="2249896D" w14:textId="77777777" w:rsidR="006069BC" w:rsidRPr="00140ACF" w:rsidRDefault="006069BC" w:rsidP="008145B6">
            <w:pPr>
              <w:jc w:val="center"/>
              <w:rPr>
                <w:rFonts w:ascii="Palatino Linotype" w:hAnsi="Palatino Linotype"/>
                <w:b w:val="0"/>
                <w:sz w:val="12"/>
                <w:szCs w:val="12"/>
              </w:rPr>
            </w:pPr>
            <w:r w:rsidRPr="00140ACF">
              <w:rPr>
                <w:rFonts w:ascii="Palatino Linotype" w:hAnsi="Palatino Linotype"/>
                <w:b w:val="0"/>
                <w:sz w:val="12"/>
                <w:szCs w:val="12"/>
              </w:rPr>
              <w:t>Concepto</w:t>
            </w:r>
          </w:p>
        </w:tc>
        <w:tc>
          <w:tcPr>
            <w:tcW w:w="3119" w:type="dxa"/>
            <w:hideMark/>
          </w:tcPr>
          <w:p w14:paraId="7A29DDCE" w14:textId="77777777" w:rsidR="006069BC" w:rsidRPr="00140ACF" w:rsidRDefault="006069BC" w:rsidP="008145B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140ACF">
              <w:rPr>
                <w:rFonts w:ascii="Palatino Linotype" w:hAnsi="Palatino Linotype"/>
                <w:b/>
                <w:sz w:val="12"/>
                <w:szCs w:val="12"/>
              </w:rPr>
              <w:t>Dónde</w:t>
            </w:r>
          </w:p>
        </w:tc>
        <w:tc>
          <w:tcPr>
            <w:tcW w:w="1129" w:type="dxa"/>
            <w:hideMark/>
          </w:tcPr>
          <w:p w14:paraId="332F256B" w14:textId="77777777" w:rsidR="006069BC" w:rsidRPr="00140ACF" w:rsidRDefault="006069BC" w:rsidP="008145B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140ACF">
              <w:rPr>
                <w:rFonts w:ascii="Palatino Linotype" w:hAnsi="Palatino Linotype"/>
                <w:b/>
                <w:sz w:val="12"/>
                <w:szCs w:val="12"/>
              </w:rPr>
              <w:t>Concepto</w:t>
            </w:r>
          </w:p>
        </w:tc>
        <w:tc>
          <w:tcPr>
            <w:tcW w:w="3446" w:type="dxa"/>
            <w:hideMark/>
          </w:tcPr>
          <w:p w14:paraId="32BB3DD5" w14:textId="77777777" w:rsidR="006069BC" w:rsidRPr="00140ACF" w:rsidRDefault="006069BC" w:rsidP="008145B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140ACF">
              <w:rPr>
                <w:rFonts w:ascii="Palatino Linotype" w:hAnsi="Palatino Linotype"/>
                <w:b/>
                <w:sz w:val="12"/>
                <w:szCs w:val="12"/>
              </w:rPr>
              <w:t>Dónde</w:t>
            </w:r>
          </w:p>
        </w:tc>
      </w:tr>
      <w:tr w:rsidR="00045AD9" w:rsidRPr="00140ACF" w14:paraId="713292F2" w14:textId="77777777" w:rsidTr="008145B6">
        <w:tc>
          <w:tcPr>
            <w:cnfStyle w:val="001000000000" w:firstRow="0" w:lastRow="0" w:firstColumn="1" w:lastColumn="0" w:oddVBand="0" w:evenVBand="0" w:oddHBand="0" w:evenHBand="0" w:firstRowFirstColumn="0" w:firstRowLastColumn="0" w:lastRowFirstColumn="0" w:lastRowLastColumn="0"/>
            <w:tcW w:w="8828" w:type="dxa"/>
            <w:gridSpan w:val="4"/>
            <w:hideMark/>
          </w:tcPr>
          <w:p w14:paraId="322FDCB3" w14:textId="77777777" w:rsidR="006069BC" w:rsidRPr="00140ACF" w:rsidRDefault="006069BC" w:rsidP="008145B6">
            <w:pPr>
              <w:jc w:val="center"/>
              <w:rPr>
                <w:rFonts w:ascii="Palatino Linotype" w:hAnsi="Palatino Linotype"/>
                <w:b w:val="0"/>
                <w:sz w:val="12"/>
                <w:szCs w:val="12"/>
              </w:rPr>
            </w:pPr>
            <w:r w:rsidRPr="00140ACF">
              <w:rPr>
                <w:rFonts w:ascii="Palatino Linotype" w:hAnsi="Palatino Linotype"/>
                <w:b w:val="0"/>
                <w:sz w:val="12"/>
                <w:szCs w:val="12"/>
              </w:rPr>
              <w:t>Sello oficial o logotipo del sujeto obligado</w:t>
            </w:r>
          </w:p>
        </w:tc>
      </w:tr>
      <w:tr w:rsidR="00045AD9" w:rsidRPr="00140ACF" w14:paraId="421DECF0" w14:textId="77777777" w:rsidTr="008145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hideMark/>
          </w:tcPr>
          <w:p w14:paraId="3C3C388A" w14:textId="77777777" w:rsidR="006069BC" w:rsidRPr="00140ACF" w:rsidRDefault="006069BC" w:rsidP="008145B6">
            <w:pPr>
              <w:jc w:val="both"/>
              <w:rPr>
                <w:rFonts w:ascii="Palatino Linotype" w:hAnsi="Palatino Linotype"/>
                <w:b w:val="0"/>
                <w:sz w:val="12"/>
                <w:szCs w:val="12"/>
              </w:rPr>
            </w:pPr>
            <w:r w:rsidRPr="00140ACF">
              <w:rPr>
                <w:rFonts w:ascii="Palatino Linotype" w:hAnsi="Palatino Linotype"/>
                <w:b w:val="0"/>
                <w:sz w:val="12"/>
                <w:szCs w:val="12"/>
              </w:rPr>
              <w:t>Fecha de clasificación</w:t>
            </w:r>
          </w:p>
        </w:tc>
        <w:tc>
          <w:tcPr>
            <w:tcW w:w="3119" w:type="dxa"/>
            <w:hideMark/>
          </w:tcPr>
          <w:p w14:paraId="6D51CBE3" w14:textId="77777777" w:rsidR="006069BC" w:rsidRPr="00140ACF" w:rsidRDefault="006069BC" w:rsidP="008145B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140ACF">
              <w:rPr>
                <w:rFonts w:ascii="Palatino Linotype" w:hAnsi="Palatino Linotype"/>
                <w:sz w:val="12"/>
                <w:szCs w:val="12"/>
              </w:rPr>
              <w:t>Se anotará la fecha en la que el Comité de Transparencia confirmó la clasificación del documento, en su caso.</w:t>
            </w:r>
          </w:p>
        </w:tc>
        <w:tc>
          <w:tcPr>
            <w:tcW w:w="1129" w:type="dxa"/>
            <w:hideMark/>
          </w:tcPr>
          <w:p w14:paraId="7607C7C9" w14:textId="77777777" w:rsidR="006069BC" w:rsidRPr="00140ACF" w:rsidRDefault="006069BC" w:rsidP="008145B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140ACF">
              <w:rPr>
                <w:rFonts w:ascii="Palatino Linotype" w:hAnsi="Palatino Linotype"/>
                <w:b/>
                <w:sz w:val="12"/>
                <w:szCs w:val="12"/>
              </w:rPr>
              <w:t>Fecha de clasificación</w:t>
            </w:r>
          </w:p>
        </w:tc>
        <w:tc>
          <w:tcPr>
            <w:tcW w:w="3446" w:type="dxa"/>
            <w:hideMark/>
          </w:tcPr>
          <w:p w14:paraId="238861D5" w14:textId="77777777" w:rsidR="006069BC" w:rsidRPr="00140ACF" w:rsidRDefault="006069BC" w:rsidP="008145B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140ACF">
              <w:rPr>
                <w:rFonts w:ascii="Palatino Linotype" w:hAnsi="Palatino Linotype"/>
                <w:sz w:val="12"/>
                <w:szCs w:val="12"/>
              </w:rPr>
              <w:t>Se anotará la fecha en la que el Comité de Transparencia confirmó la clasificación del documento, en su caso.</w:t>
            </w:r>
          </w:p>
        </w:tc>
      </w:tr>
      <w:tr w:rsidR="00045AD9" w:rsidRPr="00140ACF" w14:paraId="0562E96C" w14:textId="77777777" w:rsidTr="008145B6">
        <w:tc>
          <w:tcPr>
            <w:cnfStyle w:val="001000000000" w:firstRow="0" w:lastRow="0" w:firstColumn="1" w:lastColumn="0" w:oddVBand="0" w:evenVBand="0" w:oddHBand="0" w:evenHBand="0" w:firstRowFirstColumn="0" w:firstRowLastColumn="0" w:lastRowFirstColumn="0" w:lastRowLastColumn="0"/>
            <w:tcW w:w="1134" w:type="dxa"/>
            <w:hideMark/>
          </w:tcPr>
          <w:p w14:paraId="111794BF" w14:textId="77777777" w:rsidR="006069BC" w:rsidRPr="00140ACF" w:rsidRDefault="006069BC" w:rsidP="008145B6">
            <w:pPr>
              <w:jc w:val="both"/>
              <w:rPr>
                <w:rFonts w:ascii="Palatino Linotype" w:hAnsi="Palatino Linotype"/>
                <w:b w:val="0"/>
                <w:sz w:val="12"/>
                <w:szCs w:val="12"/>
              </w:rPr>
            </w:pPr>
            <w:r w:rsidRPr="00140ACF">
              <w:rPr>
                <w:rFonts w:ascii="Palatino Linotype" w:hAnsi="Palatino Linotype"/>
                <w:b w:val="0"/>
                <w:sz w:val="12"/>
                <w:szCs w:val="12"/>
              </w:rPr>
              <w:t>Área</w:t>
            </w:r>
          </w:p>
        </w:tc>
        <w:tc>
          <w:tcPr>
            <w:tcW w:w="3119" w:type="dxa"/>
            <w:hideMark/>
          </w:tcPr>
          <w:p w14:paraId="50B229E5" w14:textId="77777777" w:rsidR="006069BC" w:rsidRPr="00140ACF" w:rsidRDefault="006069BC" w:rsidP="008145B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140ACF">
              <w:rPr>
                <w:rFonts w:ascii="Palatino Linotype" w:hAnsi="Palatino Linotype"/>
                <w:sz w:val="12"/>
                <w:szCs w:val="12"/>
              </w:rPr>
              <w:t>Se señalará el nombre del área del cual es titular quien clasifica.</w:t>
            </w:r>
          </w:p>
        </w:tc>
        <w:tc>
          <w:tcPr>
            <w:tcW w:w="1129" w:type="dxa"/>
            <w:hideMark/>
          </w:tcPr>
          <w:p w14:paraId="5DFE0D1B" w14:textId="77777777" w:rsidR="006069BC" w:rsidRPr="00140ACF" w:rsidRDefault="006069BC" w:rsidP="008145B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140ACF">
              <w:rPr>
                <w:rFonts w:ascii="Palatino Linotype" w:hAnsi="Palatino Linotype"/>
                <w:b/>
                <w:sz w:val="12"/>
                <w:szCs w:val="12"/>
              </w:rPr>
              <w:t>Área</w:t>
            </w:r>
          </w:p>
        </w:tc>
        <w:tc>
          <w:tcPr>
            <w:tcW w:w="3446" w:type="dxa"/>
            <w:hideMark/>
          </w:tcPr>
          <w:p w14:paraId="7649B99E" w14:textId="77777777" w:rsidR="006069BC" w:rsidRPr="00140ACF" w:rsidRDefault="006069BC" w:rsidP="008145B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140ACF">
              <w:rPr>
                <w:rFonts w:ascii="Palatino Linotype" w:hAnsi="Palatino Linotype"/>
                <w:sz w:val="12"/>
                <w:szCs w:val="12"/>
              </w:rPr>
              <w:t>Se señalará el nombre del área de la cual es el titular quien clasifica.</w:t>
            </w:r>
          </w:p>
        </w:tc>
      </w:tr>
      <w:tr w:rsidR="00045AD9" w:rsidRPr="00140ACF" w14:paraId="60984CCC" w14:textId="77777777" w:rsidTr="008145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hideMark/>
          </w:tcPr>
          <w:p w14:paraId="3EA19400" w14:textId="77777777" w:rsidR="006069BC" w:rsidRPr="00140ACF" w:rsidRDefault="006069BC" w:rsidP="008145B6">
            <w:pPr>
              <w:jc w:val="both"/>
              <w:rPr>
                <w:rFonts w:ascii="Palatino Linotype" w:hAnsi="Palatino Linotype"/>
                <w:b w:val="0"/>
                <w:sz w:val="12"/>
                <w:szCs w:val="12"/>
              </w:rPr>
            </w:pPr>
            <w:r w:rsidRPr="00140ACF">
              <w:rPr>
                <w:rFonts w:ascii="Palatino Linotype" w:hAnsi="Palatino Linotype"/>
                <w:b w:val="0"/>
                <w:sz w:val="12"/>
                <w:szCs w:val="12"/>
              </w:rPr>
              <w:t>Información reservada</w:t>
            </w:r>
          </w:p>
        </w:tc>
        <w:tc>
          <w:tcPr>
            <w:tcW w:w="3119" w:type="dxa"/>
            <w:hideMark/>
          </w:tcPr>
          <w:p w14:paraId="57B78D94" w14:textId="77777777" w:rsidR="006069BC" w:rsidRPr="00140ACF" w:rsidRDefault="006069BC" w:rsidP="008145B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140ACF">
              <w:rPr>
                <w:rFonts w:ascii="Palatino Linotype" w:hAnsi="Palatino Linotype"/>
                <w:sz w:val="12"/>
                <w:szCs w:val="12"/>
              </w:rPr>
              <w:t xml:space="preserve">Se indicarán, en su caso, las partes o páginas del documento que se clasifican como reservadas. Si el documento fuera reservado en su totalidad, se </w:t>
            </w:r>
            <w:proofErr w:type="gramStart"/>
            <w:r w:rsidRPr="00140ACF">
              <w:rPr>
                <w:rFonts w:ascii="Palatino Linotype" w:hAnsi="Palatino Linotype"/>
                <w:sz w:val="12"/>
                <w:szCs w:val="12"/>
              </w:rPr>
              <w:t>anotarán</w:t>
            </w:r>
            <w:proofErr w:type="gramEnd"/>
            <w:r w:rsidRPr="00140ACF">
              <w:rPr>
                <w:rFonts w:ascii="Palatino Linotype" w:hAnsi="Palatino Linotype"/>
                <w:sz w:val="12"/>
                <w:szCs w:val="12"/>
              </w:rPr>
              <w:t xml:space="preserve"> todas las páginas que lo conforman. Si el documento no contiene información reservada, se tachará este apartado.</w:t>
            </w:r>
          </w:p>
        </w:tc>
        <w:tc>
          <w:tcPr>
            <w:tcW w:w="1129" w:type="dxa"/>
            <w:hideMark/>
          </w:tcPr>
          <w:p w14:paraId="37BF4ED8" w14:textId="77777777" w:rsidR="006069BC" w:rsidRPr="00140ACF" w:rsidRDefault="006069BC" w:rsidP="008145B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140ACF">
              <w:rPr>
                <w:rFonts w:ascii="Palatino Linotype" w:hAnsi="Palatino Linotype"/>
                <w:b/>
                <w:sz w:val="12"/>
                <w:szCs w:val="12"/>
              </w:rPr>
              <w:t>Reservado</w:t>
            </w:r>
          </w:p>
        </w:tc>
        <w:tc>
          <w:tcPr>
            <w:tcW w:w="3446" w:type="dxa"/>
            <w:hideMark/>
          </w:tcPr>
          <w:p w14:paraId="41407369" w14:textId="77777777" w:rsidR="006069BC" w:rsidRPr="00140ACF" w:rsidRDefault="006069BC" w:rsidP="008145B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140ACF">
              <w:rPr>
                <w:rFonts w:ascii="Palatino Linotype" w:hAnsi="Palatino Linotype"/>
                <w:sz w:val="12"/>
                <w:szCs w:val="12"/>
              </w:rPr>
              <w:t>Leyenda de información RESERVADA.</w:t>
            </w:r>
          </w:p>
        </w:tc>
      </w:tr>
      <w:tr w:rsidR="00045AD9" w:rsidRPr="00140ACF" w14:paraId="47B2A696" w14:textId="77777777" w:rsidTr="008145B6">
        <w:tc>
          <w:tcPr>
            <w:cnfStyle w:val="001000000000" w:firstRow="0" w:lastRow="0" w:firstColumn="1" w:lastColumn="0" w:oddVBand="0" w:evenVBand="0" w:oddHBand="0" w:evenHBand="0" w:firstRowFirstColumn="0" w:firstRowLastColumn="0" w:lastRowFirstColumn="0" w:lastRowLastColumn="0"/>
            <w:tcW w:w="1134" w:type="dxa"/>
            <w:hideMark/>
          </w:tcPr>
          <w:p w14:paraId="4DC71D27" w14:textId="77777777" w:rsidR="006069BC" w:rsidRPr="00140ACF" w:rsidRDefault="006069BC" w:rsidP="008145B6">
            <w:pPr>
              <w:jc w:val="both"/>
              <w:rPr>
                <w:rFonts w:ascii="Palatino Linotype" w:hAnsi="Palatino Linotype"/>
                <w:b w:val="0"/>
                <w:sz w:val="12"/>
                <w:szCs w:val="12"/>
              </w:rPr>
            </w:pPr>
            <w:r w:rsidRPr="00140ACF">
              <w:rPr>
                <w:rFonts w:ascii="Palatino Linotype" w:hAnsi="Palatino Linotype"/>
                <w:b w:val="0"/>
                <w:sz w:val="12"/>
                <w:szCs w:val="12"/>
              </w:rPr>
              <w:t>Fundamento legal</w:t>
            </w:r>
          </w:p>
        </w:tc>
        <w:tc>
          <w:tcPr>
            <w:tcW w:w="3119" w:type="dxa"/>
            <w:hideMark/>
          </w:tcPr>
          <w:p w14:paraId="6AB64259" w14:textId="77777777" w:rsidR="006069BC" w:rsidRPr="00140ACF" w:rsidRDefault="006069BC" w:rsidP="008145B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140ACF">
              <w:rPr>
                <w:rFonts w:ascii="Palatino Linotype" w:hAnsi="Palatino Linotype"/>
                <w:sz w:val="12"/>
                <w:szCs w:val="12"/>
              </w:rPr>
              <w:t>Se señalará el nombre del ordenamiento, el o los artículos, fracción(es), párrafo(s) con base en los cuales se sustente la reserva.</w:t>
            </w:r>
          </w:p>
        </w:tc>
        <w:tc>
          <w:tcPr>
            <w:tcW w:w="1129" w:type="dxa"/>
            <w:hideMark/>
          </w:tcPr>
          <w:p w14:paraId="6D1C40B9" w14:textId="77777777" w:rsidR="006069BC" w:rsidRPr="00140ACF" w:rsidRDefault="006069BC" w:rsidP="008145B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140ACF">
              <w:rPr>
                <w:rFonts w:ascii="Palatino Linotype" w:hAnsi="Palatino Linotype"/>
                <w:b/>
                <w:sz w:val="12"/>
                <w:szCs w:val="12"/>
              </w:rPr>
              <w:t>Periodo de reserva</w:t>
            </w:r>
          </w:p>
        </w:tc>
        <w:tc>
          <w:tcPr>
            <w:tcW w:w="3446" w:type="dxa"/>
            <w:hideMark/>
          </w:tcPr>
          <w:p w14:paraId="6FEBE4BA" w14:textId="77777777" w:rsidR="006069BC" w:rsidRPr="00140ACF" w:rsidRDefault="006069BC" w:rsidP="008145B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140ACF">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045AD9" w:rsidRPr="00140ACF" w14:paraId="30B8A325" w14:textId="77777777" w:rsidTr="008145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hideMark/>
          </w:tcPr>
          <w:p w14:paraId="2BAD9B70" w14:textId="77777777" w:rsidR="006069BC" w:rsidRPr="00140ACF" w:rsidRDefault="006069BC" w:rsidP="008145B6">
            <w:pPr>
              <w:jc w:val="both"/>
              <w:rPr>
                <w:rFonts w:ascii="Palatino Linotype" w:hAnsi="Palatino Linotype"/>
                <w:b w:val="0"/>
                <w:sz w:val="12"/>
                <w:szCs w:val="12"/>
              </w:rPr>
            </w:pPr>
            <w:r w:rsidRPr="00140ACF">
              <w:rPr>
                <w:rFonts w:ascii="Palatino Linotype" w:hAnsi="Palatino Linotype"/>
                <w:b w:val="0"/>
                <w:sz w:val="12"/>
                <w:szCs w:val="12"/>
              </w:rPr>
              <w:t>Ampliación del periodo de reserva</w:t>
            </w:r>
          </w:p>
        </w:tc>
        <w:tc>
          <w:tcPr>
            <w:tcW w:w="3119" w:type="dxa"/>
            <w:hideMark/>
          </w:tcPr>
          <w:p w14:paraId="3E30F473" w14:textId="77777777" w:rsidR="006069BC" w:rsidRPr="00140ACF" w:rsidRDefault="006069BC" w:rsidP="008145B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140ACF">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1129" w:type="dxa"/>
            <w:hideMark/>
          </w:tcPr>
          <w:p w14:paraId="771EB4AB" w14:textId="77777777" w:rsidR="006069BC" w:rsidRPr="00140ACF" w:rsidRDefault="006069BC" w:rsidP="008145B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140ACF">
              <w:rPr>
                <w:rFonts w:ascii="Palatino Linotype" w:hAnsi="Palatino Linotype"/>
                <w:b/>
                <w:sz w:val="12"/>
                <w:szCs w:val="12"/>
              </w:rPr>
              <w:t>Fundamento legal</w:t>
            </w:r>
          </w:p>
        </w:tc>
        <w:tc>
          <w:tcPr>
            <w:tcW w:w="3446" w:type="dxa"/>
            <w:hideMark/>
          </w:tcPr>
          <w:p w14:paraId="7005FC9A" w14:textId="77777777" w:rsidR="006069BC" w:rsidRPr="00140ACF" w:rsidRDefault="006069BC" w:rsidP="008145B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140ACF">
              <w:rPr>
                <w:rFonts w:ascii="Palatino Linotype" w:hAnsi="Palatino Linotype"/>
                <w:sz w:val="12"/>
                <w:szCs w:val="12"/>
              </w:rPr>
              <w:t>Se señalará el nombre del o de los ordenamientos jurídicos, el o los artículos, fracción(es), párrafo(s) con base en los cuales se sustenta la reserva.</w:t>
            </w:r>
          </w:p>
        </w:tc>
      </w:tr>
      <w:tr w:rsidR="00045AD9" w:rsidRPr="00140ACF" w14:paraId="64536BCF" w14:textId="77777777" w:rsidTr="008145B6">
        <w:tc>
          <w:tcPr>
            <w:cnfStyle w:val="001000000000" w:firstRow="0" w:lastRow="0" w:firstColumn="1" w:lastColumn="0" w:oddVBand="0" w:evenVBand="0" w:oddHBand="0" w:evenHBand="0" w:firstRowFirstColumn="0" w:firstRowLastColumn="0" w:lastRowFirstColumn="0" w:lastRowLastColumn="0"/>
            <w:tcW w:w="1134" w:type="dxa"/>
            <w:hideMark/>
          </w:tcPr>
          <w:p w14:paraId="36579E61" w14:textId="77777777" w:rsidR="006069BC" w:rsidRPr="00140ACF" w:rsidRDefault="006069BC" w:rsidP="008145B6">
            <w:pPr>
              <w:jc w:val="both"/>
              <w:rPr>
                <w:rFonts w:ascii="Palatino Linotype" w:hAnsi="Palatino Linotype"/>
                <w:b w:val="0"/>
                <w:sz w:val="12"/>
                <w:szCs w:val="12"/>
              </w:rPr>
            </w:pPr>
            <w:r w:rsidRPr="00140ACF">
              <w:rPr>
                <w:rFonts w:ascii="Palatino Linotype" w:hAnsi="Palatino Linotype"/>
                <w:b w:val="0"/>
                <w:sz w:val="12"/>
                <w:szCs w:val="12"/>
              </w:rPr>
              <w:t>Confidencial</w:t>
            </w:r>
          </w:p>
        </w:tc>
        <w:tc>
          <w:tcPr>
            <w:tcW w:w="3119" w:type="dxa"/>
            <w:hideMark/>
          </w:tcPr>
          <w:p w14:paraId="5A63C435" w14:textId="77777777" w:rsidR="006069BC" w:rsidRPr="00140ACF" w:rsidRDefault="006069BC" w:rsidP="008145B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140ACF">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1129" w:type="dxa"/>
            <w:hideMark/>
          </w:tcPr>
          <w:p w14:paraId="406AFE58" w14:textId="77777777" w:rsidR="006069BC" w:rsidRPr="00140ACF" w:rsidRDefault="006069BC" w:rsidP="008145B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140ACF">
              <w:rPr>
                <w:rFonts w:ascii="Palatino Linotype" w:hAnsi="Palatino Linotype"/>
                <w:b/>
                <w:sz w:val="12"/>
                <w:szCs w:val="12"/>
              </w:rPr>
              <w:t>Ampliación del periodo de reserva</w:t>
            </w:r>
          </w:p>
        </w:tc>
        <w:tc>
          <w:tcPr>
            <w:tcW w:w="3446" w:type="dxa"/>
            <w:hideMark/>
          </w:tcPr>
          <w:p w14:paraId="63AC4EAF" w14:textId="77777777" w:rsidR="006069BC" w:rsidRPr="00140ACF" w:rsidRDefault="006069BC" w:rsidP="008145B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140ACF">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045AD9" w:rsidRPr="00140ACF" w14:paraId="0B192B0A" w14:textId="77777777" w:rsidTr="008145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hideMark/>
          </w:tcPr>
          <w:p w14:paraId="6F5BD50A" w14:textId="77777777" w:rsidR="006069BC" w:rsidRPr="00140ACF" w:rsidRDefault="006069BC" w:rsidP="008145B6">
            <w:pPr>
              <w:jc w:val="both"/>
              <w:rPr>
                <w:rFonts w:ascii="Palatino Linotype" w:hAnsi="Palatino Linotype"/>
                <w:b w:val="0"/>
                <w:sz w:val="12"/>
                <w:szCs w:val="12"/>
              </w:rPr>
            </w:pPr>
            <w:r w:rsidRPr="00140ACF">
              <w:rPr>
                <w:rFonts w:ascii="Palatino Linotype" w:hAnsi="Palatino Linotype"/>
                <w:b w:val="0"/>
                <w:sz w:val="12"/>
                <w:szCs w:val="12"/>
              </w:rPr>
              <w:lastRenderedPageBreak/>
              <w:t>Fundamento legal</w:t>
            </w:r>
          </w:p>
        </w:tc>
        <w:tc>
          <w:tcPr>
            <w:tcW w:w="3119" w:type="dxa"/>
            <w:hideMark/>
          </w:tcPr>
          <w:p w14:paraId="3108CF9A" w14:textId="77777777" w:rsidR="006069BC" w:rsidRPr="00140ACF" w:rsidRDefault="006069BC" w:rsidP="008145B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140ACF">
              <w:rPr>
                <w:rFonts w:ascii="Palatino Linotype" w:hAnsi="Palatino Linotype"/>
                <w:sz w:val="12"/>
                <w:szCs w:val="12"/>
              </w:rPr>
              <w:t>Se señalará el nombre del ordenamiento, el o los artículos, fracción(es), párrafo(s) con base en los cuales se sustente la confidencialidad.</w:t>
            </w:r>
          </w:p>
        </w:tc>
        <w:tc>
          <w:tcPr>
            <w:tcW w:w="1129" w:type="dxa"/>
            <w:hideMark/>
          </w:tcPr>
          <w:p w14:paraId="3A11213C" w14:textId="77777777" w:rsidR="006069BC" w:rsidRPr="00140ACF" w:rsidRDefault="006069BC" w:rsidP="008145B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140ACF">
              <w:rPr>
                <w:rFonts w:ascii="Palatino Linotype" w:hAnsi="Palatino Linotype"/>
                <w:b/>
                <w:sz w:val="12"/>
                <w:szCs w:val="12"/>
              </w:rPr>
              <w:t>Confidencial</w:t>
            </w:r>
          </w:p>
        </w:tc>
        <w:tc>
          <w:tcPr>
            <w:tcW w:w="3446" w:type="dxa"/>
            <w:hideMark/>
          </w:tcPr>
          <w:p w14:paraId="3E34CFEA" w14:textId="77777777" w:rsidR="006069BC" w:rsidRPr="00140ACF" w:rsidRDefault="006069BC" w:rsidP="008145B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140ACF">
              <w:rPr>
                <w:rFonts w:ascii="Palatino Linotype" w:hAnsi="Palatino Linotype"/>
                <w:sz w:val="12"/>
                <w:szCs w:val="12"/>
              </w:rPr>
              <w:t>Leyenda de información CONFIDENCIAL.</w:t>
            </w:r>
          </w:p>
        </w:tc>
      </w:tr>
      <w:tr w:rsidR="00045AD9" w:rsidRPr="00140ACF" w14:paraId="3E53F26F" w14:textId="77777777" w:rsidTr="008145B6">
        <w:tc>
          <w:tcPr>
            <w:cnfStyle w:val="001000000000" w:firstRow="0" w:lastRow="0" w:firstColumn="1" w:lastColumn="0" w:oddVBand="0" w:evenVBand="0" w:oddHBand="0" w:evenHBand="0" w:firstRowFirstColumn="0" w:firstRowLastColumn="0" w:lastRowFirstColumn="0" w:lastRowLastColumn="0"/>
            <w:tcW w:w="1134" w:type="dxa"/>
            <w:hideMark/>
          </w:tcPr>
          <w:p w14:paraId="5F94C8BE" w14:textId="77777777" w:rsidR="006069BC" w:rsidRPr="00140ACF" w:rsidRDefault="006069BC" w:rsidP="008145B6">
            <w:pPr>
              <w:jc w:val="both"/>
              <w:rPr>
                <w:rFonts w:ascii="Palatino Linotype" w:hAnsi="Palatino Linotype"/>
                <w:b w:val="0"/>
                <w:sz w:val="12"/>
                <w:szCs w:val="12"/>
              </w:rPr>
            </w:pPr>
            <w:r w:rsidRPr="00140ACF">
              <w:rPr>
                <w:rFonts w:ascii="Palatino Linotype" w:hAnsi="Palatino Linotype"/>
                <w:b w:val="0"/>
                <w:sz w:val="12"/>
                <w:szCs w:val="12"/>
              </w:rPr>
              <w:t>Rúbrica del titular del área</w:t>
            </w:r>
          </w:p>
        </w:tc>
        <w:tc>
          <w:tcPr>
            <w:tcW w:w="3119" w:type="dxa"/>
            <w:hideMark/>
          </w:tcPr>
          <w:p w14:paraId="69E5FE02" w14:textId="77777777" w:rsidR="006069BC" w:rsidRPr="00140ACF" w:rsidRDefault="006069BC" w:rsidP="008145B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140ACF">
              <w:rPr>
                <w:rFonts w:ascii="Palatino Linotype" w:hAnsi="Palatino Linotype"/>
                <w:sz w:val="12"/>
                <w:szCs w:val="12"/>
              </w:rPr>
              <w:t>Rúbrica autógrafa de quien clasifica.</w:t>
            </w:r>
          </w:p>
        </w:tc>
        <w:tc>
          <w:tcPr>
            <w:tcW w:w="1129" w:type="dxa"/>
            <w:hideMark/>
          </w:tcPr>
          <w:p w14:paraId="374E7C87" w14:textId="77777777" w:rsidR="006069BC" w:rsidRPr="00140ACF" w:rsidRDefault="006069BC" w:rsidP="008145B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140ACF">
              <w:rPr>
                <w:rFonts w:ascii="Palatino Linotype" w:hAnsi="Palatino Linotype"/>
                <w:b/>
                <w:sz w:val="12"/>
                <w:szCs w:val="12"/>
              </w:rPr>
              <w:t>Fundamento legal</w:t>
            </w:r>
          </w:p>
        </w:tc>
        <w:tc>
          <w:tcPr>
            <w:tcW w:w="3446" w:type="dxa"/>
            <w:hideMark/>
          </w:tcPr>
          <w:p w14:paraId="590C0CCD" w14:textId="77777777" w:rsidR="006069BC" w:rsidRPr="00140ACF" w:rsidRDefault="006069BC" w:rsidP="008145B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140ACF">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045AD9" w:rsidRPr="00140ACF" w14:paraId="0C6AB4ED" w14:textId="77777777" w:rsidTr="008145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hideMark/>
          </w:tcPr>
          <w:p w14:paraId="35885D9F" w14:textId="77777777" w:rsidR="006069BC" w:rsidRPr="00140ACF" w:rsidRDefault="006069BC" w:rsidP="008145B6">
            <w:pPr>
              <w:jc w:val="both"/>
              <w:rPr>
                <w:rFonts w:ascii="Palatino Linotype" w:hAnsi="Palatino Linotype"/>
                <w:b w:val="0"/>
                <w:sz w:val="12"/>
                <w:szCs w:val="12"/>
              </w:rPr>
            </w:pPr>
            <w:r w:rsidRPr="00140ACF">
              <w:rPr>
                <w:rFonts w:ascii="Palatino Linotype" w:hAnsi="Palatino Linotype"/>
                <w:b w:val="0"/>
                <w:sz w:val="12"/>
                <w:szCs w:val="12"/>
              </w:rPr>
              <w:t>Fecha de desclasificación</w:t>
            </w:r>
          </w:p>
        </w:tc>
        <w:tc>
          <w:tcPr>
            <w:tcW w:w="3119" w:type="dxa"/>
            <w:hideMark/>
          </w:tcPr>
          <w:p w14:paraId="4B7C79AC" w14:textId="77777777" w:rsidR="006069BC" w:rsidRPr="00140ACF" w:rsidRDefault="006069BC" w:rsidP="008145B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140ACF">
              <w:rPr>
                <w:rFonts w:ascii="Palatino Linotype" w:hAnsi="Palatino Linotype"/>
                <w:sz w:val="12"/>
                <w:szCs w:val="12"/>
              </w:rPr>
              <w:t>Se anotará la fecha en que se desclasifica el documento.</w:t>
            </w:r>
          </w:p>
        </w:tc>
        <w:tc>
          <w:tcPr>
            <w:tcW w:w="1129" w:type="dxa"/>
            <w:hideMark/>
          </w:tcPr>
          <w:p w14:paraId="01549E52" w14:textId="77777777" w:rsidR="006069BC" w:rsidRPr="00140ACF" w:rsidRDefault="006069BC" w:rsidP="008145B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140ACF">
              <w:rPr>
                <w:rFonts w:ascii="Palatino Linotype" w:hAnsi="Palatino Linotype"/>
                <w:b/>
                <w:sz w:val="12"/>
                <w:szCs w:val="12"/>
              </w:rPr>
              <w:t>Rúbrica del titular del área</w:t>
            </w:r>
          </w:p>
        </w:tc>
        <w:tc>
          <w:tcPr>
            <w:tcW w:w="3446" w:type="dxa"/>
            <w:hideMark/>
          </w:tcPr>
          <w:p w14:paraId="264A534F" w14:textId="77777777" w:rsidR="006069BC" w:rsidRPr="00140ACF" w:rsidRDefault="006069BC" w:rsidP="008145B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140ACF">
              <w:rPr>
                <w:rFonts w:ascii="Palatino Linotype" w:hAnsi="Palatino Linotype"/>
                <w:sz w:val="12"/>
                <w:szCs w:val="12"/>
              </w:rPr>
              <w:t>Rúbrica autógrafa de quien clasifica.</w:t>
            </w:r>
          </w:p>
        </w:tc>
      </w:tr>
      <w:tr w:rsidR="00045AD9" w:rsidRPr="00140ACF" w14:paraId="52ABBAD5" w14:textId="77777777" w:rsidTr="008145B6">
        <w:tc>
          <w:tcPr>
            <w:cnfStyle w:val="001000000000" w:firstRow="0" w:lastRow="0" w:firstColumn="1" w:lastColumn="0" w:oddVBand="0" w:evenVBand="0" w:oddHBand="0" w:evenHBand="0" w:firstRowFirstColumn="0" w:firstRowLastColumn="0" w:lastRowFirstColumn="0" w:lastRowLastColumn="0"/>
            <w:tcW w:w="1134" w:type="dxa"/>
            <w:hideMark/>
          </w:tcPr>
          <w:p w14:paraId="74ABA20D" w14:textId="77777777" w:rsidR="006069BC" w:rsidRPr="00140ACF" w:rsidRDefault="006069BC" w:rsidP="008145B6">
            <w:pPr>
              <w:jc w:val="both"/>
              <w:rPr>
                <w:rFonts w:ascii="Palatino Linotype" w:hAnsi="Palatino Linotype"/>
                <w:b w:val="0"/>
                <w:sz w:val="12"/>
                <w:szCs w:val="12"/>
              </w:rPr>
            </w:pPr>
            <w:r w:rsidRPr="00140ACF">
              <w:rPr>
                <w:rFonts w:ascii="Palatino Linotype" w:hAnsi="Palatino Linotype"/>
                <w:b w:val="0"/>
                <w:sz w:val="12"/>
                <w:szCs w:val="12"/>
              </w:rPr>
              <w:t>Rúbrica y cargo del servidor público</w:t>
            </w:r>
          </w:p>
        </w:tc>
        <w:tc>
          <w:tcPr>
            <w:tcW w:w="3119" w:type="dxa"/>
            <w:hideMark/>
          </w:tcPr>
          <w:p w14:paraId="7774CCE2" w14:textId="77777777" w:rsidR="006069BC" w:rsidRPr="00140ACF" w:rsidRDefault="006069BC" w:rsidP="008145B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140ACF">
              <w:rPr>
                <w:rFonts w:ascii="Palatino Linotype" w:hAnsi="Palatino Linotype"/>
                <w:sz w:val="12"/>
                <w:szCs w:val="12"/>
              </w:rPr>
              <w:t>Rúbrica autógrafa de quien desclasifica.</w:t>
            </w:r>
          </w:p>
        </w:tc>
        <w:tc>
          <w:tcPr>
            <w:tcW w:w="1129" w:type="dxa"/>
            <w:hideMark/>
          </w:tcPr>
          <w:p w14:paraId="56E501F2" w14:textId="77777777" w:rsidR="006069BC" w:rsidRPr="00140ACF" w:rsidRDefault="006069BC" w:rsidP="008145B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140ACF">
              <w:rPr>
                <w:rFonts w:ascii="Palatino Linotype" w:hAnsi="Palatino Linotype"/>
                <w:b/>
                <w:sz w:val="12"/>
                <w:szCs w:val="12"/>
              </w:rPr>
              <w:t>Fecha de desclasificación</w:t>
            </w:r>
          </w:p>
        </w:tc>
        <w:tc>
          <w:tcPr>
            <w:tcW w:w="3446" w:type="dxa"/>
            <w:hideMark/>
          </w:tcPr>
          <w:p w14:paraId="2A8886E5" w14:textId="77777777" w:rsidR="006069BC" w:rsidRPr="00140ACF" w:rsidRDefault="006069BC" w:rsidP="008145B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140ACF">
              <w:rPr>
                <w:rFonts w:ascii="Palatino Linotype" w:hAnsi="Palatino Linotype"/>
                <w:sz w:val="12"/>
                <w:szCs w:val="12"/>
              </w:rPr>
              <w:t>Se anotará la fecha en que se desclasifica.</w:t>
            </w:r>
          </w:p>
        </w:tc>
      </w:tr>
      <w:tr w:rsidR="00045AD9" w:rsidRPr="00140ACF" w14:paraId="2C4A6E1E" w14:textId="77777777" w:rsidTr="008145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212B6DB3" w14:textId="77777777" w:rsidR="006069BC" w:rsidRPr="00140ACF" w:rsidRDefault="006069BC" w:rsidP="008145B6">
            <w:pPr>
              <w:jc w:val="both"/>
              <w:rPr>
                <w:rFonts w:ascii="Palatino Linotype" w:hAnsi="Palatino Linotype"/>
                <w:sz w:val="12"/>
                <w:szCs w:val="12"/>
              </w:rPr>
            </w:pPr>
          </w:p>
        </w:tc>
        <w:tc>
          <w:tcPr>
            <w:tcW w:w="3119" w:type="dxa"/>
          </w:tcPr>
          <w:p w14:paraId="1A1C2A38" w14:textId="77777777" w:rsidR="006069BC" w:rsidRPr="00140ACF" w:rsidRDefault="006069BC" w:rsidP="008145B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1129" w:type="dxa"/>
            <w:hideMark/>
          </w:tcPr>
          <w:p w14:paraId="458C770B" w14:textId="77777777" w:rsidR="006069BC" w:rsidRPr="00140ACF" w:rsidRDefault="006069BC" w:rsidP="008145B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140ACF">
              <w:rPr>
                <w:rFonts w:ascii="Palatino Linotype" w:hAnsi="Palatino Linotype"/>
                <w:b/>
                <w:sz w:val="12"/>
                <w:szCs w:val="12"/>
              </w:rPr>
              <w:t>Partes o secciones reservadas o confidenciales</w:t>
            </w:r>
          </w:p>
        </w:tc>
        <w:tc>
          <w:tcPr>
            <w:tcW w:w="3446" w:type="dxa"/>
            <w:hideMark/>
          </w:tcPr>
          <w:p w14:paraId="38BFAC86" w14:textId="77777777" w:rsidR="006069BC" w:rsidRPr="00140ACF" w:rsidRDefault="006069BC" w:rsidP="008145B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140ACF">
              <w:rPr>
                <w:rFonts w:ascii="Palatino Linotype" w:hAnsi="Palatino Linotype"/>
                <w:sz w:val="12"/>
                <w:szCs w:val="12"/>
              </w:rPr>
              <w:t xml:space="preserve">En caso que una vez desclasificado el expediente, </w:t>
            </w:r>
            <w:proofErr w:type="spellStart"/>
            <w:r w:rsidRPr="00140ACF">
              <w:rPr>
                <w:rFonts w:ascii="Palatino Linotype" w:hAnsi="Palatino Linotype"/>
                <w:sz w:val="12"/>
                <w:szCs w:val="12"/>
              </w:rPr>
              <w:t>subsistanpartes</w:t>
            </w:r>
            <w:proofErr w:type="spellEnd"/>
            <w:r w:rsidRPr="00140ACF">
              <w:rPr>
                <w:rFonts w:ascii="Palatino Linotype" w:hAnsi="Palatino Linotype"/>
                <w:sz w:val="12"/>
                <w:szCs w:val="12"/>
              </w:rPr>
              <w:t xml:space="preserve"> o secciones del mismo reservadas o confidenciales, se señalará este hecho.</w:t>
            </w:r>
          </w:p>
        </w:tc>
      </w:tr>
      <w:tr w:rsidR="00045AD9" w:rsidRPr="00140ACF" w14:paraId="430CC9B8" w14:textId="77777777" w:rsidTr="008145B6">
        <w:tc>
          <w:tcPr>
            <w:cnfStyle w:val="001000000000" w:firstRow="0" w:lastRow="0" w:firstColumn="1" w:lastColumn="0" w:oddVBand="0" w:evenVBand="0" w:oddHBand="0" w:evenHBand="0" w:firstRowFirstColumn="0" w:firstRowLastColumn="0" w:lastRowFirstColumn="0" w:lastRowLastColumn="0"/>
            <w:tcW w:w="1134" w:type="dxa"/>
          </w:tcPr>
          <w:p w14:paraId="3E6F3BC8" w14:textId="77777777" w:rsidR="006069BC" w:rsidRPr="00140ACF" w:rsidRDefault="006069BC" w:rsidP="008145B6">
            <w:pPr>
              <w:jc w:val="both"/>
              <w:rPr>
                <w:rFonts w:ascii="Palatino Linotype" w:hAnsi="Palatino Linotype"/>
                <w:sz w:val="12"/>
                <w:szCs w:val="12"/>
              </w:rPr>
            </w:pPr>
          </w:p>
        </w:tc>
        <w:tc>
          <w:tcPr>
            <w:tcW w:w="3119" w:type="dxa"/>
          </w:tcPr>
          <w:p w14:paraId="4C553B0D" w14:textId="77777777" w:rsidR="006069BC" w:rsidRPr="00140ACF" w:rsidRDefault="006069BC" w:rsidP="008145B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1129" w:type="dxa"/>
            <w:hideMark/>
          </w:tcPr>
          <w:p w14:paraId="7CC741ED" w14:textId="77777777" w:rsidR="006069BC" w:rsidRPr="00140ACF" w:rsidRDefault="006069BC" w:rsidP="008145B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140ACF">
              <w:rPr>
                <w:rFonts w:ascii="Palatino Linotype" w:hAnsi="Palatino Linotype"/>
                <w:b/>
                <w:sz w:val="12"/>
                <w:szCs w:val="12"/>
              </w:rPr>
              <w:t>Rúbrica y cargo del servidor público</w:t>
            </w:r>
          </w:p>
        </w:tc>
        <w:tc>
          <w:tcPr>
            <w:tcW w:w="3446" w:type="dxa"/>
            <w:hideMark/>
          </w:tcPr>
          <w:p w14:paraId="033929FF" w14:textId="77777777" w:rsidR="006069BC" w:rsidRPr="00140ACF" w:rsidRDefault="006069BC" w:rsidP="008145B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140ACF">
              <w:rPr>
                <w:rFonts w:ascii="Palatino Linotype" w:hAnsi="Palatino Linotype"/>
                <w:sz w:val="12"/>
                <w:szCs w:val="12"/>
              </w:rPr>
              <w:t>Rúbrica autógrafa de quien desclasifica.</w:t>
            </w:r>
          </w:p>
        </w:tc>
      </w:tr>
    </w:tbl>
    <w:p w14:paraId="15795B69" w14:textId="77777777" w:rsidR="002C08BF" w:rsidRPr="00140ACF" w:rsidRDefault="006069BC" w:rsidP="002C08BF">
      <w:pPr>
        <w:spacing w:before="240" w:after="240" w:line="360" w:lineRule="auto"/>
        <w:jc w:val="both"/>
        <w:rPr>
          <w:rFonts w:ascii="Palatino Linotype" w:eastAsia="Palatino Linotype" w:hAnsi="Palatino Linotype" w:cs="Palatino Linotype"/>
        </w:rPr>
      </w:pPr>
      <w:r w:rsidRPr="00140ACF">
        <w:rPr>
          <w:rFonts w:ascii="Palatino Linotype" w:eastAsia="Palatino Linotype" w:hAnsi="Palatino Linotype" w:cs="Palatino Linotype"/>
        </w:rPr>
        <w:t>Efectivamente, cuando se clasifica información como confidencial es importante someterlo al Comité de Transparencia, quien debe confirmar, modificar o revocar la clasificación.</w:t>
      </w:r>
    </w:p>
    <w:p w14:paraId="03A0E286" w14:textId="2556FECA" w:rsidR="006069BC" w:rsidRPr="00140ACF" w:rsidRDefault="006069BC" w:rsidP="002C08BF">
      <w:pPr>
        <w:spacing w:before="240" w:after="240" w:line="360" w:lineRule="auto"/>
        <w:jc w:val="both"/>
        <w:rPr>
          <w:rFonts w:ascii="Palatino Linotype" w:eastAsia="Palatino Linotype" w:hAnsi="Palatino Linotype" w:cs="Palatino Linotype"/>
        </w:rPr>
      </w:pPr>
      <w:r w:rsidRPr="00140ACF">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expongan los fundamentos y razonamientos que llevaron al </w:t>
      </w:r>
      <w:r w:rsidRPr="00140ACF">
        <w:rPr>
          <w:rFonts w:ascii="Palatino Linotype" w:eastAsia="Palatino Linotype" w:hAnsi="Palatino Linotype" w:cs="Palatino Linotype"/>
          <w:b/>
        </w:rPr>
        <w:t>Sujeto Obligado</w:t>
      </w:r>
      <w:r w:rsidRPr="00140ACF">
        <w:rPr>
          <w:rFonts w:ascii="Palatino Linotype" w:eastAsia="Palatino Linotype" w:hAnsi="Palatino Linotype" w:cs="Palatino Linotype"/>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recurrente.</w:t>
      </w:r>
    </w:p>
    <w:p w14:paraId="4E1ED8DD" w14:textId="77777777" w:rsidR="006069BC" w:rsidRPr="00140ACF" w:rsidRDefault="006069BC" w:rsidP="006069BC">
      <w:pPr>
        <w:spacing w:before="240" w:after="240" w:line="360" w:lineRule="auto"/>
        <w:jc w:val="both"/>
        <w:rPr>
          <w:rFonts w:ascii="Palatino Linotype" w:hAnsi="Palatino Linotype" w:cs="Arial"/>
        </w:rPr>
      </w:pPr>
      <w:r w:rsidRPr="00140ACF">
        <w:rPr>
          <w:rFonts w:ascii="Palatino Linotype" w:eastAsia="Palatino Linotype" w:hAnsi="Palatino Linotype" w:cs="Palatino Linotype"/>
        </w:rPr>
        <w:lastRenderedPageBreak/>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w:t>
      </w:r>
    </w:p>
    <w:p w14:paraId="13FF44CD" w14:textId="27F1C6ED" w:rsidR="00AA541F" w:rsidRPr="00140ACF" w:rsidRDefault="001928B5">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140ACF">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42FF3275" w14:textId="77777777" w:rsidR="00AA541F" w:rsidRPr="00140ACF" w:rsidRDefault="001928B5">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140ACF">
        <w:rPr>
          <w:rFonts w:ascii="Palatino Linotype" w:eastAsia="Palatino Linotype" w:hAnsi="Palatino Linotype" w:cs="Palatino Linotype"/>
          <w:b/>
        </w:rPr>
        <w:t>III. R E S U E L V E:</w:t>
      </w:r>
    </w:p>
    <w:p w14:paraId="533F7F01" w14:textId="448F819B" w:rsidR="00AA541F" w:rsidRPr="00140ACF" w:rsidRDefault="001928B5">
      <w:pPr>
        <w:spacing w:before="240" w:after="240" w:line="360" w:lineRule="auto"/>
        <w:jc w:val="both"/>
        <w:rPr>
          <w:rFonts w:ascii="Palatino Linotype" w:eastAsia="Palatino Linotype" w:hAnsi="Palatino Linotype" w:cs="Palatino Linotype"/>
          <w:b/>
        </w:rPr>
      </w:pPr>
      <w:bookmarkStart w:id="8" w:name="_heading=h.4d34og8" w:colFirst="0" w:colLast="0"/>
      <w:bookmarkEnd w:id="8"/>
      <w:r w:rsidRPr="00140ACF">
        <w:rPr>
          <w:rFonts w:ascii="Palatino Linotype" w:eastAsia="Palatino Linotype" w:hAnsi="Palatino Linotype" w:cs="Palatino Linotype"/>
          <w:b/>
        </w:rPr>
        <w:t xml:space="preserve">Primero. </w:t>
      </w:r>
      <w:r w:rsidRPr="00140ACF">
        <w:rPr>
          <w:rFonts w:ascii="Palatino Linotype" w:eastAsia="Palatino Linotype" w:hAnsi="Palatino Linotype" w:cs="Palatino Linotype"/>
        </w:rPr>
        <w:t>Resultan</w:t>
      </w:r>
      <w:r w:rsidRPr="00140ACF">
        <w:rPr>
          <w:rFonts w:ascii="Palatino Linotype" w:eastAsia="Palatino Linotype" w:hAnsi="Palatino Linotype" w:cs="Palatino Linotype"/>
          <w:b/>
        </w:rPr>
        <w:t xml:space="preserve"> fundados</w:t>
      </w:r>
      <w:r w:rsidRPr="00140ACF">
        <w:rPr>
          <w:rFonts w:ascii="Palatino Linotype" w:eastAsia="Palatino Linotype" w:hAnsi="Palatino Linotype" w:cs="Palatino Linotype"/>
        </w:rPr>
        <w:t xml:space="preserve"> los motivos de inconformidad hechos valer por la parte </w:t>
      </w:r>
      <w:r w:rsidRPr="00140ACF">
        <w:rPr>
          <w:rFonts w:ascii="Palatino Linotype" w:eastAsia="Palatino Linotype" w:hAnsi="Palatino Linotype" w:cs="Palatino Linotype"/>
          <w:b/>
        </w:rPr>
        <w:t xml:space="preserve">Recurrente </w:t>
      </w:r>
      <w:r w:rsidRPr="00140ACF">
        <w:rPr>
          <w:rFonts w:ascii="Palatino Linotype" w:eastAsia="Palatino Linotype" w:hAnsi="Palatino Linotype" w:cs="Palatino Linotype"/>
        </w:rPr>
        <w:t xml:space="preserve">en el recurso de revisión </w:t>
      </w:r>
      <w:r w:rsidRPr="00140ACF">
        <w:rPr>
          <w:rFonts w:ascii="Palatino Linotype" w:eastAsia="Palatino Linotype" w:hAnsi="Palatino Linotype" w:cs="Palatino Linotype"/>
          <w:b/>
        </w:rPr>
        <w:t>0</w:t>
      </w:r>
      <w:r w:rsidR="00315DFD" w:rsidRPr="00140ACF">
        <w:rPr>
          <w:rFonts w:ascii="Palatino Linotype" w:eastAsia="Palatino Linotype" w:hAnsi="Palatino Linotype" w:cs="Palatino Linotype"/>
          <w:b/>
        </w:rPr>
        <w:t>6679</w:t>
      </w:r>
      <w:r w:rsidRPr="00140ACF">
        <w:rPr>
          <w:rFonts w:ascii="Palatino Linotype" w:eastAsia="Palatino Linotype" w:hAnsi="Palatino Linotype" w:cs="Palatino Linotype"/>
          <w:b/>
        </w:rPr>
        <w:t xml:space="preserve">/INFOEM/IP/RR/2022, </w:t>
      </w:r>
      <w:r w:rsidRPr="00140ACF">
        <w:rPr>
          <w:rFonts w:ascii="Palatino Linotype" w:eastAsia="Palatino Linotype" w:hAnsi="Palatino Linotype" w:cs="Palatino Linotype"/>
        </w:rPr>
        <w:t xml:space="preserve">por lo que, en términos del Considerando </w:t>
      </w:r>
      <w:r w:rsidRPr="00140ACF">
        <w:rPr>
          <w:rFonts w:ascii="Palatino Linotype" w:eastAsia="Palatino Linotype" w:hAnsi="Palatino Linotype" w:cs="Palatino Linotype"/>
          <w:b/>
        </w:rPr>
        <w:t>Cuarto</w:t>
      </w:r>
      <w:r w:rsidRPr="00140ACF">
        <w:rPr>
          <w:rFonts w:ascii="Palatino Linotype" w:eastAsia="Palatino Linotype" w:hAnsi="Palatino Linotype" w:cs="Palatino Linotype"/>
        </w:rPr>
        <w:t xml:space="preserve"> de la presente resolución, se</w:t>
      </w:r>
      <w:r w:rsidRPr="00140ACF">
        <w:rPr>
          <w:rFonts w:ascii="Palatino Linotype" w:eastAsia="Palatino Linotype" w:hAnsi="Palatino Linotype" w:cs="Palatino Linotype"/>
          <w:b/>
        </w:rPr>
        <w:t xml:space="preserve"> </w:t>
      </w:r>
      <w:r w:rsidR="00315DFD" w:rsidRPr="00140ACF">
        <w:rPr>
          <w:rFonts w:ascii="Palatino Linotype" w:eastAsia="Palatino Linotype" w:hAnsi="Palatino Linotype" w:cs="Palatino Linotype"/>
          <w:b/>
        </w:rPr>
        <w:t>Revo</w:t>
      </w:r>
      <w:r w:rsidRPr="00140ACF">
        <w:rPr>
          <w:rFonts w:ascii="Palatino Linotype" w:eastAsia="Palatino Linotype" w:hAnsi="Palatino Linotype" w:cs="Palatino Linotype"/>
          <w:b/>
        </w:rPr>
        <w:t xml:space="preserve">ca </w:t>
      </w:r>
      <w:r w:rsidRPr="00140ACF">
        <w:rPr>
          <w:rFonts w:ascii="Palatino Linotype" w:eastAsia="Palatino Linotype" w:hAnsi="Palatino Linotype" w:cs="Palatino Linotype"/>
        </w:rPr>
        <w:t>la respuesta</w:t>
      </w:r>
      <w:r w:rsidRPr="00140ACF">
        <w:rPr>
          <w:rFonts w:ascii="Palatino Linotype" w:eastAsia="Palatino Linotype" w:hAnsi="Palatino Linotype" w:cs="Palatino Linotype"/>
          <w:b/>
        </w:rPr>
        <w:t xml:space="preserve"> </w:t>
      </w:r>
      <w:r w:rsidRPr="00140ACF">
        <w:rPr>
          <w:rFonts w:ascii="Palatino Linotype" w:eastAsia="Palatino Linotype" w:hAnsi="Palatino Linotype" w:cs="Palatino Linotype"/>
        </w:rPr>
        <w:t xml:space="preserve">del </w:t>
      </w:r>
      <w:r w:rsidRPr="00140ACF">
        <w:rPr>
          <w:rFonts w:ascii="Palatino Linotype" w:eastAsia="Palatino Linotype" w:hAnsi="Palatino Linotype" w:cs="Palatino Linotype"/>
          <w:b/>
        </w:rPr>
        <w:t>Sujeto Obligado.</w:t>
      </w:r>
    </w:p>
    <w:p w14:paraId="45F834A9" w14:textId="30B37DED" w:rsidR="00AA541F" w:rsidRPr="00140ACF" w:rsidRDefault="001928B5">
      <w:pPr>
        <w:spacing w:before="240" w:after="240" w:line="360" w:lineRule="auto"/>
        <w:jc w:val="both"/>
        <w:rPr>
          <w:rFonts w:ascii="Palatino Linotype" w:eastAsia="Palatino Linotype" w:hAnsi="Palatino Linotype" w:cs="Palatino Linotype"/>
        </w:rPr>
      </w:pPr>
      <w:r w:rsidRPr="00140ACF">
        <w:rPr>
          <w:rFonts w:ascii="Palatino Linotype" w:eastAsia="Palatino Linotype" w:hAnsi="Palatino Linotype" w:cs="Palatino Linotype"/>
          <w:b/>
        </w:rPr>
        <w:t xml:space="preserve">Segundo. </w:t>
      </w:r>
      <w:r w:rsidRPr="00140ACF">
        <w:rPr>
          <w:rFonts w:ascii="Palatino Linotype" w:eastAsia="Palatino Linotype" w:hAnsi="Palatino Linotype" w:cs="Palatino Linotype"/>
        </w:rPr>
        <w:t xml:space="preserve">Se </w:t>
      </w:r>
      <w:r w:rsidRPr="00140ACF">
        <w:rPr>
          <w:rFonts w:ascii="Palatino Linotype" w:eastAsia="Palatino Linotype" w:hAnsi="Palatino Linotype" w:cs="Palatino Linotype"/>
          <w:b/>
        </w:rPr>
        <w:t>Ordena</w:t>
      </w:r>
      <w:r w:rsidRPr="00140ACF">
        <w:rPr>
          <w:rFonts w:ascii="Palatino Linotype" w:eastAsia="Palatino Linotype" w:hAnsi="Palatino Linotype" w:cs="Palatino Linotype"/>
        </w:rPr>
        <w:t xml:space="preserve"> al </w:t>
      </w:r>
      <w:r w:rsidRPr="00140ACF">
        <w:rPr>
          <w:rFonts w:ascii="Palatino Linotype" w:eastAsia="Palatino Linotype" w:hAnsi="Palatino Linotype" w:cs="Palatino Linotype"/>
          <w:b/>
        </w:rPr>
        <w:t>Sujeto Obligado</w:t>
      </w:r>
      <w:r w:rsidRPr="00140ACF">
        <w:rPr>
          <w:rFonts w:ascii="Palatino Linotype" w:eastAsia="Palatino Linotype" w:hAnsi="Palatino Linotype" w:cs="Palatino Linotype"/>
        </w:rPr>
        <w:t xml:space="preserve">, en términos de los Considerandos </w:t>
      </w:r>
      <w:r w:rsidRPr="00140ACF">
        <w:rPr>
          <w:rFonts w:ascii="Palatino Linotype" w:eastAsia="Palatino Linotype" w:hAnsi="Palatino Linotype" w:cs="Palatino Linotype"/>
          <w:b/>
        </w:rPr>
        <w:t xml:space="preserve">Cuarto </w:t>
      </w:r>
      <w:r w:rsidRPr="00140ACF">
        <w:rPr>
          <w:rFonts w:ascii="Palatino Linotype" w:eastAsia="Palatino Linotype" w:hAnsi="Palatino Linotype" w:cs="Palatino Linotype"/>
        </w:rPr>
        <w:t xml:space="preserve">y </w:t>
      </w:r>
      <w:r w:rsidRPr="00140ACF">
        <w:rPr>
          <w:rFonts w:ascii="Palatino Linotype" w:eastAsia="Palatino Linotype" w:hAnsi="Palatino Linotype" w:cs="Palatino Linotype"/>
          <w:b/>
        </w:rPr>
        <w:t xml:space="preserve">Quinto </w:t>
      </w:r>
      <w:r w:rsidRPr="00140ACF">
        <w:rPr>
          <w:rFonts w:ascii="Palatino Linotype" w:eastAsia="Palatino Linotype" w:hAnsi="Palatino Linotype" w:cs="Palatino Linotype"/>
        </w:rPr>
        <w:t xml:space="preserve">de esta resolución, haga entrega, en versión pública de ser necesario, </w:t>
      </w:r>
      <w:r w:rsidR="00E833AA" w:rsidRPr="00140ACF">
        <w:rPr>
          <w:rFonts w:ascii="Palatino Linotype" w:eastAsia="Palatino Linotype" w:hAnsi="Palatino Linotype" w:cs="Palatino Linotype"/>
        </w:rPr>
        <w:t xml:space="preserve">de </w:t>
      </w:r>
      <w:r w:rsidRPr="00140ACF">
        <w:rPr>
          <w:rFonts w:ascii="Palatino Linotype" w:eastAsia="Palatino Linotype" w:hAnsi="Palatino Linotype" w:cs="Palatino Linotype"/>
        </w:rPr>
        <w:t>lo siguiente:</w:t>
      </w:r>
    </w:p>
    <w:p w14:paraId="7FE35B22" w14:textId="740FB568" w:rsidR="00E833AA" w:rsidRPr="00140ACF" w:rsidRDefault="00E833AA">
      <w:pPr>
        <w:spacing w:before="240" w:after="240" w:line="360" w:lineRule="auto"/>
        <w:jc w:val="both"/>
        <w:rPr>
          <w:rFonts w:ascii="Palatino Linotype" w:eastAsia="Palatino Linotype" w:hAnsi="Palatino Linotype" w:cs="Palatino Linotype"/>
        </w:rPr>
      </w:pPr>
      <w:r w:rsidRPr="00140ACF">
        <w:rPr>
          <w:rFonts w:ascii="Palatino Linotype" w:eastAsia="Palatino Linotype" w:hAnsi="Palatino Linotype" w:cs="Palatino Linotype"/>
        </w:rPr>
        <w:t xml:space="preserve">De todos los servidores públicos adscritos al </w:t>
      </w:r>
      <w:r w:rsidRPr="00140ACF">
        <w:rPr>
          <w:rFonts w:ascii="Palatino Linotype" w:eastAsia="Palatino Linotype" w:hAnsi="Palatino Linotype" w:cs="Palatino Linotype"/>
          <w:b/>
          <w:bCs/>
        </w:rPr>
        <w:t>Sujeto Obligado</w:t>
      </w:r>
      <w:r w:rsidRPr="00140ACF">
        <w:rPr>
          <w:rFonts w:ascii="Palatino Linotype" w:eastAsia="Palatino Linotype" w:hAnsi="Palatino Linotype" w:cs="Palatino Linotype"/>
        </w:rPr>
        <w:t>, el soporte documental en el que conste:</w:t>
      </w:r>
    </w:p>
    <w:p w14:paraId="5E09156E" w14:textId="6D3DCCA8" w:rsidR="00AA541F" w:rsidRPr="00140ACF" w:rsidRDefault="008349D5" w:rsidP="008349D5">
      <w:pPr>
        <w:spacing w:before="240" w:after="240" w:line="360" w:lineRule="auto"/>
        <w:ind w:left="284" w:right="49"/>
        <w:jc w:val="both"/>
        <w:rPr>
          <w:rFonts w:ascii="Palatino Linotype" w:eastAsia="Palatino Linotype" w:hAnsi="Palatino Linotype" w:cs="Palatino Linotype"/>
        </w:rPr>
      </w:pPr>
      <w:r w:rsidRPr="00140ACF">
        <w:rPr>
          <w:rFonts w:ascii="Palatino Linotype" w:eastAsia="Palatino Linotype" w:hAnsi="Palatino Linotype" w:cs="Palatino Linotype"/>
        </w:rPr>
        <w:lastRenderedPageBreak/>
        <w:t>1.</w:t>
      </w:r>
      <w:r w:rsidR="00315DFD" w:rsidRPr="00140ACF">
        <w:rPr>
          <w:rFonts w:ascii="Palatino Linotype" w:eastAsia="Palatino Linotype" w:hAnsi="Palatino Linotype" w:cs="Palatino Linotype"/>
        </w:rPr>
        <w:t xml:space="preserve"> Nombre, área de adscripción</w:t>
      </w:r>
      <w:r w:rsidR="002E386D" w:rsidRPr="00140ACF">
        <w:rPr>
          <w:rFonts w:ascii="Palatino Linotype" w:eastAsia="Palatino Linotype" w:hAnsi="Palatino Linotype" w:cs="Palatino Linotype"/>
        </w:rPr>
        <w:t xml:space="preserve"> y</w:t>
      </w:r>
      <w:r w:rsidR="00E833AA" w:rsidRPr="00140ACF">
        <w:rPr>
          <w:rFonts w:ascii="Palatino Linotype" w:eastAsia="Palatino Linotype" w:hAnsi="Palatino Linotype" w:cs="Palatino Linotype"/>
        </w:rPr>
        <w:t xml:space="preserve"> tipo de trabajador -de base </w:t>
      </w:r>
      <w:r w:rsidR="00C30040" w:rsidRPr="00140ACF">
        <w:rPr>
          <w:rFonts w:ascii="Palatino Linotype" w:eastAsia="Palatino Linotype" w:hAnsi="Palatino Linotype" w:cs="Palatino Linotype"/>
        </w:rPr>
        <w:t>y/</w:t>
      </w:r>
      <w:r w:rsidR="00E833AA" w:rsidRPr="00140ACF">
        <w:rPr>
          <w:rFonts w:ascii="Palatino Linotype" w:eastAsia="Palatino Linotype" w:hAnsi="Palatino Linotype" w:cs="Palatino Linotype"/>
        </w:rPr>
        <w:t>o confianza-,</w:t>
      </w:r>
      <w:r w:rsidR="00315DFD" w:rsidRPr="00140ACF">
        <w:rPr>
          <w:rFonts w:ascii="Palatino Linotype" w:eastAsia="Palatino Linotype" w:hAnsi="Palatino Linotype" w:cs="Palatino Linotype"/>
        </w:rPr>
        <w:t xml:space="preserve"> </w:t>
      </w:r>
      <w:r w:rsidR="003C0E40" w:rsidRPr="00140ACF">
        <w:rPr>
          <w:rFonts w:ascii="Palatino Linotype" w:eastAsia="Palatino Linotype" w:hAnsi="Palatino Linotype" w:cs="Palatino Linotype"/>
        </w:rPr>
        <w:t>y p</w:t>
      </w:r>
      <w:r w:rsidR="009C2B95" w:rsidRPr="00140ACF">
        <w:rPr>
          <w:rFonts w:ascii="Palatino Linotype" w:eastAsia="Palatino Linotype" w:hAnsi="Palatino Linotype" w:cs="Palatino Linotype"/>
        </w:rPr>
        <w:t xml:space="preserve">ercepciones correspondientes a la </w:t>
      </w:r>
      <w:r w:rsidR="00E833AA" w:rsidRPr="00140ACF">
        <w:rPr>
          <w:rFonts w:ascii="Palatino Linotype" w:eastAsia="Palatino Linotype" w:hAnsi="Palatino Linotype" w:cs="Palatino Linotype"/>
        </w:rPr>
        <w:t>segunda quincena de febrero y la primera quincena de marzo de dos mil veintidós.</w:t>
      </w:r>
    </w:p>
    <w:p w14:paraId="1D87F53B" w14:textId="77777777" w:rsidR="00AA541F" w:rsidRPr="00140ACF" w:rsidRDefault="001928B5">
      <w:pPr>
        <w:spacing w:before="280" w:after="280"/>
        <w:ind w:left="280" w:right="40"/>
        <w:jc w:val="both"/>
        <w:rPr>
          <w:rFonts w:ascii="Palatino Linotype" w:eastAsia="Palatino Linotype" w:hAnsi="Palatino Linotype" w:cs="Palatino Linotype"/>
          <w:i/>
          <w:sz w:val="20"/>
          <w:szCs w:val="20"/>
        </w:rPr>
      </w:pPr>
      <w:bookmarkStart w:id="9" w:name="_heading=h.lnxbz9" w:colFirst="0" w:colLast="0"/>
      <w:bookmarkEnd w:id="9"/>
      <w:r w:rsidRPr="00140ACF">
        <w:rPr>
          <w:rFonts w:ascii="Palatino Linotype" w:eastAsia="Palatino Linotype" w:hAnsi="Palatino Linotype" w:cs="Palatino Linotype"/>
          <w:i/>
          <w:sz w:val="20"/>
          <w:szCs w:val="20"/>
        </w:rPr>
        <w:t xml:space="preserve">De ser necesaria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w:t>
      </w:r>
      <w:r w:rsidRPr="00140ACF">
        <w:rPr>
          <w:rFonts w:ascii="Palatino Linotype" w:eastAsia="Palatino Linotype" w:hAnsi="Palatino Linotype" w:cs="Palatino Linotype"/>
          <w:b/>
          <w:i/>
          <w:sz w:val="20"/>
          <w:szCs w:val="20"/>
        </w:rPr>
        <w:t>Recurrente</w:t>
      </w:r>
      <w:r w:rsidRPr="00140ACF">
        <w:rPr>
          <w:rFonts w:ascii="Palatino Linotype" w:eastAsia="Palatino Linotype" w:hAnsi="Palatino Linotype" w:cs="Palatino Linotype"/>
          <w:i/>
          <w:sz w:val="20"/>
          <w:szCs w:val="20"/>
        </w:rPr>
        <w:t>, mismo que igualmente hará de su conocimiento.</w:t>
      </w:r>
    </w:p>
    <w:p w14:paraId="7EF6FD20" w14:textId="77777777" w:rsidR="00AA541F" w:rsidRPr="00140ACF" w:rsidRDefault="001928B5">
      <w:pPr>
        <w:spacing w:before="240" w:after="240" w:line="360" w:lineRule="auto"/>
        <w:jc w:val="both"/>
        <w:rPr>
          <w:rFonts w:ascii="Palatino Linotype" w:eastAsia="Palatino Linotype" w:hAnsi="Palatino Linotype" w:cs="Palatino Linotype"/>
          <w:b/>
        </w:rPr>
      </w:pPr>
      <w:bookmarkStart w:id="10" w:name="_heading=h.kelgs2428oa6" w:colFirst="0" w:colLast="0"/>
      <w:bookmarkEnd w:id="10"/>
      <w:r w:rsidRPr="00140ACF">
        <w:rPr>
          <w:rFonts w:ascii="Palatino Linotype" w:eastAsia="Palatino Linotype" w:hAnsi="Palatino Linotype" w:cs="Palatino Linotype"/>
          <w:b/>
        </w:rPr>
        <w:t xml:space="preserve">Tercero. Notifíquese, </w:t>
      </w:r>
      <w:r w:rsidRPr="00140ACF">
        <w:rPr>
          <w:rFonts w:ascii="Palatino Linotype" w:eastAsia="Palatino Linotype" w:hAnsi="Palatino Linotype" w:cs="Palatino Linotype"/>
        </w:rPr>
        <w:t>vía</w:t>
      </w:r>
      <w:r w:rsidRPr="00140ACF">
        <w:rPr>
          <w:rFonts w:ascii="Palatino Linotype" w:eastAsia="Palatino Linotype" w:hAnsi="Palatino Linotype" w:cs="Palatino Linotype"/>
          <w:b/>
        </w:rPr>
        <w:t xml:space="preserve"> SAIMEX, </w:t>
      </w:r>
      <w:r w:rsidRPr="00140ACF">
        <w:rPr>
          <w:rFonts w:ascii="Palatino Linotype" w:eastAsia="Palatino Linotype" w:hAnsi="Palatino Linotype" w:cs="Palatino Linotype"/>
        </w:rPr>
        <w:t xml:space="preserve">al Responsable de la Unidad de Transparencia del </w:t>
      </w:r>
      <w:r w:rsidRPr="00140ACF">
        <w:rPr>
          <w:rFonts w:ascii="Palatino Linotype" w:eastAsia="Palatino Linotype" w:hAnsi="Palatino Linotype" w:cs="Palatino Linotype"/>
          <w:b/>
        </w:rPr>
        <w:t>Sujeto Obligado</w:t>
      </w:r>
      <w:r w:rsidRPr="00140ACF">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140ACF">
        <w:rPr>
          <w:rFonts w:ascii="Palatino Linotype" w:eastAsia="Palatino Linotype" w:hAnsi="Palatino Linotype" w:cs="Palatino Linotype"/>
          <w:b/>
        </w:rPr>
        <w:t>.</w:t>
      </w:r>
    </w:p>
    <w:p w14:paraId="6459A158" w14:textId="77777777" w:rsidR="00AA541F" w:rsidRPr="00140ACF" w:rsidRDefault="001928B5">
      <w:pPr>
        <w:spacing w:before="240" w:after="240" w:line="360" w:lineRule="auto"/>
        <w:jc w:val="both"/>
        <w:rPr>
          <w:rFonts w:ascii="Palatino Linotype" w:eastAsia="Palatino Linotype" w:hAnsi="Palatino Linotype" w:cs="Palatino Linotype"/>
        </w:rPr>
      </w:pPr>
      <w:r w:rsidRPr="00140ACF">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140ACF">
        <w:rPr>
          <w:rFonts w:ascii="Palatino Linotype" w:eastAsia="Palatino Linotype" w:hAnsi="Palatino Linotype" w:cs="Palatino Linotype"/>
          <w:b/>
        </w:rPr>
        <w:t>Sujeto Obligado</w:t>
      </w:r>
      <w:r w:rsidRPr="00140ACF">
        <w:rPr>
          <w:rFonts w:ascii="Palatino Linotype" w:eastAsia="Palatino Linotype" w:hAnsi="Palatino Linotype" w:cs="Palatino Linotype"/>
        </w:rPr>
        <w:t xml:space="preserve"> de manera fundada y motivada, podrá solicitar una ampliación de plazo para el cumplimiento de la presente resolución.</w:t>
      </w:r>
    </w:p>
    <w:p w14:paraId="5D8F9C63" w14:textId="77777777" w:rsidR="00AA541F" w:rsidRPr="00140ACF" w:rsidRDefault="001928B5">
      <w:pPr>
        <w:spacing w:before="240" w:after="240" w:line="360" w:lineRule="auto"/>
        <w:jc w:val="both"/>
        <w:rPr>
          <w:rFonts w:ascii="Palatino Linotype" w:eastAsia="Palatino Linotype" w:hAnsi="Palatino Linotype" w:cs="Palatino Linotype"/>
        </w:rPr>
      </w:pPr>
      <w:r w:rsidRPr="00140ACF">
        <w:rPr>
          <w:rFonts w:ascii="Palatino Linotype" w:eastAsia="Palatino Linotype" w:hAnsi="Palatino Linotype" w:cs="Palatino Linotype"/>
          <w:b/>
        </w:rPr>
        <w:t xml:space="preserve">Cuarto.  Notifíquese, </w:t>
      </w:r>
      <w:r w:rsidRPr="00140ACF">
        <w:rPr>
          <w:rFonts w:ascii="Palatino Linotype" w:eastAsia="Palatino Linotype" w:hAnsi="Palatino Linotype" w:cs="Palatino Linotype"/>
        </w:rPr>
        <w:t xml:space="preserve">vía </w:t>
      </w:r>
      <w:r w:rsidRPr="00140ACF">
        <w:rPr>
          <w:rFonts w:ascii="Palatino Linotype" w:eastAsia="Palatino Linotype" w:hAnsi="Palatino Linotype" w:cs="Palatino Linotype"/>
          <w:b/>
        </w:rPr>
        <w:t>SAIMEX</w:t>
      </w:r>
      <w:r w:rsidRPr="00140ACF">
        <w:rPr>
          <w:rFonts w:ascii="Palatino Linotype" w:eastAsia="Palatino Linotype" w:hAnsi="Palatino Linotype" w:cs="Palatino Linotype"/>
        </w:rPr>
        <w:t>, 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696F5F9F" w14:textId="0D18B776" w:rsidR="00AA541F" w:rsidRPr="00045AD9" w:rsidRDefault="00ED174A">
      <w:pPr>
        <w:spacing w:line="360" w:lineRule="auto"/>
        <w:jc w:val="both"/>
        <w:rPr>
          <w:rFonts w:ascii="Palatino Linotype" w:eastAsia="Palatino Linotype" w:hAnsi="Palatino Linotype" w:cs="Palatino Linotype"/>
        </w:rPr>
      </w:pPr>
      <w:bookmarkStart w:id="11" w:name="_heading=h.3rdcrjn" w:colFirst="0" w:colLast="0"/>
      <w:bookmarkEnd w:id="11"/>
      <w:r>
        <w:rPr>
          <w:rFonts w:ascii="Palatino Linotype" w:eastAsia="Palatino Linotype" w:hAnsi="Palatino Linotype" w:cs="Palatino Linotype"/>
        </w:rPr>
        <w:lastRenderedPageBreak/>
        <w:t>ASÍ LO RESUELVE, POR MAYORIA</w:t>
      </w:r>
      <w:r w:rsidR="001928B5" w:rsidRPr="00140ACF">
        <w:rPr>
          <w:rFonts w:ascii="Palatino Linotype" w:eastAsia="Palatino Linotype" w:hAnsi="Palatino Linotype" w:cs="Palatino Linotype"/>
        </w:rPr>
        <w:t xml:space="preserve"> DE VOTOS, EL PLENO DEL INSTITUTO DE TRANSPARENCIA, ACCESO A LA INFORMACIÓN PÚBLICA Y PROTECCIÓN DE DATOS PERSONALES DEL ESTADO DE MÉXICO Y MUNICIPIOS, CONFORMADO POR LOS COMISIONADOS JOSÉ MARTÍNEZ VILCHIS</w:t>
      </w:r>
      <w:r w:rsidR="009F01D1" w:rsidRPr="00140ACF">
        <w:rPr>
          <w:rFonts w:ascii="Palatino Linotype" w:eastAsia="Palatino Linotype" w:hAnsi="Palatino Linotype" w:cs="Palatino Linotype"/>
        </w:rPr>
        <w:t>, EMITIENDO VOTO PARTICULAR;</w:t>
      </w:r>
      <w:r w:rsidR="001928B5" w:rsidRPr="00140ACF">
        <w:rPr>
          <w:rFonts w:ascii="Palatino Linotype" w:eastAsia="Palatino Linotype" w:hAnsi="Palatino Linotype" w:cs="Palatino Linotype"/>
        </w:rPr>
        <w:t xml:space="preserve"> MARÍA DEL ROSARIO MEJÍA AYALA</w:t>
      </w:r>
      <w:r w:rsidR="009F01D1" w:rsidRPr="00140ACF">
        <w:rPr>
          <w:rFonts w:ascii="Palatino Linotype" w:eastAsia="Palatino Linotype" w:hAnsi="Palatino Linotype" w:cs="Palatino Linotype"/>
        </w:rPr>
        <w:t>;</w:t>
      </w:r>
      <w:r w:rsidR="001928B5" w:rsidRPr="00140ACF">
        <w:rPr>
          <w:rFonts w:ascii="Palatino Linotype" w:eastAsia="Palatino Linotype" w:hAnsi="Palatino Linotype" w:cs="Palatino Linotype"/>
        </w:rPr>
        <w:t xml:space="preserve"> SHARON CRISTINA MORALES MARTÍNEZ</w:t>
      </w:r>
      <w:r w:rsidR="009F01D1" w:rsidRPr="00140ACF">
        <w:rPr>
          <w:rFonts w:ascii="Palatino Linotype" w:eastAsia="Palatino Linotype" w:hAnsi="Palatino Linotype" w:cs="Palatino Linotype"/>
        </w:rPr>
        <w:t xml:space="preserve">, EMITIENDO VOTO </w:t>
      </w:r>
      <w:r>
        <w:rPr>
          <w:rFonts w:ascii="Palatino Linotype" w:eastAsia="Palatino Linotype" w:hAnsi="Palatino Linotype" w:cs="Palatino Linotype"/>
        </w:rPr>
        <w:t>DISIDENTE</w:t>
      </w:r>
      <w:r w:rsidR="009F01D1" w:rsidRPr="00140ACF">
        <w:rPr>
          <w:rFonts w:ascii="Palatino Linotype" w:eastAsia="Palatino Linotype" w:hAnsi="Palatino Linotype" w:cs="Palatino Linotype"/>
        </w:rPr>
        <w:t>;</w:t>
      </w:r>
      <w:r w:rsidR="001928B5" w:rsidRPr="00140ACF">
        <w:rPr>
          <w:rFonts w:ascii="Palatino Linotype" w:eastAsia="Palatino Linotype" w:hAnsi="Palatino Linotype" w:cs="Palatino Linotype"/>
        </w:rPr>
        <w:t xml:space="preserve"> LUIS GUSTAVO PARRA NORIEGA</w:t>
      </w:r>
      <w:r w:rsidR="009F01D1" w:rsidRPr="00140ACF">
        <w:rPr>
          <w:rFonts w:ascii="Palatino Linotype" w:eastAsia="Palatino Linotype" w:hAnsi="Palatino Linotype" w:cs="Palatino Linotype"/>
        </w:rPr>
        <w:t>,</w:t>
      </w:r>
      <w:r w:rsidR="001928B5" w:rsidRPr="00140ACF">
        <w:rPr>
          <w:rFonts w:ascii="Palatino Linotype" w:eastAsia="Palatino Linotype" w:hAnsi="Palatino Linotype" w:cs="Palatino Linotype"/>
        </w:rPr>
        <w:t xml:space="preserve"> </w:t>
      </w:r>
      <w:r w:rsidR="009F01D1" w:rsidRPr="00140ACF">
        <w:rPr>
          <w:rFonts w:ascii="Palatino Linotype" w:eastAsia="Palatino Linotype" w:hAnsi="Palatino Linotype" w:cs="Palatino Linotype"/>
        </w:rPr>
        <w:t xml:space="preserve">EMITIENDO VOTO PARTICULAR </w:t>
      </w:r>
      <w:r w:rsidR="001928B5" w:rsidRPr="00140ACF">
        <w:rPr>
          <w:rFonts w:ascii="Palatino Linotype" w:eastAsia="Palatino Linotype" w:hAnsi="Palatino Linotype" w:cs="Palatino Linotype"/>
        </w:rPr>
        <w:t xml:space="preserve">Y GUADALUPE RAMÍREZ PEÑA; EN LA TRIGÉSIMO </w:t>
      </w:r>
      <w:r w:rsidR="002C08BF" w:rsidRPr="00140ACF">
        <w:rPr>
          <w:rFonts w:ascii="Palatino Linotype" w:eastAsia="Palatino Linotype" w:hAnsi="Palatino Linotype" w:cs="Palatino Linotype"/>
        </w:rPr>
        <w:t>SEGUNDA</w:t>
      </w:r>
      <w:r w:rsidR="001928B5" w:rsidRPr="00140ACF">
        <w:rPr>
          <w:rFonts w:ascii="Palatino Linotype" w:eastAsia="Palatino Linotype" w:hAnsi="Palatino Linotype" w:cs="Palatino Linotype"/>
        </w:rPr>
        <w:t xml:space="preserve"> SESIÓN ORDINARIA CELEBRADA EL </w:t>
      </w:r>
      <w:r w:rsidR="002C08BF" w:rsidRPr="00140ACF">
        <w:rPr>
          <w:rFonts w:ascii="Palatino Linotype" w:eastAsia="Palatino Linotype" w:hAnsi="Palatino Linotype" w:cs="Palatino Linotype"/>
        </w:rPr>
        <w:t>SIETE DE SEPTIEMBRE</w:t>
      </w:r>
      <w:r w:rsidR="001928B5" w:rsidRPr="00140ACF">
        <w:rPr>
          <w:rFonts w:ascii="Palatino Linotype" w:eastAsia="Palatino Linotype" w:hAnsi="Palatino Linotype" w:cs="Palatino Linotype"/>
        </w:rPr>
        <w:t xml:space="preserve"> DE DOS MIL VEINTIDÓS, ANTE EL SECRETARIO TÉCNICO DEL PLENO ALEXIS TAPIA RAMÍREZ.</w:t>
      </w:r>
    </w:p>
    <w:p w14:paraId="70B458E9" w14:textId="77777777" w:rsidR="00AA541F" w:rsidRPr="00045AD9" w:rsidRDefault="00AA541F">
      <w:pPr>
        <w:spacing w:line="360" w:lineRule="auto"/>
        <w:jc w:val="both"/>
        <w:rPr>
          <w:rFonts w:ascii="Palatino Linotype" w:eastAsia="Palatino Linotype" w:hAnsi="Palatino Linotype" w:cs="Palatino Linotype"/>
        </w:rPr>
      </w:pPr>
    </w:p>
    <w:p w14:paraId="51C3D00A" w14:textId="77777777" w:rsidR="00AA541F" w:rsidRPr="00045AD9" w:rsidRDefault="00AA541F">
      <w:pPr>
        <w:rPr>
          <w:rFonts w:ascii="Palatino Linotype" w:eastAsia="Palatino Linotype" w:hAnsi="Palatino Linotype" w:cs="Palatino Linotype"/>
        </w:rPr>
      </w:pPr>
    </w:p>
    <w:p w14:paraId="6010F0F7" w14:textId="77777777" w:rsidR="00AA541F" w:rsidRPr="00045AD9" w:rsidRDefault="00AA541F">
      <w:pPr>
        <w:spacing w:line="360" w:lineRule="auto"/>
        <w:jc w:val="both"/>
        <w:rPr>
          <w:rFonts w:ascii="Palatino Linotype" w:eastAsia="Palatino Linotype" w:hAnsi="Palatino Linotype" w:cs="Palatino Linotype"/>
        </w:rPr>
      </w:pPr>
    </w:p>
    <w:p w14:paraId="04F90BB3" w14:textId="77777777" w:rsidR="00AA541F" w:rsidRPr="00045AD9" w:rsidRDefault="00AA541F">
      <w:pPr>
        <w:spacing w:line="360" w:lineRule="auto"/>
        <w:jc w:val="both"/>
        <w:rPr>
          <w:rFonts w:ascii="Palatino Linotype" w:eastAsia="Palatino Linotype" w:hAnsi="Palatino Linotype" w:cs="Palatino Linotype"/>
        </w:rPr>
      </w:pPr>
    </w:p>
    <w:p w14:paraId="61428EF1" w14:textId="77777777" w:rsidR="00AA541F" w:rsidRPr="00045AD9" w:rsidRDefault="00AA541F">
      <w:pPr>
        <w:spacing w:line="360" w:lineRule="auto"/>
        <w:jc w:val="both"/>
        <w:rPr>
          <w:rFonts w:ascii="Palatino Linotype" w:eastAsia="Palatino Linotype" w:hAnsi="Palatino Linotype" w:cs="Palatino Linotype"/>
        </w:rPr>
      </w:pPr>
    </w:p>
    <w:p w14:paraId="5172A73D" w14:textId="77777777" w:rsidR="00AA541F" w:rsidRPr="00045AD9" w:rsidRDefault="00AA541F">
      <w:pPr>
        <w:spacing w:line="360" w:lineRule="auto"/>
        <w:jc w:val="both"/>
        <w:rPr>
          <w:rFonts w:ascii="Palatino Linotype" w:eastAsia="Palatino Linotype" w:hAnsi="Palatino Linotype" w:cs="Palatino Linotype"/>
        </w:rPr>
      </w:pPr>
    </w:p>
    <w:p w14:paraId="3686BA62" w14:textId="77777777" w:rsidR="00AA541F" w:rsidRPr="00045AD9" w:rsidRDefault="00AA541F">
      <w:pPr>
        <w:spacing w:line="360" w:lineRule="auto"/>
        <w:jc w:val="both"/>
        <w:rPr>
          <w:rFonts w:ascii="Palatino Linotype" w:eastAsia="Palatino Linotype" w:hAnsi="Palatino Linotype" w:cs="Palatino Linotype"/>
        </w:rPr>
      </w:pPr>
    </w:p>
    <w:p w14:paraId="69A918AB" w14:textId="77777777" w:rsidR="00AA541F" w:rsidRPr="00045AD9" w:rsidRDefault="00AA541F">
      <w:pPr>
        <w:spacing w:line="360" w:lineRule="auto"/>
        <w:jc w:val="both"/>
        <w:rPr>
          <w:rFonts w:ascii="Palatino Linotype" w:eastAsia="Palatino Linotype" w:hAnsi="Palatino Linotype" w:cs="Palatino Linotype"/>
        </w:rPr>
      </w:pPr>
    </w:p>
    <w:p w14:paraId="17243483" w14:textId="77777777" w:rsidR="00AA541F" w:rsidRPr="00045AD9" w:rsidRDefault="00AA541F">
      <w:pPr>
        <w:spacing w:line="360" w:lineRule="auto"/>
        <w:jc w:val="both"/>
        <w:rPr>
          <w:rFonts w:ascii="Palatino Linotype" w:eastAsia="Palatino Linotype" w:hAnsi="Palatino Linotype" w:cs="Palatino Linotype"/>
        </w:rPr>
      </w:pPr>
    </w:p>
    <w:p w14:paraId="62FF37A4" w14:textId="77777777" w:rsidR="00AA541F" w:rsidRPr="00045AD9" w:rsidRDefault="00AA541F">
      <w:pPr>
        <w:spacing w:line="360" w:lineRule="auto"/>
        <w:jc w:val="both"/>
        <w:rPr>
          <w:rFonts w:ascii="Palatino Linotype" w:eastAsia="Palatino Linotype" w:hAnsi="Palatino Linotype" w:cs="Palatino Linotype"/>
        </w:rPr>
      </w:pPr>
    </w:p>
    <w:p w14:paraId="7406754D" w14:textId="77777777" w:rsidR="00AA541F" w:rsidRPr="00045AD9" w:rsidRDefault="00AA541F">
      <w:pPr>
        <w:spacing w:line="360" w:lineRule="auto"/>
        <w:jc w:val="both"/>
        <w:rPr>
          <w:rFonts w:ascii="Palatino Linotype" w:eastAsia="Palatino Linotype" w:hAnsi="Palatino Linotype" w:cs="Palatino Linotype"/>
        </w:rPr>
      </w:pPr>
    </w:p>
    <w:p w14:paraId="36CF0C4D" w14:textId="77777777" w:rsidR="00AA541F" w:rsidRPr="00045AD9" w:rsidRDefault="00AA541F">
      <w:pPr>
        <w:spacing w:line="360" w:lineRule="auto"/>
        <w:jc w:val="both"/>
        <w:rPr>
          <w:rFonts w:ascii="Palatino Linotype" w:eastAsia="Palatino Linotype" w:hAnsi="Palatino Linotype" w:cs="Palatino Linotype"/>
        </w:rPr>
      </w:pPr>
    </w:p>
    <w:p w14:paraId="4017AD3B" w14:textId="77777777" w:rsidR="00AA541F" w:rsidRPr="00045AD9" w:rsidRDefault="00AA541F">
      <w:pPr>
        <w:spacing w:line="360" w:lineRule="auto"/>
        <w:jc w:val="both"/>
        <w:rPr>
          <w:rFonts w:ascii="Palatino Linotype" w:eastAsia="Palatino Linotype" w:hAnsi="Palatino Linotype" w:cs="Palatino Linotype"/>
        </w:rPr>
      </w:pPr>
    </w:p>
    <w:p w14:paraId="675D804E" w14:textId="77777777" w:rsidR="00AA541F" w:rsidRPr="00045AD9" w:rsidRDefault="00AA541F">
      <w:pPr>
        <w:spacing w:line="360" w:lineRule="auto"/>
        <w:jc w:val="both"/>
        <w:rPr>
          <w:rFonts w:ascii="Palatino Linotype" w:eastAsia="Palatino Linotype" w:hAnsi="Palatino Linotype" w:cs="Palatino Linotype"/>
        </w:rPr>
      </w:pPr>
    </w:p>
    <w:p w14:paraId="0910224E" w14:textId="77777777" w:rsidR="00AA541F" w:rsidRPr="00045AD9" w:rsidRDefault="00AA541F">
      <w:pPr>
        <w:spacing w:line="360" w:lineRule="auto"/>
        <w:jc w:val="both"/>
        <w:rPr>
          <w:rFonts w:ascii="Palatino Linotype" w:eastAsia="Palatino Linotype" w:hAnsi="Palatino Linotype" w:cs="Palatino Linotype"/>
        </w:rPr>
      </w:pPr>
    </w:p>
    <w:p w14:paraId="4B00C860" w14:textId="77777777" w:rsidR="00AA541F" w:rsidRPr="00045AD9" w:rsidRDefault="00AA541F">
      <w:pPr>
        <w:spacing w:line="360" w:lineRule="auto"/>
        <w:jc w:val="both"/>
        <w:rPr>
          <w:rFonts w:ascii="Palatino Linotype" w:eastAsia="Palatino Linotype" w:hAnsi="Palatino Linotype" w:cs="Palatino Linotype"/>
        </w:rPr>
      </w:pPr>
    </w:p>
    <w:p w14:paraId="7813F3FF" w14:textId="77777777" w:rsidR="00AA541F" w:rsidRPr="00045AD9" w:rsidRDefault="00AA541F">
      <w:pPr>
        <w:spacing w:line="360" w:lineRule="auto"/>
        <w:jc w:val="both"/>
        <w:rPr>
          <w:rFonts w:ascii="Palatino Linotype" w:eastAsia="Palatino Linotype" w:hAnsi="Palatino Linotype" w:cs="Palatino Linotype"/>
        </w:rPr>
      </w:pPr>
    </w:p>
    <w:p w14:paraId="308477C5" w14:textId="77777777" w:rsidR="00AA541F" w:rsidRPr="00045AD9" w:rsidRDefault="00AA541F">
      <w:pPr>
        <w:spacing w:line="360" w:lineRule="auto"/>
        <w:jc w:val="both"/>
        <w:rPr>
          <w:rFonts w:ascii="Palatino Linotype" w:eastAsia="Palatino Linotype" w:hAnsi="Palatino Linotype" w:cs="Palatino Linotype"/>
        </w:rPr>
      </w:pPr>
    </w:p>
    <w:p w14:paraId="64F39D67" w14:textId="77777777" w:rsidR="00AA541F" w:rsidRPr="00045AD9" w:rsidRDefault="00AA541F">
      <w:pPr>
        <w:spacing w:line="360" w:lineRule="auto"/>
        <w:jc w:val="both"/>
        <w:rPr>
          <w:rFonts w:ascii="Palatino Linotype" w:eastAsia="Palatino Linotype" w:hAnsi="Palatino Linotype" w:cs="Palatino Linotype"/>
        </w:rPr>
      </w:pPr>
    </w:p>
    <w:p w14:paraId="70EA5447" w14:textId="77777777" w:rsidR="00AA541F" w:rsidRPr="00045AD9" w:rsidRDefault="00AA541F">
      <w:pPr>
        <w:spacing w:line="360" w:lineRule="auto"/>
        <w:jc w:val="both"/>
        <w:rPr>
          <w:rFonts w:ascii="Palatino Linotype" w:eastAsia="Palatino Linotype" w:hAnsi="Palatino Linotype" w:cs="Palatino Linotype"/>
        </w:rPr>
      </w:pPr>
    </w:p>
    <w:p w14:paraId="68B01C28" w14:textId="77777777" w:rsidR="00AA541F" w:rsidRPr="00045AD9" w:rsidRDefault="00AA541F">
      <w:pPr>
        <w:spacing w:line="360" w:lineRule="auto"/>
        <w:jc w:val="both"/>
        <w:rPr>
          <w:rFonts w:ascii="Palatino Linotype" w:eastAsia="Palatino Linotype" w:hAnsi="Palatino Linotype" w:cs="Palatino Linotype"/>
        </w:rPr>
      </w:pPr>
    </w:p>
    <w:p w14:paraId="473507D1" w14:textId="77777777" w:rsidR="00AA541F" w:rsidRPr="00045AD9" w:rsidRDefault="00AA541F">
      <w:pPr>
        <w:spacing w:line="360" w:lineRule="auto"/>
        <w:jc w:val="both"/>
        <w:rPr>
          <w:rFonts w:ascii="Palatino Linotype" w:eastAsia="Palatino Linotype" w:hAnsi="Palatino Linotype" w:cs="Palatino Linotype"/>
        </w:rPr>
      </w:pPr>
    </w:p>
    <w:sectPr w:rsidR="00AA541F" w:rsidRPr="00045AD9">
      <w:headerReference w:type="default" r:id="rId13"/>
      <w:footerReference w:type="default" r:id="rId14"/>
      <w:headerReference w:type="first" r:id="rId15"/>
      <w:footerReference w:type="first" r:id="rId16"/>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9920DD" w14:textId="77777777" w:rsidR="00E27D72" w:rsidRDefault="00E27D72">
      <w:r>
        <w:separator/>
      </w:r>
    </w:p>
  </w:endnote>
  <w:endnote w:type="continuationSeparator" w:id="0">
    <w:p w14:paraId="3CD039E1" w14:textId="77777777" w:rsidR="00E27D72" w:rsidRDefault="00E27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C7857" w14:textId="77777777" w:rsidR="00AA541F" w:rsidRDefault="001928B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13C57">
      <w:rPr>
        <w:rFonts w:ascii="Palatino Linotype" w:eastAsia="Palatino Linotype" w:hAnsi="Palatino Linotype" w:cs="Palatino Linotype"/>
        <w:b/>
        <w:noProof/>
        <w:color w:val="000000"/>
        <w:sz w:val="20"/>
        <w:szCs w:val="20"/>
      </w:rPr>
      <w:t>14</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13C57">
      <w:rPr>
        <w:rFonts w:ascii="Palatino Linotype" w:eastAsia="Palatino Linotype" w:hAnsi="Palatino Linotype" w:cs="Palatino Linotype"/>
        <w:b/>
        <w:noProof/>
        <w:color w:val="000000"/>
        <w:sz w:val="20"/>
        <w:szCs w:val="20"/>
      </w:rPr>
      <w:t>49</w:t>
    </w:r>
    <w:r>
      <w:rPr>
        <w:rFonts w:ascii="Palatino Linotype" w:eastAsia="Palatino Linotype" w:hAnsi="Palatino Linotype" w:cs="Palatino Linotype"/>
        <w:b/>
        <w:color w:val="000000"/>
        <w:sz w:val="20"/>
        <w:szCs w:val="20"/>
      </w:rPr>
      <w:fldChar w:fldCharType="end"/>
    </w:r>
  </w:p>
  <w:p w14:paraId="38C177A0" w14:textId="77777777" w:rsidR="00AA541F" w:rsidRDefault="00AA541F">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5C4B2" w14:textId="77777777" w:rsidR="00AA541F" w:rsidRDefault="001928B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459C9">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459C9">
      <w:rPr>
        <w:rFonts w:ascii="Palatino Linotype" w:eastAsia="Palatino Linotype" w:hAnsi="Palatino Linotype" w:cs="Palatino Linotype"/>
        <w:b/>
        <w:noProof/>
        <w:color w:val="000000"/>
        <w:sz w:val="20"/>
        <w:szCs w:val="20"/>
      </w:rPr>
      <w:t>49</w:t>
    </w:r>
    <w:r>
      <w:rPr>
        <w:rFonts w:ascii="Palatino Linotype" w:eastAsia="Palatino Linotype" w:hAnsi="Palatino Linotype" w:cs="Palatino Linotype"/>
        <w:b/>
        <w:color w:val="000000"/>
        <w:sz w:val="20"/>
        <w:szCs w:val="20"/>
      </w:rPr>
      <w:fldChar w:fldCharType="end"/>
    </w:r>
  </w:p>
  <w:p w14:paraId="70E79CD4" w14:textId="77777777" w:rsidR="00AA541F" w:rsidRDefault="00AA541F">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72967E" w14:textId="77777777" w:rsidR="00E27D72" w:rsidRDefault="00E27D72">
      <w:r>
        <w:separator/>
      </w:r>
    </w:p>
  </w:footnote>
  <w:footnote w:type="continuationSeparator" w:id="0">
    <w:p w14:paraId="20C0FB16" w14:textId="77777777" w:rsidR="00E27D72" w:rsidRDefault="00E27D72">
      <w:r>
        <w:continuationSeparator/>
      </w:r>
    </w:p>
  </w:footnote>
  <w:footnote w:id="1">
    <w:p w14:paraId="6EF29D52" w14:textId="77777777" w:rsidR="00AA541F" w:rsidRPr="003009B2" w:rsidRDefault="001928B5" w:rsidP="003009B2">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sidRPr="003009B2">
        <w:rPr>
          <w:rFonts w:ascii="Palatino Linotype" w:hAnsi="Palatino Linotype"/>
          <w:sz w:val="16"/>
          <w:szCs w:val="16"/>
          <w:vertAlign w:val="superscript"/>
        </w:rPr>
        <w:footnoteRef/>
      </w:r>
      <w:r w:rsidRPr="003009B2">
        <w:rPr>
          <w:rFonts w:ascii="Palatino Linotype" w:eastAsia="Palatino Linotype" w:hAnsi="Palatino Linotype" w:cs="Palatino Linotype"/>
          <w:color w:val="000000"/>
          <w:sz w:val="16"/>
          <w:szCs w:val="16"/>
        </w:rPr>
        <w:t xml:space="preserve"> “</w:t>
      </w:r>
      <w:r w:rsidRPr="003009B2">
        <w:rPr>
          <w:rFonts w:ascii="Palatino Linotype" w:eastAsia="Palatino Linotype" w:hAnsi="Palatino Linotype" w:cs="Palatino Linotype"/>
          <w:b/>
          <w:color w:val="000000"/>
          <w:sz w:val="16"/>
          <w:szCs w:val="16"/>
        </w:rPr>
        <w:t>Artículo 185.</w:t>
      </w:r>
      <w:r w:rsidRPr="003009B2">
        <w:rPr>
          <w:rFonts w:ascii="Palatino Linotype" w:eastAsia="Palatino Linotype" w:hAnsi="Palatino Linotype" w:cs="Palatino Linotype"/>
          <w:color w:val="000000"/>
          <w:sz w:val="16"/>
          <w:szCs w:val="16"/>
        </w:rPr>
        <w:t xml:space="preserve"> El Instituto resolverá el recurso de revisión conforme a lo siguiente: (…)</w:t>
      </w:r>
    </w:p>
    <w:p w14:paraId="6C8A3B50" w14:textId="77777777" w:rsidR="00AA541F" w:rsidRPr="003009B2" w:rsidRDefault="001928B5" w:rsidP="003009B2">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3009B2">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39BABD74" w14:textId="77777777" w:rsidR="00224653" w:rsidRPr="003009B2" w:rsidRDefault="00224653" w:rsidP="003009B2">
      <w:pPr>
        <w:ind w:right="49"/>
        <w:jc w:val="both"/>
        <w:rPr>
          <w:rFonts w:ascii="Palatino Linotype" w:hAnsi="Palatino Linotype"/>
          <w:sz w:val="16"/>
          <w:szCs w:val="16"/>
        </w:rPr>
      </w:pPr>
      <w:r w:rsidRPr="003009B2">
        <w:rPr>
          <w:rStyle w:val="Refdenotaalpie"/>
          <w:rFonts w:ascii="Palatino Linotype" w:hAnsi="Palatino Linotype"/>
          <w:sz w:val="16"/>
          <w:szCs w:val="16"/>
        </w:rPr>
        <w:footnoteRef/>
      </w:r>
      <w:r w:rsidRPr="003009B2">
        <w:rPr>
          <w:rFonts w:ascii="Palatino Linotype" w:hAnsi="Palatino Linotype"/>
          <w:sz w:val="16"/>
          <w:szCs w:val="16"/>
        </w:rPr>
        <w:t xml:space="preserve"> </w:t>
      </w:r>
      <w:r w:rsidRPr="003009B2">
        <w:rPr>
          <w:rFonts w:ascii="Palatino Linotype" w:hAnsi="Palatino Linotype"/>
          <w:b/>
          <w:sz w:val="16"/>
          <w:szCs w:val="16"/>
        </w:rPr>
        <w:t>Artículo 53.</w:t>
      </w:r>
      <w:r w:rsidRPr="003009B2">
        <w:rPr>
          <w:rFonts w:ascii="Palatino Linotype" w:hAnsi="Palatino Linotype"/>
          <w:sz w:val="16"/>
          <w:szCs w:val="16"/>
        </w:rPr>
        <w:t xml:space="preserve"> Las </w:t>
      </w:r>
      <w:r w:rsidRPr="003009B2">
        <w:rPr>
          <w:rFonts w:ascii="Palatino Linotype" w:hAnsi="Palatino Linotype"/>
          <w:b/>
          <w:sz w:val="16"/>
          <w:szCs w:val="16"/>
        </w:rPr>
        <w:t>Unidades de Transparencia</w:t>
      </w:r>
      <w:r w:rsidRPr="003009B2">
        <w:rPr>
          <w:rFonts w:ascii="Palatino Linotype" w:hAnsi="Palatino Linotype"/>
          <w:sz w:val="16"/>
          <w:szCs w:val="16"/>
        </w:rPr>
        <w:t xml:space="preserve"> tendrán las siguientes funciones:</w:t>
      </w:r>
    </w:p>
    <w:p w14:paraId="4C02D698" w14:textId="77777777" w:rsidR="00224653" w:rsidRPr="003009B2" w:rsidRDefault="00224653" w:rsidP="003009B2">
      <w:pPr>
        <w:ind w:right="49"/>
        <w:jc w:val="both"/>
        <w:rPr>
          <w:rFonts w:ascii="Palatino Linotype" w:hAnsi="Palatino Linotype"/>
          <w:sz w:val="16"/>
          <w:szCs w:val="16"/>
        </w:rPr>
      </w:pPr>
      <w:r w:rsidRPr="003009B2">
        <w:rPr>
          <w:rFonts w:ascii="Palatino Linotype" w:hAnsi="Palatino Linotype"/>
          <w:b/>
          <w:sz w:val="16"/>
          <w:szCs w:val="16"/>
        </w:rPr>
        <w:t>II.</w:t>
      </w:r>
      <w:r w:rsidRPr="003009B2">
        <w:rPr>
          <w:rFonts w:ascii="Palatino Linotype" w:hAnsi="Palatino Linotype"/>
          <w:sz w:val="16"/>
          <w:szCs w:val="16"/>
        </w:rPr>
        <w:t xml:space="preserve"> Recibir, tramitar y dar respuesta a las solicitudes de acceso a la información;</w:t>
      </w:r>
    </w:p>
  </w:footnote>
  <w:footnote w:id="3">
    <w:p w14:paraId="23EF5BB0" w14:textId="77777777" w:rsidR="00224653" w:rsidRPr="003009B2" w:rsidRDefault="00224653" w:rsidP="003009B2">
      <w:pPr>
        <w:pStyle w:val="Textonotapie"/>
        <w:ind w:right="49"/>
        <w:jc w:val="both"/>
        <w:rPr>
          <w:rFonts w:ascii="Palatino Linotype" w:hAnsi="Palatino Linotype"/>
          <w:sz w:val="16"/>
          <w:szCs w:val="16"/>
        </w:rPr>
      </w:pPr>
      <w:r w:rsidRPr="003009B2">
        <w:rPr>
          <w:rStyle w:val="Refdenotaalpie"/>
          <w:rFonts w:ascii="Palatino Linotype" w:hAnsi="Palatino Linotype"/>
          <w:sz w:val="16"/>
          <w:szCs w:val="16"/>
        </w:rPr>
        <w:footnoteRef/>
      </w:r>
      <w:r w:rsidRPr="003009B2">
        <w:rPr>
          <w:rFonts w:ascii="Palatino Linotype" w:hAnsi="Palatino Linotype"/>
          <w:sz w:val="16"/>
          <w:szCs w:val="16"/>
        </w:rPr>
        <w:t xml:space="preserve"> </w:t>
      </w:r>
      <w:r w:rsidRPr="003009B2">
        <w:rPr>
          <w:rFonts w:ascii="Palatino Linotype" w:hAnsi="Palatino Linotype"/>
          <w:b/>
          <w:sz w:val="16"/>
          <w:szCs w:val="16"/>
        </w:rPr>
        <w:t>Artículo 162.</w:t>
      </w:r>
      <w:r w:rsidRPr="003009B2">
        <w:rPr>
          <w:rFonts w:ascii="Palatino Linotype" w:hAnsi="Palatino Linotype"/>
          <w:sz w:val="16"/>
          <w:szCs w:val="16"/>
        </w:rPr>
        <w:t xml:space="preserve"> Las </w:t>
      </w:r>
      <w:r w:rsidRPr="003009B2">
        <w:rPr>
          <w:rFonts w:ascii="Palatino Linotype" w:hAnsi="Palatino Linotype"/>
          <w:b/>
          <w:sz w:val="16"/>
          <w:szCs w:val="16"/>
        </w:rPr>
        <w:t>unidades de transparencia</w:t>
      </w:r>
      <w:r w:rsidRPr="003009B2">
        <w:rPr>
          <w:rFonts w:ascii="Palatino Linotype" w:hAnsi="Palatino Linotype"/>
          <w:sz w:val="16"/>
          <w:szCs w:val="16"/>
        </w:rPr>
        <w:t xml:space="preserve"> deberán </w:t>
      </w:r>
      <w:r w:rsidRPr="003009B2">
        <w:rPr>
          <w:rFonts w:ascii="Palatino Linotype" w:hAnsi="Palatino Linotype"/>
          <w:b/>
          <w:sz w:val="16"/>
          <w:szCs w:val="16"/>
        </w:rPr>
        <w:t>garantizar que las solicitudes se turnen a todas las Áreas competentes</w:t>
      </w:r>
      <w:r w:rsidRPr="003009B2">
        <w:rPr>
          <w:rFonts w:ascii="Palatino Linotype" w:hAnsi="Palatino Linotype"/>
          <w:sz w:val="16"/>
          <w:szCs w:val="16"/>
        </w:rPr>
        <w:t xml:space="preserve"> que </w:t>
      </w:r>
      <w:r w:rsidRPr="003009B2">
        <w:rPr>
          <w:rFonts w:ascii="Palatino Linotype" w:hAnsi="Palatino Linotype"/>
          <w:b/>
          <w:sz w:val="16"/>
          <w:szCs w:val="16"/>
        </w:rPr>
        <w:t>cuenten con la información o deban tenerla de acuerdo a sus facultades, competencias y funciones,</w:t>
      </w:r>
      <w:r w:rsidRPr="003009B2">
        <w:rPr>
          <w:rFonts w:ascii="Palatino Linotype" w:hAnsi="Palatino Linotype"/>
          <w:sz w:val="16"/>
          <w:szCs w:val="16"/>
        </w:rPr>
        <w:t xml:space="preserve"> con el objeto de que realicen una </w:t>
      </w:r>
      <w:r w:rsidRPr="003009B2">
        <w:rPr>
          <w:rFonts w:ascii="Palatino Linotype" w:hAnsi="Palatino Linotype"/>
          <w:b/>
          <w:sz w:val="16"/>
          <w:szCs w:val="16"/>
        </w:rPr>
        <w:t>búsqueda exhaustiva y razonable</w:t>
      </w:r>
      <w:r w:rsidRPr="003009B2">
        <w:rPr>
          <w:rFonts w:ascii="Palatino Linotype" w:hAnsi="Palatino Linotype"/>
          <w:sz w:val="16"/>
          <w:szCs w:val="16"/>
        </w:rPr>
        <w:t xml:space="preserve"> de la información solicitada</w:t>
      </w:r>
    </w:p>
  </w:footnote>
  <w:footnote w:id="4">
    <w:p w14:paraId="71CCA631" w14:textId="77777777" w:rsidR="003009B2" w:rsidRPr="003009B2" w:rsidRDefault="003009B2" w:rsidP="003009B2">
      <w:pPr>
        <w:pStyle w:val="Textonotapie"/>
        <w:jc w:val="both"/>
        <w:rPr>
          <w:rFonts w:ascii="Palatino Linotype" w:hAnsi="Palatino Linotype"/>
          <w:sz w:val="16"/>
          <w:szCs w:val="16"/>
        </w:rPr>
      </w:pPr>
      <w:r w:rsidRPr="003009B2">
        <w:rPr>
          <w:rStyle w:val="Refdenotaalpie"/>
          <w:rFonts w:ascii="Palatino Linotype" w:hAnsi="Palatino Linotype"/>
          <w:sz w:val="16"/>
          <w:szCs w:val="16"/>
        </w:rPr>
        <w:footnoteRef/>
      </w:r>
      <w:r w:rsidRPr="003009B2">
        <w:rPr>
          <w:rFonts w:ascii="Palatino Linotype" w:hAnsi="Palatino Linotype"/>
          <w:sz w:val="16"/>
          <w:szCs w:val="16"/>
        </w:rPr>
        <w:t xml:space="preserve"> </w:t>
      </w:r>
      <w:r w:rsidRPr="003009B2">
        <w:rPr>
          <w:rFonts w:ascii="Palatino Linotype" w:hAnsi="Palatino Linotype"/>
          <w:b/>
          <w:bCs/>
          <w:sz w:val="16"/>
          <w:szCs w:val="16"/>
        </w:rPr>
        <w:t>Artículo 92</w:t>
      </w:r>
      <w:r w:rsidRPr="003009B2">
        <w:rPr>
          <w:rFonts w:ascii="Palatino Linotype" w:hAnsi="Palatino Linotype"/>
          <w:sz w:val="16"/>
          <w:szCs w:val="16"/>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3109AEA" w14:textId="77777777" w:rsidR="003009B2" w:rsidRPr="003009B2" w:rsidRDefault="003009B2" w:rsidP="003009B2">
      <w:pPr>
        <w:pStyle w:val="Textonotapie"/>
        <w:jc w:val="both"/>
        <w:rPr>
          <w:rFonts w:ascii="Palatino Linotype" w:hAnsi="Palatino Linotype"/>
          <w:sz w:val="16"/>
          <w:szCs w:val="16"/>
        </w:rPr>
      </w:pPr>
      <w:r w:rsidRPr="003009B2">
        <w:rPr>
          <w:rFonts w:ascii="Palatino Linotype" w:hAnsi="Palatino Linotype"/>
          <w:b/>
          <w:bCs/>
          <w:sz w:val="16"/>
          <w:szCs w:val="16"/>
        </w:rPr>
        <w:t>VII.</w:t>
      </w:r>
      <w:r w:rsidRPr="003009B2">
        <w:rPr>
          <w:rFonts w:ascii="Palatino Linotype" w:hAnsi="Palatino Linotype"/>
          <w:sz w:val="16"/>
          <w:szCs w:val="16"/>
        </w:rP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3F13D940" w14:textId="77777777" w:rsidR="003009B2" w:rsidRPr="003009B2" w:rsidRDefault="003009B2" w:rsidP="003009B2">
      <w:pPr>
        <w:pStyle w:val="Textonotapie"/>
        <w:jc w:val="both"/>
        <w:rPr>
          <w:rFonts w:ascii="Palatino Linotype" w:hAnsi="Palatino Linotype"/>
          <w:sz w:val="16"/>
          <w:szCs w:val="16"/>
        </w:rPr>
      </w:pPr>
      <w:r w:rsidRPr="003009B2">
        <w:rPr>
          <w:rFonts w:ascii="Palatino Linotype" w:hAnsi="Palatino Linotype"/>
          <w:sz w:val="16"/>
          <w:szCs w:val="16"/>
        </w:rPr>
        <w:t>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footnote>
  <w:footnote w:id="5">
    <w:p w14:paraId="1BDF90C5" w14:textId="77777777" w:rsidR="00C054C0" w:rsidRPr="003009B2" w:rsidRDefault="00C054C0" w:rsidP="00C054C0">
      <w:pPr>
        <w:pStyle w:val="Textonotapie"/>
        <w:jc w:val="both"/>
        <w:rPr>
          <w:rFonts w:ascii="Palatino Linotype" w:hAnsi="Palatino Linotype"/>
          <w:sz w:val="16"/>
          <w:szCs w:val="16"/>
        </w:rPr>
      </w:pPr>
      <w:r w:rsidRPr="003009B2">
        <w:rPr>
          <w:rStyle w:val="Refdenotaalpie"/>
          <w:rFonts w:ascii="Palatino Linotype" w:hAnsi="Palatino Linotype"/>
          <w:sz w:val="16"/>
          <w:szCs w:val="16"/>
        </w:rPr>
        <w:footnoteRef/>
      </w:r>
      <w:r w:rsidRPr="003009B2">
        <w:rPr>
          <w:rFonts w:ascii="Palatino Linotype" w:hAnsi="Palatino Linotype"/>
          <w:sz w:val="16"/>
          <w:szCs w:val="16"/>
        </w:rPr>
        <w:t xml:space="preserve"> </w:t>
      </w:r>
      <w:r w:rsidRPr="003009B2">
        <w:rPr>
          <w:rFonts w:ascii="Palatino Linotype" w:hAnsi="Palatino Linotype"/>
          <w:b/>
          <w:bCs/>
          <w:sz w:val="16"/>
          <w:szCs w:val="16"/>
        </w:rPr>
        <w:t>Artículo 161</w:t>
      </w:r>
      <w:r w:rsidRPr="003009B2">
        <w:rPr>
          <w:rFonts w:ascii="Palatino Linotype" w:hAnsi="Palatino Linotype"/>
          <w:sz w:val="16"/>
          <w:szCs w:val="16"/>
        </w:rPr>
        <w:t>.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footnote>
  <w:footnote w:id="6">
    <w:p w14:paraId="68E55065" w14:textId="77777777" w:rsidR="004A410F" w:rsidRPr="00DA018F" w:rsidRDefault="004A410F" w:rsidP="004A410F">
      <w:pPr>
        <w:pStyle w:val="Textonotapie"/>
        <w:jc w:val="both"/>
        <w:rPr>
          <w:rFonts w:ascii="Palatino Linotype" w:hAnsi="Palatino Linotype"/>
          <w:sz w:val="16"/>
          <w:szCs w:val="16"/>
        </w:rPr>
      </w:pPr>
      <w:r w:rsidRPr="00DA018F">
        <w:rPr>
          <w:rStyle w:val="Refdenotaalpie"/>
          <w:rFonts w:ascii="Palatino Linotype" w:hAnsi="Palatino Linotype"/>
          <w:sz w:val="16"/>
          <w:szCs w:val="16"/>
        </w:rPr>
        <w:footnoteRef/>
      </w:r>
      <w:r w:rsidRPr="00DA018F">
        <w:rPr>
          <w:rFonts w:ascii="Palatino Linotype" w:hAnsi="Palatino Linotype"/>
          <w:sz w:val="16"/>
          <w:szCs w:val="16"/>
        </w:rPr>
        <w:t xml:space="preserve"> </w:t>
      </w:r>
      <w:hyperlink r:id="rId1" w:history="1">
        <w:r w:rsidRPr="00DA018F">
          <w:rPr>
            <w:rStyle w:val="Hipervnculo"/>
            <w:rFonts w:ascii="Palatino Linotype" w:hAnsi="Palatino Linotype"/>
            <w:sz w:val="16"/>
            <w:szCs w:val="16"/>
          </w:rPr>
          <w:t>https://www.osfem.gob.mx/04_Iconografia/Ent_Fisc/Doc_Apoy/Doc_Apoy.html</w:t>
        </w:r>
      </w:hyperlink>
    </w:p>
  </w:footnote>
  <w:footnote w:id="7">
    <w:p w14:paraId="4695D2F1" w14:textId="77777777" w:rsidR="00914416" w:rsidRDefault="00914416" w:rsidP="00914416">
      <w:pPr>
        <w:autoSpaceDE w:val="0"/>
        <w:autoSpaceDN w:val="0"/>
        <w:adjustRightInd w:val="0"/>
        <w:jc w:val="both"/>
        <w:rPr>
          <w:rFonts w:ascii="Palatino Linotype" w:hAnsi="Palatino Linotype"/>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w:t>
      </w:r>
      <w:r>
        <w:rPr>
          <w:rFonts w:ascii="Palatino Linotype" w:eastAsiaTheme="minorEastAsia" w:hAnsi="Palatino Linotype" w:cs="Arial"/>
          <w:b/>
          <w:bCs/>
          <w:sz w:val="16"/>
          <w:szCs w:val="16"/>
        </w:rPr>
        <w:t xml:space="preserve">Artículo 13. </w:t>
      </w:r>
      <w:r>
        <w:rPr>
          <w:rFonts w:ascii="Palatino Linotype" w:eastAsiaTheme="minorEastAsia" w:hAnsi="Palatino Linotype" w:cs="Arial"/>
          <w:sz w:val="16"/>
          <w:szCs w:val="16"/>
        </w:rPr>
        <w:t>El Instituto, en el ámbito de sus atribuciones, deberá suplir cualquier deficiencia para garantizar el ejercicio del derecho de acceso a la información.</w:t>
      </w:r>
    </w:p>
  </w:footnote>
  <w:footnote w:id="8">
    <w:p w14:paraId="7CCA4C8D" w14:textId="77777777" w:rsidR="00914416" w:rsidRDefault="00914416" w:rsidP="00914416">
      <w:pPr>
        <w:autoSpaceDE w:val="0"/>
        <w:autoSpaceDN w:val="0"/>
        <w:adjustRightInd w:val="0"/>
        <w:jc w:val="both"/>
        <w:rPr>
          <w:rFonts w:ascii="Palatino Linotype" w:eastAsiaTheme="minorEastAsia" w:hAnsi="Palatino Linotype" w:cs="Arial"/>
          <w:b/>
          <w:bCs/>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w:t>
      </w:r>
      <w:r>
        <w:rPr>
          <w:rFonts w:ascii="Palatino Linotype" w:eastAsiaTheme="minorEastAsia" w:hAnsi="Palatino Linotype" w:cs="Arial"/>
          <w:b/>
          <w:bCs/>
          <w:sz w:val="16"/>
          <w:szCs w:val="16"/>
        </w:rPr>
        <w:t xml:space="preserve">Artículo 181. </w:t>
      </w:r>
      <w:r>
        <w:rPr>
          <w:rFonts w:ascii="Palatino Linotype" w:eastAsiaTheme="minorEastAsia" w:hAnsi="Palatino Linotype" w:cs="Arial"/>
          <w:bCs/>
          <w:sz w:val="16"/>
          <w:szCs w:val="16"/>
        </w:rPr>
        <w:t>(…)</w:t>
      </w:r>
    </w:p>
    <w:p w14:paraId="77E7B7BA" w14:textId="77777777" w:rsidR="00914416" w:rsidRDefault="00914416" w:rsidP="00914416">
      <w:pPr>
        <w:autoSpaceDE w:val="0"/>
        <w:autoSpaceDN w:val="0"/>
        <w:adjustRightInd w:val="0"/>
        <w:jc w:val="both"/>
        <w:rPr>
          <w:rFonts w:ascii="Palatino Linotype" w:hAnsi="Palatino Linotype"/>
          <w:sz w:val="16"/>
          <w:szCs w:val="16"/>
        </w:rPr>
      </w:pPr>
      <w:r>
        <w:rPr>
          <w:rFonts w:ascii="Palatino Linotype" w:eastAsiaTheme="minorEastAsia" w:hAnsi="Palatino Linotype" w:cs="Arial"/>
          <w:sz w:val="16"/>
          <w:szCs w:val="16"/>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C0366" w14:textId="77777777" w:rsidR="00AA541F" w:rsidRDefault="001928B5">
    <w:pPr>
      <w:rPr>
        <w:rFonts w:ascii="Cambria" w:eastAsia="Cambria" w:hAnsi="Cambria" w:cs="Cambria"/>
        <w:color w:val="000000"/>
      </w:rPr>
    </w:pPr>
    <w:r>
      <w:rPr>
        <w:noProof/>
      </w:rPr>
      <w:drawing>
        <wp:anchor distT="0" distB="0" distL="0" distR="0" simplePos="0" relativeHeight="251658240" behindDoc="1" locked="0" layoutInCell="1" hidden="0" allowOverlap="1" wp14:anchorId="3EB55791" wp14:editId="4DED322D">
          <wp:simplePos x="0" y="0"/>
          <wp:positionH relativeFrom="column">
            <wp:posOffset>-1080125</wp:posOffset>
          </wp:positionH>
          <wp:positionV relativeFrom="paragraph">
            <wp:posOffset>-488305</wp:posOffset>
          </wp:positionV>
          <wp:extent cx="7809865" cy="10165715"/>
          <wp:effectExtent l="0" t="0" r="0" b="0"/>
          <wp:wrapNone/>
          <wp:docPr id="8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d"/>
      <w:tblW w:w="5953" w:type="dxa"/>
      <w:tblInd w:w="3261" w:type="dxa"/>
      <w:tblLayout w:type="fixed"/>
      <w:tblLook w:val="0400" w:firstRow="0" w:lastRow="0" w:firstColumn="0" w:lastColumn="0" w:noHBand="0" w:noVBand="1"/>
    </w:tblPr>
    <w:tblGrid>
      <w:gridCol w:w="2489"/>
      <w:gridCol w:w="3464"/>
    </w:tblGrid>
    <w:tr w:rsidR="00AA541F" w14:paraId="3D29BF07" w14:textId="77777777">
      <w:tc>
        <w:tcPr>
          <w:tcW w:w="2489" w:type="dxa"/>
          <w:shd w:val="clear" w:color="auto" w:fill="auto"/>
        </w:tcPr>
        <w:p w14:paraId="03CB108A" w14:textId="77777777" w:rsidR="00AA541F" w:rsidRDefault="001928B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0461F41" w14:textId="6DBDF84E" w:rsidR="00AA541F" w:rsidRDefault="001928B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A743B4">
            <w:rPr>
              <w:rFonts w:ascii="Palatino Linotype" w:eastAsia="Palatino Linotype" w:hAnsi="Palatino Linotype" w:cs="Palatino Linotype"/>
              <w:b/>
              <w:sz w:val="22"/>
              <w:szCs w:val="22"/>
            </w:rPr>
            <w:t>6679</w:t>
          </w:r>
          <w:r>
            <w:rPr>
              <w:rFonts w:ascii="Palatino Linotype" w:eastAsia="Palatino Linotype" w:hAnsi="Palatino Linotype" w:cs="Palatino Linotype"/>
              <w:b/>
              <w:sz w:val="22"/>
              <w:szCs w:val="22"/>
            </w:rPr>
            <w:t>/INFOEM/IP/RR/2022</w:t>
          </w:r>
        </w:p>
      </w:tc>
    </w:tr>
    <w:tr w:rsidR="00AA541F" w14:paraId="012A75A8" w14:textId="77777777">
      <w:trPr>
        <w:trHeight w:val="228"/>
      </w:trPr>
      <w:tc>
        <w:tcPr>
          <w:tcW w:w="2489" w:type="dxa"/>
          <w:shd w:val="clear" w:color="auto" w:fill="auto"/>
          <w:vAlign w:val="center"/>
        </w:tcPr>
        <w:p w14:paraId="05925526" w14:textId="77777777" w:rsidR="00AA541F" w:rsidRDefault="001928B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59D951F8" w14:textId="23A8067D" w:rsidR="00AA541F" w:rsidRDefault="00A743B4">
          <w:pPr>
            <w:ind w:left="-45" w:right="176"/>
            <w:jc w:val="both"/>
            <w:rPr>
              <w:rFonts w:ascii="Palatino Linotype" w:eastAsia="Palatino Linotype" w:hAnsi="Palatino Linotype" w:cs="Palatino Linotype"/>
              <w:b/>
              <w:sz w:val="22"/>
              <w:szCs w:val="22"/>
            </w:rPr>
          </w:pPr>
          <w:r w:rsidRPr="00A743B4">
            <w:rPr>
              <w:rFonts w:ascii="Palatino Linotype" w:eastAsia="Palatino Linotype" w:hAnsi="Palatino Linotype" w:cs="Palatino Linotype"/>
              <w:b/>
              <w:sz w:val="22"/>
              <w:szCs w:val="22"/>
            </w:rPr>
            <w:t>Ayuntamiento de Melchor Ocampo</w:t>
          </w:r>
        </w:p>
      </w:tc>
    </w:tr>
    <w:tr w:rsidR="00AA541F" w14:paraId="1D00F082" w14:textId="77777777">
      <w:tc>
        <w:tcPr>
          <w:tcW w:w="2489" w:type="dxa"/>
          <w:shd w:val="clear" w:color="auto" w:fill="auto"/>
          <w:vAlign w:val="center"/>
        </w:tcPr>
        <w:p w14:paraId="54F06A59" w14:textId="77777777" w:rsidR="00AA541F" w:rsidRDefault="001928B5">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262CBAA4" w14:textId="77777777" w:rsidR="00AA541F" w:rsidRDefault="001928B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8177747" w14:textId="77777777" w:rsidR="00AA541F" w:rsidRDefault="001928B5">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88AF6" w14:textId="650C3FA8" w:rsidR="00AA541F" w:rsidRDefault="00311CA0">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1FAAB813" wp14:editId="63632511">
          <wp:simplePos x="0" y="0"/>
          <wp:positionH relativeFrom="page">
            <wp:align>left</wp:align>
          </wp:positionH>
          <wp:positionV relativeFrom="paragraph">
            <wp:posOffset>-87145</wp:posOffset>
          </wp:positionV>
          <wp:extent cx="7809865" cy="10165715"/>
          <wp:effectExtent l="0" t="0" r="635" b="6985"/>
          <wp:wrapNone/>
          <wp:docPr id="8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c"/>
      <w:tblW w:w="5670" w:type="dxa"/>
      <w:tblInd w:w="3261" w:type="dxa"/>
      <w:tblLayout w:type="fixed"/>
      <w:tblLook w:val="0400" w:firstRow="0" w:lastRow="0" w:firstColumn="0" w:lastColumn="0" w:noHBand="0" w:noVBand="1"/>
    </w:tblPr>
    <w:tblGrid>
      <w:gridCol w:w="2551"/>
      <w:gridCol w:w="3119"/>
    </w:tblGrid>
    <w:tr w:rsidR="00AA541F" w14:paraId="48CC7519" w14:textId="77777777">
      <w:tc>
        <w:tcPr>
          <w:tcW w:w="2551" w:type="dxa"/>
          <w:shd w:val="clear" w:color="auto" w:fill="auto"/>
          <w:vAlign w:val="center"/>
        </w:tcPr>
        <w:p w14:paraId="0927BAA4" w14:textId="77777777" w:rsidR="00AA541F" w:rsidRDefault="001928B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542FCCB1" w14:textId="7D314C74" w:rsidR="00AA541F" w:rsidRDefault="001928B5">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A743B4">
            <w:rPr>
              <w:rFonts w:ascii="Palatino Linotype" w:eastAsia="Palatino Linotype" w:hAnsi="Palatino Linotype" w:cs="Palatino Linotype"/>
              <w:b/>
              <w:sz w:val="22"/>
              <w:szCs w:val="22"/>
            </w:rPr>
            <w:t>6679</w:t>
          </w:r>
          <w:r>
            <w:rPr>
              <w:rFonts w:ascii="Palatino Linotype" w:eastAsia="Palatino Linotype" w:hAnsi="Palatino Linotype" w:cs="Palatino Linotype"/>
              <w:b/>
              <w:sz w:val="22"/>
              <w:szCs w:val="22"/>
            </w:rPr>
            <w:t>/INFOEM/IP/RR/2022</w:t>
          </w:r>
        </w:p>
      </w:tc>
    </w:tr>
    <w:tr w:rsidR="00AA541F" w14:paraId="4ECE553E" w14:textId="77777777">
      <w:trPr>
        <w:trHeight w:val="130"/>
      </w:trPr>
      <w:tc>
        <w:tcPr>
          <w:tcW w:w="2551" w:type="dxa"/>
          <w:shd w:val="clear" w:color="auto" w:fill="auto"/>
          <w:vAlign w:val="center"/>
        </w:tcPr>
        <w:p w14:paraId="66B50EE8" w14:textId="77777777" w:rsidR="00AA541F" w:rsidRPr="00311CA0" w:rsidRDefault="001928B5">
          <w:pPr>
            <w:rPr>
              <w:rFonts w:ascii="Palatino Linotype" w:eastAsia="Palatino Linotype" w:hAnsi="Palatino Linotype" w:cs="Palatino Linotype"/>
              <w:b/>
              <w:sz w:val="22"/>
              <w:szCs w:val="22"/>
              <w:highlight w:val="yellow"/>
            </w:rPr>
          </w:pPr>
          <w:r w:rsidRPr="004542FA">
            <w:rPr>
              <w:rFonts w:ascii="Palatino Linotype" w:eastAsia="Palatino Linotype" w:hAnsi="Palatino Linotype" w:cs="Palatino Linotype"/>
              <w:b/>
              <w:sz w:val="22"/>
              <w:szCs w:val="22"/>
            </w:rPr>
            <w:t>Recurrente:</w:t>
          </w:r>
        </w:p>
      </w:tc>
      <w:tc>
        <w:tcPr>
          <w:tcW w:w="3119" w:type="dxa"/>
          <w:shd w:val="clear" w:color="auto" w:fill="auto"/>
          <w:vAlign w:val="center"/>
        </w:tcPr>
        <w:p w14:paraId="4B09B76B" w14:textId="726BCE5D" w:rsidR="00AA541F" w:rsidRPr="00311CA0" w:rsidRDefault="006B4D5E" w:rsidP="006B4D5E">
          <w:pPr>
            <w:ind w:left="-45"/>
            <w:jc w:val="both"/>
            <w:rPr>
              <w:rFonts w:ascii="Palatino Linotype" w:eastAsia="Palatino Linotype" w:hAnsi="Palatino Linotype" w:cs="Palatino Linotype"/>
              <w:b/>
              <w:sz w:val="22"/>
              <w:szCs w:val="22"/>
              <w:highlight w:val="yellow"/>
            </w:rPr>
          </w:pPr>
          <w:r>
            <w:rPr>
              <w:rFonts w:ascii="Palatino Linotype" w:eastAsia="Palatino Linotype" w:hAnsi="Palatino Linotype" w:cs="Palatino Linotype"/>
              <w:b/>
              <w:sz w:val="22"/>
              <w:szCs w:val="22"/>
            </w:rPr>
            <w:t>XXXXXXX</w:t>
          </w:r>
          <w:r w:rsidR="004542FA" w:rsidRPr="004542FA">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XXXXXXXX</w:t>
          </w:r>
          <w:r w:rsidR="004542FA" w:rsidRPr="004542FA">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w:t>
          </w:r>
        </w:p>
      </w:tc>
    </w:tr>
    <w:tr w:rsidR="00AA541F" w14:paraId="69BDD93D" w14:textId="77777777">
      <w:trPr>
        <w:trHeight w:val="228"/>
      </w:trPr>
      <w:tc>
        <w:tcPr>
          <w:tcW w:w="2551" w:type="dxa"/>
          <w:shd w:val="clear" w:color="auto" w:fill="auto"/>
          <w:vAlign w:val="center"/>
        </w:tcPr>
        <w:p w14:paraId="5CA90F67" w14:textId="77777777" w:rsidR="00AA541F" w:rsidRDefault="001928B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5CC0C120" w14:textId="2C40C1B7" w:rsidR="00AA541F" w:rsidRDefault="00A743B4">
          <w:pPr>
            <w:ind w:left="-45" w:right="176"/>
            <w:jc w:val="both"/>
            <w:rPr>
              <w:rFonts w:ascii="Palatino Linotype" w:eastAsia="Palatino Linotype" w:hAnsi="Palatino Linotype" w:cs="Palatino Linotype"/>
              <w:b/>
              <w:sz w:val="22"/>
              <w:szCs w:val="22"/>
            </w:rPr>
          </w:pPr>
          <w:r w:rsidRPr="00A743B4">
            <w:rPr>
              <w:rFonts w:ascii="Palatino Linotype" w:eastAsia="Palatino Linotype" w:hAnsi="Palatino Linotype" w:cs="Palatino Linotype"/>
              <w:b/>
              <w:sz w:val="22"/>
              <w:szCs w:val="22"/>
            </w:rPr>
            <w:t>Ayuntamiento de Melchor Ocampo</w:t>
          </w:r>
        </w:p>
      </w:tc>
    </w:tr>
    <w:tr w:rsidR="00AA541F" w14:paraId="6D833D90" w14:textId="77777777">
      <w:tc>
        <w:tcPr>
          <w:tcW w:w="2551" w:type="dxa"/>
          <w:shd w:val="clear" w:color="auto" w:fill="auto"/>
          <w:vAlign w:val="center"/>
        </w:tcPr>
        <w:p w14:paraId="3343F997" w14:textId="77777777" w:rsidR="00AA541F" w:rsidRDefault="001928B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51CAD611" w14:textId="77777777" w:rsidR="00AA541F" w:rsidRDefault="001928B5">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EDDB306" w14:textId="2353E887" w:rsidR="00AA541F" w:rsidRDefault="00AA541F">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B02F8C"/>
    <w:multiLevelType w:val="multilevel"/>
    <w:tmpl w:val="ABCE7786"/>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4DB61B5"/>
    <w:multiLevelType w:val="hybridMultilevel"/>
    <w:tmpl w:val="1C7ACA34"/>
    <w:lvl w:ilvl="0" w:tplc="DE6C5B06">
      <w:start w:val="1"/>
      <w:numFmt w:val="upperRoman"/>
      <w:lvlText w:val="%1."/>
      <w:lvlJc w:val="left"/>
      <w:pPr>
        <w:ind w:left="1080" w:hanging="720"/>
      </w:pPr>
      <w:rPr>
        <w:rFonts w:hint="default"/>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BBA69CB"/>
    <w:multiLevelType w:val="multilevel"/>
    <w:tmpl w:val="D88E770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41F"/>
    <w:rsid w:val="00001447"/>
    <w:rsid w:val="00001493"/>
    <w:rsid w:val="00043E7B"/>
    <w:rsid w:val="00045AD9"/>
    <w:rsid w:val="00051B7D"/>
    <w:rsid w:val="000B7CC0"/>
    <w:rsid w:val="00140ACF"/>
    <w:rsid w:val="00167A30"/>
    <w:rsid w:val="001879B6"/>
    <w:rsid w:val="001928B5"/>
    <w:rsid w:val="001C6656"/>
    <w:rsid w:val="00224653"/>
    <w:rsid w:val="002C08BF"/>
    <w:rsid w:val="002E37E0"/>
    <w:rsid w:val="002E386D"/>
    <w:rsid w:val="003009B2"/>
    <w:rsid w:val="00311CA0"/>
    <w:rsid w:val="00315DFD"/>
    <w:rsid w:val="003264A8"/>
    <w:rsid w:val="0033319C"/>
    <w:rsid w:val="003459C9"/>
    <w:rsid w:val="003640D9"/>
    <w:rsid w:val="003751D5"/>
    <w:rsid w:val="00393BC1"/>
    <w:rsid w:val="003C0E40"/>
    <w:rsid w:val="003D34A8"/>
    <w:rsid w:val="003E5743"/>
    <w:rsid w:val="004542FA"/>
    <w:rsid w:val="00454F2A"/>
    <w:rsid w:val="004A2E48"/>
    <w:rsid w:val="004A410F"/>
    <w:rsid w:val="004E6CB7"/>
    <w:rsid w:val="00513C57"/>
    <w:rsid w:val="00517698"/>
    <w:rsid w:val="00550033"/>
    <w:rsid w:val="005E5E16"/>
    <w:rsid w:val="00600799"/>
    <w:rsid w:val="00600921"/>
    <w:rsid w:val="006069BC"/>
    <w:rsid w:val="00694AC8"/>
    <w:rsid w:val="006955A9"/>
    <w:rsid w:val="006B04B3"/>
    <w:rsid w:val="006B0FD9"/>
    <w:rsid w:val="006B4D5E"/>
    <w:rsid w:val="00762B6B"/>
    <w:rsid w:val="00781033"/>
    <w:rsid w:val="0078159B"/>
    <w:rsid w:val="00782EF0"/>
    <w:rsid w:val="007A0A20"/>
    <w:rsid w:val="007C47E1"/>
    <w:rsid w:val="007F4F96"/>
    <w:rsid w:val="00805187"/>
    <w:rsid w:val="00832119"/>
    <w:rsid w:val="008349D5"/>
    <w:rsid w:val="00863E11"/>
    <w:rsid w:val="008A5841"/>
    <w:rsid w:val="008A6270"/>
    <w:rsid w:val="008B555F"/>
    <w:rsid w:val="00914416"/>
    <w:rsid w:val="0096795B"/>
    <w:rsid w:val="00974CCF"/>
    <w:rsid w:val="009917B0"/>
    <w:rsid w:val="009C2B95"/>
    <w:rsid w:val="009F01D1"/>
    <w:rsid w:val="00A743B4"/>
    <w:rsid w:val="00A7481A"/>
    <w:rsid w:val="00A972BF"/>
    <w:rsid w:val="00AA1B41"/>
    <w:rsid w:val="00AA541F"/>
    <w:rsid w:val="00AD7727"/>
    <w:rsid w:val="00B202D4"/>
    <w:rsid w:val="00B52737"/>
    <w:rsid w:val="00B80AC4"/>
    <w:rsid w:val="00B948A0"/>
    <w:rsid w:val="00C054C0"/>
    <w:rsid w:val="00C30040"/>
    <w:rsid w:val="00C360FD"/>
    <w:rsid w:val="00C36AFC"/>
    <w:rsid w:val="00C40E67"/>
    <w:rsid w:val="00C64473"/>
    <w:rsid w:val="00D0534B"/>
    <w:rsid w:val="00D12EB4"/>
    <w:rsid w:val="00D131A8"/>
    <w:rsid w:val="00D14E68"/>
    <w:rsid w:val="00D6388A"/>
    <w:rsid w:val="00DB5FF4"/>
    <w:rsid w:val="00E27D72"/>
    <w:rsid w:val="00E30425"/>
    <w:rsid w:val="00E833AA"/>
    <w:rsid w:val="00E83E7D"/>
    <w:rsid w:val="00ED174A"/>
    <w:rsid w:val="00EF4E22"/>
    <w:rsid w:val="00EF7BDB"/>
    <w:rsid w:val="00F37ECA"/>
    <w:rsid w:val="00F50456"/>
    <w:rsid w:val="00FB68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2682E6"/>
  <w15:docId w15:val="{89FCA796-5AFB-4961-B4A8-36B81C4FA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1">
    <w:name w:val="11"/>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0">
    <w:name w:val="10"/>
    <w:basedOn w:val="TableNormal10"/>
    <w:tblPr>
      <w:tblStyleRowBandSize w:val="1"/>
      <w:tblStyleColBandSize w:val="1"/>
      <w:tblCellMar>
        <w:left w:w="115" w:type="dxa"/>
        <w:right w:w="115" w:type="dxa"/>
      </w:tblCellMar>
    </w:tblPr>
  </w:style>
  <w:style w:type="table" w:customStyle="1" w:styleId="9">
    <w:name w:val="9"/>
    <w:basedOn w:val="TableNormal10"/>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8">
    <w:name w:val="8"/>
    <w:basedOn w:val="TableNormal10"/>
    <w:tblPr>
      <w:tblStyleRowBandSize w:val="1"/>
      <w:tblStyleColBandSize w:val="1"/>
      <w:tblCellMar>
        <w:left w:w="115" w:type="dxa"/>
        <w:right w:w="115" w:type="dxa"/>
      </w:tblCellMar>
    </w:tblPr>
  </w:style>
  <w:style w:type="table" w:customStyle="1" w:styleId="7">
    <w:name w:val="7"/>
    <w:basedOn w:val="TableNormal10"/>
    <w:tblPr>
      <w:tblStyleRowBandSize w:val="1"/>
      <w:tblStyleColBandSize w:val="1"/>
      <w:tblCellMar>
        <w:left w:w="115" w:type="dxa"/>
        <w:right w:w="115" w:type="dxa"/>
      </w:tblCellMar>
    </w:tblPr>
  </w:style>
  <w:style w:type="table" w:customStyle="1" w:styleId="6">
    <w:name w:val="6"/>
    <w:basedOn w:val="TableNormal20"/>
    <w:tblPr>
      <w:tblStyleRowBandSize w:val="1"/>
      <w:tblStyleColBandSize w:val="1"/>
      <w:tblCellMar>
        <w:left w:w="115" w:type="dxa"/>
        <w:right w:w="115" w:type="dxa"/>
      </w:tblCellMar>
    </w:tblPr>
  </w:style>
  <w:style w:type="table" w:customStyle="1" w:styleId="5">
    <w:name w:val="5"/>
    <w:basedOn w:val="TableNormal20"/>
    <w:tblPr>
      <w:tblStyleRowBandSize w:val="1"/>
      <w:tblStyleColBandSize w:val="1"/>
      <w:tblCellMar>
        <w:left w:w="115" w:type="dxa"/>
        <w:right w:w="115" w:type="dxa"/>
      </w:tblCellMar>
    </w:tblPr>
  </w:style>
  <w:style w:type="table" w:customStyle="1" w:styleId="4">
    <w:name w:val="4"/>
    <w:basedOn w:val="TableNormal30"/>
    <w:tblPr>
      <w:tblStyleRowBandSize w:val="1"/>
      <w:tblStyleColBandSize w:val="1"/>
      <w:tblCellMar>
        <w:left w:w="115" w:type="dxa"/>
        <w:right w:w="115" w:type="dxa"/>
      </w:tblCellMar>
    </w:tblPr>
  </w:style>
  <w:style w:type="table" w:customStyle="1" w:styleId="3">
    <w:name w:val="3"/>
    <w:basedOn w:val="TableNormal30"/>
    <w:tblPr>
      <w:tblStyleRowBandSize w:val="1"/>
      <w:tblStyleColBandSize w:val="1"/>
      <w:tblCellMar>
        <w:left w:w="115" w:type="dxa"/>
        <w:right w:w="115" w:type="dxa"/>
      </w:tblCellMar>
    </w:tblPr>
  </w:style>
  <w:style w:type="paragraph" w:styleId="Saludo">
    <w:name w:val="Salutation"/>
    <w:basedOn w:val="Normal"/>
    <w:next w:val="Normal"/>
    <w:link w:val="SaludoCar"/>
    <w:uiPriority w:val="99"/>
    <w:unhideWhenUsed/>
    <w:rsid w:val="00A34A66"/>
  </w:style>
  <w:style w:type="character" w:customStyle="1" w:styleId="SaludoCar">
    <w:name w:val="Saludo Car"/>
    <w:basedOn w:val="Fuentedeprrafopredeter"/>
    <w:link w:val="Saludo"/>
    <w:uiPriority w:val="99"/>
    <w:rsid w:val="00A34A66"/>
  </w:style>
  <w:style w:type="paragraph" w:styleId="Listaconvietas2">
    <w:name w:val="List Bullet 2"/>
    <w:basedOn w:val="Normal"/>
    <w:uiPriority w:val="99"/>
    <w:unhideWhenUsed/>
    <w:rsid w:val="00A34A66"/>
    <w:pPr>
      <w:tabs>
        <w:tab w:val="num" w:pos="720"/>
      </w:tabs>
      <w:ind w:left="720" w:hanging="720"/>
      <w:contextualSpacing/>
    </w:pPr>
  </w:style>
  <w:style w:type="table" w:customStyle="1" w:styleId="2">
    <w:name w:val="2"/>
    <w:basedOn w:val="TableNormal40"/>
    <w:tblPr>
      <w:tblStyleRowBandSize w:val="1"/>
      <w:tblStyleColBandSize w:val="1"/>
      <w:tblCellMar>
        <w:left w:w="115" w:type="dxa"/>
        <w:right w:w="115" w:type="dxa"/>
      </w:tblCellMar>
    </w:tblPr>
  </w:style>
  <w:style w:type="table" w:customStyle="1" w:styleId="1">
    <w:name w:val="1"/>
    <w:basedOn w:val="TableNormal40"/>
    <w:tblPr>
      <w:tblStyleRowBandSize w:val="1"/>
      <w:tblStyleColBandSize w:val="1"/>
      <w:tblCellMar>
        <w:left w:w="115" w:type="dxa"/>
        <w:right w:w="115" w:type="dxa"/>
      </w:tblCellMar>
    </w:tbl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4A25E0"/>
    <w:rPr>
      <w:color w:val="605E5C"/>
      <w:shd w:val="clear" w:color="auto" w:fill="E1DFDD"/>
    </w:rPr>
  </w:style>
  <w:style w:type="table" w:customStyle="1" w:styleId="a7">
    <w:basedOn w:val="TableNormal1"/>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osfem.gob.mx/04_Iconografia/Ent_Fisc/Doc_Apoy/Doc_Apoy.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5TF5jNqQtGS7aDBnp+rUm25L2A==">AMUW2mXBLwI+M1a9ZOBMEHFdIEAou7rkgKvjhLWHS7WO1xlNlHiIdhAwUE909yZZgyY0HnKEfJdH26s0/e7MivV5Qp3Cqw/hVZFJQ228COwT85WLllPd4bz3KYtt8pBk15yWkPIizmhrK6ajBqHcV56TWZeFzcJ5HAfy7DhpszRF1M0G+MLXtD1NNsiM8bT2IG1/Hg0nZUFhCC9J41xDxbXprn+wR/dtkIrIUly3Qa7jEhq49K4N03xGr2Sd1/wzJ6djjer6GLrbwPf+D++m6nXi8AU92LcxE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12510</Words>
  <Characters>68810</Characters>
  <Application>Microsoft Office Word</Application>
  <DocSecurity>0</DocSecurity>
  <Lines>573</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2</cp:revision>
  <dcterms:created xsi:type="dcterms:W3CDTF">2022-09-21T23:21:00Z</dcterms:created>
  <dcterms:modified xsi:type="dcterms:W3CDTF">2022-09-21T23:21:00Z</dcterms:modified>
</cp:coreProperties>
</file>