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15" w:rsidRPr="00B22AA2" w:rsidRDefault="00406415" w:rsidP="00406415">
      <w:pPr>
        <w:spacing w:line="360" w:lineRule="auto"/>
        <w:jc w:val="both"/>
        <w:rPr>
          <w:rFonts w:ascii="Palatino Linotype" w:eastAsia="Times New Roman" w:hAnsi="Palatino Linotype" w:cs="Arial"/>
          <w:lang w:val="es-MX"/>
        </w:rPr>
      </w:pPr>
      <w:r w:rsidRPr="00B22AA2">
        <w:rPr>
          <w:rFonts w:ascii="Palatino Linotype" w:hAnsi="Palatino Linotype"/>
        </w:rPr>
        <w:t>Resolución del Pleno del Instituto de Transparencia, Acceso a la Información Pública y Protección de Datos Personales del Estado de México y Municipios, con domicilio en Metepec, Estado de México; de fecha once (11) de mayo</w:t>
      </w:r>
      <w:r w:rsidRPr="00B22AA2">
        <w:rPr>
          <w:rFonts w:ascii="Palatino Linotype" w:eastAsia="Times New Roman" w:hAnsi="Palatino Linotype" w:cs="Arial"/>
          <w:lang w:val="es-MX"/>
        </w:rPr>
        <w:t xml:space="preserve"> de dos mil veintidós.</w:t>
      </w:r>
    </w:p>
    <w:p w:rsidR="00406415" w:rsidRPr="00B22AA2" w:rsidRDefault="00406415" w:rsidP="00406415">
      <w:pPr>
        <w:spacing w:line="360" w:lineRule="auto"/>
        <w:jc w:val="both"/>
        <w:rPr>
          <w:rFonts w:ascii="Palatino Linotype" w:hAnsi="Palatino Linotype"/>
        </w:rPr>
      </w:pPr>
    </w:p>
    <w:p w:rsidR="00406415" w:rsidRPr="00B22AA2" w:rsidRDefault="00406415" w:rsidP="00406415">
      <w:pPr>
        <w:pStyle w:val="Encabezado"/>
        <w:spacing w:line="360" w:lineRule="auto"/>
        <w:jc w:val="both"/>
        <w:rPr>
          <w:rFonts w:ascii="Palatino Linotype" w:hAnsi="Palatino Linotype"/>
        </w:rPr>
      </w:pPr>
      <w:r w:rsidRPr="00B22AA2">
        <w:rPr>
          <w:rFonts w:ascii="Palatino Linotype" w:hAnsi="Palatino Linotype"/>
          <w:b/>
        </w:rPr>
        <w:t>VISTO el</w:t>
      </w:r>
      <w:r w:rsidRPr="00B22AA2">
        <w:rPr>
          <w:rFonts w:ascii="Palatino Linotype" w:hAnsi="Palatino Linotype"/>
        </w:rPr>
        <w:t xml:space="preserve"> expediente electrónico formado con motivo del recurso de revisión</w:t>
      </w:r>
      <w:r w:rsidRPr="00B22AA2">
        <w:rPr>
          <w:rFonts w:ascii="Palatino Linotype" w:hAnsi="Palatino Linotype"/>
          <w:sz w:val="28"/>
        </w:rPr>
        <w:t xml:space="preserve"> </w:t>
      </w:r>
      <w:r w:rsidRPr="00B22AA2">
        <w:rPr>
          <w:rFonts w:ascii="Palatino Linotype" w:hAnsi="Palatino Linotype" w:cs="Arial"/>
          <w:b/>
          <w:bCs/>
          <w:lang w:eastAsia="es-MX"/>
        </w:rPr>
        <w:t xml:space="preserve">02758/INFOEM/IP/RR/2022, </w:t>
      </w:r>
      <w:r w:rsidRPr="00B22AA2">
        <w:rPr>
          <w:rFonts w:ascii="Palatino Linotype" w:hAnsi="Palatino Linotype"/>
        </w:rPr>
        <w:t>promovido por</w:t>
      </w:r>
      <w:r w:rsidRPr="00B22AA2">
        <w:rPr>
          <w:rFonts w:ascii="Palatino Linotype" w:hAnsi="Palatino Linotype"/>
          <w:b/>
        </w:rPr>
        <w:t xml:space="preserve"> </w:t>
      </w:r>
      <w:r w:rsidRPr="00B22AA2">
        <w:rPr>
          <w:rFonts w:ascii="Palatino Linotype" w:eastAsia="Calibri" w:hAnsi="Palatino Linotype" w:cs="Tahoma"/>
          <w:sz w:val="22"/>
          <w:szCs w:val="22"/>
          <w:lang w:val="es-MX" w:eastAsia="en-US"/>
        </w:rPr>
        <w:t>un usuario del Sistema de Acceso a la Información Mexiquense</w:t>
      </w:r>
      <w:r w:rsidRPr="00B22AA2">
        <w:rPr>
          <w:rFonts w:ascii="Palatino Linotype" w:eastAsia="Calibri" w:hAnsi="Palatino Linotype" w:cs="Tahoma"/>
          <w:b/>
          <w:sz w:val="22"/>
          <w:szCs w:val="22"/>
          <w:lang w:val="es-MX" w:eastAsia="en-US"/>
        </w:rPr>
        <w:t xml:space="preserve"> (SAIMEX) </w:t>
      </w:r>
      <w:r w:rsidRPr="00B22AA2">
        <w:rPr>
          <w:rFonts w:ascii="Palatino Linotype" w:eastAsia="Calibri" w:hAnsi="Palatino Linotype" w:cs="Tahoma"/>
          <w:sz w:val="22"/>
          <w:szCs w:val="22"/>
          <w:lang w:val="es-MX" w:eastAsia="en-US"/>
        </w:rPr>
        <w:t>que no proporcionó nombre o seudónimo para ser identificado y</w:t>
      </w:r>
      <w:r w:rsidRPr="00B22AA2">
        <w:rPr>
          <w:rFonts w:ascii="Palatino Linotype" w:hAnsi="Palatino Linotype"/>
          <w:b/>
          <w:sz w:val="22"/>
          <w:szCs w:val="22"/>
        </w:rPr>
        <w:t xml:space="preserve"> </w:t>
      </w:r>
      <w:r w:rsidRPr="00B22AA2">
        <w:rPr>
          <w:rFonts w:ascii="Palatino Linotype" w:hAnsi="Palatino Linotype"/>
          <w:sz w:val="22"/>
          <w:szCs w:val="22"/>
        </w:rPr>
        <w:t>quien</w:t>
      </w:r>
      <w:r w:rsidRPr="00B22AA2">
        <w:rPr>
          <w:rFonts w:ascii="Palatino Linotype" w:hAnsi="Palatino Linotype"/>
        </w:rPr>
        <w:t xml:space="preserve"> en lo sucesivo será identificado como </w:t>
      </w:r>
      <w:r w:rsidRPr="00B22AA2">
        <w:rPr>
          <w:rFonts w:ascii="Palatino Linotype" w:hAnsi="Palatino Linotype"/>
          <w:b/>
        </w:rPr>
        <w:t>RECURRENTE</w:t>
      </w:r>
      <w:r w:rsidRPr="00B22AA2">
        <w:rPr>
          <w:rFonts w:ascii="Palatino Linotype" w:hAnsi="Palatino Linotype" w:cs="Arial"/>
        </w:rPr>
        <w:t xml:space="preserve">, en contra de la respuesta del </w:t>
      </w:r>
      <w:r w:rsidRPr="00B22AA2">
        <w:rPr>
          <w:rFonts w:ascii="Palatino Linotype" w:hAnsi="Palatino Linotype"/>
          <w:b/>
          <w:bCs/>
          <w:szCs w:val="22"/>
        </w:rPr>
        <w:t>Ayuntamiento de Ixtapan de la Sal</w:t>
      </w:r>
      <w:r w:rsidRPr="00B22AA2">
        <w:rPr>
          <w:rFonts w:ascii="Palatino Linotype" w:hAnsi="Palatino Linotype" w:cs="Arial"/>
        </w:rPr>
        <w:t>,</w:t>
      </w:r>
      <w:r w:rsidRPr="00B22AA2">
        <w:rPr>
          <w:rFonts w:ascii="Palatino Linotype" w:hAnsi="Palatino Linotype"/>
          <w:b/>
        </w:rPr>
        <w:t xml:space="preserve"> </w:t>
      </w:r>
      <w:r w:rsidRPr="00B22AA2">
        <w:rPr>
          <w:rFonts w:ascii="Palatino Linotype" w:hAnsi="Palatino Linotype"/>
        </w:rPr>
        <w:t>en lo sucesivo el</w:t>
      </w:r>
      <w:r w:rsidRPr="00B22AA2">
        <w:rPr>
          <w:rFonts w:ascii="Palatino Linotype" w:hAnsi="Palatino Linotype"/>
          <w:b/>
        </w:rPr>
        <w:t xml:space="preserve"> SUJETO OBLIGADO, </w:t>
      </w:r>
      <w:r w:rsidRPr="00B22AA2">
        <w:rPr>
          <w:rFonts w:ascii="Palatino Linotype" w:hAnsi="Palatino Linotype"/>
        </w:rPr>
        <w:t>se procede a dictar la presente resolución, con base en los siguientes:</w:t>
      </w:r>
    </w:p>
    <w:p w:rsidR="00406415" w:rsidRPr="00B22AA2" w:rsidRDefault="00406415" w:rsidP="00406415">
      <w:pPr>
        <w:pStyle w:val="Encabezado"/>
        <w:spacing w:line="360" w:lineRule="auto"/>
        <w:jc w:val="both"/>
        <w:rPr>
          <w:rFonts w:ascii="Palatino Linotype" w:hAnsi="Palatino Linotype"/>
        </w:rPr>
      </w:pPr>
    </w:p>
    <w:p w:rsidR="00406415" w:rsidRPr="00B22AA2" w:rsidRDefault="00406415" w:rsidP="00406415">
      <w:pPr>
        <w:pStyle w:val="Ttulo1"/>
        <w:spacing w:before="0" w:line="360" w:lineRule="auto"/>
        <w:jc w:val="center"/>
      </w:pPr>
      <w:bookmarkStart w:id="0" w:name="_Toc59195555"/>
      <w:bookmarkStart w:id="1" w:name="_Toc89360009"/>
      <w:r w:rsidRPr="00B22AA2">
        <w:t>ANTECEDENTES</w:t>
      </w:r>
      <w:bookmarkEnd w:id="0"/>
      <w:bookmarkEnd w:id="1"/>
    </w:p>
    <w:p w:rsidR="00406415" w:rsidRPr="00B22AA2" w:rsidRDefault="00406415" w:rsidP="00406415">
      <w:pPr>
        <w:rPr>
          <w:lang w:val="es-MX" w:eastAsia="en-US"/>
        </w:rPr>
      </w:pPr>
    </w:p>
    <w:p w:rsidR="00406415" w:rsidRPr="00B22AA2" w:rsidRDefault="00406415" w:rsidP="00406415">
      <w:pPr>
        <w:pStyle w:val="Prrafodelista"/>
        <w:numPr>
          <w:ilvl w:val="0"/>
          <w:numId w:val="1"/>
        </w:numPr>
        <w:spacing w:line="360" w:lineRule="auto"/>
        <w:ind w:left="0" w:firstLine="0"/>
        <w:jc w:val="both"/>
        <w:rPr>
          <w:rFonts w:ascii="Palatino Linotype" w:eastAsia="Times New Roman" w:hAnsi="Palatino Linotype" w:cs="Arial"/>
          <w:lang w:val="es-ES"/>
        </w:rPr>
      </w:pPr>
      <w:r w:rsidRPr="00B22AA2">
        <w:rPr>
          <w:rFonts w:ascii="Palatino Linotype" w:eastAsia="Calibri" w:hAnsi="Palatino Linotype" w:cs="Arial"/>
          <w:lang w:val="es-ES"/>
        </w:rPr>
        <w:t>El día veintisiete (27) de enero  de dos mil veintidós,</w:t>
      </w:r>
      <w:r w:rsidRPr="00B22AA2">
        <w:rPr>
          <w:rFonts w:ascii="Palatino Linotype" w:eastAsia="Calibri" w:hAnsi="Palatino Linotype" w:cs="Times New Roman"/>
          <w:lang w:val="es-ES"/>
        </w:rPr>
        <w:t xml:space="preserve"> </w:t>
      </w:r>
      <w:r w:rsidRPr="00B22AA2">
        <w:rPr>
          <w:rFonts w:ascii="Palatino Linotype" w:eastAsia="Calibri" w:hAnsi="Palatino Linotype" w:cs="Times New Roman"/>
          <w:b/>
          <w:lang w:val="es-ES"/>
        </w:rPr>
        <w:t>EL RECURRENTE</w:t>
      </w:r>
      <w:r w:rsidRPr="00B22AA2">
        <w:rPr>
          <w:rFonts w:ascii="Palatino Linotype" w:hAnsi="Palatino Linotype"/>
          <w:b/>
        </w:rPr>
        <w:t>,</w:t>
      </w:r>
      <w:r w:rsidRPr="00B22AA2">
        <w:rPr>
          <w:rFonts w:ascii="Palatino Linotype" w:eastAsia="Calibri" w:hAnsi="Palatino Linotype" w:cs="Arial"/>
          <w:lang w:val="es-ES"/>
        </w:rPr>
        <w:t xml:space="preserve"> ante el </w:t>
      </w:r>
      <w:r w:rsidRPr="00B22AA2">
        <w:rPr>
          <w:rFonts w:ascii="Palatino Linotype" w:eastAsia="Calibri" w:hAnsi="Palatino Linotype" w:cs="Arial"/>
          <w:b/>
          <w:lang w:val="es-ES"/>
        </w:rPr>
        <w:t>SUJETO OBLIGADO</w:t>
      </w:r>
      <w:r w:rsidRPr="00B22AA2">
        <w:rPr>
          <w:rFonts w:ascii="Palatino Linotype" w:eastAsia="Calibri" w:hAnsi="Palatino Linotype" w:cs="Arial"/>
        </w:rPr>
        <w:t xml:space="preserve"> a través del </w:t>
      </w:r>
      <w:r w:rsidRPr="00B22AA2">
        <w:rPr>
          <w:rFonts w:ascii="Palatino Linotype" w:eastAsia="Calibri" w:hAnsi="Palatino Linotype" w:cs="Arial"/>
          <w:lang w:val="es-ES"/>
        </w:rPr>
        <w:t>Sistema de Acceso a la Información Mexiquense (</w:t>
      </w:r>
      <w:r w:rsidRPr="00B22AA2">
        <w:rPr>
          <w:rFonts w:ascii="Palatino Linotype" w:eastAsia="Calibri" w:hAnsi="Palatino Linotype" w:cs="Arial"/>
          <w:b/>
          <w:lang w:val="es-ES"/>
        </w:rPr>
        <w:t>SAIMEX)</w:t>
      </w:r>
      <w:r w:rsidRPr="00B22AA2">
        <w:rPr>
          <w:rFonts w:ascii="Palatino Linotype" w:eastAsia="Calibri" w:hAnsi="Palatino Linotype" w:cs="Arial"/>
          <w:lang w:val="es-ES"/>
        </w:rPr>
        <w:t xml:space="preserve">, presentó la solicitud de información pública registrada con el número </w:t>
      </w:r>
      <w:r w:rsidRPr="00B22AA2">
        <w:rPr>
          <w:rFonts w:ascii="Palatino Linotype" w:eastAsia="Times New Roman" w:hAnsi="Palatino Linotype" w:cs="Arial"/>
          <w:b/>
          <w:bCs/>
        </w:rPr>
        <w:t> 00018/IXTASAL/IP/2022</w:t>
      </w:r>
      <w:r w:rsidRPr="00B22AA2">
        <w:rPr>
          <w:rFonts w:ascii="Palatino Linotype" w:eastAsia="Times New Roman" w:hAnsi="Palatino Linotype" w:cs="Arial"/>
          <w:b/>
          <w:lang w:val="es-ES"/>
        </w:rPr>
        <w:t xml:space="preserve">, </w:t>
      </w:r>
      <w:r w:rsidRPr="00B22AA2">
        <w:rPr>
          <w:rFonts w:ascii="Palatino Linotype" w:eastAsia="Calibri" w:hAnsi="Palatino Linotype" w:cs="Arial"/>
          <w:lang w:val="es-ES"/>
        </w:rPr>
        <w:t>mediante la cual solicitó lo siguiente:</w:t>
      </w:r>
    </w:p>
    <w:p w:rsidR="00406415" w:rsidRPr="00B22AA2" w:rsidRDefault="00406415" w:rsidP="00406415">
      <w:pPr>
        <w:pStyle w:val="Prrafodelista"/>
        <w:spacing w:line="360" w:lineRule="auto"/>
        <w:ind w:left="0"/>
        <w:jc w:val="both"/>
        <w:rPr>
          <w:rFonts w:ascii="Palatino Linotype" w:eastAsia="Times New Roman" w:hAnsi="Palatino Linotype" w:cs="Arial"/>
          <w:lang w:val="es-ES"/>
        </w:rPr>
      </w:pPr>
    </w:p>
    <w:p w:rsidR="00406415" w:rsidRPr="00B22AA2" w:rsidRDefault="00406415" w:rsidP="00406415">
      <w:pPr>
        <w:spacing w:line="360" w:lineRule="auto"/>
        <w:ind w:left="851" w:right="567"/>
        <w:jc w:val="both"/>
        <w:rPr>
          <w:rFonts w:ascii="Palatino Linotype" w:eastAsia="Calibri" w:hAnsi="Palatino Linotype" w:cs="Arial"/>
          <w:i/>
          <w:sz w:val="22"/>
          <w:lang w:val="es-ES"/>
        </w:rPr>
      </w:pPr>
      <w:r w:rsidRPr="00B22AA2">
        <w:rPr>
          <w:rFonts w:ascii="Palatino Linotype" w:eastAsia="Calibri" w:hAnsi="Palatino Linotype" w:cs="Arial"/>
          <w:i/>
          <w:sz w:val="22"/>
          <w:szCs w:val="22"/>
          <w:lang w:val="es-ES"/>
        </w:rPr>
        <w:t xml:space="preserve"> “</w:t>
      </w:r>
      <w:r w:rsidRPr="00B22AA2">
        <w:rPr>
          <w:rFonts w:ascii="Palatino Linotype" w:eastAsia="Times New Roman" w:hAnsi="Palatino Linotype" w:cs="Times New Roman"/>
          <w:i/>
          <w:sz w:val="22"/>
          <w:szCs w:val="22"/>
          <w:lang w:eastAsia="es-MX"/>
        </w:rPr>
        <w:t xml:space="preserve">Solicito los CFDI de la primera quincena del mes de enero 2022 del Director General y de los subdirectores del OPDAPAS, en versión pública." </w:t>
      </w:r>
      <w:r w:rsidRPr="00B22AA2">
        <w:rPr>
          <w:rFonts w:ascii="Palatino Linotype" w:eastAsia="Calibri" w:hAnsi="Palatino Linotype" w:cs="Arial"/>
          <w:i/>
          <w:sz w:val="22"/>
          <w:lang w:val="es-ES"/>
        </w:rPr>
        <w:t xml:space="preserve"> (Sic)</w:t>
      </w:r>
    </w:p>
    <w:p w:rsidR="00406415" w:rsidRPr="00B22AA2" w:rsidRDefault="00406415" w:rsidP="00406415">
      <w:pPr>
        <w:spacing w:line="360" w:lineRule="auto"/>
        <w:ind w:right="567"/>
        <w:jc w:val="both"/>
        <w:rPr>
          <w:rFonts w:ascii="Palatino Linotype" w:eastAsia="Times New Roman" w:hAnsi="Palatino Linotype" w:cs="Times New Roman"/>
          <w:lang w:val="es-MX" w:eastAsia="es-MX"/>
        </w:rPr>
      </w:pPr>
    </w:p>
    <w:p w:rsidR="00406415" w:rsidRPr="00B22AA2" w:rsidRDefault="00406415" w:rsidP="00406415">
      <w:pPr>
        <w:pStyle w:val="Prrafodelista"/>
        <w:numPr>
          <w:ilvl w:val="0"/>
          <w:numId w:val="1"/>
        </w:numPr>
        <w:spacing w:line="360" w:lineRule="auto"/>
        <w:ind w:left="0" w:firstLine="0"/>
        <w:jc w:val="both"/>
        <w:rPr>
          <w:rFonts w:ascii="Palatino Linotype" w:eastAsia="Calibri" w:hAnsi="Palatino Linotype" w:cs="Times New Roman"/>
          <w:lang w:val="es-ES"/>
        </w:rPr>
      </w:pPr>
      <w:r w:rsidRPr="00B22AA2">
        <w:rPr>
          <w:rFonts w:ascii="Palatino Linotype" w:eastAsia="Calibri" w:hAnsi="Palatino Linotype" w:cs="Times New Roman"/>
          <w:lang w:val="es-ES"/>
        </w:rPr>
        <w:t>Se señaló como modalidad de entrega a través del Sistema de Acceso a la Información Mexiquense (SAIMEX).</w:t>
      </w:r>
    </w:p>
    <w:p w:rsidR="00406415" w:rsidRPr="00B22AA2" w:rsidRDefault="00406415" w:rsidP="00406415">
      <w:pPr>
        <w:pStyle w:val="Prrafodelista"/>
        <w:spacing w:line="360" w:lineRule="auto"/>
        <w:ind w:left="0"/>
        <w:jc w:val="both"/>
        <w:rPr>
          <w:rFonts w:ascii="Palatino Linotype" w:eastAsia="Calibri" w:hAnsi="Palatino Linotype" w:cs="Times New Roman"/>
          <w:lang w:val="es-ES"/>
        </w:rPr>
      </w:pPr>
    </w:p>
    <w:p w:rsidR="00406415" w:rsidRPr="00B22AA2" w:rsidRDefault="00406415" w:rsidP="00406415">
      <w:pPr>
        <w:pStyle w:val="Prrafodelista"/>
        <w:numPr>
          <w:ilvl w:val="0"/>
          <w:numId w:val="1"/>
        </w:numPr>
        <w:spacing w:line="360" w:lineRule="auto"/>
        <w:ind w:left="0" w:firstLine="0"/>
        <w:jc w:val="both"/>
        <w:rPr>
          <w:rFonts w:ascii="Palatino Linotype" w:eastAsia="Calibri" w:hAnsi="Palatino Linotype" w:cs="Times New Roman"/>
          <w:lang w:val="es-ES"/>
        </w:rPr>
      </w:pPr>
      <w:r w:rsidRPr="00B22AA2">
        <w:rPr>
          <w:rFonts w:ascii="Palatino Linotype" w:eastAsia="Calibri" w:hAnsi="Palatino Linotype" w:cs="Times New Roman"/>
          <w:lang w:val="es-ES"/>
        </w:rPr>
        <w:lastRenderedPageBreak/>
        <w:t>El veintiocho (28) de enero de dos mil veintidós, el Sujeto Obligado realizó un requerimiento al servidor público habilitado.</w:t>
      </w:r>
    </w:p>
    <w:p w:rsidR="00406415" w:rsidRPr="00B22AA2" w:rsidRDefault="00406415" w:rsidP="00406415">
      <w:pPr>
        <w:pStyle w:val="Prrafodelista"/>
        <w:spacing w:line="360" w:lineRule="auto"/>
        <w:ind w:left="0"/>
        <w:jc w:val="both"/>
        <w:rPr>
          <w:rFonts w:ascii="Palatino Linotype" w:eastAsia="Calibri" w:hAnsi="Palatino Linotype" w:cs="Times New Roman"/>
          <w:lang w:val="es-ES"/>
        </w:rPr>
      </w:pPr>
    </w:p>
    <w:p w:rsidR="00406415" w:rsidRPr="00B22AA2" w:rsidRDefault="00406415" w:rsidP="00406415">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B22AA2">
        <w:rPr>
          <w:rFonts w:ascii="Palatino Linotype" w:eastAsia="Calibri" w:hAnsi="Palatino Linotype" w:cs="Times New Roman"/>
          <w:lang w:val="es-ES"/>
        </w:rPr>
        <w:t xml:space="preserve">El nueve (09) de febrero de dos mil veintidós, el </w:t>
      </w:r>
      <w:r w:rsidRPr="00B22AA2">
        <w:rPr>
          <w:rFonts w:ascii="Palatino Linotype" w:eastAsia="Calibri" w:hAnsi="Palatino Linotype" w:cs="Arial"/>
          <w:b/>
          <w:lang w:val="es-AR"/>
        </w:rPr>
        <w:t>SUJETO OBLIGADO</w:t>
      </w:r>
      <w:r w:rsidRPr="00B22AA2">
        <w:rPr>
          <w:rFonts w:ascii="Palatino Linotype" w:eastAsia="Calibri" w:hAnsi="Palatino Linotype" w:cs="Arial"/>
          <w:b/>
          <w:i/>
          <w:lang w:val="es-AR"/>
        </w:rPr>
        <w:t xml:space="preserve"> </w:t>
      </w:r>
      <w:r w:rsidRPr="00B22AA2">
        <w:rPr>
          <w:rFonts w:ascii="Palatino Linotype" w:eastAsia="Times New Roman" w:hAnsi="Palatino Linotype" w:cs="Arial"/>
          <w:lang w:val="es-ES"/>
        </w:rPr>
        <w:t>dio respuesta a la solicitud de información, en los siguientes términos</w:t>
      </w:r>
      <w:r w:rsidRPr="00B22AA2">
        <w:rPr>
          <w:rFonts w:ascii="Palatino Linotype" w:eastAsia="Calibri" w:hAnsi="Palatino Linotype" w:cs="Times New Roman"/>
          <w:bCs/>
          <w:iCs/>
          <w:lang w:val="es-ES"/>
        </w:rPr>
        <w:t>:</w:t>
      </w:r>
    </w:p>
    <w:tbl>
      <w:tblPr>
        <w:tblW w:w="7162" w:type="dxa"/>
        <w:jc w:val="center"/>
        <w:tblCellSpacing w:w="0" w:type="dxa"/>
        <w:tblCellMar>
          <w:left w:w="0" w:type="dxa"/>
          <w:right w:w="0" w:type="dxa"/>
        </w:tblCellMar>
        <w:tblLook w:val="04A0" w:firstRow="1" w:lastRow="0" w:firstColumn="1" w:lastColumn="0" w:noHBand="0" w:noVBand="1"/>
      </w:tblPr>
      <w:tblGrid>
        <w:gridCol w:w="7162"/>
      </w:tblGrid>
      <w:tr w:rsidR="00406415" w:rsidRPr="00B22AA2" w:rsidTr="00406415">
        <w:trPr>
          <w:trHeight w:val="168"/>
          <w:tblCellSpacing w:w="0" w:type="dxa"/>
          <w:jc w:val="center"/>
        </w:trPr>
        <w:tc>
          <w:tcPr>
            <w:tcW w:w="0" w:type="auto"/>
            <w:vAlign w:val="center"/>
            <w:hideMark/>
          </w:tcPr>
          <w:p w:rsidR="00406415" w:rsidRPr="00B22AA2" w:rsidRDefault="00406415" w:rsidP="00406415">
            <w:pPr>
              <w:spacing w:line="360" w:lineRule="auto"/>
              <w:rPr>
                <w:rFonts w:ascii="Palatino Linotype" w:eastAsia="Times New Roman" w:hAnsi="Palatino Linotype" w:cs="Times New Roman"/>
                <w:i/>
                <w:sz w:val="22"/>
                <w:lang w:val="es-ES"/>
              </w:rPr>
            </w:pPr>
            <w:r w:rsidRPr="00B22AA2">
              <w:rPr>
                <w:rFonts w:ascii="Palatino Linotype" w:eastAsia="Times New Roman" w:hAnsi="Palatino Linotype" w:cs="Times New Roman"/>
                <w:i/>
                <w:sz w:val="22"/>
                <w:szCs w:val="18"/>
                <w:lang w:val="es-ES"/>
              </w:rPr>
              <w:b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06415" w:rsidRPr="00B22AA2" w:rsidTr="00406415">
        <w:trPr>
          <w:trHeight w:val="420"/>
          <w:tblCellSpacing w:w="0" w:type="dxa"/>
          <w:jc w:val="center"/>
        </w:trPr>
        <w:tc>
          <w:tcPr>
            <w:tcW w:w="0" w:type="auto"/>
            <w:vAlign w:val="center"/>
            <w:hideMark/>
          </w:tcPr>
          <w:p w:rsidR="00406415" w:rsidRPr="00B22AA2" w:rsidRDefault="00406415" w:rsidP="00406415">
            <w:pPr>
              <w:spacing w:line="360" w:lineRule="auto"/>
              <w:rPr>
                <w:rFonts w:ascii="Palatino Linotype" w:eastAsia="Times New Roman" w:hAnsi="Palatino Linotype" w:cs="Times New Roman"/>
                <w:i/>
                <w:sz w:val="22"/>
                <w:lang w:val="es-ES"/>
              </w:rPr>
            </w:pPr>
          </w:p>
        </w:tc>
      </w:tr>
      <w:tr w:rsidR="00406415" w:rsidRPr="00B22AA2" w:rsidTr="00406415">
        <w:trPr>
          <w:trHeight w:val="168"/>
          <w:tblCellSpacing w:w="0" w:type="dxa"/>
          <w:jc w:val="center"/>
        </w:trPr>
        <w:tc>
          <w:tcPr>
            <w:tcW w:w="0" w:type="auto"/>
            <w:vAlign w:val="center"/>
            <w:hideMark/>
          </w:tcPr>
          <w:p w:rsidR="00406415" w:rsidRPr="00B22AA2" w:rsidRDefault="00406415" w:rsidP="00406415">
            <w:pPr>
              <w:spacing w:line="360" w:lineRule="auto"/>
              <w:rPr>
                <w:rFonts w:ascii="Palatino Linotype" w:eastAsia="Times New Roman" w:hAnsi="Palatino Linotype" w:cs="Times New Roman"/>
                <w:i/>
                <w:sz w:val="22"/>
                <w:lang w:val="es-ES"/>
              </w:rPr>
            </w:pPr>
            <w:r w:rsidRPr="00B22AA2">
              <w:rPr>
                <w:rFonts w:ascii="Palatino Linotype" w:eastAsia="Times New Roman" w:hAnsi="Palatino Linotype" w:cs="Times New Roman"/>
                <w:i/>
                <w:sz w:val="22"/>
                <w:szCs w:val="18"/>
                <w:lang w:val="es-ES"/>
              </w:rPr>
              <w:t>Se adjunta respuesta de la Dirección del OPDAPAS con la finalidad de dar cumplimiento a su requerimiento. Sin otro particular, me reitero a sus órdenes.”</w:t>
            </w:r>
          </w:p>
        </w:tc>
      </w:tr>
      <w:tr w:rsidR="00406415" w:rsidRPr="00B22AA2" w:rsidTr="00406415">
        <w:trPr>
          <w:trHeight w:val="161"/>
          <w:tblCellSpacing w:w="0" w:type="dxa"/>
          <w:jc w:val="center"/>
        </w:trPr>
        <w:tc>
          <w:tcPr>
            <w:tcW w:w="0" w:type="auto"/>
            <w:vAlign w:val="center"/>
            <w:hideMark/>
          </w:tcPr>
          <w:p w:rsidR="00406415" w:rsidRPr="00B22AA2" w:rsidRDefault="00406415" w:rsidP="00406415">
            <w:pPr>
              <w:rPr>
                <w:rFonts w:ascii="Times New Roman" w:eastAsia="Times New Roman" w:hAnsi="Times New Roman" w:cs="Times New Roman"/>
                <w:lang w:val="es-ES"/>
              </w:rPr>
            </w:pPr>
          </w:p>
        </w:tc>
      </w:tr>
    </w:tbl>
    <w:p w:rsidR="00406415" w:rsidRPr="00B22AA2" w:rsidRDefault="00406415" w:rsidP="00406415">
      <w:pPr>
        <w:pStyle w:val="Prrafodelista"/>
        <w:spacing w:line="360" w:lineRule="auto"/>
        <w:ind w:left="0"/>
        <w:jc w:val="both"/>
        <w:rPr>
          <w:rFonts w:ascii="Palatino Linotype" w:eastAsia="Calibri" w:hAnsi="Palatino Linotype" w:cs="Times New Roman"/>
          <w:b/>
          <w:i/>
          <w:lang w:val="es-ES"/>
        </w:rPr>
      </w:pPr>
    </w:p>
    <w:p w:rsidR="00D93FB2" w:rsidRPr="00B22AA2" w:rsidRDefault="00406415" w:rsidP="00406415">
      <w:pPr>
        <w:pStyle w:val="Prrafodelista"/>
        <w:spacing w:line="360" w:lineRule="auto"/>
        <w:ind w:left="0"/>
        <w:jc w:val="both"/>
        <w:rPr>
          <w:rFonts w:ascii="Palatino Linotype" w:eastAsia="Calibri" w:hAnsi="Palatino Linotype" w:cs="Times New Roman"/>
          <w:lang w:val="es-ES"/>
        </w:rPr>
      </w:pPr>
      <w:r w:rsidRPr="00B22AA2">
        <w:rPr>
          <w:rFonts w:ascii="Palatino Linotype" w:eastAsia="Calibri" w:hAnsi="Palatino Linotype" w:cs="Times New Roman"/>
          <w:lang w:val="es-ES"/>
        </w:rPr>
        <w:t xml:space="preserve">A la respuesta se adjuntaron los documentos que se </w:t>
      </w:r>
      <w:r w:rsidR="00D93FB2" w:rsidRPr="00B22AA2">
        <w:rPr>
          <w:rFonts w:ascii="Palatino Linotype" w:eastAsia="Calibri" w:hAnsi="Palatino Linotype" w:cs="Times New Roman"/>
          <w:lang w:val="es-ES"/>
        </w:rPr>
        <w:t>describen a continuación:</w:t>
      </w:r>
    </w:p>
    <w:p w:rsidR="00D93FB2" w:rsidRPr="00B22AA2" w:rsidRDefault="00D93FB2" w:rsidP="00406415">
      <w:pPr>
        <w:pStyle w:val="Prrafodelista"/>
        <w:spacing w:line="360" w:lineRule="auto"/>
        <w:ind w:left="0"/>
        <w:jc w:val="both"/>
        <w:rPr>
          <w:rFonts w:ascii="Palatino Linotype" w:eastAsia="Calibri" w:hAnsi="Palatino Linotype" w:cs="Times New Roman"/>
          <w:lang w:val="es-ES"/>
        </w:rPr>
      </w:pPr>
    </w:p>
    <w:p w:rsidR="00D93FB2" w:rsidRPr="00B22AA2" w:rsidRDefault="00DD4A3B" w:rsidP="00D93FB2">
      <w:pPr>
        <w:pStyle w:val="Prrafodelista"/>
        <w:numPr>
          <w:ilvl w:val="0"/>
          <w:numId w:val="5"/>
        </w:numPr>
        <w:spacing w:line="360" w:lineRule="auto"/>
        <w:jc w:val="both"/>
        <w:rPr>
          <w:rFonts w:ascii="Palatino Linotype" w:hAnsi="Palatino Linotype"/>
          <w:sz w:val="22"/>
          <w:szCs w:val="22"/>
        </w:rPr>
      </w:pPr>
      <w:hyperlink r:id="rId8" w:tgtFrame="_blank" w:history="1">
        <w:r w:rsidR="00D93FB2" w:rsidRPr="00B22AA2">
          <w:rPr>
            <w:rStyle w:val="Hipervnculo"/>
            <w:rFonts w:ascii="Palatino Linotype" w:hAnsi="Palatino Linotype" w:cs="Arial"/>
            <w:b/>
            <w:bCs/>
            <w:color w:val="auto"/>
            <w:sz w:val="22"/>
            <w:szCs w:val="22"/>
          </w:rPr>
          <w:t>OPDAPAS SOL 18.pdf</w:t>
        </w:r>
      </w:hyperlink>
      <w:r w:rsidR="00D93FB2" w:rsidRPr="00B22AA2">
        <w:rPr>
          <w:rFonts w:ascii="Palatino Linotype" w:hAnsi="Palatino Linotype"/>
          <w:sz w:val="22"/>
          <w:szCs w:val="22"/>
        </w:rPr>
        <w:t xml:space="preserve">: </w:t>
      </w:r>
      <w:r w:rsidR="00212209" w:rsidRPr="00B22AA2">
        <w:rPr>
          <w:rFonts w:ascii="Palatino Linotype" w:hAnsi="Palatino Linotype"/>
          <w:sz w:val="22"/>
          <w:szCs w:val="22"/>
        </w:rPr>
        <w:t xml:space="preserve">consta del </w:t>
      </w:r>
      <w:r w:rsidR="00D93FB2" w:rsidRPr="00B22AA2">
        <w:rPr>
          <w:rFonts w:ascii="Palatino Linotype" w:hAnsi="Palatino Linotype"/>
          <w:sz w:val="22"/>
          <w:szCs w:val="22"/>
        </w:rPr>
        <w:t xml:space="preserve">oficio OPDAPAS/DG/066/2022 de fecha uno de febrero de dos mil veintidós, suscrito por el Director General de ODDAPAS de Ixtapan de la Sal, </w:t>
      </w:r>
      <w:r w:rsidR="00212209" w:rsidRPr="00B22AA2">
        <w:rPr>
          <w:rFonts w:ascii="Palatino Linotype" w:hAnsi="Palatino Linotype"/>
          <w:sz w:val="22"/>
          <w:szCs w:val="22"/>
        </w:rPr>
        <w:t>mediante el cual manifestó dar respuesta en tiempo y forma; asimismo, se adjuntó tres recibos de n</w:t>
      </w:r>
      <w:r w:rsidR="000C1BB4" w:rsidRPr="00B22AA2">
        <w:rPr>
          <w:rFonts w:ascii="Palatino Linotype" w:hAnsi="Palatino Linotype"/>
          <w:sz w:val="22"/>
          <w:szCs w:val="22"/>
        </w:rPr>
        <w:t>ómina.</w:t>
      </w:r>
    </w:p>
    <w:p w:rsidR="00D93FB2" w:rsidRPr="00B22AA2" w:rsidRDefault="00D93FB2" w:rsidP="00D93FB2">
      <w:pPr>
        <w:pStyle w:val="Prrafodelista"/>
        <w:spacing w:line="360" w:lineRule="auto"/>
        <w:jc w:val="both"/>
        <w:rPr>
          <w:rFonts w:ascii="Palatino Linotype" w:hAnsi="Palatino Linotype"/>
          <w:sz w:val="22"/>
          <w:szCs w:val="22"/>
        </w:rPr>
      </w:pPr>
    </w:p>
    <w:p w:rsidR="00D93FB2" w:rsidRPr="00B22AA2" w:rsidRDefault="00DD4A3B" w:rsidP="00D93FB2">
      <w:pPr>
        <w:pStyle w:val="Prrafodelista"/>
        <w:numPr>
          <w:ilvl w:val="0"/>
          <w:numId w:val="5"/>
        </w:numPr>
        <w:spacing w:line="360" w:lineRule="auto"/>
        <w:jc w:val="both"/>
        <w:rPr>
          <w:rFonts w:ascii="Palatino Linotype" w:eastAsia="Calibri" w:hAnsi="Palatino Linotype" w:cs="Times New Roman"/>
          <w:sz w:val="22"/>
          <w:szCs w:val="22"/>
          <w:lang w:val="es-ES"/>
        </w:rPr>
      </w:pPr>
      <w:hyperlink r:id="rId9" w:tgtFrame="_blank" w:history="1">
        <w:r w:rsidR="00D93FB2" w:rsidRPr="00B22AA2">
          <w:rPr>
            <w:rStyle w:val="Hipervnculo"/>
            <w:rFonts w:ascii="Palatino Linotype" w:hAnsi="Palatino Linotype" w:cs="Arial"/>
            <w:b/>
            <w:bCs/>
            <w:color w:val="auto"/>
            <w:sz w:val="22"/>
            <w:szCs w:val="22"/>
          </w:rPr>
          <w:t>ACTA QUINTA DE 2022.pdf</w:t>
        </w:r>
      </w:hyperlink>
      <w:r w:rsidR="00D93FB2" w:rsidRPr="00B22AA2">
        <w:rPr>
          <w:rFonts w:ascii="Palatino Linotype" w:hAnsi="Palatino Linotype"/>
          <w:sz w:val="22"/>
          <w:szCs w:val="22"/>
        </w:rPr>
        <w:t xml:space="preserve">: </w:t>
      </w:r>
      <w:r w:rsidR="00C96492" w:rsidRPr="00B22AA2">
        <w:rPr>
          <w:rFonts w:ascii="Palatino Linotype" w:hAnsi="Palatino Linotype"/>
          <w:sz w:val="22"/>
          <w:szCs w:val="22"/>
        </w:rPr>
        <w:t xml:space="preserve">Acta </w:t>
      </w:r>
      <w:r w:rsidR="00EC07E4" w:rsidRPr="00B22AA2">
        <w:rPr>
          <w:rFonts w:ascii="Palatino Linotype" w:hAnsi="Palatino Linotype"/>
          <w:sz w:val="22"/>
          <w:szCs w:val="22"/>
        </w:rPr>
        <w:t>de la Quinta Sesión Extraordinaria del Comité de Transparencia de Ixtapan de la Sal.</w:t>
      </w:r>
    </w:p>
    <w:p w:rsidR="00406415" w:rsidRPr="00B22AA2" w:rsidRDefault="00406415" w:rsidP="00406415">
      <w:pPr>
        <w:spacing w:line="360" w:lineRule="auto"/>
        <w:ind w:right="567"/>
        <w:jc w:val="both"/>
        <w:rPr>
          <w:rFonts w:ascii="Palatino Linotype" w:eastAsia="Times New Roman" w:hAnsi="Palatino Linotype" w:cs="Arial"/>
          <w:b/>
          <w:bCs/>
          <w:lang w:val="es-ES"/>
        </w:rPr>
      </w:pPr>
    </w:p>
    <w:p w:rsidR="00406415" w:rsidRPr="00B22AA2" w:rsidRDefault="00406415" w:rsidP="00406415">
      <w:pPr>
        <w:pStyle w:val="Prrafodelista"/>
        <w:numPr>
          <w:ilvl w:val="0"/>
          <w:numId w:val="1"/>
        </w:numPr>
        <w:spacing w:line="360" w:lineRule="auto"/>
        <w:ind w:left="0" w:firstLine="0"/>
        <w:jc w:val="both"/>
        <w:rPr>
          <w:rFonts w:ascii="Palatino Linotype" w:hAnsi="Palatino Linotype" w:cs="Arial"/>
          <w:i/>
          <w:sz w:val="22"/>
          <w:szCs w:val="22"/>
        </w:rPr>
      </w:pPr>
      <w:r w:rsidRPr="00B22AA2">
        <w:rPr>
          <w:rFonts w:ascii="Palatino Linotype" w:eastAsia="Calibri" w:hAnsi="Palatino Linotype" w:cs="Arial"/>
          <w:lang w:val="es-AR"/>
        </w:rPr>
        <w:t xml:space="preserve">El </w:t>
      </w:r>
      <w:r w:rsidR="00EC07E4" w:rsidRPr="00B22AA2">
        <w:rPr>
          <w:rFonts w:ascii="Palatino Linotype" w:eastAsia="Calibri" w:hAnsi="Palatino Linotype" w:cs="Arial"/>
          <w:lang w:val="es-AR"/>
        </w:rPr>
        <w:t xml:space="preserve">uno (01) de marzo </w:t>
      </w:r>
      <w:r w:rsidRPr="00B22AA2">
        <w:rPr>
          <w:rFonts w:ascii="Palatino Linotype" w:eastAsia="Calibri" w:hAnsi="Palatino Linotype" w:cs="Arial"/>
          <w:lang w:val="es-AR"/>
        </w:rPr>
        <w:t xml:space="preserve"> de dos mil veintidós</w:t>
      </w:r>
      <w:r w:rsidRPr="00B22AA2">
        <w:rPr>
          <w:rFonts w:ascii="Palatino Linotype" w:eastAsia="Times New Roman" w:hAnsi="Palatino Linotype" w:cs="Arial"/>
          <w:lang w:val="es-ES"/>
        </w:rPr>
        <w:t xml:space="preserve">, </w:t>
      </w:r>
      <w:r w:rsidRPr="00B22AA2">
        <w:rPr>
          <w:rFonts w:ascii="Palatino Linotype" w:hAnsi="Palatino Linotype"/>
          <w:b/>
        </w:rPr>
        <w:t>EL RECURRENTE</w:t>
      </w:r>
      <w:r w:rsidRPr="00B22AA2">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406415" w:rsidRPr="00B22AA2" w:rsidRDefault="00406415" w:rsidP="00406415">
      <w:pPr>
        <w:pStyle w:val="Prrafodelista"/>
        <w:spacing w:line="360" w:lineRule="auto"/>
        <w:ind w:left="567"/>
        <w:jc w:val="both"/>
        <w:rPr>
          <w:rFonts w:ascii="Palatino Linotype" w:hAnsi="Palatino Linotype" w:cs="Arial"/>
          <w:sz w:val="22"/>
          <w:szCs w:val="22"/>
        </w:rPr>
      </w:pPr>
    </w:p>
    <w:p w:rsidR="00406415" w:rsidRPr="00B22AA2" w:rsidRDefault="00406415" w:rsidP="00406415">
      <w:pPr>
        <w:pStyle w:val="Prrafodelista"/>
        <w:spacing w:line="360" w:lineRule="auto"/>
        <w:ind w:left="567"/>
        <w:jc w:val="both"/>
        <w:rPr>
          <w:rFonts w:ascii="Palatino Linotype" w:eastAsia="Calibri" w:hAnsi="Palatino Linotype" w:cs="Arial"/>
          <w:szCs w:val="22"/>
          <w:lang w:val="es-ES"/>
        </w:rPr>
      </w:pPr>
      <w:r w:rsidRPr="00B22AA2">
        <w:rPr>
          <w:rFonts w:ascii="Palatino Linotype" w:hAnsi="Palatino Linotype"/>
          <w:b/>
        </w:rPr>
        <w:t>Acto impugnado:</w:t>
      </w:r>
      <w:r w:rsidRPr="00B22AA2">
        <w:rPr>
          <w:rStyle w:val="Ttulo2Car"/>
          <w:rFonts w:ascii="Palatino Linotype" w:hAnsi="Palatino Linotype"/>
          <w:b/>
          <w:i/>
          <w:lang w:val="es-ES"/>
        </w:rPr>
        <w:t xml:space="preserve"> </w:t>
      </w:r>
      <w:r w:rsidRPr="00B22AA2">
        <w:rPr>
          <w:rFonts w:ascii="Palatino Linotype" w:hAnsi="Palatino Linotype"/>
        </w:rPr>
        <w:t>“</w:t>
      </w:r>
      <w:r w:rsidR="00EC07E4" w:rsidRPr="00B22AA2">
        <w:rPr>
          <w:rFonts w:ascii="Palatino Linotype" w:hAnsi="Palatino Linotype"/>
          <w:i/>
          <w:sz w:val="22"/>
        </w:rPr>
        <w:t>Los CFDIs tienen información incompleta.</w:t>
      </w:r>
      <w:r w:rsidRPr="00B22AA2">
        <w:rPr>
          <w:rFonts w:ascii="Palatino Linotype" w:hAnsi="Palatino Linotype"/>
          <w:i/>
          <w:sz w:val="22"/>
        </w:rPr>
        <w:t xml:space="preserve"> </w:t>
      </w:r>
      <w:r w:rsidRPr="00B22AA2">
        <w:rPr>
          <w:rFonts w:ascii="Palatino Linotype" w:hAnsi="Palatino Linotype"/>
        </w:rPr>
        <w:t>"</w:t>
      </w:r>
      <w:r w:rsidRPr="00B22AA2">
        <w:rPr>
          <w:rFonts w:ascii="Palatino Linotype" w:eastAsia="Calibri" w:hAnsi="Palatino Linotype" w:cs="Arial"/>
          <w:sz w:val="20"/>
          <w:szCs w:val="22"/>
          <w:lang w:val="es-ES"/>
        </w:rPr>
        <w:t xml:space="preserve"> </w:t>
      </w:r>
      <w:r w:rsidRPr="00B22AA2">
        <w:rPr>
          <w:rFonts w:ascii="Palatino Linotype" w:eastAsia="Calibri" w:hAnsi="Palatino Linotype" w:cs="Arial"/>
          <w:i/>
          <w:sz w:val="22"/>
          <w:szCs w:val="22"/>
          <w:lang w:val="es-ES"/>
        </w:rPr>
        <w:t>(Sic)</w:t>
      </w:r>
    </w:p>
    <w:p w:rsidR="00406415" w:rsidRPr="00B22AA2" w:rsidRDefault="00406415" w:rsidP="00406415">
      <w:pPr>
        <w:pStyle w:val="Prrafodelista"/>
        <w:spacing w:line="360" w:lineRule="auto"/>
        <w:ind w:left="567"/>
        <w:jc w:val="both"/>
        <w:rPr>
          <w:rFonts w:ascii="Palatino Linotype" w:eastAsia="Calibri" w:hAnsi="Palatino Linotype" w:cs="Arial"/>
          <w:szCs w:val="22"/>
          <w:lang w:val="es-ES"/>
        </w:rPr>
      </w:pPr>
    </w:p>
    <w:p w:rsidR="00406415" w:rsidRPr="00B22AA2" w:rsidRDefault="00406415" w:rsidP="00406415">
      <w:pPr>
        <w:pStyle w:val="Prrafodelista"/>
        <w:spacing w:line="360" w:lineRule="auto"/>
        <w:ind w:left="567"/>
        <w:jc w:val="both"/>
        <w:rPr>
          <w:rFonts w:ascii="Palatino Linotype" w:hAnsi="Palatino Linotype" w:cs="Arial"/>
          <w:sz w:val="22"/>
          <w:szCs w:val="22"/>
        </w:rPr>
      </w:pPr>
      <w:r w:rsidRPr="00B22AA2">
        <w:rPr>
          <w:rFonts w:ascii="Palatino Linotype" w:hAnsi="Palatino Linotype"/>
          <w:b/>
        </w:rPr>
        <w:t>Razones o Motivos de inconformidad:</w:t>
      </w:r>
      <w:r w:rsidRPr="00B22AA2">
        <w:rPr>
          <w:rStyle w:val="Ttulo2Car"/>
          <w:rFonts w:ascii="Palatino Linotype" w:hAnsi="Palatino Linotype"/>
          <w:b/>
          <w:lang w:val="es-ES"/>
        </w:rPr>
        <w:t xml:space="preserve"> </w:t>
      </w:r>
      <w:r w:rsidRPr="00B22AA2">
        <w:rPr>
          <w:rFonts w:ascii="Palatino Linotype" w:hAnsi="Palatino Linotype"/>
          <w:i/>
          <w:sz w:val="22"/>
          <w:szCs w:val="22"/>
        </w:rPr>
        <w:t>“</w:t>
      </w:r>
      <w:r w:rsidR="00EC07E4" w:rsidRPr="00B22AA2">
        <w:rPr>
          <w:rFonts w:ascii="Palatino Linotype" w:hAnsi="Palatino Linotype"/>
          <w:i/>
          <w:color w:val="000000"/>
          <w:sz w:val="22"/>
          <w:szCs w:val="22"/>
        </w:rPr>
        <w:t>De acuerdo a los principios de máxima publicidad, la información contenida en los CFDI es pública, salvo los datos personales, como lo son el número de seguridad social, cuenta bancaria, antigüedad, etc. sin embargo, el ente público reservó información que no es considerada confidencial o reservada, como lo es el QR o cadea digital, ya que esta no contiene datos personales en su totalidad. y en dicho apartado que fue censurado, no se colocó ninguna leyenda o fundamento.</w:t>
      </w:r>
      <w:r w:rsidRPr="00B22AA2">
        <w:rPr>
          <w:rFonts w:ascii="Palatino Linotype" w:hAnsi="Palatino Linotype"/>
          <w:i/>
          <w:sz w:val="22"/>
          <w:szCs w:val="22"/>
        </w:rPr>
        <w:t xml:space="preserve">” </w:t>
      </w:r>
      <w:r w:rsidRPr="00B22AA2">
        <w:rPr>
          <w:rFonts w:ascii="Palatino Linotype" w:hAnsi="Palatino Linotype" w:cs="Arial"/>
          <w:i/>
          <w:sz w:val="22"/>
          <w:szCs w:val="22"/>
        </w:rPr>
        <w:t xml:space="preserve">(Sic) </w:t>
      </w:r>
    </w:p>
    <w:p w:rsidR="00406415" w:rsidRPr="00B22AA2" w:rsidRDefault="00406415" w:rsidP="00406415">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rsidR="00406415" w:rsidRPr="00B22AA2" w:rsidRDefault="00406415" w:rsidP="00406415">
      <w:pPr>
        <w:pStyle w:val="Prrafodelista"/>
        <w:numPr>
          <w:ilvl w:val="0"/>
          <w:numId w:val="1"/>
        </w:numPr>
        <w:spacing w:line="360" w:lineRule="auto"/>
        <w:ind w:left="0" w:firstLine="0"/>
        <w:jc w:val="both"/>
        <w:rPr>
          <w:rFonts w:ascii="Palatino Linotype" w:eastAsia="Calibri" w:hAnsi="Palatino Linotype" w:cs="Arial"/>
          <w:lang w:val="es-AR"/>
        </w:rPr>
      </w:pPr>
      <w:r w:rsidRPr="00B22AA2">
        <w:rPr>
          <w:rFonts w:ascii="Palatino Linotype" w:eastAsia="Times New Roman" w:hAnsi="Palatino Linotype" w:cs="Arial"/>
          <w:lang w:val="es-ES"/>
        </w:rPr>
        <w:t xml:space="preserve">Se registró el recurso de revisión bajo el número de expediente </w:t>
      </w:r>
      <w:r w:rsidRPr="00B22AA2">
        <w:rPr>
          <w:rFonts w:ascii="Palatino Linotype" w:hAnsi="Palatino Linotype" w:cs="Arial"/>
          <w:bCs/>
        </w:rPr>
        <w:t xml:space="preserve">al rubro indicado, asimismo con fundamento en lo dispuesto por el </w:t>
      </w:r>
      <w:r w:rsidRPr="00B22AA2">
        <w:rPr>
          <w:rFonts w:ascii="Palatino Linotype" w:eastAsia="Calibri" w:hAnsi="Palatino Linotype" w:cs="Arial"/>
          <w:lang w:val="es-ES"/>
        </w:rPr>
        <w:t xml:space="preserve">artículo 185 fracción I de la </w:t>
      </w:r>
      <w:r w:rsidRPr="00B22AA2">
        <w:rPr>
          <w:rFonts w:ascii="Palatino Linotype" w:eastAsia="Calibri" w:hAnsi="Palatino Linotype" w:cs="Arial"/>
          <w:b/>
          <w:lang w:val="es-ES"/>
        </w:rPr>
        <w:t xml:space="preserve">Ley de Transparencia y Acceso a la Información Pública del Estado de México y Municipios </w:t>
      </w:r>
      <w:r w:rsidRPr="00B22AA2">
        <w:rPr>
          <w:rFonts w:ascii="Palatino Linotype" w:eastAsia="Times New Roman" w:hAnsi="Palatino Linotype" w:cs="Arial"/>
          <w:lang w:val="es-ES"/>
        </w:rPr>
        <w:t xml:space="preserve">se turnó a la </w:t>
      </w:r>
      <w:r w:rsidRPr="00B22AA2">
        <w:rPr>
          <w:rFonts w:ascii="Palatino Linotype" w:eastAsia="Times New Roman" w:hAnsi="Palatino Linotype" w:cs="Arial"/>
          <w:b/>
          <w:lang w:val="es-ES"/>
        </w:rPr>
        <w:t xml:space="preserve">Comisionada </w:t>
      </w:r>
      <w:r w:rsidRPr="00B22AA2">
        <w:rPr>
          <w:rFonts w:ascii="Palatino Linotype" w:hAnsi="Palatino Linotype"/>
          <w:b/>
        </w:rPr>
        <w:t>María del Rosario Mejía Ayala</w:t>
      </w:r>
      <w:r w:rsidRPr="00B22AA2">
        <w:rPr>
          <w:rFonts w:ascii="Palatino Linotype" w:eastAsia="Times New Roman" w:hAnsi="Palatino Linotype" w:cs="Arial"/>
          <w:b/>
          <w:lang w:val="es-ES"/>
        </w:rPr>
        <w:t xml:space="preserve">, </w:t>
      </w:r>
      <w:r w:rsidRPr="00B22AA2">
        <w:rPr>
          <w:rFonts w:ascii="Palatino Linotype" w:eastAsia="Times New Roman" w:hAnsi="Palatino Linotype" w:cs="Arial"/>
          <w:lang w:val="es-ES"/>
        </w:rPr>
        <w:t xml:space="preserve">con el objeto de </w:t>
      </w:r>
      <w:r w:rsidRPr="00B22AA2">
        <w:rPr>
          <w:rFonts w:ascii="Palatino Linotype" w:eastAsia="Times New Roman" w:hAnsi="Palatino Linotype" w:cs="Arial"/>
          <w:lang w:val="es-MX"/>
        </w:rPr>
        <w:t>su análisis.</w:t>
      </w:r>
    </w:p>
    <w:p w:rsidR="00406415" w:rsidRPr="00B22AA2" w:rsidRDefault="00406415" w:rsidP="00406415">
      <w:pPr>
        <w:pStyle w:val="Prrafodelista"/>
        <w:spacing w:line="360" w:lineRule="auto"/>
        <w:ind w:left="0"/>
        <w:jc w:val="both"/>
        <w:rPr>
          <w:rFonts w:ascii="Palatino Linotype" w:eastAsia="Calibri" w:hAnsi="Palatino Linotype" w:cs="Arial"/>
          <w:lang w:val="es-AR"/>
        </w:rPr>
      </w:pPr>
    </w:p>
    <w:p w:rsidR="00406415" w:rsidRPr="00B22AA2" w:rsidRDefault="00406415" w:rsidP="00406415">
      <w:pPr>
        <w:pStyle w:val="Prrafodelista"/>
        <w:numPr>
          <w:ilvl w:val="0"/>
          <w:numId w:val="1"/>
        </w:numPr>
        <w:spacing w:line="360" w:lineRule="auto"/>
        <w:ind w:left="0" w:firstLine="0"/>
        <w:jc w:val="both"/>
        <w:rPr>
          <w:rFonts w:ascii="Palatino Linotype" w:hAnsi="Palatino Linotype"/>
          <w:i/>
          <w:color w:val="000000"/>
          <w:sz w:val="22"/>
          <w:szCs w:val="22"/>
        </w:rPr>
      </w:pPr>
      <w:r w:rsidRPr="00B22AA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A7CD1" w:rsidRPr="00B22AA2">
        <w:rPr>
          <w:rFonts w:ascii="Palatino Linotype" w:eastAsia="Calibri" w:hAnsi="Palatino Linotype" w:cs="Arial"/>
          <w:lang w:val="es-ES"/>
        </w:rPr>
        <w:t xml:space="preserve">siete (07) de marzo </w:t>
      </w:r>
      <w:r w:rsidRPr="00B22AA2">
        <w:rPr>
          <w:rFonts w:ascii="Palatino Linotype" w:eastAsia="Calibri" w:hAnsi="Palatino Linotype" w:cs="Arial"/>
          <w:lang w:val="es-ES"/>
        </w:rPr>
        <w:t xml:space="preserve"> de dos mil veintidós, puso a disposición de las partes el expediente electrónico </w:t>
      </w:r>
      <w:r w:rsidRPr="00B22AA2">
        <w:rPr>
          <w:rFonts w:ascii="Palatino Linotype" w:eastAsia="Calibri" w:hAnsi="Palatino Linotype" w:cs="Arial"/>
        </w:rPr>
        <w:t xml:space="preserve">vía </w:t>
      </w:r>
      <w:r w:rsidRPr="00B22AA2">
        <w:rPr>
          <w:rFonts w:ascii="Palatino Linotype" w:eastAsia="Calibri" w:hAnsi="Palatino Linotype" w:cs="Arial"/>
          <w:b/>
          <w:lang w:val="es-ES"/>
        </w:rPr>
        <w:t xml:space="preserve">SAIMEX </w:t>
      </w:r>
      <w:r w:rsidRPr="00B22AA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22AA2">
        <w:rPr>
          <w:rFonts w:ascii="Palatino Linotype" w:eastAsia="Calibri" w:hAnsi="Palatino Linotype" w:cs="Arial"/>
          <w:b/>
          <w:lang w:val="es-ES"/>
        </w:rPr>
        <w:t>SUJETO OBLIGADO</w:t>
      </w:r>
      <w:r w:rsidRPr="00B22AA2">
        <w:rPr>
          <w:rFonts w:ascii="Palatino Linotype" w:eastAsia="Calibri" w:hAnsi="Palatino Linotype" w:cs="Arial"/>
          <w:lang w:val="es-ES"/>
        </w:rPr>
        <w:t xml:space="preserve"> presentara el informe justificado procedente. </w:t>
      </w:r>
    </w:p>
    <w:p w:rsidR="00406415" w:rsidRPr="00B22AA2" w:rsidRDefault="00406415" w:rsidP="00406415">
      <w:pPr>
        <w:pStyle w:val="Prrafodelista"/>
        <w:rPr>
          <w:rFonts w:ascii="Palatino Linotype" w:eastAsia="Calibri" w:hAnsi="Palatino Linotype" w:cs="Arial"/>
          <w:lang w:val="es-ES"/>
        </w:rPr>
      </w:pPr>
    </w:p>
    <w:p w:rsidR="00406415" w:rsidRPr="00B22AA2" w:rsidRDefault="00406415" w:rsidP="00406415">
      <w:pPr>
        <w:pStyle w:val="Prrafodelista"/>
        <w:numPr>
          <w:ilvl w:val="0"/>
          <w:numId w:val="1"/>
        </w:numPr>
        <w:spacing w:line="360" w:lineRule="auto"/>
        <w:ind w:left="0" w:firstLine="0"/>
        <w:jc w:val="both"/>
        <w:rPr>
          <w:rFonts w:ascii="Palatino Linotype" w:hAnsi="Palatino Linotype"/>
          <w:i/>
          <w:color w:val="000000"/>
          <w:sz w:val="22"/>
          <w:szCs w:val="22"/>
        </w:rPr>
      </w:pPr>
      <w:r w:rsidRPr="00B22AA2">
        <w:rPr>
          <w:rFonts w:ascii="Palatino Linotype" w:eastAsia="Calibri" w:hAnsi="Palatino Linotype" w:cs="Arial"/>
          <w:lang w:val="es-ES"/>
        </w:rPr>
        <w:t xml:space="preserve">Del expediente electrónico se advierte que el RECURRENTE no realizó manifestaciones, no ofreció pruebas ni alegatos que su derecho convinieran; por su </w:t>
      </w:r>
      <w:r w:rsidRPr="00B22AA2">
        <w:rPr>
          <w:rFonts w:ascii="Palatino Linotype" w:eastAsia="Calibri" w:hAnsi="Palatino Linotype" w:cs="Arial"/>
          <w:lang w:val="es-ES"/>
        </w:rPr>
        <w:lastRenderedPageBreak/>
        <w:t xml:space="preserve">parte el SUJETO OBLIGADO remitió su informe justificado el </w:t>
      </w:r>
      <w:r w:rsidR="00DA7CD1" w:rsidRPr="00B22AA2">
        <w:rPr>
          <w:rFonts w:ascii="Palatino Linotype" w:eastAsia="Calibri" w:hAnsi="Palatino Linotype" w:cs="Arial"/>
          <w:lang w:val="es-ES"/>
        </w:rPr>
        <w:t>once (11</w:t>
      </w:r>
      <w:r w:rsidRPr="00B22AA2">
        <w:rPr>
          <w:rFonts w:ascii="Palatino Linotype" w:eastAsia="Calibri" w:hAnsi="Palatino Linotype" w:cs="Arial"/>
          <w:lang w:val="es-ES"/>
        </w:rPr>
        <w:t xml:space="preserve">) de marzo de dos mil veintidós, mismo que se puso a la vista del particular el </w:t>
      </w:r>
      <w:r w:rsidR="00DA7CD1" w:rsidRPr="00B22AA2">
        <w:rPr>
          <w:rFonts w:ascii="Palatino Linotype" w:eastAsia="Calibri" w:hAnsi="Palatino Linotype" w:cs="Arial"/>
          <w:lang w:val="es-ES"/>
        </w:rPr>
        <w:t>tres (03) de mayo</w:t>
      </w:r>
      <w:r w:rsidRPr="00B22AA2">
        <w:rPr>
          <w:rFonts w:ascii="Palatino Linotype" w:eastAsia="Calibri" w:hAnsi="Palatino Linotype" w:cs="Arial"/>
          <w:lang w:val="es-ES"/>
        </w:rPr>
        <w:t xml:space="preserve"> del mismo año, y que consta de los documentos que se describen a continuación: </w:t>
      </w:r>
    </w:p>
    <w:p w:rsidR="00DA7CD1" w:rsidRPr="00B22AA2" w:rsidRDefault="00DA7CD1" w:rsidP="00DA7CD1">
      <w:pPr>
        <w:pStyle w:val="Prrafodelista"/>
        <w:spacing w:line="360" w:lineRule="auto"/>
        <w:ind w:left="0"/>
        <w:jc w:val="both"/>
        <w:rPr>
          <w:rFonts w:ascii="Palatino Linotype" w:hAnsi="Palatino Linotype"/>
          <w:i/>
          <w:color w:val="000000"/>
          <w:sz w:val="22"/>
          <w:szCs w:val="22"/>
        </w:rPr>
      </w:pPr>
    </w:p>
    <w:p w:rsidR="002840B0" w:rsidRPr="00B22AA2" w:rsidRDefault="00DD4A3B" w:rsidP="002840B0">
      <w:pPr>
        <w:pStyle w:val="Prrafodelista"/>
        <w:numPr>
          <w:ilvl w:val="0"/>
          <w:numId w:val="6"/>
        </w:numPr>
        <w:spacing w:line="360" w:lineRule="auto"/>
        <w:jc w:val="both"/>
        <w:rPr>
          <w:rFonts w:ascii="Palatino Linotype" w:eastAsia="Calibri" w:hAnsi="Palatino Linotype" w:cs="Arial"/>
          <w:sz w:val="22"/>
          <w:szCs w:val="22"/>
          <w:lang w:val="es-ES"/>
        </w:rPr>
      </w:pPr>
      <w:hyperlink r:id="rId10" w:history="1">
        <w:r w:rsidR="00DA7CD1" w:rsidRPr="00B22AA2">
          <w:rPr>
            <w:rStyle w:val="Hipervnculo"/>
            <w:rFonts w:ascii="Palatino Linotype" w:hAnsi="Palatino Linotype" w:cs="Arial"/>
            <w:b/>
            <w:bCs/>
            <w:color w:val="auto"/>
            <w:sz w:val="22"/>
            <w:szCs w:val="22"/>
          </w:rPr>
          <w:t>OF. 255 MANIFESTACIONES RR 2758-22.pdf</w:t>
        </w:r>
      </w:hyperlink>
      <w:r w:rsidR="00DA7CD1" w:rsidRPr="00B22AA2">
        <w:rPr>
          <w:rFonts w:ascii="Palatino Linotype" w:hAnsi="Palatino Linotype"/>
          <w:sz w:val="22"/>
          <w:szCs w:val="22"/>
        </w:rPr>
        <w:t xml:space="preserve">: oficio UT/255/2022, suscrito por el Titular de la Unidad de Transparencia mediante el cual manifestó </w:t>
      </w:r>
      <w:r w:rsidR="002840B0" w:rsidRPr="00B22AA2">
        <w:rPr>
          <w:rFonts w:ascii="Palatino Linotype" w:hAnsi="Palatino Linotype"/>
          <w:sz w:val="22"/>
          <w:szCs w:val="22"/>
        </w:rPr>
        <w:t xml:space="preserve">de forma medular </w:t>
      </w:r>
      <w:r w:rsidR="002840B0" w:rsidRPr="00B22AA2">
        <w:rPr>
          <w:rFonts w:ascii="Palatino Linotype" w:hAnsi="Palatino Linotype"/>
          <w:i/>
          <w:sz w:val="22"/>
          <w:szCs w:val="22"/>
        </w:rPr>
        <w:t>“es necesario señalar que por error voluntario se adjuntó como parte de la respuesta Acta de la Quinta Sesión Extraordinaria del Comité de Transparencia; por tal motivo y haciendo propicia la ocasión se adjunta Acta de la Sexta Sesión Extraordinaria del Comité de Transparencia, siendo este el documento soporte para la clasificación de la información considerada como confidencial por contener datos personales y la versión pública del mismo.”</w:t>
      </w:r>
    </w:p>
    <w:p w:rsidR="00406415" w:rsidRPr="00B22AA2" w:rsidRDefault="002840B0" w:rsidP="002840B0">
      <w:pPr>
        <w:pStyle w:val="Prrafodelista"/>
        <w:spacing w:line="360" w:lineRule="auto"/>
        <w:jc w:val="both"/>
        <w:rPr>
          <w:rFonts w:ascii="Palatino Linotype" w:hAnsi="Palatino Linotype"/>
          <w:i/>
          <w:color w:val="000000"/>
          <w:sz w:val="22"/>
          <w:szCs w:val="22"/>
        </w:rPr>
      </w:pPr>
      <w:r w:rsidRPr="00B22AA2">
        <w:rPr>
          <w:rFonts w:ascii="Palatino Linotype" w:hAnsi="Palatino Linotype"/>
          <w:i/>
          <w:color w:val="000000"/>
          <w:sz w:val="22"/>
          <w:szCs w:val="22"/>
        </w:rPr>
        <w:t>“En virtud de lo anterior, el Acta de Sexta Sesión Extraordinaria consta la exposición de motivos considerados para suprimir los datos personales, considerando que el hecho de hacer visible el código QR cono la cadena la cadena original, estos datos pueden ser consultados mediante un dispositivo y a su vez redireccionar al RFC del titular, considerando que al dejarlo visible se puede hacer mal uso del dato personal.”</w:t>
      </w:r>
    </w:p>
    <w:p w:rsidR="00DA7CD1" w:rsidRPr="00B22AA2" w:rsidRDefault="00DA7CD1" w:rsidP="00DA7CD1">
      <w:pPr>
        <w:pStyle w:val="Prrafodelista"/>
        <w:spacing w:line="360" w:lineRule="auto"/>
        <w:jc w:val="both"/>
        <w:rPr>
          <w:rFonts w:ascii="Palatino Linotype" w:hAnsi="Palatino Linotype"/>
          <w:sz w:val="22"/>
          <w:szCs w:val="22"/>
        </w:rPr>
      </w:pPr>
    </w:p>
    <w:p w:rsidR="00406415" w:rsidRPr="00B22AA2" w:rsidRDefault="00DD4A3B" w:rsidP="002840B0">
      <w:pPr>
        <w:pStyle w:val="Prrafodelista"/>
        <w:numPr>
          <w:ilvl w:val="0"/>
          <w:numId w:val="6"/>
        </w:numPr>
        <w:spacing w:line="360" w:lineRule="auto"/>
        <w:jc w:val="both"/>
        <w:rPr>
          <w:rFonts w:ascii="Palatino Linotype" w:hAnsi="Palatino Linotype"/>
          <w:color w:val="000000"/>
          <w:szCs w:val="22"/>
        </w:rPr>
      </w:pPr>
      <w:hyperlink r:id="rId11" w:history="1">
        <w:r w:rsidR="00DA7CD1" w:rsidRPr="00B22AA2">
          <w:rPr>
            <w:rStyle w:val="Hipervnculo"/>
            <w:rFonts w:ascii="Palatino Linotype" w:hAnsi="Palatino Linotype" w:cs="Arial"/>
            <w:b/>
            <w:bCs/>
            <w:color w:val="auto"/>
            <w:sz w:val="22"/>
            <w:szCs w:val="22"/>
          </w:rPr>
          <w:t>SEXTA SESION EXTRAORDINARIA.pdf</w:t>
        </w:r>
      </w:hyperlink>
      <w:r w:rsidR="00DA7CD1" w:rsidRPr="00B22AA2">
        <w:rPr>
          <w:rFonts w:ascii="Palatino Linotype" w:hAnsi="Palatino Linotype"/>
          <w:sz w:val="22"/>
          <w:szCs w:val="22"/>
        </w:rPr>
        <w:t xml:space="preserve">: </w:t>
      </w:r>
      <w:r w:rsidR="002840B0" w:rsidRPr="00B22AA2">
        <w:rPr>
          <w:rFonts w:ascii="Palatino Linotype" w:hAnsi="Palatino Linotype"/>
          <w:sz w:val="22"/>
          <w:szCs w:val="22"/>
        </w:rPr>
        <w:t>acta de la secta sesión extraordinaria del Comité de Transparencia de Ixtapan de la Sal.</w:t>
      </w:r>
      <w:r w:rsidR="00612B1C" w:rsidRPr="00B22AA2">
        <w:rPr>
          <w:rFonts w:ascii="Palatino Linotype" w:hAnsi="Palatino Linotype"/>
          <w:sz w:val="22"/>
          <w:szCs w:val="22"/>
        </w:rPr>
        <w:t xml:space="preserve"> </w:t>
      </w:r>
    </w:p>
    <w:p w:rsidR="002840B0" w:rsidRPr="00B22AA2" w:rsidRDefault="002840B0" w:rsidP="002840B0">
      <w:pPr>
        <w:pStyle w:val="Prrafodelista"/>
        <w:spacing w:line="360" w:lineRule="auto"/>
        <w:jc w:val="both"/>
        <w:rPr>
          <w:rFonts w:ascii="Palatino Linotype" w:hAnsi="Palatino Linotype"/>
          <w:color w:val="000000"/>
          <w:szCs w:val="22"/>
        </w:rPr>
      </w:pPr>
    </w:p>
    <w:p w:rsidR="00406415" w:rsidRPr="00B22AA2" w:rsidRDefault="00406415" w:rsidP="00406415">
      <w:pPr>
        <w:pStyle w:val="Prrafodelista"/>
        <w:numPr>
          <w:ilvl w:val="0"/>
          <w:numId w:val="1"/>
        </w:numPr>
        <w:spacing w:line="360" w:lineRule="auto"/>
        <w:ind w:left="0" w:firstLine="0"/>
        <w:jc w:val="both"/>
        <w:rPr>
          <w:rFonts w:ascii="Palatino Linotype" w:hAnsi="Palatino Linotype" w:cs="Tahoma"/>
        </w:rPr>
      </w:pPr>
      <w:r w:rsidRPr="00B22AA2">
        <w:rPr>
          <w:rFonts w:ascii="Palatino Linotype" w:eastAsia="Calibri" w:hAnsi="Palatino Linotype" w:cs="Arial"/>
          <w:lang w:val="es-ES"/>
        </w:rPr>
        <w:t xml:space="preserve">El </w:t>
      </w:r>
      <w:r w:rsidR="00284288" w:rsidRPr="00B22AA2">
        <w:rPr>
          <w:rFonts w:ascii="Palatino Linotype" w:eastAsia="Calibri" w:hAnsi="Palatino Linotype" w:cs="Arial"/>
          <w:lang w:val="es-ES"/>
        </w:rPr>
        <w:t xml:space="preserve">cuatro (04) de mayo </w:t>
      </w:r>
      <w:r w:rsidRPr="00B22AA2">
        <w:rPr>
          <w:rFonts w:ascii="Palatino Linotype" w:eastAsia="Calibri" w:hAnsi="Palatino Linotype" w:cs="Arial"/>
          <w:lang w:val="es-ES"/>
        </w:rPr>
        <w:t xml:space="preserve"> de dos mil veintidós, se notificó el acuerdo mediante el cual se aprobó la ampliación de plazo para resolver el recurso de revisión por un periodo de quince días hábiles.</w:t>
      </w:r>
    </w:p>
    <w:p w:rsidR="00284288" w:rsidRPr="00B22AA2" w:rsidRDefault="00284288" w:rsidP="00284288">
      <w:pPr>
        <w:pStyle w:val="Prrafodelista"/>
        <w:spacing w:line="360" w:lineRule="auto"/>
        <w:ind w:left="0"/>
        <w:jc w:val="both"/>
        <w:rPr>
          <w:rFonts w:ascii="Palatino Linotype" w:hAnsi="Palatino Linotype" w:cs="Tahoma"/>
        </w:rPr>
      </w:pPr>
    </w:p>
    <w:p w:rsidR="00284288" w:rsidRPr="00B22AA2" w:rsidRDefault="00284288" w:rsidP="00284288">
      <w:pPr>
        <w:pStyle w:val="Prrafodelista"/>
        <w:numPr>
          <w:ilvl w:val="0"/>
          <w:numId w:val="1"/>
        </w:numPr>
        <w:spacing w:line="360" w:lineRule="auto"/>
        <w:ind w:left="0" w:firstLine="0"/>
        <w:jc w:val="both"/>
        <w:rPr>
          <w:rFonts w:ascii="Palatino Linotype" w:hAnsi="Palatino Linotype"/>
          <w:color w:val="000000"/>
          <w:szCs w:val="22"/>
        </w:rPr>
      </w:pPr>
      <w:r w:rsidRPr="00B22AA2">
        <w:rPr>
          <w:rFonts w:ascii="Palatino Linotype" w:hAnsi="Palatino Linotype"/>
          <w:color w:val="000000"/>
          <w:szCs w:val="22"/>
        </w:rPr>
        <w:t xml:space="preserve">El </w:t>
      </w:r>
      <w:r w:rsidR="00B50920" w:rsidRPr="00B22AA2">
        <w:rPr>
          <w:rFonts w:ascii="Palatino Linotype" w:hAnsi="Palatino Linotype"/>
          <w:color w:val="000000"/>
          <w:szCs w:val="22"/>
        </w:rPr>
        <w:t>nueve (09) de mayo</w:t>
      </w:r>
      <w:r w:rsidRPr="00B22AA2">
        <w:rPr>
          <w:rFonts w:ascii="Palatino Linotype" w:hAnsi="Palatino Linotype"/>
          <w:color w:val="000000"/>
          <w:szCs w:val="22"/>
        </w:rPr>
        <w:t xml:space="preserve"> de dos mil veintidós, se notificó el acuerdo mediante el cual se dio por concluido el periodo de instrucción. </w:t>
      </w:r>
    </w:p>
    <w:p w:rsidR="00DA7CD1" w:rsidRPr="00B22AA2" w:rsidRDefault="00DA7CD1" w:rsidP="00DA7CD1">
      <w:pPr>
        <w:pStyle w:val="Prrafodelista"/>
        <w:spacing w:line="360" w:lineRule="auto"/>
        <w:ind w:left="0"/>
        <w:jc w:val="both"/>
        <w:rPr>
          <w:rFonts w:ascii="Palatino Linotype" w:hAnsi="Palatino Linotype" w:cs="Tahoma"/>
        </w:rPr>
      </w:pPr>
    </w:p>
    <w:p w:rsidR="00406415" w:rsidRPr="00B22AA2" w:rsidRDefault="00406415" w:rsidP="00406415">
      <w:pPr>
        <w:pStyle w:val="Ttulo1"/>
        <w:spacing w:before="0" w:line="360" w:lineRule="auto"/>
        <w:jc w:val="center"/>
        <w:rPr>
          <w:szCs w:val="24"/>
        </w:rPr>
      </w:pPr>
      <w:bookmarkStart w:id="5" w:name="_Toc59195556"/>
      <w:bookmarkStart w:id="6" w:name="_Toc89360010"/>
      <w:r w:rsidRPr="00B22AA2">
        <w:rPr>
          <w:szCs w:val="24"/>
        </w:rPr>
        <w:t>CONSIDERANDO</w:t>
      </w:r>
      <w:bookmarkEnd w:id="5"/>
      <w:bookmarkEnd w:id="6"/>
    </w:p>
    <w:p w:rsidR="00406415" w:rsidRPr="00B22AA2" w:rsidRDefault="00406415" w:rsidP="00406415">
      <w:pPr>
        <w:pStyle w:val="Ttulo1"/>
        <w:spacing w:before="0" w:line="360" w:lineRule="auto"/>
        <w:jc w:val="center"/>
        <w:rPr>
          <w:szCs w:val="24"/>
        </w:rPr>
      </w:pPr>
      <w:r w:rsidRPr="00B22AA2">
        <w:rPr>
          <w:szCs w:val="24"/>
        </w:rPr>
        <w:t xml:space="preserve"> </w:t>
      </w:r>
    </w:p>
    <w:p w:rsidR="00406415" w:rsidRPr="00B22AA2" w:rsidRDefault="00406415" w:rsidP="00406415">
      <w:pPr>
        <w:pStyle w:val="Ttulo2"/>
        <w:spacing w:before="0" w:line="360" w:lineRule="auto"/>
        <w:rPr>
          <w:rFonts w:ascii="Palatino Linotype" w:hAnsi="Palatino Linotype"/>
          <w:b/>
          <w:color w:val="auto"/>
          <w:sz w:val="24"/>
        </w:rPr>
      </w:pPr>
      <w:bookmarkStart w:id="7" w:name="_Toc59195557"/>
      <w:bookmarkStart w:id="8" w:name="_Toc89360011"/>
      <w:r w:rsidRPr="00B22AA2">
        <w:rPr>
          <w:rFonts w:ascii="Palatino Linotype" w:hAnsi="Palatino Linotype"/>
          <w:b/>
          <w:color w:val="auto"/>
          <w:sz w:val="24"/>
        </w:rPr>
        <w:t>PRIMERO. De la competencia</w:t>
      </w:r>
      <w:bookmarkEnd w:id="7"/>
      <w:bookmarkEnd w:id="8"/>
    </w:p>
    <w:p w:rsidR="00406415" w:rsidRPr="00B22AA2" w:rsidRDefault="00406415" w:rsidP="00406415">
      <w:pPr>
        <w:spacing w:line="360" w:lineRule="auto"/>
        <w:rPr>
          <w:rFonts w:ascii="Palatino Linotype" w:hAnsi="Palatino Linotype"/>
          <w:lang w:val="es-MX" w:eastAsia="en-US"/>
        </w:rPr>
      </w:pPr>
    </w:p>
    <w:p w:rsidR="00406415" w:rsidRPr="00B22AA2" w:rsidRDefault="00406415" w:rsidP="00406415">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B22AA2">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22AA2">
        <w:rPr>
          <w:rFonts w:ascii="Palatino Linotype" w:eastAsia="Calibri" w:hAnsi="Palatino Linotype" w:cs="Times New Roman"/>
          <w:b/>
          <w:lang w:val="es-ES" w:eastAsia="es-MX"/>
        </w:rPr>
        <w:t>Constitución Política de los Estados Unidos Mexicanos</w:t>
      </w:r>
      <w:r w:rsidRPr="00B22AA2">
        <w:rPr>
          <w:rFonts w:ascii="Palatino Linotype" w:eastAsia="Calibri" w:hAnsi="Palatino Linotype" w:cs="Times New Roman"/>
          <w:lang w:val="es-ES" w:eastAsia="es-MX"/>
        </w:rPr>
        <w:t xml:space="preserve">; 5, </w:t>
      </w:r>
      <w:r w:rsidRPr="00B22AA2">
        <w:rPr>
          <w:rFonts w:ascii="Palatino Linotype" w:eastAsia="Calibri" w:hAnsi="Palatino Linotype" w:cs="Times New Roman"/>
          <w:lang w:val="es-MX" w:eastAsia="es-MX"/>
        </w:rPr>
        <w:t xml:space="preserve">párrafos trigésimo, trigésimo primero y trigésimo segundo, fracciones I, II, III, IV y V de la </w:t>
      </w:r>
      <w:r w:rsidRPr="00B22AA2">
        <w:rPr>
          <w:rFonts w:ascii="Palatino Linotype" w:eastAsia="Calibri" w:hAnsi="Palatino Linotype" w:cs="Times New Roman"/>
          <w:b/>
          <w:lang w:val="es-MX" w:eastAsia="es-MX"/>
        </w:rPr>
        <w:t>Constitución Política del Estado Libre y Soberano de México</w:t>
      </w:r>
      <w:r w:rsidRPr="00B22AA2">
        <w:rPr>
          <w:rFonts w:ascii="Palatino Linotype" w:eastAsia="Calibri" w:hAnsi="Palatino Linotype" w:cs="Times New Roman"/>
          <w:b/>
          <w:lang w:val="es-ES" w:eastAsia="es-MX"/>
        </w:rPr>
        <w:t>;</w:t>
      </w:r>
      <w:r w:rsidRPr="00B22AA2">
        <w:rPr>
          <w:rFonts w:ascii="Palatino Linotype" w:eastAsia="Calibri" w:hAnsi="Palatino Linotype" w:cs="Times New Roman"/>
          <w:lang w:val="es-ES" w:eastAsia="es-MX"/>
        </w:rPr>
        <w:t xml:space="preserve"> 1, 3 fracción I, 82, 97, 98, 119, 123, 124, 127, 128 y 133</w:t>
      </w:r>
      <w:r w:rsidRPr="00B22AA2">
        <w:rPr>
          <w:rFonts w:ascii="Palatino Linotype" w:eastAsia="Times New Roman" w:hAnsi="Palatino Linotype" w:cs="Arial"/>
          <w:lang w:val="es-ES" w:eastAsia="es-MX"/>
        </w:rPr>
        <w:t xml:space="preserve"> </w:t>
      </w:r>
      <w:r w:rsidRPr="00B22AA2">
        <w:rPr>
          <w:rFonts w:ascii="Palatino Linotype" w:eastAsia="Calibri" w:hAnsi="Palatino Linotype" w:cs="Times New Roman"/>
          <w:b/>
          <w:lang w:val="es-MX" w:eastAsia="es-MX"/>
        </w:rPr>
        <w:t>Ley de Protección de Datos Personales en Posesión de Sujetos Obligados del Estado de México y Municipios</w:t>
      </w:r>
      <w:r w:rsidRPr="00B22AA2">
        <w:rPr>
          <w:rFonts w:ascii="Palatino Linotype" w:eastAsia="Calibri" w:hAnsi="Palatino Linotype" w:cs="Arial"/>
          <w:lang w:val="es-ES" w:eastAsia="es-MX"/>
        </w:rPr>
        <w:t xml:space="preserve">; y 10, 7, 9 fracciones I y XXIV, y 11 del </w:t>
      </w:r>
      <w:r w:rsidRPr="00B22AA2">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406415" w:rsidRPr="00B22AA2" w:rsidRDefault="00406415" w:rsidP="00406415">
      <w:pPr>
        <w:spacing w:line="360" w:lineRule="auto"/>
        <w:contextualSpacing/>
        <w:jc w:val="both"/>
        <w:rPr>
          <w:rFonts w:ascii="Palatino Linotype" w:eastAsia="Times New Roman" w:hAnsi="Palatino Linotype" w:cs="Times New Roman"/>
          <w:lang w:val="es-MX" w:eastAsia="es-MX"/>
        </w:rPr>
      </w:pPr>
    </w:p>
    <w:p w:rsidR="00406415" w:rsidRPr="00B22AA2" w:rsidRDefault="00406415" w:rsidP="00406415">
      <w:pPr>
        <w:pStyle w:val="Ttulo2"/>
        <w:spacing w:before="0" w:line="360" w:lineRule="auto"/>
        <w:rPr>
          <w:rFonts w:ascii="Palatino Linotype" w:hAnsi="Palatino Linotype"/>
          <w:b/>
          <w:color w:val="auto"/>
          <w:sz w:val="24"/>
          <w:szCs w:val="24"/>
        </w:rPr>
      </w:pPr>
      <w:r w:rsidRPr="00B22AA2">
        <w:rPr>
          <w:rFonts w:ascii="Palatino Linotype" w:hAnsi="Palatino Linotype"/>
          <w:b/>
          <w:color w:val="auto"/>
          <w:sz w:val="24"/>
          <w:szCs w:val="24"/>
        </w:rPr>
        <w:t>SEGUNDO. De la oportunidad y procedencia.</w:t>
      </w:r>
      <w:bookmarkEnd w:id="9"/>
      <w:bookmarkEnd w:id="10"/>
    </w:p>
    <w:p w:rsidR="00406415" w:rsidRPr="00B22AA2" w:rsidRDefault="00406415" w:rsidP="00406415">
      <w:pPr>
        <w:rPr>
          <w:lang w:val="es-MX" w:eastAsia="en-US"/>
        </w:rPr>
      </w:pPr>
    </w:p>
    <w:p w:rsidR="00406415" w:rsidRPr="00B22AA2" w:rsidRDefault="00406415" w:rsidP="00406415">
      <w:pPr>
        <w:pStyle w:val="Prrafodelista"/>
        <w:numPr>
          <w:ilvl w:val="0"/>
          <w:numId w:val="1"/>
        </w:numPr>
        <w:spacing w:line="360" w:lineRule="auto"/>
        <w:ind w:left="0" w:right="49" w:firstLine="0"/>
        <w:jc w:val="both"/>
        <w:rPr>
          <w:rFonts w:ascii="Palatino Linotype" w:hAnsi="Palatino Linotype"/>
        </w:rPr>
      </w:pPr>
      <w:r w:rsidRPr="00B22AA2">
        <w:rPr>
          <w:rFonts w:ascii="Palatino Linotype" w:eastAsia="Calibri" w:hAnsi="Palatino Linotype" w:cs="Arial"/>
        </w:rPr>
        <w:t xml:space="preserve">Los medios de impugnación fueron presentados a través del </w:t>
      </w:r>
      <w:r w:rsidRPr="00B22AA2">
        <w:rPr>
          <w:rFonts w:ascii="Palatino Linotype" w:eastAsia="Calibri" w:hAnsi="Palatino Linotype" w:cs="Arial"/>
          <w:b/>
        </w:rPr>
        <w:t>SAIMEX,</w:t>
      </w:r>
      <w:r w:rsidRPr="00B22AA2">
        <w:rPr>
          <w:rFonts w:ascii="Palatino Linotype" w:eastAsia="Calibri" w:hAnsi="Palatino Linotype" w:cs="Arial"/>
        </w:rPr>
        <w:t xml:space="preserve"> en el formato previamente aprobado para tal efecto y dentro del plazo legal de quince días hábiles otorgados; siendo así que el </w:t>
      </w:r>
      <w:r w:rsidRPr="00B22AA2">
        <w:rPr>
          <w:rFonts w:ascii="Palatino Linotype" w:eastAsia="Calibri" w:hAnsi="Palatino Linotype" w:cs="Arial"/>
          <w:b/>
        </w:rPr>
        <w:t>SUJETO OBLIGADO</w:t>
      </w:r>
      <w:r w:rsidRPr="00B22AA2">
        <w:rPr>
          <w:rFonts w:ascii="Palatino Linotype" w:eastAsia="Calibri" w:hAnsi="Palatino Linotype" w:cs="Arial"/>
        </w:rPr>
        <w:t xml:space="preserve"> entregó respuesta el </w:t>
      </w:r>
      <w:r w:rsidR="00B50920" w:rsidRPr="00B22AA2">
        <w:rPr>
          <w:rFonts w:ascii="Palatino Linotype" w:eastAsia="Calibri" w:hAnsi="Palatino Linotype" w:cs="Arial"/>
        </w:rPr>
        <w:t>veintidós (22</w:t>
      </w:r>
      <w:r w:rsidRPr="00B22AA2">
        <w:rPr>
          <w:rFonts w:ascii="Palatino Linotype" w:eastAsia="Calibri" w:hAnsi="Palatino Linotype" w:cs="Arial"/>
        </w:rPr>
        <w:t xml:space="preserve">) de febrero de dos mil veintidós, </w:t>
      </w:r>
      <w:r w:rsidRPr="00B22AA2">
        <w:rPr>
          <w:rFonts w:ascii="Palatino Linotype" w:hAnsi="Palatino Linotype" w:cs="Arial"/>
        </w:rPr>
        <w:t xml:space="preserve">de tal forma que el plazo para interponer el recurso de revisión transcurrió del </w:t>
      </w:r>
      <w:r w:rsidR="00B50920" w:rsidRPr="00B22AA2">
        <w:rPr>
          <w:rFonts w:ascii="Palatino Linotype" w:hAnsi="Palatino Linotype" w:cs="Arial"/>
        </w:rPr>
        <w:t>veintitrés (23</w:t>
      </w:r>
      <w:r w:rsidRPr="00B22AA2">
        <w:rPr>
          <w:rFonts w:ascii="Palatino Linotype" w:hAnsi="Palatino Linotype" w:cs="Arial"/>
        </w:rPr>
        <w:t>) de febrero</w:t>
      </w:r>
      <w:r w:rsidR="00B50920" w:rsidRPr="00B22AA2">
        <w:rPr>
          <w:rFonts w:ascii="Palatino Linotype" w:hAnsi="Palatino Linotype" w:cs="Arial"/>
        </w:rPr>
        <w:t xml:space="preserve">  al dieciséis (16</w:t>
      </w:r>
      <w:r w:rsidRPr="00B22AA2">
        <w:rPr>
          <w:rFonts w:ascii="Palatino Linotype" w:hAnsi="Palatino Linotype" w:cs="Arial"/>
        </w:rPr>
        <w:t xml:space="preserve">) de marzo  de dos mil veintidós; en consecuencia, presentó su </w:t>
      </w:r>
      <w:r w:rsidRPr="00B22AA2">
        <w:rPr>
          <w:rFonts w:ascii="Palatino Linotype" w:hAnsi="Palatino Linotype" w:cs="Arial"/>
        </w:rPr>
        <w:lastRenderedPageBreak/>
        <w:t xml:space="preserve">inconformidad el día </w:t>
      </w:r>
      <w:r w:rsidR="00B50920" w:rsidRPr="00B22AA2">
        <w:rPr>
          <w:rFonts w:ascii="Palatino Linotype" w:hAnsi="Palatino Linotype" w:cs="Arial"/>
        </w:rPr>
        <w:t>veintidós (22</w:t>
      </w:r>
      <w:r w:rsidRPr="00B22AA2">
        <w:rPr>
          <w:rFonts w:ascii="Palatino Linotype" w:hAnsi="Palatino Linotype" w:cs="Arial"/>
        </w:rPr>
        <w:t xml:space="preserve">) de febrero de dos mil veintidós, por lo que se encuentra dentro de los márgenes temporales previstos en el artículo 178 de la </w:t>
      </w:r>
      <w:r w:rsidRPr="00B22AA2">
        <w:rPr>
          <w:rFonts w:ascii="Palatino Linotype" w:hAnsi="Palatino Linotype" w:cs="Arial"/>
          <w:b/>
        </w:rPr>
        <w:t>Ley de Transparencia y Acceso a la Información Pública del Estado de México y Municipios vigente.</w:t>
      </w:r>
    </w:p>
    <w:p w:rsidR="00406415" w:rsidRPr="00B22AA2" w:rsidRDefault="00406415" w:rsidP="00406415">
      <w:pPr>
        <w:pStyle w:val="Prrafodelista"/>
        <w:spacing w:line="360" w:lineRule="auto"/>
        <w:ind w:left="0" w:right="49"/>
        <w:jc w:val="both"/>
        <w:rPr>
          <w:rFonts w:ascii="Palatino Linotype" w:hAnsi="Palatino Linotype"/>
        </w:rPr>
      </w:pPr>
    </w:p>
    <w:p w:rsidR="00406415" w:rsidRPr="00B22AA2" w:rsidRDefault="00406415" w:rsidP="00406415">
      <w:pPr>
        <w:numPr>
          <w:ilvl w:val="0"/>
          <w:numId w:val="1"/>
        </w:numPr>
        <w:spacing w:line="360" w:lineRule="auto"/>
        <w:ind w:left="0" w:firstLine="0"/>
        <w:contextualSpacing/>
        <w:jc w:val="both"/>
        <w:rPr>
          <w:rFonts w:ascii="Palatino Linotype" w:eastAsia="Calibri" w:hAnsi="Palatino Linotype" w:cs="Arial"/>
        </w:rPr>
      </w:pPr>
      <w:r w:rsidRPr="00B22AA2">
        <w:rPr>
          <w:rFonts w:ascii="Palatino Linotype" w:eastAsia="Calibri" w:hAnsi="Palatino Linotype" w:cs="Arial"/>
        </w:rPr>
        <w:t xml:space="preserve">Por otra parte, de la revisión al expediente electrónico del </w:t>
      </w:r>
      <w:r w:rsidRPr="00B22AA2">
        <w:rPr>
          <w:rFonts w:ascii="Palatino Linotype" w:eastAsia="Calibri" w:hAnsi="Palatino Linotype" w:cs="Arial"/>
          <w:b/>
        </w:rPr>
        <w:t>SAIMEX</w:t>
      </w:r>
      <w:r w:rsidRPr="00B22AA2">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06415" w:rsidRPr="00B22AA2" w:rsidRDefault="00406415" w:rsidP="00406415">
      <w:pPr>
        <w:pStyle w:val="Prrafodelista"/>
        <w:ind w:left="0"/>
        <w:rPr>
          <w:rFonts w:ascii="Palatino Linotype" w:eastAsia="Calibri" w:hAnsi="Palatino Linotype" w:cs="Arial"/>
        </w:rPr>
      </w:pPr>
    </w:p>
    <w:p w:rsidR="00406415" w:rsidRPr="00B22AA2" w:rsidRDefault="00406415" w:rsidP="00406415">
      <w:pPr>
        <w:numPr>
          <w:ilvl w:val="0"/>
          <w:numId w:val="1"/>
        </w:numPr>
        <w:spacing w:line="360" w:lineRule="auto"/>
        <w:ind w:left="0" w:firstLine="0"/>
        <w:contextualSpacing/>
        <w:jc w:val="both"/>
        <w:rPr>
          <w:rFonts w:ascii="Palatino Linotype" w:eastAsia="Calibri" w:hAnsi="Palatino Linotype" w:cs="Arial"/>
        </w:rPr>
      </w:pPr>
      <w:r w:rsidRPr="00B22AA2">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B22AA2">
        <w:rPr>
          <w:rFonts w:ascii="Palatino Linotype" w:eastAsia="Calibri" w:hAnsi="Palatino Linotype" w:cs="Arial"/>
          <w:bCs/>
          <w:lang w:val="es-ES"/>
        </w:rPr>
        <w:t>5, párrafos vigésimo, vigésimo primero y vigésimo segúndo fracciones IV y V </w:t>
      </w:r>
      <w:r w:rsidRPr="00B22AA2">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06415" w:rsidRPr="00B22AA2" w:rsidRDefault="00406415" w:rsidP="00406415">
      <w:pPr>
        <w:pStyle w:val="Prrafodelista"/>
        <w:ind w:left="0"/>
        <w:rPr>
          <w:rFonts w:ascii="Palatino Linotype" w:eastAsia="Calibri" w:hAnsi="Palatino Linotype" w:cs="Arial"/>
        </w:rPr>
      </w:pPr>
    </w:p>
    <w:p w:rsidR="00406415" w:rsidRPr="00B22AA2" w:rsidRDefault="00406415" w:rsidP="00406415">
      <w:pPr>
        <w:numPr>
          <w:ilvl w:val="0"/>
          <w:numId w:val="1"/>
        </w:numPr>
        <w:spacing w:line="360" w:lineRule="auto"/>
        <w:ind w:left="0" w:firstLine="0"/>
        <w:contextualSpacing/>
        <w:jc w:val="both"/>
        <w:rPr>
          <w:rFonts w:ascii="Palatino Linotype" w:eastAsia="Calibri" w:hAnsi="Palatino Linotype" w:cs="Arial"/>
        </w:rPr>
      </w:pPr>
      <w:r w:rsidRPr="00B22AA2">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06415" w:rsidRPr="00B22AA2" w:rsidRDefault="00406415" w:rsidP="00406415">
      <w:pPr>
        <w:pStyle w:val="Prrafodelista"/>
        <w:ind w:left="0"/>
        <w:rPr>
          <w:rFonts w:ascii="Palatino Linotype" w:eastAsia="Calibri" w:hAnsi="Palatino Linotype" w:cs="Arial"/>
        </w:rPr>
      </w:pPr>
    </w:p>
    <w:p w:rsidR="00406415" w:rsidRPr="00B22AA2" w:rsidRDefault="00406415" w:rsidP="00406415">
      <w:pPr>
        <w:numPr>
          <w:ilvl w:val="0"/>
          <w:numId w:val="1"/>
        </w:numPr>
        <w:spacing w:line="360" w:lineRule="auto"/>
        <w:ind w:left="0" w:firstLine="0"/>
        <w:contextualSpacing/>
        <w:jc w:val="both"/>
        <w:rPr>
          <w:rFonts w:ascii="Palatino Linotype" w:eastAsia="Calibri" w:hAnsi="Palatino Linotype" w:cs="Arial"/>
        </w:rPr>
      </w:pPr>
      <w:r w:rsidRPr="00B22AA2">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06415" w:rsidRPr="00B22AA2" w:rsidRDefault="00406415" w:rsidP="00406415">
      <w:pPr>
        <w:pStyle w:val="Prrafodelista"/>
        <w:ind w:left="0"/>
        <w:rPr>
          <w:rFonts w:ascii="Palatino Linotype" w:eastAsia="Calibri" w:hAnsi="Palatino Linotype" w:cs="Arial"/>
        </w:rPr>
      </w:pPr>
    </w:p>
    <w:p w:rsidR="00406415" w:rsidRPr="00B22AA2" w:rsidRDefault="00406415" w:rsidP="00406415">
      <w:pPr>
        <w:numPr>
          <w:ilvl w:val="0"/>
          <w:numId w:val="1"/>
        </w:numPr>
        <w:spacing w:line="360" w:lineRule="auto"/>
        <w:ind w:left="0" w:firstLine="0"/>
        <w:contextualSpacing/>
        <w:jc w:val="both"/>
        <w:rPr>
          <w:rFonts w:ascii="Palatino Linotype" w:eastAsia="Calibri" w:hAnsi="Palatino Linotype" w:cs="Arial"/>
        </w:rPr>
      </w:pPr>
      <w:r w:rsidRPr="00B22AA2">
        <w:rPr>
          <w:rFonts w:ascii="Palatino Linotype" w:eastAsia="Calibri" w:hAnsi="Palatino Linotype" w:cs="Aria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50920" w:rsidRPr="00B22AA2" w:rsidRDefault="00B50920" w:rsidP="00B50920">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B22AA2">
        <w:rPr>
          <w:rFonts w:ascii="Palatino Linotype" w:eastAsia="Times New Roman" w:hAnsi="Palatino Linotype" w:cs="Arial"/>
          <w:bCs/>
          <w:color w:val="000000"/>
          <w:lang w:eastAsia="es-MX"/>
        </w:rPr>
        <w:t xml:space="preserve">Por otra parte,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w:t>
      </w:r>
      <w:r w:rsidRPr="00B22AA2">
        <w:rPr>
          <w:rFonts w:ascii="Palatino Linotype" w:eastAsia="Times New Roman" w:hAnsi="Palatino Linotype" w:cs="Arial"/>
          <w:bCs/>
          <w:color w:val="000000"/>
          <w:lang w:eastAsia="es-MX"/>
        </w:rPr>
        <w:lastRenderedPageBreak/>
        <w:t>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B50920" w:rsidRPr="00B22AA2" w:rsidRDefault="00B50920" w:rsidP="00B50920">
      <w:pPr>
        <w:pStyle w:val="Prrafodelista"/>
        <w:rPr>
          <w:rFonts w:ascii="Palatino Linotype" w:eastAsia="Times New Roman" w:hAnsi="Palatino Linotype" w:cs="Arial"/>
        </w:rPr>
      </w:pPr>
    </w:p>
    <w:p w:rsidR="00B50920" w:rsidRPr="00B22AA2" w:rsidRDefault="00B50920" w:rsidP="00B50920">
      <w:pPr>
        <w:pStyle w:val="Prrafodelista"/>
        <w:numPr>
          <w:ilvl w:val="0"/>
          <w:numId w:val="1"/>
        </w:numPr>
        <w:spacing w:before="240" w:after="240" w:line="360" w:lineRule="auto"/>
        <w:ind w:left="0" w:firstLine="0"/>
        <w:jc w:val="both"/>
        <w:rPr>
          <w:rFonts w:ascii="Palatino Linotype" w:eastAsia="Times New Roman" w:hAnsi="Palatino Linotype" w:cs="Arial"/>
        </w:rPr>
      </w:pPr>
      <w:r w:rsidRPr="00B22AA2">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r w:rsidRPr="00B22AA2">
        <w:rPr>
          <w:rFonts w:ascii="Palatino Linotype" w:eastAsia="Times New Roman"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r w:rsidRPr="00B22AA2">
        <w:rPr>
          <w:rFonts w:ascii="Palatino Linotype" w:eastAsia="Times New Roman" w:hAnsi="Palatino Linotype" w:cs="Arial"/>
          <w:i/>
          <w:sz w:val="22"/>
        </w:rPr>
        <w:t xml:space="preserve"> 1a./J. 41/2015 (10a.) </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r w:rsidRPr="00B22AA2">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r w:rsidRPr="00B22AA2">
        <w:rPr>
          <w:rFonts w:ascii="Palatino Linotype" w:eastAsia="Times New Roman" w:hAnsi="Palatino Linotype" w:cs="Arial"/>
          <w:i/>
          <w:sz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r w:rsidRPr="00B22AA2">
        <w:rPr>
          <w:rFonts w:ascii="Palatino Linotype" w:eastAsia="Times New Roman"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r w:rsidRPr="00B22AA2">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r w:rsidRPr="00B22AA2">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Arial"/>
          <w:i/>
          <w:sz w:val="22"/>
        </w:rPr>
      </w:pPr>
    </w:p>
    <w:p w:rsidR="00B50920" w:rsidRPr="00B22AA2" w:rsidRDefault="00B50920" w:rsidP="00B50920">
      <w:pPr>
        <w:spacing w:before="240" w:after="240" w:line="360" w:lineRule="auto"/>
        <w:ind w:left="851" w:right="616"/>
        <w:contextualSpacing/>
        <w:jc w:val="both"/>
        <w:rPr>
          <w:rFonts w:ascii="Palatino Linotype" w:eastAsia="Times New Roman" w:hAnsi="Palatino Linotype" w:cs="Times New Roman"/>
          <w:i/>
          <w:sz w:val="22"/>
        </w:rPr>
      </w:pPr>
      <w:r w:rsidRPr="00B22AA2">
        <w:rPr>
          <w:rFonts w:ascii="Palatino Linotype" w:eastAsia="Times New Roman" w:hAnsi="Palatino Linotype" w:cs="Arial"/>
          <w:i/>
          <w:sz w:val="22"/>
        </w:rPr>
        <w:t>Tesis de jurisprudencia 41/2015 (10a.). Aprobada por la Primera Sala de este Alto Tribunal, en sesión privada de veintisiete de mayo de dos mil quince.</w:t>
      </w:r>
    </w:p>
    <w:p w:rsidR="00B50920" w:rsidRPr="00B22AA2" w:rsidRDefault="00B50920" w:rsidP="00B50920">
      <w:pPr>
        <w:pStyle w:val="Prrafodelista"/>
        <w:spacing w:before="240" w:after="240" w:line="360" w:lineRule="auto"/>
        <w:ind w:left="0" w:right="49"/>
        <w:jc w:val="both"/>
        <w:rPr>
          <w:rFonts w:ascii="Palatino Linotype" w:hAnsi="Palatino Linotype"/>
        </w:rPr>
      </w:pPr>
    </w:p>
    <w:p w:rsidR="00B50920" w:rsidRPr="00B22AA2" w:rsidRDefault="00B50920" w:rsidP="00B50920">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B22AA2">
        <w:rPr>
          <w:rFonts w:ascii="Palatino Linotype" w:hAnsi="Palatino Linotype"/>
          <w:lang w:val="es-MX"/>
        </w:rPr>
        <w:lastRenderedPageBreak/>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B50920" w:rsidRPr="00B22AA2" w:rsidRDefault="00B50920" w:rsidP="00B50920">
      <w:pPr>
        <w:pStyle w:val="Prrafodelista"/>
        <w:spacing w:before="240" w:after="240" w:line="360" w:lineRule="auto"/>
        <w:ind w:left="0" w:right="49"/>
        <w:jc w:val="both"/>
        <w:rPr>
          <w:rFonts w:ascii="Palatino Linotype" w:hAnsi="Palatino Linotype" w:cs="Arial"/>
          <w:i/>
          <w:sz w:val="22"/>
          <w:szCs w:val="20"/>
        </w:rPr>
      </w:pPr>
    </w:p>
    <w:p w:rsidR="00B50920" w:rsidRPr="00B22AA2" w:rsidRDefault="00B50920" w:rsidP="00B50920">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B22AA2">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B50920" w:rsidRPr="00B22AA2" w:rsidRDefault="00B50920" w:rsidP="00B50920">
      <w:pPr>
        <w:pStyle w:val="Prrafodelista"/>
        <w:rPr>
          <w:rFonts w:ascii="Palatino Linotype" w:hAnsi="Palatino Linotype" w:cs="Arial"/>
          <w:i/>
          <w:sz w:val="22"/>
          <w:szCs w:val="20"/>
        </w:rPr>
      </w:pPr>
    </w:p>
    <w:p w:rsidR="00B50920" w:rsidRPr="00B22AA2" w:rsidRDefault="00B50920" w:rsidP="00B50920">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B22AA2">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22AA2">
        <w:rPr>
          <w:rFonts w:ascii="Palatino Linotype" w:hAnsi="Palatino Linotype"/>
          <w:b/>
          <w:lang w:val="es-MX"/>
        </w:rPr>
        <w:t>SUJETO OBLIGADO</w:t>
      </w:r>
      <w:r w:rsidRPr="00B22AA2">
        <w:rPr>
          <w:rFonts w:ascii="Palatino Linotype" w:hAnsi="Palatino Linotype"/>
          <w:lang w:val="es-MX"/>
        </w:rPr>
        <w:t>.</w:t>
      </w:r>
    </w:p>
    <w:p w:rsidR="00406415" w:rsidRPr="00B22AA2" w:rsidRDefault="00406415" w:rsidP="00406415">
      <w:pPr>
        <w:pStyle w:val="Prrafodelista"/>
        <w:spacing w:line="360" w:lineRule="auto"/>
        <w:ind w:left="0" w:right="49"/>
        <w:jc w:val="both"/>
        <w:rPr>
          <w:rFonts w:ascii="Palatino Linotype" w:hAnsi="Palatino Linotype"/>
        </w:rPr>
      </w:pPr>
    </w:p>
    <w:p w:rsidR="00406415" w:rsidRPr="00B22AA2" w:rsidRDefault="00B50920" w:rsidP="00406415">
      <w:pPr>
        <w:pStyle w:val="Prrafodelista"/>
        <w:numPr>
          <w:ilvl w:val="0"/>
          <w:numId w:val="1"/>
        </w:numPr>
        <w:spacing w:line="360" w:lineRule="auto"/>
        <w:ind w:left="0" w:right="49" w:firstLine="0"/>
        <w:jc w:val="both"/>
        <w:rPr>
          <w:rFonts w:ascii="Palatino Linotype" w:hAnsi="Palatino Linotype"/>
        </w:rPr>
      </w:pPr>
      <w:r w:rsidRPr="00B22AA2">
        <w:rPr>
          <w:rFonts w:ascii="Palatino Linotype" w:eastAsia="Calibri" w:hAnsi="Palatino Linotype" w:cs="Arial"/>
        </w:rPr>
        <w:t>Finalmente</w:t>
      </w:r>
      <w:r w:rsidR="00406415" w:rsidRPr="00B22AA2">
        <w:rPr>
          <w:rFonts w:ascii="Palatino Linotype" w:eastAsia="Calibri" w:hAnsi="Palatino Linotype" w:cs="Arial"/>
        </w:rPr>
        <w:t>,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06415" w:rsidRPr="00B22AA2" w:rsidRDefault="00406415" w:rsidP="00406415">
      <w:pPr>
        <w:pStyle w:val="Prrafodelista"/>
        <w:spacing w:line="360" w:lineRule="auto"/>
        <w:ind w:left="0" w:right="49"/>
        <w:jc w:val="both"/>
        <w:rPr>
          <w:rFonts w:ascii="Palatino Linotype" w:hAnsi="Palatino Linotype"/>
        </w:rPr>
      </w:pPr>
    </w:p>
    <w:p w:rsidR="00406415" w:rsidRPr="00B22AA2" w:rsidRDefault="00406415" w:rsidP="00406415">
      <w:pPr>
        <w:pStyle w:val="Prrafodelista"/>
        <w:spacing w:line="360" w:lineRule="auto"/>
        <w:ind w:left="0" w:right="49"/>
        <w:jc w:val="both"/>
        <w:rPr>
          <w:rFonts w:ascii="Palatino Linotype" w:hAnsi="Palatino Linotype"/>
        </w:rPr>
      </w:pPr>
    </w:p>
    <w:p w:rsidR="00406415" w:rsidRPr="00B22AA2" w:rsidRDefault="00406415" w:rsidP="00406415">
      <w:pPr>
        <w:pStyle w:val="Ttulo1"/>
        <w:spacing w:before="0" w:line="360" w:lineRule="auto"/>
      </w:pPr>
      <w:bookmarkStart w:id="11" w:name="_Toc59195559"/>
      <w:bookmarkStart w:id="12" w:name="_Toc89360013"/>
      <w:r w:rsidRPr="00B22AA2">
        <w:lastRenderedPageBreak/>
        <w:t>TERCERO. Planteamiento de la Litis.</w:t>
      </w:r>
      <w:bookmarkEnd w:id="11"/>
      <w:bookmarkEnd w:id="12"/>
    </w:p>
    <w:p w:rsidR="00406415" w:rsidRPr="00B22AA2" w:rsidRDefault="00406415" w:rsidP="00406415">
      <w:pPr>
        <w:rPr>
          <w:lang w:val="es-MX" w:eastAsia="en-US"/>
        </w:rPr>
      </w:pPr>
    </w:p>
    <w:p w:rsidR="00406415" w:rsidRPr="00B22AA2" w:rsidRDefault="00406415" w:rsidP="00406415">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bCs/>
        </w:rPr>
        <w:t xml:space="preserve">El recurrente solicitó </w:t>
      </w:r>
      <w:r w:rsidR="00DB139B" w:rsidRPr="00B22AA2">
        <w:rPr>
          <w:rFonts w:ascii="Palatino Linotype" w:hAnsi="Palatino Linotype"/>
          <w:bCs/>
        </w:rPr>
        <w:t xml:space="preserve">los CFDI del Director General y de los Subdirectores del Organismo Público Descentralizado para la Prestación de los Servicios  de Agua Potable, Alcantarillado y Saneamiento del Municipio de Ixtapan de la Sal de la primera quincena del mes de enero de dos mil veintidós. </w:t>
      </w:r>
    </w:p>
    <w:p w:rsidR="00406415" w:rsidRPr="00B22AA2" w:rsidRDefault="00406415" w:rsidP="00406415">
      <w:pPr>
        <w:widowControl w:val="0"/>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rsidR="00DB139B" w:rsidRPr="00B22AA2" w:rsidRDefault="00406415" w:rsidP="00DB139B">
      <w:pPr>
        <w:pStyle w:val="Prrafodelista"/>
        <w:numPr>
          <w:ilvl w:val="0"/>
          <w:numId w:val="1"/>
        </w:numPr>
        <w:spacing w:line="360" w:lineRule="auto"/>
        <w:ind w:left="0" w:right="49" w:firstLine="0"/>
        <w:jc w:val="both"/>
        <w:rPr>
          <w:rFonts w:ascii="Palatino Linotype" w:hAnsi="Palatino Linotype"/>
          <w:b/>
          <w:bCs/>
          <w:lang w:val="es-ES"/>
        </w:rPr>
      </w:pPr>
      <w:r w:rsidRPr="00B22AA2">
        <w:rPr>
          <w:rFonts w:ascii="Palatino Linotype" w:hAnsi="Palatino Linotype"/>
          <w:bCs/>
        </w:rPr>
        <w:t xml:space="preserve">En respuesta, el Sujeto Obligado adjuntó </w:t>
      </w:r>
      <w:r w:rsidR="00DB139B" w:rsidRPr="00B22AA2">
        <w:rPr>
          <w:rFonts w:ascii="Palatino Linotype" w:hAnsi="Palatino Linotype"/>
          <w:bCs/>
        </w:rPr>
        <w:t xml:space="preserve">tres recibos de nómina pertenecientes al Director General, Subdirector de Ingeniería y Subdirector de Administración y Finanzas referentes a la primera quincena del mes de enero de dos mil veintidós. </w:t>
      </w:r>
    </w:p>
    <w:p w:rsidR="00406415" w:rsidRPr="00B22AA2" w:rsidRDefault="00406415" w:rsidP="00406415">
      <w:pPr>
        <w:pStyle w:val="Prrafodelista"/>
        <w:spacing w:line="360" w:lineRule="auto"/>
        <w:ind w:left="0" w:right="49"/>
        <w:jc w:val="both"/>
        <w:rPr>
          <w:rFonts w:ascii="Palatino Linotype" w:hAnsi="Palatino Linotype"/>
          <w:b/>
          <w:bCs/>
          <w:lang w:val="es-ES"/>
        </w:rPr>
      </w:pPr>
    </w:p>
    <w:p w:rsidR="00406415" w:rsidRPr="00B22AA2" w:rsidRDefault="00406415" w:rsidP="00406415">
      <w:pPr>
        <w:pStyle w:val="Prrafodelista"/>
        <w:numPr>
          <w:ilvl w:val="0"/>
          <w:numId w:val="1"/>
        </w:numPr>
        <w:spacing w:line="360" w:lineRule="auto"/>
        <w:ind w:left="0" w:right="49" w:firstLine="0"/>
        <w:jc w:val="both"/>
        <w:rPr>
          <w:rFonts w:ascii="Palatino Linotype" w:hAnsi="Palatino Linotype"/>
          <w:bCs/>
          <w:i/>
        </w:rPr>
      </w:pPr>
      <w:r w:rsidRPr="00B22AA2">
        <w:rPr>
          <w:rFonts w:ascii="Palatino Linotype" w:hAnsi="Palatino Linotype"/>
          <w:bCs/>
        </w:rPr>
        <w:t>El Recurrente se inconformó a través del recurso de revisión</w:t>
      </w:r>
      <w:r w:rsidR="00F04689" w:rsidRPr="00B22AA2">
        <w:rPr>
          <w:rFonts w:ascii="Palatino Linotype" w:hAnsi="Palatino Linotype"/>
          <w:bCs/>
        </w:rPr>
        <w:t xml:space="preserve">, mediante el cual argumentó que se clasificaron datos considerados públicos. </w:t>
      </w:r>
    </w:p>
    <w:p w:rsidR="00406415" w:rsidRPr="00B22AA2" w:rsidRDefault="00406415" w:rsidP="00406415">
      <w:pPr>
        <w:pStyle w:val="Prrafodelista"/>
        <w:spacing w:line="360" w:lineRule="auto"/>
        <w:ind w:left="0" w:right="49"/>
        <w:jc w:val="both"/>
        <w:rPr>
          <w:rFonts w:ascii="Palatino Linotype" w:hAnsi="Palatino Linotype"/>
          <w:bCs/>
        </w:rPr>
      </w:pPr>
    </w:p>
    <w:p w:rsidR="00406415" w:rsidRPr="00B22AA2" w:rsidRDefault="00406415" w:rsidP="00406415">
      <w:pPr>
        <w:pStyle w:val="Prrafodelista"/>
        <w:numPr>
          <w:ilvl w:val="0"/>
          <w:numId w:val="1"/>
        </w:numPr>
        <w:spacing w:line="360" w:lineRule="auto"/>
        <w:ind w:left="0" w:right="49" w:firstLine="0"/>
        <w:jc w:val="both"/>
        <w:rPr>
          <w:rFonts w:ascii="Palatino Linotype" w:hAnsi="Palatino Linotype"/>
        </w:rPr>
      </w:pPr>
      <w:r w:rsidRPr="00B22AA2">
        <w:rPr>
          <w:rFonts w:ascii="Palatino Linotype" w:hAnsi="Palatino Linotype"/>
        </w:rPr>
        <w:t>Por lo anterior, en el presente recurso de revisión se analizará si se actualizan las causales de procedencia contenidas</w:t>
      </w:r>
      <w:r w:rsidR="00F04689" w:rsidRPr="00B22AA2">
        <w:rPr>
          <w:rFonts w:ascii="Palatino Linotype" w:hAnsi="Palatino Linotype"/>
        </w:rPr>
        <w:t xml:space="preserve"> en la fracción I y II</w:t>
      </w:r>
      <w:r w:rsidRPr="00B22AA2">
        <w:rPr>
          <w:rFonts w:ascii="Palatino Linotype" w:hAnsi="Palatino Linotype"/>
        </w:rPr>
        <w:t xml:space="preserve"> del artículo 179 de la Ley de Transparencia, Acceso a la Información Pública del Estado de México y Municipios, que señala la negativa de la información y la </w:t>
      </w:r>
      <w:r w:rsidR="00F04689" w:rsidRPr="00B22AA2">
        <w:rPr>
          <w:rFonts w:ascii="Palatino Linotype" w:hAnsi="Palatino Linotype"/>
        </w:rPr>
        <w:t>clasificación de la información</w:t>
      </w:r>
      <w:r w:rsidRPr="00B22AA2">
        <w:rPr>
          <w:rFonts w:ascii="Palatino Linotype" w:hAnsi="Palatino Linotype"/>
        </w:rPr>
        <w:t>.</w:t>
      </w:r>
    </w:p>
    <w:p w:rsidR="00406415" w:rsidRPr="00B22AA2" w:rsidRDefault="00406415" w:rsidP="00406415">
      <w:pPr>
        <w:pStyle w:val="Prrafodelista"/>
        <w:spacing w:line="360" w:lineRule="auto"/>
        <w:ind w:left="0" w:right="49"/>
        <w:jc w:val="both"/>
        <w:rPr>
          <w:rFonts w:ascii="Palatino Linotype" w:hAnsi="Palatino Linotype"/>
        </w:rPr>
      </w:pPr>
    </w:p>
    <w:p w:rsidR="00406415" w:rsidRPr="00B22AA2" w:rsidRDefault="00406415" w:rsidP="00406415">
      <w:pPr>
        <w:pStyle w:val="Ttulo1"/>
        <w:spacing w:before="0" w:line="360" w:lineRule="auto"/>
      </w:pPr>
      <w:bookmarkStart w:id="13" w:name="_Toc499201873"/>
      <w:bookmarkStart w:id="14" w:name="_Toc3372324"/>
      <w:bookmarkStart w:id="15" w:name="_Toc4061675"/>
      <w:bookmarkStart w:id="16" w:name="_Toc59195560"/>
      <w:bookmarkStart w:id="17" w:name="_Toc89360014"/>
      <w:r w:rsidRPr="00B22AA2">
        <w:t>CUARTO. Estudio y resolución del asunto</w:t>
      </w:r>
      <w:bookmarkEnd w:id="13"/>
      <w:bookmarkEnd w:id="14"/>
      <w:bookmarkEnd w:id="15"/>
      <w:bookmarkEnd w:id="16"/>
      <w:bookmarkEnd w:id="17"/>
    </w:p>
    <w:p w:rsidR="00406415" w:rsidRPr="00B22AA2" w:rsidRDefault="00406415" w:rsidP="00406415">
      <w:pPr>
        <w:rPr>
          <w:lang w:val="es-MX" w:eastAsia="en-US"/>
        </w:rPr>
      </w:pPr>
    </w:p>
    <w:p w:rsidR="00406415" w:rsidRPr="00B22AA2" w:rsidRDefault="00406415" w:rsidP="00406415">
      <w:pPr>
        <w:pStyle w:val="Ttulo1"/>
        <w:spacing w:before="0" w:line="360" w:lineRule="auto"/>
        <w:rPr>
          <w:rFonts w:eastAsia="MS Gothic"/>
          <w:b w:val="0"/>
          <w:lang w:val="es-ES_tradnl" w:eastAsia="es-ES"/>
        </w:rPr>
      </w:pPr>
      <w:bookmarkStart w:id="18" w:name="_Toc498528948"/>
      <w:bookmarkStart w:id="19" w:name="_Toc71234379"/>
      <w:bookmarkStart w:id="20" w:name="_Toc71239557"/>
      <w:bookmarkStart w:id="21" w:name="_Toc80812776"/>
      <w:bookmarkStart w:id="22" w:name="_Toc83301639"/>
      <w:bookmarkStart w:id="23" w:name="_Toc83836678"/>
      <w:bookmarkStart w:id="24" w:name="_Toc89360016"/>
      <w:bookmarkStart w:id="25" w:name="_Toc82537185"/>
      <w:r w:rsidRPr="00B22AA2">
        <w:rPr>
          <w:rFonts w:eastAsia="MS Gothic"/>
          <w:lang w:val="es-ES_tradnl" w:eastAsia="es-ES"/>
        </w:rPr>
        <w:t>I. De</w:t>
      </w:r>
      <w:bookmarkEnd w:id="18"/>
      <w:r w:rsidRPr="00B22AA2">
        <w:rPr>
          <w:rFonts w:eastAsia="MS Gothic"/>
          <w:lang w:val="es-ES_tradnl" w:eastAsia="es-ES"/>
        </w:rPr>
        <w:t>l derecho de acceso a la información.</w:t>
      </w:r>
      <w:bookmarkEnd w:id="19"/>
      <w:bookmarkEnd w:id="20"/>
      <w:bookmarkEnd w:id="21"/>
      <w:bookmarkEnd w:id="22"/>
      <w:bookmarkEnd w:id="23"/>
    </w:p>
    <w:p w:rsidR="00406415" w:rsidRPr="00B22AA2" w:rsidRDefault="00406415" w:rsidP="00406415">
      <w:pPr>
        <w:pStyle w:val="Prrafodelista"/>
        <w:spacing w:line="360" w:lineRule="auto"/>
        <w:ind w:left="0" w:right="48"/>
        <w:jc w:val="both"/>
        <w:rPr>
          <w:rFonts w:ascii="Palatino Linotype" w:eastAsia="MS Gothic" w:hAnsi="Palatino Linotype"/>
        </w:rPr>
      </w:pPr>
    </w:p>
    <w:p w:rsidR="00406415" w:rsidRPr="00B22AA2" w:rsidRDefault="00406415" w:rsidP="00406415">
      <w:pPr>
        <w:pStyle w:val="Prrafodelista"/>
        <w:numPr>
          <w:ilvl w:val="0"/>
          <w:numId w:val="1"/>
        </w:numPr>
        <w:spacing w:line="360" w:lineRule="auto"/>
        <w:ind w:left="0" w:right="48" w:firstLine="0"/>
        <w:jc w:val="both"/>
        <w:rPr>
          <w:rFonts w:ascii="Palatino Linotype" w:eastAsia="MS Gothic" w:hAnsi="Palatino Linotype"/>
        </w:rPr>
      </w:pPr>
      <w:r w:rsidRPr="00B22AA2">
        <w:rPr>
          <w:rFonts w:ascii="Palatino Linotype" w:hAnsi="Palatino Linotype"/>
        </w:rPr>
        <w:lastRenderedPageBreak/>
        <w:t>E</w:t>
      </w:r>
      <w:r w:rsidRPr="00B22AA2">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rPr>
      </w:pPr>
      <w:r w:rsidRPr="00B22AA2">
        <w:rPr>
          <w:rFonts w:ascii="Palatino Linotype" w:hAnsi="Palatino Linotype"/>
        </w:rPr>
        <w:t xml:space="preserve">Definiendo el Derecho de Acceso a la Información Pública como: </w:t>
      </w:r>
      <w:r w:rsidRPr="00B22AA2">
        <w:rPr>
          <w:rFonts w:ascii="Palatino Linotype" w:hAnsi="Palatino Linotype"/>
          <w:i/>
          <w:color w:val="000000"/>
        </w:rPr>
        <w:t>La igualdad de oportunidades para recibir, buscar e impartir información</w:t>
      </w:r>
      <w:r w:rsidRPr="00B22AA2">
        <w:rPr>
          <w:rFonts w:ascii="Palatino Linotype" w:hAnsi="Palatino Linotype"/>
          <w:i/>
          <w:vertAlign w:val="superscript"/>
        </w:rPr>
        <w:footnoteReference w:id="1"/>
      </w:r>
      <w:r w:rsidRPr="00B22AA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22AA2">
        <w:rPr>
          <w:rFonts w:ascii="Palatino Linotype" w:hAnsi="Palatino Linotype"/>
          <w:i/>
          <w:vertAlign w:val="superscript"/>
        </w:rPr>
        <w:footnoteReference w:id="2"/>
      </w:r>
      <w:r w:rsidRPr="00B22AA2">
        <w:rPr>
          <w:rFonts w:ascii="Palatino Linotype" w:hAnsi="Palatino Linotype"/>
          <w:color w:val="000000"/>
        </w:rPr>
        <w:t>que se constituye como una herramienta fundamental para ejercer</w:t>
      </w:r>
      <w:r w:rsidRPr="00B22AA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22AA2">
        <w:rPr>
          <w:rFonts w:ascii="Palatino Linotype" w:hAnsi="Palatino Linotype"/>
          <w:i/>
          <w:vertAlign w:val="superscript"/>
        </w:rPr>
        <w:footnoteReference w:id="3"/>
      </w:r>
      <w:r w:rsidRPr="00B22AA2">
        <w:rPr>
          <w:rFonts w:ascii="Palatino Linotype" w:hAnsi="Palatino Linotype"/>
          <w:color w:val="000000"/>
        </w:rPr>
        <w:t>fomentando</w:t>
      </w:r>
      <w:r w:rsidRPr="00B22AA2">
        <w:rPr>
          <w:rFonts w:ascii="Palatino Linotype" w:hAnsi="Palatino Linotype"/>
          <w:i/>
          <w:color w:val="000000"/>
        </w:rPr>
        <w:t xml:space="preserve"> la transparencia de las actividades estatales y </w:t>
      </w:r>
      <w:r w:rsidRPr="00B22AA2">
        <w:rPr>
          <w:rFonts w:ascii="Palatino Linotype" w:hAnsi="Palatino Linotype"/>
          <w:color w:val="000000"/>
        </w:rPr>
        <w:t>promoviendo</w:t>
      </w:r>
      <w:r w:rsidRPr="00B22AA2">
        <w:rPr>
          <w:rFonts w:ascii="Palatino Linotype" w:hAnsi="Palatino Linotype"/>
          <w:i/>
          <w:color w:val="000000"/>
        </w:rPr>
        <w:t xml:space="preserve"> la responsabilidad de los funcionarios sobre su gestión pública,</w:t>
      </w:r>
      <w:r w:rsidRPr="00B22AA2">
        <w:rPr>
          <w:rFonts w:ascii="Palatino Linotype" w:hAnsi="Palatino Linotype"/>
          <w:i/>
          <w:vertAlign w:val="superscript"/>
        </w:rPr>
        <w:footnoteReference w:id="4"/>
      </w:r>
      <w:r w:rsidRPr="00B22AA2">
        <w:rPr>
          <w:rFonts w:ascii="Palatino Linotype" w:hAnsi="Palatino Linotype"/>
          <w:color w:val="000000"/>
        </w:rPr>
        <w:t>que permite</w:t>
      </w:r>
      <w:r w:rsidRPr="00B22AA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rPr>
      </w:pPr>
      <w:r w:rsidRPr="00B22AA2">
        <w:rPr>
          <w:rFonts w:ascii="Palatino Linotype" w:hAnsi="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spacing w:line="360" w:lineRule="auto"/>
        <w:ind w:left="851" w:right="567"/>
        <w:contextualSpacing/>
        <w:jc w:val="both"/>
        <w:rPr>
          <w:rFonts w:ascii="Palatino Linotype" w:hAnsi="Palatino Linotype"/>
          <w:i/>
          <w:sz w:val="22"/>
        </w:rPr>
      </w:pPr>
      <w:r w:rsidRPr="00B22AA2">
        <w:rPr>
          <w:rFonts w:ascii="Palatino Linotype" w:hAnsi="Palatino Linotype"/>
          <w:i/>
          <w:sz w:val="22"/>
        </w:rPr>
        <w:t>“</w:t>
      </w:r>
      <w:r w:rsidRPr="00B22AA2">
        <w:rPr>
          <w:rFonts w:ascii="Palatino Linotype" w:hAnsi="Palatino Linotype"/>
          <w:b/>
          <w:i/>
          <w:sz w:val="22"/>
        </w:rPr>
        <w:t>Artículo 1.-</w:t>
      </w:r>
      <w:r w:rsidRPr="00B22AA2">
        <w:rPr>
          <w:rFonts w:ascii="Palatino Linotype" w:hAnsi="Palatino Linotype"/>
          <w:i/>
          <w:sz w:val="22"/>
        </w:rPr>
        <w:t xml:space="preserve"> </w:t>
      </w:r>
    </w:p>
    <w:p w:rsidR="00406415" w:rsidRPr="00B22AA2" w:rsidRDefault="00406415" w:rsidP="00406415">
      <w:pPr>
        <w:spacing w:line="360" w:lineRule="auto"/>
        <w:ind w:left="851" w:right="567"/>
        <w:contextualSpacing/>
        <w:jc w:val="both"/>
        <w:rPr>
          <w:rFonts w:ascii="Palatino Linotype" w:hAnsi="Palatino Linotype"/>
          <w:i/>
          <w:sz w:val="22"/>
        </w:rPr>
      </w:pPr>
      <w:r w:rsidRPr="00B22AA2">
        <w:rPr>
          <w:rFonts w:ascii="Palatino Linotype" w:hAnsi="Palatino Linotype"/>
          <w:i/>
          <w:sz w:val="22"/>
        </w:rPr>
        <w:t>(…)</w:t>
      </w:r>
    </w:p>
    <w:p w:rsidR="00406415" w:rsidRPr="00B22AA2" w:rsidRDefault="00406415" w:rsidP="00406415">
      <w:pPr>
        <w:spacing w:line="360" w:lineRule="auto"/>
        <w:ind w:left="851" w:right="567"/>
        <w:contextualSpacing/>
        <w:jc w:val="both"/>
        <w:rPr>
          <w:rFonts w:ascii="Palatino Linotype" w:hAnsi="Palatino Linotype"/>
          <w:i/>
          <w:sz w:val="22"/>
        </w:rPr>
      </w:pPr>
      <w:r w:rsidRPr="00B22AA2">
        <w:rPr>
          <w:rFonts w:ascii="Palatino Linotype" w:hAnsi="Palatino Linotype"/>
          <w:i/>
          <w:sz w:val="22"/>
        </w:rPr>
        <w:t>Todas las</w:t>
      </w:r>
      <w:r w:rsidRPr="00B22AA2">
        <w:rPr>
          <w:rFonts w:ascii="Palatino Linotype" w:hAnsi="Palatino Linotype"/>
          <w:sz w:val="22"/>
        </w:rPr>
        <w:t xml:space="preserve"> </w:t>
      </w:r>
      <w:r w:rsidRPr="00B22AA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06415" w:rsidRPr="00B22AA2" w:rsidRDefault="00406415" w:rsidP="00406415">
      <w:pPr>
        <w:spacing w:line="360" w:lineRule="auto"/>
        <w:ind w:left="851" w:right="567"/>
        <w:contextualSpacing/>
        <w:jc w:val="both"/>
        <w:rPr>
          <w:rFonts w:ascii="Palatino Linotype" w:hAnsi="Palatino Linotype"/>
          <w:sz w:val="22"/>
        </w:rPr>
      </w:pPr>
      <w:r w:rsidRPr="00B22AA2">
        <w:rPr>
          <w:rFonts w:ascii="Palatino Linotype" w:hAnsi="Palatino Linotype"/>
          <w:i/>
          <w:sz w:val="22"/>
        </w:rPr>
        <w:t>(…)</w:t>
      </w:r>
      <w:r w:rsidRPr="00B22AA2">
        <w:rPr>
          <w:rFonts w:ascii="Palatino Linotype" w:hAnsi="Palatino Linotype"/>
          <w:sz w:val="22"/>
        </w:rPr>
        <w:t>”.</w:t>
      </w:r>
    </w:p>
    <w:p w:rsidR="00406415" w:rsidRPr="00B22AA2" w:rsidRDefault="00406415" w:rsidP="00406415">
      <w:pPr>
        <w:spacing w:line="360" w:lineRule="auto"/>
        <w:ind w:left="851" w:right="567"/>
        <w:contextualSpacing/>
        <w:jc w:val="both"/>
        <w:rPr>
          <w:rFonts w:ascii="Palatino Linotype" w:hAnsi="Palatino Linotype"/>
          <w:b/>
          <w:sz w:val="22"/>
        </w:rPr>
      </w:pPr>
      <w:r w:rsidRPr="00B22AA2">
        <w:rPr>
          <w:rFonts w:ascii="Palatino Linotype" w:hAnsi="Palatino Linotype"/>
          <w:b/>
          <w:i/>
          <w:sz w:val="22"/>
        </w:rPr>
        <w:t>(Énfasis Añadido)</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rPr>
      </w:pPr>
      <w:r w:rsidRPr="00B22AA2">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rPr>
      </w:pPr>
      <w:r w:rsidRPr="00B22AA2">
        <w:rPr>
          <w:rFonts w:ascii="Palatino Linotype" w:hAnsi="Palatino Linotype"/>
        </w:rPr>
        <w:t xml:space="preserve">Así, conforme a la Constitución Política de las Estado Unidos Mexicanos </w:t>
      </w:r>
      <w:r w:rsidRPr="00B22AA2">
        <w:rPr>
          <w:rFonts w:ascii="Palatino Linotype" w:eastAsia="Calibri" w:hAnsi="Palatino Linotype"/>
        </w:rPr>
        <w:t>y la Constitución Política del Estado Libre y Soberano de México respectivamente</w:t>
      </w:r>
      <w:r w:rsidRPr="00B22AA2">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spacing w:line="360" w:lineRule="auto"/>
        <w:ind w:left="851" w:right="567"/>
        <w:jc w:val="center"/>
        <w:rPr>
          <w:rFonts w:ascii="Palatino Linotype" w:hAnsi="Palatino Linotype" w:cs="Arial"/>
          <w:b/>
          <w:bCs/>
          <w:i/>
          <w:sz w:val="22"/>
        </w:rPr>
      </w:pPr>
      <w:r w:rsidRPr="00B22AA2">
        <w:rPr>
          <w:rFonts w:ascii="Palatino Linotype" w:hAnsi="Palatino Linotype" w:cs="Arial"/>
          <w:b/>
          <w:bCs/>
          <w:i/>
          <w:sz w:val="22"/>
        </w:rPr>
        <w:lastRenderedPageBreak/>
        <w:t>Constitución Política de los Estados Unidos Mexicanos</w:t>
      </w:r>
    </w:p>
    <w:p w:rsidR="00406415" w:rsidRPr="00B22AA2" w:rsidRDefault="00406415" w:rsidP="00406415">
      <w:pPr>
        <w:spacing w:line="360" w:lineRule="auto"/>
        <w:ind w:left="851" w:right="567"/>
        <w:jc w:val="both"/>
        <w:rPr>
          <w:rFonts w:ascii="Palatino Linotype" w:hAnsi="Palatino Linotype" w:cs="Arial"/>
          <w:b/>
          <w:bCs/>
          <w:i/>
          <w:sz w:val="22"/>
        </w:rPr>
      </w:pPr>
      <w:r w:rsidRPr="00B22AA2">
        <w:rPr>
          <w:rFonts w:ascii="Palatino Linotype" w:hAnsi="Palatino Linotype" w:cs="Arial"/>
          <w:b/>
          <w:bCs/>
          <w:i/>
          <w:sz w:val="22"/>
        </w:rPr>
        <w:t>“Artículo 6.</w:t>
      </w:r>
      <w:r w:rsidRPr="00B22AA2">
        <w:rPr>
          <w:rFonts w:ascii="Palatino Linotype" w:hAnsi="Palatino Linotype" w:cs="Arial"/>
          <w:bCs/>
          <w:i/>
          <w:sz w:val="22"/>
        </w:rPr>
        <w:t xml:space="preserve"> …</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Cs/>
          <w:i/>
          <w:sz w:val="22"/>
        </w:rPr>
        <w:t>…</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Cs/>
          <w:i/>
          <w:sz w:val="22"/>
        </w:rPr>
        <w:t>Para efectos de lo dispuesto en el presente artículo se observará lo siguiente:</w:t>
      </w:r>
    </w:p>
    <w:p w:rsidR="00406415" w:rsidRPr="00B22AA2" w:rsidRDefault="00406415" w:rsidP="00406415">
      <w:pPr>
        <w:spacing w:line="360" w:lineRule="auto"/>
        <w:ind w:left="851" w:right="567"/>
        <w:jc w:val="both"/>
        <w:rPr>
          <w:rFonts w:ascii="Palatino Linotype" w:hAnsi="Palatino Linotype" w:cs="Arial"/>
          <w:b/>
          <w:bCs/>
          <w:i/>
          <w:sz w:val="22"/>
        </w:rPr>
      </w:pPr>
      <w:r w:rsidRPr="00B22AA2">
        <w:rPr>
          <w:rFonts w:ascii="Palatino Linotype" w:hAnsi="Palatino Linotype" w:cs="Arial"/>
          <w:b/>
          <w:bCs/>
          <w:i/>
          <w:sz w:val="22"/>
        </w:rPr>
        <w:t>A</w:t>
      </w:r>
      <w:r w:rsidRPr="00B22AA2">
        <w:rPr>
          <w:rFonts w:ascii="Palatino Linotype" w:hAnsi="Palatino Linotype" w:cs="Arial"/>
          <w:bCs/>
          <w:i/>
          <w:sz w:val="22"/>
        </w:rPr>
        <w:t xml:space="preserve">. </w:t>
      </w:r>
      <w:r w:rsidRPr="00B22AA2">
        <w:rPr>
          <w:rFonts w:ascii="Palatino Linotype" w:hAnsi="Palatino Linotype" w:cs="Arial"/>
          <w:b/>
          <w:bCs/>
          <w:i/>
          <w:sz w:val="22"/>
        </w:rPr>
        <w:t>Para el ejercicio del derecho de acceso a la información</w:t>
      </w:r>
      <w:r w:rsidRPr="00B22AA2">
        <w:rPr>
          <w:rFonts w:ascii="Palatino Linotype" w:hAnsi="Palatino Linotype" w:cs="Arial"/>
          <w:bCs/>
          <w:i/>
          <w:sz w:val="22"/>
        </w:rPr>
        <w:t xml:space="preserve">, la Federación y </w:t>
      </w:r>
      <w:r w:rsidRPr="00B22AA2">
        <w:rPr>
          <w:rFonts w:ascii="Palatino Linotype" w:hAnsi="Palatino Linotype" w:cs="Arial"/>
          <w:b/>
          <w:bCs/>
          <w:i/>
          <w:sz w:val="22"/>
        </w:rPr>
        <w:t>las entidades federativas, en el ámbito de sus respectivas competencias, se regirán por los siguientes principios y bases:</w:t>
      </w:r>
    </w:p>
    <w:p w:rsidR="00406415" w:rsidRPr="00B22AA2" w:rsidRDefault="00406415" w:rsidP="00406415">
      <w:pPr>
        <w:spacing w:line="360" w:lineRule="auto"/>
        <w:ind w:left="851" w:right="567"/>
        <w:jc w:val="both"/>
        <w:rPr>
          <w:rFonts w:ascii="Palatino Linotype" w:hAnsi="Palatino Linotype" w:cs="Arial"/>
          <w:b/>
          <w:bCs/>
          <w:i/>
          <w:sz w:val="22"/>
        </w:rPr>
      </w:pP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
          <w:bCs/>
          <w:i/>
          <w:sz w:val="22"/>
        </w:rPr>
        <w:t xml:space="preserve">I. </w:t>
      </w:r>
      <w:r w:rsidRPr="00B22AA2">
        <w:rPr>
          <w:rFonts w:ascii="Palatino Linotype" w:hAnsi="Palatino Linotype" w:cs="Arial"/>
          <w:b/>
          <w:bCs/>
          <w:i/>
          <w:sz w:val="22"/>
        </w:rPr>
        <w:tab/>
        <w:t>Toda la información en posesión de cualquier</w:t>
      </w:r>
      <w:r w:rsidRPr="00B22AA2">
        <w:rPr>
          <w:rFonts w:ascii="Palatino Linotype" w:hAnsi="Palatino Linotype" w:cs="Arial"/>
          <w:bCs/>
          <w:i/>
          <w:sz w:val="22"/>
        </w:rPr>
        <w:t xml:space="preserve"> </w:t>
      </w:r>
      <w:r w:rsidRPr="00B22AA2">
        <w:rPr>
          <w:rFonts w:ascii="Palatino Linotype" w:hAnsi="Palatino Linotype" w:cs="Arial"/>
          <w:b/>
          <w:bCs/>
          <w:i/>
          <w:sz w:val="22"/>
        </w:rPr>
        <w:t>autoridad</w:t>
      </w:r>
      <w:r w:rsidRPr="00B22AA2">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22AA2">
        <w:rPr>
          <w:rFonts w:ascii="Palatino Linotype" w:hAnsi="Palatino Linotype" w:cs="Arial"/>
          <w:b/>
          <w:bCs/>
          <w:i/>
          <w:sz w:val="22"/>
        </w:rPr>
        <w:t>municipal</w:t>
      </w:r>
      <w:r w:rsidRPr="00B22AA2">
        <w:rPr>
          <w:rFonts w:ascii="Palatino Linotype" w:hAnsi="Palatino Linotype" w:cs="Arial"/>
          <w:bCs/>
          <w:i/>
          <w:sz w:val="22"/>
        </w:rPr>
        <w:t xml:space="preserve">, </w:t>
      </w:r>
      <w:r w:rsidRPr="00B22AA2">
        <w:rPr>
          <w:rFonts w:ascii="Palatino Linotype" w:hAnsi="Palatino Linotype" w:cs="Arial"/>
          <w:b/>
          <w:bCs/>
          <w:i/>
          <w:sz w:val="22"/>
        </w:rPr>
        <w:t>es pública</w:t>
      </w:r>
      <w:r w:rsidRPr="00B22AA2">
        <w:rPr>
          <w:rFonts w:ascii="Palatino Linotype" w:hAnsi="Palatino Linotype" w:cs="Arial"/>
          <w:bCs/>
          <w:i/>
          <w:sz w:val="22"/>
        </w:rPr>
        <w:t xml:space="preserve"> y sólo podrá ser reservada temporalmente por razones de interés público y seguridad nacional, en los términos que fijen las leyes. </w:t>
      </w:r>
      <w:r w:rsidRPr="00B22AA2">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B22AA2">
        <w:rPr>
          <w:rFonts w:ascii="Palatino Linotype" w:hAnsi="Palatino Linotype" w:cs="Arial"/>
          <w:bCs/>
          <w:i/>
          <w:sz w:val="22"/>
        </w:rPr>
        <w:t>, la ley determinará los supuestos específicos bajo los cuales procederá la declaración de inexistencia de la información.”</w:t>
      </w:r>
    </w:p>
    <w:p w:rsidR="00406415" w:rsidRPr="00B22AA2" w:rsidRDefault="00406415" w:rsidP="00406415">
      <w:pPr>
        <w:pStyle w:val="Prrafodelista"/>
        <w:tabs>
          <w:tab w:val="left" w:pos="567"/>
        </w:tabs>
        <w:spacing w:line="360" w:lineRule="auto"/>
        <w:ind w:left="851" w:right="567"/>
        <w:jc w:val="both"/>
        <w:rPr>
          <w:rFonts w:ascii="Palatino Linotype" w:hAnsi="Palatino Linotype" w:cs="Arial"/>
          <w:b/>
          <w:bCs/>
          <w:i/>
        </w:rPr>
      </w:pPr>
      <w:r w:rsidRPr="00B22AA2">
        <w:rPr>
          <w:rFonts w:ascii="Palatino Linotype" w:hAnsi="Palatino Linotype" w:cs="Arial"/>
          <w:b/>
          <w:bCs/>
          <w:i/>
        </w:rPr>
        <w:t>(Énfasis añadido)</w:t>
      </w:r>
    </w:p>
    <w:p w:rsidR="00406415" w:rsidRPr="00B22AA2" w:rsidRDefault="00406415" w:rsidP="00406415">
      <w:pPr>
        <w:pStyle w:val="Prrafodelista"/>
        <w:tabs>
          <w:tab w:val="left" w:pos="567"/>
        </w:tabs>
        <w:spacing w:line="360" w:lineRule="auto"/>
        <w:ind w:left="851" w:right="567"/>
        <w:jc w:val="both"/>
        <w:rPr>
          <w:rFonts w:ascii="Palatino Linotype" w:hAnsi="Palatino Linotype" w:cs="Arial"/>
          <w:b/>
          <w:bCs/>
          <w:i/>
        </w:rPr>
      </w:pPr>
    </w:p>
    <w:p w:rsidR="00406415" w:rsidRPr="00B22AA2" w:rsidRDefault="00406415" w:rsidP="00406415">
      <w:pPr>
        <w:spacing w:line="360" w:lineRule="auto"/>
        <w:ind w:left="851" w:right="567"/>
        <w:jc w:val="center"/>
        <w:rPr>
          <w:rFonts w:ascii="Palatino Linotype" w:hAnsi="Palatino Linotype" w:cs="Arial"/>
          <w:b/>
          <w:bCs/>
          <w:i/>
          <w:sz w:val="22"/>
        </w:rPr>
      </w:pPr>
      <w:r w:rsidRPr="00B22AA2">
        <w:rPr>
          <w:rFonts w:ascii="Palatino Linotype" w:hAnsi="Palatino Linotype" w:cs="Arial"/>
          <w:b/>
          <w:bCs/>
          <w:i/>
          <w:sz w:val="22"/>
        </w:rPr>
        <w:t>Constitución Política del Estado Libre y Soberano de México</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
          <w:bCs/>
          <w:i/>
          <w:sz w:val="22"/>
        </w:rPr>
        <w:t>“Artículo 5</w:t>
      </w:r>
      <w:r w:rsidRPr="00B22AA2">
        <w:rPr>
          <w:rFonts w:ascii="Palatino Linotype" w:hAnsi="Palatino Linotype" w:cs="Arial"/>
          <w:bCs/>
          <w:i/>
          <w:sz w:val="22"/>
        </w:rPr>
        <w:t>.- …</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Cs/>
          <w:i/>
          <w:sz w:val="22"/>
        </w:rPr>
        <w:t>…</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B22AA2">
        <w:rPr>
          <w:rFonts w:ascii="Palatino Linotype" w:hAnsi="Palatino Linotype" w:cs="Arial"/>
          <w:bCs/>
          <w:i/>
          <w:sz w:val="22"/>
        </w:rPr>
        <w:t>.</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Cs/>
          <w:i/>
          <w:sz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
          <w:bCs/>
          <w:i/>
          <w:sz w:val="22"/>
        </w:rPr>
        <w:t>Este derecho se regirá por los principios y bases siguientes</w:t>
      </w:r>
      <w:r w:rsidRPr="00B22AA2">
        <w:rPr>
          <w:rFonts w:ascii="Palatino Linotype" w:hAnsi="Palatino Linotype" w:cs="Arial"/>
          <w:bCs/>
          <w:i/>
          <w:sz w:val="22"/>
        </w:rPr>
        <w:t>:</w:t>
      </w:r>
    </w:p>
    <w:p w:rsidR="00406415" w:rsidRPr="00B22AA2" w:rsidRDefault="00406415" w:rsidP="00406415">
      <w:pPr>
        <w:spacing w:line="360" w:lineRule="auto"/>
        <w:ind w:left="851" w:right="567"/>
        <w:jc w:val="both"/>
        <w:rPr>
          <w:rFonts w:ascii="Palatino Linotype" w:hAnsi="Palatino Linotype" w:cs="Arial"/>
          <w:bCs/>
          <w:i/>
          <w:sz w:val="22"/>
        </w:rPr>
      </w:pPr>
      <w:r w:rsidRPr="00B22AA2">
        <w:rPr>
          <w:rFonts w:ascii="Palatino Linotype" w:hAnsi="Palatino Linotype" w:cs="Arial"/>
          <w:b/>
          <w:bCs/>
          <w:i/>
          <w:sz w:val="22"/>
        </w:rPr>
        <w:t>I. Toda la información en posesión de cualquier autoridad, entidad, órgano y organismos de los</w:t>
      </w:r>
      <w:r w:rsidRPr="00B22AA2">
        <w:rPr>
          <w:rFonts w:ascii="Palatino Linotype" w:hAnsi="Palatino Linotype" w:cs="Arial"/>
          <w:bCs/>
          <w:i/>
          <w:sz w:val="22"/>
        </w:rPr>
        <w:t xml:space="preserve"> Poderes Ejecutivo, Legislativo y Judicial, órganos autónomos, partidos políticos, fideicomisos y fondos públicos estatales y </w:t>
      </w:r>
      <w:r w:rsidRPr="00B22AA2">
        <w:rPr>
          <w:rFonts w:ascii="Palatino Linotype" w:hAnsi="Palatino Linotype" w:cs="Arial"/>
          <w:b/>
          <w:bCs/>
          <w:i/>
          <w:sz w:val="22"/>
        </w:rPr>
        <w:t>municipales</w:t>
      </w:r>
      <w:r w:rsidRPr="00B22AA2">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22AA2">
        <w:rPr>
          <w:rFonts w:ascii="Palatino Linotype" w:hAnsi="Palatino Linotype" w:cs="Arial"/>
          <w:b/>
          <w:bCs/>
          <w:i/>
          <w:sz w:val="22"/>
        </w:rPr>
        <w:t>es pública</w:t>
      </w:r>
      <w:r w:rsidRPr="00B22AA2">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B22AA2">
        <w:rPr>
          <w:rFonts w:ascii="Palatino Linotype" w:hAnsi="Palatino Linotype" w:cs="Arial"/>
          <w:b/>
          <w:bCs/>
          <w:i/>
          <w:sz w:val="22"/>
        </w:rPr>
        <w:t>En la interpretación de este derecho deberá prevalecer el principio de máxima publicidad</w:t>
      </w:r>
      <w:r w:rsidRPr="00B22AA2">
        <w:rPr>
          <w:rFonts w:ascii="Palatino Linotype" w:hAnsi="Palatino Linotype" w:cs="Arial"/>
          <w:bCs/>
          <w:i/>
          <w:sz w:val="22"/>
        </w:rPr>
        <w:t xml:space="preserve">. </w:t>
      </w:r>
      <w:r w:rsidRPr="00B22AA2">
        <w:rPr>
          <w:rFonts w:ascii="Palatino Linotype" w:hAnsi="Palatino Linotype" w:cs="Arial"/>
          <w:b/>
          <w:bCs/>
          <w:i/>
          <w:sz w:val="22"/>
        </w:rPr>
        <w:t>Los sujetos obligados deberán documentar todo acto que derive del ejercicio de sus facultades, competencias o funciones</w:t>
      </w:r>
      <w:r w:rsidRPr="00B22AA2">
        <w:rPr>
          <w:rFonts w:ascii="Palatino Linotype" w:hAnsi="Palatino Linotype" w:cs="Arial"/>
          <w:bCs/>
          <w:i/>
          <w:sz w:val="22"/>
        </w:rPr>
        <w:t>, la ley determinará los supuestos específicos bajo los cuales procederá la declaración de inexistencia de la información.”</w:t>
      </w:r>
    </w:p>
    <w:p w:rsidR="00406415" w:rsidRPr="00B22AA2" w:rsidRDefault="00406415" w:rsidP="00406415">
      <w:pPr>
        <w:pStyle w:val="Prrafodelista"/>
        <w:tabs>
          <w:tab w:val="left" w:pos="567"/>
        </w:tabs>
        <w:spacing w:line="360" w:lineRule="auto"/>
        <w:ind w:left="851" w:right="567"/>
        <w:jc w:val="both"/>
        <w:rPr>
          <w:rFonts w:ascii="Palatino Linotype" w:hAnsi="Palatino Linotype" w:cs="Arial"/>
          <w:b/>
          <w:bCs/>
          <w:i/>
        </w:rPr>
      </w:pPr>
      <w:r w:rsidRPr="00B22AA2">
        <w:rPr>
          <w:rFonts w:ascii="Palatino Linotype" w:hAnsi="Palatino Linotype" w:cs="Arial"/>
          <w:b/>
          <w:bCs/>
          <w:i/>
        </w:rPr>
        <w:t>(Énfasis añadido)</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rPr>
      </w:pPr>
      <w:r w:rsidRPr="00B22AA2">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B22AA2">
        <w:rPr>
          <w:rFonts w:ascii="Palatino Linotype" w:hAnsi="Palatino Linotype" w:cs="Arial"/>
          <w:i/>
        </w:rPr>
        <w:t>por los principios de simplicidad, rapidez gratuidad del procedimiento, auxilio y orientación a los particulares</w:t>
      </w:r>
      <w:r w:rsidRPr="00B22AA2">
        <w:rPr>
          <w:rFonts w:ascii="Palatino Linotype" w:hAnsi="Palatino Linotype" w:cs="Arial"/>
        </w:rPr>
        <w:t>, contemplando el derecho de las personas con discapacidad y hablantes de lengua indígena.</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rPr>
      </w:pPr>
      <w:r w:rsidRPr="00B22AA2">
        <w:rPr>
          <w:rFonts w:ascii="Palatino Linotype" w:hAnsi="Palatino Linotype" w:cs="Arial"/>
        </w:rPr>
        <w:lastRenderedPageBreak/>
        <w:t xml:space="preserve">El Derecho de Acceso a la Información se garantiza y respeta oportunamente, y según lo que dispone la Ley, las </w:t>
      </w:r>
      <w:r w:rsidRPr="00B22AA2">
        <w:rPr>
          <w:rFonts w:ascii="Palatino Linotype" w:hAnsi="Palatino Linotype" w:cs="Arial"/>
          <w:i/>
        </w:rPr>
        <w:t>solicitudes de acceso a la información</w:t>
      </w:r>
      <w:r w:rsidRPr="00B22AA2">
        <w:rPr>
          <w:rFonts w:ascii="Palatino Linotype" w:hAnsi="Palatino Linotype" w:cs="Arial"/>
        </w:rPr>
        <w:t>.</w:t>
      </w:r>
    </w:p>
    <w:p w:rsidR="00406415" w:rsidRPr="00B22AA2" w:rsidRDefault="00406415" w:rsidP="00406415">
      <w:pPr>
        <w:spacing w:line="360" w:lineRule="auto"/>
        <w:ind w:right="49"/>
        <w:contextualSpacing/>
        <w:jc w:val="both"/>
        <w:rPr>
          <w:rFonts w:ascii="Palatino Linotype" w:hAnsi="Palatino Linotype"/>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rPr>
      </w:pPr>
      <w:r w:rsidRPr="00B22AA2">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406415" w:rsidRPr="00B22AA2" w:rsidRDefault="00406415" w:rsidP="00406415">
      <w:pPr>
        <w:pStyle w:val="Prrafodelista"/>
        <w:tabs>
          <w:tab w:val="left" w:pos="426"/>
        </w:tabs>
        <w:spacing w:line="360" w:lineRule="auto"/>
        <w:ind w:left="0" w:right="49"/>
        <w:jc w:val="both"/>
        <w:rPr>
          <w:rFonts w:ascii="Palatino Linotype" w:hAnsi="Palatino Linotype"/>
          <w:lang w:val="es-ES"/>
        </w:rPr>
      </w:pPr>
    </w:p>
    <w:p w:rsidR="00406415" w:rsidRPr="00B22AA2" w:rsidRDefault="00406415" w:rsidP="00406415">
      <w:pPr>
        <w:pStyle w:val="Ttulo3"/>
        <w:spacing w:before="0" w:line="360" w:lineRule="auto"/>
        <w:ind w:left="284"/>
        <w:rPr>
          <w:rFonts w:ascii="Palatino Linotype" w:hAnsi="Palatino Linotype"/>
          <w:b/>
          <w:color w:val="auto"/>
        </w:rPr>
      </w:pPr>
      <w:r w:rsidRPr="00B22AA2">
        <w:rPr>
          <w:rFonts w:ascii="Palatino Linotype" w:hAnsi="Palatino Linotype"/>
          <w:b/>
          <w:color w:val="auto"/>
        </w:rPr>
        <w:t>II. De las actuaciones de las partes.</w:t>
      </w:r>
      <w:bookmarkEnd w:id="24"/>
    </w:p>
    <w:p w:rsidR="00406415" w:rsidRPr="00B22AA2" w:rsidRDefault="00406415" w:rsidP="00406415"/>
    <w:bookmarkEnd w:id="25"/>
    <w:p w:rsidR="00406415" w:rsidRPr="00B22AA2" w:rsidRDefault="00406415" w:rsidP="00406415">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cs="Arial"/>
          <w:color w:val="000000"/>
        </w:rPr>
        <w:t>Derivado del planteamiento de la Litis, corresponde analizar la solicitud del hoy RECURRENTE, así como la respuesta emitida por el SUJETO OBLIGADO.</w:t>
      </w:r>
    </w:p>
    <w:p w:rsidR="00406415" w:rsidRPr="00B22AA2" w:rsidRDefault="00406415" w:rsidP="00406415">
      <w:pPr>
        <w:pStyle w:val="Prrafodelista"/>
        <w:spacing w:line="360" w:lineRule="auto"/>
        <w:ind w:left="0" w:right="49"/>
        <w:jc w:val="both"/>
        <w:rPr>
          <w:rFonts w:ascii="Palatino Linotype" w:hAnsi="Palatino Linotype" w:cs="Arial"/>
          <w:color w:val="000000"/>
        </w:rPr>
      </w:pPr>
    </w:p>
    <w:p w:rsidR="00F04689" w:rsidRPr="00B22AA2" w:rsidRDefault="00406415" w:rsidP="00F04689">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cs="Arial"/>
          <w:color w:val="000000"/>
        </w:rPr>
        <w:t xml:space="preserve">En este contexto, debemos recordar que el particular solicitó </w:t>
      </w:r>
      <w:r w:rsidR="00F04689" w:rsidRPr="00B22AA2">
        <w:rPr>
          <w:rFonts w:ascii="Palatino Linotype" w:hAnsi="Palatino Linotype"/>
          <w:bCs/>
        </w:rPr>
        <w:t xml:space="preserve">los CFDI del Director General y de los Subdirectores del Organismo Público Descentralizado para la Prestación de los Servicios  de Agua Potable, Alcantarillado y Saneamiento del Municipio de Ixtapan de la Sal de la primera quincena del mes de enero de dos mil veintidós. </w:t>
      </w:r>
    </w:p>
    <w:p w:rsidR="002840B0" w:rsidRPr="00B22AA2" w:rsidRDefault="002840B0" w:rsidP="002840B0">
      <w:pPr>
        <w:pStyle w:val="Prrafodelista"/>
        <w:rPr>
          <w:rFonts w:ascii="Palatino Linotype" w:hAnsi="Palatino Linotype"/>
          <w:bCs/>
        </w:rPr>
      </w:pPr>
    </w:p>
    <w:p w:rsidR="00CE2CF1" w:rsidRPr="00B22AA2" w:rsidRDefault="002840B0" w:rsidP="00CE2CF1">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bCs/>
        </w:rPr>
        <w:t xml:space="preserve">En respuesta, el Sujeto Obligado adjuntó tres recibos de nómina </w:t>
      </w:r>
      <w:r w:rsidR="009819C9" w:rsidRPr="00B22AA2">
        <w:rPr>
          <w:rFonts w:ascii="Palatino Linotype" w:hAnsi="Palatino Linotype"/>
          <w:bCs/>
        </w:rPr>
        <w:t>en versión pública y adjuntó acta de la quinta sesión extraordinaria del comité de transparencia.</w:t>
      </w:r>
    </w:p>
    <w:p w:rsidR="00CE2CF1" w:rsidRPr="00B22AA2" w:rsidRDefault="00CE2CF1" w:rsidP="00CE2CF1">
      <w:pPr>
        <w:pStyle w:val="Prrafodelista"/>
        <w:rPr>
          <w:rFonts w:ascii="Palatino Linotype" w:hAnsi="Palatino Linotype"/>
          <w:bCs/>
        </w:rPr>
      </w:pPr>
    </w:p>
    <w:p w:rsidR="00CE2CF1" w:rsidRPr="00B22AA2" w:rsidRDefault="009819C9" w:rsidP="00CE2CF1">
      <w:pPr>
        <w:pStyle w:val="Prrafodelista"/>
        <w:numPr>
          <w:ilvl w:val="0"/>
          <w:numId w:val="1"/>
        </w:numPr>
        <w:spacing w:line="360" w:lineRule="auto"/>
        <w:ind w:left="0" w:right="49" w:firstLine="0"/>
        <w:jc w:val="both"/>
        <w:rPr>
          <w:rFonts w:ascii="Palatino Linotype" w:hAnsi="Palatino Linotype"/>
          <w:bCs/>
          <w:sz w:val="28"/>
        </w:rPr>
      </w:pPr>
      <w:r w:rsidRPr="00B22AA2">
        <w:rPr>
          <w:rFonts w:ascii="Palatino Linotype" w:hAnsi="Palatino Linotype"/>
          <w:bCs/>
        </w:rPr>
        <w:lastRenderedPageBreak/>
        <w:t xml:space="preserve">Derivado de ello, el particular interpuso recurso de revisión, mediante el cual se inconformo por la clasificación  que se realizó a los recibos de nómina. </w:t>
      </w:r>
      <w:r w:rsidR="00FD5419" w:rsidRPr="00B22AA2">
        <w:rPr>
          <w:rFonts w:ascii="Palatino Linotype" w:hAnsi="Palatino Linotype"/>
          <w:bCs/>
        </w:rPr>
        <w:t>Posteriormente, m</w:t>
      </w:r>
      <w:r w:rsidRPr="00B22AA2">
        <w:rPr>
          <w:rFonts w:ascii="Palatino Linotype" w:hAnsi="Palatino Linotype"/>
          <w:bCs/>
        </w:rPr>
        <w:t>ediante in</w:t>
      </w:r>
      <w:r w:rsidR="00CE2CF1" w:rsidRPr="00B22AA2">
        <w:rPr>
          <w:rFonts w:ascii="Palatino Linotype" w:hAnsi="Palatino Linotype"/>
          <w:bCs/>
        </w:rPr>
        <w:t xml:space="preserve">forme justificado, el Sujeto Obligado señaló </w:t>
      </w:r>
      <w:r w:rsidR="00CE2CF1" w:rsidRPr="00B22AA2">
        <w:rPr>
          <w:rFonts w:ascii="Palatino Linotype" w:hAnsi="Palatino Linotype"/>
          <w:i/>
          <w:szCs w:val="22"/>
        </w:rPr>
        <w:t>“es necesario señalar que por error voluntario se adjuntó como parte de la respuesta Acta de la Quinta Sesión Extraordinaria del Comité de Transparencia; por tal motivo y haciendo propicia la ocasión se adjunta Acta de la Sexta Sesión Extraordinaria del Comité de Transparencia, siendo este el documento soporte para la clasificación de la información considerada como confidencial por contener datos personales y la versión pública del mismo.</w:t>
      </w:r>
      <w:r w:rsidR="00CE2CF1" w:rsidRPr="00B22AA2">
        <w:rPr>
          <w:rFonts w:ascii="Palatino Linotype" w:hAnsi="Palatino Linotype"/>
          <w:i/>
          <w:color w:val="000000"/>
          <w:szCs w:val="22"/>
        </w:rPr>
        <w:t xml:space="preserve"> En virtud de lo anterior, el Acta de Sexta Sesión Extraordinaria consta la exposición de motivos considerados para suprimir los datos personales, considerando que el hecho de hacer visible el código QR cono la cadena la cadena original, estos datos pueden ser consultados mediante un dispositivo y a su vez redireccionar al RFC del titular, considerando que al dejarlo visible se puede hacer mal uso del dato personal.”</w:t>
      </w:r>
      <w:r w:rsidR="00FD5419" w:rsidRPr="00B22AA2">
        <w:rPr>
          <w:rFonts w:ascii="Palatino Linotype" w:hAnsi="Palatino Linotype"/>
          <w:i/>
          <w:color w:val="000000"/>
          <w:szCs w:val="22"/>
        </w:rPr>
        <w:t xml:space="preserve"> </w:t>
      </w:r>
      <w:r w:rsidR="00FD5419" w:rsidRPr="00B22AA2">
        <w:rPr>
          <w:rFonts w:ascii="Palatino Linotype" w:hAnsi="Palatino Linotype"/>
          <w:color w:val="000000"/>
          <w:szCs w:val="22"/>
        </w:rPr>
        <w:t xml:space="preserve">Al informe justificado adjuntó el acta de la sexta sesión extraordinaria del Comité d Transparencia. </w:t>
      </w:r>
    </w:p>
    <w:p w:rsidR="00FD5419" w:rsidRPr="00B22AA2" w:rsidRDefault="00FD5419" w:rsidP="00FD5419">
      <w:pPr>
        <w:pStyle w:val="Prrafodelista"/>
        <w:spacing w:line="360" w:lineRule="auto"/>
        <w:ind w:left="0" w:right="49"/>
        <w:jc w:val="both"/>
        <w:rPr>
          <w:rFonts w:ascii="Palatino Linotype" w:hAnsi="Palatino Linotype"/>
          <w:bCs/>
        </w:rPr>
      </w:pPr>
    </w:p>
    <w:p w:rsidR="009819C9" w:rsidRPr="00B22AA2" w:rsidRDefault="00340F88" w:rsidP="00F04689">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bCs/>
        </w:rPr>
        <w:t xml:space="preserve">Ahora bien, entendiendo que el motivo de inconformidad del Recurrente radica en la versión pública que se hizo de los recibos de nómina, debemos señalar que la fracción </w:t>
      </w:r>
      <w:r w:rsidR="0047274B" w:rsidRPr="00B22AA2">
        <w:rPr>
          <w:rFonts w:ascii="Palatino Linotype" w:hAnsi="Palatino Linotype"/>
          <w:bCs/>
        </w:rPr>
        <w:t xml:space="preserve">XLV, artículo 3 de la Ley de Transparencia y Acceso a la Información Pública señala: </w:t>
      </w:r>
    </w:p>
    <w:p w:rsidR="0047274B" w:rsidRPr="00B22AA2" w:rsidRDefault="0047274B" w:rsidP="0047274B">
      <w:pPr>
        <w:pStyle w:val="Prrafodelista"/>
        <w:rPr>
          <w:rFonts w:ascii="Palatino Linotype" w:hAnsi="Palatino Linotype"/>
          <w:bCs/>
        </w:rPr>
      </w:pPr>
    </w:p>
    <w:p w:rsidR="0047274B" w:rsidRPr="00B22AA2" w:rsidRDefault="0047274B" w:rsidP="0047274B">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“Artículo 3. Para los efectos de la presente Ley se entenderá por:</w:t>
      </w:r>
    </w:p>
    <w:p w:rsidR="0047274B" w:rsidRPr="00B22AA2" w:rsidRDefault="0047274B" w:rsidP="0047274B">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w:t>
      </w:r>
    </w:p>
    <w:p w:rsidR="0047274B" w:rsidRPr="00B22AA2" w:rsidRDefault="0047274B" w:rsidP="0047274B">
      <w:pPr>
        <w:pStyle w:val="Prrafodelista"/>
        <w:spacing w:line="360" w:lineRule="auto"/>
        <w:ind w:left="851" w:right="567"/>
        <w:jc w:val="both"/>
        <w:rPr>
          <w:rFonts w:ascii="Palatino Linotype" w:hAnsi="Palatino Linotype"/>
          <w:bCs/>
          <w:i/>
          <w:sz w:val="22"/>
        </w:rPr>
      </w:pPr>
      <w:r w:rsidRPr="00B22AA2">
        <w:rPr>
          <w:rFonts w:ascii="Palatino Linotype" w:hAnsi="Palatino Linotype"/>
          <w:i/>
          <w:sz w:val="22"/>
        </w:rPr>
        <w:t>XLV. Versión pública: Documento en el que se elimine, suprime o borra la información clasificada como reservada o confidencial para permitir su acceso.”</w:t>
      </w:r>
    </w:p>
    <w:p w:rsidR="0047274B" w:rsidRPr="00B22AA2" w:rsidRDefault="0047274B" w:rsidP="0047274B">
      <w:pPr>
        <w:pStyle w:val="Prrafodelista"/>
        <w:rPr>
          <w:rFonts w:ascii="Palatino Linotype" w:hAnsi="Palatino Linotype"/>
          <w:bCs/>
        </w:rPr>
      </w:pPr>
    </w:p>
    <w:p w:rsidR="0047274B" w:rsidRPr="00B22AA2" w:rsidRDefault="0047274B" w:rsidP="00F04689">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bCs/>
        </w:rPr>
        <w:lastRenderedPageBreak/>
        <w:t xml:space="preserve">Como podemos advertir del precepto legal referido, cuando se adviertan datos clasificados en un documento debe realizarse una versión pública del mismo, esto para poder acceso al mismo y así garantizar el derecho de acceso a la información. Por consiguiente, el </w:t>
      </w:r>
      <w:r w:rsidR="00792CF5" w:rsidRPr="00B22AA2">
        <w:rPr>
          <w:rFonts w:ascii="Palatino Linotype" w:hAnsi="Palatino Linotype"/>
          <w:bCs/>
        </w:rPr>
        <w:t>artículo 143 de la Ley de Transparencia Local establece que es información confidencial la que por su naturaleza se refiera a información privada y los datos personales concernientes a una persona física o jurídica colectiva identificada o identificable.</w:t>
      </w:r>
    </w:p>
    <w:p w:rsidR="00792CF5" w:rsidRPr="00B22AA2" w:rsidRDefault="00792CF5" w:rsidP="00792CF5">
      <w:pPr>
        <w:pStyle w:val="Prrafodelista"/>
        <w:spacing w:line="360" w:lineRule="auto"/>
        <w:ind w:left="0" w:right="49"/>
        <w:jc w:val="both"/>
        <w:rPr>
          <w:rFonts w:ascii="Palatino Linotype" w:hAnsi="Palatino Linotype"/>
          <w:bCs/>
        </w:rPr>
      </w:pPr>
    </w:p>
    <w:p w:rsidR="00792CF5" w:rsidRPr="00B22AA2" w:rsidRDefault="00041AA5" w:rsidP="00F04689">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bCs/>
        </w:rPr>
        <w:t>En ese contexto</w:t>
      </w:r>
      <w:r w:rsidR="003D1CFC" w:rsidRPr="00B22AA2">
        <w:rPr>
          <w:rFonts w:ascii="Palatino Linotype" w:hAnsi="Palatino Linotype"/>
          <w:bCs/>
        </w:rPr>
        <w:t>, los recibos de nómina, por su naturaleza, contiene datos susceptibles de ser clasificados, sin embargo, también contiene da</w:t>
      </w:r>
      <w:r w:rsidR="003A2E39" w:rsidRPr="00B22AA2">
        <w:rPr>
          <w:rFonts w:ascii="Palatino Linotype" w:hAnsi="Palatino Linotype"/>
          <w:bCs/>
        </w:rPr>
        <w:t>tos que deben</w:t>
      </w:r>
      <w:r w:rsidR="00A91C02" w:rsidRPr="00B22AA2">
        <w:rPr>
          <w:rFonts w:ascii="Palatino Linotype" w:hAnsi="Palatino Linotype"/>
          <w:bCs/>
        </w:rPr>
        <w:t xml:space="preserve"> ser públicos</w:t>
      </w:r>
      <w:r w:rsidR="003D1CFC" w:rsidRPr="00B22AA2">
        <w:rPr>
          <w:rFonts w:ascii="Palatino Linotype" w:hAnsi="Palatino Linotype"/>
          <w:bCs/>
        </w:rPr>
        <w:t>. Atento a ello, debemo</w:t>
      </w:r>
      <w:r w:rsidR="00A91C02" w:rsidRPr="00B22AA2">
        <w:rPr>
          <w:rFonts w:ascii="Palatino Linotype" w:hAnsi="Palatino Linotype"/>
          <w:bCs/>
        </w:rPr>
        <w:t xml:space="preserve">s analizar la versión pública realizada a los recibos de nómina entregados </w:t>
      </w:r>
      <w:r w:rsidR="003A2E39" w:rsidRPr="00B22AA2">
        <w:rPr>
          <w:rFonts w:ascii="Palatino Linotype" w:hAnsi="Palatino Linotype"/>
          <w:bCs/>
        </w:rPr>
        <w:t>en respuesta y señalados en el A</w:t>
      </w:r>
      <w:r w:rsidR="00A91C02" w:rsidRPr="00B22AA2">
        <w:rPr>
          <w:rFonts w:ascii="Palatino Linotype" w:hAnsi="Palatino Linotype"/>
          <w:bCs/>
        </w:rPr>
        <w:t>cta del Comité de Trasparencia.</w:t>
      </w:r>
    </w:p>
    <w:p w:rsidR="00A91C02" w:rsidRPr="00B22AA2" w:rsidRDefault="00A91C02" w:rsidP="003A2E39">
      <w:pPr>
        <w:pStyle w:val="Prrafodelista"/>
        <w:ind w:left="1416"/>
        <w:rPr>
          <w:rFonts w:ascii="Palatino Linotype" w:hAnsi="Palatino Linotype"/>
          <w:bCs/>
        </w:rPr>
      </w:pPr>
    </w:p>
    <w:p w:rsidR="005145CF" w:rsidRPr="00B22AA2" w:rsidRDefault="003A2E39" w:rsidP="005145CF">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bCs/>
        </w:rPr>
        <w:t>Al respecto, del análisis a los recibos de nómina, se advierte que se</w:t>
      </w:r>
      <w:r w:rsidR="00B845A6" w:rsidRPr="00B22AA2">
        <w:rPr>
          <w:rFonts w:ascii="Palatino Linotype" w:hAnsi="Palatino Linotype"/>
          <w:bCs/>
        </w:rPr>
        <w:t xml:space="preserve"> testó</w:t>
      </w:r>
      <w:r w:rsidRPr="00B22AA2">
        <w:rPr>
          <w:rFonts w:ascii="Palatino Linotype" w:hAnsi="Palatino Linotype"/>
          <w:bCs/>
        </w:rPr>
        <w:t xml:space="preserve"> </w:t>
      </w:r>
      <w:r w:rsidR="00B845A6" w:rsidRPr="00B22AA2">
        <w:rPr>
          <w:rFonts w:ascii="Palatino Linotype" w:hAnsi="Palatino Linotype"/>
          <w:bCs/>
        </w:rPr>
        <w:t xml:space="preserve">el </w:t>
      </w:r>
      <w:r w:rsidRPr="00B22AA2">
        <w:rPr>
          <w:rFonts w:ascii="Palatino Linotype" w:hAnsi="Palatino Linotype"/>
          <w:bCs/>
        </w:rPr>
        <w:t>RFC</w:t>
      </w:r>
      <w:r w:rsidR="00B845A6" w:rsidRPr="00B22AA2">
        <w:rPr>
          <w:rFonts w:ascii="Palatino Linotype" w:hAnsi="Palatino Linotype"/>
          <w:bCs/>
        </w:rPr>
        <w:t xml:space="preserve">, </w:t>
      </w:r>
      <w:r w:rsidRPr="00B22AA2">
        <w:rPr>
          <w:rFonts w:ascii="Palatino Linotype" w:hAnsi="Palatino Linotype"/>
          <w:bCs/>
        </w:rPr>
        <w:t>CURP</w:t>
      </w:r>
      <w:r w:rsidR="00B845A6" w:rsidRPr="00B22AA2">
        <w:rPr>
          <w:rFonts w:ascii="Palatino Linotype" w:hAnsi="Palatino Linotype"/>
          <w:bCs/>
        </w:rPr>
        <w:t xml:space="preserve">, </w:t>
      </w:r>
      <w:r w:rsidR="004C27AD" w:rsidRPr="00B22AA2">
        <w:rPr>
          <w:rFonts w:ascii="Palatino Linotype" w:hAnsi="Palatino Linotype"/>
          <w:bCs/>
        </w:rPr>
        <w:t>CLAVE ISSEMYM</w:t>
      </w:r>
      <w:r w:rsidR="00B845A6" w:rsidRPr="00B22AA2">
        <w:rPr>
          <w:rFonts w:ascii="Palatino Linotype" w:hAnsi="Palatino Linotype"/>
          <w:bCs/>
        </w:rPr>
        <w:t xml:space="preserve">, </w:t>
      </w:r>
      <w:r w:rsidR="004C27AD" w:rsidRPr="00B22AA2">
        <w:rPr>
          <w:rFonts w:ascii="Palatino Linotype" w:hAnsi="Palatino Linotype"/>
          <w:bCs/>
        </w:rPr>
        <w:t>FOLIO FISCAL</w:t>
      </w:r>
      <w:r w:rsidR="00B845A6" w:rsidRPr="00B22AA2">
        <w:rPr>
          <w:rFonts w:ascii="Palatino Linotype" w:hAnsi="Palatino Linotype"/>
          <w:bCs/>
        </w:rPr>
        <w:t xml:space="preserve">, </w:t>
      </w:r>
      <w:r w:rsidR="004C27AD" w:rsidRPr="00B22AA2">
        <w:rPr>
          <w:rFonts w:ascii="Palatino Linotype" w:hAnsi="Palatino Linotype"/>
          <w:bCs/>
        </w:rPr>
        <w:t>SELLO DIGITAL DEL CONTRIBUYENTE EMISOR</w:t>
      </w:r>
      <w:r w:rsidR="00B845A6" w:rsidRPr="00B22AA2">
        <w:rPr>
          <w:rFonts w:ascii="Palatino Linotype" w:hAnsi="Palatino Linotype"/>
          <w:bCs/>
        </w:rPr>
        <w:t xml:space="preserve">, </w:t>
      </w:r>
      <w:r w:rsidR="004C27AD" w:rsidRPr="00B22AA2">
        <w:rPr>
          <w:rFonts w:ascii="Palatino Linotype" w:hAnsi="Palatino Linotype"/>
          <w:bCs/>
        </w:rPr>
        <w:t>SELLO DIGITAL DEL SAT</w:t>
      </w:r>
      <w:r w:rsidR="00B845A6" w:rsidRPr="00B22AA2">
        <w:rPr>
          <w:rFonts w:ascii="Palatino Linotype" w:hAnsi="Palatino Linotype"/>
          <w:bCs/>
        </w:rPr>
        <w:t xml:space="preserve">, </w:t>
      </w:r>
      <w:r w:rsidR="004C27AD" w:rsidRPr="00B22AA2">
        <w:rPr>
          <w:rFonts w:ascii="Palatino Linotype" w:hAnsi="Palatino Linotype"/>
          <w:bCs/>
        </w:rPr>
        <w:t>CÓDIGO QR</w:t>
      </w:r>
      <w:r w:rsidR="00B845A6" w:rsidRPr="00B22AA2">
        <w:rPr>
          <w:rFonts w:ascii="Palatino Linotype" w:hAnsi="Palatino Linotype"/>
          <w:bCs/>
        </w:rPr>
        <w:t xml:space="preserve">, </w:t>
      </w:r>
      <w:r w:rsidR="004C27AD" w:rsidRPr="00B22AA2">
        <w:rPr>
          <w:rFonts w:ascii="Palatino Linotype" w:hAnsi="Palatino Linotype"/>
          <w:bCs/>
        </w:rPr>
        <w:t>CADENA ORIGINAL</w:t>
      </w:r>
      <w:r w:rsidR="005145CF" w:rsidRPr="00B22AA2">
        <w:rPr>
          <w:rFonts w:ascii="Palatino Linotype" w:hAnsi="Palatino Linotype"/>
          <w:bCs/>
        </w:rPr>
        <w:t xml:space="preserve">. </w:t>
      </w:r>
      <w:r w:rsidR="00B845A6" w:rsidRPr="00B22AA2">
        <w:rPr>
          <w:rFonts w:ascii="Palatino Linotype" w:hAnsi="Palatino Linotype"/>
          <w:bCs/>
        </w:rPr>
        <w:t>Ahora bien, para determinar qué datos de los que se clasificaron son o no confidenciales, debemos señalar en que consiste cada uno</w:t>
      </w:r>
      <w:r w:rsidR="005145CF" w:rsidRPr="00B22AA2">
        <w:rPr>
          <w:rFonts w:ascii="Palatino Linotype" w:hAnsi="Palatino Linotype"/>
          <w:bCs/>
        </w:rPr>
        <w:t>.</w:t>
      </w:r>
    </w:p>
    <w:p w:rsidR="005145CF" w:rsidRPr="00B22AA2" w:rsidRDefault="005145CF" w:rsidP="005145CF">
      <w:pPr>
        <w:pStyle w:val="Prrafodelista"/>
        <w:rPr>
          <w:rFonts w:ascii="Palatino Linotype" w:hAnsi="Palatino Linotype"/>
          <w:bCs/>
        </w:rPr>
      </w:pPr>
    </w:p>
    <w:p w:rsidR="005145CF" w:rsidRPr="00B22AA2" w:rsidRDefault="005145CF" w:rsidP="005145CF">
      <w:pPr>
        <w:pStyle w:val="Prrafodelista"/>
        <w:numPr>
          <w:ilvl w:val="0"/>
          <w:numId w:val="11"/>
        </w:numPr>
        <w:spacing w:before="120" w:after="120" w:line="360" w:lineRule="auto"/>
        <w:jc w:val="both"/>
        <w:rPr>
          <w:rFonts w:ascii="Palatino Linotype" w:hAnsi="Palatino Linotype" w:cs="Arial"/>
          <w:b/>
          <w:color w:val="000000" w:themeColor="text1"/>
        </w:rPr>
      </w:pPr>
      <w:r w:rsidRPr="00B22AA2">
        <w:rPr>
          <w:rFonts w:ascii="Palatino Linotype" w:hAnsi="Palatino Linotype"/>
          <w:b/>
          <w:bCs/>
        </w:rPr>
        <w:t>RFC:</w:t>
      </w:r>
    </w:p>
    <w:p w:rsidR="005145CF" w:rsidRPr="00B22AA2" w:rsidRDefault="005145CF" w:rsidP="005145CF">
      <w:pPr>
        <w:pStyle w:val="Prrafodelista"/>
        <w:rPr>
          <w:rFonts w:ascii="Palatino Linotype" w:eastAsia="Calibri" w:hAnsi="Palatino Linotype" w:cs="Tahoma"/>
          <w:bCs/>
          <w:lang w:eastAsia="en-US"/>
        </w:rPr>
      </w:pPr>
    </w:p>
    <w:p w:rsidR="005145CF" w:rsidRPr="00B22AA2" w:rsidRDefault="005145CF" w:rsidP="005145CF">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eastAsia="Calibri" w:hAnsi="Palatino Linotype" w:cs="Tahoma"/>
          <w:bCs/>
          <w:lang w:eastAsia="en-US"/>
        </w:rPr>
        <w:t>Se desprende que las fuentes de información para generar la Clave RFC de personas físicas son: Acta de Nacimiento, Cartilla, Pasaporte o Certificado de Estudios de Enseñanza Pública, de las cuales se obtiene lo siguiente:</w:t>
      </w:r>
    </w:p>
    <w:p w:rsidR="005145CF" w:rsidRPr="00B22AA2" w:rsidRDefault="005145CF" w:rsidP="005145CF">
      <w:pPr>
        <w:pStyle w:val="Prrafodelista"/>
        <w:spacing w:line="360" w:lineRule="auto"/>
        <w:ind w:left="0" w:right="49"/>
        <w:jc w:val="both"/>
        <w:rPr>
          <w:rFonts w:ascii="Palatino Linotype" w:eastAsia="Calibri" w:hAnsi="Palatino Linotype" w:cs="Tahoma"/>
          <w:bCs/>
          <w:lang w:eastAsia="en-US"/>
        </w:rPr>
      </w:pPr>
    </w:p>
    <w:p w:rsidR="005145CF" w:rsidRPr="00B22AA2" w:rsidRDefault="005145CF" w:rsidP="005145CF">
      <w:pPr>
        <w:pStyle w:val="Prrafodelista"/>
        <w:numPr>
          <w:ilvl w:val="0"/>
          <w:numId w:val="13"/>
        </w:numPr>
        <w:spacing w:line="360" w:lineRule="auto"/>
        <w:ind w:right="567"/>
        <w:jc w:val="both"/>
        <w:rPr>
          <w:rFonts w:ascii="Palatino Linotype" w:eastAsia="Calibri" w:hAnsi="Palatino Linotype" w:cs="Tahoma"/>
          <w:bCs/>
          <w:lang w:eastAsia="en-US"/>
        </w:rPr>
      </w:pPr>
      <w:r w:rsidRPr="00B22AA2">
        <w:rPr>
          <w:rFonts w:ascii="Palatino Linotype" w:eastAsia="Calibri" w:hAnsi="Palatino Linotype" w:cs="Tahoma"/>
          <w:bCs/>
          <w:lang w:eastAsia="en-US"/>
        </w:rPr>
        <w:lastRenderedPageBreak/>
        <w:t>La primera letra del apellido paterno y la siguiente primera vocal del mismo.</w:t>
      </w:r>
    </w:p>
    <w:p w:rsidR="005145CF" w:rsidRPr="00B22AA2" w:rsidRDefault="005145CF" w:rsidP="005145CF">
      <w:pPr>
        <w:pStyle w:val="Prrafodelista"/>
        <w:numPr>
          <w:ilvl w:val="0"/>
          <w:numId w:val="13"/>
        </w:numPr>
        <w:spacing w:line="360" w:lineRule="auto"/>
        <w:ind w:right="567"/>
        <w:jc w:val="both"/>
        <w:rPr>
          <w:rFonts w:ascii="Palatino Linotype" w:eastAsia="Calibri" w:hAnsi="Palatino Linotype" w:cs="Tahoma"/>
          <w:bCs/>
          <w:lang w:eastAsia="en-US"/>
        </w:rPr>
      </w:pPr>
      <w:r w:rsidRPr="00B22AA2">
        <w:rPr>
          <w:rFonts w:ascii="Palatino Linotype" w:eastAsia="Calibri" w:hAnsi="Palatino Linotype" w:cs="Tahoma"/>
          <w:bCs/>
          <w:lang w:eastAsia="en-US"/>
        </w:rPr>
        <w:t>La primera letra del apellido materno.</w:t>
      </w:r>
    </w:p>
    <w:p w:rsidR="005145CF" w:rsidRPr="00B22AA2" w:rsidRDefault="005145CF" w:rsidP="005145CF">
      <w:pPr>
        <w:pStyle w:val="Prrafodelista"/>
        <w:numPr>
          <w:ilvl w:val="0"/>
          <w:numId w:val="13"/>
        </w:numPr>
        <w:spacing w:line="360" w:lineRule="auto"/>
        <w:ind w:right="567"/>
        <w:jc w:val="both"/>
        <w:rPr>
          <w:rFonts w:ascii="Palatino Linotype" w:eastAsia="Calibri" w:hAnsi="Palatino Linotype" w:cs="Tahoma"/>
          <w:bCs/>
          <w:lang w:eastAsia="en-US"/>
        </w:rPr>
      </w:pPr>
      <w:r w:rsidRPr="00B22AA2">
        <w:rPr>
          <w:rFonts w:ascii="Palatino Linotype" w:eastAsia="Calibri" w:hAnsi="Palatino Linotype" w:cs="Tahoma"/>
          <w:bCs/>
          <w:lang w:eastAsia="en-US"/>
        </w:rPr>
        <w:t>La primera letra del nombre.</w:t>
      </w:r>
    </w:p>
    <w:p w:rsidR="005145CF" w:rsidRPr="00B22AA2" w:rsidRDefault="005145CF" w:rsidP="005145CF">
      <w:pPr>
        <w:pStyle w:val="Prrafodelista"/>
        <w:numPr>
          <w:ilvl w:val="0"/>
          <w:numId w:val="12"/>
        </w:numPr>
        <w:spacing w:line="360" w:lineRule="auto"/>
        <w:ind w:right="567"/>
        <w:jc w:val="both"/>
        <w:rPr>
          <w:rFonts w:ascii="Palatino Linotype" w:eastAsia="Calibri" w:hAnsi="Palatino Linotype" w:cs="Tahoma"/>
          <w:bCs/>
          <w:lang w:eastAsia="en-US"/>
        </w:rPr>
      </w:pPr>
      <w:r w:rsidRPr="00B22AA2">
        <w:rPr>
          <w:rFonts w:ascii="Palatino Linotype" w:eastAsia="Calibri" w:hAnsi="Palatino Linotype" w:cs="Tahoma"/>
          <w:bCs/>
          <w:lang w:eastAsia="en-US"/>
        </w:rPr>
        <w:t>la fecha de nacimiento del contribuyente (año, mes y día, a dos cifras)</w:t>
      </w:r>
    </w:p>
    <w:p w:rsidR="005145CF" w:rsidRPr="00B22AA2" w:rsidRDefault="005145CF" w:rsidP="005145CF">
      <w:pPr>
        <w:pStyle w:val="Prrafodelista"/>
        <w:spacing w:line="360" w:lineRule="auto"/>
        <w:ind w:left="0" w:right="49"/>
        <w:jc w:val="both"/>
        <w:rPr>
          <w:rFonts w:ascii="Palatino Linotype" w:hAnsi="Palatino Linotype"/>
          <w:bCs/>
        </w:rPr>
      </w:pPr>
    </w:p>
    <w:p w:rsidR="002C55E9" w:rsidRPr="00B22AA2" w:rsidRDefault="005145CF" w:rsidP="002C55E9">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eastAsia="Calibri" w:hAnsi="Palatino Linotype" w:cs="Tahoma"/>
          <w:bCs/>
          <w:lang w:eastAsia="en-US"/>
        </w:rPr>
        <w:t>De lo anterior, se puede deducir que la Clave RFC está compuesta por datos personales, como lo es la fecha de nacimiento</w:t>
      </w:r>
      <w:r w:rsidR="002C55E9" w:rsidRPr="00B22AA2">
        <w:rPr>
          <w:rFonts w:ascii="Palatino Linotype" w:eastAsia="Calibri" w:hAnsi="Palatino Linotype" w:cs="Tahoma"/>
          <w:bCs/>
          <w:lang w:eastAsia="en-US"/>
        </w:rPr>
        <w:t>, robusteciendo lo anterior</w:t>
      </w:r>
      <w:r w:rsidRPr="00B22AA2">
        <w:rPr>
          <w:rFonts w:ascii="Palatino Linotype" w:eastAsia="Calibri" w:hAnsi="Palatino Linotype" w:cs="Tahoma"/>
          <w:bCs/>
          <w:lang w:eastAsia="en-US"/>
        </w:rPr>
        <w:t>,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r w:rsidR="002C55E9" w:rsidRPr="00B22AA2">
        <w:rPr>
          <w:rFonts w:ascii="Palatino Linotype" w:eastAsia="Calibri" w:hAnsi="Palatino Linotype" w:cs="Tahoma"/>
          <w:bCs/>
          <w:lang w:eastAsia="en-US"/>
        </w:rPr>
        <w:t xml:space="preserve"> Por consiguiente, el Sujeto Obligado realizó una correcta versión pública al testar ese dato.</w:t>
      </w:r>
    </w:p>
    <w:p w:rsidR="002C55E9" w:rsidRPr="00B22AA2" w:rsidRDefault="002C55E9" w:rsidP="002C55E9">
      <w:pPr>
        <w:pStyle w:val="Prrafodelista"/>
        <w:spacing w:line="360" w:lineRule="auto"/>
        <w:ind w:left="0"/>
        <w:jc w:val="both"/>
        <w:rPr>
          <w:rFonts w:ascii="Palatino Linotype" w:eastAsia="Calibri" w:hAnsi="Palatino Linotype" w:cs="Tahoma"/>
          <w:bCs/>
          <w:lang w:eastAsia="en-US"/>
        </w:rPr>
      </w:pPr>
    </w:p>
    <w:p w:rsidR="002C55E9" w:rsidRPr="00B22AA2" w:rsidRDefault="002C55E9" w:rsidP="002C55E9">
      <w:pPr>
        <w:pStyle w:val="Prrafodelista"/>
        <w:numPr>
          <w:ilvl w:val="0"/>
          <w:numId w:val="8"/>
        </w:numPr>
        <w:spacing w:line="360" w:lineRule="auto"/>
        <w:ind w:right="49"/>
        <w:jc w:val="both"/>
        <w:rPr>
          <w:rFonts w:ascii="Palatino Linotype" w:hAnsi="Palatino Linotype"/>
          <w:bCs/>
        </w:rPr>
      </w:pPr>
      <w:r w:rsidRPr="00B22AA2">
        <w:rPr>
          <w:rFonts w:ascii="Palatino Linotype" w:hAnsi="Palatino Linotype"/>
          <w:bCs/>
        </w:rPr>
        <w:t>CURP</w:t>
      </w:r>
    </w:p>
    <w:p w:rsidR="002C55E9" w:rsidRPr="00B22AA2" w:rsidRDefault="002C55E9" w:rsidP="002C55E9">
      <w:pPr>
        <w:pStyle w:val="Prrafodelista"/>
        <w:spacing w:line="360" w:lineRule="auto"/>
        <w:ind w:left="0" w:right="49"/>
        <w:jc w:val="both"/>
        <w:rPr>
          <w:rFonts w:ascii="Palatino Linotype" w:hAnsi="Palatino Linotype"/>
          <w:bCs/>
        </w:rPr>
      </w:pPr>
    </w:p>
    <w:p w:rsidR="002C55E9" w:rsidRPr="00B22AA2" w:rsidRDefault="002C55E9" w:rsidP="002C55E9">
      <w:pPr>
        <w:pStyle w:val="Prrafodelista"/>
        <w:numPr>
          <w:ilvl w:val="0"/>
          <w:numId w:val="1"/>
        </w:numPr>
        <w:spacing w:line="360" w:lineRule="auto"/>
        <w:ind w:left="0" w:right="49" w:firstLine="0"/>
        <w:jc w:val="both"/>
        <w:rPr>
          <w:rFonts w:ascii="Palatino Linotype" w:hAnsi="Palatino Linotype"/>
          <w:bCs/>
        </w:rPr>
      </w:pPr>
      <w:r w:rsidRPr="00B22AA2">
        <w:rPr>
          <w:rFonts w:ascii="Palatino Linotype" w:hAnsi="Palatino Linotype" w:cs="Arial"/>
          <w:lang w:eastAsia="es-MX"/>
        </w:rPr>
        <w:t xml:space="preserve">En cuanto a la </w:t>
      </w:r>
      <w:r w:rsidRPr="00B22AA2">
        <w:rPr>
          <w:rFonts w:ascii="Palatino Linotype" w:hAnsi="Palatino Linotype" w:cs="Arial"/>
        </w:rPr>
        <w:t>Clave Única de Registro de Población (CURP)</w:t>
      </w:r>
      <w:r w:rsidRPr="00B22AA2">
        <w:rPr>
          <w:rFonts w:ascii="Palatino Linotype" w:hAnsi="Palatino Linotype" w:cs="Arial"/>
          <w:lang w:eastAsia="es-MX"/>
        </w:rPr>
        <w:t>,</w:t>
      </w:r>
      <w:r w:rsidRPr="00B22AA2">
        <w:rPr>
          <w:rFonts w:ascii="Palatino Linotype" w:hAnsi="Palatino Linotype" w:cs="Arial"/>
        </w:rPr>
        <w:t xml:space="preserve"> en virtud de que éste se </w:t>
      </w:r>
      <w:r w:rsidRPr="00B22AA2">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r w:rsidRPr="00B22AA2">
        <w:rPr>
          <w:rFonts w:ascii="Palatino Linotype" w:hAnsi="Palatino Linotype"/>
          <w:bCs/>
        </w:rPr>
        <w:t xml:space="preserve"> </w:t>
      </w:r>
      <w:r w:rsidRPr="00B22AA2">
        <w:rPr>
          <w:rFonts w:ascii="Palatino Linotype" w:hAnsi="Palatino Linotype" w:cs="Arial"/>
        </w:rPr>
        <w:t xml:space="preserve">Argumento que es compartido por el entonces </w:t>
      </w:r>
      <w:r w:rsidRPr="00B22AA2">
        <w:rPr>
          <w:rStyle w:val="Textoennegrita"/>
          <w:rFonts w:ascii="Palatino Linotype" w:hAnsi="Palatino Linotype" w:cs="Arial"/>
        </w:rPr>
        <w:t xml:space="preserve">Instituto Federal de Acceso a la Información y Protección de Datos (IFAI), conforme al </w:t>
      </w:r>
      <w:r w:rsidRPr="00B22AA2">
        <w:rPr>
          <w:rFonts w:ascii="Palatino Linotype" w:eastAsia="Times New Roman" w:hAnsi="Palatino Linotype" w:cs="Arial"/>
        </w:rPr>
        <w:t xml:space="preserve">criterio número 0003-10, el cual refiere: </w:t>
      </w:r>
    </w:p>
    <w:p w:rsidR="002C55E9" w:rsidRPr="00B22AA2" w:rsidRDefault="002C55E9" w:rsidP="002C55E9">
      <w:pPr>
        <w:pStyle w:val="Prrafodelista"/>
        <w:spacing w:before="240" w:after="240" w:line="360" w:lineRule="auto"/>
        <w:ind w:left="0"/>
        <w:jc w:val="both"/>
        <w:rPr>
          <w:rFonts w:ascii="Palatino Linotype" w:eastAsia="Times New Roman" w:hAnsi="Palatino Linotype" w:cs="Arial"/>
        </w:rPr>
      </w:pPr>
    </w:p>
    <w:p w:rsidR="00792CF5" w:rsidRPr="00B22AA2" w:rsidRDefault="002C55E9" w:rsidP="002C55E9">
      <w:pPr>
        <w:pStyle w:val="Prrafodelista"/>
        <w:tabs>
          <w:tab w:val="left" w:pos="567"/>
        </w:tabs>
        <w:autoSpaceDE w:val="0"/>
        <w:autoSpaceDN w:val="0"/>
        <w:adjustRightInd w:val="0"/>
        <w:spacing w:after="240" w:line="360" w:lineRule="auto"/>
        <w:ind w:left="567" w:right="567"/>
        <w:jc w:val="both"/>
        <w:rPr>
          <w:rFonts w:ascii="Palatino Linotype" w:eastAsia="Times New Roman" w:hAnsi="Palatino Linotype" w:cs="Arial"/>
          <w:i/>
          <w:lang w:eastAsia="es-MX"/>
        </w:rPr>
      </w:pPr>
      <w:r w:rsidRPr="00B22AA2">
        <w:rPr>
          <w:rFonts w:ascii="Palatino Linotype" w:eastAsia="Times New Roman" w:hAnsi="Palatino Linotype" w:cs="Arial"/>
          <w:b/>
          <w:bCs/>
          <w:i/>
          <w:lang w:eastAsia="es-MX"/>
        </w:rPr>
        <w:t xml:space="preserve">“Clave Única de Registro de Población (CURP) es un dato personal confidencial. </w:t>
      </w:r>
      <w:r w:rsidRPr="00B22AA2">
        <w:rPr>
          <w:rFonts w:ascii="Palatino Linotype" w:eastAsia="Times New Roman" w:hAnsi="Palatino Linotype" w:cs="Arial"/>
          <w:i/>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22AA2">
        <w:rPr>
          <w:rFonts w:ascii="Palatino Linotype" w:eastAsia="Times New Roman" w:hAnsi="Palatino Linotype" w:cs="Arial"/>
          <w:b/>
          <w:bCs/>
          <w:i/>
          <w:lang w:eastAsia="es-MX"/>
        </w:rPr>
        <w:t>..</w:t>
      </w:r>
      <w:r w:rsidRPr="00B22AA2">
        <w:rPr>
          <w:rFonts w:ascii="Palatino Linotype" w:eastAsia="Times New Roman" w:hAnsi="Palatino Linotype" w:cs="Arial"/>
          <w:i/>
          <w:lang w:eastAsia="es-MX"/>
        </w:rPr>
        <w:t xml:space="preserve">.” </w:t>
      </w:r>
    </w:p>
    <w:p w:rsidR="00406415" w:rsidRPr="00B22AA2" w:rsidRDefault="00406415" w:rsidP="00406415">
      <w:pPr>
        <w:pStyle w:val="Prrafodelista"/>
        <w:spacing w:line="360" w:lineRule="auto"/>
        <w:ind w:left="0" w:right="49"/>
        <w:jc w:val="both"/>
        <w:rPr>
          <w:rFonts w:ascii="Palatino Linotype" w:hAnsi="Palatino Linotype" w:cs="Arial"/>
          <w:color w:val="000000"/>
        </w:rPr>
      </w:pPr>
    </w:p>
    <w:p w:rsidR="00841A74" w:rsidRPr="00B22AA2" w:rsidRDefault="00841A74" w:rsidP="00841A74">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cs="Arial"/>
          <w:color w:val="000000"/>
        </w:rPr>
        <w:t xml:space="preserve">Por consiguiente, al testar la Clave Única de Registro de Población, se realizó una correcta versión pública. </w:t>
      </w:r>
    </w:p>
    <w:p w:rsidR="00841A74" w:rsidRPr="00B22AA2" w:rsidRDefault="00841A74" w:rsidP="00841A74">
      <w:pPr>
        <w:pStyle w:val="Prrafodelista"/>
        <w:spacing w:line="360" w:lineRule="auto"/>
        <w:ind w:left="0" w:right="49"/>
        <w:jc w:val="both"/>
        <w:rPr>
          <w:rFonts w:ascii="Palatino Linotype" w:hAnsi="Palatino Linotype" w:cs="Arial"/>
          <w:color w:val="000000"/>
        </w:rPr>
      </w:pPr>
    </w:p>
    <w:p w:rsidR="00841A74" w:rsidRPr="00B22AA2" w:rsidRDefault="00841A74" w:rsidP="00841A74">
      <w:pPr>
        <w:pStyle w:val="Prrafodelista"/>
        <w:numPr>
          <w:ilvl w:val="0"/>
          <w:numId w:val="8"/>
        </w:numPr>
        <w:spacing w:line="360" w:lineRule="auto"/>
        <w:ind w:right="49"/>
        <w:jc w:val="both"/>
        <w:rPr>
          <w:rFonts w:ascii="Palatino Linotype" w:hAnsi="Palatino Linotype" w:cs="Arial"/>
          <w:b/>
          <w:color w:val="000000"/>
        </w:rPr>
      </w:pPr>
      <w:r w:rsidRPr="00B22AA2">
        <w:rPr>
          <w:rFonts w:ascii="Palatino Linotype" w:hAnsi="Palatino Linotype" w:cs="Arial"/>
          <w:b/>
          <w:color w:val="000000"/>
        </w:rPr>
        <w:t xml:space="preserve">Clave ISSEMYM </w:t>
      </w:r>
    </w:p>
    <w:p w:rsidR="00841A74" w:rsidRPr="00B22AA2" w:rsidRDefault="00841A74" w:rsidP="00841A74">
      <w:pPr>
        <w:pStyle w:val="Prrafodelista"/>
        <w:spacing w:line="360" w:lineRule="auto"/>
        <w:ind w:right="49"/>
        <w:jc w:val="both"/>
        <w:rPr>
          <w:rFonts w:ascii="Palatino Linotype" w:hAnsi="Palatino Linotype" w:cs="Arial"/>
          <w:b/>
          <w:color w:val="000000"/>
        </w:rPr>
      </w:pPr>
    </w:p>
    <w:p w:rsidR="00841A74" w:rsidRPr="00B22AA2" w:rsidRDefault="00841A74" w:rsidP="00841A74">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cs="Arial"/>
          <w:color w:val="000000"/>
        </w:rPr>
        <w:t xml:space="preserve"> </w:t>
      </w:r>
      <w:r w:rsidRPr="00B22AA2">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 En este caso, el Sujeto Obligado testo de manera acertada la Clave ISSEMYM.</w:t>
      </w:r>
    </w:p>
    <w:p w:rsidR="00F04689" w:rsidRPr="00B22AA2" w:rsidRDefault="001F4E45" w:rsidP="00E13F3A">
      <w:pPr>
        <w:pStyle w:val="Prrafodelista"/>
        <w:numPr>
          <w:ilvl w:val="0"/>
          <w:numId w:val="8"/>
        </w:numPr>
        <w:spacing w:line="360" w:lineRule="auto"/>
        <w:ind w:right="49"/>
        <w:jc w:val="both"/>
        <w:rPr>
          <w:rFonts w:ascii="Palatino Linotype" w:hAnsi="Palatino Linotype" w:cs="Arial"/>
          <w:b/>
          <w:color w:val="000000"/>
        </w:rPr>
      </w:pPr>
      <w:r w:rsidRPr="00B22AA2">
        <w:rPr>
          <w:rFonts w:ascii="Palatino Linotype" w:hAnsi="Palatino Linotype" w:cs="Arial"/>
          <w:b/>
          <w:color w:val="000000"/>
        </w:rPr>
        <w:lastRenderedPageBreak/>
        <w:t>Folio Fi</w:t>
      </w:r>
      <w:r w:rsidR="00346B24" w:rsidRPr="00B22AA2">
        <w:rPr>
          <w:rFonts w:ascii="Palatino Linotype" w:hAnsi="Palatino Linotype" w:cs="Arial"/>
          <w:b/>
          <w:color w:val="000000"/>
        </w:rPr>
        <w:t xml:space="preserve">scal, Cadenas y </w:t>
      </w:r>
      <w:r w:rsidRPr="00B22AA2">
        <w:rPr>
          <w:rFonts w:ascii="Palatino Linotype" w:hAnsi="Palatino Linotype" w:cs="Arial"/>
          <w:b/>
          <w:color w:val="000000"/>
        </w:rPr>
        <w:t>Sellos Digitales</w:t>
      </w:r>
    </w:p>
    <w:p w:rsidR="00346B24" w:rsidRPr="00B22AA2" w:rsidRDefault="00346B24" w:rsidP="00346B24">
      <w:pPr>
        <w:pStyle w:val="Prrafodelista"/>
        <w:spacing w:line="360" w:lineRule="auto"/>
        <w:ind w:right="49"/>
        <w:jc w:val="both"/>
        <w:rPr>
          <w:rFonts w:ascii="Palatino Linotype" w:hAnsi="Palatino Linotype" w:cs="Arial"/>
          <w:b/>
          <w:color w:val="000000"/>
        </w:rPr>
      </w:pPr>
    </w:p>
    <w:p w:rsidR="00F04689" w:rsidRPr="00B22AA2" w:rsidRDefault="00346B24" w:rsidP="00406415">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D63B3C" w:rsidRPr="00B22AA2" w:rsidRDefault="00D63B3C" w:rsidP="00D63B3C">
      <w:pPr>
        <w:pStyle w:val="Prrafodelista"/>
        <w:spacing w:line="360" w:lineRule="auto"/>
        <w:ind w:left="0" w:right="49"/>
        <w:jc w:val="both"/>
        <w:rPr>
          <w:rFonts w:ascii="Palatino Linotype" w:hAnsi="Palatino Linotype" w:cs="Arial"/>
          <w:color w:val="000000"/>
        </w:rPr>
      </w:pPr>
    </w:p>
    <w:p w:rsidR="00D63B3C" w:rsidRPr="00B22AA2" w:rsidRDefault="00346B24" w:rsidP="00406415">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rPr>
        <w:t>Las cadenas originales y sell</w:t>
      </w:r>
      <w:r w:rsidR="00D63B3C" w:rsidRPr="00B22AA2">
        <w:rPr>
          <w:rFonts w:ascii="Palatino Linotype" w:hAnsi="Palatino Linotype"/>
        </w:rPr>
        <w:t>os</w:t>
      </w:r>
      <w:r w:rsidRPr="00B22AA2">
        <w:rPr>
          <w:rFonts w:ascii="Palatino Linotype" w:hAnsi="Palatino Linotype"/>
        </w:rPr>
        <w:t>,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D63B3C" w:rsidRPr="00B22AA2" w:rsidRDefault="00D63B3C" w:rsidP="00D63B3C">
      <w:pPr>
        <w:pStyle w:val="Prrafodelista"/>
      </w:pPr>
    </w:p>
    <w:p w:rsidR="00D63B3C" w:rsidRPr="00B22AA2" w:rsidRDefault="00346B24" w:rsidP="00D63B3C">
      <w:pPr>
        <w:pStyle w:val="Prrafodelista"/>
        <w:spacing w:line="360" w:lineRule="auto"/>
        <w:ind w:left="851" w:right="567"/>
        <w:jc w:val="both"/>
        <w:rPr>
          <w:rFonts w:ascii="Palatino Linotype" w:hAnsi="Palatino Linotype" w:cs="Arial"/>
          <w:i/>
          <w:color w:val="000000"/>
          <w:sz w:val="22"/>
        </w:rPr>
      </w:pPr>
      <w:r w:rsidRPr="00B22AA2">
        <w:rPr>
          <w:rFonts w:ascii="Palatino Linotype" w:hAnsi="Palatino Linotype"/>
          <w:i/>
          <w:sz w:val="22"/>
        </w:rPr>
        <w:t xml:space="preserve"> “Elementos utilizados en la generación de Sellos Digitales: </w:t>
      </w:r>
    </w:p>
    <w:p w:rsidR="00D63B3C" w:rsidRPr="00B22AA2" w:rsidRDefault="00D63B3C" w:rsidP="00D63B3C">
      <w:pPr>
        <w:pStyle w:val="Prrafodelista"/>
        <w:ind w:left="851" w:right="567"/>
        <w:rPr>
          <w:rFonts w:ascii="Palatino Linotype" w:hAnsi="Palatino Linotype"/>
          <w:i/>
          <w:sz w:val="22"/>
        </w:rPr>
      </w:pPr>
    </w:p>
    <w:p w:rsidR="00D63B3C" w:rsidRPr="00B22AA2" w:rsidRDefault="00346B24" w:rsidP="00D63B3C">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 xml:space="preserve">• Cadena Original, el elemento a sellar, en este caso de un comprobante fiscal digital a través de Internet. </w:t>
      </w:r>
    </w:p>
    <w:p w:rsidR="00D63B3C" w:rsidRPr="00B22AA2" w:rsidRDefault="00346B24" w:rsidP="00D63B3C">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lastRenderedPageBreak/>
        <w:t xml:space="preserve">• Certificado de Sello Digital y su correspondiente clave privada. </w:t>
      </w:r>
    </w:p>
    <w:p w:rsidR="00D63B3C" w:rsidRPr="00B22AA2" w:rsidRDefault="00346B24" w:rsidP="00D63B3C">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 xml:space="preserve">• Algoritmos de criptografía de clave pública para firma electrónica avanzada. </w:t>
      </w:r>
    </w:p>
    <w:p w:rsidR="00D63B3C" w:rsidRPr="00B22AA2" w:rsidRDefault="00346B24" w:rsidP="00D63B3C">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 xml:space="preserve">• Especificaciones de conversión de la firma electrónica avanzada a Base 64. </w:t>
      </w:r>
    </w:p>
    <w:p w:rsidR="00D63B3C" w:rsidRPr="00B22AA2" w:rsidRDefault="00346B24" w:rsidP="00D63B3C">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 xml:space="preserve">Para la generación de sellos digitales se utiliza criptografía de clave pública aplicada a una cadena original. </w:t>
      </w:r>
    </w:p>
    <w:p w:rsidR="00D63B3C" w:rsidRPr="00B22AA2" w:rsidRDefault="00D63B3C" w:rsidP="00D63B3C">
      <w:pPr>
        <w:pStyle w:val="Prrafodelista"/>
        <w:tabs>
          <w:tab w:val="left" w:pos="2098"/>
        </w:tabs>
        <w:spacing w:line="360" w:lineRule="auto"/>
        <w:ind w:left="851" w:right="567"/>
        <w:jc w:val="both"/>
        <w:rPr>
          <w:rFonts w:ascii="Palatino Linotype" w:hAnsi="Palatino Linotype"/>
          <w:i/>
          <w:sz w:val="22"/>
        </w:rPr>
      </w:pPr>
      <w:r w:rsidRPr="00B22AA2">
        <w:rPr>
          <w:rFonts w:ascii="Palatino Linotype" w:hAnsi="Palatino Linotype"/>
          <w:i/>
          <w:sz w:val="22"/>
        </w:rPr>
        <w:tab/>
      </w:r>
    </w:p>
    <w:p w:rsidR="00D63B3C" w:rsidRPr="00B22AA2" w:rsidRDefault="00346B24" w:rsidP="00D63B3C">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 xml:space="preserve">Criptografía de la Clave Pública </w:t>
      </w:r>
    </w:p>
    <w:p w:rsidR="00D63B3C" w:rsidRPr="00B22AA2" w:rsidRDefault="00346B24" w:rsidP="00D63B3C">
      <w:pPr>
        <w:pStyle w:val="Prrafodelista"/>
        <w:spacing w:line="360" w:lineRule="auto"/>
        <w:ind w:left="851" w:right="567"/>
        <w:jc w:val="both"/>
        <w:rPr>
          <w:rFonts w:ascii="Palatino Linotype" w:hAnsi="Palatino Linotype"/>
          <w:i/>
          <w:sz w:val="22"/>
        </w:rPr>
      </w:pPr>
      <w:r w:rsidRPr="00B22AA2">
        <w:rPr>
          <w:rFonts w:ascii="Palatino Linotype" w:hAnsi="Palatino Linotype"/>
          <w:i/>
          <w:sz w:val="22"/>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 </w:t>
      </w:r>
    </w:p>
    <w:p w:rsidR="00D63B3C" w:rsidRPr="00B22AA2" w:rsidRDefault="00D63B3C" w:rsidP="00D63B3C">
      <w:pPr>
        <w:pStyle w:val="Prrafodelista"/>
        <w:spacing w:line="360" w:lineRule="auto"/>
        <w:ind w:left="0" w:right="49"/>
        <w:jc w:val="both"/>
        <w:rPr>
          <w:rFonts w:ascii="Palatino Linotype" w:hAnsi="Palatino Linotype" w:cs="Arial"/>
          <w:color w:val="000000"/>
        </w:rPr>
      </w:pPr>
    </w:p>
    <w:p w:rsidR="00D63B3C" w:rsidRPr="00B22AA2" w:rsidRDefault="00D63B3C" w:rsidP="00D63B3C">
      <w:pPr>
        <w:pStyle w:val="Prrafodelista"/>
        <w:numPr>
          <w:ilvl w:val="0"/>
          <w:numId w:val="1"/>
        </w:numPr>
        <w:spacing w:line="360" w:lineRule="auto"/>
        <w:ind w:left="0" w:right="49" w:firstLine="0"/>
        <w:jc w:val="both"/>
        <w:rPr>
          <w:rFonts w:ascii="Palatino Linotype" w:hAnsi="Palatino Linotype"/>
        </w:rPr>
      </w:pPr>
      <w:r w:rsidRPr="00B22AA2">
        <w:rPr>
          <w:rFonts w:ascii="Palatino Linotype" w:hAnsi="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D63B3C" w:rsidRPr="00B22AA2" w:rsidRDefault="00D63B3C" w:rsidP="00D63B3C">
      <w:pPr>
        <w:pStyle w:val="Prrafodelista"/>
        <w:spacing w:line="360" w:lineRule="auto"/>
        <w:ind w:left="0" w:right="49"/>
        <w:jc w:val="both"/>
        <w:rPr>
          <w:rFonts w:ascii="Palatino Linotype" w:hAnsi="Palatino Linotype" w:cs="Arial"/>
          <w:color w:val="000000"/>
        </w:rPr>
      </w:pPr>
    </w:p>
    <w:p w:rsidR="00346B24" w:rsidRPr="00B22AA2" w:rsidRDefault="00346B24" w:rsidP="00406415">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w:t>
      </w:r>
      <w:r w:rsidRPr="00B22AA2">
        <w:rPr>
          <w:rFonts w:ascii="Palatino Linotype" w:hAnsi="Palatino Linotype"/>
        </w:rPr>
        <w:lastRenderedPageBreak/>
        <w:t xml:space="preserve">denominado “Cómo ubicar el Folio Fiscal en una factura”, emitido por el Instituto Nacional electoral (consultado el tres de diciembre de dos mil veinte, a las once horas con diez minutos, en la página electrónica </w:t>
      </w:r>
      <w:hyperlink r:id="rId12" w:history="1">
        <w:r w:rsidR="00D63B3C" w:rsidRPr="00B22AA2">
          <w:rPr>
            <w:rStyle w:val="Hipervnculo"/>
            <w:rFonts w:ascii="Palatino Linotype" w:hAnsi="Palatino Linotype"/>
          </w:rPr>
          <w:t>https://portalanterior.ine.mx/archivos2/tutoriales/sistemas/ApoyoInstitucional/SIF/docs/can didatos/folioFiscalFactura.pdf</w:t>
        </w:r>
      </w:hyperlink>
      <w:r w:rsidR="00D63B3C" w:rsidRPr="00B22AA2">
        <w:rPr>
          <w:rFonts w:ascii="Palatino Linotype" w:hAnsi="Palatino Linotype"/>
        </w:rPr>
        <w:t xml:space="preserve"> </w:t>
      </w:r>
      <w:r w:rsidRPr="00B22AA2">
        <w:rPr>
          <w:rFonts w:ascii="Palatino Linotype" w:hAnsi="Palatino Linotype"/>
        </w:rPr>
        <w:t>), en la cual se advierte que únicamente se encuentra conformado por números.</w:t>
      </w:r>
    </w:p>
    <w:p w:rsidR="00D63B3C" w:rsidRPr="00B22AA2" w:rsidRDefault="00D63B3C" w:rsidP="00D63B3C">
      <w:pPr>
        <w:pStyle w:val="Prrafodelista"/>
        <w:spacing w:line="360" w:lineRule="auto"/>
        <w:ind w:left="0" w:right="49"/>
        <w:jc w:val="both"/>
        <w:rPr>
          <w:rFonts w:ascii="Palatino Linotype" w:hAnsi="Palatino Linotype" w:cs="Arial"/>
          <w:color w:val="000000"/>
        </w:rPr>
      </w:pPr>
    </w:p>
    <w:p w:rsidR="00346B24" w:rsidRPr="00B22AA2" w:rsidRDefault="00346B24" w:rsidP="00406415">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rPr>
        <w:t>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 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D63B3C" w:rsidRPr="00B22AA2" w:rsidRDefault="00D63B3C" w:rsidP="00D63B3C">
      <w:pPr>
        <w:pStyle w:val="Prrafodelista"/>
        <w:spacing w:line="360" w:lineRule="auto"/>
        <w:ind w:left="0" w:right="49"/>
        <w:jc w:val="both"/>
        <w:rPr>
          <w:rFonts w:ascii="Palatino Linotype" w:hAnsi="Palatino Linotype" w:cs="Arial"/>
          <w:color w:val="000000"/>
        </w:rPr>
      </w:pPr>
    </w:p>
    <w:p w:rsidR="00346B24" w:rsidRPr="00B22AA2" w:rsidRDefault="00346B24" w:rsidP="00406415">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rPr>
        <w:t xml:space="preserve">En ese contexto, de la misma manera que en los casos previamente analizados, el folio fiscal, no contiene datos personales del emisor y tampoco se </w:t>
      </w:r>
      <w:r w:rsidRPr="00B22AA2">
        <w:rPr>
          <w:rFonts w:ascii="Palatino Linotype" w:hAnsi="Palatino Linotype"/>
        </w:rPr>
        <w:lastRenderedPageBreak/>
        <w:t>puede obtener información confidencial con el mismo, pues solamente es un identificador del emisor, del cual su transparencia ayuda a legitimar que el documento cumple con todos los requisitos establecidos en la normatividad aplicable, sin necesidad algún da</w:t>
      </w:r>
      <w:r w:rsidR="009656CC" w:rsidRPr="00B22AA2">
        <w:rPr>
          <w:rFonts w:ascii="Palatino Linotype" w:hAnsi="Palatino Linotype"/>
        </w:rPr>
        <w:t>to personal, por lo que, no</w:t>
      </w:r>
      <w:r w:rsidRPr="00B22AA2">
        <w:rPr>
          <w:rFonts w:ascii="Palatino Linotype" w:hAnsi="Palatino Linotype"/>
        </w:rPr>
        <w:t xml:space="preserve"> actualiza la clasificación, en términos del artículo 143, fracción I de la Ley de la materia.</w:t>
      </w:r>
      <w:r w:rsidR="009656CC" w:rsidRPr="00B22AA2">
        <w:rPr>
          <w:rFonts w:ascii="Palatino Linotype" w:hAnsi="Palatino Linotype"/>
        </w:rPr>
        <w:t xml:space="preserve"> Por consiguiente, se realizó una versión pública excesiva al testar esos datos.</w:t>
      </w:r>
    </w:p>
    <w:p w:rsidR="00F04689" w:rsidRPr="00B22AA2" w:rsidRDefault="00F04689" w:rsidP="00D63B3C">
      <w:pPr>
        <w:pStyle w:val="Prrafodelista"/>
        <w:spacing w:line="360" w:lineRule="auto"/>
        <w:ind w:left="0" w:right="49"/>
        <w:jc w:val="both"/>
        <w:rPr>
          <w:rFonts w:ascii="Palatino Linotype" w:hAnsi="Palatino Linotype" w:cs="Arial"/>
          <w:color w:val="000000"/>
        </w:rPr>
      </w:pPr>
    </w:p>
    <w:p w:rsidR="00F04689" w:rsidRPr="00B22AA2" w:rsidRDefault="00E13F3A" w:rsidP="00E13F3A">
      <w:pPr>
        <w:pStyle w:val="Prrafodelista"/>
        <w:numPr>
          <w:ilvl w:val="0"/>
          <w:numId w:val="8"/>
        </w:numPr>
        <w:spacing w:line="360" w:lineRule="auto"/>
        <w:ind w:right="49"/>
        <w:jc w:val="both"/>
        <w:rPr>
          <w:rFonts w:ascii="Palatino Linotype" w:hAnsi="Palatino Linotype" w:cs="Arial"/>
          <w:b/>
          <w:color w:val="000000"/>
        </w:rPr>
      </w:pPr>
      <w:r w:rsidRPr="00B22AA2">
        <w:rPr>
          <w:rFonts w:ascii="Palatino Linotype" w:hAnsi="Palatino Linotype" w:cs="Arial"/>
          <w:b/>
          <w:color w:val="000000"/>
        </w:rPr>
        <w:t xml:space="preserve">Código </w:t>
      </w:r>
      <w:r w:rsidR="00D63B3C" w:rsidRPr="00B22AA2">
        <w:rPr>
          <w:rFonts w:ascii="Palatino Linotype" w:hAnsi="Palatino Linotype" w:cs="Arial"/>
          <w:b/>
          <w:color w:val="000000"/>
        </w:rPr>
        <w:t xml:space="preserve">QR </w:t>
      </w:r>
    </w:p>
    <w:p w:rsidR="00D63B3C" w:rsidRPr="00B22AA2" w:rsidRDefault="00D63B3C" w:rsidP="00D63B3C">
      <w:pPr>
        <w:pStyle w:val="Prrafodelista"/>
        <w:spacing w:line="360" w:lineRule="auto"/>
        <w:ind w:right="49"/>
        <w:jc w:val="both"/>
        <w:rPr>
          <w:rFonts w:ascii="Palatino Linotype" w:hAnsi="Palatino Linotype" w:cs="Arial"/>
          <w:b/>
          <w:color w:val="000000"/>
        </w:rPr>
      </w:pPr>
    </w:p>
    <w:p w:rsidR="00D63B3C" w:rsidRPr="00B22AA2" w:rsidRDefault="00D63B3C" w:rsidP="00D63B3C">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B22AA2">
        <w:rPr>
          <w:rFonts w:ascii="Palatino Linotype" w:hAnsi="Palatino Linotype"/>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B22AA2">
          <w:rPr>
            <w:rStyle w:val="Hipervnculo"/>
            <w:rFonts w:ascii="Palatino Linotype" w:hAnsi="Palatino Linotype"/>
          </w:rPr>
          <w:t>http://dof.gob.mx/nota_detalle.php?codigo=5492254&amp;fecha=28/07/2017</w:t>
        </w:r>
      </w:hyperlink>
      <w:r w:rsidRPr="00B22AA2">
        <w:rPr>
          <w:rFonts w:ascii="Palatino Linotype" w:hAnsi="Palatino Linotype"/>
        </w:rPr>
        <w:t>.</w:t>
      </w:r>
    </w:p>
    <w:p w:rsidR="00D63B3C" w:rsidRPr="00B22AA2" w:rsidRDefault="00D63B3C" w:rsidP="00D63B3C">
      <w:pPr>
        <w:pStyle w:val="Prrafodelista"/>
        <w:spacing w:before="120" w:after="120" w:line="360" w:lineRule="auto"/>
        <w:ind w:left="0"/>
        <w:jc w:val="both"/>
        <w:rPr>
          <w:rFonts w:ascii="Palatino Linotype" w:hAnsi="Palatino Linotype" w:cs="Arial"/>
          <w:color w:val="000000" w:themeColor="text1"/>
        </w:rPr>
      </w:pPr>
    </w:p>
    <w:p w:rsidR="00F04689" w:rsidRPr="00B22AA2" w:rsidRDefault="00D63B3C" w:rsidP="009656CC">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B22AA2">
        <w:rPr>
          <w:rFonts w:ascii="Palatino Linotype" w:hAnsi="Palatino Linotype"/>
        </w:rPr>
        <w:t>Incluso con la captura de dicho código, a través de la aplicación móvil del Servicio de Administración Tributaria, permite el acceso al Registro Federal de Contribuyentes, como del Sujeto Obligado, como de los servidores públicos. 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009656CC" w:rsidRPr="00B22AA2">
        <w:rPr>
          <w:rFonts w:ascii="Palatino Linotype" w:hAnsi="Palatino Linotype" w:cs="Arial"/>
          <w:color w:val="000000" w:themeColor="text1"/>
        </w:rPr>
        <w:t xml:space="preserve"> En este caso, el Código QR, si es un dato susceptible de ser clasificado.</w:t>
      </w:r>
    </w:p>
    <w:p w:rsidR="009656CC" w:rsidRPr="00B22AA2" w:rsidRDefault="009656CC" w:rsidP="009656CC">
      <w:pPr>
        <w:pStyle w:val="Prrafodelista"/>
        <w:rPr>
          <w:rFonts w:ascii="Palatino Linotype" w:hAnsi="Palatino Linotype" w:cs="Arial"/>
          <w:color w:val="000000" w:themeColor="text1"/>
        </w:rPr>
      </w:pPr>
    </w:p>
    <w:p w:rsidR="009656CC" w:rsidRPr="00B22AA2" w:rsidRDefault="009656CC" w:rsidP="009656CC">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B22AA2">
        <w:rPr>
          <w:rFonts w:ascii="Palatino Linotype" w:hAnsi="Palatino Linotype" w:cs="Arial"/>
          <w:color w:val="000000" w:themeColor="text1"/>
        </w:rPr>
        <w:t xml:space="preserve">Atendiendo a lo anteriormente señalado, de la revisión de los recibos de nómina se advierte que el Sujeto Obligado realizó una </w:t>
      </w:r>
      <w:r w:rsidR="00BB3889" w:rsidRPr="00B22AA2">
        <w:rPr>
          <w:rFonts w:ascii="Palatino Linotype" w:hAnsi="Palatino Linotype" w:cs="Arial"/>
          <w:color w:val="000000" w:themeColor="text1"/>
        </w:rPr>
        <w:t xml:space="preserve">versión pública excesiva, por ello, es dable ordenar los recibos de nómina remitidos en respuesta, en su versión pública correcta. </w:t>
      </w:r>
    </w:p>
    <w:p w:rsidR="00406415" w:rsidRPr="00B22AA2" w:rsidRDefault="00406415" w:rsidP="00406415">
      <w:pPr>
        <w:pStyle w:val="Prrafodelista"/>
        <w:spacing w:line="360" w:lineRule="auto"/>
        <w:ind w:left="0" w:right="49"/>
        <w:jc w:val="both"/>
        <w:rPr>
          <w:rFonts w:ascii="Palatino Linotype" w:hAnsi="Palatino Linotype" w:cs="Arial"/>
          <w:color w:val="000000"/>
        </w:rPr>
      </w:pPr>
    </w:p>
    <w:p w:rsidR="00406415" w:rsidRPr="00B22AA2" w:rsidRDefault="00406415" w:rsidP="00406415">
      <w:pPr>
        <w:pStyle w:val="Ttulo1"/>
        <w:spacing w:before="0" w:line="360" w:lineRule="auto"/>
        <w:rPr>
          <w:rFonts w:eastAsia="Calibri"/>
          <w:szCs w:val="24"/>
        </w:rPr>
      </w:pPr>
      <w:bookmarkStart w:id="26" w:name="_Toc82537187"/>
      <w:bookmarkStart w:id="27" w:name="_Toc83830734"/>
      <w:bookmarkStart w:id="28" w:name="_Toc85112354"/>
      <w:r w:rsidRPr="00B22AA2">
        <w:rPr>
          <w:rFonts w:eastAsia="Calibri"/>
          <w:szCs w:val="24"/>
        </w:rPr>
        <w:t>QUINTO. VERSIÓN PÚBLICA.</w:t>
      </w:r>
      <w:bookmarkEnd w:id="26"/>
      <w:bookmarkEnd w:id="27"/>
      <w:bookmarkEnd w:id="28"/>
    </w:p>
    <w:p w:rsidR="00406415" w:rsidRPr="00B22AA2" w:rsidRDefault="00406415" w:rsidP="00406415">
      <w:pPr>
        <w:rPr>
          <w:lang w:val="es-MX" w:eastAsia="en-US"/>
        </w:rPr>
      </w:pPr>
    </w:p>
    <w:p w:rsidR="00406415" w:rsidRPr="00B22AA2" w:rsidRDefault="00406415" w:rsidP="00406415">
      <w:pPr>
        <w:pStyle w:val="Ttulo1"/>
        <w:numPr>
          <w:ilvl w:val="0"/>
          <w:numId w:val="2"/>
        </w:numPr>
        <w:spacing w:before="0" w:line="360" w:lineRule="auto"/>
        <w:rPr>
          <w:rFonts w:cs="Times New Roman"/>
          <w:color w:val="000000" w:themeColor="text1"/>
          <w:szCs w:val="24"/>
          <w:lang w:eastAsia="es-ES_tradnl"/>
        </w:rPr>
      </w:pPr>
      <w:bookmarkStart w:id="29" w:name="_Toc48135362"/>
      <w:bookmarkStart w:id="30" w:name="_Toc82017070"/>
      <w:bookmarkStart w:id="31" w:name="_Toc82537188"/>
      <w:bookmarkStart w:id="32" w:name="_Toc83830735"/>
      <w:bookmarkStart w:id="33" w:name="_Toc85112355"/>
      <w:r w:rsidRPr="00B22AA2">
        <w:rPr>
          <w:rFonts w:cs="Times New Roman"/>
          <w:color w:val="000000" w:themeColor="text1"/>
          <w:szCs w:val="24"/>
          <w:lang w:eastAsia="es-ES_tradnl"/>
        </w:rPr>
        <w:t>Nociones generales.</w:t>
      </w:r>
      <w:bookmarkEnd w:id="29"/>
      <w:bookmarkEnd w:id="30"/>
      <w:bookmarkEnd w:id="31"/>
      <w:bookmarkEnd w:id="32"/>
      <w:bookmarkEnd w:id="33"/>
      <w:r w:rsidRPr="00B22AA2">
        <w:rPr>
          <w:rFonts w:cs="Times New Roman"/>
          <w:color w:val="000000" w:themeColor="text1"/>
          <w:szCs w:val="24"/>
          <w:lang w:eastAsia="es-ES_tradnl"/>
        </w:rPr>
        <w:t xml:space="preserve"> </w:t>
      </w:r>
    </w:p>
    <w:p w:rsidR="00406415" w:rsidRPr="00B22AA2" w:rsidRDefault="00406415" w:rsidP="00406415">
      <w:pPr>
        <w:rPr>
          <w:lang w:val="es-MX" w:eastAsia="es-ES_tradnl"/>
        </w:rPr>
      </w:pPr>
    </w:p>
    <w:p w:rsidR="00406415" w:rsidRPr="00B22AA2" w:rsidRDefault="00406415" w:rsidP="00406415">
      <w:pPr>
        <w:pStyle w:val="Prrafodelista"/>
        <w:numPr>
          <w:ilvl w:val="0"/>
          <w:numId w:val="1"/>
        </w:numPr>
        <w:spacing w:line="360" w:lineRule="auto"/>
        <w:ind w:left="0" w:right="49" w:firstLine="0"/>
        <w:jc w:val="both"/>
        <w:rPr>
          <w:rFonts w:ascii="Palatino Linotype" w:hAnsi="Palatino Linotype" w:cs="Arial"/>
          <w:color w:val="000000"/>
        </w:rPr>
      </w:pPr>
      <w:r w:rsidRPr="00B22AA2">
        <w:rPr>
          <w:rFonts w:ascii="Palatino Linotype" w:hAnsi="Palatino Linotype" w:cs="Arial"/>
          <w:color w:val="000000"/>
        </w:rPr>
        <w:t>Debe destacarse que, debido a la naturaleza de la información solicitada</w:t>
      </w:r>
      <w:r w:rsidRPr="00B22AA2">
        <w:rPr>
          <w:rFonts w:ascii="Palatino Linotype" w:hAnsi="Palatino Linotype" w:cs="Arial"/>
          <w:b/>
          <w:color w:val="000000"/>
        </w:rPr>
        <w:t xml:space="preserve">, </w:t>
      </w:r>
      <w:r w:rsidRPr="00B22AA2">
        <w:rPr>
          <w:rFonts w:ascii="Palatino Linotype" w:hAnsi="Palatino Linotype" w:cs="Arial"/>
          <w:color w:val="000000"/>
        </w:rPr>
        <w:t xml:space="preserve">eventualmente pudiera obrar datos personales susceptibles de protegerse, el </w:t>
      </w:r>
      <w:r w:rsidRPr="00B22AA2">
        <w:rPr>
          <w:rFonts w:ascii="Palatino Linotype" w:hAnsi="Palatino Linotype" w:cs="Arial"/>
          <w:b/>
          <w:bCs/>
          <w:color w:val="000000"/>
        </w:rPr>
        <w:t xml:space="preserve">Sujeto Obligado </w:t>
      </w:r>
      <w:r w:rsidRPr="00B22AA2">
        <w:rPr>
          <w:rFonts w:ascii="Palatino Linotype" w:hAnsi="Palatino Linotype" w:cs="Arial"/>
          <w:color w:val="000000"/>
        </w:rPr>
        <w:t xml:space="preserve">deberá de hacer la adecuada versión pública, protegiendo los datos que no son susceptibles de ser proporcionados. </w:t>
      </w:r>
    </w:p>
    <w:p w:rsidR="00406415" w:rsidRPr="00B22AA2" w:rsidRDefault="00406415" w:rsidP="00406415">
      <w:pPr>
        <w:pStyle w:val="Prrafodelista"/>
        <w:spacing w:line="360" w:lineRule="auto"/>
        <w:ind w:left="0" w:right="49"/>
        <w:jc w:val="both"/>
        <w:rPr>
          <w:rFonts w:ascii="Palatino Linotype" w:hAnsi="Palatino Linotype" w:cs="Arial"/>
          <w:color w:val="000000"/>
        </w:rPr>
      </w:pPr>
    </w:p>
    <w:p w:rsidR="00406415" w:rsidRPr="00B22AA2" w:rsidRDefault="00406415" w:rsidP="00406415">
      <w:pPr>
        <w:numPr>
          <w:ilvl w:val="0"/>
          <w:numId w:val="1"/>
        </w:numPr>
        <w:spacing w:line="360" w:lineRule="auto"/>
        <w:ind w:left="0" w:right="49" w:firstLine="0"/>
        <w:contextualSpacing/>
        <w:jc w:val="both"/>
        <w:rPr>
          <w:rFonts w:ascii="Palatino Linotype" w:hAnsi="Palatino Linotype" w:cs="Arial"/>
          <w:color w:val="000000"/>
        </w:rPr>
      </w:pPr>
      <w:r w:rsidRPr="00B22AA2">
        <w:rPr>
          <w:rFonts w:ascii="Palatino Linotype" w:hAnsi="Palatino Linotype" w:cs="Arial"/>
          <w:color w:val="000000"/>
        </w:rPr>
        <w:t xml:space="preserve">No pasa desapercibido para este Órgano Garante que los </w:t>
      </w:r>
      <w:r w:rsidRPr="00B22AA2">
        <w:rPr>
          <w:rFonts w:ascii="Palatino Linotype" w:hAnsi="Palatino Linotype" w:cs="Arial"/>
          <w:b/>
          <w:bCs/>
          <w:color w:val="000000"/>
        </w:rPr>
        <w:t xml:space="preserve">Sujetos Obligados </w:t>
      </w:r>
      <w:r w:rsidRPr="00B22AA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06415" w:rsidRPr="00B22AA2" w:rsidRDefault="00406415" w:rsidP="00406415">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406415" w:rsidRPr="00B22AA2" w:rsidTr="00681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06415" w:rsidRPr="00B22AA2" w:rsidRDefault="00406415" w:rsidP="006819D9">
            <w:pPr>
              <w:spacing w:line="360" w:lineRule="auto"/>
              <w:rPr>
                <w:rFonts w:ascii="Palatino Linotype" w:hAnsi="Palatino Linotype"/>
                <w:bCs w:val="0"/>
              </w:rPr>
            </w:pPr>
            <w:r w:rsidRPr="00B22AA2">
              <w:rPr>
                <w:rFonts w:ascii="Palatino Linotype" w:hAnsi="Palatino Linotype" w:cstheme="majorBidi"/>
                <w:bCs w:val="0"/>
              </w:rPr>
              <w:t>a) Requisitos previos.</w:t>
            </w:r>
          </w:p>
        </w:tc>
        <w:tc>
          <w:tcPr>
            <w:tcW w:w="6990" w:type="dxa"/>
            <w:hideMark/>
          </w:tcPr>
          <w:p w:rsidR="00406415" w:rsidRPr="00B22AA2" w:rsidRDefault="00406415" w:rsidP="006819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22AA2">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w:t>
            </w:r>
            <w:r w:rsidRPr="00B22AA2">
              <w:rPr>
                <w:rFonts w:ascii="Palatino Linotype" w:hAnsi="Palatino Linotype" w:cs="Arial"/>
                <w:b w:val="0"/>
                <w:bCs w:val="0"/>
                <w:color w:val="000000"/>
              </w:rPr>
              <w:lastRenderedPageBreak/>
              <w:t xml:space="preserve">supuestos de clasificación, es deber de los titulares de las áreas proponer su clasificación y no del Comité de Transparencia. </w:t>
            </w:r>
          </w:p>
          <w:p w:rsidR="00406415" w:rsidRPr="00B22AA2" w:rsidRDefault="00406415" w:rsidP="006819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22AA2">
              <w:rPr>
                <w:rFonts w:ascii="Palatino Linotype" w:hAnsi="Palatino Linotype" w:cs="Arial"/>
                <w:b w:val="0"/>
                <w:bCs w:val="0"/>
                <w:color w:val="000000"/>
              </w:rPr>
              <w:t>Al hacerlo tienen que precisar de qué información se trata, señalando el supuesto de clasificación (confidencialidad o reserva).</w:t>
            </w:r>
          </w:p>
          <w:p w:rsidR="00406415" w:rsidRPr="00B22AA2" w:rsidRDefault="00406415" w:rsidP="006819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22AA2">
              <w:rPr>
                <w:rFonts w:ascii="Palatino Linotype" w:hAnsi="Palatino Linotype" w:cs="Arial"/>
                <w:b w:val="0"/>
                <w:bCs w:val="0"/>
                <w:color w:val="000000"/>
              </w:rPr>
              <w:t>Además, se debe señalar el procedimiento, de los tres que establecen los artículos 132 y 106 de la Ley Estatal y General, respectivamente.</w:t>
            </w:r>
          </w:p>
          <w:p w:rsidR="00406415" w:rsidRPr="00B22AA2" w:rsidRDefault="00406415" w:rsidP="006819D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22AA2">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22AA2">
              <w:rPr>
                <w:rFonts w:ascii="Palatino Linotype" w:hAnsi="Palatino Linotype" w:cs="Arial"/>
                <w:b w:val="0"/>
                <w:bCs w:val="0"/>
                <w:color w:val="000000"/>
                <w:u w:val="single"/>
              </w:rPr>
              <w:t>no se puede hacer un acuerdo para clasificar de manera general todos los documentos de un expediente o área, sin</w:t>
            </w:r>
            <w:r w:rsidRPr="00B22AA2">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406415" w:rsidRPr="00B22AA2" w:rsidTr="00681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06415" w:rsidRPr="00B22AA2" w:rsidRDefault="00406415" w:rsidP="006819D9">
            <w:pPr>
              <w:spacing w:line="360" w:lineRule="auto"/>
              <w:rPr>
                <w:rFonts w:ascii="Palatino Linotype" w:hAnsi="Palatino Linotype"/>
                <w:bCs w:val="0"/>
              </w:rPr>
            </w:pPr>
            <w:r w:rsidRPr="00B22AA2">
              <w:rPr>
                <w:rFonts w:ascii="Palatino Linotype" w:hAnsi="Palatino Linotype" w:cstheme="majorBidi"/>
                <w:bCs w:val="0"/>
              </w:rPr>
              <w:lastRenderedPageBreak/>
              <w:t>b) Supuestos de clasificación.</w:t>
            </w:r>
          </w:p>
        </w:tc>
        <w:tc>
          <w:tcPr>
            <w:tcW w:w="6990" w:type="dxa"/>
            <w:hideMark/>
          </w:tcPr>
          <w:p w:rsidR="00406415" w:rsidRPr="00B22AA2"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406415" w:rsidRPr="00B22AA2"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B22AA2">
              <w:rPr>
                <w:rFonts w:ascii="Palatino Linotype" w:hAnsi="Palatino Linotype" w:cs="Arial"/>
                <w:color w:val="000000"/>
              </w:rPr>
              <w:lastRenderedPageBreak/>
              <w:t>ampliar las excepciones o supuestos de clasificación aduciendo analogía o mayoría de razón.</w:t>
            </w:r>
          </w:p>
          <w:p w:rsidR="00406415" w:rsidRPr="00B22AA2" w:rsidRDefault="00406415" w:rsidP="006819D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22AA2">
              <w:rPr>
                <w:rFonts w:ascii="Palatino Linotype" w:hAnsi="Palatino Linotype" w:cs="Arial"/>
                <w:color w:val="000000"/>
              </w:rPr>
              <w:t xml:space="preserve">El </w:t>
            </w:r>
            <w:r w:rsidRPr="00B22AA2">
              <w:rPr>
                <w:rFonts w:ascii="Palatino Linotype" w:hAnsi="Palatino Linotype" w:cs="Arial"/>
                <w:b/>
                <w:color w:val="000000"/>
              </w:rPr>
              <w:t>Sujeto Obligado</w:t>
            </w:r>
            <w:r w:rsidRPr="00B22AA2">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06415" w:rsidRPr="00B22AA2" w:rsidTr="006819D9">
        <w:tc>
          <w:tcPr>
            <w:cnfStyle w:val="001000000000" w:firstRow="0" w:lastRow="0" w:firstColumn="1" w:lastColumn="0" w:oddVBand="0" w:evenVBand="0" w:oddHBand="0" w:evenHBand="0" w:firstRowFirstColumn="0" w:firstRowLastColumn="0" w:lastRowFirstColumn="0" w:lastRowLastColumn="0"/>
            <w:tcW w:w="1838" w:type="dxa"/>
            <w:hideMark/>
          </w:tcPr>
          <w:p w:rsidR="00406415" w:rsidRPr="00B22AA2" w:rsidRDefault="00406415" w:rsidP="006819D9">
            <w:pPr>
              <w:spacing w:line="360" w:lineRule="auto"/>
              <w:rPr>
                <w:rFonts w:ascii="Palatino Linotype" w:hAnsi="Palatino Linotype"/>
                <w:bCs w:val="0"/>
              </w:rPr>
            </w:pPr>
            <w:r w:rsidRPr="00B22AA2">
              <w:rPr>
                <w:rFonts w:ascii="Palatino Linotype" w:hAnsi="Palatino Linotype" w:cstheme="majorBidi"/>
                <w:bCs w:val="0"/>
              </w:rPr>
              <w:lastRenderedPageBreak/>
              <w:t>c) Formalidades para emitir el acuerdo de clasificación.</w:t>
            </w:r>
          </w:p>
        </w:tc>
        <w:tc>
          <w:tcPr>
            <w:tcW w:w="6990" w:type="dxa"/>
            <w:hideMark/>
          </w:tcPr>
          <w:p w:rsidR="00406415" w:rsidRPr="00B22AA2"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406415" w:rsidRPr="00B22AA2"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 xml:space="preserve">Es necesario que </w:t>
            </w:r>
            <w:r w:rsidRPr="00B22AA2">
              <w:rPr>
                <w:rFonts w:ascii="Palatino Linotype" w:hAnsi="Palatino Linotype" w:cs="Arial"/>
                <w:b/>
                <w:color w:val="000000"/>
                <w:u w:val="single"/>
              </w:rPr>
              <w:t>el acto reúna con los requisitos elementales</w:t>
            </w:r>
            <w:r w:rsidRPr="00B22AA2">
              <w:rPr>
                <w:rFonts w:ascii="Palatino Linotype" w:hAnsi="Palatino Linotype" w:cs="Arial"/>
                <w:color w:val="000000"/>
              </w:rPr>
              <w:t>, entre ellos, que la autoridad que va a emitir el acto de autoridad sea la legalmente facultada para ello.</w:t>
            </w:r>
          </w:p>
          <w:p w:rsidR="00406415" w:rsidRPr="00B22AA2" w:rsidRDefault="00406415" w:rsidP="006819D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22AA2">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06415" w:rsidRPr="00B22AA2" w:rsidTr="00681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06415" w:rsidRPr="00B22AA2" w:rsidRDefault="00406415" w:rsidP="006819D9">
            <w:pPr>
              <w:spacing w:line="360" w:lineRule="auto"/>
              <w:rPr>
                <w:rFonts w:ascii="Palatino Linotype" w:hAnsi="Palatino Linotype"/>
                <w:b w:val="0"/>
              </w:rPr>
            </w:pPr>
          </w:p>
          <w:p w:rsidR="00406415" w:rsidRPr="00B22AA2" w:rsidRDefault="00406415" w:rsidP="006819D9">
            <w:pPr>
              <w:spacing w:line="360" w:lineRule="auto"/>
              <w:jc w:val="both"/>
              <w:rPr>
                <w:rFonts w:ascii="Palatino Linotype" w:hAnsi="Palatino Linotype"/>
                <w:bCs w:val="0"/>
              </w:rPr>
            </w:pPr>
            <w:r w:rsidRPr="00B22AA2">
              <w:rPr>
                <w:rFonts w:ascii="Palatino Linotype" w:hAnsi="Palatino Linotype" w:cs="Arial"/>
                <w:bCs w:val="0"/>
                <w:color w:val="000000"/>
              </w:rPr>
              <w:lastRenderedPageBreak/>
              <w:t xml:space="preserve">d) Requisitos de fondo del acuerdo de clasificación. </w:t>
            </w:r>
          </w:p>
        </w:tc>
        <w:tc>
          <w:tcPr>
            <w:tcW w:w="6990" w:type="dxa"/>
            <w:hideMark/>
          </w:tcPr>
          <w:p w:rsidR="00406415" w:rsidRPr="00B22AA2"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lastRenderedPageBreak/>
              <w:t xml:space="preserve">Como se ha señalado antes, al hacer el juicio de subsunción o encaje entre el supuesto de hecho y la hipótesis jurídica, se debe </w:t>
            </w:r>
            <w:r w:rsidRPr="00B22AA2">
              <w:rPr>
                <w:rFonts w:ascii="Palatino Linotype" w:hAnsi="Palatino Linotype" w:cs="Arial"/>
                <w:color w:val="000000"/>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B22AA2">
              <w:rPr>
                <w:rFonts w:ascii="Palatino Linotype" w:hAnsi="Palatino Linotype" w:cs="Arial"/>
                <w:b/>
                <w:color w:val="000000"/>
              </w:rPr>
              <w:t>Sujetos Obligados</w:t>
            </w:r>
            <w:r w:rsidRPr="00B22AA2">
              <w:rPr>
                <w:rFonts w:ascii="Palatino Linotype" w:hAnsi="Palatino Linotype" w:cs="Arial"/>
                <w:color w:val="000000"/>
              </w:rPr>
              <w:t xml:space="preserve">, por lo que deberán fundar y motivar debidamente la clasificación. </w:t>
            </w:r>
          </w:p>
          <w:p w:rsidR="00406415" w:rsidRPr="00B22AA2"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 xml:space="preserve">De lo anterior, se desprende que para una correcta </w:t>
            </w:r>
            <w:r w:rsidRPr="00B22AA2">
              <w:rPr>
                <w:rFonts w:ascii="Palatino Linotype" w:hAnsi="Palatino Linotype" w:cs="Arial"/>
                <w:b/>
                <w:color w:val="000000"/>
              </w:rPr>
              <w:t>clasificación total o parcial</w:t>
            </w:r>
            <w:r w:rsidRPr="00B22AA2">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06415" w:rsidRPr="00B22AA2"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06415" w:rsidRPr="00B22AA2"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406415" w:rsidRPr="00B22AA2"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lastRenderedPageBreak/>
              <w:t xml:space="preserve">Ahora bien, </w:t>
            </w:r>
            <w:r w:rsidRPr="00B22AA2">
              <w:rPr>
                <w:rFonts w:ascii="Palatino Linotype" w:hAnsi="Palatino Linotype" w:cs="Arial"/>
                <w:b/>
                <w:color w:val="000000"/>
                <w:u w:val="single"/>
              </w:rPr>
              <w:t>para cada caso además de fundar y motivar</w:t>
            </w:r>
            <w:r w:rsidRPr="00B22AA2">
              <w:rPr>
                <w:rFonts w:ascii="Palatino Linotype" w:hAnsi="Palatino Linotype" w:cs="Arial"/>
                <w:color w:val="000000"/>
              </w:rPr>
              <w:t xml:space="preserve">, se debe identificar con claridad que datos contenidos en las documentales que son susceptibles de suprimirse, por ejemplo; </w:t>
            </w:r>
            <w:r w:rsidRPr="00B22AA2">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06415" w:rsidRPr="00B22AA2" w:rsidTr="006819D9">
        <w:tc>
          <w:tcPr>
            <w:cnfStyle w:val="001000000000" w:firstRow="0" w:lastRow="0" w:firstColumn="1" w:lastColumn="0" w:oddVBand="0" w:evenVBand="0" w:oddHBand="0" w:evenHBand="0" w:firstRowFirstColumn="0" w:firstRowLastColumn="0" w:lastRowFirstColumn="0" w:lastRowLastColumn="0"/>
            <w:tcW w:w="1838" w:type="dxa"/>
          </w:tcPr>
          <w:p w:rsidR="00406415" w:rsidRPr="00B22AA2" w:rsidRDefault="00406415" w:rsidP="006819D9">
            <w:pPr>
              <w:spacing w:line="360" w:lineRule="auto"/>
              <w:ind w:right="49"/>
              <w:jc w:val="both"/>
              <w:rPr>
                <w:rFonts w:ascii="Palatino Linotype" w:hAnsi="Palatino Linotype" w:cs="Arial"/>
                <w:bCs w:val="0"/>
              </w:rPr>
            </w:pPr>
            <w:r w:rsidRPr="00B22AA2">
              <w:rPr>
                <w:rFonts w:ascii="Palatino Linotype" w:eastAsia="MS Gothic" w:hAnsi="Palatino Linotype" w:cs="Times New Roman"/>
                <w:b w:val="0"/>
              </w:rPr>
              <w:lastRenderedPageBreak/>
              <w:t>e</w:t>
            </w:r>
            <w:r w:rsidRPr="00B22AA2">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406415" w:rsidRPr="00B22AA2"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406415" w:rsidRPr="00B22AA2"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22AA2">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06415" w:rsidRPr="00B22AA2" w:rsidRDefault="00406415" w:rsidP="006819D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22AA2">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06415" w:rsidRPr="00B22AA2" w:rsidRDefault="00406415" w:rsidP="00406415">
      <w:pPr>
        <w:spacing w:line="360" w:lineRule="auto"/>
        <w:ind w:right="49"/>
        <w:contextualSpacing/>
        <w:jc w:val="both"/>
        <w:rPr>
          <w:rFonts w:ascii="Palatino Linotype" w:hAnsi="Palatino Linotype" w:cs="Arial"/>
          <w:color w:val="000000"/>
        </w:rPr>
      </w:pPr>
    </w:p>
    <w:p w:rsidR="009656CC" w:rsidRPr="00B22AA2" w:rsidRDefault="00406415" w:rsidP="009656CC">
      <w:pPr>
        <w:pStyle w:val="Prrafodelista"/>
        <w:numPr>
          <w:ilvl w:val="0"/>
          <w:numId w:val="1"/>
        </w:numPr>
        <w:shd w:val="clear" w:color="auto" w:fill="FFFFFF"/>
        <w:spacing w:line="360" w:lineRule="auto"/>
        <w:ind w:left="0" w:firstLine="0"/>
        <w:jc w:val="both"/>
        <w:rPr>
          <w:rFonts w:ascii="Palatino Linotype" w:hAnsi="Palatino Linotype" w:cs="Arial"/>
        </w:rPr>
      </w:pPr>
      <w:r w:rsidRPr="00B22AA2">
        <w:rPr>
          <w:rFonts w:ascii="Palatino Linotype" w:hAnsi="Palatino Linotype" w:cs="Arial"/>
          <w:lang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06415" w:rsidRPr="00B22AA2" w:rsidRDefault="00406415" w:rsidP="00BB3889">
      <w:pPr>
        <w:pStyle w:val="Prrafodelista"/>
        <w:shd w:val="clear" w:color="auto" w:fill="FFFFFF"/>
        <w:spacing w:line="360" w:lineRule="auto"/>
        <w:ind w:left="0"/>
        <w:jc w:val="both"/>
        <w:rPr>
          <w:rFonts w:ascii="Palatino Linotype" w:hAnsi="Palatino Linotype" w:cs="Arial"/>
        </w:rPr>
      </w:pPr>
    </w:p>
    <w:p w:rsidR="00406415" w:rsidRPr="00B22AA2" w:rsidRDefault="00406415" w:rsidP="00406415">
      <w:pPr>
        <w:pStyle w:val="Prrafodelista"/>
        <w:numPr>
          <w:ilvl w:val="0"/>
          <w:numId w:val="1"/>
        </w:numPr>
        <w:spacing w:line="360" w:lineRule="auto"/>
        <w:ind w:left="0" w:firstLine="0"/>
        <w:jc w:val="both"/>
        <w:rPr>
          <w:rFonts w:ascii="Palatino Linotype" w:hAnsi="Palatino Linotype" w:cs="Arial"/>
        </w:rPr>
      </w:pPr>
      <w:r w:rsidRPr="00B22AA2">
        <w:rPr>
          <w:rFonts w:ascii="Palatino Linotype" w:eastAsia="Times New Roman" w:hAnsi="Palatino Linotype" w:cs="Arial"/>
          <w:color w:val="222222"/>
          <w:lang w:eastAsia="es-MX"/>
        </w:rPr>
        <w:t xml:space="preserve">Por lo anteriormente expuesto y fundado, este </w:t>
      </w:r>
      <w:r w:rsidRPr="00B22AA2">
        <w:rPr>
          <w:rFonts w:ascii="Palatino Linotype" w:eastAsia="Times New Roman" w:hAnsi="Palatino Linotype" w:cs="Arial"/>
          <w:b/>
          <w:bCs/>
          <w:color w:val="222222"/>
          <w:lang w:eastAsia="es-MX"/>
        </w:rPr>
        <w:t>ÓRGANO GARANTE</w:t>
      </w:r>
      <w:r w:rsidRPr="00B22AA2">
        <w:rPr>
          <w:rFonts w:ascii="Palatino Linotype" w:eastAsia="Times New Roman" w:hAnsi="Palatino Linotype" w:cs="Arial"/>
          <w:color w:val="222222"/>
          <w:lang w:eastAsia="es-MX"/>
        </w:rPr>
        <w:t xml:space="preserve"> emite los siguientes:</w:t>
      </w:r>
      <w:bookmarkStart w:id="34" w:name="_Toc447699324"/>
      <w:bookmarkStart w:id="35" w:name="_Toc445745148"/>
      <w:bookmarkStart w:id="36" w:name="_Toc486525261"/>
      <w:bookmarkStart w:id="37" w:name="_Toc4061692"/>
      <w:bookmarkStart w:id="38" w:name="_Toc59195566"/>
      <w:bookmarkStart w:id="39" w:name="_Toc89360033"/>
    </w:p>
    <w:p w:rsidR="00406415" w:rsidRPr="00B22AA2" w:rsidRDefault="00406415" w:rsidP="00406415">
      <w:pPr>
        <w:keepNext/>
        <w:keepLines/>
        <w:spacing w:line="360" w:lineRule="auto"/>
        <w:jc w:val="center"/>
        <w:outlineLvl w:val="0"/>
        <w:rPr>
          <w:rFonts w:ascii="Palatino Linotype" w:eastAsia="Times New Roman" w:hAnsi="Palatino Linotype" w:cstheme="majorBidi"/>
          <w:b/>
          <w:bCs/>
        </w:rPr>
      </w:pPr>
    </w:p>
    <w:p w:rsidR="00406415" w:rsidRPr="00B22AA2" w:rsidRDefault="00406415" w:rsidP="00406415">
      <w:pPr>
        <w:keepNext/>
        <w:keepLines/>
        <w:spacing w:line="360" w:lineRule="auto"/>
        <w:jc w:val="center"/>
        <w:outlineLvl w:val="0"/>
        <w:rPr>
          <w:rFonts w:ascii="Palatino Linotype" w:eastAsia="Times New Roman" w:hAnsi="Palatino Linotype" w:cstheme="majorBidi"/>
          <w:b/>
          <w:bCs/>
        </w:rPr>
      </w:pPr>
      <w:r w:rsidRPr="00B22AA2">
        <w:rPr>
          <w:rFonts w:ascii="Palatino Linotype" w:eastAsia="Times New Roman" w:hAnsi="Palatino Linotype" w:cstheme="majorBidi"/>
          <w:b/>
          <w:bCs/>
        </w:rPr>
        <w:t>R E S O L U T I V O S</w:t>
      </w:r>
      <w:bookmarkEnd w:id="34"/>
      <w:bookmarkEnd w:id="35"/>
      <w:bookmarkEnd w:id="36"/>
      <w:bookmarkEnd w:id="37"/>
      <w:bookmarkEnd w:id="38"/>
      <w:bookmarkEnd w:id="39"/>
    </w:p>
    <w:p w:rsidR="00406415" w:rsidRPr="00B22AA2" w:rsidRDefault="00406415" w:rsidP="00406415">
      <w:pPr>
        <w:keepNext/>
        <w:keepLines/>
        <w:spacing w:line="360" w:lineRule="auto"/>
        <w:jc w:val="center"/>
        <w:outlineLvl w:val="0"/>
        <w:rPr>
          <w:rFonts w:ascii="Palatino Linotype" w:eastAsia="Times New Roman" w:hAnsi="Palatino Linotype" w:cstheme="majorBidi"/>
          <w:b/>
          <w:bCs/>
        </w:rPr>
      </w:pPr>
    </w:p>
    <w:p w:rsidR="00406415" w:rsidRPr="00B22AA2" w:rsidRDefault="00406415" w:rsidP="00406415">
      <w:pPr>
        <w:spacing w:line="360" w:lineRule="auto"/>
        <w:ind w:right="48"/>
        <w:jc w:val="both"/>
        <w:rPr>
          <w:rFonts w:ascii="Palatino Linotype" w:hAnsi="Palatino Linotype" w:cs="Arial"/>
          <w:bCs/>
          <w:szCs w:val="20"/>
        </w:rPr>
      </w:pPr>
      <w:r w:rsidRPr="00B22AA2">
        <w:rPr>
          <w:rFonts w:ascii="Palatino Linotype" w:hAnsi="Palatino Linotype" w:cs="Arial"/>
          <w:b/>
          <w:szCs w:val="20"/>
        </w:rPr>
        <w:t xml:space="preserve">PRIMERO. </w:t>
      </w:r>
      <w:r w:rsidRPr="00B22AA2">
        <w:rPr>
          <w:rFonts w:ascii="Palatino Linotype" w:hAnsi="Palatino Linotype" w:cs="Arial"/>
          <w:szCs w:val="20"/>
        </w:rPr>
        <w:t>Resultan  fundadas las</w:t>
      </w:r>
      <w:r w:rsidRPr="00B22AA2">
        <w:rPr>
          <w:rFonts w:ascii="Palatino Linotype" w:hAnsi="Palatino Linotype" w:cs="Arial"/>
          <w:b/>
          <w:szCs w:val="20"/>
        </w:rPr>
        <w:t xml:space="preserve"> </w:t>
      </w:r>
      <w:r w:rsidRPr="00B22AA2">
        <w:rPr>
          <w:rFonts w:ascii="Palatino Linotype" w:hAnsi="Palatino Linotype" w:cs="Arial"/>
          <w:szCs w:val="20"/>
          <w:lang w:val="es-ES"/>
        </w:rPr>
        <w:t xml:space="preserve">razones o motivos de inconformidad hechos valer </w:t>
      </w:r>
      <w:r w:rsidRPr="00B22AA2">
        <w:rPr>
          <w:rFonts w:ascii="Palatino Linotype" w:eastAsia="Calibri" w:hAnsi="Palatino Linotype" w:cs="Arial"/>
          <w:szCs w:val="20"/>
          <w:lang w:val="es-ES"/>
        </w:rPr>
        <w:t xml:space="preserve">en el recurso de revisión </w:t>
      </w:r>
      <w:r w:rsidR="00BB3889" w:rsidRPr="00B22AA2">
        <w:rPr>
          <w:rFonts w:ascii="Palatino Linotype" w:hAnsi="Palatino Linotype" w:cs="Arial"/>
          <w:b/>
          <w:bCs/>
          <w:szCs w:val="20"/>
        </w:rPr>
        <w:t>02758</w:t>
      </w:r>
      <w:r w:rsidRPr="00B22AA2">
        <w:rPr>
          <w:rFonts w:ascii="Palatino Linotype" w:hAnsi="Palatino Linotype" w:cs="Arial"/>
          <w:b/>
          <w:bCs/>
          <w:szCs w:val="20"/>
        </w:rPr>
        <w:t xml:space="preserve">/INFOEM/IP/RR/2021, </w:t>
      </w:r>
      <w:r w:rsidRPr="00B22AA2">
        <w:rPr>
          <w:rFonts w:ascii="Palatino Linotype" w:hAnsi="Palatino Linotype" w:cs="Arial"/>
          <w:bCs/>
          <w:szCs w:val="20"/>
        </w:rPr>
        <w:t xml:space="preserve">en términos del </w:t>
      </w:r>
      <w:r w:rsidRPr="00B22AA2">
        <w:rPr>
          <w:rFonts w:ascii="Palatino Linotype" w:hAnsi="Palatino Linotype" w:cs="Arial"/>
          <w:b/>
          <w:bCs/>
          <w:szCs w:val="20"/>
        </w:rPr>
        <w:t>Considerando</w:t>
      </w:r>
      <w:r w:rsidRPr="00B22AA2">
        <w:rPr>
          <w:rFonts w:ascii="Palatino Linotype" w:hAnsi="Palatino Linotype" w:cs="Arial"/>
          <w:bCs/>
          <w:szCs w:val="20"/>
        </w:rPr>
        <w:t xml:space="preserve"> </w:t>
      </w:r>
      <w:r w:rsidRPr="00B22AA2">
        <w:rPr>
          <w:rFonts w:ascii="Palatino Linotype" w:hAnsi="Palatino Linotype" w:cs="Arial"/>
          <w:b/>
          <w:bCs/>
          <w:szCs w:val="20"/>
        </w:rPr>
        <w:t xml:space="preserve">CUARTO y QUINTO  </w:t>
      </w:r>
      <w:r w:rsidRPr="00B22AA2">
        <w:rPr>
          <w:rFonts w:ascii="Palatino Linotype" w:hAnsi="Palatino Linotype" w:cs="Arial"/>
          <w:bCs/>
          <w:szCs w:val="20"/>
        </w:rPr>
        <w:t>de la presente resolución.</w:t>
      </w:r>
    </w:p>
    <w:p w:rsidR="00406415" w:rsidRPr="00B22AA2" w:rsidRDefault="00406415" w:rsidP="00406415">
      <w:pPr>
        <w:spacing w:line="360" w:lineRule="auto"/>
        <w:ind w:right="48"/>
        <w:jc w:val="both"/>
        <w:rPr>
          <w:rFonts w:ascii="Palatino Linotype" w:hAnsi="Palatino Linotype" w:cs="Arial"/>
          <w:bCs/>
          <w:szCs w:val="20"/>
        </w:rPr>
      </w:pPr>
    </w:p>
    <w:p w:rsidR="00406415" w:rsidRPr="00B22AA2" w:rsidRDefault="00406415" w:rsidP="00406415">
      <w:pPr>
        <w:spacing w:line="360" w:lineRule="auto"/>
        <w:ind w:right="48"/>
        <w:jc w:val="both"/>
        <w:rPr>
          <w:rFonts w:ascii="Palatino Linotype" w:hAnsi="Palatino Linotype" w:cs="Arial"/>
          <w:bCs/>
          <w:szCs w:val="20"/>
        </w:rPr>
      </w:pPr>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B22AA2">
        <w:rPr>
          <w:rFonts w:ascii="Palatino Linotype" w:hAnsi="Palatino Linotype"/>
          <w:b/>
          <w:szCs w:val="20"/>
        </w:rPr>
        <w:t>SEGUNDO.</w:t>
      </w:r>
      <w:r w:rsidRPr="00B22AA2">
        <w:rPr>
          <w:rFonts w:ascii="Palatino Linotype" w:eastAsia="DengXian Light" w:hAnsi="Palatino Linotype"/>
          <w:color w:val="2F5496"/>
          <w:sz w:val="36"/>
          <w:szCs w:val="26"/>
        </w:rPr>
        <w:t xml:space="preserve"> </w:t>
      </w:r>
      <w:bookmarkEnd w:id="40"/>
      <w:bookmarkEnd w:id="41"/>
      <w:bookmarkEnd w:id="42"/>
      <w:bookmarkEnd w:id="43"/>
      <w:bookmarkEnd w:id="44"/>
      <w:bookmarkEnd w:id="45"/>
      <w:bookmarkEnd w:id="46"/>
      <w:r w:rsidRPr="00B22AA2">
        <w:rPr>
          <w:rFonts w:ascii="Palatino Linotype" w:eastAsia="Calibri" w:hAnsi="Palatino Linotype" w:cs="Arial"/>
          <w:szCs w:val="20"/>
          <w:lang w:val="es-ES"/>
        </w:rPr>
        <w:t>Se</w:t>
      </w:r>
      <w:r w:rsidRPr="00B22AA2">
        <w:rPr>
          <w:rFonts w:ascii="Palatino Linotype" w:eastAsia="Calibri" w:hAnsi="Palatino Linotype" w:cs="Arial"/>
          <w:b/>
          <w:szCs w:val="20"/>
          <w:lang w:val="es-ES"/>
        </w:rPr>
        <w:t xml:space="preserve"> MODIFICA </w:t>
      </w:r>
      <w:r w:rsidRPr="00B22AA2">
        <w:rPr>
          <w:rFonts w:ascii="Palatino Linotype" w:eastAsia="Calibri" w:hAnsi="Palatino Linotype" w:cs="Arial"/>
          <w:szCs w:val="20"/>
          <w:lang w:val="es-ES"/>
        </w:rPr>
        <w:t xml:space="preserve">la respuesta emitida por el </w:t>
      </w:r>
      <w:r w:rsidRPr="00B22AA2">
        <w:rPr>
          <w:rFonts w:ascii="Palatino Linotype" w:eastAsia="Calibri" w:hAnsi="Palatino Linotype" w:cs="Tahoma"/>
          <w:b/>
          <w:szCs w:val="22"/>
          <w:lang w:eastAsia="en-US"/>
        </w:rPr>
        <w:t>Ayunt</w:t>
      </w:r>
      <w:r w:rsidR="00BB3889" w:rsidRPr="00B22AA2">
        <w:rPr>
          <w:rFonts w:ascii="Palatino Linotype" w:eastAsia="Calibri" w:hAnsi="Palatino Linotype" w:cs="Tahoma"/>
          <w:b/>
          <w:szCs w:val="22"/>
          <w:lang w:eastAsia="en-US"/>
        </w:rPr>
        <w:t>amiento de Ixtapan de la Sal</w:t>
      </w:r>
      <w:r w:rsidRPr="00B22AA2">
        <w:rPr>
          <w:rFonts w:ascii="Palatino Linotype" w:eastAsia="Calibri" w:hAnsi="Palatino Linotype" w:cs="Tahoma"/>
          <w:b/>
          <w:szCs w:val="22"/>
          <w:lang w:eastAsia="en-US"/>
        </w:rPr>
        <w:t xml:space="preserve"> </w:t>
      </w:r>
      <w:r w:rsidRPr="00B22AA2">
        <w:rPr>
          <w:rFonts w:ascii="Palatino Linotype" w:eastAsia="Calibri" w:hAnsi="Palatino Linotype" w:cs="Arial"/>
          <w:szCs w:val="20"/>
          <w:lang w:val="es-ES"/>
        </w:rPr>
        <w:t>y se</w:t>
      </w:r>
      <w:r w:rsidRPr="00B22AA2">
        <w:rPr>
          <w:rFonts w:ascii="Palatino Linotype" w:eastAsia="Calibri" w:hAnsi="Palatino Linotype" w:cs="Arial"/>
          <w:b/>
          <w:szCs w:val="20"/>
          <w:lang w:val="es-ES"/>
        </w:rPr>
        <w:t xml:space="preserve"> ORDENA </w:t>
      </w:r>
      <w:r w:rsidRPr="00B22AA2">
        <w:rPr>
          <w:rFonts w:ascii="Palatino Linotype" w:hAnsi="Palatino Linotype" w:cs="Arial"/>
          <w:szCs w:val="20"/>
          <w:lang w:val="es-ES"/>
        </w:rPr>
        <w:t>entregar vía Sistema de Accesos a la Información Mexique</w:t>
      </w:r>
      <w:r w:rsidR="00BB3889" w:rsidRPr="00B22AA2">
        <w:rPr>
          <w:rFonts w:ascii="Palatino Linotype" w:hAnsi="Palatino Linotype" w:cs="Arial"/>
          <w:szCs w:val="20"/>
          <w:lang w:val="es-ES"/>
        </w:rPr>
        <w:t>nse (SAIMEX)</w:t>
      </w:r>
      <w:r w:rsidRPr="00B22AA2">
        <w:rPr>
          <w:rFonts w:ascii="Palatino Linotype" w:hAnsi="Palatino Linotype" w:cs="Arial"/>
          <w:szCs w:val="20"/>
          <w:lang w:val="es-ES"/>
        </w:rPr>
        <w:t xml:space="preserve">, la siguiente </w:t>
      </w:r>
      <w:r w:rsidRPr="00B22AA2">
        <w:rPr>
          <w:rFonts w:ascii="Palatino Linotype" w:hAnsi="Palatino Linotype" w:cs="Arial"/>
          <w:bCs/>
          <w:szCs w:val="20"/>
        </w:rPr>
        <w:t>información:</w:t>
      </w:r>
    </w:p>
    <w:p w:rsidR="00406415" w:rsidRPr="00B22AA2" w:rsidRDefault="00406415" w:rsidP="00406415">
      <w:pPr>
        <w:spacing w:line="360" w:lineRule="auto"/>
        <w:ind w:right="48"/>
        <w:jc w:val="both"/>
        <w:rPr>
          <w:rFonts w:ascii="Palatino Linotype" w:hAnsi="Palatino Linotype" w:cs="Arial"/>
          <w:bCs/>
          <w:szCs w:val="22"/>
        </w:rPr>
      </w:pPr>
    </w:p>
    <w:p w:rsidR="00406415" w:rsidRPr="00B22AA2" w:rsidRDefault="00406415" w:rsidP="00406415">
      <w:pPr>
        <w:pStyle w:val="Prrafodelista"/>
        <w:spacing w:line="360" w:lineRule="auto"/>
        <w:jc w:val="both"/>
        <w:rPr>
          <w:rFonts w:ascii="Palatino Linotype" w:hAnsi="Palatino Linotype"/>
          <w:b/>
          <w:bCs/>
        </w:rPr>
      </w:pPr>
      <w:r w:rsidRPr="00B22AA2">
        <w:rPr>
          <w:rFonts w:ascii="Palatino Linotype" w:hAnsi="Palatino Linotype" w:cs="Arial"/>
          <w:b/>
          <w:bCs/>
          <w:szCs w:val="22"/>
        </w:rPr>
        <w:t xml:space="preserve">a). </w:t>
      </w:r>
      <w:r w:rsidRPr="00B22AA2">
        <w:rPr>
          <w:rFonts w:ascii="Palatino Linotype" w:hAnsi="Palatino Linotype"/>
          <w:b/>
        </w:rPr>
        <w:t xml:space="preserve">Recibos de nómina </w:t>
      </w:r>
      <w:r w:rsidR="00BB3889" w:rsidRPr="00B22AA2">
        <w:rPr>
          <w:rFonts w:ascii="Palatino Linotype" w:hAnsi="Palatino Linotype"/>
          <w:b/>
        </w:rPr>
        <w:t xml:space="preserve">entregados en respuesta en su versión pública correcta. </w:t>
      </w:r>
    </w:p>
    <w:p w:rsidR="00406415" w:rsidRPr="00B22AA2" w:rsidRDefault="00406415" w:rsidP="00406415">
      <w:pPr>
        <w:pStyle w:val="Prrafodelista"/>
        <w:spacing w:line="360" w:lineRule="auto"/>
        <w:jc w:val="both"/>
        <w:rPr>
          <w:rFonts w:ascii="Palatino Linotype" w:hAnsi="Palatino Linotype" w:cs="Tahoma"/>
          <w:b/>
          <w:szCs w:val="22"/>
        </w:rPr>
      </w:pPr>
    </w:p>
    <w:p w:rsidR="00406415" w:rsidRPr="00B22AA2" w:rsidRDefault="00406415" w:rsidP="00406415">
      <w:pPr>
        <w:spacing w:line="360" w:lineRule="auto"/>
        <w:jc w:val="both"/>
        <w:rPr>
          <w:rFonts w:ascii="Palatino Linotype" w:eastAsia="Calibri" w:hAnsi="Palatino Linotype" w:cs="Arial"/>
          <w:b/>
        </w:rPr>
      </w:pPr>
      <w:r w:rsidRPr="00B22AA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B22AA2">
        <w:rPr>
          <w:rFonts w:ascii="Palatino Linotype" w:eastAsia="Calibri" w:hAnsi="Palatino Linotype" w:cs="Arial"/>
        </w:rPr>
        <w:lastRenderedPageBreak/>
        <w:t xml:space="preserve">eliminen dentro del soporte documental respectivo objeto de las versiones públicas que se formulen y se pongan a disposición de </w:t>
      </w:r>
      <w:r w:rsidRPr="00B22AA2">
        <w:rPr>
          <w:rFonts w:ascii="Palatino Linotype" w:eastAsia="Calibri" w:hAnsi="Palatino Linotype" w:cs="Arial"/>
          <w:b/>
        </w:rPr>
        <w:t>EL RECURRENTE.</w:t>
      </w:r>
    </w:p>
    <w:p w:rsidR="00406415" w:rsidRPr="00B22AA2" w:rsidRDefault="00406415" w:rsidP="00406415">
      <w:pPr>
        <w:spacing w:line="360" w:lineRule="auto"/>
        <w:ind w:left="142"/>
        <w:jc w:val="both"/>
        <w:rPr>
          <w:rFonts w:ascii="Palatino Linotype" w:eastAsia="Calibri" w:hAnsi="Palatino Linotype" w:cs="Arial"/>
          <w:b/>
        </w:rPr>
      </w:pPr>
    </w:p>
    <w:p w:rsidR="00406415" w:rsidRPr="00B22AA2" w:rsidRDefault="00406415" w:rsidP="00406415">
      <w:pPr>
        <w:tabs>
          <w:tab w:val="left" w:pos="8080"/>
        </w:tabs>
        <w:spacing w:line="360" w:lineRule="auto"/>
        <w:ind w:right="49"/>
        <w:contextualSpacing/>
        <w:jc w:val="both"/>
        <w:rPr>
          <w:rFonts w:ascii="Palatino Linotype" w:hAnsi="Palatino Linotype"/>
          <w:color w:val="222222"/>
          <w:shd w:val="clear" w:color="auto" w:fill="FFFFFF"/>
        </w:rPr>
      </w:pPr>
      <w:r w:rsidRPr="00B22AA2">
        <w:rPr>
          <w:rFonts w:ascii="Palatino Linotype" w:eastAsia="Palatino Linotype" w:hAnsi="Palatino Linotype" w:cs="Palatino Linotype"/>
          <w:b/>
        </w:rPr>
        <w:t xml:space="preserve">TERCERO. Notifíquese </w:t>
      </w:r>
      <w:r w:rsidRPr="00B22AA2">
        <w:rPr>
          <w:rFonts w:ascii="Palatino Linotype" w:eastAsia="Palatino Linotype" w:hAnsi="Palatino Linotype" w:cs="Palatino Linotype"/>
        </w:rPr>
        <w:t xml:space="preserve">al Titular de la Unidad de Transparencia del </w:t>
      </w:r>
      <w:r w:rsidRPr="00B22AA2">
        <w:rPr>
          <w:rFonts w:ascii="Palatino Linotype" w:eastAsia="Palatino Linotype" w:hAnsi="Palatino Linotype" w:cs="Palatino Linotype"/>
          <w:b/>
        </w:rPr>
        <w:t>SUJETO OBLIGADO</w:t>
      </w:r>
      <w:r w:rsidRPr="00B22AA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22AA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406415" w:rsidRPr="00B22AA2" w:rsidRDefault="00406415" w:rsidP="00406415">
      <w:pPr>
        <w:tabs>
          <w:tab w:val="left" w:pos="8080"/>
        </w:tabs>
        <w:spacing w:line="360" w:lineRule="auto"/>
        <w:ind w:right="49"/>
        <w:contextualSpacing/>
        <w:jc w:val="both"/>
        <w:rPr>
          <w:rFonts w:ascii="Palatino Linotype" w:hAnsi="Palatino Linotype"/>
          <w:color w:val="222222"/>
          <w:shd w:val="clear" w:color="auto" w:fill="FFFFFF"/>
        </w:rPr>
      </w:pPr>
    </w:p>
    <w:p w:rsidR="00406415" w:rsidRPr="00B22AA2" w:rsidRDefault="00406415" w:rsidP="00406415">
      <w:pPr>
        <w:spacing w:line="360" w:lineRule="auto"/>
        <w:jc w:val="both"/>
        <w:rPr>
          <w:rFonts w:ascii="Palatino Linotype" w:eastAsia="Calibri" w:hAnsi="Palatino Linotype" w:cs="Arial"/>
          <w:bCs/>
        </w:rPr>
      </w:pPr>
      <w:r w:rsidRPr="00B22AA2">
        <w:rPr>
          <w:rFonts w:ascii="Palatino Linotype" w:hAnsi="Palatino Linotype" w:cs="Arial"/>
          <w:b/>
        </w:rPr>
        <w:t xml:space="preserve">CUARTO. </w:t>
      </w:r>
      <w:r w:rsidRPr="00B22AA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06415" w:rsidRPr="00B22AA2" w:rsidRDefault="00406415" w:rsidP="00406415">
      <w:pPr>
        <w:spacing w:line="360" w:lineRule="auto"/>
        <w:jc w:val="both"/>
        <w:rPr>
          <w:rFonts w:ascii="Palatino Linotype" w:eastAsia="Calibri" w:hAnsi="Palatino Linotype" w:cs="Arial"/>
          <w:bCs/>
        </w:rPr>
      </w:pPr>
    </w:p>
    <w:p w:rsidR="00406415" w:rsidRPr="00B22AA2" w:rsidRDefault="00406415" w:rsidP="00406415">
      <w:pPr>
        <w:shd w:val="clear" w:color="auto" w:fill="FFFFFF"/>
        <w:spacing w:line="360" w:lineRule="auto"/>
        <w:jc w:val="both"/>
        <w:rPr>
          <w:rFonts w:ascii="Palatino Linotype" w:hAnsi="Palatino Linotype"/>
        </w:rPr>
      </w:pPr>
      <w:r w:rsidRPr="00B22AA2">
        <w:rPr>
          <w:rFonts w:ascii="Palatino Linotype" w:eastAsia="Times New Roman" w:hAnsi="Palatino Linotype" w:cs="Arial"/>
          <w:b/>
        </w:rPr>
        <w:t xml:space="preserve">QUINTO. </w:t>
      </w:r>
      <w:r w:rsidRPr="00B22AA2">
        <w:rPr>
          <w:rFonts w:ascii="Palatino Linotype" w:eastAsia="Times New Roman" w:hAnsi="Palatino Linotype" w:cs="Times New Roman"/>
          <w:b/>
          <w:bCs/>
          <w:color w:val="222222"/>
          <w:lang w:val="es-ES"/>
        </w:rPr>
        <w:t>Notifíquese al Recurrente</w:t>
      </w:r>
      <w:r w:rsidRPr="00B22AA2">
        <w:rPr>
          <w:rFonts w:ascii="Palatino Linotype" w:hAnsi="Palatino Linotype"/>
        </w:rPr>
        <w:t xml:space="preserve"> la presente resolución vía Sistema de Acceso a la Información Mexiquense (SAIMEX).</w:t>
      </w:r>
    </w:p>
    <w:p w:rsidR="00406415" w:rsidRPr="00B22AA2" w:rsidRDefault="00406415" w:rsidP="00406415">
      <w:pPr>
        <w:shd w:val="clear" w:color="auto" w:fill="FFFFFF"/>
        <w:spacing w:line="360" w:lineRule="auto"/>
        <w:jc w:val="both"/>
        <w:rPr>
          <w:rFonts w:ascii="Palatino Linotype" w:eastAsia="Times New Roman" w:hAnsi="Palatino Linotype" w:cs="Arial"/>
          <w:b/>
        </w:rPr>
      </w:pPr>
    </w:p>
    <w:p w:rsidR="00406415" w:rsidRPr="00B22AA2" w:rsidRDefault="00406415" w:rsidP="00406415">
      <w:pPr>
        <w:spacing w:line="360" w:lineRule="auto"/>
        <w:jc w:val="both"/>
        <w:rPr>
          <w:rFonts w:ascii="Palatino Linotype" w:eastAsia="MS Mincho" w:hAnsi="Palatino Linotype"/>
          <w:lang w:val="es-ES"/>
        </w:rPr>
      </w:pPr>
      <w:r w:rsidRPr="00B22AA2">
        <w:rPr>
          <w:rFonts w:ascii="Palatino Linotype" w:eastAsia="MS Mincho" w:hAnsi="Palatino Linotype"/>
          <w:b/>
        </w:rPr>
        <w:t>SEXTO.</w:t>
      </w:r>
      <w:r w:rsidRPr="00B22AA2">
        <w:rPr>
          <w:rFonts w:ascii="Palatino Linotype" w:eastAsia="MS Mincho" w:hAnsi="Palatino Linotype"/>
        </w:rPr>
        <w:t xml:space="preserve"> </w:t>
      </w:r>
      <w:r w:rsidRPr="00B22AA2">
        <w:rPr>
          <w:rFonts w:ascii="Palatino Linotype" w:eastAsia="MS Mincho" w:hAnsi="Palatino Linotype"/>
          <w:lang w:val="es-ES"/>
        </w:rPr>
        <w:t xml:space="preserve">Se hace del conocimiento del </w:t>
      </w:r>
      <w:r w:rsidRPr="00B22AA2">
        <w:rPr>
          <w:rFonts w:ascii="Palatino Linotype" w:eastAsia="MS Mincho" w:hAnsi="Palatino Linotype"/>
          <w:b/>
          <w:lang w:val="es-ES"/>
        </w:rPr>
        <w:t>Recurrente</w:t>
      </w:r>
      <w:r w:rsidRPr="00B22AA2">
        <w:rPr>
          <w:rFonts w:ascii="Palatino Linotype" w:eastAsia="Palatino Linotype" w:hAnsi="Palatino Linotype" w:cs="Palatino Linotype"/>
          <w:b/>
          <w:color w:val="222222"/>
        </w:rPr>
        <w:t xml:space="preserve"> </w:t>
      </w:r>
      <w:r w:rsidRPr="00B22AA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22AA2">
        <w:rPr>
          <w:rFonts w:ascii="Palatino Linotype" w:eastAsia="MS Mincho" w:hAnsi="Palatino Linotype"/>
          <w:bCs/>
          <w:lang w:val="es-ES"/>
        </w:rPr>
        <w:t>vía juicio de amparo</w:t>
      </w:r>
      <w:r w:rsidRPr="00B22AA2">
        <w:rPr>
          <w:rFonts w:ascii="Palatino Linotype" w:eastAsia="MS Mincho" w:hAnsi="Palatino Linotype"/>
          <w:lang w:val="es-ES"/>
        </w:rPr>
        <w:t xml:space="preserve"> en los términos de las leyes aplicables. </w:t>
      </w:r>
    </w:p>
    <w:p w:rsidR="00406415" w:rsidRPr="00B22AA2" w:rsidRDefault="00406415" w:rsidP="00406415">
      <w:pPr>
        <w:spacing w:line="360" w:lineRule="auto"/>
        <w:jc w:val="both"/>
        <w:rPr>
          <w:rFonts w:ascii="Palatino Linotype" w:eastAsia="MS Mincho" w:hAnsi="Palatino Linotype"/>
          <w:lang w:val="es-ES"/>
        </w:rPr>
      </w:pPr>
    </w:p>
    <w:p w:rsidR="00B22AA2" w:rsidRDefault="00B22AA2" w:rsidP="00B22AA2">
      <w:pPr>
        <w:spacing w:before="240" w:after="240" w:line="360" w:lineRule="auto"/>
        <w:ind w:firstLine="1"/>
        <w:jc w:val="both"/>
        <w:rPr>
          <w:rFonts w:ascii="Palatino Linotype" w:hAnsi="Palatino Linotype"/>
        </w:rPr>
      </w:pPr>
      <w:r w:rsidRPr="00B22AA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bookmarkStart w:id="47" w:name="_GoBack"/>
      <w:bookmarkEnd w:id="47"/>
      <w:r w:rsidRPr="00624AAD">
        <w:rPr>
          <w:rFonts w:ascii="Palatino Linotype" w:hAnsi="Palatino Linotype"/>
        </w:rPr>
        <w:t xml:space="preserve"> </w:t>
      </w: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hd w:val="clear" w:color="auto" w:fill="FFFFFF"/>
        <w:spacing w:line="360" w:lineRule="auto"/>
        <w:jc w:val="both"/>
        <w:rPr>
          <w:rFonts w:ascii="Palatino Linotype" w:eastAsia="MS Mincho" w:hAnsi="Palatino Linotype" w:cs="Times New Roman"/>
          <w:lang w:val="es-ES"/>
        </w:rPr>
      </w:pPr>
    </w:p>
    <w:p w:rsidR="00406415" w:rsidRPr="00B32FC8" w:rsidRDefault="00406415" w:rsidP="00406415">
      <w:pPr>
        <w:shd w:val="clear" w:color="auto" w:fill="FFFFFF"/>
        <w:spacing w:line="360" w:lineRule="auto"/>
        <w:jc w:val="both"/>
        <w:rPr>
          <w:rFonts w:ascii="Palatino Linotype" w:eastAsia="MS Mincho" w:hAnsi="Palatino Linotype" w:cs="Times New Roman"/>
          <w:lang w:val="es-ES"/>
        </w:rPr>
      </w:pPr>
    </w:p>
    <w:p w:rsidR="00406415" w:rsidRPr="00B32FC8" w:rsidRDefault="00406415" w:rsidP="00406415">
      <w:pPr>
        <w:spacing w:line="360" w:lineRule="auto"/>
        <w:jc w:val="both"/>
        <w:rPr>
          <w:rFonts w:ascii="Palatino Linotype" w:eastAsia="MS Mincho" w:hAnsi="Palatino Linotype" w:cs="Times New Roman"/>
          <w:lang w:val="es-ES"/>
        </w:rPr>
      </w:pPr>
    </w:p>
    <w:p w:rsidR="00406415" w:rsidRPr="00B32FC8" w:rsidRDefault="00406415" w:rsidP="00406415">
      <w:pPr>
        <w:spacing w:line="360" w:lineRule="auto"/>
        <w:jc w:val="both"/>
        <w:rPr>
          <w:rFonts w:ascii="Palatino Linotype" w:hAnsi="Palatino Linotype"/>
          <w:color w:val="000000"/>
          <w:shd w:val="clear" w:color="auto" w:fill="FFFFFF"/>
        </w:rPr>
      </w:pPr>
    </w:p>
    <w:p w:rsidR="00406415" w:rsidRPr="00B32FC8" w:rsidRDefault="00406415" w:rsidP="00406415">
      <w:pPr>
        <w:spacing w:line="360" w:lineRule="auto"/>
        <w:rPr>
          <w:rFonts w:ascii="Palatino Linotype" w:hAnsi="Palatino Linotype"/>
        </w:rPr>
      </w:pPr>
    </w:p>
    <w:p w:rsidR="00406415" w:rsidRDefault="00406415" w:rsidP="00406415"/>
    <w:p w:rsidR="00406415" w:rsidRDefault="00406415" w:rsidP="00406415"/>
    <w:p w:rsidR="004E1710" w:rsidRDefault="00DD4A3B"/>
    <w:sectPr w:rsidR="004E1710" w:rsidSect="002D61E8">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A3B" w:rsidRDefault="00DD4A3B" w:rsidP="00406415">
      <w:r>
        <w:separator/>
      </w:r>
    </w:p>
  </w:endnote>
  <w:endnote w:type="continuationSeparator" w:id="0">
    <w:p w:rsidR="00DD4A3B" w:rsidRDefault="00DD4A3B" w:rsidP="004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44320" w:rsidRPr="000A2541" w:rsidRDefault="00E631C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22AA2">
              <w:rPr>
                <w:rFonts w:ascii="Palatino Linotype" w:hAnsi="Palatino Linotype"/>
                <w:b/>
                <w:bCs/>
                <w:noProof/>
              </w:rPr>
              <w:t>24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22AA2">
              <w:rPr>
                <w:rFonts w:ascii="Palatino Linotype" w:hAnsi="Palatino Linotype"/>
                <w:b/>
                <w:bCs/>
                <w:noProof/>
              </w:rPr>
              <w:t>32</w:t>
            </w:r>
            <w:r w:rsidRPr="000A2541">
              <w:rPr>
                <w:rFonts w:ascii="Palatino Linotype" w:hAnsi="Palatino Linotype"/>
                <w:b/>
                <w:bCs/>
              </w:rPr>
              <w:fldChar w:fldCharType="end"/>
            </w:r>
          </w:p>
        </w:sdtContent>
      </w:sdt>
    </w:sdtContent>
  </w:sdt>
  <w:p w:rsidR="00344320" w:rsidRDefault="00DD4A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Pr="00883450" w:rsidRDefault="00E631C4"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2AA2" w:rsidRPr="00B22A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2AA2" w:rsidRPr="00B22AA2">
      <w:rPr>
        <w:rFonts w:ascii="Palatino Linotype" w:hAnsi="Palatino Linotype"/>
        <w:noProof/>
        <w:sz w:val="22"/>
        <w:szCs w:val="22"/>
        <w:lang w:val="es-ES"/>
      </w:rPr>
      <w:t>32</w:t>
    </w:r>
    <w:r w:rsidRPr="00883450">
      <w:rPr>
        <w:rFonts w:ascii="Palatino Linotype" w:hAnsi="Palatino Linotype"/>
        <w:sz w:val="22"/>
        <w:szCs w:val="22"/>
      </w:rPr>
      <w:fldChar w:fldCharType="end"/>
    </w:r>
  </w:p>
  <w:p w:rsidR="00344320" w:rsidRPr="00883450" w:rsidRDefault="00DD4A3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A3B" w:rsidRDefault="00DD4A3B" w:rsidP="00406415">
      <w:r>
        <w:separator/>
      </w:r>
    </w:p>
  </w:footnote>
  <w:footnote w:type="continuationSeparator" w:id="0">
    <w:p w:rsidR="00DD4A3B" w:rsidRDefault="00DD4A3B" w:rsidP="00406415">
      <w:r>
        <w:continuationSeparator/>
      </w:r>
    </w:p>
  </w:footnote>
  <w:footnote w:id="1">
    <w:p w:rsidR="00406415" w:rsidRDefault="00406415" w:rsidP="00406415">
      <w:pPr>
        <w:pStyle w:val="Textonotapie"/>
      </w:pPr>
      <w:r>
        <w:rPr>
          <w:rStyle w:val="Refdenotaalpie"/>
        </w:rPr>
        <w:footnoteRef/>
      </w:r>
      <w:r>
        <w:t xml:space="preserve"> Convención Americana sobre Derechos Humanos. Artículo 13.</w:t>
      </w:r>
    </w:p>
  </w:footnote>
  <w:footnote w:id="2">
    <w:p w:rsidR="00406415" w:rsidRDefault="00406415" w:rsidP="00406415">
      <w:pPr>
        <w:pStyle w:val="Textonotapie"/>
      </w:pPr>
      <w:r>
        <w:rPr>
          <w:rStyle w:val="Refdenotaalpie"/>
        </w:rPr>
        <w:footnoteRef/>
      </w:r>
      <w:r>
        <w:t xml:space="preserve"> Constitución Política de los Estados Unidos Mexicanos. Artículo sexto, sección A, fracción I.</w:t>
      </w:r>
    </w:p>
  </w:footnote>
  <w:footnote w:id="3">
    <w:p w:rsidR="00406415" w:rsidRDefault="00406415" w:rsidP="0040641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06415" w:rsidRDefault="00406415" w:rsidP="00406415">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Default="00DD4A3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49"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rsidTr="002D61E8">
      <w:trPr>
        <w:trHeight w:val="138"/>
        <w:jc w:val="right"/>
      </w:trPr>
      <w:tc>
        <w:tcPr>
          <w:tcW w:w="255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44320" w:rsidRPr="00353EB6" w:rsidRDefault="00E631C4"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406415">
            <w:rPr>
              <w:rFonts w:ascii="Palatino Linotype" w:hAnsi="Palatino Linotype" w:cs="Arial"/>
              <w:b/>
              <w:bCs/>
              <w:sz w:val="22"/>
              <w:szCs w:val="22"/>
              <w:lang w:eastAsia="es-MX"/>
            </w:rPr>
            <w:t>2758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344320" w:rsidRPr="00EF13C1" w:rsidTr="00F12093">
      <w:trPr>
        <w:trHeight w:val="127"/>
        <w:jc w:val="right"/>
      </w:trPr>
      <w:tc>
        <w:tcPr>
          <w:tcW w:w="2552" w:type="dxa"/>
          <w:vAlign w:val="center"/>
        </w:tcPr>
        <w:p w:rsidR="00344320" w:rsidRPr="00EF13C1" w:rsidRDefault="00DD4A3B" w:rsidP="002D61E8">
          <w:pPr>
            <w:rPr>
              <w:rFonts w:ascii="Palatino Linotype" w:hAnsi="Palatino Linotype"/>
              <w:b/>
              <w:sz w:val="22"/>
              <w:szCs w:val="22"/>
            </w:rPr>
          </w:pPr>
        </w:p>
      </w:tc>
      <w:tc>
        <w:tcPr>
          <w:tcW w:w="3826" w:type="dxa"/>
          <w:vAlign w:val="center"/>
        </w:tcPr>
        <w:p w:rsidR="00344320" w:rsidRPr="00EF13C1" w:rsidRDefault="00DD4A3B" w:rsidP="00F12093">
          <w:pPr>
            <w:pStyle w:val="Encabezado"/>
            <w:rPr>
              <w:rFonts w:ascii="Palatino Linotype" w:hAnsi="Palatino Linotype"/>
              <w:b/>
              <w:sz w:val="22"/>
              <w:szCs w:val="22"/>
            </w:rPr>
          </w:pPr>
        </w:p>
      </w:tc>
    </w:tr>
    <w:tr w:rsidR="00344320" w:rsidRPr="00FB0541" w:rsidTr="002D61E8">
      <w:trPr>
        <w:trHeight w:val="321"/>
        <w:jc w:val="right"/>
      </w:trPr>
      <w:tc>
        <w:tcPr>
          <w:tcW w:w="2552" w:type="dxa"/>
          <w:vAlign w:val="center"/>
        </w:tcPr>
        <w:p w:rsidR="00344320" w:rsidRPr="00FB0541" w:rsidRDefault="00E631C4"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344320" w:rsidRPr="00FB0541" w:rsidRDefault="00406415" w:rsidP="00F12093">
          <w:pPr>
            <w:pStyle w:val="Encabezado"/>
            <w:jc w:val="right"/>
            <w:rPr>
              <w:rFonts w:ascii="Palatino Linotype" w:hAnsi="Palatino Linotype"/>
              <w:b/>
              <w:sz w:val="22"/>
              <w:szCs w:val="22"/>
            </w:rPr>
          </w:pPr>
          <w:r>
            <w:rPr>
              <w:rFonts w:ascii="Palatino Linotype" w:hAnsi="Palatino Linotype"/>
              <w:b/>
              <w:bCs/>
              <w:sz w:val="22"/>
              <w:szCs w:val="20"/>
            </w:rPr>
            <w:t>Ayuntamiento de Ixtapan de la Sal</w:t>
          </w:r>
        </w:p>
      </w:tc>
    </w:tr>
    <w:tr w:rsidR="00344320" w:rsidRPr="00EF13C1" w:rsidTr="002D61E8">
      <w:trPr>
        <w:trHeight w:val="321"/>
        <w:jc w:val="right"/>
      </w:trPr>
      <w:tc>
        <w:tcPr>
          <w:tcW w:w="2552" w:type="dxa"/>
          <w:vAlign w:val="center"/>
        </w:tcPr>
        <w:p w:rsidR="00344320" w:rsidRPr="00EF13C1" w:rsidRDefault="00E631C4"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344320" w:rsidRPr="00EF13C1" w:rsidRDefault="00E631C4"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344320" w:rsidRDefault="00DD4A3B" w:rsidP="002D61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rsidTr="002D61E8">
      <w:trPr>
        <w:trHeight w:val="138"/>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44320" w:rsidRPr="00353EB6" w:rsidRDefault="00E631C4"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406415">
            <w:rPr>
              <w:rFonts w:ascii="Palatino Linotype" w:hAnsi="Palatino Linotype" w:cs="Arial"/>
              <w:b/>
              <w:bCs/>
              <w:sz w:val="22"/>
              <w:szCs w:val="22"/>
              <w:lang w:eastAsia="es-MX"/>
            </w:rPr>
            <w:t>2758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c>
        <w:tcPr>
          <w:tcW w:w="2532" w:type="dxa"/>
          <w:vAlign w:val="center"/>
        </w:tcPr>
        <w:p w:rsidR="00344320" w:rsidRPr="00182113" w:rsidRDefault="00DD4A3B" w:rsidP="002D61E8">
          <w:pPr>
            <w:rPr>
              <w:rFonts w:ascii="Palatino Linotype" w:hAnsi="Palatino Linotype"/>
              <w:b/>
              <w:sz w:val="22"/>
              <w:szCs w:val="22"/>
            </w:rPr>
          </w:pPr>
        </w:p>
      </w:tc>
      <w:tc>
        <w:tcPr>
          <w:tcW w:w="236" w:type="dxa"/>
          <w:vAlign w:val="center"/>
        </w:tcPr>
        <w:p w:rsidR="00344320" w:rsidRPr="00182113" w:rsidRDefault="00DD4A3B" w:rsidP="002D61E8">
          <w:pPr>
            <w:pStyle w:val="Encabezado"/>
            <w:jc w:val="center"/>
            <w:rPr>
              <w:rFonts w:ascii="Palatino Linotype" w:hAnsi="Palatino Linotype"/>
              <w:b/>
              <w:sz w:val="22"/>
              <w:szCs w:val="22"/>
            </w:rPr>
          </w:pPr>
        </w:p>
      </w:tc>
      <w:tc>
        <w:tcPr>
          <w:tcW w:w="3261" w:type="dxa"/>
          <w:vAlign w:val="center"/>
        </w:tcPr>
        <w:p w:rsidR="00344320" w:rsidRPr="00182113" w:rsidRDefault="00DD4A3B" w:rsidP="002D61E8">
          <w:pPr>
            <w:pStyle w:val="Encabezado"/>
            <w:rPr>
              <w:rFonts w:ascii="Palatino Linotype" w:hAnsi="Palatino Linotype"/>
              <w:b/>
              <w:sz w:val="22"/>
              <w:szCs w:val="22"/>
            </w:rPr>
          </w:pPr>
        </w:p>
      </w:tc>
    </w:tr>
    <w:tr w:rsidR="00344320" w:rsidRPr="00182113" w:rsidTr="002D61E8">
      <w:trPr>
        <w:trHeight w:val="227"/>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44320" w:rsidRPr="00C23F87" w:rsidRDefault="00DD4A3B" w:rsidP="002D61E8">
          <w:pPr>
            <w:pStyle w:val="Encabezado"/>
            <w:jc w:val="right"/>
            <w:rPr>
              <w:rFonts w:ascii="Palatino Linotype" w:hAnsi="Palatino Linotype"/>
              <w:b/>
              <w:sz w:val="22"/>
              <w:szCs w:val="22"/>
            </w:rPr>
          </w:pPr>
        </w:p>
      </w:tc>
      <w:tc>
        <w:tcPr>
          <w:tcW w:w="2532" w:type="dxa"/>
          <w:vAlign w:val="center"/>
        </w:tcPr>
        <w:p w:rsidR="00344320" w:rsidRPr="00182113" w:rsidRDefault="00DD4A3B" w:rsidP="002D61E8">
          <w:pPr>
            <w:rPr>
              <w:rFonts w:ascii="Palatino Linotype" w:hAnsi="Palatino Linotype"/>
              <w:b/>
              <w:sz w:val="22"/>
              <w:szCs w:val="22"/>
            </w:rPr>
          </w:pPr>
        </w:p>
      </w:tc>
      <w:tc>
        <w:tcPr>
          <w:tcW w:w="236" w:type="dxa"/>
          <w:vAlign w:val="center"/>
        </w:tcPr>
        <w:p w:rsidR="00344320" w:rsidRPr="00182113" w:rsidRDefault="00DD4A3B" w:rsidP="002D61E8">
          <w:pPr>
            <w:pStyle w:val="Encabezado"/>
            <w:jc w:val="center"/>
            <w:rPr>
              <w:rFonts w:ascii="Palatino Linotype" w:hAnsi="Palatino Linotype"/>
              <w:b/>
              <w:sz w:val="22"/>
              <w:szCs w:val="22"/>
            </w:rPr>
          </w:pPr>
        </w:p>
      </w:tc>
      <w:tc>
        <w:tcPr>
          <w:tcW w:w="3261" w:type="dxa"/>
          <w:vAlign w:val="center"/>
        </w:tcPr>
        <w:p w:rsidR="00344320" w:rsidRPr="00182113" w:rsidRDefault="00DD4A3B" w:rsidP="002D61E8">
          <w:pPr>
            <w:pStyle w:val="Encabezado"/>
            <w:rPr>
              <w:rFonts w:ascii="Palatino Linotype" w:hAnsi="Palatino Linotype"/>
              <w:b/>
              <w:sz w:val="22"/>
              <w:szCs w:val="22"/>
            </w:rPr>
          </w:pPr>
        </w:p>
      </w:tc>
    </w:tr>
    <w:tr w:rsidR="00344320" w:rsidRPr="00182113" w:rsidTr="002D61E8">
      <w:trPr>
        <w:trHeight w:val="232"/>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44320" w:rsidRPr="00C23F87" w:rsidRDefault="00406415" w:rsidP="005B7B01">
          <w:pPr>
            <w:pStyle w:val="Encabezado"/>
            <w:jc w:val="right"/>
            <w:rPr>
              <w:rFonts w:ascii="Palatino Linotype" w:hAnsi="Palatino Linotype"/>
              <w:b/>
              <w:sz w:val="22"/>
              <w:szCs w:val="22"/>
            </w:rPr>
          </w:pPr>
          <w:r>
            <w:rPr>
              <w:rFonts w:ascii="Palatino Linotype" w:hAnsi="Palatino Linotype"/>
              <w:b/>
              <w:sz w:val="22"/>
              <w:szCs w:val="22"/>
            </w:rPr>
            <w:t>Ayuntamiento de Ixtapan de la Sal</w:t>
          </w:r>
        </w:p>
      </w:tc>
      <w:tc>
        <w:tcPr>
          <w:tcW w:w="2532" w:type="dxa"/>
          <w:vAlign w:val="center"/>
        </w:tcPr>
        <w:p w:rsidR="00344320" w:rsidRPr="00182113" w:rsidRDefault="00DD4A3B" w:rsidP="002D61E8">
          <w:pPr>
            <w:rPr>
              <w:rFonts w:ascii="Palatino Linotype" w:hAnsi="Palatino Linotype"/>
              <w:b/>
              <w:sz w:val="22"/>
              <w:szCs w:val="22"/>
            </w:rPr>
          </w:pPr>
        </w:p>
      </w:tc>
      <w:tc>
        <w:tcPr>
          <w:tcW w:w="236" w:type="dxa"/>
          <w:vAlign w:val="center"/>
        </w:tcPr>
        <w:p w:rsidR="00344320" w:rsidRPr="00182113" w:rsidRDefault="00DD4A3B" w:rsidP="002D61E8">
          <w:pPr>
            <w:pStyle w:val="Encabezado"/>
            <w:jc w:val="center"/>
            <w:rPr>
              <w:rFonts w:ascii="Palatino Linotype" w:hAnsi="Palatino Linotype"/>
              <w:b/>
              <w:sz w:val="22"/>
              <w:szCs w:val="22"/>
            </w:rPr>
          </w:pPr>
        </w:p>
      </w:tc>
      <w:tc>
        <w:tcPr>
          <w:tcW w:w="3261" w:type="dxa"/>
          <w:vAlign w:val="center"/>
        </w:tcPr>
        <w:p w:rsidR="00344320" w:rsidRPr="00182113" w:rsidRDefault="00DD4A3B" w:rsidP="002D61E8">
          <w:pPr>
            <w:pStyle w:val="Encabezado"/>
            <w:rPr>
              <w:rFonts w:ascii="Palatino Linotype" w:hAnsi="Palatino Linotype"/>
              <w:b/>
              <w:sz w:val="22"/>
              <w:szCs w:val="22"/>
            </w:rPr>
          </w:pPr>
        </w:p>
      </w:tc>
    </w:tr>
    <w:tr w:rsidR="00344320" w:rsidRPr="00182113" w:rsidTr="002D61E8">
      <w:trPr>
        <w:trHeight w:val="320"/>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44320" w:rsidRPr="00EF13C1" w:rsidRDefault="00E631C4"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344320" w:rsidRPr="00182113" w:rsidRDefault="00DD4A3B" w:rsidP="002D61E8">
          <w:pPr>
            <w:rPr>
              <w:rFonts w:ascii="Palatino Linotype" w:hAnsi="Palatino Linotype"/>
              <w:b/>
              <w:sz w:val="22"/>
              <w:szCs w:val="22"/>
            </w:rPr>
          </w:pPr>
        </w:p>
      </w:tc>
      <w:tc>
        <w:tcPr>
          <w:tcW w:w="236" w:type="dxa"/>
          <w:vAlign w:val="center"/>
        </w:tcPr>
        <w:p w:rsidR="00344320" w:rsidRPr="00182113" w:rsidRDefault="00DD4A3B" w:rsidP="002D61E8">
          <w:pPr>
            <w:pStyle w:val="Encabezado"/>
            <w:jc w:val="center"/>
            <w:rPr>
              <w:rFonts w:ascii="Palatino Linotype" w:hAnsi="Palatino Linotype"/>
              <w:b/>
              <w:sz w:val="22"/>
              <w:szCs w:val="22"/>
            </w:rPr>
          </w:pPr>
        </w:p>
      </w:tc>
      <w:tc>
        <w:tcPr>
          <w:tcW w:w="3261" w:type="dxa"/>
          <w:vAlign w:val="center"/>
        </w:tcPr>
        <w:p w:rsidR="00344320" w:rsidRPr="00182113" w:rsidRDefault="00DD4A3B" w:rsidP="002D61E8">
          <w:pPr>
            <w:pStyle w:val="Encabezado"/>
            <w:rPr>
              <w:rFonts w:ascii="Palatino Linotype" w:hAnsi="Palatino Linotype"/>
              <w:b/>
              <w:sz w:val="22"/>
              <w:szCs w:val="22"/>
            </w:rPr>
          </w:pPr>
        </w:p>
      </w:tc>
    </w:tr>
  </w:tbl>
  <w:p w:rsidR="00344320" w:rsidRDefault="00DD4A3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51"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E706357"/>
    <w:multiLevelType w:val="hybridMultilevel"/>
    <w:tmpl w:val="BE30D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491FC9"/>
    <w:multiLevelType w:val="hybridMultilevel"/>
    <w:tmpl w:val="2914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59C6C0F"/>
    <w:multiLevelType w:val="hybridMultilevel"/>
    <w:tmpl w:val="D018C1F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70F41D75"/>
    <w:multiLevelType w:val="hybridMultilevel"/>
    <w:tmpl w:val="B226D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70136A0"/>
    <w:multiLevelType w:val="hybridMultilevel"/>
    <w:tmpl w:val="E0C6879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8292118"/>
    <w:multiLevelType w:val="hybridMultilevel"/>
    <w:tmpl w:val="80F835C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7A6E27CE"/>
    <w:multiLevelType w:val="hybridMultilevel"/>
    <w:tmpl w:val="444C66E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7B954FCF"/>
    <w:multiLevelType w:val="hybridMultilevel"/>
    <w:tmpl w:val="27F65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0"/>
  </w:num>
  <w:num w:numId="5">
    <w:abstractNumId w:val="12"/>
  </w:num>
  <w:num w:numId="6">
    <w:abstractNumId w:val="5"/>
  </w:num>
  <w:num w:numId="7">
    <w:abstractNumId w:val="6"/>
  </w:num>
  <w:num w:numId="8">
    <w:abstractNumId w:val="4"/>
  </w:num>
  <w:num w:numId="9">
    <w:abstractNumId w:val="9"/>
  </w:num>
  <w:num w:numId="10">
    <w:abstractNumId w:val="2"/>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15"/>
    <w:rsid w:val="00007A3C"/>
    <w:rsid w:val="00041AA5"/>
    <w:rsid w:val="000C1BB4"/>
    <w:rsid w:val="00130F71"/>
    <w:rsid w:val="001F4E45"/>
    <w:rsid w:val="00212209"/>
    <w:rsid w:val="00214EBE"/>
    <w:rsid w:val="00231E22"/>
    <w:rsid w:val="002840B0"/>
    <w:rsid w:val="00284288"/>
    <w:rsid w:val="002C55E9"/>
    <w:rsid w:val="00340F88"/>
    <w:rsid w:val="00346B24"/>
    <w:rsid w:val="003A2E39"/>
    <w:rsid w:val="003D1CFC"/>
    <w:rsid w:val="00406415"/>
    <w:rsid w:val="0047274B"/>
    <w:rsid w:val="004C27AD"/>
    <w:rsid w:val="005145CF"/>
    <w:rsid w:val="00612B1C"/>
    <w:rsid w:val="0076643E"/>
    <w:rsid w:val="00792CF5"/>
    <w:rsid w:val="00841A74"/>
    <w:rsid w:val="009656CC"/>
    <w:rsid w:val="009819C9"/>
    <w:rsid w:val="0098422B"/>
    <w:rsid w:val="00A838FD"/>
    <w:rsid w:val="00A91C02"/>
    <w:rsid w:val="00B22AA2"/>
    <w:rsid w:val="00B50920"/>
    <w:rsid w:val="00B845A6"/>
    <w:rsid w:val="00BB3889"/>
    <w:rsid w:val="00C96492"/>
    <w:rsid w:val="00CE2CF1"/>
    <w:rsid w:val="00D63B3C"/>
    <w:rsid w:val="00D93FB2"/>
    <w:rsid w:val="00DA7CD1"/>
    <w:rsid w:val="00DB139B"/>
    <w:rsid w:val="00DD4A3B"/>
    <w:rsid w:val="00E13F3A"/>
    <w:rsid w:val="00E631C4"/>
    <w:rsid w:val="00EC07E4"/>
    <w:rsid w:val="00F04689"/>
    <w:rsid w:val="00FC1065"/>
    <w:rsid w:val="00FD5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3B657ED-0575-43A1-B376-04BD7F95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89"/>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06415"/>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40641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406415"/>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415"/>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406415"/>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406415"/>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406415"/>
    <w:pPr>
      <w:tabs>
        <w:tab w:val="center" w:pos="4252"/>
        <w:tab w:val="right" w:pos="8504"/>
      </w:tabs>
    </w:pPr>
  </w:style>
  <w:style w:type="character" w:customStyle="1" w:styleId="EncabezadoCar">
    <w:name w:val="Encabezado Car"/>
    <w:basedOn w:val="Fuentedeprrafopredeter"/>
    <w:link w:val="Encabezado"/>
    <w:uiPriority w:val="99"/>
    <w:rsid w:val="00406415"/>
    <w:rPr>
      <w:rFonts w:eastAsiaTheme="minorEastAsia"/>
      <w:sz w:val="24"/>
      <w:szCs w:val="24"/>
      <w:lang w:val="es-ES_tradnl" w:eastAsia="es-ES"/>
    </w:rPr>
  </w:style>
  <w:style w:type="paragraph" w:styleId="Piedepgina">
    <w:name w:val="footer"/>
    <w:basedOn w:val="Normal"/>
    <w:link w:val="PiedepginaCar"/>
    <w:uiPriority w:val="99"/>
    <w:unhideWhenUsed/>
    <w:rsid w:val="00406415"/>
    <w:pPr>
      <w:tabs>
        <w:tab w:val="center" w:pos="4252"/>
        <w:tab w:val="right" w:pos="8504"/>
      </w:tabs>
    </w:pPr>
  </w:style>
  <w:style w:type="character" w:customStyle="1" w:styleId="PiedepginaCar">
    <w:name w:val="Pie de página Car"/>
    <w:basedOn w:val="Fuentedeprrafopredeter"/>
    <w:link w:val="Piedepgina"/>
    <w:uiPriority w:val="99"/>
    <w:rsid w:val="00406415"/>
    <w:rPr>
      <w:rFonts w:eastAsiaTheme="minorEastAsia"/>
      <w:sz w:val="24"/>
      <w:szCs w:val="24"/>
      <w:lang w:val="es-ES_tradnl" w:eastAsia="es-ES"/>
    </w:rPr>
  </w:style>
  <w:style w:type="table" w:styleId="Tablaconcuadrcula">
    <w:name w:val="Table Grid"/>
    <w:basedOn w:val="Tablanormal"/>
    <w:uiPriority w:val="59"/>
    <w:rsid w:val="0040641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0641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6415"/>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0641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0641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0641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06415"/>
    <w:rPr>
      <w:rFonts w:eastAsiaTheme="minorEastAsia"/>
      <w:sz w:val="20"/>
      <w:szCs w:val="20"/>
      <w:lang w:val="es-ES_tradnl" w:eastAsia="es-ES"/>
    </w:rPr>
  </w:style>
  <w:style w:type="table" w:styleId="Tablanormal1">
    <w:name w:val="Plain Table 1"/>
    <w:basedOn w:val="Tablanormal"/>
    <w:uiPriority w:val="41"/>
    <w:rsid w:val="00406415"/>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
    <w:link w:val="SinespaciadoCar"/>
    <w:uiPriority w:val="1"/>
    <w:qFormat/>
    <w:rsid w:val="002C55E9"/>
    <w:pPr>
      <w:spacing w:after="0" w:line="240" w:lineRule="auto"/>
    </w:pPr>
    <w:rPr>
      <w:rFonts w:eastAsiaTheme="minorEastAsia"/>
      <w:sz w:val="24"/>
      <w:szCs w:val="24"/>
      <w:lang w:val="es-ES_tradnl" w:eastAsia="es-ES"/>
    </w:rPr>
  </w:style>
  <w:style w:type="character" w:styleId="Textoennegrita">
    <w:name w:val="Strong"/>
    <w:uiPriority w:val="22"/>
    <w:qFormat/>
    <w:rsid w:val="002C55E9"/>
    <w:rPr>
      <w:b/>
      <w:bCs/>
    </w:rPr>
  </w:style>
  <w:style w:type="character" w:customStyle="1" w:styleId="SinespaciadoCar">
    <w:name w:val="Sin espaciado Car"/>
    <w:aliases w:val="Francesa Car"/>
    <w:link w:val="Sinespaciado"/>
    <w:uiPriority w:val="1"/>
    <w:locked/>
    <w:rsid w:val="002C55E9"/>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7128.page" TargetMode="External"/><Relationship Id="rId13" Type="http://schemas.openxmlformats.org/officeDocument/2006/relationships/hyperlink" Target="http://dof.gob.mx/nota_detalle.php?codigo=5492254&amp;fecha=28/07/201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20didatos/folioFiscalFactur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62153.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6215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2715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695D-1C73-439A-9F4C-0D909605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7180</Words>
  <Characters>39491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2022-05-04T22:37:00Z</dcterms:created>
  <dcterms:modified xsi:type="dcterms:W3CDTF">2022-05-11T15:38:00Z</dcterms:modified>
</cp:coreProperties>
</file>