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941804" w14:textId="77777777" w:rsidR="00A12682" w:rsidRDefault="00D41FE1">
      <w:pPr>
        <w:tabs>
          <w:tab w:val="left" w:pos="4962"/>
        </w:tabs>
        <w:spacing w:before="240" w:after="240" w:line="360" w:lineRule="auto"/>
        <w:jc w:val="both"/>
        <w:rPr>
          <w:rFonts w:ascii="Palatino Linotype" w:eastAsia="Palatino Linotype" w:hAnsi="Palatino Linotype" w:cs="Palatino Linotype"/>
        </w:rPr>
      </w:pPr>
      <w:bookmarkStart w:id="0" w:name="_heading=h.tyjcwt" w:colFirst="0" w:colLast="0"/>
      <w:bookmarkEnd w:id="0"/>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veinticinco de mayo de dos mil veintidós. </w:t>
      </w:r>
    </w:p>
    <w:p w14:paraId="266A230D" w14:textId="6D81C862" w:rsidR="00A12682" w:rsidRDefault="00D41FE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 xml:space="preserve">03204/INFOEM/IP/RR/2022, </w:t>
      </w:r>
      <w:r>
        <w:rPr>
          <w:rFonts w:ascii="Palatino Linotype" w:eastAsia="Palatino Linotype" w:hAnsi="Palatino Linotype" w:cs="Palatino Linotype"/>
        </w:rPr>
        <w:t xml:space="preserve">interpuesto por </w:t>
      </w:r>
      <w:r w:rsidR="007A34A6">
        <w:rPr>
          <w:rFonts w:ascii="Palatino Linotype" w:eastAsia="Palatino Linotype" w:hAnsi="Palatino Linotype" w:cs="Palatino Linotype"/>
          <w:b/>
        </w:rPr>
        <w:t>XXXXXX</w:t>
      </w:r>
      <w:bookmarkStart w:id="1" w:name="_GoBack"/>
      <w:bookmarkEnd w:id="1"/>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por parte del </w:t>
      </w:r>
      <w:r>
        <w:rPr>
          <w:rFonts w:ascii="Palatino Linotype" w:eastAsia="Palatino Linotype" w:hAnsi="Palatino Linotype" w:cs="Palatino Linotype"/>
          <w:b/>
        </w:rPr>
        <w:t xml:space="preserve">Ayuntamiento de Chiconcuac </w:t>
      </w:r>
      <w:r>
        <w:rPr>
          <w:rFonts w:ascii="Palatino Linotype" w:eastAsia="Palatino Linotype" w:hAnsi="Palatino Linotype" w:cs="Palatino Linotype"/>
        </w:rPr>
        <w:t xml:space="preserve">en lo sucesivo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se procede a dictar la presente resolución con base en los siguientes: </w:t>
      </w:r>
    </w:p>
    <w:p w14:paraId="50CF7C25" w14:textId="77777777" w:rsidR="00A12682" w:rsidRDefault="00D41FE1">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 xml:space="preserve">I. </w:t>
      </w:r>
      <w:r>
        <w:rPr>
          <w:rFonts w:ascii="Palatino Linotype" w:eastAsia="Palatino Linotype" w:hAnsi="Palatino Linotype" w:cs="Palatino Linotype"/>
          <w:b/>
        </w:rPr>
        <w:tab/>
        <w:t>A N T E C E D E N T E S</w:t>
      </w:r>
    </w:p>
    <w:p w14:paraId="42DA69CA" w14:textId="77777777" w:rsidR="00A12682" w:rsidRDefault="00D41F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Con fecha </w:t>
      </w:r>
      <w:r>
        <w:rPr>
          <w:rFonts w:ascii="Palatino Linotype" w:eastAsia="Palatino Linotype" w:hAnsi="Palatino Linotype" w:cs="Palatino Linotype"/>
          <w:b/>
        </w:rPr>
        <w:t>veinte de enero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 xml:space="preserve">presentó, a través de la Plataforma Nacional de Transparencia vinculada al Sistema de Acceso a la Información Mexiquense, en lo subsecuente el </w:t>
      </w:r>
      <w:r>
        <w:rPr>
          <w:rFonts w:ascii="Palatino Linotype" w:eastAsia="Palatino Linotype" w:hAnsi="Palatino Linotype" w:cs="Palatino Linotype"/>
          <w:b/>
        </w:rPr>
        <w:t xml:space="preserve">SAIMEX, </w:t>
      </w:r>
      <w:r>
        <w:rPr>
          <w:rFonts w:ascii="Palatino Linotype" w:eastAsia="Palatino Linotype" w:hAnsi="Palatino Linotype" w:cs="Palatino Linotype"/>
        </w:rPr>
        <w:t xml:space="preserve">ante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la solicitud de acceso a la información pública, a la que se le asignó el número </w:t>
      </w:r>
      <w:r>
        <w:rPr>
          <w:rFonts w:ascii="Palatino Linotype" w:eastAsia="Palatino Linotype" w:hAnsi="Palatino Linotype" w:cs="Palatino Linotype"/>
          <w:b/>
        </w:rPr>
        <w:t xml:space="preserve">00025/CHICONCU/IP/2022, </w:t>
      </w:r>
      <w:r>
        <w:rPr>
          <w:rFonts w:ascii="Palatino Linotype" w:eastAsia="Palatino Linotype" w:hAnsi="Palatino Linotype" w:cs="Palatino Linotype"/>
        </w:rPr>
        <w:t>mediante la cual requirió la información siguiente:</w:t>
      </w:r>
    </w:p>
    <w:p w14:paraId="501935C3" w14:textId="77777777" w:rsidR="00A12682" w:rsidRDefault="00D41FE1">
      <w:pPr>
        <w:spacing w:line="276" w:lineRule="auto"/>
        <w:ind w:left="540" w:right="918"/>
        <w:jc w:val="both"/>
        <w:rPr>
          <w:rFonts w:ascii="Palatino Linotype" w:eastAsia="Palatino Linotype" w:hAnsi="Palatino Linotype" w:cs="Palatino Linotype"/>
          <w:i/>
        </w:rPr>
      </w:pPr>
      <w:bookmarkStart w:id="2" w:name="_heading=h.gjdgxs" w:colFirst="0" w:colLast="0"/>
      <w:bookmarkEnd w:id="2"/>
      <w:r>
        <w:t>“</w:t>
      </w:r>
      <w:r>
        <w:rPr>
          <w:rFonts w:ascii="Palatino Linotype" w:eastAsia="Palatino Linotype" w:hAnsi="Palatino Linotype" w:cs="Palatino Linotype"/>
          <w:i/>
        </w:rPr>
        <w:t xml:space="preserve">Sirva este medio para solicitar la información pública consistente en los </w:t>
      </w:r>
      <w:r>
        <w:rPr>
          <w:rFonts w:ascii="Palatino Linotype" w:eastAsia="Palatino Linotype" w:hAnsi="Palatino Linotype" w:cs="Palatino Linotype"/>
          <w:b/>
          <w:i/>
        </w:rPr>
        <w:t>montos totales erogados por el Ayuntamiento de Ixtlahuaca</w:t>
      </w:r>
      <w:r>
        <w:rPr>
          <w:rFonts w:ascii="Palatino Linotype" w:eastAsia="Palatino Linotype" w:hAnsi="Palatino Linotype" w:cs="Palatino Linotype"/>
          <w:i/>
        </w:rPr>
        <w:t xml:space="preserve"> por el arrendamiento o uso de lonas, carpas, sillas, equipo de audio, mamparas y todo artículo similar utilizado en los eventos públicos organizados durante los años 2019, 2020 y 2021.</w:t>
      </w:r>
      <w:r>
        <w:rPr>
          <w:rFonts w:ascii="Palatino Linotype" w:eastAsia="Palatino Linotype" w:hAnsi="Palatino Linotype" w:cs="Palatino Linotype"/>
          <w:i/>
          <w:u w:val="single"/>
        </w:rPr>
        <w:t>.</w:t>
      </w:r>
      <w:r>
        <w:rPr>
          <w:rFonts w:ascii="Palatino Linotype" w:eastAsia="Palatino Linotype" w:hAnsi="Palatino Linotype" w:cs="Palatino Linotype"/>
        </w:rPr>
        <w:t>” (sic)</w:t>
      </w:r>
    </w:p>
    <w:p w14:paraId="72304956" w14:textId="77777777" w:rsidR="00A12682" w:rsidRDefault="00A12682">
      <w:pPr>
        <w:jc w:val="both"/>
        <w:rPr>
          <w:rFonts w:ascii="Palatino Linotype" w:eastAsia="Palatino Linotype" w:hAnsi="Palatino Linotype" w:cs="Palatino Linotype"/>
          <w:i/>
        </w:rPr>
      </w:pPr>
    </w:p>
    <w:p w14:paraId="417A5DBB" w14:textId="77777777" w:rsidR="00A12682" w:rsidRDefault="00D41FE1">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EL RECURRENTE </w:t>
      </w:r>
      <w:r>
        <w:rPr>
          <w:rFonts w:ascii="Palatino Linotype" w:eastAsia="Palatino Linotype" w:hAnsi="Palatino Linotype" w:cs="Palatino Linotype"/>
        </w:rPr>
        <w:t xml:space="preserve"> adjuntó el archivo  “Archivo Adjunto a la Solicitud” el cual no fue posible aperturar.</w:t>
      </w:r>
    </w:p>
    <w:p w14:paraId="0E6AA195" w14:textId="77777777" w:rsidR="00A12682" w:rsidRDefault="00D41F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 SAIMEX.</w:t>
      </w:r>
    </w:p>
    <w:p w14:paraId="2BC59205" w14:textId="77777777" w:rsidR="00A12682" w:rsidRDefault="00D41F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114300" distB="114300" distL="114300" distR="114300" wp14:anchorId="09F65CD3" wp14:editId="4B53D32F">
            <wp:extent cx="4371975" cy="619125"/>
            <wp:effectExtent l="0" t="0" r="0" b="0"/>
            <wp:docPr id="9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371975" cy="619125"/>
                    </a:xfrm>
                    <a:prstGeom prst="rect">
                      <a:avLst/>
                    </a:prstGeom>
                    <a:ln/>
                  </pic:spPr>
                </pic:pic>
              </a:graphicData>
            </a:graphic>
          </wp:inline>
        </w:drawing>
      </w:r>
    </w:p>
    <w:p w14:paraId="557F88D5" w14:textId="77777777" w:rsidR="00A12682" w:rsidRDefault="00D41F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veinticuatro de enero de dos mil veintidós, EL SUJETO OBLIGADO</w:t>
      </w:r>
      <w:r>
        <w:rPr>
          <w:rFonts w:ascii="Palatino Linotype" w:eastAsia="Palatino Linotype" w:hAnsi="Palatino Linotype" w:cs="Palatino Linotype"/>
        </w:rPr>
        <w:t xml:space="preserve"> envió respuesta a la solicitud de acceso a la información a través de </w:t>
      </w:r>
      <w:r>
        <w:rPr>
          <w:rFonts w:ascii="Palatino Linotype" w:eastAsia="Palatino Linotype" w:hAnsi="Palatino Linotype" w:cs="Palatino Linotype"/>
          <w:b/>
        </w:rPr>
        <w:t>SAIMEX,</w:t>
      </w:r>
      <w:r>
        <w:rPr>
          <w:rFonts w:ascii="Palatino Linotype" w:eastAsia="Palatino Linotype" w:hAnsi="Palatino Linotype" w:cs="Palatino Linotype"/>
        </w:rPr>
        <w:t xml:space="preserve"> sustancialmente en los términos siguientes:</w:t>
      </w:r>
    </w:p>
    <w:p w14:paraId="18B12401" w14:textId="77777777" w:rsidR="00A12682" w:rsidRDefault="00D41FE1">
      <w:pPr>
        <w:spacing w:before="240" w:after="240" w:line="276" w:lineRule="auto"/>
        <w:ind w:left="566" w:right="629"/>
        <w:jc w:val="both"/>
        <w:rPr>
          <w:rFonts w:ascii="Palatino Linotype" w:eastAsia="Palatino Linotype" w:hAnsi="Palatino Linotype" w:cs="Palatino Linotype"/>
          <w:i/>
        </w:rPr>
      </w:pPr>
      <w:r>
        <w:rPr>
          <w:rFonts w:ascii="Palatino Linotype" w:eastAsia="Palatino Linotype" w:hAnsi="Palatino Linotype" w:cs="Palatino Linotype"/>
          <w:i/>
        </w:rPr>
        <w:t xml:space="preserve">“Por medio de la presente y en relación a su solicitud 00025/CHICONCU/IP/2022, con fecha de recepción del 20/01/2022, en donde el particular solicita la siguiente información: Sirva este medio para solicitar la información pública consistente en los montos totales erogados por el Ayuntamiento de Ixtlahuaca por el arrendamiento o uso de lonas, carpas, sillas, equipo de audio, mamparas y todo artículo similar utilizado en los eventos públicos organizados durante los años 2019, 2020 y 2021. </w:t>
      </w:r>
      <w:r>
        <w:rPr>
          <w:rFonts w:ascii="Palatino Linotype" w:eastAsia="Palatino Linotype" w:hAnsi="Palatino Linotype" w:cs="Palatino Linotype"/>
          <w:b/>
          <w:i/>
        </w:rPr>
        <w:t xml:space="preserve">Al respecto me permito informarle que como sujeto obligado de la Unidad de Transparencia, Acceso a la Información </w:t>
      </w:r>
      <w:proofErr w:type="spellStart"/>
      <w:r>
        <w:rPr>
          <w:rFonts w:ascii="Palatino Linotype" w:eastAsia="Palatino Linotype" w:hAnsi="Palatino Linotype" w:cs="Palatino Linotype"/>
          <w:b/>
          <w:i/>
        </w:rPr>
        <w:t>Publica</w:t>
      </w:r>
      <w:proofErr w:type="spellEnd"/>
      <w:r>
        <w:rPr>
          <w:rFonts w:ascii="Palatino Linotype" w:eastAsia="Palatino Linotype" w:hAnsi="Palatino Linotype" w:cs="Palatino Linotype"/>
          <w:b/>
          <w:i/>
        </w:rPr>
        <w:t xml:space="preserve"> y Protección de Datos Personales, del H. Ayuntamiento de Chiconcuac Edo. de Méx., no soy competente para brindarle dicha información. Ya que la información que solicita la genera la dependencia municipal del Ayuntamiento de Ixtlahuaca</w:t>
      </w:r>
      <w:r>
        <w:rPr>
          <w:rFonts w:ascii="Palatino Linotype" w:eastAsia="Palatino Linotype" w:hAnsi="Palatino Linotype" w:cs="Palatino Linotype"/>
          <w:i/>
        </w:rPr>
        <w:t>. Sin otro particular, le reitero mis atentas consideraciones. ATENTAMENTE: Titular de la Unidad de Transparencia, Acceso a la Información Pública y Protección de Datos Personales, del H. Ayuntamiento de Chiconcuac Edo. de Méx.</w:t>
      </w:r>
    </w:p>
    <w:p w14:paraId="5EBEFEEC" w14:textId="77777777" w:rsidR="00A12682" w:rsidRDefault="00D41FE1">
      <w:pPr>
        <w:spacing w:before="240" w:after="240" w:line="276" w:lineRule="auto"/>
        <w:ind w:left="566" w:right="629"/>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ATENTAMENTE</w:t>
      </w:r>
    </w:p>
    <w:p w14:paraId="6046854A" w14:textId="77777777" w:rsidR="00A12682" w:rsidRDefault="00D41FE1">
      <w:pPr>
        <w:spacing w:before="240" w:after="240" w:line="276" w:lineRule="auto"/>
        <w:ind w:left="566" w:right="629"/>
        <w:jc w:val="both"/>
        <w:rPr>
          <w:rFonts w:ascii="Palatino Linotype" w:eastAsia="Palatino Linotype" w:hAnsi="Palatino Linotype" w:cs="Palatino Linotype"/>
          <w:i/>
        </w:rPr>
      </w:pPr>
      <w:r>
        <w:rPr>
          <w:rFonts w:ascii="Palatino Linotype" w:eastAsia="Palatino Linotype" w:hAnsi="Palatino Linotype" w:cs="Palatino Linotype"/>
          <w:i/>
        </w:rPr>
        <w:t>Licenciada Kassandra Berrocal Mote” (Sic)</w:t>
      </w:r>
    </w:p>
    <w:p w14:paraId="0C7454C2" w14:textId="77777777" w:rsidR="00A12682" w:rsidRDefault="00D41FE1">
      <w:pPr>
        <w:spacing w:before="240" w:after="240" w:line="360" w:lineRule="auto"/>
        <w:ind w:left="566" w:right="629"/>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adjuntó ningún documento a la respuesta.</w:t>
      </w:r>
    </w:p>
    <w:p w14:paraId="65E44707" w14:textId="77777777" w:rsidR="00A12682" w:rsidRDefault="00D41F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Solicitud Concluida.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diecisiete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notificó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 xml:space="preserve"> la conclusión de la solicitud de acceso a la información, como se aprecia a continuación:</w:t>
      </w:r>
    </w:p>
    <w:p w14:paraId="0185CC5C" w14:textId="77777777" w:rsidR="00A12682" w:rsidRDefault="00D41FE1">
      <w:pPr>
        <w:spacing w:before="240" w:after="240" w:line="360" w:lineRule="auto"/>
        <w:jc w:val="both"/>
        <w:rPr>
          <w:rFonts w:ascii="Palatino Linotype" w:eastAsia="Palatino Linotype" w:hAnsi="Palatino Linotype" w:cs="Palatino Linotype"/>
        </w:rPr>
      </w:pPr>
      <w:r>
        <w:rPr>
          <w:noProof/>
          <w:lang w:val="es-MX"/>
        </w:rPr>
        <w:drawing>
          <wp:inline distT="0" distB="0" distL="0" distR="0" wp14:anchorId="69D98551" wp14:editId="58DC6D0F">
            <wp:extent cx="5598200" cy="1700042"/>
            <wp:effectExtent l="0" t="0" r="0" b="0"/>
            <wp:docPr id="10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52614" t="29269" r="6652" b="48737"/>
                    <a:stretch>
                      <a:fillRect/>
                    </a:stretch>
                  </pic:blipFill>
                  <pic:spPr>
                    <a:xfrm>
                      <a:off x="0" y="0"/>
                      <a:ext cx="5598200" cy="1700042"/>
                    </a:xfrm>
                    <a:prstGeom prst="rect">
                      <a:avLst/>
                    </a:prstGeom>
                    <a:ln/>
                  </pic:spPr>
                </pic:pic>
              </a:graphicData>
            </a:graphic>
          </wp:inline>
        </w:drawing>
      </w:r>
    </w:p>
    <w:p w14:paraId="04FD9FB8" w14:textId="77777777" w:rsidR="00A12682" w:rsidRDefault="00D41F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tres de marzo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interpuso el recurso de revisión a través del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expuso lo siguiente:</w:t>
      </w:r>
    </w:p>
    <w:p w14:paraId="10E51576" w14:textId="77777777" w:rsidR="00A12682" w:rsidRDefault="00D41FE1">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Acto impugnado:</w:t>
      </w:r>
    </w:p>
    <w:p w14:paraId="3F751702" w14:textId="77777777" w:rsidR="00A12682" w:rsidRDefault="00A12682">
      <w:pPr>
        <w:spacing w:line="360" w:lineRule="auto"/>
        <w:jc w:val="both"/>
        <w:rPr>
          <w:rFonts w:ascii="Palatino Linotype" w:eastAsia="Palatino Linotype" w:hAnsi="Palatino Linotype" w:cs="Palatino Linotype"/>
          <w:b/>
        </w:rPr>
      </w:pPr>
    </w:p>
    <w:p w14:paraId="0A0078B5" w14:textId="77777777" w:rsidR="00A12682" w:rsidRDefault="00D41FE1">
      <w:pPr>
        <w:spacing w:line="360" w:lineRule="auto"/>
        <w:ind w:left="709" w:right="629"/>
        <w:jc w:val="both"/>
        <w:rPr>
          <w:rFonts w:ascii="Palatino Linotype" w:eastAsia="Palatino Linotype" w:hAnsi="Palatino Linotype" w:cs="Palatino Linotype"/>
          <w:i/>
        </w:rPr>
      </w:pPr>
      <w:r>
        <w:rPr>
          <w:rFonts w:ascii="Palatino Linotype" w:eastAsia="Palatino Linotype" w:hAnsi="Palatino Linotype" w:cs="Palatino Linotype"/>
          <w:i/>
        </w:rPr>
        <w:t>“falta información Ayuntamiento de Chiconcuac” (sic)</w:t>
      </w:r>
    </w:p>
    <w:p w14:paraId="4F2380A9" w14:textId="77777777" w:rsidR="00A12682" w:rsidRDefault="00A12682">
      <w:pPr>
        <w:spacing w:line="360" w:lineRule="auto"/>
        <w:ind w:right="629"/>
        <w:jc w:val="both"/>
        <w:rPr>
          <w:rFonts w:ascii="Palatino Linotype" w:eastAsia="Palatino Linotype" w:hAnsi="Palatino Linotype" w:cs="Palatino Linotype"/>
          <w:b/>
        </w:rPr>
      </w:pPr>
    </w:p>
    <w:p w14:paraId="200BA31F" w14:textId="77777777" w:rsidR="00A12682" w:rsidRDefault="00D41FE1">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Sin emitir</w:t>
      </w:r>
      <w:r>
        <w:rPr>
          <w:rFonts w:ascii="Palatino Linotype" w:eastAsia="Palatino Linotype" w:hAnsi="Palatino Linotype" w:cs="Palatino Linotype"/>
          <w:b/>
        </w:rPr>
        <w:t xml:space="preserve"> Razones o motivos de inconformidad.</w:t>
      </w:r>
    </w:p>
    <w:p w14:paraId="797D99ED" w14:textId="77777777" w:rsidR="00A12682" w:rsidRDefault="00A12682">
      <w:pPr>
        <w:spacing w:line="360" w:lineRule="auto"/>
        <w:jc w:val="both"/>
        <w:rPr>
          <w:rFonts w:ascii="Palatino Linotype" w:eastAsia="Palatino Linotype" w:hAnsi="Palatino Linotype" w:cs="Palatino Linotype"/>
          <w:b/>
        </w:rPr>
      </w:pPr>
    </w:p>
    <w:p w14:paraId="628705BE" w14:textId="77777777" w:rsidR="00A12682" w:rsidRDefault="00D41FE1">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El particular adjunto el </w:t>
      </w:r>
      <w:r>
        <w:rPr>
          <w:rFonts w:ascii="Palatino Linotype" w:eastAsia="Palatino Linotype" w:hAnsi="Palatino Linotype" w:cs="Palatino Linotype"/>
          <w:b/>
        </w:rPr>
        <w:t xml:space="preserve">Archivo1646075415537, </w:t>
      </w:r>
      <w:r>
        <w:rPr>
          <w:rFonts w:ascii="Palatino Linotype" w:eastAsia="Palatino Linotype" w:hAnsi="Palatino Linotype" w:cs="Palatino Linotype"/>
        </w:rPr>
        <w:t>que no fue posible visualizar.</w:t>
      </w:r>
    </w:p>
    <w:p w14:paraId="70F4328C" w14:textId="77777777" w:rsidR="00A12682" w:rsidRDefault="00A12682">
      <w:pPr>
        <w:spacing w:line="360" w:lineRule="auto"/>
        <w:jc w:val="both"/>
        <w:rPr>
          <w:rFonts w:ascii="Palatino Linotype" w:eastAsia="Palatino Linotype" w:hAnsi="Palatino Linotype" w:cs="Palatino Linotype"/>
          <w:sz w:val="2"/>
          <w:szCs w:val="2"/>
        </w:rPr>
      </w:pPr>
    </w:p>
    <w:p w14:paraId="63440D9B" w14:textId="77777777" w:rsidR="00A12682" w:rsidRDefault="00D41F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fecha </w:t>
      </w:r>
      <w:r>
        <w:rPr>
          <w:rFonts w:ascii="Palatino Linotype" w:eastAsia="Palatino Linotype" w:hAnsi="Palatino Linotype" w:cs="Palatino Linotype"/>
          <w:b/>
        </w:rPr>
        <w:t>tres de marzo de dos mil veintidós,</w:t>
      </w:r>
      <w:r>
        <w:rPr>
          <w:rFonts w:ascii="Palatino Linotype" w:eastAsia="Palatino Linotype" w:hAnsi="Palatino Linotype" w:cs="Palatino Linotype"/>
        </w:rPr>
        <w:t xml:space="preserve"> el presente recurso de revisión se turnó por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 la Comisionada</w:t>
      </w:r>
      <w:r>
        <w:rPr>
          <w:rFonts w:ascii="Palatino Linotype" w:eastAsia="Palatino Linotype" w:hAnsi="Palatino Linotype" w:cs="Palatino Linotype"/>
          <w:b/>
        </w:rPr>
        <w:t xml:space="preserve"> Guadalupe Ramírez Peña, </w:t>
      </w:r>
      <w:r>
        <w:rPr>
          <w:rFonts w:ascii="Palatino Linotype" w:eastAsia="Palatino Linotype" w:hAnsi="Palatino Linotype" w:cs="Palatino Linotype"/>
        </w:rPr>
        <w:t xml:space="preserve">a efecto de que analice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14:paraId="44CAF11D" w14:textId="77777777" w:rsidR="00A12682" w:rsidRDefault="00D41FE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6.</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Con fecha</w:t>
      </w:r>
      <w:r>
        <w:rPr>
          <w:rFonts w:ascii="Palatino Linotype" w:eastAsia="Palatino Linotype" w:hAnsi="Palatino Linotype" w:cs="Palatino Linotype"/>
          <w:b/>
        </w:rPr>
        <w:t xml:space="preserve"> ocho de marzo de dos mil veintidós,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presentara su informe justificado.</w:t>
      </w:r>
    </w:p>
    <w:p w14:paraId="3890BE67" w14:textId="77777777" w:rsidR="00A12682" w:rsidRDefault="00D41FE1">
      <w:pPr>
        <w:widowControl w:val="0"/>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7. Manifestaciones</w:t>
      </w:r>
      <w:r>
        <w:rPr>
          <w:rFonts w:ascii="Palatino Linotype" w:eastAsia="Palatino Linotype" w:hAnsi="Palatino Linotype" w:cs="Palatino Linotype"/>
        </w:rPr>
        <w:t>.</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 xml:space="preserve">De las constancias que obran en el expediente electrónico que nos ocupa, se advierte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remite informe justificado, en el que manifiesta:</w:t>
      </w:r>
      <w:r>
        <w:rPr>
          <w:rFonts w:ascii="Palatino Linotype" w:eastAsia="Palatino Linotype" w:hAnsi="Palatino Linotype" w:cs="Palatino Linotype"/>
          <w:b/>
        </w:rPr>
        <w:t xml:space="preserve"> </w:t>
      </w:r>
    </w:p>
    <w:p w14:paraId="23E5393B" w14:textId="77777777" w:rsidR="00A12682" w:rsidRDefault="00D41FE1">
      <w:pPr>
        <w:widowControl w:val="0"/>
        <w:spacing w:before="240" w:after="240" w:line="276" w:lineRule="auto"/>
        <w:ind w:left="993"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“Por medio de la presente nos permitimos hacer de su conocimiento de acuerdo al Art. 53 fracción II, V Y VI de la de la Ley de Transparencia y Acceso a la Información Pública del Estado de México y Municipios; en relación a su solicitud 00025/CHICONCU/IP/2022, con fecha de recepción del 20/01/2022, en donde el particular solicita la siguiente información: Sirva este medio para solicitar la información pública consistente en los montos totales erogados por </w:t>
      </w:r>
      <w:r>
        <w:rPr>
          <w:rFonts w:ascii="Palatino Linotype" w:eastAsia="Palatino Linotype" w:hAnsi="Palatino Linotype" w:cs="Palatino Linotype"/>
          <w:i/>
          <w:sz w:val="22"/>
          <w:szCs w:val="22"/>
        </w:rPr>
        <w:lastRenderedPageBreak/>
        <w:t xml:space="preserve">el Ayuntamiento de Ixtlahuaca por el arrendamiento o uso de lonas, carpas, sillas, equipo de audio, mamparas y todo artículo similar utilizado en los eventos públicos organizados durante los años 2019, 2020 y 2021. Al respecto me permito informarle lo siguiente: A LOS DOS DÍAS HÁBILES POSTERIORES A LA FECHA DE RECEPCIÓN DE LA SOLICITUD SE ENTREGÓ EN TIEMPO Y FORMA LA DECLARACIÓN DE INCOMPETENCIA POR PARTE DEL AYUNTAMIENTO DE CHICONCUAC. DONDE SE ORIENTÓ AL PARTICULAR DE LA DEPENDENCIA QUE PUDIERA TENER LA INFORMACIÓN REQUERIDA. ES NECESARIO MENCIONAR QUE ENTRE LAS EXCEPCIONES AL DERECHO DE ACCESO A LA INFORMACIÓN SE ENCUENTRA QUE EL SUJETO OBLIGADO SEA INCOMPETENTE PARA CONTAR CON LA INFORMACIÓN SOLICITADA, ESTO ES QUE, LA NEGATIVA DE ACCESO A LA INFORMACIÓN RECAE CUANDO LA DOCUMENTACIÓN NO SE ENCUENTRA EN LOS ARCHIVOS DEL SUJETO OBLIGADO, PORQUE ESTE CARECE DE ATRIBUCIONES PARA CONTAR CON ESTA, LO ANTERIOR, TOMA SUSTENTO EN EL CRITERIO 13/17 EMITIDO POR EL INSTITUTO NACIONAL DE TRANSPARENCIA, ACCESO A LA INFORMACIÓN Y PROTECCIÓN DE DATOS PERSONALES, QUE A LA LITERAL ESTABLECE LO SIGUIENTE: INCOMPETENCIA: 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LO DECLARA. Sin otro particular, le reitero mis atentas consideraciones. ATENTAMENTE: Titular de la Unidad de Transparencia, Acceso a la Información Pública y Protección de Datos Personales” </w:t>
      </w:r>
      <w:r>
        <w:rPr>
          <w:rFonts w:ascii="Palatino Linotype" w:eastAsia="Palatino Linotype" w:hAnsi="Palatino Linotype" w:cs="Palatino Linotype"/>
          <w:sz w:val="22"/>
          <w:szCs w:val="22"/>
        </w:rPr>
        <w:t>(Sic)</w:t>
      </w:r>
    </w:p>
    <w:p w14:paraId="2BD14EAC" w14:textId="77777777" w:rsidR="00A12682" w:rsidRDefault="00D41FE1">
      <w:pPr>
        <w:widowControl w:val="0"/>
        <w:spacing w:before="240" w:after="240" w:line="276"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Y agrega el documento, </w:t>
      </w:r>
      <w:r>
        <w:rPr>
          <w:rFonts w:ascii="Palatino Linotype" w:eastAsia="Palatino Linotype" w:hAnsi="Palatino Linotype" w:cs="Palatino Linotype"/>
          <w:b/>
        </w:rPr>
        <w:t xml:space="preserve">RESPUESTA A LA SOLICITUD.pdf, </w:t>
      </w:r>
      <w:r>
        <w:rPr>
          <w:rFonts w:ascii="Palatino Linotype" w:eastAsia="Palatino Linotype" w:hAnsi="Palatino Linotype" w:cs="Palatino Linotype"/>
        </w:rPr>
        <w:t>que se muestra a continuación:</w:t>
      </w:r>
    </w:p>
    <w:p w14:paraId="17C3E5D8" w14:textId="77777777" w:rsidR="00A12682" w:rsidRDefault="00A12682">
      <w:pPr>
        <w:widowControl w:val="0"/>
        <w:spacing w:before="240" w:after="240" w:line="276" w:lineRule="auto"/>
        <w:ind w:right="49"/>
        <w:jc w:val="both"/>
        <w:rPr>
          <w:rFonts w:ascii="Palatino Linotype" w:eastAsia="Palatino Linotype" w:hAnsi="Palatino Linotype" w:cs="Palatino Linotype"/>
        </w:rPr>
      </w:pPr>
    </w:p>
    <w:p w14:paraId="51553C46" w14:textId="77777777" w:rsidR="00A12682" w:rsidRDefault="00A12682">
      <w:pPr>
        <w:widowControl w:val="0"/>
        <w:spacing w:before="240" w:after="240" w:line="276" w:lineRule="auto"/>
        <w:ind w:right="49"/>
        <w:jc w:val="both"/>
        <w:rPr>
          <w:rFonts w:ascii="Palatino Linotype" w:eastAsia="Palatino Linotype" w:hAnsi="Palatino Linotype" w:cs="Palatino Linotype"/>
        </w:rPr>
      </w:pPr>
    </w:p>
    <w:p w14:paraId="4DF63B18" w14:textId="77777777" w:rsidR="00A12682" w:rsidRDefault="00D41FE1">
      <w:pPr>
        <w:widowControl w:val="0"/>
        <w:spacing w:before="240" w:after="240" w:line="276" w:lineRule="auto"/>
        <w:ind w:right="49"/>
        <w:jc w:val="center"/>
        <w:rPr>
          <w:rFonts w:ascii="Palatino Linotype" w:eastAsia="Palatino Linotype" w:hAnsi="Palatino Linotype" w:cs="Palatino Linotype"/>
        </w:rPr>
      </w:pPr>
      <w:r>
        <w:rPr>
          <w:noProof/>
          <w:lang w:val="es-MX"/>
        </w:rPr>
        <w:drawing>
          <wp:inline distT="0" distB="0" distL="0" distR="0" wp14:anchorId="1B50C339" wp14:editId="045E3555">
            <wp:extent cx="4438650" cy="5112219"/>
            <wp:effectExtent l="0" t="0" r="0" b="0"/>
            <wp:docPr id="10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63645" t="24742" r="2918" b="6760"/>
                    <a:stretch>
                      <a:fillRect/>
                    </a:stretch>
                  </pic:blipFill>
                  <pic:spPr>
                    <a:xfrm>
                      <a:off x="0" y="0"/>
                      <a:ext cx="4438650" cy="5112219"/>
                    </a:xfrm>
                    <a:prstGeom prst="rect">
                      <a:avLst/>
                    </a:prstGeom>
                    <a:ln/>
                  </pic:spPr>
                </pic:pic>
              </a:graphicData>
            </a:graphic>
          </wp:inline>
        </w:drawing>
      </w:r>
    </w:p>
    <w:p w14:paraId="7A45F69C" w14:textId="77777777" w:rsidR="00A12682" w:rsidRDefault="00D41FE1">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cual fue puesto a la vista del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dieciocho de mayo de dos mil veintidós,</w:t>
      </w:r>
      <w:r>
        <w:rPr>
          <w:rFonts w:ascii="Palatino Linotype" w:eastAsia="Palatino Linotype" w:hAnsi="Palatino Linotype" w:cs="Palatino Linotype"/>
        </w:rPr>
        <w:t xml:space="preserve"> el cual fue omiso en expresar alegato alguno y ofrecer pruebas en el plazo establecido para tal efecto.</w:t>
      </w:r>
    </w:p>
    <w:p w14:paraId="6912B847" w14:textId="77777777" w:rsidR="00A12682" w:rsidRDefault="00D41FE1">
      <w:pPr>
        <w:widowControl w:val="0"/>
        <w:tabs>
          <w:tab w:val="left" w:pos="709"/>
        </w:tabs>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8.- Ampliación del plazo para emitir resolución.</w:t>
      </w:r>
      <w:r>
        <w:rPr>
          <w:rFonts w:ascii="Palatino Linotype" w:eastAsia="Palatino Linotype" w:hAnsi="Palatino Linotype" w:cs="Palatino Linotype"/>
        </w:rPr>
        <w:t xml:space="preserve"> El </w:t>
      </w:r>
      <w:r>
        <w:rPr>
          <w:rFonts w:ascii="Palatino Linotype" w:eastAsia="Palatino Linotype" w:hAnsi="Palatino Linotype" w:cs="Palatino Linotype"/>
          <w:b/>
          <w:color w:val="000000"/>
        </w:rPr>
        <w:t xml:space="preserve">dieciséis de mayo </w:t>
      </w:r>
      <w:r>
        <w:rPr>
          <w:rFonts w:ascii="Palatino Linotype" w:eastAsia="Palatino Linotype" w:hAnsi="Palatino Linotype" w:cs="Palatino Linotype"/>
          <w:b/>
        </w:rPr>
        <w:t>de dos mil veintidós</w:t>
      </w:r>
      <w:r>
        <w:rPr>
          <w:rFonts w:ascii="Palatino Linotype" w:eastAsia="Palatino Linotype" w:hAnsi="Palatino Linotype" w:cs="Palatino Linotype"/>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 </w:t>
      </w:r>
    </w:p>
    <w:p w14:paraId="0E347481" w14:textId="77777777" w:rsidR="00A12682" w:rsidRDefault="00D41FE1">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9.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Pr>
          <w:rFonts w:ascii="Palatino Linotype" w:eastAsia="Palatino Linotype" w:hAnsi="Palatino Linotype" w:cs="Palatino Linotype"/>
          <w:b/>
        </w:rPr>
        <w:t>veintitrés de mayo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D66443F" w14:textId="77777777" w:rsidR="00A12682" w:rsidRDefault="00D41FE1">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2754CE06" w14:textId="77777777" w:rsidR="00A12682" w:rsidRDefault="00D41FE1">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 xml:space="preserve">II. </w:t>
      </w:r>
      <w:r>
        <w:rPr>
          <w:rFonts w:ascii="Palatino Linotype" w:eastAsia="Palatino Linotype" w:hAnsi="Palatino Linotype" w:cs="Palatino Linotype"/>
          <w:b/>
        </w:rPr>
        <w:tab/>
        <w:t>C O N S I D E R A N D O S</w:t>
      </w:r>
    </w:p>
    <w:p w14:paraId="7B708B4D" w14:textId="77777777" w:rsidR="00A12682" w:rsidRDefault="00D41F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conforme a lo dispuesto en los artículos 6, apartado A de la Constitución Política de los Estados Unidos Mexicanos; 5 párrafos trigésimo, trigésimo primero y trigésimo segundo fracciones IV y V de la Constitución Política </w:t>
      </w:r>
      <w:r>
        <w:rPr>
          <w:rFonts w:ascii="Palatino Linotype" w:eastAsia="Palatino Linotype" w:hAnsi="Palatino Linotype" w:cs="Palatino Linotype"/>
        </w:rPr>
        <w:lastRenderedPageBreak/>
        <w:t>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279D01FC" w14:textId="77777777" w:rsidR="00A12682" w:rsidRDefault="00D41FE1">
      <w:pPr>
        <w:spacing w:before="240" w:after="240" w:line="360" w:lineRule="auto"/>
        <w:jc w:val="both"/>
        <w:rPr>
          <w:rFonts w:ascii="Palatino Linotype" w:eastAsia="Palatino Linotype" w:hAnsi="Palatino Linotype" w:cs="Palatino Linotype"/>
        </w:rPr>
      </w:pPr>
      <w:bookmarkStart w:id="3" w:name="_heading=h.30j0zll" w:colFirst="0" w:colLast="0"/>
      <w:bookmarkEnd w:id="3"/>
      <w:r>
        <w:rPr>
          <w:rFonts w:ascii="Palatino Linotype" w:eastAsia="Palatino Linotype" w:hAnsi="Palatino Linotype" w:cs="Palatino Linotype"/>
          <w:b/>
        </w:rPr>
        <w:t>Segundo. Análisis de las Causales de Improcedencia y Sobreseimiento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Este Instituto, realiza el estudio preferente y oficioso de las cuales de improcedencia, en el entendido de que las mismas deben ser analizadas sea que las hayan hecho valer o no las partes, por tratarse de una cuestión de orden público y de estudio preferente, atento a lo establecido por la Jurisprudencia número 940, publicada en la página 1538 de la Segunda Parte del Apéndice del Semanario Judicial de la Federación 1917-1918 que a la letra señala:</w:t>
      </w:r>
    </w:p>
    <w:p w14:paraId="4D61E182" w14:textId="77777777" w:rsidR="00A12682" w:rsidRDefault="00D41FE1">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“Improcedencia: </w:t>
      </w:r>
      <w:r>
        <w:rPr>
          <w:rFonts w:ascii="Palatino Linotype" w:eastAsia="Palatino Linotype" w:hAnsi="Palatino Linotype" w:cs="Palatino Linotype"/>
          <w:i/>
          <w:sz w:val="22"/>
          <w:szCs w:val="22"/>
        </w:rPr>
        <w:t>Sea que las partes la aleguen o no, debe examinarse previamente la procedencia del juicio de amparo, por ser cuestión de orden público en el juicio de garantías.”</w:t>
      </w:r>
    </w:p>
    <w:p w14:paraId="3F152493" w14:textId="77777777" w:rsidR="00A12682" w:rsidRDefault="00D41F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la Ley de Transparencia y Acceso a la Información Pública del Estado de México y Municipios, establece lo siguiente:</w:t>
      </w:r>
    </w:p>
    <w:p w14:paraId="2928E7E8" w14:textId="77777777" w:rsidR="00A12682" w:rsidRDefault="00D41FE1">
      <w:pPr>
        <w:spacing w:line="276" w:lineRule="auto"/>
        <w:ind w:left="851" w:right="900"/>
        <w:jc w:val="both"/>
        <w:rPr>
          <w:rFonts w:ascii="Palatino Linotype" w:eastAsia="Palatino Linotype" w:hAnsi="Palatino Linotype" w:cs="Palatino Linotype"/>
          <w:i/>
          <w:sz w:val="28"/>
          <w:szCs w:val="28"/>
        </w:rPr>
      </w:pPr>
      <w:r>
        <w:rPr>
          <w:rFonts w:ascii="Palatino Linotype" w:eastAsia="Palatino Linotype" w:hAnsi="Palatino Linotype" w:cs="Palatino Linotype"/>
          <w:b/>
          <w:i/>
          <w:sz w:val="22"/>
          <w:szCs w:val="22"/>
        </w:rPr>
        <w:t xml:space="preserve">“Artículo 178. </w:t>
      </w:r>
      <w:r>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1557438" w14:textId="77777777" w:rsidR="00A12682" w:rsidRDefault="00D41FE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w:t>
      </w:r>
    </w:p>
    <w:p w14:paraId="66584003" w14:textId="77777777" w:rsidR="00A12682" w:rsidRDefault="00D41FE1">
      <w:pPr>
        <w:spacing w:before="240" w:after="240" w:line="360" w:lineRule="auto"/>
        <w:ind w:right="-1134"/>
        <w:jc w:val="both"/>
        <w:rPr>
          <w:rFonts w:ascii="Palatino Linotype" w:eastAsia="Palatino Linotype" w:hAnsi="Palatino Linotype" w:cs="Palatino Linotype"/>
        </w:rPr>
      </w:pPr>
      <w:r>
        <w:rPr>
          <w:rFonts w:ascii="Palatino Linotype" w:eastAsia="Palatino Linotype" w:hAnsi="Palatino Linotype" w:cs="Palatino Linotype"/>
        </w:rPr>
        <w:t>Por su parte los artículos 186, 191 y 192 de la Ley en cita, disponen lo siguiente:</w:t>
      </w:r>
    </w:p>
    <w:p w14:paraId="629CB1B8" w14:textId="77777777" w:rsidR="00A12682" w:rsidRDefault="00D41FE1">
      <w:pPr>
        <w:spacing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 “Artículo 186.</w:t>
      </w:r>
      <w:r>
        <w:rPr>
          <w:rFonts w:ascii="Palatino Linotype" w:eastAsia="Palatino Linotype" w:hAnsi="Palatino Linotype" w:cs="Palatino Linotype"/>
          <w:i/>
          <w:sz w:val="22"/>
          <w:szCs w:val="22"/>
        </w:rPr>
        <w:t xml:space="preserve"> Las resoluciones del Instituto podrán: </w:t>
      </w:r>
    </w:p>
    <w:p w14:paraId="305AB8A3" w14:textId="77777777" w:rsidR="00A12682" w:rsidRDefault="00D41FE1">
      <w:pPr>
        <w:spacing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Desechar o sobreseer el recurso; </w:t>
      </w:r>
    </w:p>
    <w:p w14:paraId="236A020F" w14:textId="77777777" w:rsidR="00A12682" w:rsidRDefault="00D41FE1">
      <w:pPr>
        <w:spacing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4DDBFCF" w14:textId="77777777" w:rsidR="00A12682" w:rsidRDefault="00D41FE1">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191. </w:t>
      </w:r>
      <w:r>
        <w:rPr>
          <w:rFonts w:ascii="Palatino Linotype" w:eastAsia="Palatino Linotype" w:hAnsi="Palatino Linotype" w:cs="Palatino Linotype"/>
          <w:i/>
          <w:sz w:val="22"/>
          <w:szCs w:val="22"/>
        </w:rPr>
        <w:t>El recurso será desechado por improcedente cuando:</w:t>
      </w:r>
    </w:p>
    <w:p w14:paraId="3A14312E" w14:textId="77777777" w:rsidR="00A12682" w:rsidRDefault="00D41FE1">
      <w:pPr>
        <w:tabs>
          <w:tab w:val="left" w:pos="1276"/>
        </w:tabs>
        <w:spacing w:before="120" w:after="120" w:line="276" w:lineRule="auto"/>
        <w:ind w:left="1134"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Sea extemporáneo por haber transcurrido el plazo establecido en la presente Ley, a partir de la respuesta;</w:t>
      </w:r>
    </w:p>
    <w:p w14:paraId="33AF8867" w14:textId="77777777" w:rsidR="00A12682" w:rsidRDefault="00D41FE1">
      <w:pPr>
        <w:tabs>
          <w:tab w:val="left" w:pos="1276"/>
        </w:tabs>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 </w:t>
      </w:r>
      <w:r>
        <w:rPr>
          <w:rFonts w:ascii="Palatino Linotype" w:eastAsia="Palatino Linotype" w:hAnsi="Palatino Linotype" w:cs="Palatino Linotype"/>
          <w:i/>
          <w:sz w:val="22"/>
          <w:szCs w:val="22"/>
        </w:rPr>
        <w:t>Se esté tramitando ante el Poder Judicial de la Federación algún recurso o medio de defensa interpuesto por el recurrente;</w:t>
      </w:r>
    </w:p>
    <w:p w14:paraId="7010B753" w14:textId="77777777" w:rsidR="00A12682" w:rsidRDefault="00D41FE1">
      <w:pPr>
        <w:tabs>
          <w:tab w:val="left" w:pos="1276"/>
        </w:tabs>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i/>
          <w:sz w:val="22"/>
          <w:szCs w:val="22"/>
        </w:rPr>
        <w:t>No actualice alguno de los supuestos previstos en la presente Ley;</w:t>
      </w:r>
    </w:p>
    <w:p w14:paraId="4C55D82C" w14:textId="77777777" w:rsidR="00A12682" w:rsidRDefault="00D41FE1">
      <w:pPr>
        <w:tabs>
          <w:tab w:val="left" w:pos="1276"/>
        </w:tabs>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No se haya desahogado la prevención en los términos establecidos en la presente Ley;</w:t>
      </w:r>
    </w:p>
    <w:p w14:paraId="1452F4EA" w14:textId="77777777" w:rsidR="00A12682" w:rsidRDefault="00D41FE1">
      <w:pPr>
        <w:tabs>
          <w:tab w:val="left" w:pos="1276"/>
        </w:tabs>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Se impugne la veracidad de la información proporcionada;</w:t>
      </w:r>
    </w:p>
    <w:p w14:paraId="4D8A822F" w14:textId="77777777" w:rsidR="00A12682" w:rsidRDefault="00D41FE1">
      <w:pPr>
        <w:tabs>
          <w:tab w:val="left" w:pos="1276"/>
        </w:tabs>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Se trate de una consulta, o trámite en específico; y</w:t>
      </w:r>
    </w:p>
    <w:p w14:paraId="55B1225C" w14:textId="77777777" w:rsidR="00A12682" w:rsidRDefault="00D41FE1">
      <w:pPr>
        <w:tabs>
          <w:tab w:val="left" w:pos="1276"/>
        </w:tabs>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El recurrente amplíe su solicitud en el recurso de revisión, únicamente respecto de los nuevos contenidos.”</w:t>
      </w:r>
    </w:p>
    <w:p w14:paraId="078002BC" w14:textId="77777777" w:rsidR="00A12682" w:rsidRDefault="00A12682">
      <w:pPr>
        <w:spacing w:before="120" w:after="120" w:line="276" w:lineRule="auto"/>
        <w:ind w:left="851" w:right="902"/>
        <w:jc w:val="both"/>
        <w:rPr>
          <w:rFonts w:ascii="Palatino Linotype" w:eastAsia="Palatino Linotype" w:hAnsi="Palatino Linotype" w:cs="Palatino Linotype"/>
          <w:i/>
          <w:sz w:val="22"/>
          <w:szCs w:val="22"/>
        </w:rPr>
      </w:pPr>
    </w:p>
    <w:p w14:paraId="54F59B92" w14:textId="77777777" w:rsidR="00A12682" w:rsidRDefault="00D41FE1">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192. </w:t>
      </w:r>
      <w:r>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6D5E0F7F" w14:textId="77777777" w:rsidR="00A12682" w:rsidRDefault="00D41FE1">
      <w:pPr>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i/>
          <w:sz w:val="22"/>
          <w:szCs w:val="22"/>
        </w:rPr>
        <w:t>El recurrente se desista expresamente del recurso;</w:t>
      </w:r>
    </w:p>
    <w:p w14:paraId="4C8564B6" w14:textId="77777777" w:rsidR="00A12682" w:rsidRDefault="00D41FE1">
      <w:pPr>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II. </w:t>
      </w:r>
      <w:r>
        <w:rPr>
          <w:rFonts w:ascii="Palatino Linotype" w:eastAsia="Palatino Linotype" w:hAnsi="Palatino Linotype" w:cs="Palatino Linotype"/>
          <w:i/>
          <w:sz w:val="22"/>
          <w:szCs w:val="22"/>
        </w:rPr>
        <w:t>El recurrente fallezca o, tratándose de personas jurídicas colectivas, se disuelva;</w:t>
      </w:r>
    </w:p>
    <w:p w14:paraId="34757169" w14:textId="77777777" w:rsidR="00A12682" w:rsidRDefault="00D41FE1">
      <w:pPr>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i/>
          <w:sz w:val="22"/>
          <w:szCs w:val="22"/>
        </w:rPr>
        <w:t>El sujeto obligado responsable del acto lo modifique o revoque de tal manera que el recurso de revisión quede sin materia;</w:t>
      </w:r>
    </w:p>
    <w:p w14:paraId="188C9413" w14:textId="77777777" w:rsidR="00A12682" w:rsidRDefault="00D41FE1">
      <w:pPr>
        <w:spacing w:before="120" w:after="120" w:line="276" w:lineRule="auto"/>
        <w:ind w:left="1134"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IV. Admitido el recurso de revisión, aparezca alguna causal de improcedencia en los términos de la presente Ley; y</w:t>
      </w:r>
    </w:p>
    <w:p w14:paraId="641968F4" w14:textId="77777777" w:rsidR="00A12682" w:rsidRDefault="00D41FE1">
      <w:pPr>
        <w:spacing w:before="120" w:after="120" w:line="276" w:lineRule="auto"/>
        <w:ind w:left="1134"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Cuando por cualquier motivo quede sin materia el recurso</w:t>
      </w:r>
      <w:r>
        <w:rPr>
          <w:rFonts w:ascii="Palatino Linotype" w:eastAsia="Palatino Linotype" w:hAnsi="Palatino Linotype" w:cs="Palatino Linotype"/>
          <w:sz w:val="22"/>
          <w:szCs w:val="22"/>
        </w:rPr>
        <w:t>.”</w:t>
      </w:r>
    </w:p>
    <w:p w14:paraId="3DDC407E" w14:textId="77777777" w:rsidR="00A12682" w:rsidRDefault="00D41FE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primer lugar, cabe destacar que, la Ley da la posibilidad de desechar el recurso de revisión en el momento procesal en que también se puede admitir, por alguna de las causales transcritas, artículo que tiene un momento de aplicabilidad previo a la admisión del recurso de revisión por no reunir los requisitos de procedibilidad previstos en el artículo 179 de la Ley en la Materia.</w:t>
      </w:r>
    </w:p>
    <w:p w14:paraId="45A2F22C" w14:textId="77777777" w:rsidR="00A12682" w:rsidRDefault="00D41FE1">
      <w:pPr>
        <w:spacing w:before="240" w:after="240" w:line="360" w:lineRule="auto"/>
        <w:ind w:right="49"/>
        <w:jc w:val="both"/>
        <w:rPr>
          <w:rFonts w:ascii="Palatino Linotype" w:eastAsia="Palatino Linotype" w:hAnsi="Palatino Linotype" w:cs="Palatino Linotype"/>
        </w:rPr>
      </w:pPr>
      <w:bookmarkStart w:id="4" w:name="_heading=h.3znysh7" w:colFirst="0" w:colLast="0"/>
      <w:bookmarkEnd w:id="4"/>
      <w:r>
        <w:rPr>
          <w:rFonts w:ascii="Palatino Linotype" w:eastAsia="Palatino Linotype" w:hAnsi="Palatino Linotype" w:cs="Palatino Linotype"/>
        </w:rPr>
        <w:t xml:space="preserve">En esta tesitura, es evidente que no se puede invocar el precepto legal 191 de la Ley en cita ulteriormente a que ha sido admitido, determinando la actualización de un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porque está ya sería posterior a la etapa procedimental en la que debió desecharse.</w:t>
      </w:r>
    </w:p>
    <w:p w14:paraId="17315801" w14:textId="77777777" w:rsidR="00A12682" w:rsidRDefault="00D41FE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Cobrando aplicación lo previsto en la fracción IV del artículo 192, en razón a que al haber sido el recurso y al actualizarse una causal de improcedencia, debe ser sobreseído. </w:t>
      </w:r>
    </w:p>
    <w:p w14:paraId="5B09E5EB" w14:textId="77777777" w:rsidR="00A12682" w:rsidRDefault="00D41FE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Así, de las constancias que obran en el expediente de mérito, se advierte que se actualiza la causal de sobreseimiento enunciada en la fracción IV del artículo 192 de la Ley de Transparencia y Acceso a la Información Pública del Estado de México y Municipios, en relación directa con la fracción I del artículo 191 de la misma Ley, por no existir elementos de procedencia.</w:t>
      </w:r>
    </w:p>
    <w:p w14:paraId="25C6541F" w14:textId="77777777" w:rsidR="00A12682" w:rsidRDefault="00D41FE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en virtud de que no escapa de la óptica de este Organismo Garante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dio respuesta a la solicitud de información el día </w:t>
      </w:r>
      <w:r>
        <w:rPr>
          <w:rFonts w:ascii="Palatino Linotype" w:eastAsia="Palatino Linotype" w:hAnsi="Palatino Linotype" w:cs="Palatino Linotype"/>
          <w:b/>
        </w:rPr>
        <w:t xml:space="preserve">veinticuatro de enero de dos mil veintidós, </w:t>
      </w:r>
      <w:r>
        <w:rPr>
          <w:rFonts w:ascii="Palatino Linotype" w:eastAsia="Palatino Linotype" w:hAnsi="Palatino Linotype" w:cs="Palatino Linotype"/>
        </w:rPr>
        <w:t xml:space="preserve">mientras que el particular interpuso el recurso de revisión que nos ocupa hasta el día </w:t>
      </w:r>
      <w:r>
        <w:rPr>
          <w:rFonts w:ascii="Palatino Linotype" w:eastAsia="Palatino Linotype" w:hAnsi="Palatino Linotype" w:cs="Palatino Linotype"/>
          <w:b/>
        </w:rPr>
        <w:t xml:space="preserve">tres de marzo de dos mil veintidós, </w:t>
      </w:r>
      <w:r>
        <w:rPr>
          <w:rFonts w:ascii="Palatino Linotype" w:eastAsia="Palatino Linotype" w:hAnsi="Palatino Linotype" w:cs="Palatino Linotype"/>
        </w:rPr>
        <w:t xml:space="preserve"> de tal suerte que transcurrieron más de quince días hábiles desde la notificación de la respuesta, hasta el día de la interposición del medio de impugnación.</w:t>
      </w:r>
    </w:p>
    <w:p w14:paraId="4495E461" w14:textId="77777777" w:rsidR="00A12682" w:rsidRDefault="00D41FE1">
      <w:pPr>
        <w:spacing w:before="280" w:after="280" w:line="360" w:lineRule="auto"/>
        <w:jc w:val="both"/>
      </w:pPr>
      <w:r>
        <w:rPr>
          <w:rFonts w:ascii="Palatino Linotype" w:eastAsia="Palatino Linotype" w:hAnsi="Palatino Linotype" w:cs="Palatino Linotype"/>
        </w:rPr>
        <w:t xml:space="preserve">Lo anterior se afirma así, derivado de que el plazo de quince días previsto en el artículo 178 de la Ley de Transparencia y Acceso a la Información Pública del Estado de México y Municipios citado con antelación, comenzó a computarse a partir del día </w:t>
      </w:r>
      <w:r>
        <w:rPr>
          <w:rFonts w:ascii="Palatino Linotype" w:eastAsia="Palatino Linotype" w:hAnsi="Palatino Linotype" w:cs="Palatino Linotype"/>
          <w:b/>
        </w:rPr>
        <w:t>veinticinco de enero de dos mil veintidós</w:t>
      </w:r>
      <w:r>
        <w:rPr>
          <w:rFonts w:ascii="Palatino Linotype" w:eastAsia="Palatino Linotype" w:hAnsi="Palatino Linotype" w:cs="Palatino Linotype"/>
        </w:rPr>
        <w:t xml:space="preserve"> y </w:t>
      </w:r>
      <w:r>
        <w:rPr>
          <w:rFonts w:ascii="Palatino Linotype" w:eastAsia="Palatino Linotype" w:hAnsi="Palatino Linotype" w:cs="Palatino Linotype"/>
          <w:u w:val="single"/>
        </w:rPr>
        <w:t xml:space="preserve">feneció el día </w:t>
      </w:r>
      <w:r>
        <w:rPr>
          <w:rFonts w:ascii="Palatino Linotype" w:eastAsia="Palatino Linotype" w:hAnsi="Palatino Linotype" w:cs="Palatino Linotype"/>
          <w:b/>
          <w:u w:val="single"/>
        </w:rPr>
        <w:t>quince de febrero de dos mil veintidós</w:t>
      </w:r>
      <w:r>
        <w:rPr>
          <w:rFonts w:ascii="Palatino Linotype" w:eastAsia="Palatino Linotype" w:hAnsi="Palatino Linotype" w:cs="Palatino Linotype"/>
        </w:rPr>
        <w:t xml:space="preserve">,  sin tomar en cuenta el día siete de febrero de dos mil veintidós que presentó suspensión de labores, así como los días  veintinueve y treinta de enero,  y cinco, seis, doce y trece de febrero de dos mil veintidós que son días inhábiles, en </w:t>
      </w:r>
      <w:r>
        <w:rPr>
          <w:rFonts w:ascii="Palatino Linotype" w:eastAsia="Palatino Linotype" w:hAnsi="Palatino Linotype" w:cs="Palatino Linotype"/>
        </w:rPr>
        <w:lastRenderedPageBreak/>
        <w:t>términos del artículo 3, fracción X</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xml:space="preserve"> de la Ley de la Materia y el ACUERDO SEGUNDO del Acuerdo por el cual se expide el Calendario Oficial en Materia de Transparencia, Acceso a la Información Pública y Protección de Datos Personales del Estado de México y Municipios, así como de labores de este Organismo Garante para el año dos mil veintidós y enero del dos mil veintitrés</w:t>
      </w:r>
      <w:r>
        <w:rPr>
          <w:rFonts w:ascii="Palatino Linotype" w:eastAsia="Palatino Linotype" w:hAnsi="Palatino Linotype" w:cs="Palatino Linotype"/>
          <w:vertAlign w:val="superscript"/>
        </w:rPr>
        <w:footnoteReference w:id="3"/>
      </w:r>
      <w:r>
        <w:rPr>
          <w:rFonts w:ascii="Palatino Linotype" w:eastAsia="Palatino Linotype" w:hAnsi="Palatino Linotype" w:cs="Palatino Linotype"/>
        </w:rPr>
        <w:t>.</w:t>
      </w:r>
    </w:p>
    <w:p w14:paraId="45674324" w14:textId="77777777" w:rsidR="00A12682" w:rsidRDefault="00D41F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hasta aquí expuesto, es evidente que el presente asunto actualiza la causal de improcedencia enunciada en el artículo 191 fracción I de la Ley de Transparencia y Acceso a la Información Pública del Estado de México y Municipios, en virtud de que el recurso de revisión fue presentado fuera del plazo señalado en el artículo 178 de la Ley de la Materia; situación que trae aparejada el sobreseimiento, atendiendo a lo dispuesto en el artículo 192 fracción IV del citado ordenamiento legal. </w:t>
      </w:r>
    </w:p>
    <w:p w14:paraId="2587971E" w14:textId="77777777" w:rsidR="00A12682" w:rsidRDefault="00D41FE1">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Sirve como criterio orientador, lo establecido en la Jurisprudencia 1ª.J3/99 de la Novena Época, emitida por la Primera Sala de la Suprema Corte de Justicia de la Nación, publicada en el Semanario Judicial de la Federación y su Gaceta, que en lo conducente dispone: </w:t>
      </w:r>
    </w:p>
    <w:p w14:paraId="5DBD27F9" w14:textId="77777777" w:rsidR="00A12682" w:rsidRDefault="00D41FE1">
      <w:pPr>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IMPROCEDENCIA. ESTUDIO PREFERENCIAL DE LAS CAUSALES PREVISTAS EN EL ARTÍCULO 73 DE LA LEY DE AMPARO.</w:t>
      </w:r>
      <w:r>
        <w:rPr>
          <w:rFonts w:ascii="Palatino Linotype" w:eastAsia="Palatino Linotype" w:hAnsi="Palatino Linotype" w:cs="Palatino Linotype"/>
          <w:i/>
          <w:sz w:val="22"/>
          <w:szCs w:val="22"/>
        </w:rPr>
        <w:t xml:space="preserve"> De conformidad con lo dispuesto en el último párrafo del artículo 73 de la Ley de Amparo las causales de improcedencia deben ser examinadas de oficio y debe abordarse en cualquier instancia en que el juicio se encuentre; de tal manera que si en la revisión se advierte que existen otras causas de estudio preferente a la </w:t>
      </w:r>
      <w:r>
        <w:rPr>
          <w:rFonts w:ascii="Palatino Linotype" w:eastAsia="Palatino Linotype" w:hAnsi="Palatino Linotype" w:cs="Palatino Linotype"/>
          <w:i/>
          <w:sz w:val="22"/>
          <w:szCs w:val="22"/>
        </w:rPr>
        <w:lastRenderedPageBreak/>
        <w:t>invocada por el Juez para sobreseer, habrán de analizarse, sin atender razonamiento alguno expresado por el recurrente…”</w:t>
      </w:r>
    </w:p>
    <w:p w14:paraId="3CB35FA3" w14:textId="77777777" w:rsidR="00A12682" w:rsidRDefault="00D41FE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Atento a los razonamientos lógico jurídicos que han quedado precisados y toda vez que el  </w:t>
      </w:r>
      <w:r>
        <w:rPr>
          <w:rFonts w:ascii="Palatino Linotype" w:eastAsia="Palatino Linotype" w:hAnsi="Palatino Linotype" w:cs="Palatino Linotype"/>
          <w:i/>
        </w:rPr>
        <w:t xml:space="preserve">sobreseimiento </w:t>
      </w:r>
      <w:r>
        <w:rPr>
          <w:rFonts w:ascii="Palatino Linotype" w:eastAsia="Palatino Linotype" w:hAnsi="Palatino Linotype" w:cs="Palatino Linotype"/>
        </w:rPr>
        <w:t xml:space="preserve">es un acto que da por terminado el procedimiento administrativo de impugnación por alguna causa que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Pr>
          <w:rFonts w:ascii="Palatino Linotype" w:eastAsia="Palatino Linotype" w:hAnsi="Palatino Linotype" w:cs="Palatino Linotype"/>
          <w:b/>
        </w:rPr>
        <w:t>SOBRESEIMIENTO, NO PERMITE ENTRAR AL ESTUDIO DE LAS CUESTIONES DE FONDO</w:t>
      </w:r>
      <w:r>
        <w:rPr>
          <w:rFonts w:ascii="Palatino Linotype" w:eastAsia="Palatino Linotype" w:hAnsi="Palatino Linotype" w:cs="Palatino Linotype"/>
          <w:vertAlign w:val="superscript"/>
        </w:rPr>
        <w:footnoteReference w:id="4"/>
      </w:r>
      <w:r>
        <w:rPr>
          <w:rFonts w:ascii="Palatino Linotype" w:eastAsia="Palatino Linotype" w:hAnsi="Palatino Linotype" w:cs="Palatino Linotype"/>
          <w:b/>
        </w:rPr>
        <w:t>.</w:t>
      </w:r>
    </w:p>
    <w:p w14:paraId="4868C46F" w14:textId="77777777" w:rsidR="00A12682" w:rsidRDefault="00D41F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resulta procedente </w:t>
      </w:r>
      <w:r>
        <w:rPr>
          <w:rFonts w:ascii="Palatino Linotype" w:eastAsia="Palatino Linotype" w:hAnsi="Palatino Linotype" w:cs="Palatino Linotype"/>
          <w:i/>
        </w:rPr>
        <w:t>sobreseer</w:t>
      </w:r>
      <w:r>
        <w:rPr>
          <w:rFonts w:ascii="Palatino Linotype" w:eastAsia="Palatino Linotype" w:hAnsi="Palatino Linotype" w:cs="Palatino Linotype"/>
        </w:rPr>
        <w:t xml:space="preserve"> el recurso de revisión materia de la presente resolución en términos del artículo 186 fracción I de la de la Ley de Transparencia y Acceso a la Información Pública del Estado de México y Municipios en relación directa con los artículos 191 fracción VI y 192 fracción IV de mismo ordenamiento legal, citados con anterioridad, pues se actualizó una causal de improcedencia; ya que fue interpuesto fuera del plazo legal establecido para tal efecto.</w:t>
      </w:r>
    </w:p>
    <w:p w14:paraId="7644B674" w14:textId="77777777" w:rsidR="00A12682" w:rsidRDefault="00D41FE1">
      <w:pPr>
        <w:tabs>
          <w:tab w:val="left" w:pos="1800"/>
        </w:tabs>
        <w:rPr>
          <w:rFonts w:ascii="Palatino Linotype" w:eastAsia="Palatino Linotype" w:hAnsi="Palatino Linotype" w:cs="Palatino Linotype"/>
        </w:rPr>
      </w:pPr>
      <w:r>
        <w:rPr>
          <w:rFonts w:ascii="Palatino Linotype" w:eastAsia="Palatino Linotype" w:hAnsi="Palatino Linotype" w:cs="Palatino Linotype"/>
        </w:rPr>
        <w:tab/>
      </w:r>
    </w:p>
    <w:p w14:paraId="45188211" w14:textId="77777777" w:rsidR="00A12682" w:rsidRDefault="00D41F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58429ED1" w14:textId="77777777" w:rsidR="00A12682" w:rsidRDefault="00D41FE1">
      <w:pPr>
        <w:numPr>
          <w:ilvl w:val="0"/>
          <w:numId w:val="1"/>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14:paraId="0ED38D33" w14:textId="77777777" w:rsidR="00A12682" w:rsidRDefault="00D41FE1">
      <w:pPr>
        <w:spacing w:before="240" w:after="240" w:line="360" w:lineRule="auto"/>
        <w:jc w:val="both"/>
        <w:rPr>
          <w:rFonts w:ascii="Palatino Linotype" w:eastAsia="Palatino Linotype" w:hAnsi="Palatino Linotype" w:cs="Palatino Linotype"/>
        </w:rPr>
      </w:pPr>
      <w:bookmarkStart w:id="5" w:name="_heading=h.1fob9te" w:colFirst="0" w:colLast="0"/>
      <w:bookmarkEnd w:id="5"/>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Se Sobresee el recurso de revisión número </w:t>
      </w:r>
      <w:r>
        <w:rPr>
          <w:rFonts w:ascii="Palatino Linotype" w:eastAsia="Palatino Linotype" w:hAnsi="Palatino Linotype" w:cs="Palatino Linotype"/>
          <w:b/>
        </w:rPr>
        <w:t xml:space="preserve">03204/INFOEM/IP/RR/2022, </w:t>
      </w:r>
      <w:r>
        <w:rPr>
          <w:rFonts w:ascii="Palatino Linotype" w:eastAsia="Palatino Linotype" w:hAnsi="Palatino Linotype" w:cs="Palatino Linotype"/>
        </w:rPr>
        <w:t>porque una vez admitido se actualizó la causal de improcedencia prevista en el artículo 192 fracción IV, en relación con la fracción I del artículo 191, de la Ley de Transparencia vigente en la entidad, que lo dejó sin materia en términos del Considerando Segundo de la presente resolución.</w:t>
      </w:r>
    </w:p>
    <w:p w14:paraId="64DC85C3" w14:textId="77777777" w:rsidR="00A12682" w:rsidRDefault="00D41F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Notifíquese, </w:t>
      </w:r>
      <w:r>
        <w:rPr>
          <w:rFonts w:ascii="Palatino Linotype" w:eastAsia="Palatino Linotype" w:hAnsi="Palatino Linotype" w:cs="Palatino Linotype"/>
        </w:rPr>
        <w:t>vía</w:t>
      </w:r>
      <w:r>
        <w:rPr>
          <w:rFonts w:ascii="Palatino Linotype" w:eastAsia="Palatino Linotype" w:hAnsi="Palatino Linotype" w:cs="Palatino Linotype"/>
          <w:b/>
        </w:rPr>
        <w:t xml:space="preserve"> SAIMEX, </w:t>
      </w:r>
      <w:r>
        <w:rPr>
          <w:rFonts w:ascii="Palatino Linotype" w:eastAsia="Palatino Linotype" w:hAnsi="Palatino Linotype" w:cs="Palatino Linotype"/>
        </w:rPr>
        <w:t xml:space="preserve">a la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presente resolución, para su conocimiento.</w:t>
      </w:r>
    </w:p>
    <w:p w14:paraId="7B04786E" w14:textId="77777777" w:rsidR="00A12682" w:rsidRDefault="00D41FE1">
      <w:pPr>
        <w:spacing w:before="240" w:after="240" w:line="360" w:lineRule="auto"/>
        <w:jc w:val="both"/>
        <w:rPr>
          <w:rFonts w:ascii="Palatino Linotype" w:eastAsia="Palatino Linotype" w:hAnsi="Palatino Linotype" w:cs="Palatino Linotype"/>
        </w:rPr>
      </w:pPr>
      <w:bookmarkStart w:id="6" w:name="_heading=h.2et92p0" w:colFirst="0" w:colLast="0"/>
      <w:bookmarkEnd w:id="6"/>
      <w:r>
        <w:rPr>
          <w:rFonts w:ascii="Palatino Linotype" w:eastAsia="Palatino Linotype" w:hAnsi="Palatino Linotype" w:cs="Palatino Linotype"/>
          <w:b/>
        </w:rPr>
        <w:t xml:space="preserve">Tercero. Notifíquese, </w:t>
      </w:r>
      <w:r>
        <w:rPr>
          <w:rFonts w:ascii="Palatino Linotype" w:eastAsia="Palatino Linotype" w:hAnsi="Palatino Linotype" w:cs="Palatino Linotype"/>
        </w:rPr>
        <w:t xml:space="preserve">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758D180E" w14:textId="77777777" w:rsidR="00A12682" w:rsidRDefault="00D41F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Pr>
          <w:rFonts w:ascii="Palatino Linotype" w:eastAsia="Palatino Linotype" w:hAnsi="Palatino Linotype" w:cs="Palatino Linotype"/>
        </w:rPr>
        <w:lastRenderedPageBreak/>
        <w:t xml:space="preserve">VILCHIS, MARÍA DEL ROSARIO MEJÍA AYALA, SHARON CRISTINA MORALES MARTÍNEZ; LUIS GUSTAVO PARRA NORIEGA Y GUADALUPE RAMÍREZ PEÑA; EN LA DÉCIMA NOVENA SESIÓN ORDINARIA CELEBRADA EL </w:t>
      </w:r>
      <w:r w:rsidR="00D76551">
        <w:rPr>
          <w:rFonts w:ascii="Palatino Linotype" w:eastAsia="Palatino Linotype" w:hAnsi="Palatino Linotype" w:cs="Palatino Linotype"/>
        </w:rPr>
        <w:t>VEINTICINCO</w:t>
      </w:r>
      <w:r>
        <w:rPr>
          <w:rFonts w:ascii="Palatino Linotype" w:eastAsia="Palatino Linotype" w:hAnsi="Palatino Linotype" w:cs="Palatino Linotype"/>
        </w:rPr>
        <w:t xml:space="preserve"> DE MAYO DE DOS MIL VEINTIDÓS, ANTE EL SECRETARIO TÉCNICO DEL PLENO, ALEXIS TAPIA RAMÍREZ.</w:t>
      </w:r>
    </w:p>
    <w:p w14:paraId="40E0DA48" w14:textId="414E11C0" w:rsidR="00A12682" w:rsidRDefault="00916B5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14:anchorId="6B0BC1B9" wp14:editId="77D3845C">
                <wp:simplePos x="0" y="0"/>
                <wp:positionH relativeFrom="column">
                  <wp:posOffset>185138</wp:posOffset>
                </wp:positionH>
                <wp:positionV relativeFrom="paragraph">
                  <wp:posOffset>263363</wp:posOffset>
                </wp:positionV>
                <wp:extent cx="5124893" cy="5071730"/>
                <wp:effectExtent l="38100" t="19050" r="57150" b="91440"/>
                <wp:wrapNone/>
                <wp:docPr id="1" name="Conector recto 1"/>
                <wp:cNvGraphicFramePr/>
                <a:graphic xmlns:a="http://schemas.openxmlformats.org/drawingml/2006/main">
                  <a:graphicData uri="http://schemas.microsoft.com/office/word/2010/wordprocessingShape">
                    <wps:wsp>
                      <wps:cNvCnPr/>
                      <wps:spPr>
                        <a:xfrm>
                          <a:off x="0" y="0"/>
                          <a:ext cx="5124893" cy="507173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CB1F9C"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6pt,20.75pt" to="418.15pt,4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" strokecolor="#4f81bd [3204]" strokeweight="2pt">
                <v:shadow on="t" color="black" opacity="24903f" origin=",.5" offset="0,.55556mm"/>
              </v:line>
            </w:pict>
          </mc:Fallback>
        </mc:AlternateContent>
      </w:r>
    </w:p>
    <w:p w14:paraId="0D22C61D" w14:textId="77777777" w:rsidR="00A12682" w:rsidRDefault="00A12682">
      <w:pPr>
        <w:spacing w:before="240" w:after="240" w:line="360" w:lineRule="auto"/>
        <w:jc w:val="both"/>
        <w:rPr>
          <w:rFonts w:ascii="Palatino Linotype" w:eastAsia="Palatino Linotype" w:hAnsi="Palatino Linotype" w:cs="Palatino Linotype"/>
        </w:rPr>
      </w:pPr>
    </w:p>
    <w:p w14:paraId="0A1704BB" w14:textId="77777777" w:rsidR="00A12682" w:rsidRDefault="00A12682">
      <w:pPr>
        <w:spacing w:before="240" w:after="240" w:line="360" w:lineRule="auto"/>
        <w:jc w:val="both"/>
        <w:rPr>
          <w:rFonts w:ascii="Palatino Linotype" w:eastAsia="Palatino Linotype" w:hAnsi="Palatino Linotype" w:cs="Palatino Linotype"/>
        </w:rPr>
      </w:pPr>
    </w:p>
    <w:p w14:paraId="301D2445" w14:textId="77777777" w:rsidR="00A12682" w:rsidRDefault="00A12682">
      <w:pPr>
        <w:spacing w:before="240" w:after="240" w:line="360" w:lineRule="auto"/>
        <w:jc w:val="both"/>
        <w:rPr>
          <w:rFonts w:ascii="Palatino Linotype" w:eastAsia="Palatino Linotype" w:hAnsi="Palatino Linotype" w:cs="Palatino Linotype"/>
        </w:rPr>
      </w:pPr>
    </w:p>
    <w:p w14:paraId="69053698" w14:textId="77777777" w:rsidR="00A12682" w:rsidRDefault="00A12682">
      <w:pPr>
        <w:spacing w:before="240" w:after="240" w:line="360" w:lineRule="auto"/>
        <w:jc w:val="both"/>
        <w:rPr>
          <w:rFonts w:ascii="Palatino Linotype" w:eastAsia="Palatino Linotype" w:hAnsi="Palatino Linotype" w:cs="Palatino Linotype"/>
        </w:rPr>
      </w:pPr>
    </w:p>
    <w:p w14:paraId="080C42A8" w14:textId="77777777" w:rsidR="00A12682" w:rsidRDefault="00A12682">
      <w:pPr>
        <w:spacing w:before="240" w:after="240" w:line="360" w:lineRule="auto"/>
        <w:jc w:val="both"/>
        <w:rPr>
          <w:rFonts w:ascii="Palatino Linotype" w:eastAsia="Palatino Linotype" w:hAnsi="Palatino Linotype" w:cs="Palatino Linotype"/>
        </w:rPr>
      </w:pPr>
    </w:p>
    <w:p w14:paraId="5965EDEA" w14:textId="77777777" w:rsidR="00A12682" w:rsidRDefault="00A12682">
      <w:pPr>
        <w:spacing w:before="240" w:after="240" w:line="360" w:lineRule="auto"/>
        <w:jc w:val="both"/>
        <w:rPr>
          <w:rFonts w:ascii="Palatino Linotype" w:eastAsia="Palatino Linotype" w:hAnsi="Palatino Linotype" w:cs="Palatino Linotype"/>
        </w:rPr>
      </w:pPr>
    </w:p>
    <w:p w14:paraId="3664FD67" w14:textId="77777777" w:rsidR="00A12682" w:rsidRDefault="00A12682">
      <w:pPr>
        <w:spacing w:before="240" w:after="240" w:line="360" w:lineRule="auto"/>
        <w:jc w:val="both"/>
        <w:rPr>
          <w:rFonts w:ascii="Palatino Linotype" w:eastAsia="Palatino Linotype" w:hAnsi="Palatino Linotype" w:cs="Palatino Linotype"/>
        </w:rPr>
      </w:pPr>
    </w:p>
    <w:p w14:paraId="5B5A38A0" w14:textId="77777777" w:rsidR="00A12682" w:rsidRDefault="00A12682">
      <w:pPr>
        <w:spacing w:before="240" w:after="240" w:line="360" w:lineRule="auto"/>
        <w:jc w:val="both"/>
        <w:rPr>
          <w:rFonts w:ascii="Palatino Linotype" w:eastAsia="Palatino Linotype" w:hAnsi="Palatino Linotype" w:cs="Palatino Linotype"/>
        </w:rPr>
      </w:pPr>
    </w:p>
    <w:p w14:paraId="2F3B34A8" w14:textId="77777777" w:rsidR="00A12682" w:rsidRDefault="00A12682">
      <w:pPr>
        <w:spacing w:before="240" w:after="240" w:line="360" w:lineRule="auto"/>
        <w:jc w:val="both"/>
        <w:rPr>
          <w:rFonts w:ascii="Palatino Linotype" w:eastAsia="Palatino Linotype" w:hAnsi="Palatino Linotype" w:cs="Palatino Linotype"/>
        </w:rPr>
      </w:pPr>
    </w:p>
    <w:p w14:paraId="0D5FE567" w14:textId="77777777" w:rsidR="00A12682" w:rsidRDefault="00A12682">
      <w:pPr>
        <w:spacing w:before="240" w:after="240" w:line="360" w:lineRule="auto"/>
        <w:jc w:val="both"/>
        <w:rPr>
          <w:rFonts w:ascii="Palatino Linotype" w:eastAsia="Palatino Linotype" w:hAnsi="Palatino Linotype" w:cs="Palatino Linotype"/>
        </w:rPr>
      </w:pPr>
    </w:p>
    <w:p w14:paraId="32F06820" w14:textId="77777777" w:rsidR="00A12682" w:rsidRDefault="00A12682">
      <w:pPr>
        <w:spacing w:before="240" w:after="240" w:line="360" w:lineRule="auto"/>
        <w:jc w:val="both"/>
        <w:rPr>
          <w:rFonts w:ascii="Palatino Linotype" w:eastAsia="Palatino Linotype" w:hAnsi="Palatino Linotype" w:cs="Palatino Linotype"/>
        </w:rPr>
      </w:pPr>
    </w:p>
    <w:p w14:paraId="4BD766F2" w14:textId="77777777" w:rsidR="00A12682" w:rsidRDefault="00A12682">
      <w:pPr>
        <w:spacing w:before="240" w:after="240" w:line="360" w:lineRule="auto"/>
        <w:jc w:val="both"/>
        <w:rPr>
          <w:rFonts w:ascii="Palatino Linotype" w:eastAsia="Palatino Linotype" w:hAnsi="Palatino Linotype" w:cs="Palatino Linotype"/>
        </w:rPr>
      </w:pPr>
    </w:p>
    <w:p w14:paraId="21952B28" w14:textId="77777777" w:rsidR="00A12682" w:rsidRDefault="00A12682">
      <w:pPr>
        <w:spacing w:before="240" w:after="240" w:line="360" w:lineRule="auto"/>
        <w:jc w:val="both"/>
        <w:rPr>
          <w:rFonts w:ascii="Palatino Linotype" w:eastAsia="Palatino Linotype" w:hAnsi="Palatino Linotype" w:cs="Palatino Linotype"/>
        </w:rPr>
      </w:pPr>
    </w:p>
    <w:p w14:paraId="72A55DD1" w14:textId="77777777" w:rsidR="00A12682" w:rsidRDefault="00A12682">
      <w:pPr>
        <w:spacing w:before="240" w:after="240" w:line="360" w:lineRule="auto"/>
        <w:jc w:val="both"/>
        <w:rPr>
          <w:rFonts w:ascii="Palatino Linotype" w:eastAsia="Palatino Linotype" w:hAnsi="Palatino Linotype" w:cs="Palatino Linotype"/>
        </w:rPr>
      </w:pPr>
    </w:p>
    <w:p w14:paraId="4D0D1549" w14:textId="77777777" w:rsidR="00A12682" w:rsidRDefault="00A12682">
      <w:pPr>
        <w:spacing w:before="240" w:after="240" w:line="360" w:lineRule="auto"/>
        <w:jc w:val="both"/>
        <w:rPr>
          <w:rFonts w:ascii="Palatino Linotype" w:eastAsia="Palatino Linotype" w:hAnsi="Palatino Linotype" w:cs="Palatino Linotype"/>
          <w:sz w:val="20"/>
          <w:szCs w:val="20"/>
        </w:rPr>
      </w:pPr>
    </w:p>
    <w:sectPr w:rsidR="00A12682">
      <w:headerReference w:type="default" r:id="rId11"/>
      <w:footerReference w:type="default" r:id="rId12"/>
      <w:headerReference w:type="first" r:id="rId13"/>
      <w:footerReference w:type="first" r:id="rId14"/>
      <w:pgSz w:w="12240" w:h="15840"/>
      <w:pgMar w:top="2694"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DD6009" w14:textId="77777777" w:rsidR="00093B6A" w:rsidRDefault="00093B6A">
      <w:r>
        <w:separator/>
      </w:r>
    </w:p>
  </w:endnote>
  <w:endnote w:type="continuationSeparator" w:id="0">
    <w:p w14:paraId="531C8C95" w14:textId="77777777" w:rsidR="00093B6A" w:rsidRDefault="00093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7DD98" w14:textId="77777777" w:rsidR="00A12682" w:rsidRDefault="00A12682">
    <w:pPr>
      <w:tabs>
        <w:tab w:val="center" w:pos="4252"/>
        <w:tab w:val="right" w:pos="8504"/>
      </w:tabs>
      <w:spacing w:line="360" w:lineRule="auto"/>
      <w:ind w:right="51"/>
      <w:jc w:val="both"/>
      <w:rPr>
        <w:rFonts w:ascii="Palatino Linotype" w:eastAsia="Palatino Linotype" w:hAnsi="Palatino Linotype" w:cs="Palatino Linotype"/>
      </w:rPr>
    </w:pPr>
  </w:p>
  <w:p w14:paraId="628D07E1" w14:textId="77777777" w:rsidR="00A12682" w:rsidRDefault="00D41FE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A34A6">
      <w:rPr>
        <w:rFonts w:ascii="Palatino Linotype" w:eastAsia="Palatino Linotype" w:hAnsi="Palatino Linotype" w:cs="Palatino Linotype"/>
        <w:b/>
        <w:noProof/>
        <w:color w:val="000000"/>
        <w:sz w:val="20"/>
        <w:szCs w:val="20"/>
      </w:rPr>
      <w:t>15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A34A6">
      <w:rPr>
        <w:rFonts w:ascii="Palatino Linotype" w:eastAsia="Palatino Linotype" w:hAnsi="Palatino Linotype" w:cs="Palatino Linotype"/>
        <w:b/>
        <w:noProof/>
        <w:color w:val="000000"/>
        <w:sz w:val="20"/>
        <w:szCs w:val="20"/>
      </w:rPr>
      <w:t>16</w:t>
    </w:r>
    <w:r>
      <w:rPr>
        <w:rFonts w:ascii="Palatino Linotype" w:eastAsia="Palatino Linotype" w:hAnsi="Palatino Linotype" w:cs="Palatino Linotype"/>
        <w:b/>
        <w:color w:val="000000"/>
        <w:sz w:val="20"/>
        <w:szCs w:val="20"/>
      </w:rPr>
      <w:fldChar w:fldCharType="end"/>
    </w:r>
  </w:p>
  <w:p w14:paraId="57741FA6" w14:textId="77777777" w:rsidR="00A12682" w:rsidRDefault="00D41FE1">
    <w:pPr>
      <w:pBdr>
        <w:top w:val="nil"/>
        <w:left w:val="nil"/>
        <w:bottom w:val="nil"/>
        <w:right w:val="nil"/>
        <w:between w:val="nil"/>
      </w:pBdr>
      <w:tabs>
        <w:tab w:val="center" w:pos="4252"/>
        <w:tab w:val="right" w:pos="8504"/>
      </w:tabs>
      <w:ind w:firstLine="708"/>
      <w:rPr>
        <w:rFonts w:ascii="Cambria" w:eastAsia="Cambria" w:hAnsi="Cambria" w:cs="Cambria"/>
        <w:color w:val="000000"/>
      </w:rPr>
    </w:pPr>
    <w:r>
      <w:rPr>
        <w:noProof/>
        <w:lang w:val="es-MX"/>
      </w:rPr>
      <mc:AlternateContent>
        <mc:Choice Requires="wpg">
          <w:drawing>
            <wp:anchor distT="0" distB="0" distL="114300" distR="114300" simplePos="0" relativeHeight="251660288" behindDoc="0" locked="0" layoutInCell="1" hidden="0" allowOverlap="1" wp14:anchorId="73E2C8A5" wp14:editId="5E3848F7">
              <wp:simplePos x="0" y="0"/>
              <wp:positionH relativeFrom="column">
                <wp:posOffset>1117600</wp:posOffset>
              </wp:positionH>
              <wp:positionV relativeFrom="paragraph">
                <wp:posOffset>8115300</wp:posOffset>
              </wp:positionV>
              <wp:extent cx="4717055" cy="479804"/>
              <wp:effectExtent l="0" t="0" r="0" b="0"/>
              <wp:wrapNone/>
              <wp:docPr id="97" name="Rectángulo redondeado 97"/>
              <wp:cNvGraphicFramePr/>
              <a:graphic xmlns:a="http://schemas.openxmlformats.org/drawingml/2006/main">
                <a:graphicData uri="http://schemas.microsoft.com/office/word/2010/wordprocessingShape">
                  <wps:wsp>
                    <wps:cNvSpPr/>
                    <wps:spPr>
                      <a:xfrm>
                        <a:off x="3087485" y="3640111"/>
                        <a:ext cx="4517030" cy="279779"/>
                      </a:xfrm>
                      <a:prstGeom prst="roundRect">
                        <a:avLst>
                          <a:gd name="adj" fmla="val 16667"/>
                        </a:avLst>
                      </a:prstGeom>
                      <a:noFill/>
                      <a:ln w="28575" cap="flat" cmpd="sng">
                        <a:solidFill>
                          <a:srgbClr val="FF0000"/>
                        </a:solidFill>
                        <a:prstDash val="solid"/>
                        <a:round/>
                        <a:headEnd type="none" w="sm" len="sm"/>
                        <a:tailEnd type="none" w="sm" len="sm"/>
                      </a:ln>
                      <a:effectLst>
                        <a:outerShdw blurRad="40000" dist="23000" dir="5400000" rotWithShape="0">
                          <a:srgbClr val="000000">
                            <a:alpha val="32549"/>
                          </a:srgbClr>
                        </a:outerShdw>
                      </a:effectLst>
                    </wps:spPr>
                    <wps:txbx>
                      <w:txbxContent>
                        <w:p w14:paraId="06E6101B" w14:textId="77777777" w:rsidR="00A12682" w:rsidRDefault="00A12682">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1117600</wp:posOffset>
              </wp:positionH>
              <wp:positionV relativeFrom="paragraph">
                <wp:posOffset>8115300</wp:posOffset>
              </wp:positionV>
              <wp:extent cx="4717055" cy="479804"/>
              <wp:effectExtent b="0" l="0" r="0" t="0"/>
              <wp:wrapNone/>
              <wp:docPr id="97"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4717055" cy="479804"/>
                      </a:xfrm>
                      <a:prstGeom prst="rect"/>
                      <a:ln/>
                    </pic:spPr>
                  </pic:pic>
                </a:graphicData>
              </a:graphic>
            </wp:anchor>
          </w:drawing>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A184C" w14:textId="77777777" w:rsidR="00A12682" w:rsidRDefault="00D41FE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A34A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A34A6">
      <w:rPr>
        <w:rFonts w:ascii="Palatino Linotype" w:eastAsia="Palatino Linotype" w:hAnsi="Palatino Linotype" w:cs="Palatino Linotype"/>
        <w:b/>
        <w:noProof/>
        <w:color w:val="000000"/>
        <w:sz w:val="20"/>
        <w:szCs w:val="20"/>
      </w:rPr>
      <w:t>16</w:t>
    </w:r>
    <w:r>
      <w:rPr>
        <w:rFonts w:ascii="Palatino Linotype" w:eastAsia="Palatino Linotype" w:hAnsi="Palatino Linotype" w:cs="Palatino Linotype"/>
        <w:b/>
        <w:color w:val="000000"/>
        <w:sz w:val="20"/>
        <w:szCs w:val="20"/>
      </w:rPr>
      <w:fldChar w:fldCharType="end"/>
    </w:r>
  </w:p>
  <w:p w14:paraId="1A62CDF7" w14:textId="77777777" w:rsidR="00A12682" w:rsidRDefault="00A1268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AC199E" w14:textId="77777777" w:rsidR="00093B6A" w:rsidRDefault="00093B6A">
      <w:r>
        <w:separator/>
      </w:r>
    </w:p>
  </w:footnote>
  <w:footnote w:type="continuationSeparator" w:id="0">
    <w:p w14:paraId="62458F0A" w14:textId="77777777" w:rsidR="00093B6A" w:rsidRDefault="00093B6A">
      <w:r>
        <w:continuationSeparator/>
      </w:r>
    </w:p>
  </w:footnote>
  <w:footnote w:id="1">
    <w:p w14:paraId="74903415" w14:textId="77777777" w:rsidR="00A12682" w:rsidRDefault="00D41FE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color w:val="000000"/>
          <w:sz w:val="16"/>
          <w:szCs w:val="16"/>
        </w:rPr>
        <w:t xml:space="preserve">DESISTIMIENTO DE LA DEMANDA DE AMPARO. CORRESPONDE PROVEER RESPECTO DE ÉL AL JUEZ DE DISTRITO CUANDO SE PLANTEA ESTANDO PENDIENTE LA RESOLUCIÓN DEL RECURSO DE REVISIÓN Y ÉSTE SE DESECHA. El </w:t>
      </w:r>
      <w:proofErr w:type="spellStart"/>
      <w:r>
        <w:rPr>
          <w:rFonts w:ascii="Palatino Linotype" w:eastAsia="Palatino Linotype" w:hAnsi="Palatino Linotype" w:cs="Palatino Linotype"/>
          <w:i/>
          <w:color w:val="000000"/>
          <w:sz w:val="16"/>
          <w:szCs w:val="16"/>
        </w:rPr>
        <w:t>desechamiento</w:t>
      </w:r>
      <w:proofErr w:type="spellEnd"/>
      <w:r>
        <w:rPr>
          <w:rFonts w:ascii="Palatino Linotype" w:eastAsia="Palatino Linotype" w:hAnsi="Palatino Linotype" w:cs="Palatino Linotype"/>
          <w:i/>
          <w:color w:val="000000"/>
          <w:sz w:val="16"/>
          <w:szCs w:val="16"/>
        </w:rPr>
        <w:t xml:space="preserve"> del recurso de revisión implica, por una parte, la inexistencia de la apertura de la segunda instancia, ya que, en todo caso, la sola interposición del citado medio de defensa sólo originó el trámite de un expediente y, por otra, que quede firme la sentencia recurrida, en términos del artículo 356, fracción II, del Código Federal de Procedimientos Civiles, de aplicación supletoria conforme al artículo 2o., de la Ley de Amparo. En consecuencia, cuando se presenta ante el Juez de primera instancia el desistimiento de la demanda de amparo durante el trámite del recurso de revisión, y éste sea desechado por la falta de legitimación de la parte que lo interpuso, corresponderá a ese juzgador, quien dictó la sentencia impugnada, conocer de dicha manifestación en el ámbito de su competencia, en virtud de que el tribunal revisor carecerá de jurisdicción sobre el asunto al no haberse colmado uno de los presupuestos procesales de dicho recurso.”</w:t>
      </w:r>
    </w:p>
    <w:p w14:paraId="5B2AF620" w14:textId="77777777" w:rsidR="00A12682" w:rsidRDefault="00A12682">
      <w:pPr>
        <w:pBdr>
          <w:top w:val="nil"/>
          <w:left w:val="nil"/>
          <w:bottom w:val="nil"/>
          <w:right w:val="nil"/>
          <w:between w:val="nil"/>
        </w:pBdr>
        <w:rPr>
          <w:rFonts w:ascii="Palatino Linotype" w:eastAsia="Palatino Linotype" w:hAnsi="Palatino Linotype" w:cs="Palatino Linotype"/>
          <w:color w:val="000000"/>
          <w:sz w:val="16"/>
          <w:szCs w:val="16"/>
        </w:rPr>
      </w:pPr>
    </w:p>
  </w:footnote>
  <w:footnote w:id="2">
    <w:p w14:paraId="1A310411" w14:textId="77777777" w:rsidR="00A12682" w:rsidRDefault="00D41FE1">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3. Para los efectos de la presente Ley se entenderá por:</w:t>
      </w:r>
    </w:p>
    <w:p w14:paraId="6575BCDE" w14:textId="77777777" w:rsidR="00A12682" w:rsidRDefault="00D41FE1">
      <w:pPr>
        <w:pBdr>
          <w:top w:val="nil"/>
          <w:left w:val="nil"/>
          <w:bottom w:val="nil"/>
          <w:right w:val="nil"/>
          <w:between w:val="nil"/>
        </w:pBdr>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Días: Todos los días del año a excepción de los sábados, los domingos e inhábiles en términos de lo previsto en el calendario oficial que para tal efecto apruebe el Pleno del Instituto;</w:t>
      </w:r>
    </w:p>
  </w:footnote>
  <w:footnote w:id="3">
    <w:p w14:paraId="70DB6F6E" w14:textId="77777777" w:rsidR="00A12682" w:rsidRDefault="00D41FE1">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https://www.infoem.org.mx/doc/acuerdos/20211215_ORD_45_CALENDARIO_OFICIAL_2022_ENERO_2023.pdf</w:t>
      </w:r>
    </w:p>
  </w:footnote>
  <w:footnote w:id="4">
    <w:p w14:paraId="2D4EC68C" w14:textId="77777777" w:rsidR="00A12682" w:rsidRDefault="00D41FE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Cuerpo de tesis:</w:t>
      </w:r>
      <w:r>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4223BECD" w14:textId="77777777" w:rsidR="00A12682" w:rsidRDefault="00D41FE1">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color w:val="000000"/>
          <w:sz w:val="16"/>
          <w:szCs w:val="16"/>
        </w:rPr>
        <w:t>Localización</w:t>
      </w:r>
      <w:r>
        <w:rPr>
          <w:rFonts w:ascii="Palatino Linotype" w:eastAsia="Palatino Linotype" w:hAnsi="Palatino Linotype" w:cs="Palatino Linotype"/>
          <w:color w:val="000000"/>
          <w:sz w:val="16"/>
          <w:szCs w:val="16"/>
        </w:rPr>
        <w:t>: 2</w:t>
      </w:r>
      <w:r>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D3C94" w14:textId="77777777" w:rsidR="00A12682" w:rsidRDefault="00A12682">
    <w:pPr>
      <w:pBdr>
        <w:top w:val="nil"/>
        <w:left w:val="nil"/>
        <w:bottom w:val="nil"/>
        <w:right w:val="nil"/>
        <w:between w:val="nil"/>
      </w:pBdr>
      <w:tabs>
        <w:tab w:val="center" w:pos="4252"/>
        <w:tab w:val="right" w:pos="8504"/>
        <w:tab w:val="left" w:pos="2326"/>
      </w:tabs>
      <w:rPr>
        <w:rFonts w:ascii="Cambria" w:eastAsia="Cambria" w:hAnsi="Cambria" w:cs="Cambria"/>
        <w:color w:val="000000"/>
      </w:rPr>
    </w:pPr>
  </w:p>
  <w:p w14:paraId="5349BFD3" w14:textId="77777777" w:rsidR="00A12682" w:rsidRDefault="00D41FE1">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118DC3FE" wp14:editId="06A49B34">
          <wp:simplePos x="0" y="0"/>
          <wp:positionH relativeFrom="column">
            <wp:posOffset>-1080127</wp:posOffset>
          </wp:positionH>
          <wp:positionV relativeFrom="paragraph">
            <wp:posOffset>-450207</wp:posOffset>
          </wp:positionV>
          <wp:extent cx="7809865" cy="10165715"/>
          <wp:effectExtent l="0" t="0" r="0" b="0"/>
          <wp:wrapNone/>
          <wp:docPr id="1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953" w:type="dxa"/>
      <w:tblInd w:w="3261" w:type="dxa"/>
      <w:tblLayout w:type="fixed"/>
      <w:tblLook w:val="0400" w:firstRow="0" w:lastRow="0" w:firstColumn="0" w:lastColumn="0" w:noHBand="0" w:noVBand="1"/>
    </w:tblPr>
    <w:tblGrid>
      <w:gridCol w:w="2489"/>
      <w:gridCol w:w="3464"/>
    </w:tblGrid>
    <w:tr w:rsidR="00A12682" w14:paraId="69FDC018" w14:textId="77777777">
      <w:tc>
        <w:tcPr>
          <w:tcW w:w="2489" w:type="dxa"/>
          <w:shd w:val="clear" w:color="auto" w:fill="auto"/>
        </w:tcPr>
        <w:p w14:paraId="4F50D51F" w14:textId="77777777" w:rsidR="00A12682" w:rsidRDefault="00D41FE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6B0CED70" w14:textId="77777777" w:rsidR="00A12682" w:rsidRDefault="00D41FE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03204/INFOEM/IP/RR/2022 </w:t>
          </w:r>
        </w:p>
      </w:tc>
    </w:tr>
    <w:tr w:rsidR="00A12682" w14:paraId="5017799B" w14:textId="77777777">
      <w:trPr>
        <w:trHeight w:val="228"/>
      </w:trPr>
      <w:tc>
        <w:tcPr>
          <w:tcW w:w="2489" w:type="dxa"/>
          <w:shd w:val="clear" w:color="auto" w:fill="auto"/>
          <w:vAlign w:val="center"/>
        </w:tcPr>
        <w:p w14:paraId="46BF53D3" w14:textId="77777777" w:rsidR="00A12682" w:rsidRDefault="00D41FE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34FFB034" w14:textId="77777777" w:rsidR="00A12682" w:rsidRDefault="00D41FE1">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Chiconcuac</w:t>
          </w:r>
        </w:p>
      </w:tc>
    </w:tr>
    <w:tr w:rsidR="00A12682" w14:paraId="030CD1DB" w14:textId="77777777">
      <w:tc>
        <w:tcPr>
          <w:tcW w:w="2489" w:type="dxa"/>
          <w:shd w:val="clear" w:color="auto" w:fill="auto"/>
          <w:vAlign w:val="center"/>
        </w:tcPr>
        <w:p w14:paraId="2FA10A6C" w14:textId="77777777" w:rsidR="00A12682" w:rsidRDefault="00D41FE1">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5019A647" w14:textId="77777777" w:rsidR="00A12682" w:rsidRDefault="00D41FE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DDB6CCB" w14:textId="77777777" w:rsidR="00A12682" w:rsidRDefault="00D41FE1">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B3699" w14:textId="77777777" w:rsidR="00A12682" w:rsidRDefault="00A12682">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bl>
    <w:tblPr>
      <w:tblStyle w:val="af6"/>
      <w:tblW w:w="5812" w:type="dxa"/>
      <w:tblInd w:w="2977" w:type="dxa"/>
      <w:tblLayout w:type="fixed"/>
      <w:tblLook w:val="0400" w:firstRow="0" w:lastRow="0" w:firstColumn="0" w:lastColumn="0" w:noHBand="0" w:noVBand="1"/>
    </w:tblPr>
    <w:tblGrid>
      <w:gridCol w:w="2551"/>
      <w:gridCol w:w="3261"/>
    </w:tblGrid>
    <w:tr w:rsidR="00A12682" w14:paraId="31CFD12F" w14:textId="77777777">
      <w:tc>
        <w:tcPr>
          <w:tcW w:w="2551" w:type="dxa"/>
          <w:shd w:val="clear" w:color="auto" w:fill="auto"/>
          <w:vAlign w:val="center"/>
        </w:tcPr>
        <w:p w14:paraId="46FA42CE" w14:textId="77777777" w:rsidR="00A12682" w:rsidRDefault="00D41FE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shd w:val="clear" w:color="auto" w:fill="auto"/>
          <w:vAlign w:val="center"/>
        </w:tcPr>
        <w:p w14:paraId="09E1ADA9" w14:textId="77777777" w:rsidR="00A12682" w:rsidRDefault="00D41FE1">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03204/INFOEM/IP/RR/2022 </w:t>
          </w:r>
        </w:p>
      </w:tc>
    </w:tr>
    <w:tr w:rsidR="00A12682" w14:paraId="28826B37" w14:textId="77777777">
      <w:trPr>
        <w:trHeight w:val="130"/>
      </w:trPr>
      <w:tc>
        <w:tcPr>
          <w:tcW w:w="2551" w:type="dxa"/>
          <w:shd w:val="clear" w:color="auto" w:fill="auto"/>
          <w:vAlign w:val="center"/>
        </w:tcPr>
        <w:p w14:paraId="0C98D909" w14:textId="77777777" w:rsidR="00A12682" w:rsidRDefault="00D41FE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261" w:type="dxa"/>
          <w:shd w:val="clear" w:color="auto" w:fill="auto"/>
          <w:vAlign w:val="center"/>
        </w:tcPr>
        <w:p w14:paraId="5ECAE364" w14:textId="1984285D" w:rsidR="00A12682" w:rsidRDefault="007A34A6">
          <w:pPr>
            <w:ind w:left="-4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w:t>
          </w:r>
        </w:p>
      </w:tc>
    </w:tr>
    <w:tr w:rsidR="00A12682" w14:paraId="35FCF6C0" w14:textId="77777777">
      <w:trPr>
        <w:trHeight w:val="228"/>
      </w:trPr>
      <w:tc>
        <w:tcPr>
          <w:tcW w:w="2551" w:type="dxa"/>
          <w:shd w:val="clear" w:color="auto" w:fill="auto"/>
          <w:vAlign w:val="center"/>
        </w:tcPr>
        <w:p w14:paraId="2E57E86F" w14:textId="77777777" w:rsidR="00A12682" w:rsidRDefault="00D41FE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1" w:type="dxa"/>
          <w:shd w:val="clear" w:color="auto" w:fill="auto"/>
          <w:vAlign w:val="center"/>
        </w:tcPr>
        <w:p w14:paraId="7D7CC0CA" w14:textId="77777777" w:rsidR="00A12682" w:rsidRDefault="00D41FE1">
          <w:pPr>
            <w:ind w:right="17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Chiconcuac</w:t>
          </w:r>
        </w:p>
      </w:tc>
    </w:tr>
    <w:tr w:rsidR="00A12682" w14:paraId="145DE947" w14:textId="77777777">
      <w:tc>
        <w:tcPr>
          <w:tcW w:w="2551" w:type="dxa"/>
          <w:shd w:val="clear" w:color="auto" w:fill="auto"/>
          <w:vAlign w:val="center"/>
        </w:tcPr>
        <w:p w14:paraId="4492F6D8" w14:textId="77777777" w:rsidR="00A12682" w:rsidRDefault="00D41FE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1" w:type="dxa"/>
          <w:shd w:val="clear" w:color="auto" w:fill="auto"/>
          <w:vAlign w:val="center"/>
        </w:tcPr>
        <w:p w14:paraId="5514A72A" w14:textId="77777777" w:rsidR="00A12682" w:rsidRDefault="00D41FE1">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1CAF54C" w14:textId="77777777" w:rsidR="00A12682" w:rsidRDefault="00D41FE1">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305422A5" wp14:editId="26C1D189">
          <wp:simplePos x="0" y="0"/>
          <wp:positionH relativeFrom="column">
            <wp:posOffset>-1090922</wp:posOffset>
          </wp:positionH>
          <wp:positionV relativeFrom="paragraph">
            <wp:posOffset>-1154422</wp:posOffset>
          </wp:positionV>
          <wp:extent cx="7809865" cy="10165715"/>
          <wp:effectExtent l="0" t="0" r="0" b="0"/>
          <wp:wrapNone/>
          <wp:docPr id="9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E78A9"/>
    <w:multiLevelType w:val="multilevel"/>
    <w:tmpl w:val="553A02C8"/>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54F3D97"/>
    <w:multiLevelType w:val="multilevel"/>
    <w:tmpl w:val="19D0B1CA"/>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682"/>
    <w:rsid w:val="00002774"/>
    <w:rsid w:val="00093B6A"/>
    <w:rsid w:val="0041741E"/>
    <w:rsid w:val="007A34A6"/>
    <w:rsid w:val="00916B53"/>
    <w:rsid w:val="00A12682"/>
    <w:rsid w:val="00D41FE1"/>
    <w:rsid w:val="00D765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6C3E5"/>
  <w15:docId w15:val="{555B43BB-2D17-41C0-9A63-1B670B5AF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4C5"/>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lang w:val="es-ES"/>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70703E"/>
    <w:pPr>
      <w:ind w:left="720"/>
      <w:contextualSpacing/>
    </w:pPr>
    <w:rPr>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rPr>
      <w:lang w:val="es-ES"/>
    </w:r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rPr>
      <w:lang w:val="es-ES"/>
    </w:r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lang w:val="es-ES"/>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lang w:val="es-ES"/>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lang w:val="es-ES"/>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rPr>
      <w:lang w:val="es-ES"/>
    </w:rPr>
  </w:style>
  <w:style w:type="paragraph" w:styleId="Lista2">
    <w:name w:val="List 2"/>
    <w:basedOn w:val="Normal"/>
    <w:uiPriority w:val="99"/>
    <w:unhideWhenUsed/>
    <w:rsid w:val="00603D72"/>
    <w:pPr>
      <w:ind w:left="566" w:hanging="283"/>
      <w:contextualSpacing/>
    </w:pPr>
    <w:rPr>
      <w:lang w:val="es-ES"/>
    </w:rPr>
  </w:style>
  <w:style w:type="paragraph" w:styleId="Lista3">
    <w:name w:val="List 3"/>
    <w:basedOn w:val="Normal"/>
    <w:uiPriority w:val="99"/>
    <w:unhideWhenUsed/>
    <w:rsid w:val="00603D72"/>
    <w:pPr>
      <w:ind w:left="849" w:hanging="283"/>
      <w:contextualSpacing/>
    </w:pPr>
    <w:rPr>
      <w:lang w:val="es-ES"/>
    </w:rPr>
  </w:style>
  <w:style w:type="paragraph" w:styleId="Listaconvietas3">
    <w:name w:val="List Bullet 3"/>
    <w:basedOn w:val="Normal"/>
    <w:uiPriority w:val="99"/>
    <w:unhideWhenUsed/>
    <w:rsid w:val="00603D72"/>
    <w:pPr>
      <w:numPr>
        <w:numId w:val="2"/>
      </w:numPr>
      <w:contextualSpacing/>
    </w:pPr>
    <w:rPr>
      <w:lang w:val="es-ES"/>
    </w:rPr>
  </w:style>
  <w:style w:type="paragraph" w:styleId="Continuarlista">
    <w:name w:val="List Continue"/>
    <w:basedOn w:val="Normal"/>
    <w:uiPriority w:val="99"/>
    <w:unhideWhenUsed/>
    <w:rsid w:val="00603D72"/>
    <w:pPr>
      <w:spacing w:after="120"/>
      <w:ind w:left="283"/>
      <w:contextualSpacing/>
    </w:pPr>
    <w:rPr>
      <w:lang w:val="es-ES"/>
    </w:rPr>
  </w:style>
  <w:style w:type="paragraph" w:styleId="Continuarlista2">
    <w:name w:val="List Continue 2"/>
    <w:basedOn w:val="Normal"/>
    <w:uiPriority w:val="99"/>
    <w:unhideWhenUsed/>
    <w:rsid w:val="00603D72"/>
    <w:pPr>
      <w:spacing w:after="120"/>
      <w:ind w:left="566"/>
      <w:contextualSpacing/>
    </w:pPr>
    <w:rPr>
      <w:lang w:val="es-ES"/>
    </w:rPr>
  </w:style>
  <w:style w:type="paragraph" w:styleId="Textoindependiente">
    <w:name w:val="Body Text"/>
    <w:basedOn w:val="Normal"/>
    <w:link w:val="TextoindependienteCar"/>
    <w:uiPriority w:val="99"/>
    <w:unhideWhenUsed/>
    <w:rsid w:val="00603D72"/>
    <w:pPr>
      <w:spacing w:after="120"/>
    </w:pPr>
    <w:rPr>
      <w:lang w:val="es-ES"/>
    </w:r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rPr>
      <w:lang w:val="es-ES"/>
    </w:r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6"/>
    <w:tblPr>
      <w:tblStyleRowBandSize w:val="1"/>
      <w:tblStyleColBandSize w:val="1"/>
      <w:tblCellMar>
        <w:left w:w="108" w:type="dxa"/>
        <w:right w:w="108" w:type="dxa"/>
      </w:tblCellMar>
    </w:tblPr>
  </w:style>
  <w:style w:type="table" w:customStyle="1" w:styleId="a0">
    <w:basedOn w:val="TableNormal6"/>
    <w:tblPr>
      <w:tblStyleRowBandSize w:val="1"/>
      <w:tblStyleColBandSize w:val="1"/>
      <w:tblCellMar>
        <w:left w:w="108" w:type="dxa"/>
        <w:right w:w="108" w:type="dxa"/>
      </w:tblCellMar>
    </w:tblPr>
  </w:style>
  <w:style w:type="table" w:customStyle="1" w:styleId="a2">
    <w:basedOn w:val="TableNormal6"/>
    <w:tblPr>
      <w:tblStyleRowBandSize w:val="1"/>
      <w:tblStyleColBandSize w:val="1"/>
      <w:tblCellMar>
        <w:left w:w="108" w:type="dxa"/>
        <w:right w:w="108" w:type="dxa"/>
      </w:tblCellMar>
    </w:tblPr>
  </w:style>
  <w:style w:type="table" w:customStyle="1" w:styleId="a3">
    <w:basedOn w:val="TableNormal6"/>
    <w:tblPr>
      <w:tblStyleRowBandSize w:val="1"/>
      <w:tblStyleColBandSize w:val="1"/>
      <w:tblCellMar>
        <w:left w:w="108" w:type="dxa"/>
        <w:right w:w="108" w:type="dxa"/>
      </w:tblCellMar>
    </w:tblPr>
  </w:style>
  <w:style w:type="table" w:customStyle="1" w:styleId="a4">
    <w:basedOn w:val="TableNormal6"/>
    <w:tblPr>
      <w:tblStyleRowBandSize w:val="1"/>
      <w:tblStyleColBandSize w:val="1"/>
      <w:tblCellMar>
        <w:left w:w="108" w:type="dxa"/>
        <w:right w:w="108" w:type="dxa"/>
      </w:tblCellMar>
    </w:tblPr>
  </w:style>
  <w:style w:type="table" w:customStyle="1" w:styleId="a5">
    <w:basedOn w:val="TableNormal6"/>
    <w:tblPr>
      <w:tblStyleRowBandSize w:val="1"/>
      <w:tblStyleColBandSize w:val="1"/>
      <w:tblCellMar>
        <w:left w:w="115" w:type="dxa"/>
        <w:right w:w="115" w:type="dxa"/>
      </w:tblCellMar>
    </w:tblPr>
  </w:style>
  <w:style w:type="table" w:customStyle="1" w:styleId="a6">
    <w:basedOn w:val="TableNormal6"/>
    <w:tblPr>
      <w:tblStyleRowBandSize w:val="1"/>
      <w:tblStyleColBandSize w:val="1"/>
      <w:tblCellMar>
        <w:left w:w="115" w:type="dxa"/>
        <w:right w:w="115" w:type="dxa"/>
      </w:tblCellMar>
    </w:tblPr>
  </w:style>
  <w:style w:type="table" w:customStyle="1" w:styleId="a7">
    <w:basedOn w:val="TableNormal6"/>
    <w:tblPr>
      <w:tblStyleRowBandSize w:val="1"/>
      <w:tblStyleColBandSize w:val="1"/>
      <w:tblCellMar>
        <w:left w:w="108" w:type="dxa"/>
        <w:right w:w="108" w:type="dxa"/>
      </w:tblCellMar>
    </w:tblPr>
  </w:style>
  <w:style w:type="table" w:customStyle="1" w:styleId="a8">
    <w:basedOn w:val="TableNormal6"/>
    <w:tblPr>
      <w:tblStyleRowBandSize w:val="1"/>
      <w:tblStyleColBandSize w:val="1"/>
      <w:tblCellMar>
        <w:left w:w="115" w:type="dxa"/>
        <w:right w:w="115" w:type="dxa"/>
      </w:tblCellMar>
    </w:tblPr>
  </w:style>
  <w:style w:type="table" w:customStyle="1" w:styleId="a9">
    <w:basedOn w:val="TableNormal6"/>
    <w:tblPr>
      <w:tblStyleRowBandSize w:val="1"/>
      <w:tblStyleColBandSize w:val="1"/>
      <w:tblCellMar>
        <w:left w:w="115" w:type="dxa"/>
        <w:right w:w="115" w:type="dxa"/>
      </w:tblCellMar>
    </w:tblPr>
  </w:style>
  <w:style w:type="table" w:customStyle="1" w:styleId="aa">
    <w:basedOn w:val="TableNormal5"/>
    <w:tblPr>
      <w:tblStyleRowBandSize w:val="1"/>
      <w:tblStyleColBandSize w:val="1"/>
      <w:tblCellMar>
        <w:left w:w="108" w:type="dxa"/>
        <w:right w:w="108" w:type="dxa"/>
      </w:tblCellMar>
    </w:tblPr>
  </w:style>
  <w:style w:type="table" w:customStyle="1" w:styleId="ab">
    <w:basedOn w:val="TableNormal5"/>
    <w:tblPr>
      <w:tblStyleRowBandSize w:val="1"/>
      <w:tblStyleColBandSize w:val="1"/>
      <w:tblCellMar>
        <w:left w:w="115" w:type="dxa"/>
        <w:right w:w="115" w:type="dxa"/>
      </w:tblCellMar>
    </w:tblPr>
  </w:style>
  <w:style w:type="table" w:customStyle="1" w:styleId="ac">
    <w:basedOn w:val="TableNormal5"/>
    <w:tblPr>
      <w:tblStyleRowBandSize w:val="1"/>
      <w:tblStyleColBandSize w:val="1"/>
      <w:tblCellMar>
        <w:left w:w="115" w:type="dxa"/>
        <w:right w:w="115" w:type="dxa"/>
      </w:tblCellMar>
    </w:tblPr>
  </w:style>
  <w:style w:type="table" w:customStyle="1" w:styleId="ad">
    <w:basedOn w:val="TableNormal4"/>
    <w:tblPr>
      <w:tblStyleRowBandSize w:val="1"/>
      <w:tblStyleColBandSize w:val="1"/>
      <w:tblCellMar>
        <w:left w:w="115" w:type="dxa"/>
        <w:right w:w="115" w:type="dxa"/>
      </w:tblCellMar>
    </w:tblPr>
  </w:style>
  <w:style w:type="table" w:customStyle="1" w:styleId="ae">
    <w:basedOn w:val="TableNormal4"/>
    <w:tblPr>
      <w:tblStyleRowBandSize w:val="1"/>
      <w:tblStyleColBandSize w:val="1"/>
      <w:tblCellMar>
        <w:left w:w="115" w:type="dxa"/>
        <w:right w:w="115" w:type="dxa"/>
      </w:tblCellMar>
    </w:tblPr>
  </w:style>
  <w:style w:type="table" w:customStyle="1" w:styleId="af">
    <w:basedOn w:val="TableNormal4"/>
    <w:tblPr>
      <w:tblStyleRowBandSize w:val="1"/>
      <w:tblStyleColBandSize w:val="1"/>
      <w:tblCellMar>
        <w:left w:w="115" w:type="dxa"/>
        <w:right w:w="115" w:type="dxa"/>
      </w:tblCellMar>
    </w:tblPr>
  </w:style>
  <w:style w:type="table" w:customStyle="1" w:styleId="af0">
    <w:basedOn w:val="TableNormal3"/>
    <w:tblPr>
      <w:tblStyleRowBandSize w:val="1"/>
      <w:tblStyleColBandSize w:val="1"/>
      <w:tblCellMar>
        <w:left w:w="115" w:type="dxa"/>
        <w:right w:w="115" w:type="dxa"/>
      </w:tblCellMar>
    </w:tblPr>
  </w:style>
  <w:style w:type="table" w:customStyle="1" w:styleId="af1">
    <w:basedOn w:val="TableNormal3"/>
    <w:tblPr>
      <w:tblStyleRowBandSize w:val="1"/>
      <w:tblStyleColBandSize w:val="1"/>
      <w:tblCellMar>
        <w:left w:w="115" w:type="dxa"/>
        <w:right w:w="115"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Ag2GKr9Q4CCHES7j5/Bko3A3GA==">AMUW2mUhrVLbWe5zdR+4MuNpk7ziyxn63vkVUItC5nCuHcEdv08eT6F0b2JT21ZpeP2meJaJT2nG2lbOMT6NEChzt1rN6EJoC8+Q+Bm/5lT1Wfjt4gSMbB4R5Bn2Uv/5Az9okSxm704nzhM1p8lndiI5haKhEosClReMlB3zDUY3jrP4AO/HaI5uhRVN+vHiS9H1yylU+eab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2891</Words>
  <Characters>15902</Characters>
  <Application>Microsoft Office Word</Application>
  <DocSecurity>0</DocSecurity>
  <Lines>132</Lines>
  <Paragraphs>37</Paragraphs>
  <ScaleCrop>false</ScaleCrop>
  <Company>Hewlett-Packard Company</Company>
  <LinksUpToDate>false</LinksUpToDate>
  <CharactersWithSpaces>18756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Cuenta Microsoft</cp:lastModifiedBy>
  <cp:revision>6</cp:revision>
  <cp:lastPrinted>2022-05-30T05:59:00Z</cp:lastPrinted>
  <dcterms:created xsi:type="dcterms:W3CDTF">2022-05-19T23:44:00Z</dcterms:created>
  <dcterms:modified xsi:type="dcterms:W3CDTF">2022-06-06T17:14:00Z</dcterms:modified>
</cp:coreProperties>
</file>