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7F7" w:rsidRDefault="008F5C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quince de junio de dos mil veintidós. </w:t>
      </w:r>
    </w:p>
    <w:p w:rsidR="008107F7" w:rsidRDefault="008F5C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03604/INFOEM/IP/RR/2022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 xml:space="preserve"> 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Tianguistenco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8107F7" w:rsidRDefault="008F5C70">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8107F7" w:rsidRDefault="008F5C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tres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 00037/TIANGUIS/IP/2022, </w:t>
      </w:r>
      <w:r>
        <w:rPr>
          <w:rFonts w:ascii="Palatino Linotype" w:eastAsia="Palatino Linotype" w:hAnsi="Palatino Linotype" w:cs="Palatino Linotype"/>
        </w:rPr>
        <w:t xml:space="preserve">mediante la cual requirió la información siguiente: </w:t>
      </w:r>
    </w:p>
    <w:p w:rsidR="008107F7" w:rsidRDefault="008F5C70">
      <w:pPr>
        <w:spacing w:line="276" w:lineRule="auto"/>
        <w:ind w:left="851" w:right="616"/>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“requiero los convenios firmados por el ayuntamiento de Tianguistenco y el sindicato SUTEYM, de los años 2016, 2017, 2018, 2019, 2020 y 2021.”(sic)</w:t>
      </w:r>
    </w:p>
    <w:p w:rsidR="008107F7" w:rsidRDefault="008107F7">
      <w:pPr>
        <w:spacing w:line="276" w:lineRule="auto"/>
        <w:ind w:left="851" w:right="616"/>
        <w:jc w:val="both"/>
        <w:rPr>
          <w:rFonts w:ascii="Palatino Linotype" w:eastAsia="Palatino Linotype" w:hAnsi="Palatino Linotype" w:cs="Palatino Linotype"/>
          <w:i/>
          <w:sz w:val="22"/>
          <w:szCs w:val="22"/>
        </w:rPr>
      </w:pPr>
    </w:p>
    <w:p w:rsidR="008107F7" w:rsidRDefault="008F5C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SAIMEX.</w:t>
      </w:r>
    </w:p>
    <w:p w:rsidR="008107F7" w:rsidRDefault="008F5C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veintitrés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en los términos siguientes:</w:t>
      </w:r>
    </w:p>
    <w:p w:rsidR="008107F7" w:rsidRDefault="008107F7">
      <w:pPr>
        <w:spacing w:line="360" w:lineRule="auto"/>
        <w:jc w:val="both"/>
        <w:rPr>
          <w:rFonts w:ascii="Palatino Linotype" w:eastAsia="Palatino Linotype" w:hAnsi="Palatino Linotype" w:cs="Palatino Linotype"/>
        </w:rPr>
      </w:pPr>
    </w:p>
    <w:p w:rsidR="008107F7" w:rsidRDefault="008F5C70">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107F7" w:rsidRDefault="008F5C70">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ADJUNTO ARCHIVOS A RESPUESTA DE SOLICITUD.</w:t>
      </w:r>
    </w:p>
    <w:p w:rsidR="008107F7" w:rsidRDefault="008F5C70">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8107F7" w:rsidRDefault="008F5C70">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L.A.E RAMSES OLIVARES MOJICA.”(Sic)</w:t>
      </w:r>
    </w:p>
    <w:p w:rsidR="008107F7" w:rsidRDefault="008107F7">
      <w:pPr>
        <w:spacing w:line="360" w:lineRule="auto"/>
        <w:ind w:right="49"/>
        <w:jc w:val="both"/>
        <w:rPr>
          <w:rFonts w:ascii="Palatino Linotype" w:eastAsia="Palatino Linotype" w:hAnsi="Palatino Linotype" w:cs="Palatino Linotype"/>
        </w:rPr>
      </w:pPr>
    </w:p>
    <w:p w:rsidR="008107F7" w:rsidRDefault="008F5C7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Pronunciamiento al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adjuntó tres archivos electrónicos, los cuales se describen a continuación:</w:t>
      </w:r>
    </w:p>
    <w:p w:rsidR="008107F7" w:rsidRDefault="008F5C70">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“convenios (1).pdf”, </w:t>
      </w:r>
      <w:r>
        <w:rPr>
          <w:rFonts w:ascii="Palatino Linotype" w:eastAsia="Palatino Linotype" w:hAnsi="Palatino Linotype" w:cs="Palatino Linotype"/>
          <w:color w:val="000000"/>
        </w:rPr>
        <w:t xml:space="preserve">Documento de 15 fojas que contiene el Convenio de Prestaciones de Ley y Colaterales 2021, con el H. Ayuntamiento de Tianguistenco y el Sindicato Único de Trabajadores de los Municipios e Instituciones Descentralizadas del Estado de México. </w:t>
      </w:r>
    </w:p>
    <w:p w:rsidR="008107F7" w:rsidRDefault="008F5C70">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“OFICIO GIRADO A TESORERIA SOL 00037 2220220210_14595491.pdf”, </w:t>
      </w:r>
      <w:r>
        <w:rPr>
          <w:rFonts w:ascii="Palatino Linotype" w:eastAsia="Palatino Linotype" w:hAnsi="Palatino Linotype" w:cs="Palatino Linotype"/>
          <w:color w:val="000000"/>
        </w:rPr>
        <w:t>oficio número PMT/UT/0147/2022, de fecha cuatro de febrero de dos mil veintidós, suscrito y firmado por el Titular de la Unidad de Transparencia, por medio del cual turna requerimiento de información al Servidor Público Habilitado de Tesorería Municipal.</w:t>
      </w:r>
    </w:p>
    <w:p w:rsidR="008107F7" w:rsidRDefault="008F5C70">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“RESPUESTA A SOLICITUD 0037.pdf”, </w:t>
      </w:r>
      <w:r>
        <w:rPr>
          <w:rFonts w:ascii="Palatino Linotype" w:eastAsia="Palatino Linotype" w:hAnsi="Palatino Linotype" w:cs="Palatino Linotype"/>
          <w:color w:val="000000"/>
        </w:rPr>
        <w:t>oficio número PMT/UT/0188/2022,  de fecha veintitrés de febrero de dos mil veintidós mediante el cual  el Titular de la Unidad de Transparencia, señala sustancialmente lo siguiente:</w:t>
      </w:r>
    </w:p>
    <w:p w:rsidR="008107F7" w:rsidRDefault="008107F7">
      <w:pPr>
        <w:pBdr>
          <w:top w:val="nil"/>
          <w:left w:val="nil"/>
          <w:bottom w:val="nil"/>
          <w:right w:val="nil"/>
          <w:between w:val="nil"/>
        </w:pBdr>
        <w:spacing w:line="360" w:lineRule="auto"/>
        <w:ind w:left="720" w:right="49"/>
        <w:jc w:val="both"/>
        <w:rPr>
          <w:rFonts w:ascii="Palatino Linotype" w:eastAsia="Palatino Linotype" w:hAnsi="Palatino Linotype" w:cs="Palatino Linotype"/>
          <w:b/>
          <w:i/>
          <w:color w:val="000000"/>
        </w:rPr>
      </w:pPr>
    </w:p>
    <w:p w:rsidR="008107F7" w:rsidRDefault="008F5C70">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los preceptos legales antes invocados, se determina que le corresponde a este Ayuntamiento como Sujeto Obligado entregar lo siguiente referente a su petición: </w:t>
      </w:r>
    </w:p>
    <w:p w:rsidR="008107F7" w:rsidRDefault="008F5C70">
      <w:pPr>
        <w:spacing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xml:space="preserve">Se remiten copias simples en formato PDF de la respuesta emitida por los Servidor Público Habilitado Titular de la Tesorería Municipal, dando así contestación al solicitante respecto de su petición. Este órgano una vez realizada una búsqueda exhaustiva y razonable de la información solicitada dentro de sus archivos, hace de su conocimiento que conforme al ejercicio de las funciones que lleva acabo esta Tesorería, por cuanto hace referente a proporcionar los convenios firmados por el Ayuntamiento de Tianguistenco y el sindicato SUTEYM del año 2021, peticionados por el solicitante, los cuales refieren lo siguiente: "Requiero los convenios firmados por el ayuntamiento de Tlanguistenco y el sindicato SUTEYM, de los años 2021 .. ". (Sic), </w:t>
      </w:r>
      <w:r>
        <w:rPr>
          <w:rFonts w:ascii="Palatino Linotype" w:eastAsia="Palatino Linotype" w:hAnsi="Palatino Linotype" w:cs="Palatino Linotype"/>
          <w:b/>
          <w:i/>
          <w:sz w:val="22"/>
          <w:szCs w:val="22"/>
        </w:rPr>
        <w:t>al respecto me permito comentarle lo siguiente: se envía la información solicitada en formato digital, en PDF.</w:t>
      </w:r>
    </w:p>
    <w:p w:rsidR="008107F7" w:rsidRDefault="008F5C70">
      <w:pPr>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este orden de ideas, se le notifica que lo descrito en líneas anteriores le será enviado por medio electrónico a través del Sistema de Acceso a la Información Mexiquense (SAIMEX), la cual tendrá a su disposición en el mismo sistema electrónico…” (Sic)</w:t>
      </w:r>
    </w:p>
    <w:p w:rsidR="008107F7" w:rsidRDefault="008F5C7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nueve de marzo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manifestó lo siguiente:</w:t>
      </w:r>
    </w:p>
    <w:p w:rsidR="008107F7" w:rsidRDefault="008F5C70">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rsidR="008107F7" w:rsidRDefault="008107F7">
      <w:pPr>
        <w:spacing w:line="360" w:lineRule="auto"/>
        <w:ind w:left="851" w:right="900"/>
        <w:jc w:val="both"/>
        <w:rPr>
          <w:rFonts w:ascii="Palatino Linotype" w:eastAsia="Palatino Linotype" w:hAnsi="Palatino Linotype" w:cs="Palatino Linotype"/>
          <w:i/>
          <w:sz w:val="2"/>
          <w:szCs w:val="2"/>
        </w:rPr>
      </w:pPr>
    </w:p>
    <w:p w:rsidR="008107F7" w:rsidRDefault="008F5C70">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negativa de la información, ya que yo pedí los convenios de los años 2016, 2017, 2018, 2019, 2020, y 2021; y solo me proporcionaron el de el año 2021.." (Sic)</w:t>
      </w:r>
    </w:p>
    <w:p w:rsidR="008107F7" w:rsidRDefault="008F5C70">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Razones o motivos de la inconformidad: </w:t>
      </w:r>
    </w:p>
    <w:p w:rsidR="008107F7" w:rsidRDefault="008F5C70">
      <w:pPr>
        <w:spacing w:before="240" w:after="240" w:line="276" w:lineRule="auto"/>
        <w:ind w:left="851" w:right="758"/>
        <w:jc w:val="both"/>
        <w:rPr>
          <w:rFonts w:ascii="Palatino Linotype" w:eastAsia="Palatino Linotype" w:hAnsi="Palatino Linotype" w:cs="Palatino Linotype"/>
          <w:b/>
          <w:highlight w:val="yellow"/>
        </w:rPr>
      </w:pPr>
      <w:r>
        <w:rPr>
          <w:rFonts w:ascii="Palatino Linotype" w:eastAsia="Palatino Linotype" w:hAnsi="Palatino Linotype" w:cs="Palatino Linotype"/>
          <w:i/>
          <w:sz w:val="22"/>
          <w:szCs w:val="22"/>
        </w:rPr>
        <w:t>“la negativa de la información, ya que yo pedí los convenios de los años 2016, 2017, 2018, 2019, 2020, y 2021; y solo me proporcionaron el de el año 2021. exijo al órgano de control interno del INFOEM, sancione al o a los servidores públicos responsables de proporcionar la información y no lo están haciendo, y que se esta violando mi derecho humano de acceso a la información pública</w:t>
      </w:r>
      <w:r>
        <w:rPr>
          <w:rFonts w:ascii="Palatino Linotype" w:eastAsia="Palatino Linotype" w:hAnsi="Palatino Linotype" w:cs="Palatino Linotype"/>
          <w:b/>
        </w:rPr>
        <w:t xml:space="preserve">.” </w:t>
      </w:r>
      <w:r>
        <w:rPr>
          <w:rFonts w:ascii="Palatino Linotype" w:eastAsia="Palatino Linotype" w:hAnsi="Palatino Linotype" w:cs="Palatino Linotype"/>
          <w:sz w:val="22"/>
          <w:szCs w:val="22"/>
        </w:rPr>
        <w:t>(Sic)</w:t>
      </w:r>
    </w:p>
    <w:p w:rsidR="008107F7" w:rsidRDefault="008107F7">
      <w:pPr>
        <w:spacing w:line="360" w:lineRule="auto"/>
        <w:jc w:val="both"/>
        <w:rPr>
          <w:rFonts w:ascii="Palatino Linotype" w:eastAsia="Palatino Linotype" w:hAnsi="Palatino Linotype" w:cs="Palatino Linotype"/>
          <w:sz w:val="2"/>
          <w:szCs w:val="2"/>
        </w:rPr>
      </w:pPr>
    </w:p>
    <w:p w:rsidR="008107F7" w:rsidRDefault="008F5C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8107F7" w:rsidRDefault="008F5C7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catorce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8107F7" w:rsidRDefault="008F5C7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rindió informe justificado para ratificar su respuesta y enviar nuevamente lo siguiente:</w:t>
      </w:r>
    </w:p>
    <w:p w:rsidR="008107F7" w:rsidRDefault="008F5C70">
      <w:pPr>
        <w:widowControl w:val="0"/>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“convenios (1).pdf”, </w:t>
      </w:r>
      <w:r>
        <w:rPr>
          <w:rFonts w:ascii="Palatino Linotype" w:eastAsia="Palatino Linotype" w:hAnsi="Palatino Linotype" w:cs="Palatino Linotype"/>
          <w:color w:val="000000"/>
        </w:rPr>
        <w:t xml:space="preserve">documento de 15 fojas que contiene el </w:t>
      </w:r>
      <w:r>
        <w:rPr>
          <w:rFonts w:ascii="Palatino Linotype" w:eastAsia="Palatino Linotype" w:hAnsi="Palatino Linotype" w:cs="Palatino Linotype"/>
          <w:b/>
          <w:color w:val="000000"/>
          <w:u w:val="single"/>
        </w:rPr>
        <w:t>Convenio de Prestaciones de Ley y Colaterales 2021</w:t>
      </w:r>
      <w:r>
        <w:rPr>
          <w:rFonts w:ascii="Palatino Linotype" w:eastAsia="Palatino Linotype" w:hAnsi="Palatino Linotype" w:cs="Palatino Linotype"/>
          <w:color w:val="000000"/>
        </w:rPr>
        <w:t>, con el H. Ayuntamiento de Tianguistenco y el Sindicato Único de Trabajadores de los Municipios e Instituciones Descentralizadas del Estado de México, ya enviado en su respuesta primigenia.</w:t>
      </w:r>
    </w:p>
    <w:p w:rsidR="008107F7" w:rsidRDefault="008F5C70">
      <w:pPr>
        <w:widowControl w:val="0"/>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“Manifestaciones a Respuesta de Solicitante.pdf”, </w:t>
      </w:r>
      <w:r>
        <w:rPr>
          <w:rFonts w:ascii="Palatino Linotype" w:eastAsia="Palatino Linotype" w:hAnsi="Palatino Linotype" w:cs="Palatino Linotype"/>
          <w:color w:val="000000"/>
        </w:rPr>
        <w:t xml:space="preserve">oficio número PMT/UT/0258/2022, de fecha veinticuatro de marzo de dos mil veintidós, por medio de la cual el Titular de la Unidad de Transparencia, manifiesta lo </w:t>
      </w:r>
      <w:r>
        <w:rPr>
          <w:rFonts w:ascii="Palatino Linotype" w:eastAsia="Palatino Linotype" w:hAnsi="Palatino Linotype" w:cs="Palatino Linotype"/>
          <w:color w:val="000000"/>
        </w:rPr>
        <w:lastRenderedPageBreak/>
        <w:t>siguiente:</w:t>
      </w:r>
    </w:p>
    <w:p w:rsidR="008107F7" w:rsidRDefault="008F5C70">
      <w:pPr>
        <w:widowControl w:val="0"/>
        <w:pBdr>
          <w:top w:val="nil"/>
          <w:left w:val="nil"/>
          <w:bottom w:val="nil"/>
          <w:right w:val="nil"/>
          <w:between w:val="nil"/>
        </w:pBdr>
        <w:spacing w:line="276" w:lineRule="auto"/>
        <w:ind w:left="1276"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no existe violación a los derechos de acceso a la información pública en perjuicio de particular recurrente, toda vez que queda debidamente fundado y motivado que se entrega la información como obra en los archivos y con el estado en el que se encuentra. </w:t>
      </w:r>
    </w:p>
    <w:p w:rsidR="008107F7" w:rsidRDefault="008F5C70">
      <w:pPr>
        <w:widowControl w:val="0"/>
        <w:pBdr>
          <w:top w:val="nil"/>
          <w:left w:val="nil"/>
          <w:bottom w:val="nil"/>
          <w:right w:val="nil"/>
          <w:between w:val="nil"/>
        </w:pBdr>
        <w:spacing w:line="276" w:lineRule="auto"/>
        <w:ind w:left="1276" w:right="75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consecuencia; se insiste que este Ayuntamiento como sujeto obligado de la Ley de Transparencia y Acceso a la Información Pública del Estado de México y Municipios se encuentra material y jurídicamente imposibilitado en atender la solicitud del particular, tal como lo solicita en el Recurso de Revisión No. 03604/INFOEM/IP/RR/2022, con la finalidad de hacer más específicas las manifestaciones y dar cumplimiento a lo establecido en la Ley de Transparencia y Acceso a la Información Publica del Estado de México y Municipios, El convenio del año 2021 fue entregado conforme a lo que obra en los archivos, no obstante se adjunta nuevamente en formato PDF. …”</w:t>
      </w:r>
    </w:p>
    <w:p w:rsidR="008107F7" w:rsidRDefault="008107F7">
      <w:pPr>
        <w:widowControl w:val="0"/>
        <w:pBdr>
          <w:top w:val="nil"/>
          <w:left w:val="nil"/>
          <w:bottom w:val="nil"/>
          <w:right w:val="nil"/>
          <w:between w:val="nil"/>
        </w:pBdr>
        <w:spacing w:line="276" w:lineRule="auto"/>
        <w:ind w:left="1276" w:right="758"/>
        <w:jc w:val="both"/>
        <w:rPr>
          <w:rFonts w:ascii="Palatino Linotype" w:eastAsia="Palatino Linotype" w:hAnsi="Palatino Linotype" w:cs="Palatino Linotype"/>
          <w:i/>
          <w:color w:val="000000"/>
          <w:sz w:val="22"/>
          <w:szCs w:val="22"/>
        </w:rPr>
      </w:pPr>
    </w:p>
    <w:p w:rsidR="008107F7" w:rsidRDefault="008F5C70">
      <w:pPr>
        <w:widowControl w:val="0"/>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“Manifestaciones del Particular.pdf”, </w:t>
      </w:r>
      <w:r>
        <w:rPr>
          <w:rFonts w:ascii="Palatino Linotype" w:eastAsia="Palatino Linotype" w:hAnsi="Palatino Linotype" w:cs="Palatino Linotype"/>
          <w:color w:val="000000"/>
        </w:rPr>
        <w:t>el formato de recurso de revisión que emite el SAIMEX.</w:t>
      </w:r>
      <w:r>
        <w:rPr>
          <w:rFonts w:ascii="Palatino Linotype" w:eastAsia="Palatino Linotype" w:hAnsi="Palatino Linotype" w:cs="Palatino Linotype"/>
          <w:color w:val="000000"/>
        </w:rPr>
        <w:tab/>
      </w:r>
    </w:p>
    <w:p w:rsidR="008107F7" w:rsidRDefault="008107F7">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8107F7" w:rsidRDefault="008F5C70">
      <w:pPr>
        <w:widowControl w:val="0"/>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“RESPUESTA DE SERVIDOR PUBLICO.pdf”, </w:t>
      </w:r>
      <w:r>
        <w:rPr>
          <w:rFonts w:ascii="Palatino Linotype" w:eastAsia="Palatino Linotype" w:hAnsi="Palatino Linotype" w:cs="Palatino Linotype"/>
          <w:color w:val="000000"/>
        </w:rPr>
        <w:t>oficio número PMT/TMT/0165/2022 del quince de febrero de dos mil veintidós, por medio del cual, la Tesorera Municipal manifiesta lo siguiente:</w:t>
      </w:r>
    </w:p>
    <w:p w:rsidR="008107F7" w:rsidRDefault="008107F7">
      <w:pPr>
        <w:pBdr>
          <w:top w:val="nil"/>
          <w:left w:val="nil"/>
          <w:bottom w:val="nil"/>
          <w:right w:val="nil"/>
          <w:between w:val="nil"/>
        </w:pBdr>
        <w:ind w:left="720"/>
        <w:rPr>
          <w:rFonts w:ascii="Palatino Linotype" w:eastAsia="Palatino Linotype" w:hAnsi="Palatino Linotype" w:cs="Palatino Linotype"/>
          <w:i/>
          <w:color w:val="000000"/>
          <w:sz w:val="22"/>
          <w:szCs w:val="22"/>
        </w:rPr>
      </w:pPr>
    </w:p>
    <w:p w:rsidR="008107F7" w:rsidRDefault="008F5C70">
      <w:pPr>
        <w:widowControl w:val="0"/>
        <w:pBdr>
          <w:top w:val="nil"/>
          <w:left w:val="nil"/>
          <w:bottom w:val="nil"/>
          <w:right w:val="nil"/>
          <w:between w:val="nil"/>
        </w:pBdr>
        <w:spacing w:after="240" w:line="360"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2"/>
          <w:szCs w:val="22"/>
        </w:rPr>
        <w:t xml:space="preserve">“… Por cuanto hace a proporcionar los convenios firmados por el ayuntamiento de Tianguistenco y el sindicato SUTEYM del año 2016,2017,2018,2019 y 2020, peticionados por el solicitante, los cuales refieren lo siguiente, "Requiero los convenios firmados por el ayuntamiento de Tianguistenco y el sindicato SUTEYM, de los años 2016,2017, 2018, 219 y 2020". (Sic), al respecto me permito comentarle lo siguiente: </w:t>
      </w:r>
      <w:r>
        <w:rPr>
          <w:rFonts w:ascii="Palatino Linotype" w:eastAsia="Palatino Linotype" w:hAnsi="Palatino Linotype" w:cs="Palatino Linotype"/>
          <w:b/>
          <w:i/>
          <w:color w:val="000000"/>
          <w:sz w:val="22"/>
          <w:szCs w:val="22"/>
        </w:rPr>
        <w:t xml:space="preserve">Este órgano una vez realizada una búsqueda exhaustiva y razonable de la información solicitada dentro de sus archivos, hace de su conocimiento que conforme al ejercicio de las funciones que lleva a cabo esta Tesorería, no se han generado ningún tipo de información la </w:t>
      </w:r>
      <w:r>
        <w:rPr>
          <w:rFonts w:ascii="Palatino Linotype" w:eastAsia="Palatino Linotype" w:hAnsi="Palatino Linotype" w:cs="Palatino Linotype"/>
          <w:b/>
          <w:i/>
          <w:color w:val="000000"/>
          <w:sz w:val="22"/>
          <w:szCs w:val="22"/>
        </w:rPr>
        <w:lastRenderedPageBreak/>
        <w:t xml:space="preserve">cual se pueda proporcionar hasta la fecha de hoy. </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color w:val="000000"/>
          <w:sz w:val="22"/>
          <w:szCs w:val="22"/>
        </w:rPr>
        <w:t>(Sic)</w:t>
      </w:r>
    </w:p>
    <w:p w:rsidR="008107F7" w:rsidRDefault="008F5C7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no realizó manifestaciones, no formuló alegatos ni ofreció medios de prueba.</w:t>
      </w:r>
    </w:p>
    <w:p w:rsidR="008107F7" w:rsidRDefault="008F5C70">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7.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dieciséis de mayo de dos mil veintidós</w:t>
      </w:r>
      <w:r>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w:t>
      </w:r>
      <w:r>
        <w:rPr>
          <w:rFonts w:ascii="Palatino Linotype" w:eastAsia="Palatino Linotype" w:hAnsi="Palatino Linotype" w:cs="Palatino Linotype"/>
          <w:b/>
        </w:rPr>
        <w:t xml:space="preserve"> </w:t>
      </w:r>
    </w:p>
    <w:p w:rsidR="008107F7" w:rsidRDefault="008F5C7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treinta y uno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8107F7" w:rsidRDefault="008F5C70">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Pr>
          <w:rFonts w:ascii="Palatino Linotype" w:eastAsia="Palatino Linotype" w:hAnsi="Palatino Linotype" w:cs="Palatino Linotype"/>
          <w:b/>
        </w:rPr>
        <w:t xml:space="preserve"> </w:t>
      </w:r>
    </w:p>
    <w:p w:rsidR="008107F7" w:rsidRDefault="008F5C70">
      <w:pPr>
        <w:widowControl w:val="0"/>
        <w:spacing w:before="240" w:after="240" w:line="360" w:lineRule="auto"/>
        <w:jc w:val="center"/>
        <w:rPr>
          <w:rFonts w:ascii="Palatino Linotype" w:eastAsia="Palatino Linotype" w:hAnsi="Palatino Linotype" w:cs="Palatino Linotype"/>
          <w:b/>
        </w:rPr>
      </w:pPr>
      <w:bookmarkStart w:id="1" w:name="_heading=h.tyjcwt" w:colFirst="0" w:colLast="0"/>
      <w:bookmarkEnd w:id="1"/>
      <w:r>
        <w:rPr>
          <w:rFonts w:ascii="Palatino Linotype" w:eastAsia="Palatino Linotype" w:hAnsi="Palatino Linotype" w:cs="Palatino Linotype"/>
          <w:b/>
        </w:rPr>
        <w:t>II. C O N S I D E R A N D O</w:t>
      </w:r>
    </w:p>
    <w:p w:rsidR="008107F7" w:rsidRDefault="008F5C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107F7" w:rsidRDefault="008F5C70">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8107F7" w:rsidRDefault="008F5C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veintitrés de febrero de dos mil veintidós,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nueve de marzo de dos mil veintidós</w:t>
      </w:r>
      <w:r>
        <w:rPr>
          <w:rFonts w:ascii="Palatino Linotype" w:eastAsia="Palatino Linotype" w:hAnsi="Palatino Linotype" w:cs="Palatino Linotype"/>
        </w:rPr>
        <w:t>, esto es, el noveno día hábil posterior al que tuvo conocimiento de la respuesta impugnada; evidenciándose que la interposición del recurso se encuentra dentro de los márgenes temporales previstos en el citado precepto legal.</w:t>
      </w:r>
    </w:p>
    <w:p w:rsidR="008107F7" w:rsidRDefault="008F5C70">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Es de suma importancia mencionar que, si bien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proporcionó nombre </w:t>
      </w:r>
      <w:r>
        <w:rPr>
          <w:rFonts w:ascii="Palatino Linotype" w:eastAsia="Palatino Linotype" w:hAnsi="Palatino Linotype" w:cs="Palatino Linotype"/>
          <w:color w:val="222222"/>
        </w:rPr>
        <w:t xml:space="preserve">como se advierte en el detalle de seguimiento del SAIMEX, sin embargo, el no proporcionar un nombre no es motivo para archivar la solicitud de acceso a la información pública como concluida, conforme a lo previsto en el artículo 155, </w:t>
      </w:r>
      <w:r>
        <w:rPr>
          <w:rFonts w:ascii="Palatino Linotype" w:eastAsia="Palatino Linotype" w:hAnsi="Palatino Linotype" w:cs="Palatino Linotype"/>
          <w:color w:val="222222"/>
        </w:rPr>
        <w:lastRenderedPageBreak/>
        <w:t>penúltimo párrafo de la Ley de Transparencia y Acceso a la Información Pública del Estado de México y Municipios que establece lo siguiente:</w:t>
      </w:r>
    </w:p>
    <w:p w:rsidR="008107F7" w:rsidRDefault="008F5C70">
      <w:pPr>
        <w:shd w:val="clear" w:color="auto" w:fill="FFFFFF"/>
        <w:spacing w:before="120" w:after="120" w:line="276" w:lineRule="auto"/>
        <w:ind w:left="851" w:right="902"/>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Las solicitudes anónimas</w:t>
      </w:r>
      <w:r>
        <w:rPr>
          <w:rFonts w:ascii="Palatino Linotype" w:eastAsia="Palatino Linotype" w:hAnsi="Palatino Linotype" w:cs="Palatino Linotype"/>
          <w:i/>
          <w:color w:val="222222"/>
          <w:sz w:val="22"/>
          <w:szCs w:val="22"/>
        </w:rPr>
        <w:t>, con nombre incompleto o seudónimo </w:t>
      </w:r>
      <w:r>
        <w:rPr>
          <w:rFonts w:ascii="Palatino Linotype" w:eastAsia="Palatino Linotype" w:hAnsi="Palatino Linotype" w:cs="Palatino Linotype"/>
          <w:b/>
          <w:i/>
          <w:color w:val="222222"/>
          <w:sz w:val="22"/>
          <w:szCs w:val="22"/>
        </w:rPr>
        <w:t>serán procedentes para su trámite por parte del sujeto obligado ante quien se presente</w:t>
      </w:r>
      <w:r>
        <w:rPr>
          <w:rFonts w:ascii="Palatino Linotype" w:eastAsia="Palatino Linotype" w:hAnsi="Palatino Linotype" w:cs="Palatino Linotype"/>
          <w:i/>
          <w:color w:val="222222"/>
          <w:sz w:val="22"/>
          <w:szCs w:val="22"/>
        </w:rPr>
        <w:t>. No podrá requerirse información adicional con motivo del nombre proporcionado por el solicitante."</w:t>
      </w:r>
    </w:p>
    <w:p w:rsidR="008107F7" w:rsidRDefault="008F5C70">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del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por lo que, en el presente caso, al haber sido presentado el recurso de revisión vía SAIMEX, dicho requisito resulta innecesario.</w:t>
      </w:r>
    </w:p>
    <w:p w:rsidR="008107F7" w:rsidRDefault="008F5C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8107F7" w:rsidRDefault="008F5C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rsidR="008107F7" w:rsidRDefault="008F5C70">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8107F7" w:rsidRDefault="008F5C70">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8107F7" w:rsidRDefault="008F5C70">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w:t>
      </w:r>
    </w:p>
    <w:p w:rsidR="008107F7" w:rsidRDefault="008F5C7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8107F7" w:rsidRDefault="008F5C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Estudio y análisis del asunto.</w:t>
      </w:r>
      <w:r>
        <w:rPr>
          <w:rFonts w:ascii="Palatino Linotype" w:eastAsia="Palatino Linotype" w:hAnsi="Palatino Linotype" w:cs="Palatino Linotype"/>
        </w:rPr>
        <w:t xml:space="preserve"> 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8107F7" w:rsidRDefault="008F5C70">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8107F7" w:rsidRDefault="008F5C70">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8107F7" w:rsidRDefault="008F5C70">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8107F7" w:rsidRDefault="008F5C70">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107F7" w:rsidRDefault="008F5C70">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6o.</w:t>
      </w:r>
    </w:p>
    <w:p w:rsidR="008107F7" w:rsidRDefault="008F5C70">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8107F7" w:rsidRDefault="008F5C70">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8107F7" w:rsidRDefault="008107F7">
      <w:pPr>
        <w:ind w:left="851" w:right="851"/>
        <w:jc w:val="both"/>
        <w:rPr>
          <w:rFonts w:ascii="Palatino Linotype" w:eastAsia="Palatino Linotype" w:hAnsi="Palatino Linotype" w:cs="Palatino Linotype"/>
          <w:i/>
          <w:sz w:val="22"/>
          <w:szCs w:val="22"/>
        </w:rPr>
      </w:pP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8107F7" w:rsidRDefault="008107F7">
      <w:pPr>
        <w:ind w:right="851"/>
        <w:jc w:val="both"/>
        <w:rPr>
          <w:rFonts w:ascii="Palatino Linotype" w:eastAsia="Palatino Linotype" w:hAnsi="Palatino Linotype" w:cs="Palatino Linotype"/>
          <w:i/>
          <w:sz w:val="22"/>
          <w:szCs w:val="22"/>
        </w:rPr>
      </w:pPr>
    </w:p>
    <w:p w:rsidR="008107F7" w:rsidRDefault="008F5C70">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8107F7" w:rsidRDefault="008F5C70">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8107F7" w:rsidRDefault="008F5C70">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107F7" w:rsidRDefault="008F5C7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w:t>
      </w:r>
      <w:r>
        <w:rPr>
          <w:rFonts w:ascii="Palatino Linotype" w:eastAsia="Palatino Linotype" w:hAnsi="Palatino Linotype" w:cs="Palatino Linotype"/>
          <w:i/>
          <w:sz w:val="22"/>
          <w:szCs w:val="22"/>
        </w:rPr>
        <w:lastRenderedPageBreak/>
        <w:t>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107F7" w:rsidRDefault="008F5C70">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8107F7" w:rsidRDefault="008107F7">
      <w:pPr>
        <w:ind w:left="709" w:right="760"/>
        <w:jc w:val="both"/>
        <w:rPr>
          <w:rFonts w:ascii="Palatino Linotype" w:eastAsia="Palatino Linotype" w:hAnsi="Palatino Linotype" w:cs="Palatino Linotype"/>
          <w:i/>
        </w:rPr>
      </w:pPr>
    </w:p>
    <w:p w:rsidR="008107F7" w:rsidRDefault="008F5C7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8107F7" w:rsidRDefault="008F5C7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8107F7" w:rsidRDefault="008F5C70">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8107F7" w:rsidRDefault="008107F7">
      <w:pPr>
        <w:spacing w:line="360" w:lineRule="auto"/>
        <w:jc w:val="both"/>
        <w:rPr>
          <w:rFonts w:ascii="Palatino Linotype" w:eastAsia="Palatino Linotype" w:hAnsi="Palatino Linotype" w:cs="Palatino Linotype"/>
        </w:rPr>
      </w:pPr>
    </w:p>
    <w:p w:rsidR="008107F7" w:rsidRDefault="008F5C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Pr>
          <w:rFonts w:ascii="Palatino Linotype" w:eastAsia="Palatino Linotype" w:hAnsi="Palatino Linotype" w:cs="Palatino Linotype"/>
        </w:rPr>
        <w:lastRenderedPageBreak/>
        <w:t>que es deber de los Sujetos Obligados, garantizar el Derecho de Acceso a la Información Pública, lo que no sucedió en el presente caso.</w:t>
      </w:r>
    </w:p>
    <w:p w:rsidR="008107F7" w:rsidRDefault="008107F7">
      <w:pPr>
        <w:spacing w:line="360" w:lineRule="auto"/>
        <w:jc w:val="both"/>
        <w:rPr>
          <w:rFonts w:ascii="Palatino Linotype" w:eastAsia="Palatino Linotype" w:hAnsi="Palatino Linotype" w:cs="Palatino Linotype"/>
        </w:rPr>
      </w:pPr>
    </w:p>
    <w:p w:rsidR="008107F7" w:rsidRDefault="008F5C7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107F7" w:rsidRDefault="008107F7">
      <w:pPr>
        <w:spacing w:line="360" w:lineRule="auto"/>
        <w:ind w:right="49"/>
        <w:jc w:val="both"/>
        <w:rPr>
          <w:rFonts w:ascii="Palatino Linotype" w:eastAsia="Palatino Linotype" w:hAnsi="Palatino Linotype" w:cs="Palatino Linotype"/>
        </w:rPr>
      </w:pPr>
    </w:p>
    <w:p w:rsidR="008107F7" w:rsidRDefault="008F5C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rsidR="008107F7" w:rsidRDefault="008107F7">
      <w:pPr>
        <w:spacing w:line="360" w:lineRule="auto"/>
        <w:jc w:val="both"/>
        <w:rPr>
          <w:rFonts w:ascii="Palatino Linotype" w:eastAsia="Palatino Linotype" w:hAnsi="Palatino Linotype" w:cs="Palatino Linotype"/>
        </w:rPr>
      </w:pP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rsidR="008107F7" w:rsidRDefault="008107F7">
      <w:pPr>
        <w:ind w:left="851" w:right="851"/>
        <w:jc w:val="both"/>
        <w:rPr>
          <w:rFonts w:ascii="Palatino Linotype" w:eastAsia="Palatino Linotype" w:hAnsi="Palatino Linotype" w:cs="Palatino Linotype"/>
          <w:b/>
          <w:i/>
          <w:sz w:val="22"/>
          <w:szCs w:val="22"/>
        </w:rPr>
      </w:pP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rsidR="008107F7" w:rsidRDefault="008107F7">
      <w:pPr>
        <w:ind w:left="851" w:right="851"/>
        <w:jc w:val="both"/>
        <w:rPr>
          <w:rFonts w:ascii="Palatino Linotype" w:eastAsia="Palatino Linotype" w:hAnsi="Palatino Linotype" w:cs="Palatino Linotype"/>
          <w:i/>
          <w:sz w:val="22"/>
          <w:szCs w:val="22"/>
        </w:rPr>
      </w:pP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8107F7" w:rsidRDefault="008107F7">
      <w:pPr>
        <w:ind w:left="851" w:right="851"/>
        <w:jc w:val="both"/>
        <w:rPr>
          <w:rFonts w:ascii="Palatino Linotype" w:eastAsia="Palatino Linotype" w:hAnsi="Palatino Linotype" w:cs="Palatino Linotype"/>
          <w:i/>
          <w:sz w:val="22"/>
          <w:szCs w:val="22"/>
        </w:rPr>
      </w:pP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107F7" w:rsidRDefault="008107F7">
      <w:pPr>
        <w:ind w:left="851" w:right="851"/>
        <w:jc w:val="both"/>
        <w:rPr>
          <w:rFonts w:ascii="Palatino Linotype" w:eastAsia="Palatino Linotype" w:hAnsi="Palatino Linotype" w:cs="Palatino Linotype"/>
          <w:i/>
          <w:sz w:val="22"/>
          <w:szCs w:val="22"/>
        </w:rPr>
      </w:pPr>
    </w:p>
    <w:p w:rsidR="008107F7" w:rsidRDefault="008F5C7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8107F7" w:rsidRDefault="008107F7">
      <w:pPr>
        <w:spacing w:line="360" w:lineRule="auto"/>
        <w:jc w:val="both"/>
        <w:rPr>
          <w:rFonts w:ascii="Palatino Linotype" w:eastAsia="Palatino Linotype" w:hAnsi="Palatino Linotype" w:cs="Palatino Linotype"/>
        </w:rPr>
      </w:pPr>
    </w:p>
    <w:p w:rsidR="008107F7" w:rsidRDefault="008F5C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8107F7" w:rsidRDefault="008107F7">
      <w:pPr>
        <w:spacing w:line="360" w:lineRule="auto"/>
        <w:jc w:val="both"/>
        <w:rPr>
          <w:rFonts w:ascii="Palatino Linotype" w:eastAsia="Palatino Linotype" w:hAnsi="Palatino Linotype" w:cs="Palatino Linotype"/>
        </w:rPr>
      </w:pPr>
    </w:p>
    <w:p w:rsidR="008107F7" w:rsidRDefault="008F5C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107F7" w:rsidRDefault="008107F7">
      <w:pPr>
        <w:ind w:left="851" w:right="899"/>
        <w:jc w:val="both"/>
        <w:rPr>
          <w:rFonts w:ascii="Palatino Linotype" w:eastAsia="Palatino Linotype" w:hAnsi="Palatino Linotype" w:cs="Palatino Linotype"/>
          <w:i/>
          <w:sz w:val="22"/>
          <w:szCs w:val="22"/>
        </w:rPr>
      </w:pPr>
    </w:p>
    <w:p w:rsidR="008107F7" w:rsidRDefault="008F5C7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8107F7" w:rsidRDefault="008F5C70">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107F7" w:rsidRDefault="008F5C70">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w:t>
      </w:r>
      <w:r>
        <w:rPr>
          <w:rFonts w:ascii="Palatino Linotype" w:eastAsia="Palatino Linotype" w:hAnsi="Palatino Linotype" w:cs="Palatino Linotype"/>
          <w:i/>
          <w:sz w:val="22"/>
          <w:szCs w:val="22"/>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107F7" w:rsidRDefault="008107F7">
      <w:pPr>
        <w:ind w:left="851" w:right="899"/>
        <w:jc w:val="both"/>
        <w:rPr>
          <w:rFonts w:ascii="Palatino Linotype" w:eastAsia="Palatino Linotype" w:hAnsi="Palatino Linotype" w:cs="Palatino Linotype"/>
          <w:sz w:val="22"/>
          <w:szCs w:val="22"/>
        </w:rPr>
      </w:pPr>
    </w:p>
    <w:p w:rsidR="008107F7" w:rsidRDefault="008F5C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107F7" w:rsidRDefault="008107F7">
      <w:pPr>
        <w:ind w:left="851" w:right="899"/>
        <w:jc w:val="both"/>
        <w:rPr>
          <w:rFonts w:ascii="Palatino Linotype" w:eastAsia="Palatino Linotype" w:hAnsi="Palatino Linotype" w:cs="Palatino Linotype"/>
        </w:rPr>
      </w:pPr>
    </w:p>
    <w:p w:rsidR="008107F7" w:rsidRDefault="008F5C70">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8107F7" w:rsidRDefault="008F5C70">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107F7" w:rsidRDefault="008F5C70">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8107F7" w:rsidRDefault="008F5C70">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8107F7" w:rsidRDefault="008F5C70">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8107F7" w:rsidRDefault="008F5C70">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8107F7" w:rsidRDefault="008F5C7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8107F7" w:rsidRDefault="008F5C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contexto, es oportuno reiterar que el entonces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conocer los convenios firmados por el ayuntamiento de Tianguistenco y el sindicato SUTEYM, de los años 2016, 2017, 2018, 2019, 2020 y 2021.</w:t>
      </w:r>
    </w:p>
    <w:p w:rsidR="008107F7" w:rsidRDefault="008107F7">
      <w:pPr>
        <w:spacing w:line="360" w:lineRule="auto"/>
        <w:jc w:val="both"/>
        <w:rPr>
          <w:sz w:val="22"/>
          <w:szCs w:val="22"/>
        </w:rPr>
      </w:pPr>
    </w:p>
    <w:p w:rsidR="008107F7" w:rsidRDefault="008F5C7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su respuesta,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remitió un documento de 15 fojas que contiene el </w:t>
      </w:r>
      <w:r>
        <w:rPr>
          <w:rFonts w:ascii="Palatino Linotype" w:eastAsia="Palatino Linotype" w:hAnsi="Palatino Linotype" w:cs="Palatino Linotype"/>
          <w:b/>
        </w:rPr>
        <w:t>Convenio de Prestaciones de Ley y Colaterales 2021</w:t>
      </w:r>
      <w:r>
        <w:rPr>
          <w:rFonts w:ascii="Palatino Linotype" w:eastAsia="Palatino Linotype" w:hAnsi="Palatino Linotype" w:cs="Palatino Linotype"/>
        </w:rPr>
        <w:t>, con el H. Ayuntamiento de Tianguistenco y el Sindicato Único de Trabajadores de los Municipios e Instituciones Descentralizadas del Estado de México, para ejemplificar, se agrega lo siguiente:</w:t>
      </w:r>
    </w:p>
    <w:p w:rsidR="008107F7" w:rsidRDefault="008F5C70">
      <w:pPr>
        <w:spacing w:line="360" w:lineRule="auto"/>
        <w:ind w:right="49"/>
        <w:jc w:val="center"/>
        <w:rPr>
          <w:rFonts w:ascii="Palatino Linotype" w:eastAsia="Palatino Linotype" w:hAnsi="Palatino Linotype" w:cs="Palatino Linotype"/>
          <w:b/>
          <w:i/>
        </w:rPr>
      </w:pPr>
      <w:r>
        <w:rPr>
          <w:noProof/>
          <w:lang w:val="es-MX"/>
        </w:rPr>
        <w:lastRenderedPageBreak/>
        <w:drawing>
          <wp:inline distT="0" distB="0" distL="0" distR="0">
            <wp:extent cx="3401521" cy="4368450"/>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64155" t="18106" r="2409" b="5550"/>
                    <a:stretch>
                      <a:fillRect/>
                    </a:stretch>
                  </pic:blipFill>
                  <pic:spPr>
                    <a:xfrm>
                      <a:off x="0" y="0"/>
                      <a:ext cx="3401521" cy="4368450"/>
                    </a:xfrm>
                    <a:prstGeom prst="rect">
                      <a:avLst/>
                    </a:prstGeom>
                    <a:ln/>
                  </pic:spPr>
                </pic:pic>
              </a:graphicData>
            </a:graphic>
          </wp:inline>
        </w:drawing>
      </w:r>
    </w:p>
    <w:p w:rsidR="008107F7" w:rsidRDefault="008107F7">
      <w:pPr>
        <w:widowControl w:val="0"/>
        <w:tabs>
          <w:tab w:val="left" w:pos="1701"/>
          <w:tab w:val="left" w:pos="1843"/>
        </w:tabs>
        <w:spacing w:line="360" w:lineRule="auto"/>
        <w:jc w:val="both"/>
        <w:rPr>
          <w:rFonts w:ascii="Palatino Linotype" w:eastAsia="Palatino Linotype" w:hAnsi="Palatino Linotype" w:cs="Palatino Linotype"/>
          <w:i/>
        </w:rPr>
      </w:pPr>
    </w:p>
    <w:p w:rsidR="008107F7" w:rsidRDefault="008F5C70">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el particular presentó el Recurso de Revisión de mérito, en el que señaló como acto impugnado “</w:t>
      </w:r>
      <w:r>
        <w:rPr>
          <w:rFonts w:ascii="Palatino Linotype" w:eastAsia="Palatino Linotype" w:hAnsi="Palatino Linotype" w:cs="Palatino Linotype"/>
          <w:i/>
        </w:rPr>
        <w:t>la negativa de la información, ya que yo pedí los convenios de los años 2016, 2017, 2018, 2019, 2020, y 2021; y solo me proporcionaron el de el año 2021</w:t>
      </w:r>
      <w:r>
        <w:rPr>
          <w:rFonts w:ascii="Palatino Linotype" w:eastAsia="Palatino Linotype" w:hAnsi="Palatino Linotype" w:cs="Palatino Linotype"/>
        </w:rPr>
        <w:t>.." (Sic) y como razones o motivos de la inconformidad: “</w:t>
      </w:r>
      <w:r>
        <w:rPr>
          <w:rFonts w:ascii="Palatino Linotype" w:eastAsia="Palatino Linotype" w:hAnsi="Palatino Linotype" w:cs="Palatino Linotype"/>
          <w:i/>
        </w:rPr>
        <w:t>la negativa de la información, ya que yo pedí los convenios de los años 2016, 2017, 2018, 2019, 2020, y 2021; y solo me proporcionaron el de el año 2021. exijo al órgano de control interno del INFOEM, sancione al o a los servidores públicos responsables de proporcionar la información y no lo están haciendo, y que se esta violando mi derecho humano de acceso a la información pública</w:t>
      </w:r>
      <w:r>
        <w:rPr>
          <w:rFonts w:ascii="Palatino Linotype" w:eastAsia="Palatino Linotype" w:hAnsi="Palatino Linotype" w:cs="Palatino Linotype"/>
        </w:rPr>
        <w:t>.” (Sic)</w:t>
      </w:r>
    </w:p>
    <w:p w:rsidR="008107F7" w:rsidRDefault="008107F7">
      <w:pPr>
        <w:widowControl w:val="0"/>
        <w:tabs>
          <w:tab w:val="left" w:pos="1701"/>
          <w:tab w:val="left" w:pos="1843"/>
        </w:tabs>
        <w:spacing w:line="360" w:lineRule="auto"/>
        <w:jc w:val="both"/>
        <w:rPr>
          <w:rFonts w:ascii="Palatino Linotype" w:eastAsia="Palatino Linotype" w:hAnsi="Palatino Linotype" w:cs="Palatino Linotype"/>
        </w:rPr>
      </w:pPr>
    </w:p>
    <w:p w:rsidR="008107F7" w:rsidRDefault="008F5C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de acuerdo con la inconformidad hecha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la que señala que es negativa de acceso a la información; mediante informe justificado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 la Servidora Pública Habilitada de la Tesorería Municipal, refiere lo siguiente:</w:t>
      </w:r>
    </w:p>
    <w:p w:rsidR="008107F7" w:rsidRDefault="008F5C70">
      <w:pPr>
        <w:spacing w:line="360" w:lineRule="auto"/>
        <w:jc w:val="center"/>
        <w:rPr>
          <w:rFonts w:ascii="Palatino Linotype" w:eastAsia="Palatino Linotype" w:hAnsi="Palatino Linotype" w:cs="Palatino Linotype"/>
        </w:rPr>
      </w:pPr>
      <w:r>
        <w:rPr>
          <w:noProof/>
          <w:lang w:val="es-MX"/>
        </w:rPr>
        <w:drawing>
          <wp:inline distT="0" distB="0" distL="0" distR="0">
            <wp:extent cx="4752337" cy="5061660"/>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66192" t="28063" r="5125" b="17622"/>
                    <a:stretch>
                      <a:fillRect/>
                    </a:stretch>
                  </pic:blipFill>
                  <pic:spPr>
                    <a:xfrm>
                      <a:off x="0" y="0"/>
                      <a:ext cx="4752337" cy="5061660"/>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431800</wp:posOffset>
                </wp:positionH>
                <wp:positionV relativeFrom="paragraph">
                  <wp:posOffset>4279900</wp:posOffset>
                </wp:positionV>
                <wp:extent cx="4667250" cy="790575"/>
                <wp:effectExtent l="0" t="0" r="0" b="0"/>
                <wp:wrapNone/>
                <wp:docPr id="39" name="Rectángulo 39"/>
                <wp:cNvGraphicFramePr/>
                <a:graphic xmlns:a="http://schemas.openxmlformats.org/drawingml/2006/main">
                  <a:graphicData uri="http://schemas.microsoft.com/office/word/2010/wordprocessingShape">
                    <wps:wsp>
                      <wps:cNvSpPr/>
                      <wps:spPr>
                        <a:xfrm>
                          <a:off x="3040950" y="3413288"/>
                          <a:ext cx="4610100" cy="733425"/>
                        </a:xfrm>
                        <a:prstGeom prst="rect">
                          <a:avLst/>
                        </a:prstGeom>
                        <a:noFill/>
                        <a:ln w="28575" cap="flat" cmpd="sng">
                          <a:solidFill>
                            <a:srgbClr val="FF0000"/>
                          </a:solidFill>
                          <a:prstDash val="solid"/>
                          <a:round/>
                          <a:headEnd type="none" w="sm" len="sm"/>
                          <a:tailEnd type="none" w="sm" len="sm"/>
                        </a:ln>
                      </wps:spPr>
                      <wps:txbx>
                        <w:txbxContent>
                          <w:p w:rsidR="008107F7" w:rsidRDefault="008107F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4279900</wp:posOffset>
                </wp:positionV>
                <wp:extent cx="4667250" cy="790575"/>
                <wp:effectExtent b="0" l="0" r="0" t="0"/>
                <wp:wrapNone/>
                <wp:docPr id="39"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4667250" cy="790575"/>
                        </a:xfrm>
                        <a:prstGeom prst="rect"/>
                        <a:ln/>
                      </pic:spPr>
                    </pic:pic>
                  </a:graphicData>
                </a:graphic>
              </wp:anchor>
            </w:drawing>
          </mc:Fallback>
        </mc:AlternateContent>
      </w:r>
    </w:p>
    <w:p w:rsidR="008107F7" w:rsidRDefault="008107F7">
      <w:pPr>
        <w:spacing w:line="360" w:lineRule="auto"/>
        <w:jc w:val="both"/>
        <w:rPr>
          <w:rFonts w:ascii="Palatino Linotype" w:eastAsia="Palatino Linotype" w:hAnsi="Palatino Linotype" w:cs="Palatino Linotype"/>
        </w:rPr>
      </w:pPr>
    </w:p>
    <w:p w:rsidR="008107F7" w:rsidRDefault="008F5C7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lo que este Organismo Garante, considera pertinente analizar el asunto que nos ocupa, si se encuentra constreñido a transparentar sus acciones, garantizar y </w:t>
      </w:r>
      <w:r>
        <w:rPr>
          <w:rFonts w:ascii="Palatino Linotype" w:eastAsia="Palatino Linotype" w:hAnsi="Palatino Linotype" w:cs="Palatino Linotype"/>
        </w:rPr>
        <w:lastRenderedPageBreak/>
        <w:t xml:space="preserve">respetar el Derecho de Acceso a la Información Pública respecto al tema de la solicitud de referencia. </w:t>
      </w:r>
      <w:r>
        <w:rPr>
          <w:rFonts w:ascii="Palatino Linotype" w:eastAsia="Palatino Linotype" w:hAnsi="Palatino Linotype" w:cs="Palatino Linotype"/>
          <w:b/>
        </w:rPr>
        <w:t xml:space="preserve"> </w:t>
      </w:r>
    </w:p>
    <w:p w:rsidR="008107F7" w:rsidRDefault="008F5C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8107F7" w:rsidRDefault="008F5C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primer término, cabe precisar que de la lectura a la solicitud de información, se advierte que el particular requiere conocer los convenios firmados por el ayuntamiento de Tianguistenco y el sindicato SUTEYM, de los años 2016, 2017, 2018, 2019, 2020 y 2021, del cual sólo obtuvo el correspondiente a 2021.</w:t>
      </w:r>
    </w:p>
    <w:p w:rsidR="008107F7" w:rsidRDefault="008F5C7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es alusivo referirnos a la </w:t>
      </w:r>
      <w:r>
        <w:rPr>
          <w:rFonts w:ascii="Palatino Linotype" w:eastAsia="Palatino Linotype" w:hAnsi="Palatino Linotype" w:cs="Palatino Linotype"/>
          <w:i/>
        </w:rPr>
        <w:t xml:space="preserve">Ley del Trabajo de los Servidores Públicos del Estado y Municipios, </w:t>
      </w:r>
      <w:r>
        <w:rPr>
          <w:rFonts w:ascii="Palatino Linotype" w:eastAsia="Palatino Linotype" w:hAnsi="Palatino Linotype" w:cs="Palatino Linotype"/>
        </w:rPr>
        <w:t>ordenamiento de orden público e interés social, que tiene por objeto regular las relaciones de trabajo, comprendidas entre los poderes públicos del Estado y los municipios y sus respectivos servidores públicos</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 </w:t>
      </w:r>
    </w:p>
    <w:p w:rsidR="008107F7" w:rsidRDefault="008F5C7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tenemos que en los artículos 54, 82 y 138 de la citada legislación, se prevé la formulación de los convenios de prestaciones de ley, es decir, el artículo 54 es el fundamento para la realización de los señalados convenios, numerales que a la letra, señalan lo siguiente:</w:t>
      </w:r>
    </w:p>
    <w:p w:rsidR="008107F7" w:rsidRDefault="008F5C70">
      <w:pPr>
        <w:spacing w:before="280" w:after="280" w:line="276" w:lineRule="auto"/>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54.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Cada institución pública o, en su caso, dependencia, en razón de la naturaleza de sus funciones, contará con un Reglamento de Condiciones Generales de Trabajo aplicables a los servidores públicos sindicalizados y generales. Las instituciones o dependencias públicas que no cuenten con documento que avale las condiciones generales de trabajo </w:t>
      </w:r>
      <w:r>
        <w:rPr>
          <w:rFonts w:ascii="Palatino Linotype" w:eastAsia="Palatino Linotype" w:hAnsi="Palatino Linotype" w:cs="Palatino Linotype"/>
          <w:b/>
          <w:i/>
          <w:sz w:val="22"/>
          <w:szCs w:val="22"/>
        </w:rPr>
        <w:lastRenderedPageBreak/>
        <w:t>aplicables, deberán estar a lo establecido por esta ley</w:t>
      </w:r>
      <w:r>
        <w:rPr>
          <w:rFonts w:ascii="Palatino Linotype" w:eastAsia="Palatino Linotype" w:hAnsi="Palatino Linotype" w:cs="Palatino Linotype"/>
          <w:i/>
          <w:sz w:val="22"/>
          <w:szCs w:val="22"/>
        </w:rPr>
        <w:t xml:space="preserve">, en caso de que el reglamento sea para sindicalizados se hará de común acuerdo con el sindicato, </w:t>
      </w:r>
      <w:r>
        <w:rPr>
          <w:rFonts w:ascii="Palatino Linotype" w:eastAsia="Palatino Linotype" w:hAnsi="Palatino Linotype" w:cs="Palatino Linotype"/>
          <w:b/>
          <w:i/>
          <w:sz w:val="22"/>
          <w:szCs w:val="22"/>
        </w:rPr>
        <w:t xml:space="preserve">dichos reglamentos tendrán una duración de tres años y podrán ratificarse o modificarse a su término; los Convenios de sueldos y prestaciones celebrados con el Sindicato se aplicarán sólo a los trabajadores miembros y reconocidos por la agrupación Sindical de conformidad con la normatividad aplicable. </w:t>
      </w:r>
    </w:p>
    <w:p w:rsidR="008107F7" w:rsidRDefault="008F5C70">
      <w:pPr>
        <w:spacing w:before="280" w:after="28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beneficios que se establezcan</w:t>
      </w:r>
      <w:r>
        <w:rPr>
          <w:rFonts w:ascii="Palatino Linotype" w:eastAsia="Palatino Linotype" w:hAnsi="Palatino Linotype" w:cs="Palatino Linotype"/>
          <w:i/>
          <w:sz w:val="22"/>
          <w:szCs w:val="22"/>
        </w:rPr>
        <w:t xml:space="preserve"> en los Reglamentos de Condiciones Generales de Trabajo y en los </w:t>
      </w:r>
      <w:r>
        <w:rPr>
          <w:rFonts w:ascii="Palatino Linotype" w:eastAsia="Palatino Linotype" w:hAnsi="Palatino Linotype" w:cs="Palatino Linotype"/>
          <w:b/>
          <w:i/>
          <w:sz w:val="22"/>
          <w:szCs w:val="22"/>
        </w:rPr>
        <w:t>Convenios de Sueldo y Prestaciones</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 no serán extensivas a los servidores públicos de confianza, </w:t>
      </w:r>
      <w:r>
        <w:rPr>
          <w:rFonts w:ascii="Palatino Linotype" w:eastAsia="Palatino Linotype" w:hAnsi="Palatino Linotype" w:cs="Palatino Linotype"/>
          <w:i/>
          <w:sz w:val="22"/>
          <w:szCs w:val="22"/>
        </w:rPr>
        <w:t>en virtud de que sus condiciones se encuentran establecidas en el contrato, nombramiento o formato único de movimiento de personal y en la Normatividad de cada institución pública...</w:t>
      </w:r>
    </w:p>
    <w:p w:rsidR="008107F7" w:rsidRDefault="008F5C70">
      <w:pPr>
        <w:spacing w:before="280" w:after="28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82. L</w:t>
      </w:r>
      <w:r>
        <w:rPr>
          <w:rFonts w:ascii="Palatino Linotype" w:eastAsia="Palatino Linotype" w:hAnsi="Palatino Linotype" w:cs="Palatino Linotype"/>
          <w:b/>
          <w:i/>
          <w:sz w:val="22"/>
          <w:szCs w:val="22"/>
          <w:u w:val="single"/>
        </w:rPr>
        <w:t>as instituciones públicas realizarán anualmente, con la participación del sindicato que corresponda, los estudios técnicos pertinentes para el incremento de sueldos y otras prestaciones de los servidores públicos</w:t>
      </w:r>
      <w:r>
        <w:rPr>
          <w:rFonts w:ascii="Palatino Linotype" w:eastAsia="Palatino Linotype" w:hAnsi="Palatino Linotype" w:cs="Palatino Linotype"/>
          <w:i/>
          <w:sz w:val="22"/>
          <w:szCs w:val="22"/>
        </w:rPr>
        <w:t xml:space="preserve">, que permitan equilibrar el poder adquisitivo de éstos, conforme a la capacidad y disponibilidad presupuestal de la institución pública. </w:t>
      </w:r>
    </w:p>
    <w:p w:rsidR="008107F7" w:rsidRDefault="008F5C70">
      <w:pPr>
        <w:spacing w:before="280" w:after="280" w:line="276" w:lineRule="auto"/>
        <w:ind w:left="851"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 xml:space="preserve">Asimismo se podrán realizar revisiones, en cuanto a incrementos salariales se refiere, en caso de presentarse una situación económica en el país que, repercutiendo en los sueldos, </w:t>
      </w:r>
      <w:r>
        <w:rPr>
          <w:rFonts w:ascii="Palatino Linotype" w:eastAsia="Palatino Linotype" w:hAnsi="Palatino Linotype" w:cs="Palatino Linotype"/>
          <w:b/>
          <w:i/>
          <w:sz w:val="22"/>
          <w:szCs w:val="22"/>
          <w:u w:val="single"/>
        </w:rPr>
        <w:t>si así lo ameritara.</w:t>
      </w:r>
    </w:p>
    <w:p w:rsidR="008107F7" w:rsidRDefault="008F5C70">
      <w:pPr>
        <w:spacing w:before="280" w:after="28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138.</w:t>
      </w:r>
      <w:r>
        <w:rPr>
          <w:rFonts w:ascii="Palatino Linotype" w:eastAsia="Palatino Linotype" w:hAnsi="Palatino Linotype" w:cs="Palatino Linotype"/>
          <w:i/>
          <w:sz w:val="22"/>
          <w:szCs w:val="22"/>
        </w:rPr>
        <w:t xml:space="preserve"> Sindicato es la asociación de servidores públicos generales constituida para el estudio, mejoramiento y defensa de sus intereses comunes. </w:t>
      </w:r>
    </w:p>
    <w:p w:rsidR="008107F7" w:rsidRDefault="008F5C70">
      <w:pPr>
        <w:spacing w:before="280" w:after="28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w:t>
      </w:r>
    </w:p>
    <w:p w:rsidR="008107F7" w:rsidRDefault="008F5C7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Esto es, las prestaciones de ley deben ser entendidas como aquellas prerrogativas en favor del trabajador que la propia legislación establece, entre las cuales podemos citar de manera enunciativa los descansos, las vacaciones, el aguinaldo, la seguridad social, entre otras. </w:t>
      </w:r>
    </w:p>
    <w:p w:rsidR="008107F7" w:rsidRDefault="008F5C7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podemos concluir que el Convenio de Prestaciones de Ley, es el acuerdo de voluntades entre el sindicato y la institución pública, el cual otorga derechos y obligaciones en favor de los trabajadores, los cuales son garantizados por los centros laborales, según sea precisado en el artículo 82 de la </w:t>
      </w:r>
      <w:r>
        <w:rPr>
          <w:rFonts w:ascii="Palatino Linotype" w:eastAsia="Palatino Linotype" w:hAnsi="Palatino Linotype" w:cs="Palatino Linotype"/>
          <w:i/>
        </w:rPr>
        <w:t xml:space="preserve">Ley del Trabajo de los Servidores Públicos del Estado y Municipios, </w:t>
      </w:r>
      <w:r>
        <w:rPr>
          <w:rFonts w:ascii="Palatino Linotype" w:eastAsia="Palatino Linotype" w:hAnsi="Palatino Linotype" w:cs="Palatino Linotype"/>
        </w:rPr>
        <w:t xml:space="preserve"> y si bien son celebrados entre el sindicato correspondiente y la institución pública, es de considerar que los destinatarios finales son los servidores públicos sindicalizados que se rigen bajo dicho convenio.</w:t>
      </w:r>
    </w:p>
    <w:p w:rsidR="008107F7" w:rsidRDefault="008F5C70">
      <w:pPr>
        <w:spacing w:before="280" w:after="28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Aunado a lo anterior, el Convenio de Prestaciones de Ley entre el Sindicato Único de Trabajadores de los Poderes, Municipios e Instituciones Descentralizadas del Estado de México, SUTEYM,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constituye información que debe ser accesible al público, tanto por parte de cualquier sujeto obligado, de las autoridades en materia laboral y de los sindicatos, ya que ésta se encuentra contenida en las llamadas obligaciones de transparencia comunes y específicas para dichos sujetos obligados, tal y como lo disponen los artículos 92 fracción XX; 99, fracción VII y 102, fracción I de la </w:t>
      </w:r>
      <w:r>
        <w:rPr>
          <w:rFonts w:ascii="Palatino Linotype" w:eastAsia="Palatino Linotype" w:hAnsi="Palatino Linotype" w:cs="Palatino Linotype"/>
          <w:i/>
        </w:rPr>
        <w:t>Ley de Transparencia y Acceso a la Información Pública del Estado de México y Municipios, a saber:</w:t>
      </w:r>
    </w:p>
    <w:p w:rsidR="008107F7" w:rsidRDefault="008F5C70">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w:t>
      </w:r>
      <w:r>
        <w:rPr>
          <w:rFonts w:ascii="Palatino Linotype" w:eastAsia="Palatino Linotype" w:hAnsi="Palatino Linotype" w:cs="Palatino Linotype"/>
          <w:i/>
          <w:sz w:val="22"/>
          <w:szCs w:val="22"/>
        </w:rPr>
        <w:lastRenderedPageBreak/>
        <w:t>funciones u objeto social, según corresponda, la información, por lo menos, de los temas, documentos y políticas que a continuación se señalan:</w:t>
      </w:r>
    </w:p>
    <w:p w:rsidR="008107F7" w:rsidRDefault="008F5C70">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107F7" w:rsidRDefault="008F5C70">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Las condiciones generales de trabajo, </w:t>
      </w:r>
      <w:r>
        <w:rPr>
          <w:rFonts w:ascii="Palatino Linotype" w:eastAsia="Palatino Linotype" w:hAnsi="Palatino Linotype" w:cs="Palatino Linotype"/>
          <w:b/>
          <w:i/>
          <w:sz w:val="22"/>
          <w:szCs w:val="22"/>
          <w:u w:val="single"/>
        </w:rPr>
        <w:t>contratos o convenios</w:t>
      </w:r>
      <w:r>
        <w:rPr>
          <w:rFonts w:ascii="Palatino Linotype" w:eastAsia="Palatino Linotype" w:hAnsi="Palatino Linotype" w:cs="Palatino Linotype"/>
          <w:b/>
          <w:i/>
          <w:sz w:val="22"/>
          <w:szCs w:val="22"/>
        </w:rPr>
        <w:t xml:space="preserve"> que regulen las relaciones laborales del personal de base o de confianza</w:t>
      </w:r>
      <w:r>
        <w:rPr>
          <w:rFonts w:ascii="Palatino Linotype" w:eastAsia="Palatino Linotype" w:hAnsi="Palatino Linotype" w:cs="Palatino Linotype"/>
          <w:i/>
          <w:sz w:val="22"/>
          <w:szCs w:val="22"/>
        </w:rPr>
        <w:t>, así como los recursos públicos económicos, en especie o donativos, que sean entregados a los Sindicatos y ejerzan como recursos públicos;</w:t>
      </w:r>
    </w:p>
    <w:p w:rsidR="008107F7" w:rsidRDefault="008F5C70">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107F7" w:rsidRDefault="008F5C70">
      <w:pPr>
        <w:spacing w:before="120" w:after="12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99. Las autoridades administrativas y jurisdiccionales en materia laboral</w:t>
      </w:r>
      <w:r>
        <w:rPr>
          <w:rFonts w:ascii="Palatino Linotype" w:eastAsia="Palatino Linotype" w:hAnsi="Palatino Linotype" w:cs="Palatino Linotype"/>
          <w:i/>
          <w:sz w:val="22"/>
          <w:szCs w:val="22"/>
        </w:rPr>
        <w:t xml:space="preserve"> deberán poner </w:t>
      </w:r>
      <w:r>
        <w:rPr>
          <w:rFonts w:ascii="Palatino Linotype" w:eastAsia="Palatino Linotype" w:hAnsi="Palatino Linotype" w:cs="Palatino Linotype"/>
          <w:b/>
          <w:i/>
          <w:sz w:val="22"/>
          <w:szCs w:val="22"/>
        </w:rPr>
        <w:t>a disposición del público y mantener actualizada y accesible</w:t>
      </w:r>
      <w:r>
        <w:rPr>
          <w:rFonts w:ascii="Palatino Linotype" w:eastAsia="Palatino Linotype" w:hAnsi="Palatino Linotype" w:cs="Palatino Linotype"/>
          <w:i/>
          <w:sz w:val="22"/>
          <w:szCs w:val="22"/>
        </w:rPr>
        <w:t xml:space="preserve">, la siguiente </w:t>
      </w:r>
      <w:r>
        <w:rPr>
          <w:rFonts w:ascii="Palatino Linotype" w:eastAsia="Palatino Linotype" w:hAnsi="Palatino Linotype" w:cs="Palatino Linotype"/>
          <w:b/>
          <w:i/>
          <w:sz w:val="22"/>
          <w:szCs w:val="22"/>
        </w:rPr>
        <w:t>información de los sindicatos que reciban recursos públicos o ejerzan actos de autoridad:</w:t>
      </w:r>
    </w:p>
    <w:p w:rsidR="008107F7" w:rsidRDefault="008F5C70">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107F7" w:rsidRDefault="008F5C70">
      <w:pPr>
        <w:spacing w:before="120" w:after="12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contratos colectivos, incluyendo el tabulador, convenios y las condiciones generales de trabajo; y</w:t>
      </w:r>
    </w:p>
    <w:p w:rsidR="008107F7" w:rsidRDefault="008F5C70">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107F7" w:rsidRDefault="008F5C70">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102.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sindicatos que reciban y ejerzan recursos públicos deberán mantener actualizada y accesible, de forma impresa para consulta directa y en los respectivos sitios de Internet,</w:t>
      </w:r>
      <w:r>
        <w:rPr>
          <w:rFonts w:ascii="Palatino Linotype" w:eastAsia="Palatino Linotype" w:hAnsi="Palatino Linotype" w:cs="Palatino Linotype"/>
          <w:i/>
          <w:sz w:val="22"/>
          <w:szCs w:val="22"/>
        </w:rPr>
        <w:t xml:space="preserve"> la información aplicable de la información de las obligaciones de transparencia a que se refiere el Capítulo II de este Título de esta Ley, la señalada en el artículo anterior y la siguiente:</w:t>
      </w:r>
    </w:p>
    <w:p w:rsidR="008107F7" w:rsidRDefault="008F5C70">
      <w:pPr>
        <w:spacing w:before="120" w:after="12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Contratos y convenios entre sindicatos y autoridades;”</w:t>
      </w:r>
    </w:p>
    <w:p w:rsidR="008107F7" w:rsidRDefault="008F5C7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a consideración de este Organismo Garante, se colmó con parte de la solicitud de información con la entrega del Convenio de Prestaciones de Ley y Colaterales 2021, con el H. Ayuntamiento de Tianguistenco y el Sindicato Único de Trabajadores de los Municipios e Instituciones Descentralizadas del Estado de México, pues se trata de un documento que por su naturaleza muestra derechos de los servidores públicos sindicalizados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además es un medio por el cual la ciudadanía permite conocer las prerrogativas que les son otorgados a los servidores públicos sindicalizados del </w:t>
      </w:r>
      <w:r>
        <w:rPr>
          <w:rFonts w:ascii="Palatino Linotype" w:eastAsia="Palatino Linotype" w:hAnsi="Palatino Linotype" w:cs="Palatino Linotype"/>
          <w:b/>
        </w:rPr>
        <w:t>SUJETO OBLIGADO.</w:t>
      </w:r>
    </w:p>
    <w:p w:rsidR="008107F7" w:rsidRDefault="008F5C70">
      <w:pPr>
        <w:spacing w:before="280" w:after="280" w:line="360" w:lineRule="auto"/>
        <w:jc w:val="both"/>
        <w:rPr>
          <w:rFonts w:ascii="Palatino Linotype" w:eastAsia="Palatino Linotype" w:hAnsi="Palatino Linotype" w:cs="Palatino Linotype"/>
          <w:highlight w:val="green"/>
        </w:rPr>
      </w:pPr>
      <w:r>
        <w:rPr>
          <w:rFonts w:ascii="Palatino Linotype" w:eastAsia="Palatino Linotype" w:hAnsi="Palatino Linotype" w:cs="Palatino Linotype"/>
        </w:rPr>
        <w:lastRenderedPageBreak/>
        <w:t xml:space="preserve">Sin embargo, no fue proporcionada la información completa por el </w:t>
      </w:r>
      <w:r>
        <w:rPr>
          <w:rFonts w:ascii="Palatino Linotype" w:eastAsia="Palatino Linotype" w:hAnsi="Palatino Linotype" w:cs="Palatino Linotype"/>
          <w:b/>
        </w:rPr>
        <w:t>SUJETO OBLIGADO</w:t>
      </w:r>
      <w:r>
        <w:rPr>
          <w:rFonts w:ascii="Palatino Linotype" w:eastAsia="Palatino Linotype" w:hAnsi="Palatino Linotype" w:cs="Palatino Linotype"/>
        </w:rPr>
        <w:t>, ya que omitió hacer entrega de los convenios en su caso celebrados en los años 2016, 2017, 2018, 2019 y 2020 que si bien, la</w:t>
      </w:r>
      <w:r>
        <w:t xml:space="preserve"> </w:t>
      </w:r>
      <w:r>
        <w:rPr>
          <w:rFonts w:ascii="Palatino Linotype" w:eastAsia="Palatino Linotype" w:hAnsi="Palatino Linotype" w:cs="Palatino Linotype"/>
        </w:rPr>
        <w:t>Servidora Pública Habilitada de la Tesorería Municipal, refirió que: “</w:t>
      </w:r>
      <w:r>
        <w:rPr>
          <w:rFonts w:ascii="Palatino Linotype" w:eastAsia="Palatino Linotype" w:hAnsi="Palatino Linotype" w:cs="Palatino Linotype"/>
          <w:i/>
        </w:rPr>
        <w:t xml:space="preserve">Este órgano una vez realizada una búsqueda exhaustiva y razonable de la información solicitada dentro de sus archivos, hace de su conocimiento que conforme al ejercicio de las funciones que lleva a cabo esta Tesorería, </w:t>
      </w:r>
      <w:r>
        <w:rPr>
          <w:rFonts w:ascii="Palatino Linotype" w:eastAsia="Palatino Linotype" w:hAnsi="Palatino Linotype" w:cs="Palatino Linotype"/>
          <w:b/>
          <w:i/>
          <w:u w:val="single"/>
        </w:rPr>
        <w:t>no se han generado ningún tipo de información la cual se pueda proporcionar hasta la fecha de hoy. …”</w:t>
      </w:r>
      <w:r>
        <w:rPr>
          <w:rFonts w:ascii="Palatino Linotype" w:eastAsia="Palatino Linotype" w:hAnsi="Palatino Linotype" w:cs="Palatino Linotype"/>
          <w:i/>
        </w:rPr>
        <w:t xml:space="preserve"> (Si</w:t>
      </w:r>
      <w:r>
        <w:rPr>
          <w:rFonts w:ascii="Palatino Linotype" w:eastAsia="Palatino Linotype" w:hAnsi="Palatino Linotype" w:cs="Palatino Linotype"/>
        </w:rPr>
        <w:t>c)</w:t>
      </w:r>
    </w:p>
    <w:p w:rsidR="008107F7" w:rsidRDefault="008F5C7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otro lado, no escapa de la óptica de este Organismo Garante, que si bien la respuesta fue proporcionada por la Tesorería Municipal, de conformidad con lo dispuesto en el Bando Municipal 2021, para el Municipio de Tianguistenco, como se advierte a continuación:</w:t>
      </w:r>
    </w:p>
    <w:p w:rsidR="008107F7" w:rsidRDefault="008107F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8107F7" w:rsidRDefault="008F5C70">
      <w:pPr>
        <w:pBdr>
          <w:top w:val="nil"/>
          <w:left w:val="nil"/>
          <w:bottom w:val="nil"/>
          <w:right w:val="nil"/>
          <w:between w:val="nil"/>
        </w:pBdr>
        <w:tabs>
          <w:tab w:val="left" w:pos="1134"/>
        </w:tabs>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63. La Tesorería Municipal </w:t>
      </w:r>
      <w:r>
        <w:rPr>
          <w:rFonts w:ascii="Palatino Linotype" w:eastAsia="Palatino Linotype" w:hAnsi="Palatino Linotype" w:cs="Palatino Linotype"/>
          <w:b/>
          <w:i/>
          <w:sz w:val="22"/>
          <w:szCs w:val="22"/>
        </w:rPr>
        <w:t>es el órgano encargado de la recaudación de los ingresos municipales y responsable de realizar las erogaciones que haga el Ayuntamiento,</w:t>
      </w:r>
      <w:r>
        <w:rPr>
          <w:rFonts w:ascii="Palatino Linotype" w:eastAsia="Palatino Linotype" w:hAnsi="Palatino Linotype" w:cs="Palatino Linotype"/>
          <w:i/>
          <w:sz w:val="22"/>
          <w:szCs w:val="22"/>
        </w:rPr>
        <w:t xml:space="preserve"> teniendo como funciones de forma enunciativa y no limitativa, las siguientes:</w:t>
      </w:r>
    </w:p>
    <w:p w:rsidR="008107F7" w:rsidRDefault="008107F7">
      <w:pPr>
        <w:pBdr>
          <w:top w:val="nil"/>
          <w:left w:val="nil"/>
          <w:bottom w:val="nil"/>
          <w:right w:val="nil"/>
          <w:between w:val="nil"/>
        </w:pBdr>
        <w:tabs>
          <w:tab w:val="left" w:pos="1134"/>
        </w:tabs>
        <w:spacing w:line="360" w:lineRule="auto"/>
        <w:ind w:left="1134" w:right="900"/>
        <w:jc w:val="both"/>
        <w:rPr>
          <w:rFonts w:ascii="Palatino Linotype" w:eastAsia="Palatino Linotype" w:hAnsi="Palatino Linotype" w:cs="Palatino Linotype"/>
          <w:i/>
          <w:sz w:val="22"/>
          <w:szCs w:val="22"/>
        </w:rPr>
      </w:pPr>
    </w:p>
    <w:p w:rsidR="008107F7" w:rsidRDefault="008F5C70">
      <w:pPr>
        <w:pBdr>
          <w:top w:val="nil"/>
          <w:left w:val="nil"/>
          <w:bottom w:val="nil"/>
          <w:right w:val="nil"/>
          <w:between w:val="nil"/>
        </w:pBdr>
        <w:tabs>
          <w:tab w:val="left" w:pos="1134"/>
        </w:tabs>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Proponer la política de recaudación, fiscalización y cobranza;</w:t>
      </w:r>
    </w:p>
    <w:p w:rsidR="008107F7" w:rsidRDefault="008F5C70">
      <w:pPr>
        <w:pBdr>
          <w:top w:val="nil"/>
          <w:left w:val="nil"/>
          <w:bottom w:val="nil"/>
          <w:right w:val="nil"/>
          <w:between w:val="nil"/>
        </w:pBdr>
        <w:tabs>
          <w:tab w:val="left" w:pos="1134"/>
        </w:tabs>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Diseñar y aprobar las formas oficiales de manifestaciones, avisos y declaraciones, y demás documentos requeridos;</w:t>
      </w:r>
    </w:p>
    <w:p w:rsidR="008107F7" w:rsidRDefault="008F5C70">
      <w:pPr>
        <w:pBdr>
          <w:top w:val="nil"/>
          <w:left w:val="nil"/>
          <w:bottom w:val="nil"/>
          <w:right w:val="nil"/>
          <w:between w:val="nil"/>
        </w:pBdr>
        <w:tabs>
          <w:tab w:val="left" w:pos="1134"/>
        </w:tabs>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w:t>
      </w:r>
      <w:r>
        <w:rPr>
          <w:rFonts w:ascii="Palatino Linotype" w:eastAsia="Palatino Linotype" w:hAnsi="Palatino Linotype" w:cs="Palatino Linotype"/>
          <w:b/>
          <w:i/>
          <w:sz w:val="22"/>
          <w:szCs w:val="22"/>
        </w:rPr>
        <w:t>Participar en la formulación de Convenios Fiscales y ejercer las atribuciones que le correspondan en el ámbito de su competencia</w:t>
      </w:r>
      <w:r>
        <w:rPr>
          <w:rFonts w:ascii="Palatino Linotype" w:eastAsia="Palatino Linotype" w:hAnsi="Palatino Linotype" w:cs="Palatino Linotype"/>
          <w:i/>
          <w:sz w:val="22"/>
          <w:szCs w:val="22"/>
        </w:rPr>
        <w:t>;</w:t>
      </w:r>
    </w:p>
    <w:p w:rsidR="008107F7" w:rsidRDefault="008F5C70">
      <w:pPr>
        <w:pBdr>
          <w:top w:val="nil"/>
          <w:left w:val="nil"/>
          <w:bottom w:val="nil"/>
          <w:right w:val="nil"/>
          <w:between w:val="nil"/>
        </w:pBdr>
        <w:tabs>
          <w:tab w:val="left" w:pos="1134"/>
        </w:tabs>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Recaudar y administrar los ingresos que se deriven de la suscripción de convenios, acuerdos o la emisión de declaratorias de coordinación;</w:t>
      </w:r>
    </w:p>
    <w:p w:rsidR="008107F7" w:rsidRDefault="008F5C70">
      <w:pPr>
        <w:pBdr>
          <w:top w:val="nil"/>
          <w:left w:val="nil"/>
          <w:bottom w:val="nil"/>
          <w:right w:val="nil"/>
          <w:between w:val="nil"/>
        </w:pBdr>
        <w:tabs>
          <w:tab w:val="left" w:pos="1134"/>
        </w:tabs>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V. Las relativas a las transferencias otorgadas a favor del Municipio en el marco del Sistema Nacional o Estatal de Coordinación Fiscal, o los que reciba por cualquier otro concepto; así como el importe de sanciones por infracciones impuestas por las autoridades competentes, por la inobservancia de las diversas disposiciones y ordenamientos legales, constituyendo los créditos fiscales correspondientes.</w:t>
      </w:r>
    </w:p>
    <w:p w:rsidR="008107F7" w:rsidRDefault="008F5C70">
      <w:pPr>
        <w:pBdr>
          <w:top w:val="nil"/>
          <w:left w:val="nil"/>
          <w:bottom w:val="nil"/>
          <w:right w:val="nil"/>
          <w:between w:val="nil"/>
        </w:pBdr>
        <w:tabs>
          <w:tab w:val="left" w:pos="1134"/>
        </w:tabs>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Determinar, liquidar, recaudar, fiscalizar y administrar las contribuciones en los términos de los ordenamientos jurídicos aplicables y en su caso, aplicar el procedimiento administrativo de ejecución en los términos de las disposiciones aplicables;</w:t>
      </w:r>
    </w:p>
    <w:p w:rsidR="008107F7" w:rsidRDefault="008F5C70">
      <w:pPr>
        <w:pBdr>
          <w:top w:val="nil"/>
          <w:left w:val="nil"/>
          <w:bottom w:val="nil"/>
          <w:right w:val="nil"/>
          <w:between w:val="nil"/>
        </w:pBdr>
        <w:tabs>
          <w:tab w:val="left" w:pos="1134"/>
        </w:tabs>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Llevar el registro contable, financiero y administrativo de los ingresos, egresos e inventarios de bienes muebles e inmuebles; y</w:t>
      </w:r>
    </w:p>
    <w:p w:rsidR="008107F7" w:rsidRDefault="008F5C70">
      <w:pPr>
        <w:pBdr>
          <w:top w:val="nil"/>
          <w:left w:val="nil"/>
          <w:bottom w:val="nil"/>
          <w:right w:val="nil"/>
          <w:between w:val="nil"/>
        </w:pBdr>
        <w:tabs>
          <w:tab w:val="left" w:pos="1134"/>
        </w:tabs>
        <w:spacing w:line="360"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VIII. Las demás funciones que le sean reconocidas por las leyes federales y estatales.</w:t>
      </w:r>
      <w:r>
        <w:rPr>
          <w:rFonts w:ascii="Palatino Linotype" w:eastAsia="Palatino Linotype" w:hAnsi="Palatino Linotype" w:cs="Palatino Linotype"/>
          <w:b/>
          <w:i/>
          <w:sz w:val="22"/>
          <w:szCs w:val="22"/>
        </w:rPr>
        <w:t xml:space="preserve">; </w:t>
      </w:r>
    </w:p>
    <w:p w:rsidR="008107F7" w:rsidRDefault="008F5C70">
      <w:pPr>
        <w:pBdr>
          <w:top w:val="nil"/>
          <w:left w:val="nil"/>
          <w:bottom w:val="nil"/>
          <w:right w:val="nil"/>
          <w:between w:val="nil"/>
        </w:pBdr>
        <w:tabs>
          <w:tab w:val="left" w:pos="1134"/>
        </w:tabs>
        <w:spacing w:line="360"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8107F7" w:rsidRDefault="008F5C70">
      <w:pPr>
        <w:tabs>
          <w:tab w:val="left" w:pos="0"/>
        </w:tabs>
        <w:spacing w:after="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antes vertidos,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área de Tesorería Municipal conoce de los Convenios de Condiciones de Trabajo celebrados con el SUTEYM., sin embargo existen otras áreas del Sujeto Obligado que pudieran conocer de la información solicitada, tal como se establece en el Manual de Organización de la Dirección de Administración, publicado en noviembre de dos mil diecinueve, mismo que señala lo siguiente:</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“DIRECCIÓN DE ADMINISTRACIÓN </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JEFATURA DE RECURSOS HUMANOS </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Planear, organizar, dirigir y controlar todo lo concerniente a la administración de personal: la selección, contratación, prestaciones y </w:t>
      </w:r>
      <w:r>
        <w:rPr>
          <w:rFonts w:ascii="Palatino Linotype" w:eastAsia="Palatino Linotype" w:hAnsi="Palatino Linotype" w:cs="Palatino Linotype"/>
          <w:i/>
          <w:sz w:val="22"/>
          <w:szCs w:val="22"/>
        </w:rPr>
        <w:lastRenderedPageBreak/>
        <w:t xml:space="preserve">servicios, capacitación, control de registro de asistencia y nómina de los servidores públicos del Ayuntamiento. </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w:t>
      </w:r>
      <w:r>
        <w:rPr>
          <w:rFonts w:ascii="Palatino Linotype" w:eastAsia="Palatino Linotype" w:hAnsi="Palatino Linotype" w:cs="Palatino Linotype"/>
          <w:i/>
          <w:sz w:val="22"/>
          <w:szCs w:val="22"/>
        </w:rPr>
        <w:tab/>
        <w:t>Diseña, establece, coordina programas de trabajo del área.</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w:t>
      </w:r>
      <w:r>
        <w:rPr>
          <w:rFonts w:ascii="Palatino Linotype" w:eastAsia="Palatino Linotype" w:hAnsi="Palatino Linotype" w:cs="Palatino Linotype"/>
          <w:i/>
          <w:sz w:val="22"/>
          <w:szCs w:val="22"/>
        </w:rPr>
        <w:tab/>
        <w:t>Vigilar el cumplimiento de los lineamientos, políticas y procedimientos en materia de administración de personal con la finalidad de lograr el correcto funcionamiento de la Jefatura de Recursos Humanos.</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w:t>
      </w:r>
      <w:r>
        <w:rPr>
          <w:rFonts w:ascii="Palatino Linotype" w:eastAsia="Palatino Linotype" w:hAnsi="Palatino Linotype" w:cs="Palatino Linotype"/>
          <w:i/>
          <w:sz w:val="22"/>
          <w:szCs w:val="22"/>
        </w:rPr>
        <w:tab/>
        <w:t>Promover y coordinar la formación continua a través de la capacitación a los servidores públicos.</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w:t>
      </w:r>
      <w:r>
        <w:rPr>
          <w:rFonts w:ascii="Palatino Linotype" w:eastAsia="Palatino Linotype" w:hAnsi="Palatino Linotype" w:cs="Palatino Linotype"/>
          <w:i/>
          <w:sz w:val="22"/>
          <w:szCs w:val="22"/>
        </w:rPr>
        <w:tab/>
        <w:t>Asegurar que las dependencias administrativas del Ayuntamiento cuenten con los recursos humanos idóneos, para el buen funcionamiento.</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5.</w:t>
      </w:r>
      <w:r>
        <w:rPr>
          <w:rFonts w:ascii="Palatino Linotype" w:eastAsia="Palatino Linotype" w:hAnsi="Palatino Linotype" w:cs="Palatino Linotype"/>
          <w:i/>
          <w:sz w:val="22"/>
          <w:szCs w:val="22"/>
        </w:rPr>
        <w:tab/>
        <w:t>Vigila que el personal del Ayuntamiento cumpla con las funciones generales y especificas del puesto que desempeña.</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6.</w:t>
      </w:r>
      <w:r>
        <w:rPr>
          <w:rFonts w:ascii="Palatino Linotype" w:eastAsia="Palatino Linotype" w:hAnsi="Palatino Linotype" w:cs="Palatino Linotype"/>
          <w:i/>
          <w:sz w:val="22"/>
          <w:szCs w:val="22"/>
        </w:rPr>
        <w:tab/>
      </w:r>
      <w:r>
        <w:rPr>
          <w:rFonts w:ascii="Palatino Linotype" w:eastAsia="Palatino Linotype" w:hAnsi="Palatino Linotype" w:cs="Palatino Linotype"/>
          <w:b/>
          <w:i/>
          <w:sz w:val="22"/>
          <w:szCs w:val="22"/>
        </w:rPr>
        <w:t>Respetar y hace cumplir las condiciones generales de trabajo de los servidores públicos con apego a la ley, así como, realiza los trámites del personal sindicalizado, en acuerdo al convenio celebrado entre el Ayuntamiento y el SUTEYM.</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7.</w:t>
      </w:r>
      <w:r>
        <w:rPr>
          <w:rFonts w:ascii="Palatino Linotype" w:eastAsia="Palatino Linotype" w:hAnsi="Palatino Linotype" w:cs="Palatino Linotype"/>
          <w:i/>
          <w:sz w:val="22"/>
          <w:szCs w:val="22"/>
        </w:rPr>
        <w:tab/>
        <w:t>Recibe las propuestas de los jefes inmediatos según sea el caso de los servidores públicos y da solución para un adecuado ambiente laboral.</w:t>
      </w:r>
    </w:p>
    <w:p w:rsidR="008107F7" w:rsidRDefault="008F5C70">
      <w:pPr>
        <w:tabs>
          <w:tab w:val="left" w:pos="1134"/>
        </w:tabs>
        <w:spacing w:after="8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8.</w:t>
      </w:r>
      <w:r>
        <w:rPr>
          <w:rFonts w:ascii="Palatino Linotype" w:eastAsia="Palatino Linotype" w:hAnsi="Palatino Linotype" w:cs="Palatino Linotype"/>
          <w:i/>
          <w:sz w:val="22"/>
          <w:szCs w:val="22"/>
        </w:rPr>
        <w:tab/>
        <w:t>Reportar puntualmente cada quincena los movimientos de nómina, así como las incidencias presentadas a la tesorería, para que el pago de los servidores públicos sea puntual sin contra tiempo.”</w:t>
      </w:r>
    </w:p>
    <w:p w:rsidR="008107F7" w:rsidRDefault="008107F7">
      <w:pPr>
        <w:tabs>
          <w:tab w:val="left" w:pos="0"/>
        </w:tabs>
        <w:spacing w:after="80" w:line="360" w:lineRule="auto"/>
        <w:ind w:right="49"/>
        <w:jc w:val="both"/>
        <w:rPr>
          <w:rFonts w:ascii="Palatino Linotype" w:eastAsia="Palatino Linotype" w:hAnsi="Palatino Linotype" w:cs="Palatino Linotype"/>
        </w:rPr>
      </w:pPr>
    </w:p>
    <w:p w:rsidR="008107F7" w:rsidRDefault="008F5C70">
      <w:pPr>
        <w:tabs>
          <w:tab w:val="left" w:pos="0"/>
        </w:tabs>
        <w:spacing w:after="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de la consulta realizada por </w:t>
      </w:r>
      <w:r w:rsidR="003D6730">
        <w:rPr>
          <w:rFonts w:ascii="Palatino Linotype" w:eastAsia="Palatino Linotype" w:hAnsi="Palatino Linotype" w:cs="Palatino Linotype"/>
        </w:rPr>
        <w:t>este Instituto, se localizó un</w:t>
      </w:r>
      <w:r>
        <w:rPr>
          <w:rFonts w:ascii="Palatino Linotype" w:eastAsia="Palatino Linotype" w:hAnsi="Palatino Linotype" w:cs="Palatino Linotype"/>
        </w:rPr>
        <w:t xml:space="preserve"> artículo periodístico publicado el dieciséis de mayo de dos mil dieciséis, que da cuenta de  la firma del convenio de prestaciones del 2016, en la que participaron el Secretario General del SUTEYM y el presidente municipal de Tianguistenco, tal como se advierte a continuación:</w:t>
      </w:r>
    </w:p>
    <w:p w:rsidR="008107F7" w:rsidRDefault="00A801F3">
      <w:pPr>
        <w:tabs>
          <w:tab w:val="left" w:pos="0"/>
        </w:tabs>
        <w:spacing w:after="80" w:line="360" w:lineRule="auto"/>
        <w:ind w:right="49"/>
        <w:jc w:val="both"/>
        <w:rPr>
          <w:rFonts w:ascii="Palatino Linotype" w:eastAsia="Palatino Linotype" w:hAnsi="Palatino Linotype" w:cs="Palatino Linotype"/>
        </w:rPr>
      </w:pPr>
      <w:hyperlink r:id="rId11">
        <w:r w:rsidR="008F5C70">
          <w:rPr>
            <w:rFonts w:ascii="Palatino Linotype" w:eastAsia="Palatino Linotype" w:hAnsi="Palatino Linotype" w:cs="Palatino Linotype"/>
            <w:color w:val="0000FF"/>
            <w:u w:val="single"/>
          </w:rPr>
          <w:t>https://apocaliptic.com/informacion-destacada/2016/05/17/suteym-firma-convenio-de-prestaciones-2016-con-tianguistenco-y-rayon/</w:t>
        </w:r>
      </w:hyperlink>
      <w:r w:rsidR="008F5C70">
        <w:rPr>
          <w:rFonts w:ascii="Palatino Linotype" w:eastAsia="Palatino Linotype" w:hAnsi="Palatino Linotype" w:cs="Palatino Linotype"/>
        </w:rPr>
        <w:t xml:space="preserve"> </w:t>
      </w:r>
    </w:p>
    <w:p w:rsidR="008107F7" w:rsidRDefault="008F5C70">
      <w:pPr>
        <w:tabs>
          <w:tab w:val="left" w:pos="0"/>
        </w:tabs>
        <w:spacing w:after="80" w:line="360" w:lineRule="auto"/>
        <w:ind w:right="49"/>
        <w:jc w:val="both"/>
        <w:rPr>
          <w:rFonts w:ascii="Palatino Linotype" w:eastAsia="Palatino Linotype" w:hAnsi="Palatino Linotype" w:cs="Palatino Linotype"/>
        </w:rPr>
      </w:pPr>
      <w:r>
        <w:rPr>
          <w:noProof/>
          <w:lang w:val="es-MX"/>
        </w:rPr>
        <w:drawing>
          <wp:inline distT="0" distB="0" distL="0" distR="0">
            <wp:extent cx="5615723" cy="5913903"/>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8866" t="15085" r="22775" b="13097"/>
                    <a:stretch>
                      <a:fillRect/>
                    </a:stretch>
                  </pic:blipFill>
                  <pic:spPr>
                    <a:xfrm>
                      <a:off x="0" y="0"/>
                      <a:ext cx="5615723" cy="5913903"/>
                    </a:xfrm>
                    <a:prstGeom prst="rect">
                      <a:avLst/>
                    </a:prstGeom>
                    <a:ln/>
                  </pic:spPr>
                </pic:pic>
              </a:graphicData>
            </a:graphic>
          </wp:inline>
        </w:drawing>
      </w:r>
    </w:p>
    <w:p w:rsidR="008107F7" w:rsidRDefault="008F5C70">
      <w:pPr>
        <w:tabs>
          <w:tab w:val="left" w:pos="0"/>
        </w:tabs>
        <w:spacing w:after="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Sobre lo anterior, el Sindicato Único de Trabajadores de los Poderes, Municipios  e Instituciones Descentralizadas del Estado de México, a través de su portal de </w:t>
      </w:r>
      <w:r>
        <w:rPr>
          <w:rFonts w:ascii="Palatino Linotype" w:eastAsia="Palatino Linotype" w:hAnsi="Palatino Linotype" w:cs="Palatino Linotype"/>
        </w:rPr>
        <w:lastRenderedPageBreak/>
        <w:t>Información Pública de Oficio Mexiquense IPOMEX, atendió una solicitud de información, en la cual se observa lo siguiente:</w:t>
      </w:r>
    </w:p>
    <w:p w:rsidR="008107F7" w:rsidRDefault="00A801F3">
      <w:pPr>
        <w:tabs>
          <w:tab w:val="left" w:pos="0"/>
        </w:tabs>
        <w:spacing w:after="80" w:line="360" w:lineRule="auto"/>
        <w:ind w:right="49"/>
        <w:jc w:val="both"/>
        <w:rPr>
          <w:rFonts w:ascii="Palatino Linotype" w:eastAsia="Palatino Linotype" w:hAnsi="Palatino Linotype" w:cs="Palatino Linotype"/>
        </w:rPr>
      </w:pPr>
      <w:hyperlink r:id="rId13">
        <w:r w:rsidR="008F5C70">
          <w:rPr>
            <w:rFonts w:ascii="Palatino Linotype" w:eastAsia="Palatino Linotype" w:hAnsi="Palatino Linotype" w:cs="Palatino Linotype"/>
            <w:color w:val="0000FF"/>
            <w:u w:val="single"/>
          </w:rPr>
          <w:t>https://ipomex2.ipomex.org.mx/ipo/portal/suteym/solicitudes2/2017/0/1.web</w:t>
        </w:r>
      </w:hyperlink>
    </w:p>
    <w:p w:rsidR="008107F7" w:rsidRDefault="008F5C70">
      <w:pPr>
        <w:tabs>
          <w:tab w:val="left" w:pos="0"/>
        </w:tabs>
        <w:spacing w:after="80" w:line="360" w:lineRule="auto"/>
        <w:ind w:right="49"/>
        <w:jc w:val="both"/>
        <w:rPr>
          <w:rFonts w:ascii="Palatino Linotype" w:eastAsia="Palatino Linotype" w:hAnsi="Palatino Linotype" w:cs="Palatino Linotype"/>
        </w:rPr>
      </w:pPr>
      <w:r>
        <w:rPr>
          <w:noProof/>
          <w:lang w:val="es-MX"/>
        </w:rPr>
        <w:drawing>
          <wp:inline distT="0" distB="0" distL="0" distR="0">
            <wp:extent cx="5524931" cy="3261583"/>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41971" t="27614" r="20078" b="32555"/>
                    <a:stretch>
                      <a:fillRect/>
                    </a:stretch>
                  </pic:blipFill>
                  <pic:spPr>
                    <a:xfrm>
                      <a:off x="0" y="0"/>
                      <a:ext cx="5524931" cy="3261583"/>
                    </a:xfrm>
                    <a:prstGeom prst="rect">
                      <a:avLst/>
                    </a:prstGeom>
                    <a:ln/>
                  </pic:spPr>
                </pic:pic>
              </a:graphicData>
            </a:graphic>
          </wp:inline>
        </w:drawing>
      </w:r>
    </w:p>
    <w:p w:rsidR="008107F7" w:rsidRDefault="008107F7">
      <w:pPr>
        <w:tabs>
          <w:tab w:val="left" w:pos="0"/>
        </w:tabs>
        <w:spacing w:after="80" w:line="360" w:lineRule="auto"/>
        <w:ind w:right="49"/>
        <w:jc w:val="both"/>
        <w:rPr>
          <w:rFonts w:ascii="Palatino Linotype" w:eastAsia="Palatino Linotype" w:hAnsi="Palatino Linotype" w:cs="Palatino Linotype"/>
        </w:rPr>
      </w:pPr>
    </w:p>
    <w:p w:rsidR="008107F7" w:rsidRDefault="008F5C70">
      <w:pPr>
        <w:tabs>
          <w:tab w:val="left" w:pos="0"/>
        </w:tabs>
        <w:spacing w:after="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dicha solicitud, se </w:t>
      </w:r>
      <w:r w:rsidR="003D6730">
        <w:rPr>
          <w:rFonts w:ascii="Palatino Linotype" w:eastAsia="Palatino Linotype" w:hAnsi="Palatino Linotype" w:cs="Palatino Linotype"/>
        </w:rPr>
        <w:t>advierte</w:t>
      </w:r>
      <w:r>
        <w:rPr>
          <w:rFonts w:ascii="Palatino Linotype" w:eastAsia="Palatino Linotype" w:hAnsi="Palatino Linotype" w:cs="Palatino Linotype"/>
        </w:rPr>
        <w:t xml:space="preserve">  la existencia del Convenio de Prestaciones de Ley y Colaterales del año 2016, firmado con el Ayuntamiento de Tianguistenco:</w:t>
      </w:r>
      <w:r>
        <w:rPr>
          <w:noProof/>
          <w:lang w:val="es-MX"/>
        </w:rPr>
        <w:drawing>
          <wp:inline distT="0" distB="0" distL="0" distR="0">
            <wp:extent cx="5353050" cy="5651720"/>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62627" t="20822" r="9028" b="12490"/>
                    <a:stretch>
                      <a:fillRect/>
                    </a:stretch>
                  </pic:blipFill>
                  <pic:spPr>
                    <a:xfrm>
                      <a:off x="0" y="0"/>
                      <a:ext cx="5353050" cy="5651720"/>
                    </a:xfrm>
                    <a:prstGeom prst="rect">
                      <a:avLst/>
                    </a:prstGeom>
                    <a:ln/>
                  </pic:spPr>
                </pic:pic>
              </a:graphicData>
            </a:graphic>
          </wp:inline>
        </w:drawing>
      </w:r>
    </w:p>
    <w:p w:rsidR="008107F7" w:rsidRDefault="008107F7">
      <w:pPr>
        <w:tabs>
          <w:tab w:val="left" w:pos="1134"/>
        </w:tabs>
        <w:spacing w:after="80" w:line="360" w:lineRule="auto"/>
        <w:ind w:right="49"/>
        <w:jc w:val="both"/>
        <w:rPr>
          <w:rFonts w:ascii="Palatino Linotype" w:eastAsia="Palatino Linotype" w:hAnsi="Palatino Linotype" w:cs="Palatino Linotype"/>
          <w:color w:val="444444"/>
          <w:highlight w:val="white"/>
        </w:rPr>
      </w:pPr>
    </w:p>
    <w:p w:rsidR="004E5583" w:rsidRDefault="004E5583">
      <w:pPr>
        <w:tabs>
          <w:tab w:val="left" w:pos="1134"/>
        </w:tabs>
        <w:spacing w:after="80" w:line="360" w:lineRule="auto"/>
        <w:ind w:right="49"/>
        <w:jc w:val="both"/>
        <w:rPr>
          <w:rFonts w:ascii="Palatino Linotype" w:eastAsia="Palatino Linotype" w:hAnsi="Palatino Linotype" w:cs="Palatino Linotype"/>
          <w:color w:val="444444"/>
          <w:highlight w:val="white"/>
        </w:rPr>
      </w:pPr>
    </w:p>
    <w:p w:rsidR="004E5583" w:rsidRDefault="004E5583">
      <w:pPr>
        <w:tabs>
          <w:tab w:val="left" w:pos="1134"/>
        </w:tabs>
        <w:spacing w:after="80" w:line="360" w:lineRule="auto"/>
        <w:ind w:right="49"/>
        <w:jc w:val="both"/>
        <w:rPr>
          <w:rFonts w:ascii="Palatino Linotype" w:eastAsia="Palatino Linotype" w:hAnsi="Palatino Linotype" w:cs="Palatino Linotype"/>
          <w:color w:val="444444"/>
        </w:rPr>
      </w:pPr>
      <w:r w:rsidRPr="004E5583">
        <w:rPr>
          <w:rFonts w:ascii="Palatino Linotype" w:eastAsia="Palatino Linotype" w:hAnsi="Palatino Linotype" w:cs="Palatino Linotype"/>
          <w:color w:val="444444"/>
          <w:highlight w:val="yellow"/>
        </w:rPr>
        <w:lastRenderedPageBreak/>
        <w:t xml:space="preserve">Por otra parte, se localizó evidencia del Convenio de sueldo y prestaciones con el municipio de Tianguistenco, en el año </w:t>
      </w:r>
      <w:r w:rsidR="003D6730">
        <w:rPr>
          <w:rFonts w:ascii="Palatino Linotype" w:eastAsia="Palatino Linotype" w:hAnsi="Palatino Linotype" w:cs="Palatino Linotype"/>
          <w:color w:val="444444"/>
          <w:highlight w:val="yellow"/>
        </w:rPr>
        <w:t>2020</w:t>
      </w:r>
      <w:r w:rsidRPr="004E5583">
        <w:rPr>
          <w:rFonts w:ascii="Palatino Linotype" w:eastAsia="Palatino Linotype" w:hAnsi="Palatino Linotype" w:cs="Palatino Linotype"/>
          <w:color w:val="444444"/>
          <w:highlight w:val="yellow"/>
        </w:rPr>
        <w:t xml:space="preserve">, en la liga electrónica: </w:t>
      </w:r>
      <w:hyperlink r:id="rId16" w:history="1">
        <w:r w:rsidRPr="004E5583">
          <w:rPr>
            <w:rStyle w:val="Hipervnculo"/>
            <w:rFonts w:ascii="Palatino Linotype" w:eastAsia="Palatino Linotype" w:hAnsi="Palatino Linotype" w:cs="Palatino Linotype"/>
            <w:highlight w:val="yellow"/>
          </w:rPr>
          <w:t>http://www.suteym.org.mx/LeerNoticia.php?id=5bbfb56e0473b546fd356a55f3506c8c</w:t>
        </w:r>
      </w:hyperlink>
      <w:r>
        <w:rPr>
          <w:rFonts w:ascii="Palatino Linotype" w:eastAsia="Palatino Linotype" w:hAnsi="Palatino Linotype" w:cs="Palatino Linotype"/>
          <w:color w:val="444444"/>
        </w:rPr>
        <w:t xml:space="preserve"> </w:t>
      </w:r>
    </w:p>
    <w:p w:rsidR="004E5583" w:rsidRDefault="004E5583">
      <w:pPr>
        <w:tabs>
          <w:tab w:val="left" w:pos="1134"/>
        </w:tabs>
        <w:spacing w:after="80" w:line="360" w:lineRule="auto"/>
        <w:ind w:right="49"/>
        <w:jc w:val="both"/>
        <w:rPr>
          <w:rFonts w:ascii="Palatino Linotype" w:eastAsia="Palatino Linotype" w:hAnsi="Palatino Linotype" w:cs="Palatino Linotype"/>
          <w:color w:val="444444"/>
          <w:highlight w:val="white"/>
        </w:rPr>
      </w:pPr>
      <w:r>
        <w:rPr>
          <w:noProof/>
          <w:lang w:val="es-MX"/>
        </w:rPr>
        <w:drawing>
          <wp:inline distT="0" distB="0" distL="0" distR="0" wp14:anchorId="022D5C94" wp14:editId="0AC1230E">
            <wp:extent cx="5534025" cy="4979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315" t="4224" r="1867" b="11286"/>
                    <a:stretch/>
                  </pic:blipFill>
                  <pic:spPr bwMode="auto">
                    <a:xfrm>
                      <a:off x="0" y="0"/>
                      <a:ext cx="5541549" cy="4985969"/>
                    </a:xfrm>
                    <a:prstGeom prst="rect">
                      <a:avLst/>
                    </a:prstGeom>
                    <a:ln>
                      <a:noFill/>
                    </a:ln>
                    <a:extLst>
                      <a:ext uri="{53640926-AAD7-44D8-BBD7-CCE9431645EC}">
                        <a14:shadowObscured xmlns:a14="http://schemas.microsoft.com/office/drawing/2010/main"/>
                      </a:ext>
                    </a:extLst>
                  </pic:spPr>
                </pic:pic>
              </a:graphicData>
            </a:graphic>
          </wp:inline>
        </w:drawing>
      </w:r>
    </w:p>
    <w:p w:rsidR="004E5583" w:rsidRPr="004E5583" w:rsidRDefault="004E5583" w:rsidP="004E5583">
      <w:pPr>
        <w:tabs>
          <w:tab w:val="left" w:pos="1134"/>
        </w:tabs>
        <w:spacing w:after="80" w:line="360" w:lineRule="auto"/>
        <w:ind w:right="49"/>
        <w:jc w:val="both"/>
        <w:rPr>
          <w:rFonts w:ascii="Palatino Linotype" w:eastAsia="Palatino Linotype" w:hAnsi="Palatino Linotype" w:cs="Palatino Linotype"/>
          <w:color w:val="444444"/>
          <w:highlight w:val="yellow"/>
        </w:rPr>
      </w:pPr>
      <w:r w:rsidRPr="004E5583">
        <w:rPr>
          <w:rFonts w:ascii="Palatino Linotype" w:eastAsia="Palatino Linotype" w:hAnsi="Palatino Linotype" w:cs="Palatino Linotype"/>
          <w:color w:val="444444"/>
          <w:highlight w:val="yellow"/>
        </w:rPr>
        <w:t xml:space="preserve">Por lo antes señalado, se </w:t>
      </w:r>
      <w:r w:rsidR="003D6730">
        <w:rPr>
          <w:rFonts w:ascii="Palatino Linotype" w:eastAsia="Palatino Linotype" w:hAnsi="Palatino Linotype" w:cs="Palatino Linotype"/>
          <w:color w:val="444444"/>
          <w:highlight w:val="yellow"/>
        </w:rPr>
        <w:t xml:space="preserve">confirma </w:t>
      </w:r>
      <w:r w:rsidRPr="004E5583">
        <w:rPr>
          <w:rFonts w:ascii="Palatino Linotype" w:eastAsia="Palatino Linotype" w:hAnsi="Palatino Linotype" w:cs="Palatino Linotype"/>
          <w:color w:val="444444"/>
          <w:highlight w:val="yellow"/>
        </w:rPr>
        <w:t>la existencia de los Convenios de Prestaciones de Ley y Colaterales de los años 2016 y 2020, firmados con el H. Ayuntamiento Tianguistenco.</w:t>
      </w:r>
    </w:p>
    <w:p w:rsidR="00461B50" w:rsidRPr="00461B50" w:rsidRDefault="00461B50" w:rsidP="00461B50">
      <w:pPr>
        <w:pStyle w:val="NormalWeb"/>
        <w:spacing w:before="240" w:beforeAutospacing="0" w:after="240" w:afterAutospacing="0" w:line="360" w:lineRule="auto"/>
        <w:jc w:val="both"/>
        <w:rPr>
          <w:highlight w:val="yellow"/>
        </w:rPr>
      </w:pPr>
      <w:r w:rsidRPr="00461B50">
        <w:rPr>
          <w:rFonts w:ascii="Palatino Linotype" w:hAnsi="Palatino Linotype"/>
          <w:color w:val="000000"/>
          <w:highlight w:val="yellow"/>
        </w:rPr>
        <w:lastRenderedPageBreak/>
        <w:t>Robustece lo anterior la tesis  I.7o.A.16 K (10a.) sustentada por el Séptimo Tribunal Colegiado en Materia Administrativa del Primer Circuito, cuyo rubro y texto son del tenor siguiente:</w:t>
      </w:r>
    </w:p>
    <w:p w:rsidR="006514F6" w:rsidRPr="006514F6" w:rsidRDefault="00461B50" w:rsidP="006514F6">
      <w:pPr>
        <w:pStyle w:val="NormalWeb"/>
        <w:spacing w:before="120" w:beforeAutospacing="0" w:after="120" w:afterAutospacing="0" w:line="276" w:lineRule="auto"/>
        <w:ind w:left="851" w:right="902"/>
        <w:jc w:val="both"/>
        <w:rPr>
          <w:highlight w:val="yellow"/>
        </w:rPr>
      </w:pPr>
      <w:r w:rsidRPr="00461B50">
        <w:rPr>
          <w:rFonts w:ascii="Palatino Linotype" w:hAnsi="Palatino Linotype"/>
          <w:b/>
          <w:bCs/>
          <w:i/>
          <w:iCs/>
          <w:color w:val="000000"/>
          <w:sz w:val="22"/>
          <w:szCs w:val="22"/>
          <w:highlight w:val="yellow"/>
        </w:rPr>
        <w:t xml:space="preserve">“IMPROCEDENCIA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 </w:t>
      </w:r>
      <w:r w:rsidRPr="00461B50">
        <w:rPr>
          <w:rFonts w:ascii="Palatino Linotype" w:hAnsi="Palatino Linotype"/>
          <w:i/>
          <w:iCs/>
          <w:color w:val="000000"/>
          <w:sz w:val="22"/>
          <w:szCs w:val="22"/>
          <w:highlight w:val="yellow"/>
        </w:rPr>
        <w:t xml:space="preserve">La Primera Sala de la Suprema Corte de Justicia de la Nación, en la jurisprudencia 1ª./ J. 163/2005, publicada en el Semanario Judicial de la Federación y su Gaceta, Novena Época,  Tomo XXIII, enero de 2006, página 319, del rubro: “Improcedencia del juicio de amparo. Ante la existencia de algún indicio de una causal de esa naturaleza, el juzgador debe indagar o recabar de oficio pruebas necesarias para así estar en posibilidad de determinar 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w:t>
      </w:r>
      <w:r w:rsidRPr="00461B50">
        <w:rPr>
          <w:rFonts w:ascii="Palatino Linotype" w:hAnsi="Palatino Linotype"/>
          <w:b/>
          <w:bCs/>
          <w:i/>
          <w:iCs/>
          <w:color w:val="000000"/>
          <w:sz w:val="22"/>
          <w:szCs w:val="22"/>
          <w:highlight w:val="yellow"/>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461B50">
        <w:rPr>
          <w:rFonts w:ascii="Palatino Linotype" w:hAnsi="Palatino Linotype"/>
          <w:i/>
          <w:iCs/>
          <w:color w:val="000000"/>
          <w:sz w:val="22"/>
          <w:szCs w:val="22"/>
          <w:highlight w:val="yellow"/>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w:t>
      </w:r>
      <w:r w:rsidRPr="00461B50">
        <w:rPr>
          <w:rFonts w:ascii="Palatino Linotype" w:hAnsi="Palatino Linotype"/>
          <w:i/>
          <w:iCs/>
          <w:color w:val="000000"/>
          <w:sz w:val="22"/>
          <w:szCs w:val="22"/>
          <w:highlight w:val="yellow"/>
        </w:rPr>
        <w:lastRenderedPageBreak/>
        <w:t>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rsidR="008107F7" w:rsidRDefault="008F5C7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En ese tenor, </w:t>
      </w:r>
      <w:r>
        <w:rPr>
          <w:rFonts w:ascii="Palatino Linotype" w:eastAsia="Palatino Linotype" w:hAnsi="Palatino Linotype" w:cs="Palatino Linotype"/>
        </w:rPr>
        <w:t xml:space="preserve">se observa que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omitió cumplir con lo dispuesto en el artículo 162 de la Ley de Transparencia y Acceso a la Información Pública aplicable en la entidad que establece: </w:t>
      </w:r>
    </w:p>
    <w:p w:rsidR="008107F7" w:rsidRPr="003D6730" w:rsidRDefault="008F5C70">
      <w:pPr>
        <w:pBdr>
          <w:top w:val="nil"/>
          <w:left w:val="nil"/>
          <w:bottom w:val="nil"/>
          <w:right w:val="nil"/>
          <w:between w:val="nil"/>
        </w:pBdr>
        <w:spacing w:before="240" w:after="240" w:line="276" w:lineRule="auto"/>
        <w:ind w:left="851" w:right="900"/>
        <w:jc w:val="both"/>
        <w:rPr>
          <w:b/>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162.</w:t>
      </w:r>
      <w:r>
        <w:rPr>
          <w:rFonts w:ascii="Palatino Linotype" w:eastAsia="Palatino Linotype" w:hAnsi="Palatino Linotype" w:cs="Palatino Linotype"/>
          <w:i/>
          <w:color w:val="000000"/>
        </w:rPr>
        <w:t xml:space="preserve"> Las unidades de transparencia deberán </w:t>
      </w:r>
      <w:r w:rsidRPr="003D6730">
        <w:rPr>
          <w:rFonts w:ascii="Palatino Linotype" w:eastAsia="Palatino Linotype" w:hAnsi="Palatino Linotype" w:cs="Palatino Linotype"/>
          <w:b/>
          <w:i/>
          <w:color w:val="000000"/>
        </w:rPr>
        <w:t>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107F7" w:rsidRDefault="008F5C7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444444"/>
          <w:highlight w:val="white"/>
        </w:rPr>
        <w:t xml:space="preserve">Por lo que, de </w:t>
      </w:r>
      <w:r>
        <w:rPr>
          <w:rFonts w:ascii="Palatino Linotype" w:eastAsia="Palatino Linotype" w:hAnsi="Palatino Linotype" w:cs="Palatino Linotype"/>
          <w:color w:val="000000"/>
        </w:rPr>
        <w:t>la respuesta proporcionada por el</w:t>
      </w:r>
      <w:r>
        <w:rPr>
          <w:rFonts w:ascii="Palatino Linotype" w:eastAsia="Palatino Linotype" w:hAnsi="Palatino Linotype" w:cs="Palatino Linotype"/>
          <w:b/>
          <w:color w:val="000000"/>
        </w:rPr>
        <w:t xml:space="preserve"> SUJETO OBLIGADO, </w:t>
      </w:r>
      <w:r>
        <w:rPr>
          <w:rFonts w:ascii="Palatino Linotype" w:eastAsia="Palatino Linotype" w:hAnsi="Palatino Linotype" w:cs="Palatino Linotype"/>
          <w:color w:val="000000"/>
        </w:rPr>
        <w:t>se evidencia que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no se realizó la búsqueda exhaustiva y razonable de la información en los archivos físicos y electrónicos que obran en su poder,  siendo necesario tomar en cuenta los artículos 50, 51, 53 fracciones II y IV, 59 y 162 de la Ley de la materia, mismos que a continuación se insertan:</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rPr>
        <w:t>“</w:t>
      </w:r>
      <w:r>
        <w:rPr>
          <w:rFonts w:ascii="Palatino Linotype" w:eastAsia="Palatino Linotype" w:hAnsi="Palatino Linotype" w:cs="Palatino Linotype"/>
          <w:b/>
          <w:i/>
          <w:color w:val="000000"/>
          <w:sz w:val="22"/>
          <w:szCs w:val="22"/>
        </w:rPr>
        <w:t>Artículo 50.</w:t>
      </w:r>
      <w:r>
        <w:rPr>
          <w:rFonts w:ascii="Palatino Linotype" w:eastAsia="Palatino Linotype" w:hAnsi="Palatino Linotype" w:cs="Palatino Linotype"/>
          <w:i/>
          <w:color w:val="000000"/>
          <w:sz w:val="22"/>
          <w:szCs w:val="22"/>
        </w:rPr>
        <w:t xml:space="preserve"> Los sujetos obligados contarán con un área responsable para la atención de las solicitudes de información, a la que se le denominará Unidad de Transparencia.</w:t>
      </w:r>
    </w:p>
    <w:p w:rsidR="008107F7" w:rsidRDefault="008107F7">
      <w:pPr>
        <w:spacing w:line="276" w:lineRule="auto"/>
        <w:rPr>
          <w:sz w:val="22"/>
          <w:szCs w:val="22"/>
        </w:rPr>
      </w:pP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Artículo 51.</w:t>
      </w:r>
      <w:r>
        <w:rPr>
          <w:rFonts w:ascii="Palatino Linotype" w:eastAsia="Palatino Linotype" w:hAnsi="Palatino Linotype" w:cs="Palatino Linotype"/>
          <w:i/>
          <w:color w:val="000000"/>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w:t>
      </w:r>
      <w:r>
        <w:rPr>
          <w:rFonts w:ascii="Palatino Linotype" w:eastAsia="Palatino Linotype" w:hAnsi="Palatino Linotype" w:cs="Palatino Linotype"/>
          <w:i/>
          <w:color w:val="000000"/>
          <w:sz w:val="22"/>
          <w:szCs w:val="22"/>
        </w:rPr>
        <w:lastRenderedPageBreak/>
        <w:t>necesarias para gestionar la atención a las solicitudes de información en los términos de la Ley General y la presente Ley.</w:t>
      </w:r>
    </w:p>
    <w:p w:rsidR="008107F7" w:rsidRDefault="008107F7">
      <w:pPr>
        <w:spacing w:line="276" w:lineRule="auto"/>
        <w:rPr>
          <w:sz w:val="22"/>
          <w:szCs w:val="22"/>
        </w:rPr>
      </w:pP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Artículo 53.</w:t>
      </w:r>
      <w:r>
        <w:rPr>
          <w:rFonts w:ascii="Palatino Linotype" w:eastAsia="Palatino Linotype" w:hAnsi="Palatino Linotype" w:cs="Palatino Linotype"/>
          <w:i/>
          <w:color w:val="000000"/>
          <w:sz w:val="22"/>
          <w:szCs w:val="22"/>
        </w:rPr>
        <w:t xml:space="preserve"> Las Unidades de Transparencia tendrán las siguientes funciones:</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 xml:space="preserve">II. Recibir, </w:t>
      </w:r>
      <w:r>
        <w:rPr>
          <w:rFonts w:ascii="Palatino Linotype" w:eastAsia="Palatino Linotype" w:hAnsi="Palatino Linotype" w:cs="Palatino Linotype"/>
          <w:b/>
          <w:i/>
          <w:color w:val="000000"/>
          <w:sz w:val="22"/>
          <w:szCs w:val="22"/>
          <w:u w:val="single"/>
        </w:rPr>
        <w:t>tramitar</w:t>
      </w:r>
      <w:r>
        <w:rPr>
          <w:rFonts w:ascii="Palatino Linotype" w:eastAsia="Palatino Linotype" w:hAnsi="Palatino Linotype" w:cs="Palatino Linotype"/>
          <w:b/>
          <w:i/>
          <w:color w:val="000000"/>
          <w:sz w:val="22"/>
          <w:szCs w:val="22"/>
        </w:rPr>
        <w:t xml:space="preserve"> y dar respuesta a las solicitudes de acceso a la información;</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i/>
          <w:color w:val="000000"/>
          <w:sz w:val="22"/>
          <w:szCs w:val="22"/>
        </w:rPr>
        <w:t>…</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 IV.</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Realizar</w:t>
      </w:r>
      <w:r>
        <w:rPr>
          <w:rFonts w:ascii="Palatino Linotype" w:eastAsia="Palatino Linotype" w:hAnsi="Palatino Linotype" w:cs="Palatino Linotype"/>
          <w:b/>
          <w:i/>
          <w:color w:val="000000"/>
          <w:sz w:val="22"/>
          <w:szCs w:val="22"/>
        </w:rPr>
        <w:t xml:space="preserve">, con efectividad, </w:t>
      </w:r>
      <w:r>
        <w:rPr>
          <w:rFonts w:ascii="Palatino Linotype" w:eastAsia="Palatino Linotype" w:hAnsi="Palatino Linotype" w:cs="Palatino Linotype"/>
          <w:b/>
          <w:i/>
          <w:color w:val="000000"/>
          <w:sz w:val="22"/>
          <w:szCs w:val="22"/>
          <w:u w:val="single"/>
        </w:rPr>
        <w:t>los trámites internos necesarios para la atención de las solicitudes de acceso a la información;</w:t>
      </w:r>
      <w:r>
        <w:rPr>
          <w:rFonts w:ascii="Palatino Linotype" w:eastAsia="Palatino Linotype" w:hAnsi="Palatino Linotype" w:cs="Palatino Linotype"/>
          <w:b/>
          <w:i/>
          <w:color w:val="000000"/>
          <w:sz w:val="22"/>
          <w:szCs w:val="22"/>
        </w:rPr>
        <w:t>…</w:t>
      </w:r>
    </w:p>
    <w:p w:rsidR="008107F7" w:rsidRDefault="008107F7">
      <w:pPr>
        <w:spacing w:line="276" w:lineRule="auto"/>
        <w:rPr>
          <w:sz w:val="22"/>
          <w:szCs w:val="22"/>
        </w:rPr>
      </w:pP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Artículo 59.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Los servidores públicos habilitados tendrán</w:t>
      </w:r>
      <w:r>
        <w:rPr>
          <w:rFonts w:ascii="Palatino Linotype" w:eastAsia="Palatino Linotype" w:hAnsi="Palatino Linotype" w:cs="Palatino Linotype"/>
          <w:i/>
          <w:color w:val="000000"/>
          <w:sz w:val="22"/>
          <w:szCs w:val="22"/>
        </w:rPr>
        <w:t xml:space="preserve"> las funciones siguientes:</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Localizar la información que le solicite la Unidad de Transparencia</w:t>
      </w:r>
      <w:r>
        <w:rPr>
          <w:rFonts w:ascii="Palatino Linotype" w:eastAsia="Palatino Linotype" w:hAnsi="Palatino Linotype" w:cs="Palatino Linotype"/>
          <w:i/>
          <w:color w:val="000000"/>
          <w:sz w:val="22"/>
          <w:szCs w:val="22"/>
        </w:rPr>
        <w:t>;</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Proporcionar la información que obre en los archivos y que le sea solicitada por la Unidad de Transparencia</w:t>
      </w:r>
      <w:r>
        <w:rPr>
          <w:rFonts w:ascii="Palatino Linotype" w:eastAsia="Palatino Linotype" w:hAnsi="Palatino Linotype" w:cs="Palatino Linotype"/>
          <w:i/>
          <w:color w:val="000000"/>
          <w:sz w:val="22"/>
          <w:szCs w:val="22"/>
        </w:rPr>
        <w:t>;</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Apoyar a la Unidad de Transparencia en lo que esta le solicite para el cumplimiento de sus funciones;</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IV.</w:t>
      </w:r>
      <w:r>
        <w:rPr>
          <w:rFonts w:ascii="Palatino Linotype" w:eastAsia="Palatino Linotype" w:hAnsi="Palatino Linotype" w:cs="Palatino Linotype"/>
          <w:i/>
          <w:color w:val="000000"/>
          <w:sz w:val="22"/>
          <w:szCs w:val="22"/>
        </w:rPr>
        <w:t xml:space="preserve"> Proporcionar a la Unidad de Transparencia, las modificaciones a la información pública de oficio que obre en su poder;</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V.</w:t>
      </w:r>
      <w:r>
        <w:rPr>
          <w:rFonts w:ascii="Palatino Linotype" w:eastAsia="Palatino Linotype" w:hAnsi="Palatino Linotype" w:cs="Palatino Linotype"/>
          <w:i/>
          <w:color w:val="000000"/>
          <w:sz w:val="22"/>
          <w:szCs w:val="22"/>
        </w:rPr>
        <w:t xml:space="preserve"> Integrar y presentar al responsable de la Unidad de Transparencia la propuesta de clasificación de información, la cual tendrá los fundamentos y argumentos en que se basa dicha propuesta;</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VI.</w:t>
      </w:r>
      <w:r>
        <w:rPr>
          <w:rFonts w:ascii="Palatino Linotype" w:eastAsia="Palatino Linotype" w:hAnsi="Palatino Linotype" w:cs="Palatino Linotype"/>
          <w:i/>
          <w:color w:val="000000"/>
          <w:sz w:val="22"/>
          <w:szCs w:val="22"/>
        </w:rPr>
        <w:t xml:space="preserve"> Verificar, una vez analizado el contenido de la información, que no se encuentre en los supuestos de información clasificada; y</w:t>
      </w: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VII.</w:t>
      </w:r>
      <w:r>
        <w:rPr>
          <w:rFonts w:ascii="Palatino Linotype" w:eastAsia="Palatino Linotype" w:hAnsi="Palatino Linotype" w:cs="Palatino Linotype"/>
          <w:i/>
          <w:color w:val="000000"/>
          <w:sz w:val="22"/>
          <w:szCs w:val="22"/>
        </w:rPr>
        <w:t xml:space="preserve"> Dar cuenta a la Unidad de Transparencia del vencimiento de los plazos de reserva.</w:t>
      </w:r>
    </w:p>
    <w:p w:rsidR="008107F7" w:rsidRDefault="008107F7">
      <w:pPr>
        <w:spacing w:line="276" w:lineRule="auto"/>
        <w:rPr>
          <w:sz w:val="22"/>
          <w:szCs w:val="22"/>
        </w:rPr>
      </w:pPr>
    </w:p>
    <w:p w:rsidR="008107F7" w:rsidRDefault="008F5C70">
      <w:pPr>
        <w:pBdr>
          <w:top w:val="nil"/>
          <w:left w:val="nil"/>
          <w:bottom w:val="nil"/>
          <w:right w:val="nil"/>
          <w:between w:val="nil"/>
        </w:pBdr>
        <w:spacing w:line="276" w:lineRule="auto"/>
        <w:ind w:left="851" w:right="851"/>
        <w:jc w:val="both"/>
        <w:rPr>
          <w:color w:val="000000"/>
          <w:sz w:val="22"/>
          <w:szCs w:val="22"/>
        </w:rPr>
      </w:pPr>
      <w:r>
        <w:rPr>
          <w:rFonts w:ascii="Palatino Linotype" w:eastAsia="Palatino Linotype" w:hAnsi="Palatino Linotype" w:cs="Palatino Linotype"/>
          <w:b/>
          <w:i/>
          <w:color w:val="000000"/>
          <w:sz w:val="22"/>
          <w:szCs w:val="22"/>
        </w:rPr>
        <w:t>Artículo 162.</w:t>
      </w:r>
      <w:r>
        <w:rPr>
          <w:rFonts w:ascii="Palatino Linotype" w:eastAsia="Palatino Linotype" w:hAnsi="Palatino Linotype" w:cs="Palatino Linotype"/>
          <w:i/>
          <w:color w:val="000000"/>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107F7" w:rsidRDefault="008107F7">
      <w:pPr>
        <w:spacing w:line="276" w:lineRule="auto"/>
        <w:rPr>
          <w:sz w:val="22"/>
          <w:szCs w:val="22"/>
        </w:rPr>
      </w:pPr>
    </w:p>
    <w:p w:rsidR="008107F7" w:rsidRDefault="008F5C70">
      <w:pPr>
        <w:pBdr>
          <w:top w:val="nil"/>
          <w:left w:val="nil"/>
          <w:bottom w:val="nil"/>
          <w:right w:val="nil"/>
          <w:between w:val="nil"/>
        </w:pBdr>
        <w:ind w:left="851" w:right="851"/>
        <w:jc w:val="both"/>
        <w:rPr>
          <w:color w:val="000000"/>
          <w:sz w:val="22"/>
          <w:szCs w:val="22"/>
        </w:rPr>
      </w:pPr>
      <w:r>
        <w:rPr>
          <w:rFonts w:ascii="Palatino Linotype" w:eastAsia="Palatino Linotype" w:hAnsi="Palatino Linotype" w:cs="Palatino Linotype"/>
          <w:b/>
          <w:i/>
          <w:color w:val="000000"/>
          <w:sz w:val="22"/>
          <w:szCs w:val="22"/>
        </w:rPr>
        <w:t>Énfasis añadido</w:t>
      </w:r>
    </w:p>
    <w:p w:rsidR="008107F7" w:rsidRDefault="008107F7"/>
    <w:p w:rsidR="008107F7" w:rsidRDefault="008F5C70">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lastRenderedPageBreak/>
        <w:t>De la normatividad en cita se desprende que las Unidades de Transparencia, es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8107F7" w:rsidRDefault="008107F7">
      <w:pPr>
        <w:spacing w:line="360" w:lineRule="auto"/>
      </w:pPr>
    </w:p>
    <w:p w:rsidR="008107F7" w:rsidRDefault="008F5C70">
      <w:pPr>
        <w:pBdr>
          <w:top w:val="nil"/>
          <w:left w:val="nil"/>
          <w:bottom w:val="nil"/>
          <w:right w:val="nil"/>
          <w:between w:val="nil"/>
        </w:pBdr>
        <w:spacing w:after="240" w:line="360" w:lineRule="auto"/>
        <w:jc w:val="both"/>
        <w:rPr>
          <w:color w:val="000000"/>
        </w:rPr>
      </w:pPr>
      <w:r>
        <w:rPr>
          <w:rFonts w:ascii="Palatino Linotype" w:eastAsia="Palatino Linotype" w:hAnsi="Palatino Linotype" w:cs="Palatino Linotype"/>
          <w:color w:val="000000"/>
        </w:rPr>
        <w:t xml:space="preserve">De tal manera, si bien el Titular de la Unidad de Transparencia no tiene bajo su resguardo el archivo que contiene la documentación en donde consta la información hoy solicitada, sino que puede obrar en las distintas áreas que conforman la estructura orgánica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es por ello que debe turnar la solicitud a los servidores públicos habilitados que pueden tener bajo su resguardo la misma</w:t>
      </w:r>
      <w:r>
        <w:rPr>
          <w:rFonts w:ascii="Palatino Linotype" w:eastAsia="Palatino Linotype" w:hAnsi="Palatino Linotype" w:cs="Palatino Linotype"/>
        </w:rPr>
        <w:t xml:space="preserve">, entre las que no podrá omitir a la Dirección de Administración. </w:t>
      </w:r>
    </w:p>
    <w:p w:rsidR="008107F7" w:rsidRDefault="008F5C70">
      <w:pPr>
        <w:tabs>
          <w:tab w:val="left" w:pos="1134"/>
        </w:tabs>
        <w:spacing w:after="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servidores públicos habilitados tienen como función, buscar, localizar y en su caso entregar la información solicitada 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solicitada, obteniendo de cada una de éstas los informes respectivos que sustenten la existencia, o bien, inexistencia del material documental requerido, lo que deberá hacerse del conocimiento del particular, otorgado así  certeza jurídica al peticionario.</w:t>
      </w:r>
    </w:p>
    <w:p w:rsidR="008107F7" w:rsidRDefault="008F5C70">
      <w:pPr>
        <w:tabs>
          <w:tab w:val="left" w:pos="1134"/>
        </w:tabs>
        <w:spacing w:after="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También se observa que la respuesta careció de los principios de congruencia y exhaustividad, ya que no precisa si cuenta o no con la información solicitada en cada uno de los años, </w:t>
      </w:r>
      <w:r>
        <w:rPr>
          <w:rFonts w:ascii="Palatino Linotype" w:eastAsia="Palatino Linotype" w:hAnsi="Palatino Linotype" w:cs="Palatino Linotype"/>
          <w:color w:val="000000"/>
        </w:rPr>
        <w:t>sirve como refuerzo de lo anterior, traer a colación</w:t>
      </w:r>
      <w:r>
        <w:rPr>
          <w:rFonts w:ascii="Palatino Linotype" w:eastAsia="Palatino Linotype" w:hAnsi="Palatino Linotype" w:cs="Palatino Linotype"/>
          <w:color w:val="000000"/>
          <w:u w:val="single"/>
        </w:rPr>
        <w:t xml:space="preserve"> el Criterio 02/17, </w:t>
      </w:r>
      <w:r>
        <w:rPr>
          <w:rFonts w:ascii="Palatino Linotype" w:eastAsia="Palatino Linotype" w:hAnsi="Palatino Linotype" w:cs="Palatino Linotype"/>
          <w:color w:val="000000"/>
          <w:u w:val="single"/>
        </w:rPr>
        <w:lastRenderedPageBreak/>
        <w:t xml:space="preserve">emitido por el Pleno del </w:t>
      </w:r>
      <w:r>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8107F7" w:rsidRDefault="008107F7">
      <w:pPr>
        <w:spacing w:line="360" w:lineRule="auto"/>
        <w:jc w:val="both"/>
        <w:rPr>
          <w:rFonts w:ascii="Palatino Linotype" w:eastAsia="Palatino Linotype" w:hAnsi="Palatino Linotype" w:cs="Palatino Linotype"/>
        </w:rPr>
      </w:pPr>
    </w:p>
    <w:p w:rsidR="008107F7" w:rsidRDefault="008F5C70">
      <w:pPr>
        <w:pBdr>
          <w:top w:val="nil"/>
          <w:left w:val="nil"/>
          <w:bottom w:val="nil"/>
          <w:right w:val="nil"/>
          <w:between w:val="nil"/>
        </w:pBdr>
        <w:spacing w:line="360" w:lineRule="auto"/>
        <w:ind w:left="851" w:right="851"/>
        <w:jc w:val="both"/>
        <w:rPr>
          <w:color w:val="000000"/>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8107F7" w:rsidRDefault="008F5C70">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Expuesto lo anterior, será necesario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pronuncie de manera clara y precisa respecto de si cuenta o no con la información soli</w:t>
      </w:r>
      <w:r w:rsidR="004E5583">
        <w:rPr>
          <w:rFonts w:ascii="Palatino Linotype" w:eastAsia="Palatino Linotype" w:hAnsi="Palatino Linotype" w:cs="Palatino Linotype"/>
          <w:color w:val="000000"/>
        </w:rPr>
        <w:t xml:space="preserve">citada  de los años 2017, 2018 y </w:t>
      </w:r>
      <w:r>
        <w:rPr>
          <w:rFonts w:ascii="Palatino Linotype" w:eastAsia="Palatino Linotype" w:hAnsi="Palatino Linotype" w:cs="Palatino Linotype"/>
          <w:color w:val="000000"/>
        </w:rPr>
        <w:t>2019, siendo importante mencionar que no existe certeza de que se haya generado la</w:t>
      </w:r>
      <w:r w:rsidR="003D6730">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documental</w:t>
      </w:r>
      <w:r w:rsidR="003D6730">
        <w:rPr>
          <w:rFonts w:ascii="Palatino Linotype" w:eastAsia="Palatino Linotype" w:hAnsi="Palatino Linotype" w:cs="Palatino Linotype"/>
          <w:color w:val="000000"/>
        </w:rPr>
        <w:t>es</w:t>
      </w:r>
      <w:r>
        <w:rPr>
          <w:rFonts w:ascii="Palatino Linotype" w:eastAsia="Palatino Linotype" w:hAnsi="Palatino Linotype" w:cs="Palatino Linotype"/>
          <w:color w:val="000000"/>
        </w:rPr>
        <w:t xml:space="preserve"> requerida</w:t>
      </w:r>
      <w:r w:rsidR="003D6730">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as</w:t>
      </w:r>
      <w:r>
        <w:rPr>
          <w:rFonts w:ascii="Palatino Linotype" w:eastAsia="Palatino Linotype" w:hAnsi="Palatino Linotype" w:cs="Palatino Linotype"/>
        </w:rPr>
        <w:t>imismo, de la normatividad analizada no se advierte que deba</w:t>
      </w:r>
      <w:r w:rsidR="003D6730">
        <w:rPr>
          <w:rFonts w:ascii="Palatino Linotype" w:eastAsia="Palatino Linotype" w:hAnsi="Palatino Linotype" w:cs="Palatino Linotype"/>
        </w:rPr>
        <w:t>n</w:t>
      </w:r>
      <w:r>
        <w:rPr>
          <w:rFonts w:ascii="Palatino Linotype" w:eastAsia="Palatino Linotype" w:hAnsi="Palatino Linotype" w:cs="Palatino Linotype"/>
        </w:rPr>
        <w:t xml:space="preserve"> ser generada</w:t>
      </w:r>
      <w:r w:rsidR="003D6730">
        <w:rPr>
          <w:rFonts w:ascii="Palatino Linotype" w:eastAsia="Palatino Linotype" w:hAnsi="Palatino Linotype" w:cs="Palatino Linotype"/>
        </w:rPr>
        <w:t>s</w:t>
      </w:r>
      <w:r>
        <w:rPr>
          <w:rFonts w:ascii="Palatino Linotype" w:eastAsia="Palatino Linotype" w:hAnsi="Palatino Linotype" w:cs="Palatino Linotype"/>
        </w:rPr>
        <w:t xml:space="preserve"> anualmente,</w:t>
      </w:r>
      <w:r>
        <w:rPr>
          <w:rFonts w:ascii="Palatino Linotype" w:eastAsia="Palatino Linotype" w:hAnsi="Palatino Linotype" w:cs="Palatino Linotype"/>
          <w:color w:val="000000"/>
        </w:rPr>
        <w:t xml:space="preserve"> por lo que en caso de q</w:t>
      </w:r>
      <w:r w:rsidR="003D6730">
        <w:rPr>
          <w:rFonts w:ascii="Palatino Linotype" w:eastAsia="Palatino Linotype" w:hAnsi="Palatino Linotype" w:cs="Palatino Linotype"/>
        </w:rPr>
        <w:t>ue no se haya generado la</w:t>
      </w:r>
      <w:r>
        <w:rPr>
          <w:rFonts w:ascii="Palatino Linotype" w:eastAsia="Palatino Linotype" w:hAnsi="Palatino Linotype" w:cs="Palatino Linotype"/>
          <w:color w:val="000000"/>
        </w:rPr>
        <w:t xml:space="preserve"> información peticionada, </w:t>
      </w:r>
      <w:r>
        <w:rPr>
          <w:rFonts w:ascii="Palatino Linotype" w:eastAsia="Palatino Linotype" w:hAnsi="Palatino Linotype" w:cs="Palatino Linotype"/>
        </w:rPr>
        <w:t>en alguno de los años indicados, por no haberse firmado los convenios mencionados,</w:t>
      </w:r>
      <w:r>
        <w:rPr>
          <w:rFonts w:ascii="Palatino Linotype" w:eastAsia="Palatino Linotype" w:hAnsi="Palatino Linotype" w:cs="Palatino Linotype"/>
          <w:color w:val="000000"/>
        </w:rPr>
        <w:t xml:space="preserve"> bastará que así lo </w:t>
      </w:r>
      <w:r>
        <w:rPr>
          <w:rFonts w:ascii="Palatino Linotype" w:eastAsia="Palatino Linotype" w:hAnsi="Palatino Linotype" w:cs="Palatino Linotype"/>
          <w:color w:val="000000"/>
        </w:rPr>
        <w:lastRenderedPageBreak/>
        <w:t>haga saber al peticionario</w:t>
      </w:r>
      <w:r>
        <w:rPr>
          <w:rFonts w:ascii="Palatino Linotype" w:eastAsia="Palatino Linotype" w:hAnsi="Palatino Linotype" w:cs="Palatino Linotype"/>
        </w:rPr>
        <w:t xml:space="preserve"> de manera fundada y motivada, en términos de lo dispuesto por el segundo párrafo del artículo 19 de la Ley en la materia. </w:t>
      </w:r>
    </w:p>
    <w:p w:rsidR="008107F7" w:rsidRPr="003D6730" w:rsidRDefault="008F5C7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sz w:val="22"/>
          <w:szCs w:val="22"/>
        </w:rPr>
        <w:t xml:space="preserve">Por otra parte, </w:t>
      </w:r>
      <w:r>
        <w:rPr>
          <w:rFonts w:ascii="Palatino Linotype" w:eastAsia="Palatino Linotype" w:hAnsi="Palatino Linotype" w:cs="Palatino Linotype"/>
          <w:color w:val="000000"/>
        </w:rPr>
        <w:t xml:space="preserve">es pertinente señalar que </w:t>
      </w:r>
      <w:r>
        <w:rPr>
          <w:rFonts w:ascii="Palatino Linotype" w:eastAsia="Palatino Linotype" w:hAnsi="Palatino Linotype" w:cs="Palatino Linotype"/>
        </w:rPr>
        <w:t>respecto</w:t>
      </w:r>
      <w:r>
        <w:rPr>
          <w:rFonts w:ascii="Palatino Linotype" w:eastAsia="Palatino Linotype" w:hAnsi="Palatino Linotype" w:cs="Palatino Linotype"/>
          <w:color w:val="000000"/>
        </w:rPr>
        <w:t xml:space="preserve"> a</w:t>
      </w:r>
      <w:r w:rsidR="004E5583">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l</w:t>
      </w:r>
      <w:r w:rsidR="004E5583">
        <w:rPr>
          <w:rFonts w:ascii="Palatino Linotype" w:eastAsia="Palatino Linotype" w:hAnsi="Palatino Linotype" w:cs="Palatino Linotype"/>
          <w:color w:val="000000"/>
        </w:rPr>
        <w:t>os</w:t>
      </w:r>
      <w:r>
        <w:rPr>
          <w:rFonts w:ascii="Palatino Linotype" w:eastAsia="Palatino Linotype" w:hAnsi="Palatino Linotype" w:cs="Palatino Linotype"/>
          <w:color w:val="000000"/>
        </w:rPr>
        <w:t xml:space="preserve"> Convenio</w:t>
      </w:r>
      <w:r w:rsidR="004E5583">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 Prestaciones de Ley y Colaterales </w:t>
      </w:r>
      <w:r w:rsidRPr="003D6730">
        <w:rPr>
          <w:rFonts w:ascii="Palatino Linotype" w:eastAsia="Palatino Linotype" w:hAnsi="Palatino Linotype" w:cs="Palatino Linotype"/>
          <w:color w:val="000000"/>
        </w:rPr>
        <w:t>de</w:t>
      </w:r>
      <w:r w:rsidR="004E5583" w:rsidRPr="003D6730">
        <w:rPr>
          <w:rFonts w:ascii="Palatino Linotype" w:eastAsia="Palatino Linotype" w:hAnsi="Palatino Linotype" w:cs="Palatino Linotype"/>
          <w:color w:val="000000"/>
        </w:rPr>
        <w:t xml:space="preserve"> </w:t>
      </w:r>
      <w:r w:rsidRPr="003D6730">
        <w:rPr>
          <w:rFonts w:ascii="Palatino Linotype" w:eastAsia="Palatino Linotype" w:hAnsi="Palatino Linotype" w:cs="Palatino Linotype"/>
          <w:color w:val="000000"/>
        </w:rPr>
        <w:t>l</w:t>
      </w:r>
      <w:r w:rsidR="004E5583" w:rsidRPr="003D6730">
        <w:rPr>
          <w:rFonts w:ascii="Palatino Linotype" w:eastAsia="Palatino Linotype" w:hAnsi="Palatino Linotype" w:cs="Palatino Linotype"/>
          <w:color w:val="000000"/>
        </w:rPr>
        <w:t>os</w:t>
      </w:r>
      <w:r w:rsidRPr="003D6730">
        <w:rPr>
          <w:rFonts w:ascii="Palatino Linotype" w:eastAsia="Palatino Linotype" w:hAnsi="Palatino Linotype" w:cs="Palatino Linotype"/>
          <w:color w:val="000000"/>
        </w:rPr>
        <w:t xml:space="preserve"> año</w:t>
      </w:r>
      <w:r w:rsidR="004E5583" w:rsidRPr="003D6730">
        <w:rPr>
          <w:rFonts w:ascii="Palatino Linotype" w:eastAsia="Palatino Linotype" w:hAnsi="Palatino Linotype" w:cs="Palatino Linotype"/>
          <w:color w:val="000000"/>
        </w:rPr>
        <w:t>s</w:t>
      </w:r>
      <w:r w:rsidRPr="003D6730">
        <w:rPr>
          <w:rFonts w:ascii="Palatino Linotype" w:eastAsia="Palatino Linotype" w:hAnsi="Palatino Linotype" w:cs="Palatino Linotype"/>
          <w:color w:val="000000"/>
        </w:rPr>
        <w:t xml:space="preserve"> 2016</w:t>
      </w:r>
      <w:r w:rsidR="004E5583" w:rsidRPr="003D6730">
        <w:rPr>
          <w:rFonts w:ascii="Palatino Linotype" w:eastAsia="Palatino Linotype" w:hAnsi="Palatino Linotype" w:cs="Palatino Linotype"/>
          <w:color w:val="000000"/>
        </w:rPr>
        <w:t xml:space="preserve"> y 2020</w:t>
      </w:r>
      <w:r w:rsidRPr="003D6730">
        <w:rPr>
          <w:rFonts w:ascii="Palatino Linotype" w:eastAsia="Palatino Linotype" w:hAnsi="Palatino Linotype" w:cs="Palatino Linotype"/>
          <w:color w:val="000000"/>
        </w:rPr>
        <w:t>, de</w:t>
      </w:r>
      <w:r w:rsidR="004E5583" w:rsidRPr="003D6730">
        <w:rPr>
          <w:rFonts w:ascii="Palatino Linotype" w:eastAsia="Palatino Linotype" w:hAnsi="Palatino Linotype" w:cs="Palatino Linotype"/>
          <w:color w:val="000000"/>
        </w:rPr>
        <w:t xml:space="preserve"> </w:t>
      </w:r>
      <w:r w:rsidRPr="003D6730">
        <w:rPr>
          <w:rFonts w:ascii="Palatino Linotype" w:eastAsia="Palatino Linotype" w:hAnsi="Palatino Linotype" w:cs="Palatino Linotype"/>
          <w:color w:val="000000"/>
        </w:rPr>
        <w:t>l</w:t>
      </w:r>
      <w:r w:rsidR="004E5583" w:rsidRPr="003D6730">
        <w:rPr>
          <w:rFonts w:ascii="Palatino Linotype" w:eastAsia="Palatino Linotype" w:hAnsi="Palatino Linotype" w:cs="Palatino Linotype"/>
          <w:color w:val="000000"/>
        </w:rPr>
        <w:t>os</w:t>
      </w:r>
      <w:r w:rsidRPr="003D6730">
        <w:rPr>
          <w:rFonts w:ascii="Palatino Linotype" w:eastAsia="Palatino Linotype" w:hAnsi="Palatino Linotype" w:cs="Palatino Linotype"/>
          <w:color w:val="000000"/>
        </w:rPr>
        <w:t xml:space="preserve"> cual</w:t>
      </w:r>
      <w:r w:rsidR="004E5583" w:rsidRPr="003D6730">
        <w:rPr>
          <w:rFonts w:ascii="Palatino Linotype" w:eastAsia="Palatino Linotype" w:hAnsi="Palatino Linotype" w:cs="Palatino Linotype"/>
          <w:color w:val="000000"/>
        </w:rPr>
        <w:t>es</w:t>
      </w:r>
      <w:r w:rsidRPr="003D6730">
        <w:rPr>
          <w:rFonts w:ascii="Palatino Linotype" w:eastAsia="Palatino Linotype" w:hAnsi="Palatino Linotype" w:cs="Palatino Linotype"/>
          <w:color w:val="000000"/>
        </w:rPr>
        <w:t xml:space="preserve"> se tiene la certeza de su existencia, se deberá de realizar un</w:t>
      </w:r>
      <w:r w:rsidR="003D6730" w:rsidRPr="003D6730">
        <w:rPr>
          <w:rFonts w:ascii="Palatino Linotype" w:eastAsia="Palatino Linotype" w:hAnsi="Palatino Linotype" w:cs="Palatino Linotype"/>
          <w:color w:val="000000"/>
        </w:rPr>
        <w:t>a</w:t>
      </w:r>
      <w:r w:rsidRPr="003D6730">
        <w:rPr>
          <w:rFonts w:ascii="Palatino Linotype" w:eastAsia="Palatino Linotype" w:hAnsi="Palatino Linotype" w:cs="Palatino Linotype"/>
          <w:color w:val="000000"/>
        </w:rPr>
        <w:t xml:space="preserve"> búsqueda exhaustiva</w:t>
      </w:r>
      <w:r w:rsidR="004E5583" w:rsidRPr="003D6730">
        <w:rPr>
          <w:rFonts w:ascii="Palatino Linotype" w:eastAsia="Palatino Linotype" w:hAnsi="Palatino Linotype" w:cs="Palatino Linotype"/>
          <w:color w:val="000000"/>
        </w:rPr>
        <w:t xml:space="preserve"> a fin de hacer entrega de dichos convenios</w:t>
      </w:r>
      <w:r w:rsidRPr="003D6730">
        <w:rPr>
          <w:rFonts w:ascii="Palatino Linotype" w:eastAsia="Palatino Linotype" w:hAnsi="Palatino Linotype" w:cs="Palatino Linotype"/>
          <w:color w:val="000000"/>
        </w:rPr>
        <w:t xml:space="preserve"> y  si derivado de esta, el </w:t>
      </w:r>
      <w:r w:rsidRPr="003D6730">
        <w:rPr>
          <w:rFonts w:ascii="Palatino Linotype" w:eastAsia="Palatino Linotype" w:hAnsi="Palatino Linotype" w:cs="Palatino Linotype"/>
          <w:b/>
          <w:color w:val="000000"/>
        </w:rPr>
        <w:t>SUJETO OBLIGADO</w:t>
      </w:r>
      <w:r w:rsidRPr="003D6730">
        <w:rPr>
          <w:rFonts w:ascii="Palatino Linotype" w:eastAsia="Palatino Linotype" w:hAnsi="Palatino Linotype" w:cs="Palatino Linotype"/>
          <w:color w:val="000000"/>
        </w:rPr>
        <w:t xml:space="preserve"> no llegará a localizar información en sus archivos, se deberá emitir una declaratoria formal de la inexistencia de la información, d</w:t>
      </w:r>
      <w:r w:rsidRPr="003D6730">
        <w:rPr>
          <w:rFonts w:ascii="Palatino Linotype" w:eastAsia="Palatino Linotype" w:hAnsi="Palatino Linotype" w:cs="Palatino Linotype"/>
        </w:rPr>
        <w:t>e igual forma para el caso de que se hayan firmado c</w:t>
      </w:r>
      <w:r w:rsidR="004E5583" w:rsidRPr="003D6730">
        <w:rPr>
          <w:rFonts w:ascii="Palatino Linotype" w:eastAsia="Palatino Linotype" w:hAnsi="Palatino Linotype" w:cs="Palatino Linotype"/>
        </w:rPr>
        <w:t xml:space="preserve">onvenios en los años 2017, 2018 y </w:t>
      </w:r>
      <w:r w:rsidRPr="003D6730">
        <w:rPr>
          <w:rFonts w:ascii="Palatino Linotype" w:eastAsia="Palatino Linotype" w:hAnsi="Palatino Linotype" w:cs="Palatino Linotype"/>
        </w:rPr>
        <w:t xml:space="preserve"> 2019, pero que por cualquier motivo ya no obren en sus archivos.</w:t>
      </w:r>
      <w:r>
        <w:rPr>
          <w:rFonts w:ascii="Palatino Linotype" w:eastAsia="Palatino Linotype" w:hAnsi="Palatino Linotype" w:cs="Palatino Linotype"/>
        </w:rPr>
        <w:t xml:space="preserve"> </w:t>
      </w:r>
    </w:p>
    <w:p w:rsidR="008107F7" w:rsidRDefault="008107F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8107F7" w:rsidRDefault="008F5C7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Lo anterior, </w:t>
      </w:r>
      <w:r>
        <w:rPr>
          <w:rFonts w:ascii="Palatino Linotype" w:eastAsia="Palatino Linotype" w:hAnsi="Palatino Linotype" w:cs="Palatino Linotype"/>
          <w:color w:val="000000"/>
        </w:rPr>
        <w:t>en términos de lo que señala el artículo 19, tercer párrafo, 49, fracciones II y XIII; 169 y 170 de la Ley de Transparencia y Acceso a la Información Pública del Estado de México y Municipios, que se leen como sigue:</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19.</w:t>
      </w:r>
      <w:r>
        <w:rPr>
          <w:rFonts w:ascii="Palatino Linotype" w:eastAsia="Palatino Linotype" w:hAnsi="Palatino Linotype" w:cs="Palatino Linotype"/>
          <w:i/>
          <w:color w:val="000000"/>
          <w:sz w:val="22"/>
          <w:szCs w:val="22"/>
        </w:rPr>
        <w:t xml:space="preserve"> (…)</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Si el sujeto obligado, en el ejercicio de sus atribuciones, debía generar, poseer o administrar la información, pero ésta no se encuentra, el Comité de transparencia deberá emitir un acuerdo de inexistencia</w:t>
      </w:r>
      <w:r>
        <w:rPr>
          <w:rFonts w:ascii="Palatino Linotype" w:eastAsia="Palatino Linotype" w:hAnsi="Palatino Linotype" w:cs="Palatino Linotype"/>
          <w:i/>
          <w:color w:val="000000"/>
          <w:sz w:val="22"/>
          <w:szCs w:val="22"/>
        </w:rPr>
        <w:t>, debidamente fundado y motivado, en el que detalle las razones del por qué no obra en sus archivos.”</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Los Comités de Transparencia</w:t>
      </w:r>
      <w:r>
        <w:rPr>
          <w:rFonts w:ascii="Palatino Linotype" w:eastAsia="Palatino Linotype" w:hAnsi="Palatino Linotype" w:cs="Palatino Linotype"/>
          <w:i/>
          <w:color w:val="000000"/>
          <w:sz w:val="22"/>
          <w:szCs w:val="22"/>
        </w:rPr>
        <w:t xml:space="preserve"> tendrán las siguientes </w:t>
      </w:r>
      <w:r>
        <w:rPr>
          <w:rFonts w:ascii="Palatino Linotype" w:eastAsia="Palatino Linotype" w:hAnsi="Palatino Linotype" w:cs="Palatino Linotype"/>
          <w:b/>
          <w:i/>
          <w:color w:val="000000"/>
          <w:sz w:val="22"/>
          <w:szCs w:val="22"/>
        </w:rPr>
        <w:t>atribuciones</w:t>
      </w:r>
      <w:r>
        <w:rPr>
          <w:rFonts w:ascii="Palatino Linotype" w:eastAsia="Palatino Linotype" w:hAnsi="Palatino Linotype" w:cs="Palatino Linotype"/>
          <w:i/>
          <w:color w:val="000000"/>
          <w:sz w:val="22"/>
          <w:szCs w:val="22"/>
        </w:rPr>
        <w:t>:</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 xml:space="preserve">II. </w:t>
      </w:r>
      <w:r>
        <w:rPr>
          <w:rFonts w:ascii="Palatino Linotype" w:eastAsia="Palatino Linotype" w:hAnsi="Palatino Linotype" w:cs="Palatino Linotype"/>
          <w:b/>
          <w:i/>
          <w:color w:val="000000"/>
          <w:sz w:val="22"/>
          <w:szCs w:val="22"/>
        </w:rPr>
        <w:t>Confirmar, modificar o revocar las determinaciones que en materia de</w:t>
      </w:r>
      <w:r>
        <w:rPr>
          <w:rFonts w:ascii="Palatino Linotype" w:eastAsia="Palatino Linotype" w:hAnsi="Palatino Linotype" w:cs="Palatino Linotype"/>
          <w:i/>
          <w:color w:val="000000"/>
          <w:sz w:val="22"/>
          <w:szCs w:val="22"/>
        </w:rPr>
        <w:t xml:space="preserve"> ampliación del plazo de respuesta, clasificación de la información y </w:t>
      </w:r>
      <w:r>
        <w:rPr>
          <w:rFonts w:ascii="Palatino Linotype" w:eastAsia="Palatino Linotype" w:hAnsi="Palatino Linotype" w:cs="Palatino Linotype"/>
          <w:b/>
          <w:i/>
          <w:color w:val="000000"/>
          <w:sz w:val="22"/>
          <w:szCs w:val="22"/>
        </w:rPr>
        <w:t>declaración de inexistencia</w:t>
      </w:r>
      <w:r>
        <w:rPr>
          <w:rFonts w:ascii="Palatino Linotype" w:eastAsia="Palatino Linotype" w:hAnsi="Palatino Linotype" w:cs="Palatino Linotype"/>
          <w:i/>
          <w:color w:val="000000"/>
          <w:sz w:val="22"/>
          <w:szCs w:val="22"/>
        </w:rPr>
        <w:t xml:space="preserve"> o de incompetencia realicen los titulares de las áreas de los sujetos obligados;</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lastRenderedPageBreak/>
        <w:t xml:space="preserve">XIII. </w:t>
      </w:r>
      <w:r>
        <w:rPr>
          <w:rFonts w:ascii="Palatino Linotype" w:eastAsia="Palatino Linotype" w:hAnsi="Palatino Linotype" w:cs="Palatino Linotype"/>
          <w:b/>
          <w:i/>
          <w:color w:val="000000"/>
          <w:sz w:val="22"/>
          <w:szCs w:val="22"/>
        </w:rPr>
        <w:t>Dictaminar las declaratorias de inexistencia de la información</w:t>
      </w:r>
      <w:r>
        <w:rPr>
          <w:rFonts w:ascii="Palatino Linotype" w:eastAsia="Palatino Linotype" w:hAnsi="Palatino Linotype" w:cs="Palatino Linotype"/>
          <w:i/>
          <w:color w:val="000000"/>
          <w:sz w:val="22"/>
          <w:szCs w:val="22"/>
        </w:rPr>
        <w:t xml:space="preserve"> que les remitan las unidades administrativas y resolver en consecuencia…”</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169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Cuando la información no se encuentre en los archivos del sujeto obligado, el Comité de Transparencia</w:t>
      </w:r>
      <w:r>
        <w:rPr>
          <w:rFonts w:ascii="Palatino Linotype" w:eastAsia="Palatino Linotype" w:hAnsi="Palatino Linotype" w:cs="Palatino Linotype"/>
          <w:i/>
          <w:color w:val="000000"/>
          <w:sz w:val="22"/>
          <w:szCs w:val="22"/>
        </w:rPr>
        <w:t>: </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I. Analizará el caso y tomará las medidas necesarias para localizar la información; </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 xml:space="preserve">II. </w:t>
      </w:r>
      <w:r>
        <w:rPr>
          <w:rFonts w:ascii="Palatino Linotype" w:eastAsia="Palatino Linotype" w:hAnsi="Palatino Linotype" w:cs="Palatino Linotype"/>
          <w:b/>
          <w:i/>
          <w:color w:val="000000"/>
          <w:sz w:val="22"/>
          <w:szCs w:val="22"/>
        </w:rPr>
        <w:t>Expedirá una resolución que confirme la inexistencia del documento</w:t>
      </w:r>
      <w:r>
        <w:rPr>
          <w:rFonts w:ascii="Palatino Linotype" w:eastAsia="Palatino Linotype" w:hAnsi="Palatino Linotype" w:cs="Palatino Linotype"/>
          <w:i/>
          <w:color w:val="000000"/>
          <w:sz w:val="22"/>
          <w:szCs w:val="22"/>
        </w:rPr>
        <w:t>; </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IV. Notificará al órgano interno de control o equivalente del sujeto obligado quien, en su caso, deberá iniciar el procedimiento de responsabilidad administrativa que corresponda. </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La Unidad de Transparencia deberá notificarlo al solicitante por escrito, en un plazo que no exceda de quince días hábiles contados a partir del día siguiente a la presentación de la solicitud. </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Este plazo podrá ampliarse hasta por otros siete días hábiles, siempre que existan razones para ello, debiendo notificarse por escrito al solicitante.”</w:t>
      </w:r>
    </w:p>
    <w:p w:rsidR="008107F7" w:rsidRDefault="008F5C70">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170.</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resolución del Comité de Transparencia que confirme la inexistencia de la información solicitada contendrá los elementos mínimos</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que permitan al solicitante tener la certeza de que se utilizó un criterio de búsqueda exhaustivo</w:t>
      </w:r>
      <w:r>
        <w:rPr>
          <w:rFonts w:ascii="Palatino Linotype" w:eastAsia="Palatino Linotype" w:hAnsi="Palatino Linotype" w:cs="Palatino Linotype"/>
          <w:i/>
          <w:color w:val="000000"/>
          <w:sz w:val="22"/>
          <w:szCs w:val="22"/>
        </w:rPr>
        <w:t>, además de señalar las circunstancias de tiempo, modo y lugar que generaron la existencia en cuestión y señalará al servidor público responsable de contar con la misma.”</w:t>
      </w:r>
    </w:p>
    <w:p w:rsidR="008107F7" w:rsidRDefault="008F5C7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Dicho de otro modo, deberá procederse a la emisión de una resolución que confirme la inexistencia de la información solicitada por parte del Comité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debidamente fundado y motivado en el que se detallen </w:t>
      </w:r>
      <w:r>
        <w:rPr>
          <w:rFonts w:ascii="Palatino Linotype" w:eastAsia="Palatino Linotype" w:hAnsi="Palatino Linotype" w:cs="Palatino Linotype"/>
          <w:color w:val="000000"/>
        </w:rPr>
        <w:lastRenderedPageBreak/>
        <w:t>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rsidR="008107F7" w:rsidRDefault="008F5C70">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Tiene aplicación al respecto el criterio de interpretación en el orden administrativo número 0004-11 emitido por este Instituto, cuyo contenido es del tenor literal siguiente:</w:t>
      </w:r>
    </w:p>
    <w:p w:rsidR="008107F7" w:rsidRDefault="008F5C70">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i/>
          <w:color w:val="000000"/>
          <w:sz w:val="22"/>
          <w:szCs w:val="22"/>
        </w:rPr>
        <w:t>“CRITERIO 0004-11 </w:t>
      </w:r>
    </w:p>
    <w:p w:rsidR="008107F7" w:rsidRDefault="008F5C70">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b/>
          <w:i/>
          <w:color w:val="000000"/>
          <w:sz w:val="22"/>
          <w:szCs w:val="22"/>
        </w:rPr>
        <w:t>INEXISTENCIA. DECLARATORIA DE LA. ALCANCES Y PROCEDIMIENTOS</w:t>
      </w:r>
      <w:r>
        <w:rPr>
          <w:rFonts w:ascii="Palatino Linotype" w:eastAsia="Palatino Linotype" w:hAnsi="Palatino Linotype" w:cs="Palatino Linotype"/>
          <w:i/>
          <w:color w:val="000000"/>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8107F7" w:rsidRDefault="008F5C70">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i/>
          <w:color w:val="000000"/>
          <w:sz w:val="22"/>
          <w:szCs w:val="22"/>
        </w:rPr>
        <w:lastRenderedPageBreak/>
        <w:t>Bajo el entendido de que dicha búsqueda exhaustiva permitirá dos determinaciones: </w:t>
      </w:r>
    </w:p>
    <w:p w:rsidR="008107F7" w:rsidRDefault="008F5C70">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b/>
          <w:i/>
          <w:color w:val="000000"/>
          <w:sz w:val="22"/>
          <w:szCs w:val="22"/>
        </w:rPr>
        <w:t>1ª)</w:t>
      </w:r>
      <w:r>
        <w:rPr>
          <w:rFonts w:ascii="Palatino Linotype" w:eastAsia="Palatino Linotype" w:hAnsi="Palatino Linotype" w:cs="Palatino Linotype"/>
          <w:i/>
          <w:color w:val="000000"/>
          <w:sz w:val="22"/>
          <w:szCs w:val="22"/>
        </w:rPr>
        <w:t xml:space="preserve"> Que se localice la documentación que contenga la información solicitada y de ser así la información pueda entregarse al solicitante en la forma en que se encuentra disponible, o </w:t>
      </w:r>
    </w:p>
    <w:p w:rsidR="008107F7" w:rsidRDefault="008F5C70">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b/>
          <w:i/>
          <w:color w:val="000000"/>
          <w:sz w:val="22"/>
          <w:szCs w:val="22"/>
        </w:rPr>
        <w:t>2ª)</w:t>
      </w:r>
      <w:r>
        <w:rPr>
          <w:rFonts w:ascii="Palatino Linotype" w:eastAsia="Palatino Linotype" w:hAnsi="Palatino Linotype" w:cs="Palatino Linotype"/>
          <w:i/>
          <w:color w:val="000000"/>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8107F7" w:rsidRDefault="008F5C70">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i/>
          <w:color w:val="000000"/>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8107F7" w:rsidRDefault="008F5C7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debió de haber generado, administrado o poseído la información pero en incumplimiento a la norma no lo llevo a cabo. Tal como se lee del criterio que para mayor referencia se transcribe a continuación:</w:t>
      </w:r>
    </w:p>
    <w:p w:rsidR="008107F7" w:rsidRDefault="008F5C70">
      <w:pPr>
        <w:pBdr>
          <w:top w:val="nil"/>
          <w:left w:val="nil"/>
          <w:bottom w:val="nil"/>
          <w:right w:val="nil"/>
          <w:between w:val="nil"/>
        </w:pBdr>
        <w:spacing w:before="240" w:after="240" w:line="276" w:lineRule="auto"/>
        <w:ind w:left="851" w:right="900"/>
        <w:jc w:val="both"/>
        <w:rPr>
          <w:color w:val="000000"/>
        </w:rPr>
      </w:pPr>
      <w:bookmarkStart w:id="3" w:name="_heading=h.3znysh7" w:colFirst="0" w:colLast="0"/>
      <w:bookmarkEnd w:id="3"/>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INEXISTENCIA, CONCEPTO DE, EN MATERIA DE TRANSPARENCIA</w:t>
      </w:r>
      <w:r>
        <w:rPr>
          <w:rFonts w:ascii="Palatino Linotype" w:eastAsia="Palatino Linotype" w:hAnsi="Palatino Linotype" w:cs="Palatino Linotype"/>
          <w:i/>
          <w:color w:val="000000"/>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Pr>
          <w:rFonts w:ascii="Palatino Linotype" w:eastAsia="Palatino Linotype" w:hAnsi="Palatino Linotype" w:cs="Palatino Linotype"/>
          <w:b/>
          <w:i/>
          <w:color w:val="000000"/>
          <w:sz w:val="22"/>
          <w:szCs w:val="22"/>
        </w:rPr>
        <w:t>supuestos:</w:t>
      </w:r>
      <w:r>
        <w:rPr>
          <w:rFonts w:ascii="Palatino Linotype" w:eastAsia="Palatino Linotype" w:hAnsi="Palatino Linotype" w:cs="Palatino Linotype"/>
          <w:i/>
          <w:color w:val="000000"/>
          <w:sz w:val="22"/>
          <w:szCs w:val="22"/>
        </w:rPr>
        <w:t> </w:t>
      </w:r>
    </w:p>
    <w:p w:rsidR="008107F7" w:rsidRDefault="008F5C70">
      <w:pPr>
        <w:numPr>
          <w:ilvl w:val="0"/>
          <w:numId w:val="1"/>
        </w:numPr>
        <w:pBdr>
          <w:top w:val="nil"/>
          <w:left w:val="nil"/>
          <w:bottom w:val="nil"/>
          <w:right w:val="nil"/>
          <w:between w:val="nil"/>
        </w:pBdr>
        <w:spacing w:before="240" w:line="276" w:lineRule="auto"/>
        <w:ind w:left="993"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8107F7" w:rsidRDefault="008F5C70">
      <w:pPr>
        <w:numPr>
          <w:ilvl w:val="0"/>
          <w:numId w:val="1"/>
        </w:numPr>
        <w:pBdr>
          <w:top w:val="nil"/>
          <w:left w:val="nil"/>
          <w:bottom w:val="nil"/>
          <w:right w:val="nil"/>
          <w:between w:val="nil"/>
        </w:pBdr>
        <w:spacing w:after="240" w:line="276" w:lineRule="auto"/>
        <w:ind w:left="993"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los casos en que por las atribuciones conferidas al Sujeto Obligado éste debió generar, administrar o poseer la información, pero en incumplimiento a la normatividad respectiva no llevó a cabo ninguna de esas acciones. </w:t>
      </w:r>
    </w:p>
    <w:p w:rsidR="008107F7" w:rsidRDefault="008F5C70">
      <w:pPr>
        <w:pBdr>
          <w:top w:val="nil"/>
          <w:left w:val="nil"/>
          <w:bottom w:val="nil"/>
          <w:right w:val="nil"/>
          <w:between w:val="nil"/>
        </w:pBdr>
        <w:spacing w:before="240" w:after="240" w:line="276" w:lineRule="auto"/>
        <w:ind w:left="851" w:right="900"/>
        <w:jc w:val="both"/>
        <w:rPr>
          <w:color w:val="000000"/>
        </w:rPr>
      </w:pPr>
      <w:r>
        <w:rPr>
          <w:rFonts w:ascii="Palatino Linotype" w:eastAsia="Palatino Linotype" w:hAnsi="Palatino Linotype" w:cs="Palatino Linotype"/>
          <w:i/>
          <w:color w:val="000000"/>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8107F7" w:rsidRDefault="008F5C7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tanto, la declaratoria de inexistencia no es un mero trámite por el cual de manera mecánica o simple manifieste que la información no existe en sus archivos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cuando la misma por disposición legal debería de obrar, sino que su contenido y alcance implica la responsabilidad y atribución del Comité de Transparencia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de instruir una búsqueda exhaustiva a todas y cada una de las áreas administrativas de las que se compone, que permitirá:</w:t>
      </w:r>
    </w:p>
    <w:p w:rsidR="008107F7" w:rsidRDefault="008F5C70">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 se localice la documentación que contenga la información solicitada. En este caso habrá que señalar que de acuerdo con las disposiciones transcritas, </w:t>
      </w:r>
      <w:r>
        <w:rPr>
          <w:rFonts w:ascii="Palatino Linotype" w:eastAsia="Palatino Linotype" w:hAnsi="Palatino Linotype" w:cs="Palatino Linotype"/>
          <w:color w:val="000000"/>
        </w:rPr>
        <w:lastRenderedPageBreak/>
        <w:t>la información puede obrar en sus archivos ya sea porque la genera, la administra o simplemente la posee.</w:t>
      </w:r>
    </w:p>
    <w:p w:rsidR="008107F7" w:rsidRDefault="008F5C7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actualizarse esta primera hipótesis, la información debe entregarse al </w:t>
      </w:r>
      <w:r>
        <w:rPr>
          <w:rFonts w:ascii="Palatino Linotype" w:eastAsia="Palatino Linotype" w:hAnsi="Palatino Linotype" w:cs="Palatino Linotype"/>
          <w:b/>
          <w:i/>
          <w:color w:val="000000"/>
        </w:rPr>
        <w:t xml:space="preserve">Recurrente </w:t>
      </w:r>
      <w:r>
        <w:rPr>
          <w:rFonts w:ascii="Palatino Linotype" w:eastAsia="Palatino Linotype" w:hAnsi="Palatino Linotype" w:cs="Palatino Linotype"/>
          <w:color w:val="000000"/>
        </w:rPr>
        <w:t>a través del o los documentos fuente.</w:t>
      </w:r>
    </w:p>
    <w:p w:rsidR="008107F7" w:rsidRDefault="008F5C7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no se localice documento alguno que contenga la información requerida, en este supuesto, el Comité de Transparencia deberá resolver la declaratoria de inexistencia de la información y notificarla al recurrente</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y a este Pleno.</w:t>
      </w:r>
    </w:p>
    <w:p w:rsidR="008107F7" w:rsidRDefault="008F5C70">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se ordene siempre que sea materialmente posible, que se genere o reponga la información en caso de que ésta tuviera que existir, derivado del ejercicio de sus facultades.</w:t>
      </w:r>
    </w:p>
    <w:p w:rsidR="008107F7" w:rsidRDefault="008F5C70">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8107F7" w:rsidRDefault="008107F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8107F7" w:rsidRDefault="008F5C7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así que, en atención a las consideraciones señaladas, el Pleno de este Instituto, determina dable ordenar la entrega, previa búsqueda exhaustiva y razonable, de los los convenios firmados por el Ayuntamiento de Tianguistenco y el</w:t>
      </w:r>
      <w:r w:rsidR="003D6730">
        <w:rPr>
          <w:rFonts w:ascii="Palatino Linotype" w:eastAsia="Palatino Linotype" w:hAnsi="Palatino Linotype" w:cs="Palatino Linotype"/>
        </w:rPr>
        <w:t xml:space="preserve"> SUTEYM de los años 2016, 2017,</w:t>
      </w:r>
      <w:r>
        <w:rPr>
          <w:rFonts w:ascii="Palatino Linotype" w:eastAsia="Palatino Linotype" w:hAnsi="Palatino Linotype" w:cs="Palatino Linotype"/>
        </w:rPr>
        <w:t xml:space="preserve"> 2018, 2019 y  2020.</w:t>
      </w:r>
    </w:p>
    <w:p w:rsidR="008107F7" w:rsidRDefault="008107F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8107F7" w:rsidRDefault="008F5C7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Por lo que se refiere al pronunciamiento realizado por el recurrente al momento de interponer el presente medio de impugnación, consistente en</w:t>
      </w:r>
      <w:r>
        <w:rPr>
          <w:rFonts w:ascii="Palatino Linotype" w:eastAsia="Palatino Linotype" w:hAnsi="Palatino Linotype" w:cs="Palatino Linotype"/>
          <w:color w:val="000000"/>
          <w:sz w:val="22"/>
          <w:szCs w:val="22"/>
        </w:rPr>
        <w:t>: “</w:t>
      </w:r>
      <w:r>
        <w:rPr>
          <w:rFonts w:ascii="Palatino Linotype" w:eastAsia="Palatino Linotype" w:hAnsi="Palatino Linotype" w:cs="Palatino Linotype"/>
          <w:i/>
          <w:color w:val="000000"/>
        </w:rPr>
        <w:t>exijo al órgano de control interno del INFOEM, sancione al o a los servidores públicos responsables de proporcionar la información y no lo están haciendo,”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rPr>
        <w:t xml:space="preserve">debe mencionarse que a través del ejercicio del derecho de acceso a la información pública, no es la vía para que se inicie un procedimiento administrativo de responsabilidad, motivo por el cual se dejan a salvo los derechos del recurrente para que en caso de que considere pertinente presente una queja o denuncia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tal y como lo establecen los artículos 95, 96 y 97 de la Ley de Responsabilidades Administrativas del Estado de México y Municipios.</w:t>
      </w:r>
    </w:p>
    <w:p w:rsidR="008107F7" w:rsidRDefault="008F5C70">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8107F7" w:rsidRDefault="008F5C70">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8107F7" w:rsidRDefault="008F5C7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03604/INFOEM/IP/RR/2022, </w:t>
      </w:r>
      <w:r>
        <w:rPr>
          <w:rFonts w:ascii="Palatino Linotype" w:eastAsia="Palatino Linotype" w:hAnsi="Palatino Linotype" w:cs="Palatino Linotype"/>
        </w:rPr>
        <w:t>por lo que, en términos del Considerando Cuarto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rsidR="008107F7" w:rsidRDefault="008F5C70">
      <w:pPr>
        <w:spacing w:before="240" w:after="360" w:line="360" w:lineRule="auto"/>
        <w:jc w:val="both"/>
        <w:rPr>
          <w:rFonts w:ascii="Palatino Linotype" w:eastAsia="Palatino Linotype" w:hAnsi="Palatino Linotype" w:cs="Palatino Linotype"/>
          <w:b/>
        </w:rPr>
      </w:pPr>
      <w:bookmarkStart w:id="4" w:name="_heading=h.l4wrv7yssr65" w:colFirst="0" w:colLast="0"/>
      <w:bookmarkEnd w:id="4"/>
      <w:r>
        <w:rPr>
          <w:rFonts w:ascii="Palatino Linotype" w:eastAsia="Palatino Linotype" w:hAnsi="Palatino Linotype" w:cs="Palatino Linotype"/>
          <w:b/>
          <w:highlight w:val="white"/>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esta resolución, haga entrega, vía Sistema de Acceso a la Información </w:t>
      </w:r>
      <w:r>
        <w:rPr>
          <w:rFonts w:ascii="Palatino Linotype" w:eastAsia="Palatino Linotype" w:hAnsi="Palatino Linotype" w:cs="Palatino Linotype"/>
        </w:rPr>
        <w:lastRenderedPageBreak/>
        <w:t xml:space="preserve">Mexiquense (SAIMEX), previa búsqueda exhaustiva y razonable, de la siguiente información: </w:t>
      </w:r>
    </w:p>
    <w:p w:rsidR="008107F7" w:rsidRDefault="008F5C70">
      <w:pPr>
        <w:pBdr>
          <w:top w:val="nil"/>
          <w:left w:val="nil"/>
          <w:bottom w:val="nil"/>
          <w:right w:val="nil"/>
          <w:between w:val="nil"/>
        </w:pBdr>
        <w:spacing w:before="240" w:after="360" w:line="360" w:lineRule="auto"/>
        <w:ind w:left="566" w:right="204" w:hanging="270"/>
        <w:jc w:val="both"/>
        <w:rPr>
          <w:rFonts w:ascii="Palatino Linotype" w:eastAsia="Palatino Linotype" w:hAnsi="Palatino Linotype" w:cs="Palatino Linotype"/>
          <w:b/>
          <w:color w:val="000000"/>
          <w:highlight w:val="yellow"/>
        </w:rPr>
      </w:pPr>
      <w:r>
        <w:rPr>
          <w:rFonts w:ascii="Palatino Linotype" w:eastAsia="Palatino Linotype" w:hAnsi="Palatino Linotype" w:cs="Palatino Linotype"/>
          <w:color w:val="000000"/>
        </w:rPr>
        <w:t>1. Convenios firmados por el Ayuntamiento de Tianguistenco y el SUTEYM de los</w:t>
      </w:r>
      <w:r w:rsidR="003D6730">
        <w:rPr>
          <w:rFonts w:ascii="Palatino Linotype" w:eastAsia="Palatino Linotype" w:hAnsi="Palatino Linotype" w:cs="Palatino Linotype"/>
          <w:color w:val="000000"/>
        </w:rPr>
        <w:t xml:space="preserve"> años 2016, 2017 y 2018, 2019 y</w:t>
      </w:r>
      <w:r>
        <w:rPr>
          <w:rFonts w:ascii="Palatino Linotype" w:eastAsia="Palatino Linotype" w:hAnsi="Palatino Linotype" w:cs="Palatino Linotype"/>
          <w:color w:val="000000"/>
        </w:rPr>
        <w:t xml:space="preserve"> 2020.</w:t>
      </w:r>
    </w:p>
    <w:p w:rsidR="008107F7" w:rsidRPr="00C22EF6" w:rsidRDefault="008F5C70">
      <w:pPr>
        <w:spacing w:before="240" w:after="360" w:line="276" w:lineRule="auto"/>
        <w:ind w:left="566" w:right="204"/>
        <w:jc w:val="both"/>
        <w:rPr>
          <w:rFonts w:ascii="Palatino Linotype" w:eastAsia="Palatino Linotype" w:hAnsi="Palatino Linotype" w:cs="Palatino Linotype"/>
          <w:i/>
          <w:sz w:val="22"/>
          <w:szCs w:val="22"/>
          <w:highlight w:val="yellow"/>
        </w:rPr>
      </w:pPr>
      <w:r w:rsidRPr="00C22EF6">
        <w:rPr>
          <w:rFonts w:ascii="Palatino Linotype" w:eastAsia="Palatino Linotype" w:hAnsi="Palatino Linotype" w:cs="Palatino Linotype"/>
          <w:i/>
          <w:sz w:val="22"/>
          <w:szCs w:val="22"/>
          <w:highlight w:val="yellow"/>
        </w:rPr>
        <w:t>Para el caso de que el Sujeto Obligado no cuente con la información que se ordena del año 2016</w:t>
      </w:r>
      <w:r w:rsidR="003D6730">
        <w:rPr>
          <w:rFonts w:ascii="Palatino Linotype" w:eastAsia="Palatino Linotype" w:hAnsi="Palatino Linotype" w:cs="Palatino Linotype"/>
          <w:i/>
          <w:sz w:val="22"/>
          <w:szCs w:val="22"/>
          <w:highlight w:val="yellow"/>
        </w:rPr>
        <w:t xml:space="preserve"> </w:t>
      </w:r>
      <w:r w:rsidRPr="00C22EF6">
        <w:rPr>
          <w:rFonts w:ascii="Palatino Linotype" w:eastAsia="Palatino Linotype" w:hAnsi="Palatino Linotype" w:cs="Palatino Linotype"/>
          <w:sz w:val="22"/>
          <w:szCs w:val="22"/>
          <w:highlight w:val="yellow"/>
        </w:rPr>
        <w:t xml:space="preserve"> y  2020</w:t>
      </w:r>
      <w:r w:rsidRPr="00C22EF6">
        <w:rPr>
          <w:rFonts w:ascii="Palatino Linotype" w:eastAsia="Palatino Linotype" w:hAnsi="Palatino Linotype" w:cs="Palatino Linotype"/>
          <w:i/>
          <w:sz w:val="22"/>
          <w:szCs w:val="22"/>
          <w:highlight w:val="yellow"/>
        </w:rPr>
        <w:t xml:space="preserve">  deberá emitir el Acuerdo de Inexistencia, en términos de los artículos 169 y 170 de la Ley de Transparencia y Acceso a la Información Pública del Estado de México y Municipios.</w:t>
      </w:r>
    </w:p>
    <w:p w:rsidR="008107F7" w:rsidRPr="00D534F9" w:rsidRDefault="008F5C70">
      <w:pPr>
        <w:spacing w:before="240" w:after="240" w:line="276" w:lineRule="auto"/>
        <w:ind w:left="566" w:right="204"/>
        <w:jc w:val="both"/>
        <w:rPr>
          <w:rFonts w:ascii="Palatino Linotype" w:eastAsia="Palatino Linotype" w:hAnsi="Palatino Linotype" w:cs="Palatino Linotype"/>
          <w:i/>
          <w:color w:val="222222"/>
          <w:sz w:val="22"/>
          <w:szCs w:val="22"/>
        </w:rPr>
      </w:pPr>
      <w:r w:rsidRPr="00C22EF6">
        <w:rPr>
          <w:rFonts w:ascii="Palatino Linotype" w:eastAsia="Palatino Linotype" w:hAnsi="Palatino Linotype" w:cs="Palatino Linotype"/>
          <w:i/>
          <w:sz w:val="22"/>
          <w:szCs w:val="22"/>
          <w:highlight w:val="yellow"/>
        </w:rPr>
        <w:t>En caso de que no haya generado inf</w:t>
      </w:r>
      <w:r w:rsidR="003D6730">
        <w:rPr>
          <w:rFonts w:ascii="Palatino Linotype" w:eastAsia="Palatino Linotype" w:hAnsi="Palatino Linotype" w:cs="Palatino Linotype"/>
          <w:i/>
          <w:sz w:val="22"/>
          <w:szCs w:val="22"/>
          <w:highlight w:val="yellow"/>
        </w:rPr>
        <w:t>ormación en los años 2017, 2018 y</w:t>
      </w:r>
      <w:r w:rsidRPr="00C22EF6">
        <w:rPr>
          <w:rFonts w:ascii="Palatino Linotype" w:eastAsia="Palatino Linotype" w:hAnsi="Palatino Linotype" w:cs="Palatino Linotype"/>
          <w:i/>
          <w:sz w:val="22"/>
          <w:szCs w:val="22"/>
          <w:highlight w:val="yellow"/>
        </w:rPr>
        <w:t xml:space="preserve"> 2019 </w:t>
      </w:r>
      <w:r w:rsidRPr="00C22EF6">
        <w:rPr>
          <w:rFonts w:ascii="Palatino Linotype" w:eastAsia="Palatino Linotype" w:hAnsi="Palatino Linotype" w:cs="Palatino Linotype"/>
          <w:i/>
          <w:color w:val="222222"/>
          <w:sz w:val="22"/>
          <w:szCs w:val="22"/>
          <w:highlight w:val="yellow"/>
        </w:rPr>
        <w:t>bastará con que así lo haga del conocimiento del particular de manera fundada y motivada, en té</w:t>
      </w:r>
      <w:bookmarkStart w:id="5" w:name="_GoBack"/>
      <w:bookmarkEnd w:id="5"/>
      <w:r w:rsidRPr="00C22EF6">
        <w:rPr>
          <w:rFonts w:ascii="Palatino Linotype" w:eastAsia="Palatino Linotype" w:hAnsi="Palatino Linotype" w:cs="Palatino Linotype"/>
          <w:i/>
          <w:color w:val="222222"/>
          <w:sz w:val="22"/>
          <w:szCs w:val="22"/>
          <w:highlight w:val="yellow"/>
        </w:rPr>
        <w:t>rminos de lo establecido en el segundo párrafo del artículo 19 de la Ley en la materia.</w:t>
      </w:r>
      <w:r w:rsidRPr="00D534F9">
        <w:rPr>
          <w:rFonts w:ascii="Palatino Linotype" w:eastAsia="Palatino Linotype" w:hAnsi="Palatino Linotype" w:cs="Palatino Linotype"/>
          <w:i/>
          <w:color w:val="222222"/>
          <w:sz w:val="22"/>
          <w:szCs w:val="22"/>
        </w:rPr>
        <w:t xml:space="preserve"> </w:t>
      </w:r>
    </w:p>
    <w:p w:rsidR="008107F7" w:rsidRDefault="008F5C70">
      <w:pPr>
        <w:spacing w:before="240" w:after="360" w:line="360" w:lineRule="auto"/>
        <w:ind w:right="62"/>
        <w:jc w:val="both"/>
        <w:rPr>
          <w:rFonts w:ascii="Palatino Linotype" w:eastAsia="Palatino Linotype" w:hAnsi="Palatino Linotype" w:cs="Palatino Linotype"/>
          <w:b/>
          <w:highlight w:val="yellow"/>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rsidR="008107F7" w:rsidRDefault="008F5C70">
      <w:pPr>
        <w:spacing w:before="240" w:after="240" w:line="360" w:lineRule="auto"/>
        <w:ind w:right="62"/>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107F7" w:rsidRDefault="008F5C70">
      <w:pPr>
        <w:spacing w:before="240" w:after="240" w:line="360" w:lineRule="auto"/>
        <w:jc w:val="both"/>
        <w:rPr>
          <w:rFonts w:ascii="Palatino Linotype" w:eastAsia="Palatino Linotype" w:hAnsi="Palatino Linotype" w:cs="Palatino Linotype"/>
        </w:rPr>
      </w:pPr>
      <w:bookmarkStart w:id="6" w:name="_heading=h.2et92p0" w:colFirst="0" w:colLast="0"/>
      <w:bookmarkEnd w:id="6"/>
      <w:r>
        <w:rPr>
          <w:rFonts w:ascii="Palatino Linotype" w:eastAsia="Palatino Linotype" w:hAnsi="Palatino Linotype" w:cs="Palatino Linotype"/>
          <w:b/>
        </w:rPr>
        <w:lastRenderedPageBreak/>
        <w:t>QUINTO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8107F7" w:rsidRDefault="008F5C70">
      <w:pPr>
        <w:spacing w:before="240" w:after="240" w:line="360" w:lineRule="auto"/>
        <w:jc w:val="both"/>
        <w:rPr>
          <w:rFonts w:ascii="Palatino Linotype" w:eastAsia="Palatino Linotype" w:hAnsi="Palatino Linotype" w:cs="Palatino Linotype"/>
          <w:sz w:val="20"/>
          <w:szCs w:val="20"/>
        </w:rPr>
      </w:pPr>
      <w:bookmarkStart w:id="7" w:name="_heading=h.30j0zll" w:colFirst="0" w:colLast="0"/>
      <w:bookmarkEnd w:id="7"/>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 DE JUNIO DE DOS MIL VEINTIDÓS, ANTE EL SECRETARIO TÉCNICO DEL PLENO, ALEXIS TAPIA RAMÍREZ.</w:t>
      </w:r>
    </w:p>
    <w:p w:rsidR="008107F7" w:rsidRDefault="008107F7">
      <w:pPr>
        <w:spacing w:before="240" w:after="240"/>
        <w:jc w:val="both"/>
        <w:rPr>
          <w:rFonts w:ascii="Palatino Linotype" w:eastAsia="Palatino Linotype" w:hAnsi="Palatino Linotype" w:cs="Palatino Linotype"/>
          <w:sz w:val="20"/>
          <w:szCs w:val="20"/>
          <w:highlight w:val="yellow"/>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p w:rsidR="008107F7" w:rsidRDefault="008107F7">
      <w:pPr>
        <w:spacing w:before="240" w:after="240"/>
        <w:jc w:val="both"/>
        <w:rPr>
          <w:rFonts w:ascii="Palatino Linotype" w:eastAsia="Palatino Linotype" w:hAnsi="Palatino Linotype" w:cs="Palatino Linotype"/>
          <w:sz w:val="20"/>
          <w:szCs w:val="20"/>
        </w:rPr>
      </w:pPr>
    </w:p>
    <w:sectPr w:rsidR="008107F7">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1F3" w:rsidRDefault="00A801F3">
      <w:r>
        <w:separator/>
      </w:r>
    </w:p>
  </w:endnote>
  <w:endnote w:type="continuationSeparator" w:id="0">
    <w:p w:rsidR="00A801F3" w:rsidRDefault="00A80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7F7" w:rsidRDefault="008F5C7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76C4D">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76C4D">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rsidR="008107F7" w:rsidRDefault="008107F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7F7" w:rsidRDefault="008F5C7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76C4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76C4D">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rsidR="008107F7" w:rsidRDefault="008107F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1F3" w:rsidRDefault="00A801F3">
      <w:r>
        <w:separator/>
      </w:r>
    </w:p>
  </w:footnote>
  <w:footnote w:type="continuationSeparator" w:id="0">
    <w:p w:rsidR="00A801F3" w:rsidRDefault="00A801F3">
      <w:r>
        <w:continuationSeparator/>
      </w:r>
    </w:p>
  </w:footnote>
  <w:footnote w:id="1">
    <w:p w:rsidR="008107F7" w:rsidRDefault="008F5C7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rsidR="008107F7" w:rsidRDefault="008F5C7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8107F7" w:rsidRDefault="008F5C7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w:t>
      </w:r>
      <w:r>
        <w:rPr>
          <w:rFonts w:ascii="Palatino Linotype" w:eastAsia="Palatino Linotype" w:hAnsi="Palatino Linotype" w:cs="Palatino Linotype"/>
          <w:color w:val="000000"/>
          <w:sz w:val="16"/>
          <w:szCs w:val="16"/>
        </w:rPr>
        <w:t>.- Ésta ley es de orden público e interés social y tiene por objeto regular las relaciones de trabajo, comprendidas entre los poderes públicos del Estado y los Municipios y sus respectivos servidores públicos.</w:t>
      </w:r>
    </w:p>
    <w:p w:rsidR="008107F7" w:rsidRDefault="008F5C7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ARTÍCULO 2.</w:t>
      </w:r>
      <w:r>
        <w:rPr>
          <w:rFonts w:ascii="Palatino Linotype" w:eastAsia="Palatino Linotype" w:hAnsi="Palatino Linotype" w:cs="Palatino Linotype"/>
          <w:color w:val="000000"/>
          <w:sz w:val="16"/>
          <w:szCs w:val="16"/>
        </w:rPr>
        <w:t xml:space="preserve"> Son sujetos de esta ley los servidores públicos y las instituciones públicas.</w:t>
      </w:r>
    </w:p>
    <w:p w:rsidR="008107F7" w:rsidRDefault="008F5C7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ARTÍCULO 4.</w:t>
      </w:r>
      <w:r>
        <w:rPr>
          <w:rFonts w:ascii="Palatino Linotype" w:eastAsia="Palatino Linotype" w:hAnsi="Palatino Linotype" w:cs="Palatino Linotype"/>
          <w:color w:val="000000"/>
          <w:sz w:val="16"/>
          <w:szCs w:val="16"/>
        </w:rPr>
        <w:t xml:space="preserve"> Para efectos de esta ley se entiende:</w:t>
      </w:r>
    </w:p>
    <w:p w:rsidR="008107F7" w:rsidRDefault="008F5C7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rsidR="008107F7" w:rsidRDefault="008F5C7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III. Institución Pública:</w:t>
      </w:r>
      <w:r>
        <w:rPr>
          <w:rFonts w:ascii="Palatino Linotype" w:eastAsia="Palatino Linotype" w:hAnsi="Palatino Linotype" w:cs="Palatino Linotype"/>
          <w:color w:val="000000"/>
          <w:sz w:val="16"/>
          <w:szCs w:val="16"/>
        </w:rPr>
        <w:t xml:space="preserve"> A cada uno de los poderes públicos del Estado, los municipios y los tribunales administrativos; así como los organismos descentralizados, fideicomisos de carácter estatal y municipal, y los órganos autónomos que sus leyes de creación así lo determinen.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7F7" w:rsidRDefault="008F5C70">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-708021</wp:posOffset>
          </wp:positionH>
          <wp:positionV relativeFrom="paragraph">
            <wp:posOffset>-415286</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6095" w:type="dxa"/>
      <w:tblInd w:w="3261" w:type="dxa"/>
      <w:tblLayout w:type="fixed"/>
      <w:tblLook w:val="0400" w:firstRow="0" w:lastRow="0" w:firstColumn="0" w:lastColumn="0" w:noHBand="0" w:noVBand="1"/>
    </w:tblPr>
    <w:tblGrid>
      <w:gridCol w:w="2409"/>
      <w:gridCol w:w="3686"/>
    </w:tblGrid>
    <w:tr w:rsidR="008107F7">
      <w:tc>
        <w:tcPr>
          <w:tcW w:w="2409" w:type="dxa"/>
          <w:shd w:val="clear" w:color="auto" w:fill="auto"/>
        </w:tcPr>
        <w:p w:rsidR="008107F7" w:rsidRDefault="008F5C7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86" w:type="dxa"/>
          <w:shd w:val="clear" w:color="auto" w:fill="auto"/>
          <w:vAlign w:val="center"/>
        </w:tcPr>
        <w:p w:rsidR="008107F7" w:rsidRDefault="008F5C70">
          <w:pPr>
            <w:ind w:right="175"/>
            <w:jc w:val="both"/>
            <w:rPr>
              <w:rFonts w:ascii="Palatino Linotype" w:eastAsia="Palatino Linotype" w:hAnsi="Palatino Linotype" w:cs="Palatino Linotype"/>
              <w:b/>
            </w:rPr>
          </w:pPr>
          <w:r>
            <w:rPr>
              <w:rFonts w:ascii="Palatino Linotype" w:eastAsia="Palatino Linotype" w:hAnsi="Palatino Linotype" w:cs="Palatino Linotype"/>
              <w:b/>
            </w:rPr>
            <w:t>03604/INFOEM/IP/RR/2022</w:t>
          </w:r>
        </w:p>
      </w:tc>
    </w:tr>
    <w:tr w:rsidR="008107F7">
      <w:trPr>
        <w:trHeight w:val="228"/>
      </w:trPr>
      <w:tc>
        <w:tcPr>
          <w:tcW w:w="2409" w:type="dxa"/>
          <w:shd w:val="clear" w:color="auto" w:fill="auto"/>
          <w:vAlign w:val="center"/>
        </w:tcPr>
        <w:p w:rsidR="008107F7" w:rsidRDefault="008F5C7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86" w:type="dxa"/>
          <w:shd w:val="clear" w:color="auto" w:fill="auto"/>
          <w:vAlign w:val="center"/>
        </w:tcPr>
        <w:p w:rsidR="008107F7" w:rsidRDefault="008F5C70">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Tianguistenco</w:t>
          </w:r>
        </w:p>
      </w:tc>
    </w:tr>
    <w:tr w:rsidR="008107F7">
      <w:tc>
        <w:tcPr>
          <w:tcW w:w="2409" w:type="dxa"/>
          <w:shd w:val="clear" w:color="auto" w:fill="auto"/>
          <w:vAlign w:val="center"/>
        </w:tcPr>
        <w:p w:rsidR="008107F7" w:rsidRDefault="008F5C70">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86" w:type="dxa"/>
          <w:shd w:val="clear" w:color="auto" w:fill="auto"/>
          <w:vAlign w:val="center"/>
        </w:tcPr>
        <w:p w:rsidR="008107F7" w:rsidRDefault="008F5C70">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8107F7" w:rsidRDefault="008F5C7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7F7" w:rsidRDefault="008F5C7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-756281</wp:posOffset>
          </wp:positionH>
          <wp:positionV relativeFrom="paragraph">
            <wp:posOffset>-424176</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184" w:type="dxa"/>
      <w:tblInd w:w="2747" w:type="dxa"/>
      <w:tblLayout w:type="fixed"/>
      <w:tblLook w:val="0400" w:firstRow="0" w:lastRow="0" w:firstColumn="0" w:lastColumn="0" w:noHBand="0" w:noVBand="1"/>
    </w:tblPr>
    <w:tblGrid>
      <w:gridCol w:w="2551"/>
      <w:gridCol w:w="3633"/>
    </w:tblGrid>
    <w:tr w:rsidR="008107F7">
      <w:tc>
        <w:tcPr>
          <w:tcW w:w="2551" w:type="dxa"/>
          <w:shd w:val="clear" w:color="auto" w:fill="auto"/>
          <w:vAlign w:val="center"/>
        </w:tcPr>
        <w:p w:rsidR="008107F7" w:rsidRDefault="008F5C7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33" w:type="dxa"/>
          <w:shd w:val="clear" w:color="auto" w:fill="auto"/>
          <w:vAlign w:val="center"/>
        </w:tcPr>
        <w:p w:rsidR="008107F7" w:rsidRDefault="008F5C70">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03604/INFOEM/IP/RR/2022</w:t>
          </w:r>
        </w:p>
      </w:tc>
    </w:tr>
    <w:tr w:rsidR="008107F7">
      <w:trPr>
        <w:trHeight w:val="130"/>
      </w:trPr>
      <w:tc>
        <w:tcPr>
          <w:tcW w:w="2551" w:type="dxa"/>
          <w:shd w:val="clear" w:color="auto" w:fill="auto"/>
          <w:vAlign w:val="center"/>
        </w:tcPr>
        <w:p w:rsidR="008107F7" w:rsidRDefault="008F5C70">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633" w:type="dxa"/>
          <w:shd w:val="clear" w:color="auto" w:fill="auto"/>
          <w:vAlign w:val="center"/>
        </w:tcPr>
        <w:p w:rsidR="008107F7" w:rsidRDefault="008107F7">
          <w:pPr>
            <w:jc w:val="both"/>
            <w:rPr>
              <w:rFonts w:ascii="Palatino Linotype" w:eastAsia="Palatino Linotype" w:hAnsi="Palatino Linotype" w:cs="Palatino Linotype"/>
              <w:b/>
            </w:rPr>
          </w:pPr>
        </w:p>
      </w:tc>
    </w:tr>
    <w:tr w:rsidR="008107F7">
      <w:trPr>
        <w:trHeight w:val="228"/>
      </w:trPr>
      <w:tc>
        <w:tcPr>
          <w:tcW w:w="2551" w:type="dxa"/>
          <w:shd w:val="clear" w:color="auto" w:fill="auto"/>
          <w:vAlign w:val="center"/>
        </w:tcPr>
        <w:p w:rsidR="008107F7" w:rsidRDefault="008F5C7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33" w:type="dxa"/>
          <w:shd w:val="clear" w:color="auto" w:fill="auto"/>
          <w:vAlign w:val="center"/>
        </w:tcPr>
        <w:p w:rsidR="008107F7" w:rsidRDefault="008F5C70">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Tianguistenco</w:t>
          </w:r>
        </w:p>
      </w:tc>
    </w:tr>
    <w:tr w:rsidR="008107F7">
      <w:tc>
        <w:tcPr>
          <w:tcW w:w="2551" w:type="dxa"/>
          <w:shd w:val="clear" w:color="auto" w:fill="auto"/>
          <w:vAlign w:val="center"/>
        </w:tcPr>
        <w:p w:rsidR="008107F7" w:rsidRDefault="008F5C7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33" w:type="dxa"/>
          <w:shd w:val="clear" w:color="auto" w:fill="auto"/>
          <w:vAlign w:val="center"/>
        </w:tcPr>
        <w:p w:rsidR="008107F7" w:rsidRDefault="008F5C70">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8107F7" w:rsidRDefault="008107F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83B93"/>
    <w:multiLevelType w:val="multilevel"/>
    <w:tmpl w:val="62E0A67A"/>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74511DB"/>
    <w:multiLevelType w:val="multilevel"/>
    <w:tmpl w:val="77CE93E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1A6A086F"/>
    <w:multiLevelType w:val="multilevel"/>
    <w:tmpl w:val="8786B45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D837B20"/>
    <w:multiLevelType w:val="multilevel"/>
    <w:tmpl w:val="AEC2B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70A1B00"/>
    <w:multiLevelType w:val="multilevel"/>
    <w:tmpl w:val="2AF4161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nsid w:val="6D076592"/>
    <w:multiLevelType w:val="multilevel"/>
    <w:tmpl w:val="D5EC7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7F7"/>
    <w:rsid w:val="003D6730"/>
    <w:rsid w:val="00461B50"/>
    <w:rsid w:val="004E5583"/>
    <w:rsid w:val="006514F6"/>
    <w:rsid w:val="007C4C71"/>
    <w:rsid w:val="008107F7"/>
    <w:rsid w:val="008F5C70"/>
    <w:rsid w:val="00A801F3"/>
    <w:rsid w:val="00B76C4D"/>
    <w:rsid w:val="00C22EF6"/>
    <w:rsid w:val="00D534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EAD2B2-817D-4700-BB42-4EAD1C63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4">
    <w:name w:val="4"/>
    <w:basedOn w:val="TableNormal3"/>
    <w:rPr>
      <w:sz w:val="22"/>
      <w:szCs w:val="22"/>
    </w:rPr>
    <w:tblPr>
      <w:tblStyleRowBandSize w:val="1"/>
      <w:tblStyleColBandSize w:val="1"/>
      <w:tblCellMar>
        <w:top w:w="0" w:type="dxa"/>
        <w:left w:w="108" w:type="dxa"/>
        <w:bottom w:w="0" w:type="dxa"/>
        <w:right w:w="108" w:type="dxa"/>
      </w:tblCellMar>
    </w:tblPr>
  </w:style>
  <w:style w:type="table" w:customStyle="1" w:styleId="3">
    <w:name w:val="3"/>
    <w:basedOn w:val="TableNormal3"/>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
    <w:name w:val="2"/>
    <w:basedOn w:val="TableNormal3"/>
    <w:tblPr>
      <w:tblStyleRowBandSize w:val="1"/>
      <w:tblStyleColBandSize w:val="1"/>
      <w:tblCellMar>
        <w:top w:w="0" w:type="dxa"/>
        <w:left w:w="115" w:type="dxa"/>
        <w:bottom w:w="0" w:type="dxa"/>
        <w:right w:w="115" w:type="dxa"/>
      </w:tblCellMar>
    </w:tblPr>
  </w:style>
  <w:style w:type="table" w:customStyle="1" w:styleId="1">
    <w:name w:val="1"/>
    <w:basedOn w:val="TableNormal3"/>
    <w:tblPr>
      <w:tblStyleRowBandSize w:val="1"/>
      <w:tblStyleColBandSize w:val="1"/>
      <w:tblCellMar>
        <w:top w:w="0" w:type="dxa"/>
        <w:left w:w="115" w:type="dxa"/>
        <w:bottom w:w="0" w:type="dxa"/>
        <w:right w:w="115" w:type="dxa"/>
      </w:tblCellMar>
    </w:tblPr>
  </w:style>
  <w:style w:type="table" w:customStyle="1" w:styleId="a">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0">
    <w:basedOn w:val="TableNormal3"/>
    <w:rPr>
      <w:sz w:val="22"/>
      <w:szCs w:val="22"/>
    </w:rPr>
    <w:tblPr>
      <w:tblStyleRowBandSize w:val="1"/>
      <w:tblStyleColBandSize w:val="1"/>
      <w:tblCellMar>
        <w:top w:w="0" w:type="dxa"/>
        <w:left w:w="115" w:type="dxa"/>
        <w:bottom w:w="0" w:type="dxa"/>
        <w:right w:w="115" w:type="dxa"/>
      </w:tblCellMar>
    </w:tblPr>
  </w:style>
  <w:style w:type="paragraph" w:styleId="Cita">
    <w:name w:val="Quote"/>
    <w:basedOn w:val="Normal"/>
    <w:next w:val="Normal"/>
    <w:link w:val="CitaCar"/>
    <w:uiPriority w:val="29"/>
    <w:qFormat/>
    <w:rsid w:val="00B91D4B"/>
    <w:pPr>
      <w:spacing w:before="200" w:after="160"/>
      <w:ind w:left="864" w:right="864"/>
      <w:jc w:val="center"/>
    </w:pPr>
    <w:rPr>
      <w:i/>
      <w:iCs/>
      <w:color w:val="404040" w:themeColor="text1" w:themeTint="BF"/>
      <w:lang w:val="es-MX" w:eastAsia="es-ES"/>
    </w:rPr>
  </w:style>
  <w:style w:type="character" w:customStyle="1" w:styleId="CitaCar">
    <w:name w:val="Cita Car"/>
    <w:basedOn w:val="Fuentedeprrafopredeter"/>
    <w:link w:val="Cita"/>
    <w:uiPriority w:val="29"/>
    <w:rsid w:val="00B91D4B"/>
    <w:rPr>
      <w:i/>
      <w:iCs/>
      <w:color w:val="404040" w:themeColor="text1" w:themeTint="BF"/>
      <w:lang w:val="es-MX" w:eastAsia="es-ES"/>
    </w:rPr>
  </w:style>
  <w:style w:type="table" w:customStyle="1" w:styleId="a2">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5">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7">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317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omex2.ipomex.org.mx/ipo/portal/suteym/solicitudes2/2017/0/1.web"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suteym.org.mx/LeerNoticia.php?id=5bbfb56e0473b546fd356a55f3506c8c"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ocaliptic.com/informacion-destacada/2016/05/17/suteym-firma-convenio-de-prestaciones-2016-con-tianguistenco-y-rayo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wuQgBKGb4f3Vt6Mz/Fyj59MoRQ==">AMUW2mWzlW3v2ywG5raRsJSCVK2nzS5ZSshm33NEcjk9VyV7blid+HKNvLtUGqVL/5KteX1DL4alJy8tSzcdCSJ5GrWPissX7wNChJ09X67soBRKJAgntOc5FQGd6BwrU1ZifABt7FVltpisvGOT6AvdSdAptcc+334TTpmf6w1y70GBoq8GTf54O7uUSQ8ht2pLJRTAxkJoXK45VMfjENw3MZ3OVSR6lQ==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10242</Words>
  <Characters>56331</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2022-06-14T23:20:00Z</dcterms:created>
  <dcterms:modified xsi:type="dcterms:W3CDTF">2022-06-14T23:20:00Z</dcterms:modified>
</cp:coreProperties>
</file>