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447C6" w14:textId="77777777" w:rsidR="001D4788" w:rsidRDefault="001D4788">
      <w:pPr>
        <w:widowControl w:val="0"/>
        <w:pBdr>
          <w:top w:val="nil"/>
          <w:left w:val="nil"/>
          <w:bottom w:val="nil"/>
          <w:right w:val="nil"/>
          <w:between w:val="nil"/>
        </w:pBdr>
        <w:spacing w:line="276" w:lineRule="auto"/>
      </w:pPr>
    </w:p>
    <w:p w14:paraId="4DC25D5B" w14:textId="77777777" w:rsidR="001D4788" w:rsidRDefault="001D4788">
      <w:pPr>
        <w:widowControl w:val="0"/>
        <w:pBdr>
          <w:top w:val="nil"/>
          <w:left w:val="nil"/>
          <w:bottom w:val="nil"/>
          <w:right w:val="nil"/>
          <w:between w:val="nil"/>
        </w:pBdr>
        <w:spacing w:line="276" w:lineRule="auto"/>
      </w:pPr>
    </w:p>
    <w:p w14:paraId="34845183" w14:textId="77777777" w:rsidR="001D4788" w:rsidRDefault="001D4788">
      <w:pPr>
        <w:widowControl w:val="0"/>
        <w:pBdr>
          <w:top w:val="nil"/>
          <w:left w:val="nil"/>
          <w:bottom w:val="nil"/>
          <w:right w:val="nil"/>
          <w:between w:val="nil"/>
        </w:pBdr>
        <w:spacing w:line="276" w:lineRule="auto"/>
      </w:pPr>
    </w:p>
    <w:p w14:paraId="5337E62E" w14:textId="77777777" w:rsidR="001D4788" w:rsidRDefault="00B124AE">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nueve de noviembre de dos mil veintidós.</w:t>
      </w:r>
    </w:p>
    <w:p w14:paraId="22865984" w14:textId="3B9EA226"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 los Recursos de Revisión número </w:t>
      </w:r>
      <w:r>
        <w:rPr>
          <w:rFonts w:ascii="Palatino Linotype" w:eastAsia="Palatino Linotype" w:hAnsi="Palatino Linotype" w:cs="Palatino Linotype"/>
          <w:b/>
        </w:rPr>
        <w:t xml:space="preserve">12517/INFOEM/IP/RR/2022, 12518/INFOEM/IP/RR/2022, 12519/INFOEM/IP/RR/2022 y 12520/INFOEM/IP/RR/2022, </w:t>
      </w:r>
      <w:r>
        <w:rPr>
          <w:rFonts w:ascii="Palatino Linotype" w:eastAsia="Palatino Linotype" w:hAnsi="Palatino Linotype" w:cs="Palatino Linotype"/>
        </w:rPr>
        <w:t xml:space="preserve">promovidos por </w:t>
      </w:r>
      <w:bookmarkStart w:id="0" w:name="_GoBack"/>
      <w:r w:rsidR="005024EA">
        <w:rPr>
          <w:rFonts w:ascii="Palatino Linotype" w:eastAsia="Palatino Linotype" w:hAnsi="Palatino Linotype" w:cs="Palatino Linotype"/>
          <w:b/>
        </w:rPr>
        <w:t xml:space="preserve"> XXXXXXXXXXXXXXXXX </w:t>
      </w:r>
      <w:proofErr w:type="spellStart"/>
      <w:r w:rsidR="005024EA">
        <w:rPr>
          <w:rFonts w:ascii="Palatino Linotype" w:eastAsia="Palatino Linotype" w:hAnsi="Palatino Linotype" w:cs="Palatino Linotype"/>
          <w:b/>
        </w:rPr>
        <w:t>XXXXXXXXXXXXXXXXX</w:t>
      </w:r>
      <w:proofErr w:type="spellEnd"/>
      <w:r w:rsidR="005024EA">
        <w:rPr>
          <w:rFonts w:ascii="Palatino Linotype" w:eastAsia="Palatino Linotype" w:hAnsi="Palatino Linotype" w:cs="Palatino Linotype"/>
          <w:b/>
        </w:rPr>
        <w:t xml:space="preserve"> </w:t>
      </w:r>
      <w:proofErr w:type="spellStart"/>
      <w:r w:rsidR="005024EA">
        <w:rPr>
          <w:rFonts w:ascii="Palatino Linotype" w:eastAsia="Palatino Linotype" w:hAnsi="Palatino Linotype" w:cs="Palatino Linotype"/>
          <w:b/>
        </w:rPr>
        <w:t>XXXXXXXXXXXXXXXXX</w:t>
      </w:r>
      <w:bookmarkEnd w:id="0"/>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 xml:space="preserve">Ayuntamiento de Huixquilucan, </w:t>
      </w:r>
      <w:r>
        <w:rPr>
          <w:rFonts w:ascii="Palatino Linotype" w:eastAsia="Palatino Linotype" w:hAnsi="Palatino Linotype" w:cs="Palatino Linotype"/>
        </w:rPr>
        <w:t xml:space="preserve">al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1724D886" w14:textId="77777777" w:rsidR="001D4788" w:rsidRDefault="001D4788">
      <w:pPr>
        <w:spacing w:line="360" w:lineRule="auto"/>
        <w:jc w:val="both"/>
        <w:rPr>
          <w:rFonts w:ascii="Palatino Linotype" w:eastAsia="Palatino Linotype" w:hAnsi="Palatino Linotype" w:cs="Palatino Linotype"/>
        </w:rPr>
      </w:pPr>
    </w:p>
    <w:p w14:paraId="7B934FAA" w14:textId="77777777" w:rsidR="001D4788" w:rsidRDefault="00B124AE">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8"/>
          <w:szCs w:val="28"/>
        </w:rPr>
        <w:t>A N T E C E D E N T E S</w:t>
      </w:r>
    </w:p>
    <w:p w14:paraId="5D64156E" w14:textId="77777777" w:rsidR="001D4788" w:rsidRDefault="001D4788">
      <w:pPr>
        <w:rPr>
          <w:rFonts w:ascii="Palatino Linotype" w:eastAsia="Palatino Linotype" w:hAnsi="Palatino Linotype" w:cs="Palatino Linotype"/>
          <w:b/>
        </w:rPr>
      </w:pPr>
    </w:p>
    <w:p w14:paraId="639713B8" w14:textId="77777777" w:rsidR="001D4788" w:rsidRDefault="00B124A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35DC763A"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trece de junio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a las </w:t>
      </w:r>
      <w:r>
        <w:rPr>
          <w:rFonts w:ascii="Palatino Linotype" w:eastAsia="Palatino Linotype" w:hAnsi="Palatino Linotype" w:cs="Palatino Linotype"/>
        </w:rPr>
        <w:lastRenderedPageBreak/>
        <w:t xml:space="preserve">cuales se le asignaron los números de expediente </w:t>
      </w:r>
      <w:r>
        <w:rPr>
          <w:rFonts w:ascii="Palatino Linotype" w:eastAsia="Palatino Linotype" w:hAnsi="Palatino Linotype" w:cs="Palatino Linotype"/>
          <w:b/>
        </w:rPr>
        <w:t xml:space="preserve">00392/HUIXQUIL/IP/2022, 00393/HUIXQUIL/IP/2022, 00394/HUIXQUIL/IP/2022 y 00395/HUIXQUIL/IP/2022, </w:t>
      </w:r>
      <w:r>
        <w:rPr>
          <w:rFonts w:ascii="Palatino Linotype" w:eastAsia="Palatino Linotype" w:hAnsi="Palatino Linotype" w:cs="Palatino Linotype"/>
        </w:rPr>
        <w:t>mediante las cuales el particular requirió, lo siguiente:</w:t>
      </w:r>
    </w:p>
    <w:p w14:paraId="65B056A0" w14:textId="77777777" w:rsidR="001D4788" w:rsidRDefault="001D4788">
      <w:pPr>
        <w:spacing w:line="360" w:lineRule="auto"/>
        <w:jc w:val="both"/>
        <w:rPr>
          <w:rFonts w:ascii="Palatino Linotype" w:eastAsia="Palatino Linotype" w:hAnsi="Palatino Linotype" w:cs="Palatino Linotype"/>
        </w:rPr>
      </w:pPr>
    </w:p>
    <w:tbl>
      <w:tblPr>
        <w:tblStyle w:val="afffffffff8"/>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D4788" w14:paraId="63E3DEAD"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8F823DF" w14:textId="77777777" w:rsidR="001D4788" w:rsidRDefault="00B124AE">
            <w:pPr>
              <w:widowControl w:val="0"/>
              <w:jc w:val="center"/>
              <w:rPr>
                <w:sz w:val="20"/>
                <w:szCs w:val="20"/>
              </w:rPr>
            </w:pPr>
            <w:r>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85037F" w14:textId="77777777" w:rsidR="001D4788" w:rsidRDefault="00B124AE">
            <w:pPr>
              <w:widowControl w:val="0"/>
              <w:jc w:val="center"/>
              <w:rPr>
                <w:sz w:val="20"/>
                <w:szCs w:val="20"/>
              </w:rPr>
            </w:pPr>
            <w:r>
              <w:rPr>
                <w:rFonts w:ascii="Palatino Linotype" w:eastAsia="Palatino Linotype" w:hAnsi="Palatino Linotype" w:cs="Palatino Linotype"/>
                <w:b/>
                <w:u w:val="single"/>
              </w:rPr>
              <w:t xml:space="preserve">Solicitud </w:t>
            </w:r>
          </w:p>
        </w:tc>
      </w:tr>
      <w:tr w:rsidR="001D4788" w14:paraId="4C907150"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26DE3"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00392/HUIXQUIL/IP/2022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49E6B8B"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“Nómina general, lista de raya, contrataciones por honorarios y todos los pagos que se hagan por concepto de nómina del año 2019” (Sic)</w:t>
            </w:r>
          </w:p>
        </w:tc>
      </w:tr>
      <w:tr w:rsidR="001D4788" w14:paraId="77D00271"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C57DE48"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00393/HUIXQUIL/IP/2022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F7504A"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“Nómina general, lista de raya, contrataciones por honorarios y todos los pagos que se hagan por concepto de nómina del año 2020” (Sic)</w:t>
            </w:r>
          </w:p>
        </w:tc>
      </w:tr>
      <w:tr w:rsidR="001D4788" w14:paraId="3E26DBC0"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1FAA7E9"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00394/HUIXQUIL/IP/2022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0836B1"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“Nómina general, lista de raya, contrataciones por honorarios y todos los pagos que se hagan por concepto de nómina del año 2021” (Sic)</w:t>
            </w:r>
          </w:p>
        </w:tc>
      </w:tr>
      <w:tr w:rsidR="001D4788" w14:paraId="71FBA08D" w14:textId="77777777">
        <w:trPr>
          <w:trHeight w:val="832"/>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92F1A"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00395/HUIXQUIL/IP/2022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820EB9D"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“Nómina general, lista de raya, contrataciones por honorarios y todos los pagos que se hagan por concepto de nómina del uno de enero al 31 de mayo de 2022” (Sic)</w:t>
            </w:r>
          </w:p>
        </w:tc>
      </w:tr>
    </w:tbl>
    <w:p w14:paraId="5D4B3C1B" w14:textId="77777777" w:rsidR="001D4788" w:rsidRDefault="001D4788">
      <w:pPr>
        <w:widowControl w:val="0"/>
        <w:spacing w:line="360" w:lineRule="auto"/>
        <w:jc w:val="both"/>
        <w:rPr>
          <w:rFonts w:ascii="Palatino Linotype" w:eastAsia="Palatino Linotype" w:hAnsi="Palatino Linotype" w:cs="Palatino Linotype"/>
        </w:rPr>
      </w:pPr>
    </w:p>
    <w:p w14:paraId="2A4DAD74"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p>
    <w:p w14:paraId="01040639" w14:textId="77777777" w:rsidR="001D4788" w:rsidRDefault="001D4788">
      <w:pPr>
        <w:spacing w:line="360" w:lineRule="auto"/>
        <w:jc w:val="both"/>
        <w:rPr>
          <w:rFonts w:ascii="Palatino Linotype" w:eastAsia="Palatino Linotype" w:hAnsi="Palatino Linotype" w:cs="Palatino Linotype"/>
        </w:rPr>
      </w:pPr>
    </w:p>
    <w:p w14:paraId="126F6C56" w14:textId="77777777" w:rsidR="001D4788" w:rsidRDefault="001D4788">
      <w:pPr>
        <w:spacing w:line="360" w:lineRule="auto"/>
        <w:jc w:val="both"/>
        <w:rPr>
          <w:rFonts w:ascii="Palatino Linotype" w:eastAsia="Palatino Linotype" w:hAnsi="Palatino Linotype" w:cs="Palatino Linotype"/>
        </w:rPr>
      </w:pPr>
    </w:p>
    <w:p w14:paraId="579BD87D" w14:textId="77777777" w:rsidR="001D4788" w:rsidRDefault="00B124A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14:paraId="10CD101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se advierte en fecha catorce de junio, el  turno de requerimiento realizado por el Titular de la Unidad de Transparencia a los servidores públicos habilitados que estimara </w:t>
      </w:r>
      <w:r>
        <w:rPr>
          <w:rFonts w:ascii="Palatino Linotype" w:eastAsia="Palatino Linotype" w:hAnsi="Palatino Linotype" w:cs="Palatino Linotype"/>
        </w:rPr>
        <w:lastRenderedPageBreak/>
        <w:t xml:space="preserve">competentes, en términos de lo establecido por el artículo 162 de la Ley de Transparencia y Acceso a la Información Pública del Estado de México y Municipios. </w:t>
      </w:r>
    </w:p>
    <w:p w14:paraId="25EDED1D" w14:textId="77777777" w:rsidR="001D4788" w:rsidRDefault="001D4788">
      <w:pPr>
        <w:widowControl w:val="0"/>
        <w:jc w:val="both"/>
        <w:rPr>
          <w:rFonts w:ascii="Palatino Linotype" w:eastAsia="Palatino Linotype" w:hAnsi="Palatino Linotype" w:cs="Palatino Linotype"/>
          <w:b/>
        </w:rPr>
      </w:pPr>
    </w:p>
    <w:p w14:paraId="33AE26F6" w14:textId="77777777" w:rsidR="001D4788" w:rsidRDefault="00B124AE">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IV. Respuesta del Sujeto Obligado</w:t>
      </w:r>
    </w:p>
    <w:p w14:paraId="3B197266"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cuatro de julio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el tenor siguiente: </w:t>
      </w:r>
    </w:p>
    <w:p w14:paraId="5A469463" w14:textId="77777777" w:rsidR="001D4788" w:rsidRDefault="001D4788">
      <w:pPr>
        <w:spacing w:line="360" w:lineRule="auto"/>
        <w:jc w:val="both"/>
        <w:rPr>
          <w:rFonts w:ascii="Palatino Linotype" w:eastAsia="Palatino Linotype" w:hAnsi="Palatino Linotype" w:cs="Palatino Linotype"/>
        </w:rPr>
      </w:pPr>
    </w:p>
    <w:tbl>
      <w:tblPr>
        <w:tblStyle w:val="afffffffff9"/>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1D4788" w14:paraId="5E2F3859"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B771EE" w14:textId="77777777" w:rsidR="001D4788" w:rsidRDefault="00B124AE">
            <w:pPr>
              <w:widowControl w:val="0"/>
              <w:jc w:val="center"/>
              <w:rPr>
                <w:sz w:val="20"/>
                <w:szCs w:val="20"/>
              </w:rPr>
            </w:pPr>
            <w:r>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9A9ABD" w14:textId="77777777" w:rsidR="001D4788" w:rsidRDefault="00B124AE">
            <w:pPr>
              <w:widowControl w:val="0"/>
              <w:jc w:val="center"/>
              <w:rPr>
                <w:sz w:val="20"/>
                <w:szCs w:val="20"/>
              </w:rPr>
            </w:pPr>
            <w:r>
              <w:rPr>
                <w:rFonts w:ascii="Palatino Linotype" w:eastAsia="Palatino Linotype" w:hAnsi="Palatino Linotype" w:cs="Palatino Linotype"/>
                <w:b/>
                <w:u w:val="single"/>
              </w:rPr>
              <w:t>Respuesta</w:t>
            </w:r>
          </w:p>
        </w:tc>
      </w:tr>
      <w:tr w:rsidR="001D4788" w14:paraId="1244EA0F" w14:textId="77777777">
        <w:trPr>
          <w:trHeight w:val="9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1998E"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00392/HUIXQUIL/IP/2022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BCB3A6" w14:textId="77777777" w:rsidR="001D4788" w:rsidRDefault="00B124AE">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Documento denominado</w:t>
            </w:r>
            <w:r>
              <w:rPr>
                <w:rFonts w:ascii="Palatino Linotype" w:eastAsia="Palatino Linotype" w:hAnsi="Palatino Linotype" w:cs="Palatino Linotype"/>
                <w:i/>
                <w:sz w:val="20"/>
                <w:szCs w:val="20"/>
              </w:rPr>
              <w:t xml:space="preserve"> RESPUESTA 392-393-394-395.pdf, </w:t>
            </w:r>
            <w:r>
              <w:rPr>
                <w:rFonts w:ascii="Palatino Linotype" w:eastAsia="Palatino Linotype" w:hAnsi="Palatino Linotype" w:cs="Palatino Linotype"/>
                <w:sz w:val="20"/>
                <w:szCs w:val="20"/>
              </w:rPr>
              <w:t xml:space="preserve">mediante el cual, la Directora de Recursos Humanos señala adjunta la respuesta de la Directora de Factor Humano y Productividad quien remite un enlace electrónico para acceder al portal de remuneraciones </w:t>
            </w:r>
          </w:p>
        </w:tc>
      </w:tr>
      <w:tr w:rsidR="001D4788" w14:paraId="4CF261EC" w14:textId="77777777">
        <w:trPr>
          <w:trHeight w:val="84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8D3F393"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00393/HUIXQUIL/IP/2022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6343C18" w14:textId="77777777" w:rsidR="001D4788" w:rsidRDefault="00B124AE">
            <w:pPr>
              <w:widowControl w:val="0"/>
              <w:spacing w:line="276" w:lineRule="auto"/>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Documento denominado</w:t>
            </w:r>
            <w:r>
              <w:rPr>
                <w:rFonts w:ascii="Palatino Linotype" w:eastAsia="Palatino Linotype" w:hAnsi="Palatino Linotype" w:cs="Palatino Linotype"/>
                <w:i/>
                <w:sz w:val="20"/>
                <w:szCs w:val="20"/>
              </w:rPr>
              <w:t xml:space="preserve"> RESPUESTA 392-393-394-395.pdf, </w:t>
            </w:r>
            <w:r>
              <w:rPr>
                <w:rFonts w:ascii="Palatino Linotype" w:eastAsia="Palatino Linotype" w:hAnsi="Palatino Linotype" w:cs="Palatino Linotype"/>
                <w:sz w:val="20"/>
                <w:szCs w:val="20"/>
              </w:rPr>
              <w:t xml:space="preserve">mediante el cual, la Directora de Recursos Humanos señala adjunta la respuesta de la Directora de Factor Humano y Productividad quien remite un enlace electrónico para acceder al portal de remuneraciones </w:t>
            </w:r>
          </w:p>
        </w:tc>
      </w:tr>
      <w:tr w:rsidR="001D4788" w14:paraId="5E9F75FD"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A388A8"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00394/HUIXQUIL/IP/2022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1BE5A6A" w14:textId="77777777" w:rsidR="001D4788" w:rsidRDefault="00B124AE">
            <w:pPr>
              <w:widowControl w:val="0"/>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Documento denominado</w:t>
            </w:r>
            <w:r>
              <w:rPr>
                <w:rFonts w:ascii="Palatino Linotype" w:eastAsia="Palatino Linotype" w:hAnsi="Palatino Linotype" w:cs="Palatino Linotype"/>
                <w:i/>
                <w:sz w:val="20"/>
                <w:szCs w:val="20"/>
              </w:rPr>
              <w:t xml:space="preserve"> RESPUESTA 392-393-394-395.pdf, </w:t>
            </w:r>
            <w:r>
              <w:rPr>
                <w:rFonts w:ascii="Palatino Linotype" w:eastAsia="Palatino Linotype" w:hAnsi="Palatino Linotype" w:cs="Palatino Linotype"/>
                <w:sz w:val="20"/>
                <w:szCs w:val="20"/>
              </w:rPr>
              <w:t xml:space="preserve">mediante el cual, la Directora de Recursos Humanos señala adjunta la respuesta de la Directora de Factor Humano y Productividad quien remite un enlace electrónico para acceder al portal de remuneraciones </w:t>
            </w:r>
          </w:p>
        </w:tc>
      </w:tr>
      <w:tr w:rsidR="001D4788" w14:paraId="2D42E006"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67E50D1"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00395/HUIXQUIL/IP/2022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F1699" w14:textId="77777777" w:rsidR="001D4788" w:rsidRDefault="00B124AE">
            <w:pPr>
              <w:widowControl w:val="0"/>
              <w:spacing w:line="276" w:lineRule="auto"/>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Documento denominado</w:t>
            </w:r>
            <w:r>
              <w:rPr>
                <w:rFonts w:ascii="Palatino Linotype" w:eastAsia="Palatino Linotype" w:hAnsi="Palatino Linotype" w:cs="Palatino Linotype"/>
                <w:i/>
                <w:sz w:val="20"/>
                <w:szCs w:val="20"/>
              </w:rPr>
              <w:t xml:space="preserve"> RESPUESTA 392-393-394-395.pdf, </w:t>
            </w:r>
            <w:r>
              <w:rPr>
                <w:rFonts w:ascii="Palatino Linotype" w:eastAsia="Palatino Linotype" w:hAnsi="Palatino Linotype" w:cs="Palatino Linotype"/>
                <w:sz w:val="20"/>
                <w:szCs w:val="20"/>
              </w:rPr>
              <w:t xml:space="preserve">mediante el cual, la Directora de Recursos Humanos señala adjunta la respuesta de la Directora de Factor Humano y Productividad quien remite un enlace electrónico para acceder al portal de remuneraciones </w:t>
            </w:r>
          </w:p>
        </w:tc>
      </w:tr>
    </w:tbl>
    <w:p w14:paraId="799903FE" w14:textId="77777777" w:rsidR="001D4788" w:rsidRDefault="001D4788">
      <w:pPr>
        <w:widowControl w:val="0"/>
        <w:spacing w:line="360" w:lineRule="auto"/>
        <w:jc w:val="both"/>
        <w:rPr>
          <w:rFonts w:ascii="Palatino Linotype" w:eastAsia="Palatino Linotype" w:hAnsi="Palatino Linotype" w:cs="Palatino Linotype"/>
          <w:i/>
          <w:sz w:val="22"/>
          <w:szCs w:val="22"/>
        </w:rPr>
      </w:pPr>
    </w:p>
    <w:p w14:paraId="7E3B21DA"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lastRenderedPageBreak/>
        <w:t>IV. Del Recurso de Revisión</w:t>
      </w:r>
      <w:r>
        <w:rPr>
          <w:rFonts w:ascii="Palatino Linotype" w:eastAsia="Palatino Linotype" w:hAnsi="Palatino Linotype" w:cs="Palatino Linotype"/>
          <w:b/>
        </w:rPr>
        <w:t>.</w:t>
      </w:r>
    </w:p>
    <w:p w14:paraId="3D8EAEB1"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sidRPr="00F6555C">
        <w:rPr>
          <w:rFonts w:ascii="Palatino Linotype" w:eastAsia="Palatino Linotype" w:hAnsi="Palatino Linotype" w:cs="Palatino Linotype"/>
        </w:rPr>
        <w:t xml:space="preserve">, en fecha </w:t>
      </w:r>
      <w:r w:rsidRPr="00F6555C">
        <w:rPr>
          <w:rFonts w:ascii="Palatino Linotype" w:eastAsia="Palatino Linotype" w:hAnsi="Palatino Linotype" w:cs="Palatino Linotype"/>
          <w:b/>
        </w:rPr>
        <w:t>siete de julio de dos mil veintidós</w:t>
      </w:r>
      <w:r w:rsidRPr="00F6555C">
        <w:rPr>
          <w:rFonts w:ascii="Palatino Linotype" w:eastAsia="Palatino Linotype" w:hAnsi="Palatino Linotype" w:cs="Palatino Linotype"/>
        </w:rPr>
        <w:t xml:space="preserve">, </w:t>
      </w:r>
      <w:r w:rsidRPr="00F6555C">
        <w:rPr>
          <w:rFonts w:ascii="Palatino Linotype" w:eastAsia="Palatino Linotype" w:hAnsi="Palatino Linotype" w:cs="Palatino Linotype"/>
          <w:b/>
        </w:rPr>
        <w:t xml:space="preserve">EL RECURRENTE </w:t>
      </w:r>
      <w:r w:rsidRPr="00F6555C">
        <w:rPr>
          <w:rFonts w:ascii="Palatino Linotype" w:eastAsia="Palatino Linotype" w:hAnsi="Palatino Linotype" w:cs="Palatino Linotype"/>
        </w:rPr>
        <w:t>interpuso los Recursos</w:t>
      </w:r>
      <w:r>
        <w:rPr>
          <w:rFonts w:ascii="Palatino Linotype" w:eastAsia="Palatino Linotype" w:hAnsi="Palatino Linotype" w:cs="Palatino Linotype"/>
        </w:rPr>
        <w:t xml:space="preserve"> de Revisión, los cuales fueron registrados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les asignaron los números de expediente </w:t>
      </w:r>
      <w:r>
        <w:rPr>
          <w:rFonts w:ascii="Palatino Linotype" w:eastAsia="Palatino Linotype" w:hAnsi="Palatino Linotype" w:cs="Palatino Linotype"/>
          <w:b/>
        </w:rPr>
        <w:t xml:space="preserve">012517/INFOEM/IP/RR/2022, 12518/INFOEM/IP/RR/2022, 12519/INFOEM/IP/RR/2022 y 12520/INFOEM/IP/RR/2022, </w:t>
      </w:r>
      <w:r>
        <w:rPr>
          <w:rFonts w:ascii="Palatino Linotype" w:eastAsia="Palatino Linotype" w:hAnsi="Palatino Linotype" w:cs="Palatino Linotype"/>
        </w:rPr>
        <w:t xml:space="preserve">donde los motivos de agravio fueron los siguientes: </w:t>
      </w:r>
    </w:p>
    <w:p w14:paraId="25D097F1" w14:textId="77777777" w:rsidR="001D4788" w:rsidRDefault="001D4788">
      <w:pPr>
        <w:spacing w:line="360" w:lineRule="auto"/>
        <w:jc w:val="both"/>
        <w:rPr>
          <w:rFonts w:ascii="Palatino Linotype" w:eastAsia="Palatino Linotype" w:hAnsi="Palatino Linotype" w:cs="Palatino Linotype"/>
        </w:rPr>
      </w:pPr>
    </w:p>
    <w:tbl>
      <w:tblPr>
        <w:tblStyle w:val="afffffffffa"/>
        <w:tblW w:w="8895"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2910"/>
        <w:gridCol w:w="5985"/>
      </w:tblGrid>
      <w:tr w:rsidR="001D4788" w14:paraId="475FCF2B" w14:textId="77777777">
        <w:trPr>
          <w:trHeight w:val="608"/>
        </w:trPr>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E61B1A5" w14:textId="77777777" w:rsidR="001D4788" w:rsidRDefault="00B124AE">
            <w:pPr>
              <w:widowControl w:val="0"/>
              <w:jc w:val="center"/>
              <w:rPr>
                <w:sz w:val="20"/>
                <w:szCs w:val="20"/>
              </w:rPr>
            </w:pPr>
            <w:r>
              <w:rPr>
                <w:rFonts w:ascii="Palatino Linotype" w:eastAsia="Palatino Linotype" w:hAnsi="Palatino Linotype" w:cs="Palatino Linotype"/>
                <w:b/>
                <w:u w:val="single"/>
              </w:rPr>
              <w:t>Número de Recurso de Revisión</w:t>
            </w:r>
          </w:p>
        </w:tc>
        <w:tc>
          <w:tcPr>
            <w:tcW w:w="5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E8F085" w14:textId="77777777" w:rsidR="001D4788" w:rsidRDefault="00B124AE">
            <w:pPr>
              <w:widowControl w:val="0"/>
              <w:jc w:val="center"/>
              <w:rPr>
                <w:sz w:val="20"/>
                <w:szCs w:val="20"/>
              </w:rPr>
            </w:pPr>
            <w:r>
              <w:rPr>
                <w:rFonts w:ascii="Palatino Linotype" w:eastAsia="Palatino Linotype" w:hAnsi="Palatino Linotype" w:cs="Palatino Linotype"/>
                <w:b/>
                <w:u w:val="single"/>
              </w:rPr>
              <w:t>Acto Impugnado</w:t>
            </w:r>
          </w:p>
        </w:tc>
      </w:tr>
      <w:tr w:rsidR="001D4788" w14:paraId="11D4F579" w14:textId="77777777">
        <w:trPr>
          <w:trHeight w:val="750"/>
        </w:trPr>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19B8EF2"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12517/INFOEM/IP/RR/2022</w:t>
            </w:r>
          </w:p>
        </w:tc>
        <w:tc>
          <w:tcPr>
            <w:tcW w:w="5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C7AA17"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“Respuesta del sujeto obligado” (Sic)</w:t>
            </w:r>
          </w:p>
        </w:tc>
      </w:tr>
      <w:tr w:rsidR="001D4788" w14:paraId="6D442FA9" w14:textId="77777777">
        <w:trPr>
          <w:trHeight w:val="735"/>
        </w:trPr>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D9D084"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12518/INFOEM/IP/RR/2022</w:t>
            </w:r>
          </w:p>
        </w:tc>
        <w:tc>
          <w:tcPr>
            <w:tcW w:w="5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C211C37"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“Respuesta del sujeto obligado” (Sic)</w:t>
            </w:r>
          </w:p>
        </w:tc>
      </w:tr>
      <w:tr w:rsidR="001D4788" w14:paraId="1467381B" w14:textId="77777777">
        <w:trPr>
          <w:trHeight w:val="645"/>
        </w:trPr>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BE563BF"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12519/INFOEM/IP/RR/2022</w:t>
            </w:r>
          </w:p>
        </w:tc>
        <w:tc>
          <w:tcPr>
            <w:tcW w:w="5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A30923E"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“Respuesta del sujeto obligado” (Sic)</w:t>
            </w:r>
          </w:p>
        </w:tc>
      </w:tr>
      <w:tr w:rsidR="001D4788" w14:paraId="17D185C7" w14:textId="77777777">
        <w:trPr>
          <w:trHeight w:val="675"/>
        </w:trPr>
        <w:tc>
          <w:tcPr>
            <w:tcW w:w="29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6E026A5"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12520/INFOEM/IP/RR/2022</w:t>
            </w:r>
          </w:p>
        </w:tc>
        <w:tc>
          <w:tcPr>
            <w:tcW w:w="59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3762AD"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“Respuesta del sujeto obligado” (Sic)</w:t>
            </w:r>
          </w:p>
        </w:tc>
      </w:tr>
    </w:tbl>
    <w:p w14:paraId="5C05F1BE" w14:textId="77777777" w:rsidR="001D4788" w:rsidRDefault="001D4788">
      <w:pPr>
        <w:widowControl w:val="0"/>
        <w:spacing w:line="360" w:lineRule="auto"/>
        <w:jc w:val="both"/>
        <w:rPr>
          <w:rFonts w:ascii="Palatino Linotype" w:eastAsia="Palatino Linotype" w:hAnsi="Palatino Linotype" w:cs="Palatino Linotype"/>
          <w:b/>
          <w:u w:val="single"/>
        </w:rPr>
      </w:pPr>
    </w:p>
    <w:p w14:paraId="6B17E6AE" w14:textId="77777777" w:rsidR="001D4788" w:rsidRDefault="001D4788">
      <w:pPr>
        <w:spacing w:line="360" w:lineRule="auto"/>
        <w:jc w:val="both"/>
        <w:rPr>
          <w:rFonts w:ascii="Palatino Linotype" w:eastAsia="Palatino Linotype" w:hAnsi="Palatino Linotype" w:cs="Palatino Linotype"/>
        </w:rPr>
      </w:pPr>
    </w:p>
    <w:tbl>
      <w:tblPr>
        <w:tblStyle w:val="afffffffffb"/>
        <w:tblW w:w="8880" w:type="dxa"/>
        <w:tblInd w:w="280" w:type="dxa"/>
        <w:tblBorders>
          <w:top w:val="nil"/>
          <w:left w:val="nil"/>
          <w:bottom w:val="nil"/>
          <w:right w:val="nil"/>
          <w:insideH w:val="nil"/>
          <w:insideV w:val="nil"/>
        </w:tblBorders>
        <w:tblLayout w:type="fixed"/>
        <w:tblLook w:val="0600" w:firstRow="0" w:lastRow="0" w:firstColumn="0" w:lastColumn="0" w:noHBand="1" w:noVBand="1"/>
      </w:tblPr>
      <w:tblGrid>
        <w:gridCol w:w="2880"/>
        <w:gridCol w:w="6000"/>
      </w:tblGrid>
      <w:tr w:rsidR="001D4788" w14:paraId="1FD3A53E" w14:textId="77777777">
        <w:trPr>
          <w:trHeight w:val="46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EF98731" w14:textId="77777777" w:rsidR="001D4788" w:rsidRDefault="00B124AE">
            <w:pPr>
              <w:widowControl w:val="0"/>
              <w:jc w:val="center"/>
              <w:rPr>
                <w:sz w:val="20"/>
                <w:szCs w:val="20"/>
              </w:rPr>
            </w:pPr>
            <w:r>
              <w:rPr>
                <w:rFonts w:ascii="Palatino Linotype" w:eastAsia="Palatino Linotype" w:hAnsi="Palatino Linotype" w:cs="Palatino Linotype"/>
                <w:b/>
                <w:u w:val="single"/>
              </w:rPr>
              <w:t>Número de Recurso de Revisión</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C41E86" w14:textId="77777777" w:rsidR="001D4788" w:rsidRDefault="00B124AE">
            <w:pPr>
              <w:widowControl w:val="0"/>
              <w:jc w:val="center"/>
              <w:rPr>
                <w:sz w:val="20"/>
                <w:szCs w:val="20"/>
              </w:rPr>
            </w:pPr>
            <w:r>
              <w:rPr>
                <w:rFonts w:ascii="Palatino Linotype" w:eastAsia="Palatino Linotype" w:hAnsi="Palatino Linotype" w:cs="Palatino Linotype"/>
                <w:b/>
                <w:u w:val="single"/>
              </w:rPr>
              <w:t>Razones o motivos de Inconformidad:</w:t>
            </w:r>
          </w:p>
        </w:tc>
      </w:tr>
      <w:tr w:rsidR="001D4788" w14:paraId="37DD9A41" w14:textId="77777777">
        <w:trPr>
          <w:trHeight w:val="1005"/>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576F599"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12517/INFOEM/IP/RR/2022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FB8994B"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“La respuesta no corresponde con lo peticionados en mi solicitud de información la cual es clara, no pedí las remuneraciones publicadas en Ipomex.” (Sic)</w:t>
            </w:r>
          </w:p>
        </w:tc>
      </w:tr>
      <w:tr w:rsidR="001D4788" w14:paraId="692237C5"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B737871"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12518/INFOEM/IP/RR/2022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E0762C"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“La respuesta no corresponde con lo peticionados en mi solicitud de información la cual es clara, no pedí las remuneraciones publicadas en Ipomex.” (Sic)</w:t>
            </w:r>
          </w:p>
        </w:tc>
      </w:tr>
      <w:tr w:rsidR="001D4788" w14:paraId="3E6E11A2"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C26CD6"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12519/INFOEM/IP/RR/2022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DD639A4"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“La respuesta no corresponde con lo peticionados en mi solicitud de información la cual es clara, no pedí las remuneraciones publicadas en Ipomex.” (Sic)</w:t>
            </w:r>
          </w:p>
        </w:tc>
      </w:tr>
      <w:tr w:rsidR="001D4788" w14:paraId="18A25246" w14:textId="77777777">
        <w:trPr>
          <w:trHeight w:val="810"/>
        </w:trPr>
        <w:tc>
          <w:tcPr>
            <w:tcW w:w="28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A75184" w14:textId="77777777" w:rsidR="001D4788" w:rsidRDefault="00B124AE">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12520/INFOEM/IP/RR/2022</w:t>
            </w:r>
          </w:p>
        </w:tc>
        <w:tc>
          <w:tcPr>
            <w:tcW w:w="6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EEA60" w14:textId="77777777" w:rsidR="001D4788" w:rsidRDefault="00B124AE">
            <w:pPr>
              <w:widowControl w:val="0"/>
              <w:spacing w:line="276" w:lineRule="auto"/>
              <w:rPr>
                <w:rFonts w:ascii="Palatino Linotype" w:eastAsia="Palatino Linotype" w:hAnsi="Palatino Linotype" w:cs="Palatino Linotype"/>
                <w:i/>
              </w:rPr>
            </w:pPr>
            <w:r>
              <w:rPr>
                <w:rFonts w:ascii="Palatino Linotype" w:eastAsia="Palatino Linotype" w:hAnsi="Palatino Linotype" w:cs="Palatino Linotype"/>
                <w:i/>
              </w:rPr>
              <w:t>“La respuesta no corresponde con lo peticionados en mi solicitud de información la cual es clara, no pedí las remuneraciones publicadas en Ipomex.” (Sic)</w:t>
            </w:r>
          </w:p>
        </w:tc>
      </w:tr>
    </w:tbl>
    <w:p w14:paraId="263B0266" w14:textId="77777777" w:rsidR="001D4788" w:rsidRDefault="001D4788">
      <w:pPr>
        <w:widowControl w:val="0"/>
        <w:spacing w:line="360" w:lineRule="auto"/>
        <w:jc w:val="both"/>
        <w:rPr>
          <w:rFonts w:ascii="Palatino Linotype" w:eastAsia="Palatino Linotype" w:hAnsi="Palatino Linotype" w:cs="Palatino Linotype"/>
          <w:b/>
          <w:u w:val="single"/>
        </w:rPr>
      </w:pPr>
    </w:p>
    <w:p w14:paraId="40D7DB05" w14:textId="77777777" w:rsidR="001D4788" w:rsidRDefault="00B124A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14:paraId="33FA321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siete de julio de dos mil veintidós</w:t>
      </w:r>
      <w:r>
        <w:rPr>
          <w:rFonts w:ascii="Palatino Linotype" w:eastAsia="Palatino Linotype" w:hAnsi="Palatino Linotype" w:cs="Palatino Linotype"/>
        </w:rPr>
        <w:t>,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2060B669" w14:textId="77777777" w:rsidR="001D4788" w:rsidRDefault="001D4788">
      <w:pPr>
        <w:tabs>
          <w:tab w:val="center" w:pos="4252"/>
          <w:tab w:val="right" w:pos="8504"/>
        </w:tabs>
        <w:spacing w:line="360" w:lineRule="auto"/>
        <w:jc w:val="both"/>
        <w:rPr>
          <w:rFonts w:ascii="Palatino Linotype" w:eastAsia="Palatino Linotype" w:hAnsi="Palatino Linotype" w:cs="Palatino Linotype"/>
          <w:b/>
        </w:rPr>
      </w:pPr>
    </w:p>
    <w:p w14:paraId="39429F01" w14:textId="77777777" w:rsidR="001D4788" w:rsidRDefault="00B124AE">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14:paraId="4BDAC06E" w14:textId="77777777" w:rsidR="001D4788" w:rsidRDefault="00B124AE">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fechas </w:t>
      </w:r>
      <w:r>
        <w:rPr>
          <w:rFonts w:ascii="Palatino Linotype" w:eastAsia="Palatino Linotype" w:hAnsi="Palatino Linotype" w:cs="Palatino Linotype"/>
          <w:b/>
        </w:rPr>
        <w:t>doce</w:t>
      </w:r>
      <w:r>
        <w:rPr>
          <w:rFonts w:ascii="Palatino Linotype" w:eastAsia="Palatino Linotype" w:hAnsi="Palatino Linotype" w:cs="Palatino Linotype"/>
        </w:rPr>
        <w:t xml:space="preserve">, </w:t>
      </w:r>
      <w:r>
        <w:rPr>
          <w:rFonts w:ascii="Palatino Linotype" w:eastAsia="Palatino Linotype" w:hAnsi="Palatino Linotype" w:cs="Palatino Linotype"/>
          <w:b/>
        </w:rPr>
        <w:t>trece y dieciséis de mayo de dos mil veintidós</w:t>
      </w:r>
      <w:r>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w:t>
      </w:r>
      <w:r>
        <w:rPr>
          <w:rFonts w:ascii="Palatino Linotype" w:eastAsia="Palatino Linotype" w:hAnsi="Palatino Linotype" w:cs="Palatino Linotype"/>
          <w:b/>
        </w:rPr>
        <w:lastRenderedPageBreak/>
        <w:t xml:space="preserve">SUJETO OBLIGADO </w:t>
      </w:r>
      <w:r>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2215185A" w14:textId="77777777" w:rsidR="001D4788" w:rsidRDefault="001D4788">
      <w:pPr>
        <w:tabs>
          <w:tab w:val="center" w:pos="4252"/>
          <w:tab w:val="right" w:pos="8504"/>
        </w:tabs>
        <w:spacing w:line="360" w:lineRule="auto"/>
        <w:jc w:val="both"/>
        <w:rPr>
          <w:rFonts w:ascii="Palatino Linotype" w:eastAsia="Palatino Linotype" w:hAnsi="Palatino Linotype" w:cs="Palatino Linotype"/>
        </w:rPr>
      </w:pPr>
    </w:p>
    <w:p w14:paraId="1E53E6C0"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13C8141E" w14:textId="77777777" w:rsidR="001D4788" w:rsidRDefault="00B124AE">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w:t>
      </w:r>
    </w:p>
    <w:p w14:paraId="7DB8777F" w14:textId="77777777" w:rsidR="001D4788" w:rsidRDefault="001D4788">
      <w:pPr>
        <w:widowControl w:val="0"/>
        <w:tabs>
          <w:tab w:val="left" w:pos="0"/>
        </w:tabs>
        <w:spacing w:line="360" w:lineRule="auto"/>
        <w:jc w:val="both"/>
        <w:rPr>
          <w:rFonts w:ascii="Palatino Linotype" w:eastAsia="Palatino Linotype" w:hAnsi="Palatino Linotype" w:cs="Palatino Linotype"/>
        </w:rPr>
      </w:pPr>
    </w:p>
    <w:p w14:paraId="28CD309C" w14:textId="77777777" w:rsidR="001D4788" w:rsidRDefault="00B124AE">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remitió los documentos denominados, </w:t>
      </w:r>
      <w:r>
        <w:rPr>
          <w:rFonts w:ascii="Palatino Linotype" w:eastAsia="Palatino Linotype" w:hAnsi="Palatino Linotype" w:cs="Palatino Linotype"/>
          <w:i/>
        </w:rPr>
        <w:t xml:space="preserve">RR 12517 Y ACUMULADOS.pdf y 12517-22 R.R. ACUM.pdf </w:t>
      </w:r>
      <w:r>
        <w:rPr>
          <w:rFonts w:ascii="Palatino Linotype" w:eastAsia="Palatino Linotype" w:hAnsi="Palatino Linotype" w:cs="Palatino Linotype"/>
        </w:rPr>
        <w:t xml:space="preserve">en donde de forma medular ratifica su respuesta primigenia y se pronuncia sobre los motivos o razones de inconformidad, indicando que no existe como tal el término de nómina. </w:t>
      </w:r>
    </w:p>
    <w:p w14:paraId="62CE92AF" w14:textId="77777777" w:rsidR="001D4788" w:rsidRDefault="001D4788">
      <w:pPr>
        <w:spacing w:line="360" w:lineRule="auto"/>
        <w:jc w:val="both"/>
        <w:rPr>
          <w:rFonts w:ascii="Palatino Linotype" w:eastAsia="Palatino Linotype" w:hAnsi="Palatino Linotype" w:cs="Palatino Linotype"/>
          <w:b/>
          <w:sz w:val="28"/>
          <w:szCs w:val="28"/>
        </w:rPr>
      </w:pPr>
    </w:p>
    <w:p w14:paraId="29DE1E64"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c) </w:t>
      </w:r>
      <w:r>
        <w:rPr>
          <w:rFonts w:ascii="Palatino Linotype" w:eastAsia="Palatino Linotype" w:hAnsi="Palatino Linotype" w:cs="Palatino Linotype"/>
          <w:b/>
        </w:rPr>
        <w:t xml:space="preserve">Acumulación. </w:t>
      </w:r>
    </w:p>
    <w:p w14:paraId="49409B80" w14:textId="77777777" w:rsidR="001D4788" w:rsidRPr="009B3DB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Pr>
          <w:rFonts w:ascii="Palatino Linotype" w:eastAsia="Palatino Linotype" w:hAnsi="Palatino Linotype" w:cs="Palatino Linotype"/>
          <w:b/>
        </w:rPr>
        <w:t>Vigésima Séptima Sesión Ordinaria celebrada el tres de agosto de dos mil veintidós</w:t>
      </w:r>
      <w:r>
        <w:rPr>
          <w:rFonts w:ascii="Palatino Linotype" w:eastAsia="Palatino Linotype" w:hAnsi="Palatino Linotype" w:cs="Palatino Linotype"/>
        </w:rPr>
        <w:t>, el Pleno de este Instituto determinó acumular los Recursos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acordando la elaboración del proyecto de resolución por parte de la Comisionada Sharon Cristina Morales Martínez </w:t>
      </w:r>
      <w:r>
        <w:rPr>
          <w:rFonts w:ascii="Palatino Linotype" w:eastAsia="Palatino Linotype" w:hAnsi="Palatino Linotype" w:cs="Palatino Linotype"/>
          <w:b/>
        </w:rPr>
        <w:t xml:space="preserve">d) Ampliación del Recurso de Revisión </w:t>
      </w:r>
    </w:p>
    <w:p w14:paraId="4E9A47AE"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siete de septiembre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FBCB14F" w14:textId="77777777" w:rsidR="001D4788" w:rsidRDefault="001D4788">
      <w:pPr>
        <w:spacing w:line="360" w:lineRule="auto"/>
        <w:jc w:val="both"/>
        <w:rPr>
          <w:rFonts w:ascii="Palatino Linotype" w:eastAsia="Palatino Linotype" w:hAnsi="Palatino Linotype" w:cs="Palatino Linotype"/>
          <w:b/>
        </w:rPr>
      </w:pPr>
    </w:p>
    <w:p w14:paraId="54EAE808"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2D46DEC" w14:textId="77777777" w:rsidR="001D4788" w:rsidRDefault="001D4788">
      <w:pPr>
        <w:spacing w:line="360" w:lineRule="auto"/>
        <w:jc w:val="both"/>
        <w:rPr>
          <w:rFonts w:ascii="Palatino Linotype" w:eastAsia="Palatino Linotype" w:hAnsi="Palatino Linotype" w:cs="Palatino Linotype"/>
        </w:rPr>
      </w:pPr>
    </w:p>
    <w:p w14:paraId="3A89C99B"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308151A" w14:textId="77777777" w:rsidR="001D4788" w:rsidRDefault="001D4788">
      <w:pPr>
        <w:spacing w:line="360" w:lineRule="auto"/>
        <w:jc w:val="both"/>
        <w:rPr>
          <w:rFonts w:ascii="Palatino Linotype" w:eastAsia="Palatino Linotype" w:hAnsi="Palatino Linotype" w:cs="Palatino Linotype"/>
        </w:rPr>
      </w:pPr>
    </w:p>
    <w:p w14:paraId="781E5F75"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w:t>
      </w:r>
      <w:r>
        <w:rPr>
          <w:rFonts w:ascii="Palatino Linotype" w:eastAsia="Palatino Linotype" w:hAnsi="Palatino Linotype" w:cs="Palatino Linotype"/>
        </w:rPr>
        <w:lastRenderedPageBreak/>
        <w:t>tiempo posible, tomando en consideración la dilación total del procedimiento; esto es, en un plazo razonable.</w:t>
      </w:r>
    </w:p>
    <w:p w14:paraId="4041039D" w14:textId="77777777" w:rsidR="001D4788" w:rsidRDefault="001D4788">
      <w:pPr>
        <w:spacing w:line="360" w:lineRule="auto"/>
        <w:jc w:val="both"/>
        <w:rPr>
          <w:rFonts w:ascii="Palatino Linotype" w:eastAsia="Palatino Linotype" w:hAnsi="Palatino Linotype" w:cs="Palatino Linotype"/>
        </w:rPr>
      </w:pPr>
    </w:p>
    <w:p w14:paraId="19347E78"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DE492AB" w14:textId="77777777" w:rsidR="001D4788" w:rsidRDefault="001D4788">
      <w:pPr>
        <w:spacing w:line="360" w:lineRule="auto"/>
        <w:jc w:val="both"/>
        <w:rPr>
          <w:rFonts w:ascii="Palatino Linotype" w:eastAsia="Palatino Linotype" w:hAnsi="Palatino Linotype" w:cs="Palatino Linotype"/>
        </w:rPr>
      </w:pPr>
    </w:p>
    <w:p w14:paraId="14DB7221"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41B624D2" w14:textId="77777777" w:rsidR="001D4788" w:rsidRDefault="001D4788">
      <w:pPr>
        <w:spacing w:line="360" w:lineRule="auto"/>
        <w:jc w:val="both"/>
        <w:rPr>
          <w:rFonts w:ascii="Palatino Linotype" w:eastAsia="Palatino Linotype" w:hAnsi="Palatino Linotype" w:cs="Palatino Linotype"/>
        </w:rPr>
      </w:pPr>
    </w:p>
    <w:p w14:paraId="03AF550C" w14:textId="77777777" w:rsidR="001D4788" w:rsidRDefault="00B124A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85E6F25" w14:textId="77777777" w:rsidR="001D4788" w:rsidRDefault="001D4788">
      <w:pPr>
        <w:spacing w:line="360" w:lineRule="auto"/>
        <w:ind w:left="927"/>
        <w:jc w:val="both"/>
        <w:rPr>
          <w:rFonts w:ascii="Palatino Linotype" w:eastAsia="Palatino Linotype" w:hAnsi="Palatino Linotype" w:cs="Palatino Linotype"/>
        </w:rPr>
      </w:pPr>
    </w:p>
    <w:p w14:paraId="59DACAB6" w14:textId="77777777" w:rsidR="001D4788" w:rsidRDefault="00B124A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399F9417" w14:textId="77777777" w:rsidR="001D4788" w:rsidRDefault="001D4788">
      <w:pPr>
        <w:spacing w:line="360" w:lineRule="auto"/>
        <w:jc w:val="both"/>
        <w:rPr>
          <w:rFonts w:ascii="Palatino Linotype" w:eastAsia="Palatino Linotype" w:hAnsi="Palatino Linotype" w:cs="Palatino Linotype"/>
        </w:rPr>
      </w:pPr>
    </w:p>
    <w:p w14:paraId="3A010661" w14:textId="77777777" w:rsidR="001D4788" w:rsidRDefault="00B124AE">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545E90C7" w14:textId="77777777" w:rsidR="001D4788" w:rsidRDefault="001D4788">
      <w:pPr>
        <w:spacing w:line="360" w:lineRule="auto"/>
        <w:ind w:left="708"/>
        <w:rPr>
          <w:rFonts w:ascii="Palatino Linotype" w:eastAsia="Palatino Linotype" w:hAnsi="Palatino Linotype" w:cs="Palatino Linotype"/>
        </w:rPr>
      </w:pPr>
    </w:p>
    <w:p w14:paraId="4AE4FE74" w14:textId="77777777" w:rsidR="001D4788" w:rsidRDefault="00B124AE">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4E029204" w14:textId="77777777" w:rsidR="001D4788" w:rsidRDefault="001D4788">
      <w:pPr>
        <w:spacing w:line="360" w:lineRule="auto"/>
        <w:jc w:val="both"/>
        <w:rPr>
          <w:rFonts w:ascii="Palatino Linotype" w:eastAsia="Palatino Linotype" w:hAnsi="Palatino Linotype" w:cs="Palatino Linotype"/>
        </w:rPr>
      </w:pPr>
    </w:p>
    <w:p w14:paraId="53A8702E"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E46E8C" w14:textId="77777777" w:rsidR="001D4788" w:rsidRDefault="001D4788">
      <w:pPr>
        <w:spacing w:line="360" w:lineRule="auto"/>
        <w:jc w:val="both"/>
        <w:rPr>
          <w:rFonts w:ascii="Palatino Linotype" w:eastAsia="Palatino Linotype" w:hAnsi="Palatino Linotype" w:cs="Palatino Linotype"/>
        </w:rPr>
      </w:pPr>
    </w:p>
    <w:p w14:paraId="7971E8E4"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220072BC" w14:textId="77777777" w:rsidR="001D4788" w:rsidRDefault="001D4788">
      <w:pPr>
        <w:spacing w:line="360" w:lineRule="auto"/>
        <w:jc w:val="both"/>
        <w:rPr>
          <w:rFonts w:ascii="Palatino Linotype" w:eastAsia="Palatino Linotype" w:hAnsi="Palatino Linotype" w:cs="Palatino Linotype"/>
        </w:rPr>
      </w:pPr>
    </w:p>
    <w:p w14:paraId="063E4C2D"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Pr>
          <w:rFonts w:ascii="Palatino Linotype" w:eastAsia="Palatino Linotype" w:hAnsi="Palatino Linotype" w:cs="Palatino Linotype"/>
        </w:rPr>
        <w:lastRenderedPageBreak/>
        <w:t>términos legales previamente establecidos por la Ley, por tratarse de causas de fuerza mayor.</w:t>
      </w:r>
    </w:p>
    <w:p w14:paraId="1EFCFE77" w14:textId="77777777" w:rsidR="001D4788" w:rsidRDefault="001D4788">
      <w:pPr>
        <w:spacing w:line="360" w:lineRule="auto"/>
        <w:jc w:val="both"/>
        <w:rPr>
          <w:rFonts w:ascii="Palatino Linotype" w:eastAsia="Palatino Linotype" w:hAnsi="Palatino Linotype" w:cs="Palatino Linotype"/>
        </w:rPr>
      </w:pPr>
    </w:p>
    <w:p w14:paraId="6ABAE3D5"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EC362F5" w14:textId="77777777" w:rsidR="001D4788" w:rsidRDefault="001D4788">
      <w:pPr>
        <w:spacing w:line="360" w:lineRule="auto"/>
        <w:jc w:val="both"/>
        <w:rPr>
          <w:rFonts w:ascii="Palatino Linotype" w:eastAsia="Palatino Linotype" w:hAnsi="Palatino Linotype" w:cs="Palatino Linotype"/>
        </w:rPr>
      </w:pPr>
    </w:p>
    <w:p w14:paraId="48B81F27"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A900650" w14:textId="77777777" w:rsidR="001D4788" w:rsidRDefault="001D4788">
      <w:pPr>
        <w:spacing w:line="360" w:lineRule="auto"/>
        <w:jc w:val="both"/>
        <w:rPr>
          <w:rFonts w:ascii="Palatino Linotype" w:eastAsia="Palatino Linotype" w:hAnsi="Palatino Linotype" w:cs="Palatino Linotype"/>
        </w:rPr>
      </w:pPr>
    </w:p>
    <w:p w14:paraId="624F2186"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0C5F231" w14:textId="77777777" w:rsidR="001D4788" w:rsidRDefault="001D4788">
      <w:pPr>
        <w:spacing w:line="360" w:lineRule="auto"/>
        <w:jc w:val="both"/>
        <w:rPr>
          <w:rFonts w:ascii="Palatino Linotype" w:eastAsia="Palatino Linotype" w:hAnsi="Palatino Linotype" w:cs="Palatino Linotype"/>
          <w:b/>
        </w:rPr>
      </w:pPr>
    </w:p>
    <w:p w14:paraId="14E8F37B"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 </w:t>
      </w:r>
    </w:p>
    <w:p w14:paraId="47D17992" w14:textId="77777777" w:rsidR="009B3DB8" w:rsidRDefault="009B3DB8">
      <w:pPr>
        <w:spacing w:line="360" w:lineRule="auto"/>
        <w:jc w:val="both"/>
        <w:rPr>
          <w:rFonts w:ascii="Palatino Linotype" w:eastAsia="Palatino Linotype" w:hAnsi="Palatino Linotype" w:cs="Palatino Linotype"/>
        </w:rPr>
      </w:pPr>
    </w:p>
    <w:p w14:paraId="4A319F3E"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 Cierre de Instrucción</w:t>
      </w:r>
    </w:p>
    <w:p w14:paraId="6CB6F91E"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guardaba el expediente, el </w:t>
      </w:r>
      <w:r w:rsidR="00F6555C">
        <w:rPr>
          <w:rFonts w:ascii="Palatino Linotype" w:eastAsia="Palatino Linotype" w:hAnsi="Palatino Linotype" w:cs="Palatino Linotype"/>
          <w:b/>
          <w:lang w:val="es-419"/>
        </w:rPr>
        <w:t>ocho</w:t>
      </w:r>
      <w:r>
        <w:rPr>
          <w:rFonts w:ascii="Palatino Linotype" w:eastAsia="Palatino Linotype" w:hAnsi="Palatino Linotype" w:cs="Palatino Linotype"/>
          <w:b/>
        </w:rPr>
        <w:t xml:space="preserve"> de noviembre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Christina Morales </w:t>
      </w:r>
      <w:r>
        <w:rPr>
          <w:rFonts w:ascii="Palatino Linotype" w:eastAsia="Palatino Linotype" w:hAnsi="Palatino Linotype" w:cs="Palatino Linotype"/>
          <w:b/>
        </w:rPr>
        <w:lastRenderedPageBreak/>
        <w:t xml:space="preserve">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27FEDCF" w14:textId="77777777" w:rsidR="001D4788" w:rsidRDefault="001D4788">
      <w:pPr>
        <w:spacing w:line="360" w:lineRule="auto"/>
        <w:jc w:val="both"/>
        <w:rPr>
          <w:rFonts w:ascii="Palatino Linotype" w:eastAsia="Palatino Linotype" w:hAnsi="Palatino Linotype" w:cs="Palatino Linotype"/>
        </w:rPr>
      </w:pPr>
    </w:p>
    <w:p w14:paraId="40D2E60E" w14:textId="77777777" w:rsidR="001D4788" w:rsidRDefault="001D4788">
      <w:pPr>
        <w:spacing w:line="360" w:lineRule="auto"/>
        <w:jc w:val="both"/>
        <w:rPr>
          <w:rFonts w:ascii="Palatino Linotype" w:eastAsia="Palatino Linotype" w:hAnsi="Palatino Linotype" w:cs="Palatino Linotype"/>
        </w:rPr>
      </w:pPr>
    </w:p>
    <w:p w14:paraId="75D08857" w14:textId="77777777" w:rsidR="001D4788" w:rsidRDefault="00B124AE">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5C0B68F7" w14:textId="77777777" w:rsidR="001D4788" w:rsidRDefault="001D4788">
      <w:pPr>
        <w:jc w:val="center"/>
        <w:rPr>
          <w:rFonts w:ascii="Palatino Linotype" w:eastAsia="Palatino Linotype" w:hAnsi="Palatino Linotype" w:cs="Palatino Linotype"/>
          <w:b/>
          <w:sz w:val="28"/>
          <w:szCs w:val="28"/>
        </w:rPr>
      </w:pPr>
    </w:p>
    <w:p w14:paraId="3CC6B335" w14:textId="77777777" w:rsidR="001D4788" w:rsidRDefault="00B124AE">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2DD5CC2D" w14:textId="77777777" w:rsidR="001D4788" w:rsidRDefault="00B124AE">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E069E9B" w14:textId="77777777" w:rsidR="001D4788" w:rsidRDefault="001D4788">
      <w:pPr>
        <w:widowControl w:val="0"/>
        <w:tabs>
          <w:tab w:val="left" w:pos="1701"/>
          <w:tab w:val="left" w:pos="2977"/>
        </w:tabs>
        <w:spacing w:line="360" w:lineRule="auto"/>
        <w:jc w:val="both"/>
        <w:rPr>
          <w:rFonts w:ascii="Palatino Linotype" w:eastAsia="Palatino Linotype" w:hAnsi="Palatino Linotype" w:cs="Palatino Linotype"/>
        </w:rPr>
      </w:pPr>
    </w:p>
    <w:p w14:paraId="5EFF8C5B"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0CB85634" w14:textId="77777777" w:rsidR="001D4788" w:rsidRDefault="00B124AE">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Los Recursos de Revisión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w:t>
      </w:r>
      <w:r>
        <w:rPr>
          <w:rFonts w:ascii="Palatino Linotype" w:eastAsia="Palatino Linotype" w:hAnsi="Palatino Linotype" w:cs="Palatino Linotype"/>
          <w:color w:val="000000"/>
        </w:rPr>
        <w:lastRenderedPageBreak/>
        <w:t xml:space="preserve">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16CFC5E3" w14:textId="77777777" w:rsidR="001D4788" w:rsidRDefault="001D478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BE74365" w14:textId="77777777" w:rsidR="001D4788" w:rsidRDefault="001D4788">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21160CB" w14:textId="77777777" w:rsidR="001D4788" w:rsidRDefault="00B124AE">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Justificación de la Acumulación de los Recursos.</w:t>
      </w:r>
      <w:r>
        <w:rPr>
          <w:rFonts w:ascii="Palatino Linotype" w:eastAsia="Palatino Linotype" w:hAnsi="Palatino Linotype" w:cs="Palatino Linotype"/>
        </w:rPr>
        <w:t xml:space="preserve"> </w:t>
      </w:r>
    </w:p>
    <w:p w14:paraId="5FBB2330" w14:textId="77777777" w:rsidR="001D4788" w:rsidRDefault="00B124AE">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acumulados, se advierte que en los Recursos de Revisión </w:t>
      </w:r>
      <w:r>
        <w:rPr>
          <w:rFonts w:ascii="Palatino Linotype" w:eastAsia="Palatino Linotype" w:hAnsi="Palatino Linotype" w:cs="Palatino Linotype"/>
          <w:b/>
        </w:rPr>
        <w:t xml:space="preserve">12517/INFOEM/IP/RR/2022, 12518/INFOEM/IP/RR/2022, 12519/INFOEM/IP/RR/2022 y 12520/INFOEM/IP/RR/2022, </w:t>
      </w:r>
      <w:r>
        <w:rPr>
          <w:rFonts w:ascii="Palatino Linotype" w:eastAsia="Palatino Linotype" w:hAnsi="Palatino Linotype" w:cs="Palatino Linotype"/>
        </w:rPr>
        <w:t xml:space="preserve">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de los actos u omisiones del mismo </w:t>
      </w:r>
      <w:r>
        <w:rPr>
          <w:rFonts w:ascii="Palatino Linotype" w:eastAsia="Palatino Linotype" w:hAnsi="Palatino Linotype" w:cs="Palatino Linotype"/>
          <w:b/>
        </w:rPr>
        <w:t>SUJETO OBLIGADO</w:t>
      </w:r>
      <w:r>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941C14E" w14:textId="77777777" w:rsidR="001D4788" w:rsidRDefault="001D4788">
      <w:pPr>
        <w:tabs>
          <w:tab w:val="left" w:pos="8222"/>
        </w:tabs>
        <w:ind w:left="851" w:right="1134"/>
        <w:jc w:val="center"/>
        <w:rPr>
          <w:rFonts w:ascii="Palatino Linotype" w:eastAsia="Palatino Linotype" w:hAnsi="Palatino Linotype" w:cs="Palatino Linotype"/>
          <w:b/>
          <w:i/>
          <w:sz w:val="22"/>
          <w:szCs w:val="22"/>
        </w:rPr>
      </w:pPr>
    </w:p>
    <w:p w14:paraId="5AA19125" w14:textId="77777777" w:rsidR="001D4788" w:rsidRDefault="00B124AE">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14:paraId="034A210C" w14:textId="77777777" w:rsidR="001D4788" w:rsidRDefault="00B124AE">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 xml:space="preserve">resulte conveniente el trámite unificado de los asuntos, para evitar la </w:t>
      </w:r>
      <w:r>
        <w:rPr>
          <w:rFonts w:ascii="Palatino Linotype" w:eastAsia="Palatino Linotype" w:hAnsi="Palatino Linotype" w:cs="Palatino Linotype"/>
          <w:b/>
          <w:i/>
          <w:sz w:val="22"/>
          <w:szCs w:val="22"/>
          <w:u w:val="single"/>
        </w:rPr>
        <w:lastRenderedPageBreak/>
        <w:t>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14:paraId="4DE26C5A" w14:textId="77777777" w:rsidR="001D4788" w:rsidRDefault="00B124AE">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Acceso a la Información Pública del Estado de México y Municipios </w:t>
      </w:r>
    </w:p>
    <w:p w14:paraId="02638BDF" w14:textId="77777777" w:rsidR="001D4788" w:rsidRDefault="00B124AE">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3FF9A5F4" w14:textId="77777777" w:rsidR="001D4788" w:rsidRDefault="00B124AE">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67606778" w14:textId="77777777" w:rsidR="001D4788" w:rsidRDefault="001D4788">
      <w:pPr>
        <w:jc w:val="both"/>
        <w:rPr>
          <w:rFonts w:ascii="Palatino Linotype" w:eastAsia="Palatino Linotype" w:hAnsi="Palatino Linotype" w:cs="Palatino Linotype"/>
          <w:b/>
        </w:rPr>
      </w:pPr>
    </w:p>
    <w:p w14:paraId="786E51AA" w14:textId="77777777" w:rsidR="001D4788" w:rsidRDefault="00B124AE">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dispuesto en los numerales citados en el párrafo que antecede, dicha acumulación procede cuando:</w:t>
      </w:r>
    </w:p>
    <w:p w14:paraId="3B3FD640" w14:textId="77777777" w:rsidR="001D4788" w:rsidRDefault="00B124AE">
      <w:pPr>
        <w:numPr>
          <w:ilvl w:val="0"/>
          <w:numId w:val="2"/>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14:paraId="1B0B39E2" w14:textId="77777777" w:rsidR="001D4788" w:rsidRDefault="00B124AE">
      <w:pPr>
        <w:numPr>
          <w:ilvl w:val="0"/>
          <w:numId w:val="2"/>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14:paraId="18B84468" w14:textId="77777777" w:rsidR="001D4788" w:rsidRDefault="00B124AE">
      <w:pPr>
        <w:numPr>
          <w:ilvl w:val="0"/>
          <w:numId w:val="2"/>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14:paraId="7025112F" w14:textId="77777777" w:rsidR="001D4788" w:rsidRDefault="00B124AE">
      <w:pPr>
        <w:numPr>
          <w:ilvl w:val="0"/>
          <w:numId w:val="2"/>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14:paraId="59113C3F" w14:textId="77777777" w:rsidR="001D4788" w:rsidRDefault="001D4788">
      <w:pPr>
        <w:widowControl w:val="0"/>
        <w:spacing w:line="360" w:lineRule="auto"/>
        <w:jc w:val="both"/>
        <w:rPr>
          <w:rFonts w:ascii="Palatino Linotype" w:eastAsia="Palatino Linotype" w:hAnsi="Palatino Linotype" w:cs="Palatino Linotype"/>
        </w:rPr>
      </w:pPr>
    </w:p>
    <w:p w14:paraId="0541269D"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como se mencionó anteriormente, los Recursos de Revisión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2F7313D4" w14:textId="77777777" w:rsidR="001D4788" w:rsidRDefault="001D4788">
      <w:pPr>
        <w:tabs>
          <w:tab w:val="center" w:pos="4252"/>
          <w:tab w:val="right" w:pos="8504"/>
        </w:tabs>
        <w:spacing w:line="360" w:lineRule="auto"/>
        <w:ind w:left="-57"/>
        <w:jc w:val="both"/>
        <w:rPr>
          <w:rFonts w:ascii="Palatino Linotype" w:eastAsia="Palatino Linotype" w:hAnsi="Palatino Linotype" w:cs="Palatino Linotype"/>
          <w:b/>
        </w:rPr>
      </w:pPr>
    </w:p>
    <w:p w14:paraId="6CCC67BB" w14:textId="77777777" w:rsidR="001D4788" w:rsidRDefault="00B124AE">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78B46837" w14:textId="77777777" w:rsidR="001D4788" w:rsidRDefault="00B124A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color w:val="000000"/>
        </w:rPr>
        <w:t xml:space="preserve">tuvo conocimiento de las </w:t>
      </w:r>
      <w:r>
        <w:rPr>
          <w:rFonts w:ascii="Palatino Linotype" w:eastAsia="Palatino Linotype" w:hAnsi="Palatino Linotype" w:cs="Palatino Linotype"/>
          <w:color w:val="000000"/>
        </w:rPr>
        <w:lastRenderedPageBreak/>
        <w:t>respuestas impugnadas; tal y como, lo prevé el artículo 178 de la Ley de Transparencia y Acceso a la Información Pública del Estado de México y Municipios, que establece:</w:t>
      </w:r>
    </w:p>
    <w:p w14:paraId="3C0F0CC7" w14:textId="77777777" w:rsidR="001D4788" w:rsidRDefault="001D4788">
      <w:pPr>
        <w:ind w:left="720" w:right="709"/>
        <w:jc w:val="both"/>
        <w:rPr>
          <w:rFonts w:ascii="Palatino Linotype" w:eastAsia="Palatino Linotype" w:hAnsi="Palatino Linotype" w:cs="Palatino Linotype"/>
          <w:i/>
          <w:sz w:val="22"/>
          <w:szCs w:val="22"/>
        </w:rPr>
      </w:pPr>
    </w:p>
    <w:p w14:paraId="2869FF71"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796107" w14:textId="77777777" w:rsidR="001D4788" w:rsidRDefault="001D4788">
      <w:pPr>
        <w:ind w:left="851" w:right="899"/>
        <w:jc w:val="both"/>
        <w:rPr>
          <w:rFonts w:ascii="Palatino Linotype" w:eastAsia="Palatino Linotype" w:hAnsi="Palatino Linotype" w:cs="Palatino Linotype"/>
          <w:i/>
          <w:sz w:val="22"/>
          <w:szCs w:val="22"/>
        </w:rPr>
      </w:pPr>
    </w:p>
    <w:p w14:paraId="1C8C0E41"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40B9CBE" w14:textId="77777777" w:rsidR="001D4788" w:rsidRDefault="001D4788">
      <w:pPr>
        <w:ind w:left="851" w:right="899"/>
        <w:jc w:val="both"/>
        <w:rPr>
          <w:rFonts w:ascii="Palatino Linotype" w:eastAsia="Palatino Linotype" w:hAnsi="Palatino Linotype" w:cs="Palatino Linotype"/>
          <w:i/>
          <w:sz w:val="22"/>
          <w:szCs w:val="22"/>
        </w:rPr>
      </w:pPr>
    </w:p>
    <w:p w14:paraId="0C8909A8"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0442357" w14:textId="77777777" w:rsidR="001D4788" w:rsidRDefault="001D4788">
      <w:pPr>
        <w:ind w:left="720" w:right="709"/>
        <w:jc w:val="both"/>
        <w:rPr>
          <w:rFonts w:ascii="Palatino Linotype" w:eastAsia="Palatino Linotype" w:hAnsi="Palatino Linotype" w:cs="Palatino Linotype"/>
          <w:i/>
          <w:sz w:val="22"/>
          <w:szCs w:val="22"/>
        </w:rPr>
      </w:pPr>
    </w:p>
    <w:p w14:paraId="510C61A6" w14:textId="77777777" w:rsidR="001D4788" w:rsidRDefault="00B124AE">
      <w:pPr>
        <w:spacing w:line="360" w:lineRule="auto"/>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Acceso a la Información Pública el día</w:t>
      </w:r>
      <w:r>
        <w:rPr>
          <w:rFonts w:ascii="Palatino Linotype" w:eastAsia="Palatino Linotype" w:hAnsi="Palatino Linotype" w:cs="Palatino Linotype"/>
          <w:b/>
        </w:rPr>
        <w:t xml:space="preserve"> cuatro de julio de dos mil 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para presentar el respectivo Recurso de Revisión, transcurrió del </w:t>
      </w:r>
      <w:r>
        <w:rPr>
          <w:rFonts w:ascii="Palatino Linotype" w:eastAsia="Palatino Linotype" w:hAnsi="Palatino Linotype" w:cs="Palatino Linotype"/>
          <w:b/>
        </w:rPr>
        <w:t>cinco de julio al ocho de agosto de dos mil veintidós.</w:t>
      </w:r>
      <w:r>
        <w:rPr>
          <w:rFonts w:ascii="Palatino Linotype" w:eastAsia="Palatino Linotype" w:hAnsi="Palatino Linotype" w:cs="Palatino Linotype"/>
        </w:rPr>
        <w:t xml:space="preserve"> Sin contemplar en el cómputo los días nueve, diez, dieciséis y diecisiete de julio, así como uno, </w:t>
      </w:r>
      <w:proofErr w:type="spellStart"/>
      <w:r>
        <w:rPr>
          <w:rFonts w:ascii="Palatino Linotype" w:eastAsia="Palatino Linotype" w:hAnsi="Palatino Linotype" w:cs="Palatino Linotype"/>
        </w:rPr>
        <w:t>esi</w:t>
      </w:r>
      <w:proofErr w:type="spellEnd"/>
      <w:r>
        <w:rPr>
          <w:rFonts w:ascii="Palatino Linotype" w:eastAsia="Palatino Linotype" w:hAnsi="Palatino Linotype" w:cs="Palatino Linotype"/>
        </w:rPr>
        <w:t xml:space="preserve"> y siete de agosto de dos mil veintidós por corresponder a sábados y domingos, considerados como días inhábiles, en términos del artículo 3, fracción X de la Ley de Transparencia y Acceso a la Información Pública del Estado de México y Municipios. Además del periodo transcurrido del dieciocho al veintinueve de julio de la anualidad, por ser considerado como días inhábiles por periodo vacacional en términos del Calendario Oficial en Materia de Transparencia, Acceso a la Información Pública y </w:t>
      </w:r>
      <w:r>
        <w:rPr>
          <w:rFonts w:ascii="Palatino Linotype" w:eastAsia="Palatino Linotype" w:hAnsi="Palatino Linotype" w:cs="Palatino Linotype"/>
        </w:rPr>
        <w:lastRenderedPageBreak/>
        <w:t>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630AFB1D" w14:textId="77777777" w:rsidR="001D4788" w:rsidRDefault="001D4788">
      <w:pPr>
        <w:spacing w:line="360" w:lineRule="auto"/>
        <w:jc w:val="both"/>
        <w:rPr>
          <w:rFonts w:ascii="Palatino Linotype" w:eastAsia="Palatino Linotype" w:hAnsi="Palatino Linotype" w:cs="Palatino Linotype"/>
        </w:rPr>
      </w:pPr>
      <w:bookmarkStart w:id="3" w:name="_heading=h.pams53xt1pwn" w:colFirst="0" w:colLast="0"/>
      <w:bookmarkEnd w:id="3"/>
    </w:p>
    <w:p w14:paraId="37507FA5" w14:textId="77777777" w:rsidR="001D4788" w:rsidRDefault="00B124AE">
      <w:pP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los medios de impugnación, el día siete de julio  y, en consecuencia, los Recursos de Revisión de mérito se encuentran dentro del plazo dispuesto en el artículo 178, de la Ley de Transparencia y Acceso a la Información Pública del Estado de México y Municipios. </w:t>
      </w:r>
    </w:p>
    <w:p w14:paraId="263DBD4D" w14:textId="77777777" w:rsidR="001D4788" w:rsidRDefault="001D4788">
      <w:pPr>
        <w:spacing w:before="200" w:after="200" w:line="360" w:lineRule="auto"/>
        <w:jc w:val="both"/>
        <w:rPr>
          <w:rFonts w:ascii="Palatino Linotype" w:eastAsia="Palatino Linotype" w:hAnsi="Palatino Linotype" w:cs="Palatino Linotype"/>
        </w:rPr>
      </w:pPr>
    </w:p>
    <w:p w14:paraId="2993FD14" w14:textId="77777777" w:rsidR="001D4788" w:rsidRDefault="00B124AE">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Procedibilidad. </w:t>
      </w:r>
    </w:p>
    <w:p w14:paraId="2D60B465"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1F54F25" w14:textId="77777777" w:rsidR="001D4788" w:rsidRDefault="001D4788">
      <w:pPr>
        <w:spacing w:line="360" w:lineRule="auto"/>
        <w:ind w:right="49"/>
        <w:jc w:val="both"/>
        <w:rPr>
          <w:rFonts w:ascii="Palatino Linotype" w:eastAsia="Palatino Linotype" w:hAnsi="Palatino Linotype" w:cs="Palatino Linotype"/>
        </w:rPr>
      </w:pPr>
    </w:p>
    <w:p w14:paraId="6AEA3114" w14:textId="77777777" w:rsidR="001D4788" w:rsidRDefault="00B124AE">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3569C92C" w14:textId="77777777" w:rsidR="001D4788" w:rsidRDefault="00B124AE">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6576F08" w14:textId="77777777" w:rsidR="001D4788" w:rsidRDefault="00B124AE">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14:paraId="534B5BC6" w14:textId="77777777" w:rsidR="001D4788" w:rsidRDefault="00B124AE">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0D0C9AEB" w14:textId="77777777" w:rsidR="001D4788" w:rsidRDefault="00B124AE">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79FD0A2" w14:textId="77777777" w:rsidR="001D4788" w:rsidRDefault="001D4788">
      <w:pPr>
        <w:tabs>
          <w:tab w:val="left" w:pos="851"/>
        </w:tabs>
        <w:ind w:right="901"/>
        <w:jc w:val="both"/>
        <w:rPr>
          <w:rFonts w:ascii="Palatino Linotype" w:eastAsia="Palatino Linotype" w:hAnsi="Palatino Linotype" w:cs="Palatino Linotype"/>
          <w:i/>
          <w:sz w:val="22"/>
          <w:szCs w:val="22"/>
        </w:rPr>
      </w:pPr>
    </w:p>
    <w:p w14:paraId="0913B796"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476BC13" w14:textId="77777777" w:rsidR="001D4788" w:rsidRDefault="001D4788">
      <w:pPr>
        <w:spacing w:line="360" w:lineRule="auto"/>
        <w:jc w:val="both"/>
        <w:rPr>
          <w:rFonts w:ascii="Palatino Linotype" w:eastAsia="Palatino Linotype" w:hAnsi="Palatino Linotype" w:cs="Palatino Linotype"/>
          <w:b/>
        </w:rPr>
      </w:pPr>
    </w:p>
    <w:p w14:paraId="6A1A02C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2E9C9B7" w14:textId="77777777" w:rsidR="001D4788" w:rsidRDefault="001D4788">
      <w:pPr>
        <w:spacing w:line="360" w:lineRule="auto"/>
        <w:jc w:val="both"/>
        <w:rPr>
          <w:rFonts w:ascii="Palatino Linotype" w:eastAsia="Palatino Linotype" w:hAnsi="Palatino Linotype" w:cs="Palatino Linotype"/>
        </w:rPr>
      </w:pPr>
    </w:p>
    <w:p w14:paraId="5DEC2C26" w14:textId="77777777" w:rsidR="001D4788" w:rsidRDefault="00B124AE">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Pr>
          <w:rFonts w:ascii="Palatino Linotype" w:eastAsia="Palatino Linotype" w:hAnsi="Palatino Linotype" w:cs="Palatino Linotype"/>
        </w:rPr>
        <w:lastRenderedPageBreak/>
        <w:t>de acreditar interés alguno o justificar su utilización, tendrá acceso gratuito a la Información Pública.</w:t>
      </w:r>
    </w:p>
    <w:p w14:paraId="48669043" w14:textId="77777777" w:rsidR="001D4788" w:rsidRDefault="001D4788">
      <w:pPr>
        <w:tabs>
          <w:tab w:val="left" w:pos="851"/>
        </w:tabs>
        <w:ind w:left="851" w:right="901"/>
        <w:jc w:val="both"/>
        <w:rPr>
          <w:rFonts w:ascii="Palatino Linotype" w:eastAsia="Palatino Linotype" w:hAnsi="Palatino Linotype" w:cs="Palatino Linotype"/>
          <w:sz w:val="22"/>
          <w:szCs w:val="22"/>
        </w:rPr>
      </w:pPr>
    </w:p>
    <w:p w14:paraId="21B93EBF"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5AA8E826" w14:textId="77777777" w:rsidR="001D4788" w:rsidRDefault="001D4788">
      <w:pPr>
        <w:tabs>
          <w:tab w:val="left" w:pos="851"/>
        </w:tabs>
        <w:ind w:left="851" w:right="901"/>
        <w:jc w:val="both"/>
        <w:rPr>
          <w:rFonts w:ascii="Palatino Linotype" w:eastAsia="Palatino Linotype" w:hAnsi="Palatino Linotype" w:cs="Palatino Linotype"/>
          <w:sz w:val="22"/>
          <w:szCs w:val="22"/>
        </w:rPr>
      </w:pPr>
    </w:p>
    <w:p w14:paraId="1CDECD94"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A815D17" w14:textId="77777777" w:rsidR="001D4788" w:rsidRDefault="001D4788">
      <w:pPr>
        <w:spacing w:line="360" w:lineRule="auto"/>
        <w:jc w:val="both"/>
        <w:rPr>
          <w:rFonts w:ascii="Palatino Linotype" w:eastAsia="Palatino Linotype" w:hAnsi="Palatino Linotype" w:cs="Palatino Linotype"/>
          <w:b/>
          <w:sz w:val="28"/>
          <w:szCs w:val="28"/>
        </w:rPr>
      </w:pPr>
    </w:p>
    <w:p w14:paraId="3FDD0948"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rPr>
        <w:t xml:space="preserve">. Estudio y resolución del asunto. </w:t>
      </w:r>
    </w:p>
    <w:p w14:paraId="1DB9E567"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recordar que, en su conjunto, el particular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Nómina general, lista de raya, contrataciones por honorarios y todos los pagos que se hagan por concepto de nómina de los años 2019, 2020, 2021 y del periodo transcurrido del uno de enero al 31 de mayo de 2022.</w:t>
      </w:r>
    </w:p>
    <w:p w14:paraId="7FA25683" w14:textId="77777777" w:rsidR="001D4788" w:rsidRDefault="001D4788">
      <w:pPr>
        <w:spacing w:line="360" w:lineRule="auto"/>
        <w:ind w:right="49"/>
        <w:jc w:val="both"/>
        <w:rPr>
          <w:rFonts w:ascii="Palatino Linotype" w:eastAsia="Palatino Linotype" w:hAnsi="Palatino Linotype" w:cs="Palatino Linotype"/>
        </w:rPr>
      </w:pPr>
    </w:p>
    <w:p w14:paraId="11DDE557"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 lo que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hizo entrega de un enlace electrónico, que dirige a su portal de IPOMEX en el apartado de Remuneraciones, motivo por el cual el particular se inconformó señalando que dicha información no corresponde con la información solicitada. </w:t>
      </w:r>
    </w:p>
    <w:p w14:paraId="08B3F6ED" w14:textId="77777777" w:rsidR="001D4788" w:rsidRDefault="001D4788">
      <w:pPr>
        <w:spacing w:line="360" w:lineRule="auto"/>
        <w:ind w:right="49"/>
        <w:jc w:val="both"/>
        <w:rPr>
          <w:rFonts w:ascii="Palatino Linotype" w:eastAsia="Palatino Linotype" w:hAnsi="Palatino Linotype" w:cs="Palatino Linotype"/>
        </w:rPr>
      </w:pPr>
    </w:p>
    <w:p w14:paraId="7B149E09"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Lo que, en consecuencia actualiza la causal de procedencia establecida en el artículo 179 de la Ley de Transparencia y acceso  a la Información Pública del Estado de México y Municipios  en su fracción VI que señala lo siguiente :</w:t>
      </w:r>
    </w:p>
    <w:p w14:paraId="60FFCB75" w14:textId="77777777" w:rsidR="001D4788" w:rsidRDefault="00B124AE">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502D4203" w14:textId="77777777" w:rsidR="001D4788" w:rsidRDefault="00B124AE">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La entrega de información que no corresponda con lo solicitado;”</w:t>
      </w:r>
    </w:p>
    <w:p w14:paraId="734A4640" w14:textId="77777777" w:rsidR="001D4788" w:rsidRDefault="00B124AE">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3760B4D" w14:textId="77777777" w:rsidR="001D4788" w:rsidRDefault="001D4788">
      <w:pPr>
        <w:widowControl w:val="0"/>
        <w:spacing w:line="360" w:lineRule="auto"/>
        <w:jc w:val="both"/>
        <w:rPr>
          <w:rFonts w:ascii="Palatino Linotype" w:eastAsia="Palatino Linotype" w:hAnsi="Palatino Linotype" w:cs="Palatino Linotype"/>
        </w:rPr>
      </w:pPr>
    </w:p>
    <w:p w14:paraId="629C3ACC"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cual, lo procedente es analizar la totalidad de las constancias que obran en el expediente electrónico del SAIMEX para determinar si con ellas se puede colmar el derecho de acceso a la información del particular. </w:t>
      </w:r>
    </w:p>
    <w:p w14:paraId="1E889C4C" w14:textId="77777777" w:rsidR="001D4788" w:rsidRDefault="001D4788">
      <w:pPr>
        <w:widowControl w:val="0"/>
        <w:spacing w:line="360" w:lineRule="auto"/>
        <w:jc w:val="both"/>
        <w:rPr>
          <w:rFonts w:ascii="Palatino Linotype" w:eastAsia="Palatino Linotype" w:hAnsi="Palatino Linotype" w:cs="Palatino Linotype"/>
        </w:rPr>
      </w:pPr>
    </w:p>
    <w:p w14:paraId="79E0D092"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pues, es de señalar que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0AE5D63" w14:textId="77777777" w:rsidR="001D4788" w:rsidRDefault="00B124AE">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C416B9D" w14:textId="77777777" w:rsidR="001D4788" w:rsidRDefault="00B124AE">
      <w:pPr>
        <w:ind w:left="709" w:right="760"/>
        <w:jc w:val="both"/>
        <w:rPr>
          <w:rFonts w:ascii="Palatino Linotype" w:eastAsia="Palatino Linotype" w:hAnsi="Palatino Linotype" w:cs="Palatino Linotype"/>
          <w:i/>
          <w:sz w:val="22"/>
          <w:szCs w:val="22"/>
        </w:rPr>
      </w:pPr>
      <w:bookmarkStart w:id="4" w:name="_heading=h.gjdgxs" w:colFirst="0" w:colLast="0"/>
      <w:bookmarkEnd w:id="4"/>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4CA5F44" w14:textId="77777777" w:rsidR="001D4788" w:rsidRDefault="00B124AE">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12B5B003" w14:textId="77777777" w:rsidR="001D4788" w:rsidRDefault="001D4788">
      <w:pPr>
        <w:spacing w:line="360" w:lineRule="auto"/>
        <w:jc w:val="both"/>
        <w:rPr>
          <w:rFonts w:ascii="Palatino Linotype" w:eastAsia="Palatino Linotype" w:hAnsi="Palatino Linotype" w:cs="Palatino Linotype"/>
        </w:rPr>
      </w:pPr>
    </w:p>
    <w:p w14:paraId="5F2E23C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w:t>
      </w:r>
      <w:r>
        <w:rPr>
          <w:rFonts w:ascii="Palatino Linotype" w:eastAsia="Palatino Linotype" w:hAnsi="Palatino Linotype" w:cs="Palatino Linotype"/>
        </w:rPr>
        <w:lastRenderedPageBreak/>
        <w:t>solicitante; como así lo establece el artículo 12 de la Ley de Transparencia y Acceso a la Información Pública del Estado de México y Municipios, que a la letra dice:</w:t>
      </w:r>
    </w:p>
    <w:p w14:paraId="081E7397" w14:textId="77777777" w:rsidR="001D4788" w:rsidRDefault="00B124A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3451E7B" w14:textId="77777777" w:rsidR="001D4788" w:rsidRDefault="001D4788">
      <w:pPr>
        <w:ind w:left="567" w:right="758"/>
        <w:jc w:val="both"/>
        <w:rPr>
          <w:rFonts w:ascii="Palatino Linotype" w:eastAsia="Palatino Linotype" w:hAnsi="Palatino Linotype" w:cs="Palatino Linotype"/>
          <w:i/>
          <w:sz w:val="22"/>
          <w:szCs w:val="22"/>
        </w:rPr>
      </w:pPr>
    </w:p>
    <w:p w14:paraId="5DAF181E" w14:textId="77777777" w:rsidR="001D4788" w:rsidRDefault="00B124AE">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13D2306" w14:textId="77777777" w:rsidR="001D4788" w:rsidRDefault="001D4788">
      <w:pPr>
        <w:spacing w:line="360" w:lineRule="auto"/>
        <w:ind w:right="-93"/>
        <w:jc w:val="both"/>
        <w:rPr>
          <w:rFonts w:ascii="Palatino Linotype" w:eastAsia="Palatino Linotype" w:hAnsi="Palatino Linotype" w:cs="Palatino Linotype"/>
        </w:rPr>
      </w:pPr>
    </w:p>
    <w:p w14:paraId="417554C7"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Transparencia, Acceso a la Información Pública del Estado de México y Municipios,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422797" w14:textId="77777777" w:rsidR="001D4788" w:rsidRDefault="001D4788">
      <w:pPr>
        <w:spacing w:line="360" w:lineRule="auto"/>
        <w:jc w:val="both"/>
        <w:rPr>
          <w:rFonts w:ascii="Palatino Linotype" w:eastAsia="Palatino Linotype" w:hAnsi="Palatino Linotype" w:cs="Palatino Linotype"/>
        </w:rPr>
      </w:pPr>
    </w:p>
    <w:p w14:paraId="7DF5A8C3"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4584A08" w14:textId="77777777" w:rsidR="001D4788" w:rsidRDefault="001D4788">
      <w:pPr>
        <w:spacing w:line="360" w:lineRule="auto"/>
        <w:ind w:right="49"/>
        <w:jc w:val="both"/>
        <w:rPr>
          <w:rFonts w:ascii="Palatino Linotype" w:eastAsia="Palatino Linotype" w:hAnsi="Palatino Linotype" w:cs="Palatino Linotype"/>
        </w:rPr>
      </w:pPr>
    </w:p>
    <w:p w14:paraId="5A1D053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5E4043" w14:textId="77777777" w:rsidR="001D4788" w:rsidRDefault="001D4788">
      <w:pPr>
        <w:ind w:left="851" w:right="899"/>
        <w:jc w:val="both"/>
        <w:rPr>
          <w:rFonts w:ascii="Palatino Linotype" w:eastAsia="Palatino Linotype" w:hAnsi="Palatino Linotype" w:cs="Palatino Linotype"/>
          <w:i/>
          <w:sz w:val="22"/>
          <w:szCs w:val="22"/>
        </w:rPr>
      </w:pPr>
    </w:p>
    <w:p w14:paraId="08D41B0B"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C1E1A29"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DE7455" w14:textId="77777777" w:rsidR="001D4788" w:rsidRDefault="00B124AE">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621A7C3" w14:textId="77777777" w:rsidR="001D4788" w:rsidRDefault="001D4788">
      <w:pPr>
        <w:ind w:left="851" w:right="899"/>
        <w:jc w:val="both"/>
        <w:rPr>
          <w:rFonts w:ascii="Palatino Linotype" w:eastAsia="Palatino Linotype" w:hAnsi="Palatino Linotype" w:cs="Palatino Linotype"/>
          <w:sz w:val="22"/>
          <w:szCs w:val="22"/>
        </w:rPr>
      </w:pPr>
    </w:p>
    <w:p w14:paraId="742DB73B" w14:textId="77777777" w:rsidR="001D4788" w:rsidRDefault="001D4788">
      <w:pPr>
        <w:spacing w:line="360" w:lineRule="auto"/>
        <w:ind w:right="49"/>
        <w:jc w:val="both"/>
        <w:rPr>
          <w:rFonts w:ascii="Palatino Linotype" w:eastAsia="Palatino Linotype" w:hAnsi="Palatino Linotype" w:cs="Palatino Linotype"/>
        </w:rPr>
      </w:pPr>
    </w:p>
    <w:p w14:paraId="18DB5902"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y armónica de los preceptos anteriores, se puede señalar que los Sujetos Obligados, deben privilegiar el derecho de Acceso a la Información pública y el principio de máxima publicidad, poniendo a disposición de los particulares toda aquella información que generan poseen o administran en ejercicio de sus funciones, y que además conste un soporte documental como los son oficios, circulares, actas, entre otros. </w:t>
      </w:r>
    </w:p>
    <w:p w14:paraId="31F25DE5" w14:textId="77777777" w:rsidR="001D4788" w:rsidRDefault="00B124A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señalado lo anterior, cabe precisar que el artículo 115 de la Constitución Política de los Estados Unidos Mexicanos, en su fracción IV, establece que los municipios administrarán libremente su hacienda, la cual se formará de los rendimientos de los bienes que les pertenezcan, así como de las contribuciones y otros ingresos que las legislaturas establezcan a su favor. Por su parte, las legislaturas de los Estados aprobarán las leyes de ingresos de los municipios, revisarán y fiscalizarán sus cuentas públicas, como se observa a continuación: </w:t>
      </w:r>
    </w:p>
    <w:p w14:paraId="3A08EE90" w14:textId="77777777" w:rsidR="001D4788" w:rsidRDefault="00B124AE">
      <w:pPr>
        <w:tabs>
          <w:tab w:val="left" w:pos="426"/>
        </w:tabs>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“Título Quinto </w:t>
      </w:r>
    </w:p>
    <w:p w14:paraId="03B4D206"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De los Estados de la Federación y de la Ciudad de México</w:t>
      </w:r>
      <w:r>
        <w:rPr>
          <w:rFonts w:ascii="Palatino Linotype" w:eastAsia="Palatino Linotype" w:hAnsi="Palatino Linotype" w:cs="Palatino Linotype"/>
          <w:i/>
          <w:sz w:val="22"/>
          <w:szCs w:val="22"/>
        </w:rPr>
        <w:t xml:space="preserve"> </w:t>
      </w:r>
    </w:p>
    <w:p w14:paraId="4AE9DD23"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115</w:t>
      </w:r>
      <w:r>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8D560F5" w14:textId="77777777" w:rsidR="001D4788" w:rsidRDefault="001D4788">
      <w:pPr>
        <w:tabs>
          <w:tab w:val="left" w:pos="426"/>
        </w:tabs>
        <w:ind w:left="850" w:right="899"/>
        <w:jc w:val="both"/>
        <w:rPr>
          <w:rFonts w:ascii="Palatino Linotype" w:eastAsia="Palatino Linotype" w:hAnsi="Palatino Linotype" w:cs="Palatino Linotype"/>
          <w:b/>
          <w:i/>
          <w:sz w:val="22"/>
          <w:szCs w:val="22"/>
        </w:rPr>
      </w:pPr>
    </w:p>
    <w:p w14:paraId="7CF5574A"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Los municipios administrarán libremente su hacienda</w:t>
      </w:r>
      <w:r>
        <w:rPr>
          <w:rFonts w:ascii="Palatino Linotype" w:eastAsia="Palatino Linotype" w:hAnsi="Palatino Linotype" w:cs="Palatino Linotype"/>
          <w:i/>
          <w:sz w:val="22"/>
          <w:szCs w:val="22"/>
        </w:rPr>
        <w:t xml:space="preserve">, la cual se formará de los rendimientos de los bienes que les pertenezcan, así como de las contribuciones y otros ingresos que las legislaturas establezcan a su favor, y en todo caso: </w:t>
      </w:r>
    </w:p>
    <w:p w14:paraId="6B22AC3D"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Percibirán las contribuciones, incluyendo tasas adicionales, que establezcan los Estados sobre la propiedad inmobiliaria, de su fraccionamiento, división, consolidación, traslación y mejora así como las que tengan por base el cambio de valor de los inmuebles. Los municipios podrán celebrar convenios con el Estado para que éste se haga cargo de algunas de las funciones relacionadas con la administración de esas contribuciones</w:t>
      </w:r>
    </w:p>
    <w:p w14:paraId="2C3691D4"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 Las participaciones federales, que serán cubiertas por la Federación a los Municipios con arreglo a las bases, montos y plazos que anualmente se determinen por las Legislaturas de los Estados. </w:t>
      </w:r>
    </w:p>
    <w:p w14:paraId="44853A9F"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 Los ingresos derivados de la prestación de servicios públicos a su cargo. </w:t>
      </w:r>
    </w:p>
    <w:p w14:paraId="4626BFFA"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w:t>
      </w:r>
      <w:r>
        <w:rPr>
          <w:rFonts w:ascii="Palatino Linotype" w:eastAsia="Palatino Linotype" w:hAnsi="Palatino Linotype" w:cs="Palatino Linotype"/>
          <w:i/>
          <w:sz w:val="22"/>
          <w:szCs w:val="22"/>
        </w:rPr>
        <w:lastRenderedPageBreak/>
        <w:t xml:space="preserve">federativas o los Municipios, salvo que tales bienes sean utilizados por entidades paraestatales o por particulares, bajo cualquier título, para fines administrativos o propósitos distintos a los de su objeto público. </w:t>
      </w:r>
    </w:p>
    <w:p w14:paraId="579FA7F8"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22FBC03E"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 </w:t>
      </w:r>
    </w:p>
    <w:p w14:paraId="2F0ADAA0"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recursos que integran la hacienda municipal serán ejercidos en forma directa por los ayuntamientos, o bien, por quien ellos autoricen, conforme a la ley”</w:t>
      </w:r>
    </w:p>
    <w:p w14:paraId="4E71E645" w14:textId="77777777" w:rsidR="001D4788" w:rsidRDefault="00B124AE">
      <w:pPr>
        <w:tabs>
          <w:tab w:val="left" w:pos="426"/>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29BBD1C"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2BB29F0F"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sus numerales 125 y 147 establece, en relación con el presupuesto público y las remuneraciones de los trabajadores, lo siguiente:</w:t>
      </w:r>
    </w:p>
    <w:p w14:paraId="7E8CCBA7"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7A6DC844" w14:textId="77777777" w:rsidR="001D4788" w:rsidRDefault="00B124AE">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125.</w:t>
      </w:r>
      <w:r>
        <w:rPr>
          <w:rFonts w:ascii="Palatino Linotype" w:eastAsia="Palatino Linotype" w:hAnsi="Palatino Linotype" w:cs="Palatino Linotype"/>
          <w:i/>
          <w:sz w:val="22"/>
          <w:szCs w:val="22"/>
        </w:rPr>
        <w:t xml:space="preserve"> </w:t>
      </w:r>
    </w:p>
    <w:p w14:paraId="60A8C99E" w14:textId="77777777" w:rsidR="001D4788" w:rsidRDefault="00B124AE">
      <w:pPr>
        <w:spacing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p>
    <w:p w14:paraId="464BA869" w14:textId="77777777" w:rsidR="001D4788" w:rsidRDefault="00B124AE">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Presupuesto deberá incluir los tabuladores desglosados de las remuneraciones que perciban los servidores públicos municipales</w:t>
      </w:r>
      <w:r>
        <w:rPr>
          <w:rFonts w:ascii="Palatino Linotype" w:eastAsia="Palatino Linotype" w:hAnsi="Palatino Linotype" w:cs="Palatino Linotype"/>
          <w:i/>
          <w:sz w:val="22"/>
          <w:szCs w:val="22"/>
        </w:rPr>
        <w:t>, sujetándose a lo dispuesto en el artículo 147 de esta Constitución.</w:t>
      </w:r>
    </w:p>
    <w:p w14:paraId="5F88A134" w14:textId="77777777" w:rsidR="001D4788" w:rsidRDefault="001D4788">
      <w:pPr>
        <w:spacing w:line="276" w:lineRule="auto"/>
        <w:ind w:left="567" w:right="616"/>
        <w:jc w:val="both"/>
        <w:rPr>
          <w:rFonts w:ascii="Palatino Linotype" w:eastAsia="Palatino Linotype" w:hAnsi="Palatino Linotype" w:cs="Palatino Linotype"/>
          <w:i/>
          <w:sz w:val="22"/>
          <w:szCs w:val="22"/>
        </w:rPr>
      </w:pPr>
    </w:p>
    <w:p w14:paraId="179D38A9" w14:textId="77777777" w:rsidR="001D4788" w:rsidRDefault="00B124AE">
      <w:pPr>
        <w:spacing w:line="276"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i/>
          <w:sz w:val="22"/>
          <w:szCs w:val="22"/>
        </w:rPr>
        <w:t xml:space="preserve">Artículo 147.- </w:t>
      </w:r>
      <w:r>
        <w:rPr>
          <w:rFonts w:ascii="Palatino Linotype" w:eastAsia="Palatino Linotype" w:hAnsi="Palatino Linotype" w:cs="Palatino Linotype"/>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Pr>
          <w:rFonts w:ascii="Palatino Linotype" w:eastAsia="Palatino Linotype" w:hAnsi="Palatino Linotype" w:cs="Palatino Linotype"/>
          <w:b/>
          <w:i/>
          <w:sz w:val="22"/>
          <w:szCs w:val="22"/>
        </w:rPr>
        <w:t xml:space="preserve">y demás servidores públicos municipales recibirán una retribución adecuada e irrenunciable por el desempeño </w:t>
      </w:r>
      <w:r>
        <w:rPr>
          <w:rFonts w:ascii="Palatino Linotype" w:eastAsia="Palatino Linotype" w:hAnsi="Palatino Linotype" w:cs="Palatino Linotype"/>
          <w:b/>
          <w:i/>
          <w:sz w:val="22"/>
          <w:szCs w:val="22"/>
        </w:rPr>
        <w:lastRenderedPageBreak/>
        <w:t>de su empleo, cargo o comisión, que será determinada en el presupuesto de egresos que corresponda.”</w:t>
      </w:r>
    </w:p>
    <w:p w14:paraId="05936D09" w14:textId="77777777" w:rsidR="001D4788" w:rsidRDefault="00B124AE">
      <w:pPr>
        <w:spacing w:line="276" w:lineRule="auto"/>
        <w:ind w:left="567" w:right="616"/>
        <w:jc w:val="both"/>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(Énfasis añadido)</w:t>
      </w:r>
    </w:p>
    <w:p w14:paraId="03CAAA3F"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10F1DA4D" w14:textId="77777777" w:rsidR="001D4788" w:rsidRDefault="001D4788">
      <w:pPr>
        <w:spacing w:line="276" w:lineRule="auto"/>
        <w:ind w:left="567" w:right="567"/>
        <w:jc w:val="both"/>
        <w:rPr>
          <w:rFonts w:ascii="Palatino Linotype" w:eastAsia="Palatino Linotype" w:hAnsi="Palatino Linotype" w:cs="Palatino Linotype"/>
          <w:i/>
          <w:sz w:val="20"/>
          <w:szCs w:val="20"/>
        </w:rPr>
      </w:pPr>
    </w:p>
    <w:p w14:paraId="29508448"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Como se advierte del artículo 147 de la Constitución Política del Estado Libre y Soberano de México, los trabajadores al servicio del Estado y los miembros de los Ayuntamientos, recibirán una remuneración adecuada e irrenunciable por el desempeño de su empleo, cargo o comisión, que será determinada en el presupuesto de egresos que corresponda.</w:t>
      </w:r>
    </w:p>
    <w:p w14:paraId="10EF7C80"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4E87F2C5"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el mismo sentido, el Código Financiero del Estado de México y Municipios, en su artículo 3° fracción XXXII define el concepto de remuneración de la siguiente manera:</w:t>
      </w:r>
    </w:p>
    <w:p w14:paraId="50795937"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p>
    <w:p w14:paraId="5A60712A"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0E23E76"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Remuneración:</w:t>
      </w:r>
      <w:r>
        <w:rPr>
          <w:rFonts w:ascii="Palatino Linotype" w:eastAsia="Palatino Linotype" w:hAnsi="Palatino Linotype" w:cs="Palatino Linotype"/>
          <w:i/>
          <w:sz w:val="22"/>
          <w:szCs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4283056A"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7739777"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68866F8B"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w:t>
      </w:r>
      <w:r>
        <w:rPr>
          <w:rFonts w:ascii="Palatino Linotype" w:eastAsia="Palatino Linotype" w:hAnsi="Palatino Linotype" w:cs="Palatino Linotype"/>
        </w:rPr>
        <w:lastRenderedPageBreak/>
        <w:t>establece las facultades y obligaciones de la Legislatura de las cuales podemos resaltar las siguientes:</w:t>
      </w:r>
    </w:p>
    <w:p w14:paraId="087213FF" w14:textId="77777777" w:rsidR="001D4788" w:rsidRDefault="00B124AE">
      <w:pPr>
        <w:spacing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61.</w:t>
      </w:r>
    </w:p>
    <w:p w14:paraId="1B75D1B7" w14:textId="77777777" w:rsidR="001D4788" w:rsidRDefault="00B124AE">
      <w:pPr>
        <w:spacing w:line="276" w:lineRule="auto"/>
        <w:ind w:left="567" w:right="56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11FB162D" w14:textId="77777777" w:rsidR="001D4788" w:rsidRDefault="00B124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XXXIII.</w:t>
      </w:r>
      <w:r>
        <w:rPr>
          <w:rFonts w:ascii="Palatino Linotype" w:eastAsia="Palatino Linotype" w:hAnsi="Palatino Linotype" w:cs="Palatino Linotype"/>
          <w:i/>
          <w:sz w:val="22"/>
          <w:szCs w:val="22"/>
        </w:rPr>
        <w:t xml:space="preserve"> Revisar, por conducto del </w:t>
      </w:r>
      <w:r>
        <w:rPr>
          <w:rFonts w:ascii="Palatino Linotype" w:eastAsia="Palatino Linotype" w:hAnsi="Palatino Linotype" w:cs="Palatino Linotype"/>
          <w:b/>
          <w:i/>
          <w:sz w:val="22"/>
          <w:szCs w:val="22"/>
        </w:rPr>
        <w:t>Órgano Superior de Fiscalización del Estado de México</w:t>
      </w:r>
      <w:r>
        <w:rPr>
          <w:rFonts w:ascii="Palatino Linotype" w:eastAsia="Palatino Linotype" w:hAnsi="Palatino Linotype" w:cs="Palatino Linotype"/>
          <w:i/>
          <w:sz w:val="22"/>
          <w:szCs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88E74C4" w14:textId="77777777" w:rsidR="001D4788" w:rsidRDefault="00B124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C227ACA" w14:textId="77777777" w:rsidR="001D4788" w:rsidRDefault="00B124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XXXIV.</w:t>
      </w:r>
      <w:r>
        <w:rPr>
          <w:rFonts w:ascii="Palatino Linotype" w:eastAsia="Palatino Linotype" w:hAnsi="Palatino Linotype" w:cs="Palatino Linotype"/>
          <w:i/>
          <w:sz w:val="22"/>
          <w:szCs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Pr>
          <w:rFonts w:ascii="Palatino Linotype" w:eastAsia="Palatino Linotype" w:hAnsi="Palatino Linotype" w:cs="Palatino Linotype"/>
          <w:b/>
          <w:i/>
          <w:sz w:val="22"/>
          <w:szCs w:val="22"/>
        </w:rPr>
        <w:t>Órgano Superior de Fiscalización</w:t>
      </w:r>
      <w:r>
        <w:rPr>
          <w:rFonts w:ascii="Palatino Linotype" w:eastAsia="Palatino Linotype" w:hAnsi="Palatino Linotype" w:cs="Palatino Linotype"/>
          <w:i/>
          <w:sz w:val="22"/>
          <w:szCs w:val="22"/>
        </w:rPr>
        <w:t>.”</w:t>
      </w:r>
    </w:p>
    <w:p w14:paraId="11CD6D54" w14:textId="77777777" w:rsidR="001D4788" w:rsidRDefault="00B124AE">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0E7F01B" w14:textId="77777777" w:rsidR="001D4788" w:rsidRDefault="001D4788">
      <w:pPr>
        <w:tabs>
          <w:tab w:val="left" w:pos="426"/>
        </w:tabs>
        <w:spacing w:line="360" w:lineRule="auto"/>
        <w:ind w:right="51"/>
        <w:jc w:val="both"/>
        <w:rPr>
          <w:rFonts w:ascii="Palatino Linotype" w:eastAsia="Palatino Linotype" w:hAnsi="Palatino Linotype" w:cs="Palatino Linotype"/>
          <w:b/>
        </w:rPr>
      </w:pPr>
    </w:p>
    <w:p w14:paraId="2CF30551"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halla reconocido como un Sujeto de Fiscalización con base en los artículos 2, fracción II, y 4, fracción II:</w:t>
      </w:r>
    </w:p>
    <w:p w14:paraId="021FAF2C"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w:t>
      </w:r>
      <w:r>
        <w:rPr>
          <w:rFonts w:ascii="Palatino Linotype" w:eastAsia="Palatino Linotype" w:hAnsi="Palatino Linotype" w:cs="Palatino Linotype"/>
          <w:i/>
          <w:sz w:val="22"/>
          <w:szCs w:val="22"/>
        </w:rPr>
        <w:t xml:space="preserve"> Para los efectos de la presente Ley, se entenderá por:</w:t>
      </w:r>
    </w:p>
    <w:p w14:paraId="148FEE0C"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AC0BA4"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Municipios: A los Municipios del Estado;</w:t>
      </w:r>
    </w:p>
    <w:p w14:paraId="134775C9"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77E6661" w14:textId="77777777" w:rsidR="001D4788" w:rsidRDefault="001D4788">
      <w:pPr>
        <w:ind w:left="567" w:right="567"/>
        <w:jc w:val="both"/>
        <w:rPr>
          <w:rFonts w:ascii="Palatino Linotype" w:eastAsia="Palatino Linotype" w:hAnsi="Palatino Linotype" w:cs="Palatino Linotype"/>
          <w:i/>
          <w:sz w:val="22"/>
          <w:szCs w:val="22"/>
        </w:rPr>
      </w:pPr>
    </w:p>
    <w:p w14:paraId="072A6039"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Son sujetos de fiscalización:</w:t>
      </w:r>
    </w:p>
    <w:p w14:paraId="7FBA1B08"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21AC082E"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municipios del Estado de México; </w:t>
      </w:r>
    </w:p>
    <w:p w14:paraId="5FC2935E" w14:textId="77777777" w:rsidR="001D4788" w:rsidRDefault="00B124AE">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9C6200"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78688691"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el Órgano Superior de Fiscalización del Estado de México (OSFEM), emite anualmente una herramienta para elaborar y presentar los informes trimestrales, denominado “Políticas para la Integración del Informe Trimestral de los Sujetos de Fiscalización Municipales”, cuyo objetivo es establecer las especificaciones necesarias para que las entidades fiscales elaboren y presenten los referidos informes.</w:t>
      </w:r>
    </w:p>
    <w:p w14:paraId="5CFF7072"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4E89A459"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1172C97E"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7BA8B479"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12206DA9"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Este Informe Trimestral se entregará de manera física al Órgano Superior de Fiscalización del Estado de México, y estará compuesto por cuatro módulos que integrarán la siguiente manera:</w:t>
      </w:r>
    </w:p>
    <w:p w14:paraId="011BAEDC" w14:textId="77777777" w:rsidR="001D4788" w:rsidRDefault="00B124AE">
      <w:pPr>
        <w:numPr>
          <w:ilvl w:val="1"/>
          <w:numId w:val="4"/>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1: Información contable y financiera;</w:t>
      </w:r>
    </w:p>
    <w:p w14:paraId="1E0FE5D2" w14:textId="77777777" w:rsidR="001D4788" w:rsidRDefault="00B124AE">
      <w:pPr>
        <w:numPr>
          <w:ilvl w:val="1"/>
          <w:numId w:val="4"/>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2: Información presupuestaria;</w:t>
      </w:r>
    </w:p>
    <w:p w14:paraId="62F07018" w14:textId="77777777" w:rsidR="001D4788" w:rsidRDefault="00B124AE">
      <w:pPr>
        <w:numPr>
          <w:ilvl w:val="1"/>
          <w:numId w:val="4"/>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3: Información programática; y</w:t>
      </w:r>
    </w:p>
    <w:p w14:paraId="3D094703" w14:textId="77777777" w:rsidR="001D4788" w:rsidRDefault="00B124AE">
      <w:pPr>
        <w:numPr>
          <w:ilvl w:val="1"/>
          <w:numId w:val="4"/>
        </w:num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Módulo 4: Información administrativa.</w:t>
      </w:r>
    </w:p>
    <w:p w14:paraId="27F60AAB"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25040E07" w14:textId="77777777" w:rsidR="001D4788" w:rsidRDefault="00B124AE">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Información </w:t>
      </w:r>
      <w:r>
        <w:rPr>
          <w:rFonts w:ascii="Palatino Linotype" w:eastAsia="Palatino Linotype" w:hAnsi="Palatino Linotype" w:cs="Palatino Linotype"/>
          <w:b/>
        </w:rPr>
        <w:t>documental comprobatoria</w:t>
      </w:r>
      <w:r>
        <w:rPr>
          <w:rFonts w:ascii="Palatino Linotype" w:eastAsia="Palatino Linotype" w:hAnsi="Palatino Linotype" w:cs="Palatino Linotype"/>
        </w:rPr>
        <w:t xml:space="preserve">, que </w:t>
      </w:r>
      <w:r>
        <w:rPr>
          <w:rFonts w:ascii="Palatino Linotype" w:eastAsia="Palatino Linotype" w:hAnsi="Palatino Linotype" w:cs="Palatino Linotype"/>
          <w:b/>
        </w:rPr>
        <w:t>deberá conservarse en los archivos de la entidad fiscalizada –Municipio</w:t>
      </w:r>
      <w:r>
        <w:rPr>
          <w:rFonts w:ascii="Palatino Linotype" w:eastAsia="Palatino Linotype" w:hAnsi="Palatino Linotype" w:cs="Palatino Linotype"/>
        </w:rPr>
        <w:t xml:space="preserve">-, en original y debidamente integrada en términos de </w:t>
      </w:r>
      <w:r>
        <w:rPr>
          <w:rFonts w:ascii="Palatino Linotype" w:eastAsia="Palatino Linotype" w:hAnsi="Palatino Linotype" w:cs="Palatino Linotype"/>
        </w:rPr>
        <w:lastRenderedPageBreak/>
        <w:t xml:space="preserve">los lineamientos de referencia, pues son susceptibles de revisión directa por el OSFEM; destacando que dentro de los informes mensuales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tiene la obligación de rendir, se contempla precisamente la presentación de la Información referente la nómina general de ambas quincenas del mes; tal y como, se muestra en la imagen siguiente: </w:t>
      </w:r>
    </w:p>
    <w:p w14:paraId="279AD618" w14:textId="77777777" w:rsidR="001D4788" w:rsidRDefault="00B124AE">
      <w:pPr>
        <w:spacing w:before="280" w:after="280" w:line="360" w:lineRule="auto"/>
        <w:ind w:right="-91"/>
        <w:jc w:val="both"/>
        <w:rPr>
          <w:rFonts w:ascii="Palatino Linotype" w:eastAsia="Palatino Linotype" w:hAnsi="Palatino Linotype" w:cs="Palatino Linotype"/>
          <w:sz w:val="28"/>
          <w:szCs w:val="28"/>
        </w:rPr>
      </w:pPr>
      <w:r>
        <w:rPr>
          <w:noProof/>
          <w:lang w:val="es-419"/>
        </w:rPr>
        <w:drawing>
          <wp:inline distT="0" distB="0" distL="0" distR="0" wp14:anchorId="741AE20C" wp14:editId="465EE836">
            <wp:extent cx="5172075" cy="1659424"/>
            <wp:effectExtent l="0" t="0" r="0" b="0"/>
            <wp:docPr id="1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51646"/>
                    <a:stretch>
                      <a:fillRect/>
                    </a:stretch>
                  </pic:blipFill>
                  <pic:spPr>
                    <a:xfrm>
                      <a:off x="0" y="0"/>
                      <a:ext cx="5172075" cy="1659424"/>
                    </a:xfrm>
                    <a:prstGeom prst="rect">
                      <a:avLst/>
                    </a:prstGeom>
                    <a:ln/>
                  </pic:spPr>
                </pic:pic>
              </a:graphicData>
            </a:graphic>
          </wp:inline>
        </w:drawing>
      </w:r>
    </w:p>
    <w:p w14:paraId="7A142F5B" w14:textId="77777777" w:rsidR="001D4788" w:rsidRDefault="00B124AE">
      <w:pPr>
        <w:spacing w:before="240" w:after="240" w:line="360" w:lineRule="auto"/>
        <w:jc w:val="both"/>
      </w:pPr>
      <w:r>
        <w:rPr>
          <w:rFonts w:ascii="Palatino Linotype" w:eastAsia="Palatino Linotype" w:hAnsi="Palatino Linotype" w:cs="Palatino Linotype"/>
        </w:rPr>
        <w:t xml:space="preserve">Aunado a lo anterior, los </w:t>
      </w:r>
      <w:r>
        <w:rPr>
          <w:rFonts w:ascii="Palatino Linotype" w:eastAsia="Palatino Linotype" w:hAnsi="Palatino Linotype" w:cs="Palatino Linotype"/>
          <w:b/>
        </w:rPr>
        <w:t>Lineamientos para la Integración del Informe Trimestral de los Sujetos de Fiscalización MUNICIPALES</w:t>
      </w:r>
      <w:r>
        <w:rPr>
          <w:rFonts w:ascii="Palatino Linotype" w:eastAsia="Palatino Linotype" w:hAnsi="Palatino Linotype" w:cs="Palatino Linotype"/>
        </w:rPr>
        <w:t xml:space="preserve">, emitidos por el Órgano Superior de Fiscalización del Estado de México, contienen los formatos e información que debe ser proporcionada para la integración de los informes trimestrales que se entregan a éste, siendo uno de ellos la relativa a la Información de Nómina la cual, tiene como objetivo presentar la información del pago de las remuneraciones de cada uno de los servidores públicos de la entidad fiscalizable de que se trate, correspondiente a un periodo determinado; de tal manera, dicho formato constituye un soporte documental de que la información solicitada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obra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14:paraId="7369B1B0" w14:textId="77777777" w:rsidR="001D4788" w:rsidRDefault="001D4788">
      <w:pPr>
        <w:tabs>
          <w:tab w:val="left" w:pos="426"/>
        </w:tabs>
        <w:spacing w:line="360" w:lineRule="auto"/>
        <w:ind w:right="51"/>
        <w:jc w:val="both"/>
        <w:rPr>
          <w:rFonts w:ascii="Palatino Linotype" w:eastAsia="Palatino Linotype" w:hAnsi="Palatino Linotype" w:cs="Palatino Linotype"/>
        </w:rPr>
      </w:pPr>
    </w:p>
    <w:p w14:paraId="38D2A20D" w14:textId="77777777" w:rsidR="001D4788" w:rsidRDefault="00B124AE">
      <w:pPr>
        <w:tabs>
          <w:tab w:val="left" w:pos="426"/>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Otro de los documentos contiene el Submódulo de ‘Nómina y Comprobantes Fiscales’, del cual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integrar, en formato </w:t>
      </w:r>
      <w:r>
        <w:rPr>
          <w:rFonts w:ascii="Palatino Linotype" w:eastAsia="Palatino Linotype" w:hAnsi="Palatino Linotype" w:cs="Palatino Linotype"/>
          <w:i/>
        </w:rPr>
        <w:t>.</w:t>
      </w:r>
      <w:proofErr w:type="spellStart"/>
      <w:r>
        <w:rPr>
          <w:rFonts w:ascii="Palatino Linotype" w:eastAsia="Palatino Linotype" w:hAnsi="Palatino Linotype" w:cs="Palatino Linotype"/>
          <w:i/>
        </w:rPr>
        <w:t>pdf</w:t>
      </w:r>
      <w:proofErr w:type="spellEnd"/>
      <w:r>
        <w:rPr>
          <w:rFonts w:ascii="Palatino Linotype" w:eastAsia="Palatino Linotype" w:hAnsi="Palatino Linotype" w:cs="Palatino Linotype"/>
        </w:rPr>
        <w:t xml:space="preserve">, </w:t>
      </w:r>
      <w:r>
        <w:rPr>
          <w:rFonts w:ascii="Palatino Linotype" w:eastAsia="Palatino Linotype" w:hAnsi="Palatino Linotype" w:cs="Palatino Linotype"/>
          <w:b/>
        </w:rPr>
        <w:t>y de forma quincenal</w:t>
      </w:r>
      <w:r>
        <w:rPr>
          <w:rFonts w:ascii="Palatino Linotype" w:eastAsia="Palatino Linotype" w:hAnsi="Palatino Linotype" w:cs="Palatino Linotype"/>
        </w:rPr>
        <w:t xml:space="preserve">, los documentos titulados  </w:t>
      </w:r>
      <w:r>
        <w:rPr>
          <w:rFonts w:ascii="Palatino Linotype" w:eastAsia="Palatino Linotype" w:hAnsi="Palatino Linotype" w:cs="Palatino Linotype"/>
          <w:b/>
          <w:u w:val="single"/>
        </w:rPr>
        <w:t>Comprobantes Fiscales Digitales por Internet por concepto de Honorarios</w:t>
      </w:r>
      <w:r>
        <w:rPr>
          <w:rFonts w:ascii="Palatino Linotype" w:eastAsia="Palatino Linotype" w:hAnsi="Palatino Linotype" w:cs="Palatino Linotype"/>
        </w:rPr>
        <w:t>, tal como lo establece el mapa de integración del Submódulo en comento:</w:t>
      </w:r>
    </w:p>
    <w:p w14:paraId="039FA2F8" w14:textId="77777777" w:rsidR="001D4788" w:rsidRDefault="00B124AE">
      <w:pPr>
        <w:tabs>
          <w:tab w:val="left" w:pos="426"/>
        </w:tabs>
        <w:spacing w:line="360" w:lineRule="auto"/>
        <w:ind w:right="51"/>
        <w:jc w:val="center"/>
        <w:rPr>
          <w:rFonts w:ascii="Cambria" w:eastAsia="Cambria" w:hAnsi="Cambria" w:cs="Cambria"/>
        </w:rPr>
      </w:pPr>
      <w:r>
        <w:rPr>
          <w:rFonts w:ascii="Cambria" w:eastAsia="Cambria" w:hAnsi="Cambria" w:cs="Cambria"/>
          <w:noProof/>
          <w:lang w:val="es-419"/>
        </w:rPr>
        <w:drawing>
          <wp:inline distT="0" distB="0" distL="114300" distR="114300" wp14:anchorId="41FF3137" wp14:editId="760FDD66">
            <wp:extent cx="4886325" cy="1182578"/>
            <wp:effectExtent l="0" t="0" r="0" b="0"/>
            <wp:docPr id="1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b="17127"/>
                    <a:stretch>
                      <a:fillRect/>
                    </a:stretch>
                  </pic:blipFill>
                  <pic:spPr>
                    <a:xfrm>
                      <a:off x="0" y="0"/>
                      <a:ext cx="4886325" cy="1182578"/>
                    </a:xfrm>
                    <a:prstGeom prst="rect">
                      <a:avLst/>
                    </a:prstGeom>
                    <a:ln/>
                  </pic:spPr>
                </pic:pic>
              </a:graphicData>
            </a:graphic>
          </wp:inline>
        </w:drawing>
      </w:r>
    </w:p>
    <w:p w14:paraId="1E3BBA32" w14:textId="77777777" w:rsidR="001D4788" w:rsidRDefault="001D4788">
      <w:pPr>
        <w:spacing w:after="240" w:line="360" w:lineRule="auto"/>
        <w:jc w:val="both"/>
        <w:rPr>
          <w:rFonts w:ascii="Cambria" w:eastAsia="Cambria" w:hAnsi="Cambria" w:cs="Cambria"/>
        </w:rPr>
      </w:pPr>
    </w:p>
    <w:p w14:paraId="7462C92E" w14:textId="77777777" w:rsidR="001D4788" w:rsidRDefault="00B124AE">
      <w:pPr>
        <w:spacing w:after="240" w:line="360" w:lineRule="auto"/>
        <w:jc w:val="both"/>
        <w:rPr>
          <w:rFonts w:ascii="Palatino Linotype" w:eastAsia="Palatino Linotype" w:hAnsi="Palatino Linotype" w:cs="Palatino Linotype"/>
        </w:rPr>
      </w:pPr>
      <w:r>
        <w:rPr>
          <w:rFonts w:ascii="Cambria" w:eastAsia="Cambria" w:hAnsi="Cambria" w:cs="Cambria"/>
        </w:rPr>
        <w:t xml:space="preserve">Por </w:t>
      </w:r>
      <w:r>
        <w:rPr>
          <w:rFonts w:ascii="Palatino Linotype" w:eastAsia="Palatino Linotype" w:hAnsi="Palatino Linotype" w:cs="Palatino Linotype"/>
        </w:rPr>
        <w:t>cuanto hace a la lista de raya,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del término en referencia:</w:t>
      </w:r>
    </w:p>
    <w:p w14:paraId="0CCCF2AF" w14:textId="77777777" w:rsidR="001D4788" w:rsidRDefault="00B124AE">
      <w:pPr>
        <w:spacing w:before="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 xml:space="preserve">PERSONAL DE LISTA DE RAYA. </w:t>
      </w:r>
      <w:r>
        <w:rPr>
          <w:rFonts w:ascii="Palatino Linotype" w:eastAsia="Palatino Linotype" w:hAnsi="Palatino Linotype" w:cs="Palatino Linotype"/>
          <w:i/>
          <w:sz w:val="22"/>
          <w:szCs w:val="22"/>
        </w:rPr>
        <w:t>Lo integran los trabajadores temporales cuya relación laboral se formaliza por su inclusión en nómina o documentos denominados “Lista de Raya” y que, por lo tanto, carecen de nombramiento.” (Sic)</w:t>
      </w:r>
    </w:p>
    <w:p w14:paraId="2D86D88D" w14:textId="77777777" w:rsidR="001D4788" w:rsidRDefault="001D4788">
      <w:pPr>
        <w:spacing w:before="120"/>
        <w:ind w:left="851" w:right="902"/>
        <w:jc w:val="both"/>
        <w:rPr>
          <w:rFonts w:ascii="Palatino Linotype" w:eastAsia="Palatino Linotype" w:hAnsi="Palatino Linotype" w:cs="Palatino Linotype"/>
          <w:b/>
          <w:i/>
          <w:sz w:val="22"/>
          <w:szCs w:val="22"/>
        </w:rPr>
      </w:pPr>
    </w:p>
    <w:p w14:paraId="292E5CCF"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base a lo anterior, conviene a traer lo establecido por el artículo 804, fracción II, de la Ley Federal de Trabajo, el cual a la letra establece: </w:t>
      </w:r>
    </w:p>
    <w:p w14:paraId="72AB44E4" w14:textId="77777777" w:rsidR="001D4788" w:rsidRDefault="001D4788">
      <w:pPr>
        <w:ind w:left="851" w:right="851"/>
        <w:jc w:val="both"/>
        <w:rPr>
          <w:rFonts w:ascii="Palatino Linotype" w:eastAsia="Palatino Linotype" w:hAnsi="Palatino Linotype" w:cs="Palatino Linotype"/>
          <w:i/>
        </w:rPr>
      </w:pPr>
    </w:p>
    <w:p w14:paraId="2F7EDAE9" w14:textId="77777777" w:rsidR="001D4788" w:rsidRDefault="00B124A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sz w:val="22"/>
          <w:szCs w:val="22"/>
        </w:rPr>
        <w:t>Artículo 804.-</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patrón tiene obligación de conservar y exhibir en juicio los documentos que a continuación se precisan</w:t>
      </w:r>
      <w:r>
        <w:rPr>
          <w:rFonts w:ascii="Palatino Linotype" w:eastAsia="Palatino Linotype" w:hAnsi="Palatino Linotype" w:cs="Palatino Linotype"/>
          <w:i/>
          <w:sz w:val="22"/>
          <w:szCs w:val="22"/>
        </w:rPr>
        <w:t>:</w:t>
      </w:r>
    </w:p>
    <w:p w14:paraId="30A0EEB1" w14:textId="77777777" w:rsidR="001D4788" w:rsidRDefault="001D4788">
      <w:pPr>
        <w:ind w:left="851" w:right="851"/>
        <w:jc w:val="both"/>
        <w:rPr>
          <w:rFonts w:ascii="Palatino Linotype" w:eastAsia="Palatino Linotype" w:hAnsi="Palatino Linotype" w:cs="Palatino Linotype"/>
          <w:i/>
          <w:sz w:val="22"/>
          <w:szCs w:val="22"/>
        </w:rPr>
      </w:pPr>
    </w:p>
    <w:p w14:paraId="28F1D22C" w14:textId="77777777" w:rsidR="001D4788" w:rsidRDefault="00B124A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Listas de raya o nómina de personal</w:t>
      </w:r>
      <w:r>
        <w:rPr>
          <w:rFonts w:ascii="Palatino Linotype" w:eastAsia="Palatino Linotype" w:hAnsi="Palatino Linotype" w:cs="Palatino Linotype"/>
          <w:i/>
          <w:sz w:val="22"/>
          <w:szCs w:val="22"/>
        </w:rPr>
        <w:t xml:space="preserve">, cuando se lleven en el centro de trabajo; o recibos de pagos de salarios; </w:t>
      </w:r>
    </w:p>
    <w:p w14:paraId="60189B9A" w14:textId="77777777" w:rsidR="001D4788" w:rsidRDefault="00B124A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B1656F0" w14:textId="77777777" w:rsidR="001D4788" w:rsidRDefault="00B124A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w:t>
      </w:r>
      <w:r>
        <w:rPr>
          <w:rFonts w:ascii="Palatino Linotype" w:eastAsia="Palatino Linotype" w:hAnsi="Palatino Linotype" w:cs="Palatino Linotype"/>
          <w:b/>
          <w:i/>
          <w:sz w:val="22"/>
          <w:szCs w:val="22"/>
        </w:rPr>
        <w:t>los señalados en las fracciones II, III y IV, durante el último año y un año después de que se extinga la relación laboral</w:t>
      </w:r>
      <w:r>
        <w:rPr>
          <w:rFonts w:ascii="Palatino Linotype" w:eastAsia="Palatino Linotype" w:hAnsi="Palatino Linotype" w:cs="Palatino Linotype"/>
          <w:i/>
          <w:sz w:val="22"/>
          <w:szCs w:val="22"/>
        </w:rPr>
        <w:t>; y los mencionados en la fracción V, conforme lo señalen las Leyes que los rijan.” (Sic)</w:t>
      </w:r>
    </w:p>
    <w:p w14:paraId="1311EF8F" w14:textId="77777777" w:rsidR="001D4788" w:rsidRDefault="00B124AE">
      <w:pPr>
        <w:spacing w:before="240" w:after="240" w:line="360" w:lineRule="auto"/>
        <w:jc w:val="both"/>
        <w:rPr>
          <w:rFonts w:ascii="Palatino Linotype" w:eastAsia="Palatino Linotype" w:hAnsi="Palatino Linotype" w:cs="Palatino Linotype"/>
          <w:vertAlign w:val="superscript"/>
        </w:rPr>
      </w:pPr>
      <w:r>
        <w:rPr>
          <w:rFonts w:ascii="Palatino Linotype" w:eastAsia="Palatino Linotype" w:hAnsi="Palatino Linotype" w:cs="Palatino Linotype"/>
        </w:rPr>
        <w:t>De lo precedente, se concluye que el personal de lista de raya se integra por los trabajadores temporales que no forman parte de la nómina, al respecto el máximo tribunal jurisdiccional del país ha precisado que 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eastAsia="Palatino Linotype" w:hAnsi="Palatino Linotype" w:cs="Palatino Linotype"/>
          <w:vertAlign w:val="superscript"/>
        </w:rPr>
        <w:t xml:space="preserve">. </w:t>
      </w:r>
    </w:p>
    <w:p w14:paraId="32200788" w14:textId="77777777" w:rsidR="001D4788" w:rsidRDefault="00B124AE">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“L</w:t>
      </w:r>
      <w:r>
        <w:rPr>
          <w:rFonts w:ascii="Palatino Linotype" w:eastAsia="Palatino Linotype" w:hAnsi="Palatino Linotype" w:cs="Palatino Linotype"/>
          <w:b/>
          <w:i/>
          <w:sz w:val="22"/>
          <w:szCs w:val="22"/>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Pr>
          <w:rFonts w:ascii="Palatino Linotype" w:eastAsia="Palatino Linotype" w:hAnsi="Palatino Linotype" w:cs="Palatino Linotype"/>
          <w:i/>
          <w:sz w:val="22"/>
          <w:szCs w:val="22"/>
        </w:rPr>
        <w:t>; sin embargo, como en todo caso, es la situación específica la que orienta la naturaleza de los servicios prestados si un trabajador incluido en una lista de raya demanda su recategorización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recategorización.”</w:t>
      </w:r>
    </w:p>
    <w:p w14:paraId="11CDCA4B" w14:textId="77777777" w:rsidR="001D4788" w:rsidRDefault="00B124AE">
      <w:pPr>
        <w:ind w:left="850" w:right="899"/>
        <w:jc w:val="both"/>
        <w:rPr>
          <w:rFonts w:ascii="Palatino Linotype" w:eastAsia="Palatino Linotype" w:hAnsi="Palatino Linotype" w:cs="Palatino Linotype"/>
          <w:vertAlign w:val="superscript"/>
        </w:rPr>
      </w:pPr>
      <w:r>
        <w:rPr>
          <w:rFonts w:ascii="Palatino Linotype" w:eastAsia="Palatino Linotype" w:hAnsi="Palatino Linotype" w:cs="Palatino Linotype"/>
          <w:i/>
          <w:sz w:val="22"/>
          <w:szCs w:val="22"/>
        </w:rPr>
        <w:t>(Énfasis añadido)</w:t>
      </w:r>
    </w:p>
    <w:p w14:paraId="1ED66994" w14:textId="77777777" w:rsidR="001D4788" w:rsidRDefault="00B124A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consiguiente, los servidores públicos de confianza, sindicalizados, por honorarios, generales y de lista raya, constituyen el número de trabajadores que perciben una remuneración por los servicios que éstos le prestan al patrón, con las percepciones brutas, deducciones y el neto a recibir, delimitándose su diferencia por las funciones que realizan o bien por que la prestación del trabajo personal y/o subordinado cuando es por tiempo determinado o indeterminado como acontece con el personal de lista de raya y por honorarios.</w:t>
      </w:r>
    </w:p>
    <w:p w14:paraId="229D0D70" w14:textId="77777777" w:rsidR="001D4788" w:rsidRDefault="001D4788">
      <w:pPr>
        <w:spacing w:line="360" w:lineRule="auto"/>
        <w:ind w:right="51"/>
        <w:jc w:val="both"/>
        <w:rPr>
          <w:rFonts w:ascii="Palatino Linotype" w:eastAsia="Palatino Linotype" w:hAnsi="Palatino Linotype" w:cs="Palatino Linotype"/>
        </w:rPr>
      </w:pPr>
    </w:p>
    <w:p w14:paraId="7E193DC7" w14:textId="77777777" w:rsidR="001D4788" w:rsidRDefault="00B124AE">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señaló que la información se encuentra disponible en su portal de IPOMEX, la liga electrónica remite el apartado de remuneraciones, mismo que no contiene la información solicitada por el particular, toda vez que este fue muy específico en requerir, la nómina, lista de raya, honorarios y cualquier otro pago por concepto de nómina, por lo que se tiene que su respuesta careció de los principios de congruencia y exhaustividad, como refuerzo de lo anterior</w:t>
      </w:r>
      <w:r>
        <w:rPr>
          <w:rFonts w:ascii="Palatino Linotype" w:eastAsia="Palatino Linotype" w:hAnsi="Palatino Linotype" w:cs="Palatino Linotype"/>
          <w:u w:val="single"/>
        </w:rPr>
        <w:t xml:space="preserve">, resulta crucial el Criterio 02/17, emitido por el Pleno del </w:t>
      </w:r>
      <w:r>
        <w:rPr>
          <w:rFonts w:ascii="Palatino Linotype" w:eastAsia="Palatino Linotype" w:hAnsi="Palatino Linotype" w:cs="Palatino Linotype"/>
        </w:rPr>
        <w:t>Instituto Nacional de Transparencia y Acceso a la Información y Protección de Datos Personales, de título y texto siguientes:</w:t>
      </w:r>
    </w:p>
    <w:p w14:paraId="2963EF0F" w14:textId="77777777" w:rsidR="001D4788" w:rsidRDefault="00B124AE">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w:t>
      </w:r>
      <w:r>
        <w:rPr>
          <w:rFonts w:ascii="Palatino Linotype" w:eastAsia="Palatino Linotype" w:hAnsi="Palatino Linotype" w:cs="Palatino Linotype"/>
          <w:i/>
        </w:rPr>
        <w:t xml:space="preserve">con los principios de congruencia y exhaustividad. Para el efectivo ejercicio del derecho de acceso a la información, </w:t>
      </w:r>
      <w:r>
        <w:rPr>
          <w:rFonts w:ascii="Palatino Linotype" w:eastAsia="Palatino Linotype" w:hAnsi="Palatino Linotype" w:cs="Palatino Linotype"/>
          <w:b/>
          <w:i/>
        </w:rPr>
        <w:t xml:space="preserve">la congruencia implica que exista concordancia entre el requerimiento </w:t>
      </w:r>
      <w:r>
        <w:rPr>
          <w:rFonts w:ascii="Palatino Linotype" w:eastAsia="Palatino Linotype" w:hAnsi="Palatino Linotype" w:cs="Palatino Linotype"/>
          <w:b/>
          <w:i/>
        </w:rPr>
        <w:lastRenderedPageBreak/>
        <w:t>formulado por el particular y la respuesta proporcionada por el sujeto obligado</w:t>
      </w:r>
      <w:r>
        <w:rPr>
          <w:rFonts w:ascii="Palatino Linotype" w:eastAsia="Palatino Linotype" w:hAnsi="Palatino Linotype" w:cs="Palatino Linotype"/>
          <w:i/>
        </w:rPr>
        <w:t xml:space="preserve">; mientras que </w:t>
      </w:r>
      <w:r>
        <w:rPr>
          <w:rFonts w:ascii="Palatino Linotype" w:eastAsia="Palatino Linotype" w:hAnsi="Palatino Linotype" w:cs="Palatino Linotype"/>
          <w:b/>
          <w:i/>
        </w:rPr>
        <w:t>la exhaustividad significa que dicha respuesta se refiera expresamente a cada uno de los puntos solicitados</w:t>
      </w:r>
      <w:r>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9D6DE59" w14:textId="77777777" w:rsidR="001D4788" w:rsidRDefault="00B124AE">
      <w:pPr>
        <w:spacing w:before="240" w:after="240"/>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(Énfasis añadido)</w:t>
      </w:r>
    </w:p>
    <w:p w14:paraId="431CFC9C" w14:textId="77777777" w:rsidR="001D4788" w:rsidRDefault="001D4788">
      <w:pPr>
        <w:spacing w:line="360" w:lineRule="auto"/>
        <w:jc w:val="both"/>
        <w:rPr>
          <w:rFonts w:ascii="Palatino Linotype" w:eastAsia="Palatino Linotype" w:hAnsi="Palatino Linotype" w:cs="Palatino Linotype"/>
        </w:rPr>
      </w:pPr>
    </w:p>
    <w:p w14:paraId="4A13C55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citado criterio, se desprende que todo acto administrativo debe apegarse al principio de exhaustividad y congruencia, entendido el segundo como la concordancia entre el requerimiento formulado por el particular y la respuesta proporcionada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es decir que las respuesta que emitan los Sujetos Obligados, así como las resoluciones de los Órganos de Transparencia Estatales, deben guardar una relación lógica con lo solicitado, lo cual en el presente caso no sucedió, toda vez que 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fue congruente con lo solicitado por el Particular. </w:t>
      </w:r>
    </w:p>
    <w:p w14:paraId="73856354" w14:textId="77777777" w:rsidR="001D4788" w:rsidRDefault="001D4788">
      <w:pPr>
        <w:spacing w:line="360" w:lineRule="auto"/>
        <w:jc w:val="both"/>
        <w:rPr>
          <w:rFonts w:ascii="Palatino Linotype" w:eastAsia="Palatino Linotype" w:hAnsi="Palatino Linotype" w:cs="Palatino Linotype"/>
        </w:rPr>
      </w:pPr>
    </w:p>
    <w:p w14:paraId="5F40827A"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anterior, se determinan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por lo que el Pleno de este Instituto estima pertinente </w:t>
      </w:r>
      <w:r>
        <w:rPr>
          <w:rFonts w:ascii="Palatino Linotype" w:eastAsia="Palatino Linotype" w:hAnsi="Palatino Linotype" w:cs="Palatino Linotype"/>
          <w:b/>
        </w:rPr>
        <w:t xml:space="preserve">REVOCAR la respuesta del </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ordenarle haga entrega del soporte documental de ser procedente en versión pública, donde conste: la Nómina general, lista de raya, contrataciones por honorarios y todos aquellos pagos realizados por concepto de nómina relativos a los años 2019, 2020, 2021 y del periodo transcurrido del uno de enero al 31 de mayo de 2022.</w:t>
      </w:r>
    </w:p>
    <w:p w14:paraId="48DA70FD" w14:textId="77777777" w:rsidR="001D4788" w:rsidRDefault="00B124AE">
      <w:pPr>
        <w:spacing w:before="240" w:after="240" w:line="360" w:lineRule="auto"/>
        <w:ind w:right="49"/>
        <w:jc w:val="both"/>
        <w:rPr>
          <w:rFonts w:ascii="Palatino Linotype" w:eastAsia="Palatino Linotype" w:hAnsi="Palatino Linotype" w:cs="Palatino Linotype"/>
          <w:b/>
          <w:sz w:val="22"/>
          <w:szCs w:val="22"/>
        </w:rPr>
      </w:pPr>
      <w:r>
        <w:rPr>
          <w:rFonts w:ascii="Palatino Linotype" w:eastAsia="Palatino Linotype" w:hAnsi="Palatino Linotype" w:cs="Palatino Linotype"/>
        </w:rPr>
        <w:lastRenderedPageBreak/>
        <w:t xml:space="preserve">Por lo que hace al supuesto de lista de raya y honorarios, de encontrarse en la circunstancia fáctica en la que no se hubiera generado esta información bastará con el sólo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 manera fundada y motivada en términos del segundo párrafo del  artículo 19 de la Ley de Transparencia local, para dar por satisfecho el derecho de acceso a la información.</w:t>
      </w:r>
    </w:p>
    <w:p w14:paraId="7F2D7E9C" w14:textId="77777777" w:rsidR="001D4788" w:rsidRDefault="00B124AE">
      <w:pPr>
        <w:spacing w:before="280" w:after="280" w:line="360" w:lineRule="auto"/>
        <w:jc w:val="both"/>
        <w:rPr>
          <w:rFonts w:ascii="Palatino Linotype" w:eastAsia="Palatino Linotype" w:hAnsi="Palatino Linotype" w:cs="Palatino Linotype"/>
          <w:b/>
          <w:color w:val="0D0D0D"/>
        </w:rPr>
      </w:pPr>
      <w:bookmarkStart w:id="5" w:name="_heading=h.wk7oml6k72rd" w:colFirst="0" w:colLast="0"/>
      <w:bookmarkEnd w:id="5"/>
      <w:r>
        <w:rPr>
          <w:rFonts w:ascii="Palatino Linotype" w:eastAsia="Palatino Linotype" w:hAnsi="Palatino Linotype" w:cs="Palatino Linotype"/>
        </w:rPr>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Pr>
          <w:rFonts w:ascii="Palatino Linotype" w:eastAsia="Palatino Linotype" w:hAnsi="Palatino Linotype" w:cs="Palatino Linotype"/>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rFonts w:ascii="Palatino Linotype" w:eastAsia="Palatino Linotype" w:hAnsi="Palatino Linotype" w:cs="Palatino Linotype"/>
          <w:b/>
          <w:color w:val="0D0D0D"/>
        </w:rPr>
        <w:t>análisis caso por caso.</w:t>
      </w:r>
    </w:p>
    <w:p w14:paraId="0F5F2BAC" w14:textId="77777777" w:rsidR="001D4788" w:rsidRDefault="001D4788">
      <w:pPr>
        <w:spacing w:line="360" w:lineRule="auto"/>
        <w:jc w:val="both"/>
        <w:rPr>
          <w:rFonts w:ascii="Palatino Linotype" w:eastAsia="Palatino Linotype" w:hAnsi="Palatino Linotype" w:cs="Palatino Linotype"/>
          <w:b/>
          <w:color w:val="0D0D0D"/>
        </w:rPr>
      </w:pPr>
    </w:p>
    <w:p w14:paraId="511B28D8" w14:textId="77777777" w:rsidR="001D4788" w:rsidRDefault="00B124AE">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 xml:space="preserve">Además, el artículo 131 de la Ley referida, así como el Quinto de los Lineamientos Generales, establecen que los sujetos obligados </w:t>
      </w:r>
      <w:r>
        <w:rPr>
          <w:rFonts w:ascii="Palatino Linotype" w:eastAsia="Palatino Linotype" w:hAnsi="Palatino Linotype" w:cs="Palatino Linotype"/>
          <w:b/>
          <w:color w:val="0D0D0D"/>
        </w:rPr>
        <w:t>deberán fundar y motivar</w:t>
      </w:r>
      <w:r>
        <w:rPr>
          <w:rFonts w:ascii="Palatino Linotype" w:eastAsia="Palatino Linotype" w:hAnsi="Palatino Linotype" w:cs="Palatino Linotype"/>
          <w:color w:val="0D0D0D"/>
        </w:rPr>
        <w:t xml:space="preserve"> debidamente la clasificación de la información.</w:t>
      </w:r>
    </w:p>
    <w:p w14:paraId="19FACBA0" w14:textId="77777777" w:rsidR="001D4788" w:rsidRDefault="001D4788">
      <w:pPr>
        <w:spacing w:line="360" w:lineRule="auto"/>
        <w:jc w:val="both"/>
        <w:rPr>
          <w:rFonts w:ascii="Palatino Linotype" w:eastAsia="Palatino Linotype" w:hAnsi="Palatino Linotype" w:cs="Palatino Linotype"/>
          <w:b/>
          <w:color w:val="0D0D0D"/>
        </w:rPr>
      </w:pPr>
    </w:p>
    <w:p w14:paraId="456274D8" w14:textId="77777777" w:rsidR="001D4788" w:rsidRDefault="00B124AE">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Al respecto, el Octavo de los Lineamientos Generales, precisa lo siguiente:</w:t>
      </w:r>
    </w:p>
    <w:p w14:paraId="6D295364" w14:textId="77777777" w:rsidR="001D4788" w:rsidRDefault="001D4788">
      <w:pPr>
        <w:spacing w:line="360" w:lineRule="auto"/>
        <w:jc w:val="both"/>
        <w:rPr>
          <w:rFonts w:ascii="Palatino Linotype" w:eastAsia="Palatino Linotype" w:hAnsi="Palatino Linotype" w:cs="Palatino Linotype"/>
          <w:color w:val="0D0D0D"/>
        </w:rPr>
      </w:pPr>
    </w:p>
    <w:p w14:paraId="657103C2" w14:textId="77777777" w:rsidR="001D4788" w:rsidRDefault="00B124AE">
      <w:pPr>
        <w:numPr>
          <w:ilvl w:val="0"/>
          <w:numId w:val="5"/>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b/>
          <w:color w:val="0D0D0D"/>
        </w:rPr>
        <w:lastRenderedPageBreak/>
        <w:t>Para fundar la clasificación</w:t>
      </w:r>
      <w:r>
        <w:rPr>
          <w:rFonts w:ascii="Palatino Linotype" w:eastAsia="Palatino Linotype" w:hAnsi="Palatino Linotype" w:cs="Palatino Linotype"/>
          <w:color w:val="0D0D0D"/>
        </w:rPr>
        <w:t xml:space="preserve"> de la información se deberán señalar el artículo, fracción, inciso, párrafo o numeral de la Ley aplicable;</w:t>
      </w:r>
    </w:p>
    <w:p w14:paraId="3BAA20FD" w14:textId="77777777" w:rsidR="001D4788" w:rsidRDefault="001D4788">
      <w:pPr>
        <w:spacing w:line="360" w:lineRule="auto"/>
        <w:jc w:val="both"/>
        <w:rPr>
          <w:rFonts w:ascii="Palatino Linotype" w:eastAsia="Palatino Linotype" w:hAnsi="Palatino Linotype" w:cs="Palatino Linotype"/>
          <w:color w:val="0D0D0D"/>
        </w:rPr>
      </w:pPr>
    </w:p>
    <w:p w14:paraId="08C058E3" w14:textId="77777777" w:rsidR="001D4788" w:rsidRDefault="00B124AE">
      <w:pPr>
        <w:numPr>
          <w:ilvl w:val="0"/>
          <w:numId w:val="5"/>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b/>
          <w:color w:val="0D0D0D"/>
        </w:rPr>
        <w:t>Para motivar la clasificación</w:t>
      </w:r>
      <w:r>
        <w:rPr>
          <w:rFonts w:ascii="Palatino Linotype" w:eastAsia="Palatino Linotype" w:hAnsi="Palatino Linotype" w:cs="Palatino Linotype"/>
          <w:color w:val="0D0D0D"/>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561EC12C" w14:textId="77777777" w:rsidR="001D4788" w:rsidRDefault="001D4788">
      <w:pPr>
        <w:spacing w:line="360" w:lineRule="auto"/>
        <w:ind w:left="708"/>
        <w:rPr>
          <w:rFonts w:ascii="Palatino Linotype" w:eastAsia="Palatino Linotype" w:hAnsi="Palatino Linotype" w:cs="Palatino Linotype"/>
          <w:color w:val="0D0D0D"/>
        </w:rPr>
      </w:pPr>
    </w:p>
    <w:p w14:paraId="74E5A47A" w14:textId="77777777" w:rsidR="001D4788" w:rsidRDefault="00B124AE">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28E3C0F3" w14:textId="77777777" w:rsidR="001D4788" w:rsidRDefault="001D4788">
      <w:pPr>
        <w:spacing w:line="360" w:lineRule="auto"/>
        <w:jc w:val="both"/>
        <w:rPr>
          <w:rFonts w:ascii="Palatino Linotype" w:eastAsia="Palatino Linotype" w:hAnsi="Palatino Linotype" w:cs="Palatino Linotype"/>
          <w:b/>
          <w:color w:val="0D0D0D"/>
        </w:rPr>
      </w:pPr>
    </w:p>
    <w:p w14:paraId="446E0205" w14:textId="77777777" w:rsidR="001D4788" w:rsidRDefault="00B124AE">
      <w:p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En ese orden de ideas, el Trigésimo tercero de los Lineamientos Generales establece la forma en que se debe fundamentar y motivar la reserva de la información, es decir, a través de los siguientes pasos:</w:t>
      </w:r>
    </w:p>
    <w:p w14:paraId="4B504831" w14:textId="77777777" w:rsidR="001D4788" w:rsidRDefault="001D4788">
      <w:pPr>
        <w:spacing w:line="360" w:lineRule="auto"/>
        <w:jc w:val="both"/>
        <w:rPr>
          <w:rFonts w:ascii="Palatino Linotype" w:eastAsia="Palatino Linotype" w:hAnsi="Palatino Linotype" w:cs="Palatino Linotype"/>
          <w:color w:val="0D0D0D"/>
        </w:rPr>
      </w:pPr>
    </w:p>
    <w:p w14:paraId="61EE597D"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0FEBFA83" w14:textId="77777777" w:rsidR="001D4788" w:rsidRDefault="001D4788">
      <w:pPr>
        <w:spacing w:line="360" w:lineRule="auto"/>
        <w:ind w:left="720"/>
        <w:jc w:val="both"/>
        <w:rPr>
          <w:rFonts w:ascii="Palatino Linotype" w:eastAsia="Palatino Linotype" w:hAnsi="Palatino Linotype" w:cs="Palatino Linotype"/>
          <w:color w:val="0D0D0D"/>
        </w:rPr>
      </w:pPr>
    </w:p>
    <w:p w14:paraId="6AF62EDB"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deberá demostrar que la publicidad de la información generaría un riesgo de perjuicio, que rebasa el interés público;</w:t>
      </w:r>
    </w:p>
    <w:p w14:paraId="01707B67" w14:textId="77777777" w:rsidR="001D4788" w:rsidRDefault="001D4788">
      <w:pPr>
        <w:spacing w:line="360" w:lineRule="auto"/>
        <w:ind w:left="708"/>
        <w:rPr>
          <w:rFonts w:ascii="Palatino Linotype" w:eastAsia="Palatino Linotype" w:hAnsi="Palatino Linotype" w:cs="Palatino Linotype"/>
          <w:color w:val="0D0D0D"/>
        </w:rPr>
      </w:pPr>
    </w:p>
    <w:p w14:paraId="533ACB00"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acreditará el vínculo entre la difusión de la información y la afectación del interés jurídico tutelado;</w:t>
      </w:r>
    </w:p>
    <w:p w14:paraId="118A9BC4" w14:textId="77777777" w:rsidR="001D4788" w:rsidRDefault="001D4788">
      <w:pPr>
        <w:spacing w:line="360" w:lineRule="auto"/>
        <w:ind w:left="720"/>
        <w:rPr>
          <w:rFonts w:ascii="Palatino Linotype" w:eastAsia="Palatino Linotype" w:hAnsi="Palatino Linotype" w:cs="Palatino Linotype"/>
          <w:color w:val="0D0D0D"/>
        </w:rPr>
      </w:pPr>
    </w:p>
    <w:p w14:paraId="0D866833"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precisará las razones objetivas por las que la apertura de la información generaría una afectación, por medio del riesgo real, demostrable e identificable;</w:t>
      </w:r>
    </w:p>
    <w:p w14:paraId="785836A1" w14:textId="77777777" w:rsidR="001D4788" w:rsidRDefault="001D4788">
      <w:pPr>
        <w:spacing w:line="360" w:lineRule="auto"/>
        <w:ind w:left="720"/>
        <w:rPr>
          <w:rFonts w:ascii="Palatino Linotype" w:eastAsia="Palatino Linotype" w:hAnsi="Palatino Linotype" w:cs="Palatino Linotype"/>
          <w:color w:val="0D0D0D"/>
        </w:rPr>
      </w:pPr>
    </w:p>
    <w:p w14:paraId="6B34B0FA"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deberán señalar las circunstancias de modo, tiempo y lugar del daño, y</w:t>
      </w:r>
    </w:p>
    <w:p w14:paraId="5F7655A3" w14:textId="77777777" w:rsidR="001D4788" w:rsidRDefault="001D4788">
      <w:pPr>
        <w:spacing w:line="360" w:lineRule="auto"/>
        <w:ind w:left="720"/>
        <w:rPr>
          <w:rFonts w:ascii="Palatino Linotype" w:eastAsia="Palatino Linotype" w:hAnsi="Palatino Linotype" w:cs="Palatino Linotype"/>
          <w:color w:val="0D0D0D"/>
        </w:rPr>
      </w:pPr>
    </w:p>
    <w:p w14:paraId="59C040EE" w14:textId="77777777" w:rsidR="001D4788" w:rsidRDefault="00B124AE">
      <w:pPr>
        <w:numPr>
          <w:ilvl w:val="0"/>
          <w:numId w:val="6"/>
        </w:numPr>
        <w:spacing w:line="360" w:lineRule="auto"/>
        <w:jc w:val="both"/>
        <w:rPr>
          <w:rFonts w:ascii="Palatino Linotype" w:eastAsia="Palatino Linotype" w:hAnsi="Palatino Linotype" w:cs="Palatino Linotype"/>
          <w:color w:val="0D0D0D"/>
        </w:rPr>
      </w:pPr>
      <w:r>
        <w:rPr>
          <w:rFonts w:ascii="Palatino Linotype" w:eastAsia="Palatino Linotype" w:hAnsi="Palatino Linotype" w:cs="Palatino Linotype"/>
          <w:color w:val="0D0D0D"/>
        </w:rPr>
        <w:t>Se elegirá la opción de excepción al acceso a la información que menos restrinja, la cual será adecuada y proporcional para la protección del interés público.</w:t>
      </w:r>
    </w:p>
    <w:p w14:paraId="3F87C7D2" w14:textId="77777777" w:rsidR="001D4788" w:rsidRDefault="001D4788">
      <w:pPr>
        <w:spacing w:line="360" w:lineRule="auto"/>
        <w:ind w:left="708"/>
        <w:rPr>
          <w:rFonts w:ascii="Palatino Linotype" w:eastAsia="Palatino Linotype" w:hAnsi="Palatino Linotype" w:cs="Palatino Linotype"/>
          <w:color w:val="0D0D0D"/>
        </w:rPr>
      </w:pPr>
    </w:p>
    <w:p w14:paraId="5709A991"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D0D0D"/>
        </w:rPr>
        <w:t xml:space="preserve">De acuerdo con lo expuesto, </w:t>
      </w:r>
      <w:r>
        <w:rPr>
          <w:rFonts w:ascii="Palatino Linotype" w:eastAsia="Palatino Linotype" w:hAnsi="Palatino Linotype" w:cs="Palatino Linotype"/>
        </w:rPr>
        <w:t xml:space="preserve">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w:t>
      </w:r>
      <w:r>
        <w:rPr>
          <w:rFonts w:ascii="Palatino Linotype" w:eastAsia="Palatino Linotype" w:hAnsi="Palatino Linotype" w:cs="Palatino Linotype"/>
        </w:rPr>
        <w:lastRenderedPageBreak/>
        <w:t>y Acceso a la Información Pública del Estado de México y Municipios, de acuerdo con lo siguiente:</w:t>
      </w:r>
    </w:p>
    <w:p w14:paraId="28BAF732" w14:textId="77777777" w:rsidR="001D4788" w:rsidRDefault="001D4788">
      <w:pPr>
        <w:spacing w:line="360" w:lineRule="auto"/>
        <w:jc w:val="both"/>
        <w:rPr>
          <w:rFonts w:ascii="Palatino Linotype" w:eastAsia="Palatino Linotype" w:hAnsi="Palatino Linotype" w:cs="Palatino Linotype"/>
        </w:rPr>
      </w:pPr>
    </w:p>
    <w:p w14:paraId="27A9F2A3" w14:textId="77777777" w:rsidR="001D4788" w:rsidRDefault="00B124A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w:t>
      </w:r>
      <w:r>
        <w:rPr>
          <w:rFonts w:ascii="Palatino Linotype" w:eastAsia="Palatino Linotype" w:hAnsi="Palatino Linotype" w:cs="Palatino Linotype"/>
          <w:b/>
        </w:rPr>
        <w:t xml:space="preserve"> </w:t>
      </w:r>
      <w:r>
        <w:rPr>
          <w:rFonts w:ascii="Palatino Linotype" w:eastAsia="Palatino Linotype" w:hAnsi="Palatino Linotype" w:cs="Palatino Linotype"/>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3DCE16E8" w14:textId="77777777" w:rsidR="001D4788" w:rsidRDefault="001D4788">
      <w:pPr>
        <w:jc w:val="both"/>
        <w:rPr>
          <w:rFonts w:ascii="Palatino Linotype" w:eastAsia="Palatino Linotype" w:hAnsi="Palatino Linotype" w:cs="Palatino Linotype"/>
          <w:sz w:val="22"/>
          <w:szCs w:val="22"/>
        </w:rPr>
      </w:pPr>
    </w:p>
    <w:p w14:paraId="265184E5" w14:textId="77777777" w:rsidR="001D4788" w:rsidRDefault="00B124AE">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140.</w:t>
      </w:r>
      <w:r>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20640B07" w14:textId="77777777" w:rsidR="001D4788" w:rsidRDefault="00B124AE">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al III…</w:t>
      </w:r>
    </w:p>
    <w:p w14:paraId="3907CA1C" w14:textId="77777777" w:rsidR="001D4788" w:rsidRDefault="00B124AE">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Ponga en riesgo la vida, la seguridad o la salud de una persona física;</w:t>
      </w:r>
    </w:p>
    <w:p w14:paraId="7AE16158" w14:textId="77777777" w:rsidR="001D4788" w:rsidRDefault="00B124AE">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al XI…</w:t>
      </w:r>
    </w:p>
    <w:p w14:paraId="3360709E" w14:textId="77777777" w:rsidR="001D4788" w:rsidRDefault="001D4788">
      <w:pPr>
        <w:jc w:val="both"/>
        <w:rPr>
          <w:rFonts w:ascii="Palatino Linotype" w:eastAsia="Palatino Linotype" w:hAnsi="Palatino Linotype" w:cs="Palatino Linotype"/>
          <w:sz w:val="22"/>
          <w:szCs w:val="22"/>
        </w:rPr>
      </w:pPr>
    </w:p>
    <w:p w14:paraId="15CD3CC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precepto citado se desprende que como información reservada podrá clasificarse aquella cuya publicación pueda poner en riesgo la vida, seguridad o salud de una persona física; para acreditar lo anterior, los Lineamientos Generales, establecen lo siguiente:</w:t>
      </w:r>
    </w:p>
    <w:p w14:paraId="7DA1A742" w14:textId="77777777" w:rsidR="001D4788" w:rsidRDefault="001D4788">
      <w:pPr>
        <w:ind w:left="850" w:right="901"/>
        <w:jc w:val="both"/>
        <w:rPr>
          <w:rFonts w:ascii="Palatino Linotype" w:eastAsia="Palatino Linotype" w:hAnsi="Palatino Linotype" w:cs="Palatino Linotype"/>
          <w:b/>
          <w:i/>
          <w:sz w:val="22"/>
          <w:szCs w:val="22"/>
        </w:rPr>
      </w:pPr>
    </w:p>
    <w:p w14:paraId="3D9A90AE" w14:textId="77777777" w:rsidR="001D4788" w:rsidRDefault="00B124AE">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Vigésimo tercero. </w:t>
      </w:r>
      <w:r>
        <w:rPr>
          <w:rFonts w:ascii="Palatino Linotype" w:eastAsia="Palatino Linotype" w:hAnsi="Palatino Linotype" w:cs="Palatino Linotype"/>
          <w:i/>
          <w:sz w:val="22"/>
          <w:szCs w:val="22"/>
        </w:rPr>
        <w:t>Para clasificar la información como reservada, de conformidad con el artículo 113, fracción V de la Ley General, será necesario acreditar un vínculo, entre la persona física y la información que pueda poner en riesgo su vida, seguridad o salud.</w:t>
      </w:r>
    </w:p>
    <w:p w14:paraId="6DAD26DE" w14:textId="77777777" w:rsidR="001D4788" w:rsidRDefault="001D4788">
      <w:pPr>
        <w:ind w:left="567"/>
        <w:jc w:val="both"/>
        <w:rPr>
          <w:rFonts w:ascii="Palatino Linotype" w:eastAsia="Palatino Linotype" w:hAnsi="Palatino Linotype" w:cs="Palatino Linotype"/>
          <w:i/>
        </w:rPr>
      </w:pPr>
    </w:p>
    <w:p w14:paraId="26B913AD"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Lineamiento referido, se desprende que para clasificar la información como reservada, será necesario </w:t>
      </w:r>
      <w:r>
        <w:rPr>
          <w:rFonts w:ascii="Palatino Linotype" w:eastAsia="Palatino Linotype" w:hAnsi="Palatino Linotype" w:cs="Palatino Linotype"/>
          <w:b/>
        </w:rPr>
        <w:t>acreditar un vínculo, entre la persona física y la información que pueda poner en riesgo su vida, seguridad o salud</w:t>
      </w:r>
      <w:r>
        <w:rPr>
          <w:rFonts w:ascii="Palatino Linotype" w:eastAsia="Palatino Linotype" w:hAnsi="Palatino Linotype" w:cs="Palatino Linotype"/>
        </w:rPr>
        <w:t>.</w:t>
      </w:r>
    </w:p>
    <w:p w14:paraId="2534A599" w14:textId="77777777" w:rsidR="001D4788" w:rsidRDefault="001D4788">
      <w:pPr>
        <w:spacing w:line="360" w:lineRule="auto"/>
        <w:jc w:val="both"/>
        <w:rPr>
          <w:rFonts w:ascii="Palatino Linotype" w:eastAsia="Palatino Linotype" w:hAnsi="Palatino Linotype" w:cs="Palatino Linotype"/>
        </w:rPr>
      </w:pPr>
    </w:p>
    <w:p w14:paraId="6FC19893"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el artículo 81, fracción III, de la Ley de Seguridad del Estado de México, establece lo siguiente:</w:t>
      </w:r>
    </w:p>
    <w:p w14:paraId="71072FDE" w14:textId="77777777" w:rsidR="001D4788" w:rsidRDefault="001D4788">
      <w:pPr>
        <w:jc w:val="both"/>
        <w:rPr>
          <w:rFonts w:ascii="Palatino Linotype" w:eastAsia="Palatino Linotype" w:hAnsi="Palatino Linotype" w:cs="Palatino Linotype"/>
          <w:sz w:val="22"/>
          <w:szCs w:val="22"/>
        </w:rPr>
      </w:pPr>
    </w:p>
    <w:p w14:paraId="3BC44A37" w14:textId="77777777" w:rsidR="001D4788" w:rsidRDefault="00B124AE">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81.-</w:t>
      </w:r>
      <w:r>
        <w:rPr>
          <w:rFonts w:ascii="Palatino Linotype" w:eastAsia="Palatino Linotype" w:hAnsi="Palatino Linotype" w:cs="Palatino Linotype"/>
          <w:i/>
          <w:sz w:val="22"/>
          <w:szCs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45FEF7A" w14:textId="77777777" w:rsidR="001D4788" w:rsidRDefault="00B124AE">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F7310CF" w14:textId="77777777" w:rsidR="001D4788" w:rsidRDefault="00B124AE">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relativa a los servidores públicos integrantes de las instituciones de seguridad pública, cuya revelación pueda poner en riesgo su vida e integridad física con motivo de sus funciones;</w:t>
      </w:r>
    </w:p>
    <w:p w14:paraId="1C58A7D9" w14:textId="77777777" w:rsidR="001D4788" w:rsidRDefault="00B124AE">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02BF0B9" w14:textId="77777777" w:rsidR="001D4788" w:rsidRDefault="001D4788">
      <w:pPr>
        <w:jc w:val="both"/>
        <w:rPr>
          <w:rFonts w:ascii="Palatino Linotype" w:eastAsia="Palatino Linotype" w:hAnsi="Palatino Linotype" w:cs="Palatino Linotype"/>
        </w:rPr>
      </w:pPr>
    </w:p>
    <w:p w14:paraId="00BEA83A"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D486355" w14:textId="77777777" w:rsidR="001D4788" w:rsidRDefault="001D4788">
      <w:pPr>
        <w:spacing w:line="360" w:lineRule="auto"/>
        <w:jc w:val="both"/>
        <w:rPr>
          <w:rFonts w:ascii="Palatino Linotype" w:eastAsia="Palatino Linotype" w:hAnsi="Palatino Linotype" w:cs="Palatino Linotype"/>
        </w:rPr>
      </w:pPr>
    </w:p>
    <w:p w14:paraId="4D17787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tal como se precisó en párrafos anteriores, </w:t>
      </w:r>
      <w:r>
        <w:rPr>
          <w:rFonts w:ascii="Palatino Linotype" w:eastAsia="Palatino Linotype" w:hAnsi="Palatino Linotype" w:cs="Palatino Linotype"/>
          <w:b/>
        </w:rPr>
        <w:t xml:space="preserve">los datos de servidores públicos, entre los que se encuentran el nombre de los trabajadores, por regla general, </w:t>
      </w:r>
      <w:r>
        <w:rPr>
          <w:rFonts w:ascii="Palatino Linotype" w:eastAsia="Palatino Linotype" w:hAnsi="Palatino Linotype" w:cs="Palatino Linotype"/>
        </w:rPr>
        <w:t>son de naturaleza pública, ya que su publicidad orienta a cumplir los objetivos que persigue la Ley.</w:t>
      </w:r>
    </w:p>
    <w:p w14:paraId="18744DC0" w14:textId="77777777" w:rsidR="001D4788" w:rsidRDefault="001D4788">
      <w:pPr>
        <w:spacing w:line="360" w:lineRule="auto"/>
        <w:jc w:val="both"/>
        <w:rPr>
          <w:rFonts w:ascii="Palatino Linotype" w:eastAsia="Palatino Linotype" w:hAnsi="Palatino Linotype" w:cs="Palatino Linotype"/>
        </w:rPr>
      </w:pPr>
    </w:p>
    <w:p w14:paraId="40D76D81"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resulta necesario traer a colación por analogía, el Criterio 06/09, emitido por el entonces Instituto Federal de Acceso a la Información y Protección de Datos </w:t>
      </w:r>
      <w:r>
        <w:rPr>
          <w:rFonts w:ascii="Palatino Linotype" w:eastAsia="Palatino Linotype" w:hAnsi="Palatino Linotype" w:cs="Palatino Linotype"/>
        </w:rPr>
        <w:lastRenderedPageBreak/>
        <w:t>ahora Instituto Nacional de Transparencia, Acceso a la Información y Protección de Datos Personales, que establece lo siguiente:</w:t>
      </w:r>
    </w:p>
    <w:p w14:paraId="2390D4E4" w14:textId="77777777" w:rsidR="001D4788" w:rsidRDefault="001D4788">
      <w:pPr>
        <w:jc w:val="both"/>
        <w:rPr>
          <w:rFonts w:ascii="Palatino Linotype" w:eastAsia="Palatino Linotype" w:hAnsi="Palatino Linotype" w:cs="Palatino Linotype"/>
          <w:i/>
          <w:sz w:val="22"/>
          <w:szCs w:val="22"/>
        </w:rPr>
      </w:pPr>
    </w:p>
    <w:p w14:paraId="0643FF4E" w14:textId="77777777" w:rsidR="001D4788" w:rsidRDefault="00B124AE">
      <w:pPr>
        <w:tabs>
          <w:tab w:val="left" w:pos="4962"/>
        </w:tabs>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9A609F5" w14:textId="77777777" w:rsidR="001D4788" w:rsidRDefault="001D4788">
      <w:pPr>
        <w:jc w:val="both"/>
        <w:rPr>
          <w:rFonts w:ascii="Palatino Linotype" w:eastAsia="Palatino Linotype" w:hAnsi="Palatino Linotype" w:cs="Palatino Linotype"/>
          <w:sz w:val="22"/>
          <w:szCs w:val="22"/>
        </w:rPr>
      </w:pPr>
    </w:p>
    <w:p w14:paraId="71D8E5CD"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Pr>
          <w:rFonts w:ascii="Palatino Linotype" w:eastAsia="Palatino Linotype" w:hAnsi="Palatino Linotype" w:cs="Palatino Linotype"/>
        </w:rPr>
        <w:lastRenderedPageBreak/>
        <w:t>obstaculizando la actuación de los servidores públicos que realizan funciones de carácter operativo.</w:t>
      </w:r>
    </w:p>
    <w:p w14:paraId="28F4D599" w14:textId="77777777" w:rsidR="001D4788" w:rsidRDefault="001D4788">
      <w:pPr>
        <w:spacing w:line="360" w:lineRule="auto"/>
        <w:jc w:val="both"/>
        <w:rPr>
          <w:rFonts w:ascii="Palatino Linotype" w:eastAsia="Palatino Linotype" w:hAnsi="Palatino Linotype" w:cs="Palatino Linotype"/>
        </w:rPr>
      </w:pPr>
    </w:p>
    <w:p w14:paraId="53B30641"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b/>
        </w:rPr>
        <w:t>aquellos que realicen actividades operativas en materia de seguridad,</w:t>
      </w:r>
      <w:r>
        <w:rPr>
          <w:rFonts w:ascii="Palatino Linotype" w:eastAsia="Palatino Linotype" w:hAnsi="Palatino Linotype" w:cs="Palatino Linotype"/>
        </w:rPr>
        <w:t xml:space="preserve"> como es el caso de los elementos operativos y la policía municipal.</w:t>
      </w:r>
    </w:p>
    <w:p w14:paraId="1603C3E2" w14:textId="77777777" w:rsidR="001D4788" w:rsidRDefault="001D4788">
      <w:pPr>
        <w:spacing w:line="360" w:lineRule="auto"/>
        <w:jc w:val="both"/>
        <w:rPr>
          <w:rFonts w:ascii="Palatino Linotype" w:eastAsia="Palatino Linotype" w:hAnsi="Palatino Linotype" w:cs="Palatino Linotype"/>
        </w:rPr>
      </w:pPr>
    </w:p>
    <w:p w14:paraId="297E6788"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156893F" w14:textId="77777777" w:rsidR="001D4788" w:rsidRDefault="001D4788">
      <w:pPr>
        <w:spacing w:line="360" w:lineRule="auto"/>
        <w:jc w:val="both"/>
        <w:rPr>
          <w:rFonts w:ascii="Palatino Linotype" w:eastAsia="Palatino Linotype" w:hAnsi="Palatino Linotype" w:cs="Palatino Linotype"/>
        </w:rPr>
      </w:pPr>
    </w:p>
    <w:p w14:paraId="1FDC229C"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contexto, el artículo 6, fracciones XI y XII de dicho ordenamiento jurídico, establece los siguientes conceptos:</w:t>
      </w:r>
    </w:p>
    <w:p w14:paraId="5B2883BA" w14:textId="77777777" w:rsidR="001D4788" w:rsidRDefault="001D4788">
      <w:pPr>
        <w:spacing w:line="360" w:lineRule="auto"/>
        <w:jc w:val="both"/>
        <w:rPr>
          <w:rFonts w:ascii="Palatino Linotype" w:eastAsia="Palatino Linotype" w:hAnsi="Palatino Linotype" w:cs="Palatino Linotype"/>
        </w:rPr>
      </w:pPr>
    </w:p>
    <w:p w14:paraId="3C52543B" w14:textId="77777777" w:rsidR="001D4788" w:rsidRDefault="00B124AE">
      <w:pPr>
        <w:numPr>
          <w:ilvl w:val="0"/>
          <w:numId w:val="3"/>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Instituciones Policiales: </w:t>
      </w:r>
      <w:r>
        <w:rPr>
          <w:rFonts w:ascii="Palatino Linotype" w:eastAsia="Palatino Linotype" w:hAnsi="Palatino Linotype" w:cs="Palatino Linotype"/>
        </w:rPr>
        <w:t xml:space="preserve">Son los cuerpos de policía, de vigilancia y custodia de los establecimientos penitenciarios, detención preventiva, centros de arraigo y en general, </w:t>
      </w:r>
      <w:r>
        <w:rPr>
          <w:rFonts w:ascii="Palatino Linotype" w:eastAsia="Palatino Linotype" w:hAnsi="Palatino Linotype" w:cs="Palatino Linotype"/>
          <w:b/>
        </w:rPr>
        <w:t>todas las dependencias encargadas de la seguridad pública a nivel</w:t>
      </w:r>
      <w:r>
        <w:rPr>
          <w:rFonts w:ascii="Palatino Linotype" w:eastAsia="Palatino Linotype" w:hAnsi="Palatino Linotype" w:cs="Palatino Linotype"/>
        </w:rPr>
        <w:t xml:space="preserve"> estatal y </w:t>
      </w:r>
      <w:r>
        <w:rPr>
          <w:rFonts w:ascii="Palatino Linotype" w:eastAsia="Palatino Linotype" w:hAnsi="Palatino Linotype" w:cs="Palatino Linotype"/>
          <w:b/>
        </w:rPr>
        <w:t>municipal.</w:t>
      </w:r>
    </w:p>
    <w:p w14:paraId="3D763739" w14:textId="77777777" w:rsidR="001D4788" w:rsidRDefault="001D4788">
      <w:pPr>
        <w:spacing w:line="360" w:lineRule="auto"/>
        <w:ind w:left="708"/>
        <w:jc w:val="both"/>
        <w:rPr>
          <w:rFonts w:ascii="Palatino Linotype" w:eastAsia="Palatino Linotype" w:hAnsi="Palatino Linotype" w:cs="Palatino Linotype"/>
        </w:rPr>
      </w:pPr>
    </w:p>
    <w:p w14:paraId="7B314CBC" w14:textId="77777777" w:rsidR="001D4788" w:rsidRDefault="00B124AE">
      <w:pPr>
        <w:numPr>
          <w:ilvl w:val="0"/>
          <w:numId w:val="3"/>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Instituciones de Seguridad Pública: </w:t>
      </w:r>
      <w:r>
        <w:rPr>
          <w:rFonts w:ascii="Palatino Linotype" w:eastAsia="Palatino Linotype" w:hAnsi="Palatino Linotype" w:cs="Palatino Linotype"/>
        </w:rPr>
        <w:t xml:space="preserve">Instituciones Policiales, Procuración de Justicia, Sistema Penitenciario y </w:t>
      </w:r>
      <w:r>
        <w:rPr>
          <w:rFonts w:ascii="Palatino Linotype" w:eastAsia="Palatino Linotype" w:hAnsi="Palatino Linotype" w:cs="Palatino Linotype"/>
          <w:b/>
        </w:rPr>
        <w:t xml:space="preserve">dependencias encargadas de la seguridad pública a nivel </w:t>
      </w:r>
      <w:r>
        <w:rPr>
          <w:rFonts w:ascii="Palatino Linotype" w:eastAsia="Palatino Linotype" w:hAnsi="Palatino Linotype" w:cs="Palatino Linotype"/>
        </w:rPr>
        <w:t xml:space="preserve">estatal y </w:t>
      </w:r>
      <w:r>
        <w:rPr>
          <w:rFonts w:ascii="Palatino Linotype" w:eastAsia="Palatino Linotype" w:hAnsi="Palatino Linotype" w:cs="Palatino Linotype"/>
          <w:b/>
        </w:rPr>
        <w:t>municipal.</w:t>
      </w:r>
    </w:p>
    <w:p w14:paraId="2D59CFFE" w14:textId="77777777" w:rsidR="001D4788" w:rsidRDefault="001D4788">
      <w:pPr>
        <w:spacing w:line="360" w:lineRule="auto"/>
        <w:ind w:left="708"/>
        <w:rPr>
          <w:rFonts w:ascii="Palatino Linotype" w:eastAsia="Palatino Linotype" w:hAnsi="Palatino Linotype" w:cs="Palatino Linotype"/>
          <w:b/>
        </w:rPr>
      </w:pPr>
    </w:p>
    <w:p w14:paraId="698D1B5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655DB64F" w14:textId="77777777" w:rsidR="001D4788" w:rsidRDefault="001D4788">
      <w:pPr>
        <w:spacing w:line="360" w:lineRule="auto"/>
        <w:jc w:val="both"/>
        <w:rPr>
          <w:rFonts w:ascii="Palatino Linotype" w:eastAsia="Palatino Linotype" w:hAnsi="Palatino Linotype" w:cs="Palatino Linotype"/>
        </w:rPr>
      </w:pPr>
    </w:p>
    <w:p w14:paraId="5727E444" w14:textId="77777777" w:rsidR="001D4788" w:rsidRDefault="00B124A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de abril de dos mil veintidós, a las dieciocho horas, en la liga electrónica </w:t>
      </w:r>
      <w:hyperlink r:id="rId11">
        <w:r>
          <w:rPr>
            <w:rFonts w:ascii="Palatino Linotype" w:eastAsia="Palatino Linotype" w:hAnsi="Palatino Linotype" w:cs="Palatino Linotype"/>
            <w:color w:val="0563C1"/>
          </w:rPr>
          <w:t>http://secretariadoejecutivo.gob.mx/work/models/SecretariadoEjecutivo/Resource/328/1/images/instructivo_final_edo_fuerza(1).pdf</w:t>
        </w:r>
      </w:hyperlink>
      <w:r>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Pr>
          <w:rFonts w:ascii="Palatino Linotype" w:eastAsia="Palatino Linotype" w:hAnsi="Palatino Linotype" w:cs="Palatino Linotype"/>
          <w:b/>
        </w:rPr>
        <w:t>desempeña funciones de mando</w:t>
      </w:r>
      <w:r>
        <w:rPr>
          <w:rFonts w:ascii="Palatino Linotype" w:eastAsia="Palatino Linotype" w:hAnsi="Palatino Linotype" w:cs="Palatino Linotype"/>
        </w:rPr>
        <w:t xml:space="preserve">), entre los cuales, se encuentra </w:t>
      </w:r>
      <w:r>
        <w:rPr>
          <w:rFonts w:ascii="Palatino Linotype" w:eastAsia="Palatino Linotype" w:hAnsi="Palatino Linotype" w:cs="Palatino Linotype"/>
          <w:b/>
        </w:rPr>
        <w:t>la Policía Municipal</w:t>
      </w:r>
      <w:r>
        <w:rPr>
          <w:rFonts w:ascii="Palatino Linotype" w:eastAsia="Palatino Linotype" w:hAnsi="Palatino Linotype" w:cs="Palatino Linotype"/>
        </w:rPr>
        <w:t>.</w:t>
      </w:r>
    </w:p>
    <w:p w14:paraId="306CF04D" w14:textId="77777777" w:rsidR="001D4788" w:rsidRDefault="001D4788">
      <w:pPr>
        <w:tabs>
          <w:tab w:val="left" w:pos="4962"/>
        </w:tabs>
        <w:spacing w:line="360" w:lineRule="auto"/>
        <w:jc w:val="both"/>
        <w:rPr>
          <w:rFonts w:ascii="Palatino Linotype" w:eastAsia="Palatino Linotype" w:hAnsi="Palatino Linotype" w:cs="Palatino Linotype"/>
        </w:rPr>
      </w:pPr>
    </w:p>
    <w:p w14:paraId="5E4B8D84" w14:textId="77777777" w:rsidR="001D4788" w:rsidRDefault="00B124AE">
      <w:pPr>
        <w:tabs>
          <w:tab w:val="left" w:pos="496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w:t>
      </w:r>
      <w:r>
        <w:rPr>
          <w:rFonts w:ascii="Palatino Linotype" w:eastAsia="Palatino Linotype" w:hAnsi="Palatino Linotype" w:cs="Palatino Linotype"/>
        </w:rPr>
        <w:lastRenderedPageBreak/>
        <w:t>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380EF1A" w14:textId="77777777" w:rsidR="001D4788" w:rsidRDefault="001D4788">
      <w:pPr>
        <w:spacing w:line="360" w:lineRule="auto"/>
        <w:jc w:val="both"/>
        <w:rPr>
          <w:rFonts w:ascii="Palatino Linotype" w:eastAsia="Palatino Linotype" w:hAnsi="Palatino Linotype" w:cs="Palatino Linotype"/>
        </w:rPr>
      </w:pPr>
    </w:p>
    <w:p w14:paraId="54616C5F"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38874DA2" w14:textId="77777777" w:rsidR="001D4788" w:rsidRDefault="001D4788">
      <w:pPr>
        <w:spacing w:line="360" w:lineRule="auto"/>
        <w:jc w:val="both"/>
        <w:rPr>
          <w:rFonts w:ascii="Palatino Linotype" w:eastAsia="Palatino Linotype" w:hAnsi="Palatino Linotype" w:cs="Palatino Linotype"/>
        </w:rPr>
      </w:pPr>
    </w:p>
    <w:p w14:paraId="39BA0084"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w:t>
      </w:r>
      <w:r>
        <w:rPr>
          <w:rFonts w:ascii="Palatino Linotype" w:eastAsia="Palatino Linotype" w:hAnsi="Palatino Linotype" w:cs="Palatino Linotype"/>
        </w:rPr>
        <w:lastRenderedPageBreak/>
        <w:t>los cuales podrían amenazar o causarles algún daño, con el fin de entorpecer o disminuir la seguridad pública y aumentar la comisión de actos ilícitos.</w:t>
      </w:r>
    </w:p>
    <w:p w14:paraId="2FB2986D" w14:textId="77777777" w:rsidR="001D4788" w:rsidRDefault="001D4788">
      <w:pPr>
        <w:spacing w:line="360" w:lineRule="auto"/>
        <w:jc w:val="both"/>
        <w:rPr>
          <w:rFonts w:ascii="Palatino Linotype" w:eastAsia="Palatino Linotype" w:hAnsi="Palatino Linotype" w:cs="Palatino Linotype"/>
        </w:rPr>
      </w:pPr>
    </w:p>
    <w:p w14:paraId="718E6A95"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tales consideraciones, </w:t>
      </w:r>
      <w:r>
        <w:rPr>
          <w:rFonts w:ascii="Palatino Linotype" w:eastAsia="Palatino Linotype" w:hAnsi="Palatino Linotype" w:cs="Palatino Linotype"/>
          <w:b/>
        </w:rPr>
        <w:t>resulta procedente la reserva del nombre de los elementos operativos de la Dirección de Seguridad Pública Municipal, en términos del artículo 140, fracción IV, de la Ley de Transparencia y Acceso a la Información Pública del Estado de México y Municipios.</w:t>
      </w:r>
    </w:p>
    <w:p w14:paraId="7F9BBFED" w14:textId="77777777" w:rsidR="001D4788" w:rsidRDefault="001D4788">
      <w:pPr>
        <w:spacing w:line="360" w:lineRule="auto"/>
        <w:jc w:val="both"/>
        <w:rPr>
          <w:rFonts w:ascii="Palatino Linotype" w:eastAsia="Palatino Linotype" w:hAnsi="Palatino Linotype" w:cs="Palatino Linotype"/>
          <w:b/>
        </w:rPr>
      </w:pPr>
    </w:p>
    <w:p w14:paraId="151ED33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 determinado lo anterior, la transparencia es imprescindible para la vigilancia pública, por ello, no debe ser clasificado como reservado el nombre de servidores públicos de Seguridad Publica con medio o superior pues resulta mayor el beneficio de conocer a las personas cuyo nivel y/o rango conlleva a una mayor responsabilidad.</w:t>
      </w:r>
    </w:p>
    <w:p w14:paraId="5A99E961" w14:textId="77777777" w:rsidR="001D4788" w:rsidRDefault="001D4788">
      <w:pPr>
        <w:spacing w:line="360" w:lineRule="auto"/>
        <w:jc w:val="both"/>
        <w:rPr>
          <w:rFonts w:ascii="Palatino Linotype" w:eastAsia="Palatino Linotype" w:hAnsi="Palatino Linotype" w:cs="Palatino Linotype"/>
        </w:rPr>
      </w:pPr>
    </w:p>
    <w:p w14:paraId="5D9B0681"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con relación a la </w:t>
      </w: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w:t>
      </w:r>
    </w:p>
    <w:p w14:paraId="1F555BA8" w14:textId="77777777" w:rsidR="001D4788" w:rsidRDefault="001D4788">
      <w:pPr>
        <w:spacing w:line="360" w:lineRule="auto"/>
        <w:jc w:val="both"/>
        <w:rPr>
          <w:rFonts w:ascii="Palatino Linotype" w:eastAsia="Palatino Linotype" w:hAnsi="Palatino Linotype" w:cs="Palatino Linotype"/>
        </w:rPr>
      </w:pPr>
    </w:p>
    <w:p w14:paraId="28A9F8E0"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w:t>
      </w:r>
      <w:r>
        <w:rPr>
          <w:rFonts w:ascii="Palatino Linotype" w:eastAsia="Palatino Linotype" w:hAnsi="Palatino Linotype" w:cs="Palatino Linotype"/>
        </w:rPr>
        <w:lastRenderedPageBreak/>
        <w:t xml:space="preserve">cumplir cabalmente con las formalidades de los </w:t>
      </w:r>
      <w:r>
        <w:rPr>
          <w:rFonts w:ascii="Palatino Linotype" w:eastAsia="Palatino Linotype" w:hAnsi="Palatino Linotype" w:cs="Palatino Linotype"/>
          <w:u w:val="single"/>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15 de abril de 2016, mediante Acuerdo del Consejo Nacional del Sistema Nacional de Transparencia, Acceso a la Información Pública y Protección de Datos Personales.</w:t>
      </w:r>
    </w:p>
    <w:p w14:paraId="1BBD6FBC" w14:textId="77777777" w:rsidR="001D4788" w:rsidRDefault="001D4788">
      <w:pPr>
        <w:spacing w:line="360" w:lineRule="auto"/>
        <w:jc w:val="both"/>
        <w:rPr>
          <w:rFonts w:ascii="Palatino Linotype" w:eastAsia="Palatino Linotype" w:hAnsi="Palatino Linotype" w:cs="Palatino Linotype"/>
        </w:rPr>
      </w:pPr>
    </w:p>
    <w:p w14:paraId="4D744847"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respecto de los documentos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ha de </w:t>
      </w:r>
      <w:r>
        <w:rPr>
          <w:rFonts w:ascii="Palatino Linotype" w:eastAsia="Palatino Linotype" w:hAnsi="Palatino Linotype" w:cs="Palatino Linotype"/>
          <w:b/>
        </w:rPr>
        <w:t>entregar</w:t>
      </w:r>
      <w:r>
        <w:rPr>
          <w:rFonts w:ascii="Palatino Linotype" w:eastAsia="Palatino Linotype" w:hAnsi="Palatino Linotype" w:cs="Palatino Linotype"/>
        </w:rPr>
        <w:t xml:space="preserve"> en </w:t>
      </w:r>
      <w:r>
        <w:rPr>
          <w:rFonts w:ascii="Palatino Linotype" w:eastAsia="Palatino Linotype" w:hAnsi="Palatino Linotype" w:cs="Palatino Linotype"/>
          <w:b/>
        </w:rPr>
        <w:t>versión pública</w:t>
      </w:r>
      <w:r>
        <w:rPr>
          <w:rFonts w:ascii="Palatino Linotype" w:eastAsia="Palatino Linotype" w:hAnsi="Palatino Linotype" w:cs="Palatino Linotype"/>
        </w:rPr>
        <w:t>, se 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(ISSEMyM),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0105A27D" w14:textId="77777777" w:rsidR="001D4788" w:rsidRDefault="001D4788">
      <w:pPr>
        <w:spacing w:line="360" w:lineRule="auto"/>
        <w:jc w:val="both"/>
        <w:rPr>
          <w:rFonts w:ascii="Palatino Linotype" w:eastAsia="Palatino Linotype" w:hAnsi="Palatino Linotype" w:cs="Palatino Linotype"/>
        </w:rPr>
      </w:pPr>
    </w:p>
    <w:p w14:paraId="50374EF4"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con documentos oficiales.</w:t>
      </w:r>
    </w:p>
    <w:p w14:paraId="74DCD3A9" w14:textId="77777777" w:rsidR="001D4788" w:rsidRDefault="001D4788">
      <w:pPr>
        <w:spacing w:line="360" w:lineRule="auto"/>
        <w:jc w:val="both"/>
        <w:rPr>
          <w:rFonts w:ascii="Palatino Linotype" w:eastAsia="Palatino Linotype" w:hAnsi="Palatino Linotype" w:cs="Palatino Linotype"/>
        </w:rPr>
      </w:pPr>
    </w:p>
    <w:p w14:paraId="56B0EAB6" w14:textId="77777777" w:rsidR="001D4788" w:rsidRDefault="00B124A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Al respecto, es aplicable el Criterio 19/17 de la Segunda Época, emitido por el INAI, que dice:</w:t>
      </w:r>
      <w:r>
        <w:rPr>
          <w:rFonts w:ascii="Palatino Linotype" w:eastAsia="Palatino Linotype" w:hAnsi="Palatino Linotype" w:cs="Palatino Linotype"/>
          <w:b/>
        </w:rPr>
        <w:t xml:space="preserve"> </w:t>
      </w:r>
    </w:p>
    <w:p w14:paraId="5C292CBF" w14:textId="77777777" w:rsidR="001D4788" w:rsidRDefault="001D4788">
      <w:pPr>
        <w:tabs>
          <w:tab w:val="left" w:pos="7655"/>
        </w:tabs>
        <w:ind w:left="851" w:right="902"/>
        <w:jc w:val="both"/>
        <w:rPr>
          <w:rFonts w:ascii="Palatino Linotype" w:eastAsia="Palatino Linotype" w:hAnsi="Palatino Linotype" w:cs="Palatino Linotype"/>
          <w:i/>
          <w:sz w:val="22"/>
          <w:szCs w:val="22"/>
        </w:rPr>
      </w:pPr>
    </w:p>
    <w:p w14:paraId="32A6730E" w14:textId="77777777" w:rsidR="001D4788" w:rsidRDefault="00B124AE">
      <w:pPr>
        <w:tabs>
          <w:tab w:val="left" w:pos="7655"/>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única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 (Sic)</w:t>
      </w:r>
    </w:p>
    <w:p w14:paraId="3698A77E" w14:textId="77777777" w:rsidR="001D4788" w:rsidRDefault="001D4788">
      <w:pPr>
        <w:tabs>
          <w:tab w:val="left" w:pos="7655"/>
        </w:tabs>
        <w:ind w:left="851" w:right="902"/>
        <w:jc w:val="both"/>
        <w:rPr>
          <w:rFonts w:ascii="Palatino Linotype" w:eastAsia="Palatino Linotype" w:hAnsi="Palatino Linotype" w:cs="Palatino Linotype"/>
          <w:sz w:val="22"/>
          <w:szCs w:val="22"/>
        </w:rPr>
      </w:pPr>
    </w:p>
    <w:p w14:paraId="195E6A96"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62BBFDA" w14:textId="77777777" w:rsidR="001D4788" w:rsidRDefault="001D4788">
      <w:pPr>
        <w:spacing w:line="360" w:lineRule="auto"/>
        <w:jc w:val="both"/>
        <w:rPr>
          <w:rFonts w:ascii="Palatino Linotype" w:eastAsia="Palatino Linotype" w:hAnsi="Palatino Linotype" w:cs="Palatino Linotype"/>
        </w:rPr>
      </w:pPr>
    </w:p>
    <w:p w14:paraId="676BF359"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CURP</w:t>
      </w:r>
      <w:r>
        <w:rPr>
          <w:rFonts w:ascii="Palatino Linotype" w:eastAsia="Palatino Linotype" w:hAnsi="Palatino Linotype" w:cs="Palatino Linotype"/>
          <w:b/>
        </w:rPr>
        <w:t xml:space="preserve">, </w:t>
      </w:r>
      <w:r>
        <w:rPr>
          <w:rFonts w:ascii="Palatino Linotype" w:eastAsia="Palatino Linotype" w:hAnsi="Palatino Linotype" w:cs="Palatino Linotype"/>
        </w:rPr>
        <w:t>constituye un dato personal, que tiene como fin llevar registro de cada a cada una de las personas que integran la población del país, se tiene como sustento los artículos 86 y 91 de la Ley General de Población, la cual señala lo siguiente:</w:t>
      </w:r>
    </w:p>
    <w:p w14:paraId="33637F6A" w14:textId="77777777" w:rsidR="001D4788" w:rsidRDefault="001D4788">
      <w:pPr>
        <w:jc w:val="both"/>
        <w:rPr>
          <w:rFonts w:ascii="Palatino Linotype" w:eastAsia="Palatino Linotype" w:hAnsi="Palatino Linotype" w:cs="Palatino Linotype"/>
        </w:rPr>
      </w:pPr>
    </w:p>
    <w:p w14:paraId="0B1BD66F"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45FE1A65" w14:textId="77777777" w:rsidR="001D4788" w:rsidRDefault="001D4788">
      <w:pPr>
        <w:ind w:left="851" w:right="902"/>
        <w:jc w:val="both"/>
        <w:rPr>
          <w:rFonts w:ascii="Palatino Linotype" w:eastAsia="Palatino Linotype" w:hAnsi="Palatino Linotype" w:cs="Palatino Linotype"/>
          <w:i/>
          <w:sz w:val="22"/>
          <w:szCs w:val="22"/>
        </w:rPr>
      </w:pPr>
    </w:p>
    <w:p w14:paraId="404765C4"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91. Al incorporar a una persona en el Registro Nacional de Población</w:t>
      </w:r>
      <w:r>
        <w:rPr>
          <w:rFonts w:ascii="Palatino Linotype" w:eastAsia="Palatino Linotype" w:hAnsi="Palatino Linotype" w:cs="Palatino Linotype"/>
          <w:i/>
          <w:sz w:val="22"/>
          <w:szCs w:val="22"/>
        </w:rPr>
        <w:t xml:space="preserve">, se le asignará una clave </w:t>
      </w:r>
      <w:r>
        <w:rPr>
          <w:rFonts w:ascii="Palatino Linotype" w:eastAsia="Palatino Linotype" w:hAnsi="Palatino Linotype" w:cs="Palatino Linotype"/>
          <w:b/>
          <w:i/>
          <w:sz w:val="22"/>
          <w:szCs w:val="22"/>
        </w:rPr>
        <w:t>que se denominará Clave Única de Registro de Población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Esta servirá para</w:t>
      </w:r>
      <w:r>
        <w:rPr>
          <w:rFonts w:ascii="Palatino Linotype" w:eastAsia="Palatino Linotype" w:hAnsi="Palatino Linotype" w:cs="Palatino Linotype"/>
          <w:i/>
          <w:sz w:val="22"/>
          <w:szCs w:val="22"/>
        </w:rPr>
        <w:t xml:space="preserve"> registrarla e </w:t>
      </w:r>
      <w:r>
        <w:rPr>
          <w:rFonts w:ascii="Palatino Linotype" w:eastAsia="Palatino Linotype" w:hAnsi="Palatino Linotype" w:cs="Palatino Linotype"/>
          <w:b/>
          <w:i/>
          <w:sz w:val="22"/>
          <w:szCs w:val="22"/>
        </w:rPr>
        <w:t>identificarla en forma individual</w:t>
      </w:r>
      <w:r>
        <w:rPr>
          <w:rFonts w:ascii="Palatino Linotype" w:eastAsia="Palatino Linotype" w:hAnsi="Palatino Linotype" w:cs="Palatino Linotype"/>
          <w:i/>
          <w:sz w:val="22"/>
          <w:szCs w:val="22"/>
        </w:rPr>
        <w:t xml:space="preserve">.” </w:t>
      </w:r>
    </w:p>
    <w:p w14:paraId="0E17D836" w14:textId="77777777" w:rsidR="001D4788" w:rsidRDefault="00B124AE">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43CE5873" w14:textId="77777777" w:rsidR="001D4788" w:rsidRDefault="001D4788">
      <w:pPr>
        <w:ind w:left="851" w:right="902"/>
        <w:jc w:val="both"/>
        <w:rPr>
          <w:rFonts w:ascii="Palatino Linotype" w:eastAsia="Palatino Linotype" w:hAnsi="Palatino Linotype" w:cs="Palatino Linotype"/>
          <w:sz w:val="22"/>
          <w:szCs w:val="22"/>
        </w:rPr>
      </w:pPr>
    </w:p>
    <w:p w14:paraId="5E23FC88"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59BD58F" w14:textId="77777777" w:rsidR="001D4788" w:rsidRDefault="001D4788">
      <w:pPr>
        <w:spacing w:line="360" w:lineRule="auto"/>
        <w:jc w:val="both"/>
        <w:rPr>
          <w:rFonts w:ascii="Palatino Linotype" w:eastAsia="Palatino Linotype" w:hAnsi="Palatino Linotype" w:cs="Palatino Linotype"/>
        </w:rPr>
      </w:pPr>
    </w:p>
    <w:p w14:paraId="665C94DB"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INAI, a través del Criterio 18/17 de la Segunda Época, señala lo siguiente:</w:t>
      </w:r>
    </w:p>
    <w:p w14:paraId="08C78176" w14:textId="77777777" w:rsidR="001D4788" w:rsidRDefault="001D4788">
      <w:pPr>
        <w:ind w:left="851" w:right="902"/>
        <w:jc w:val="both"/>
        <w:rPr>
          <w:rFonts w:ascii="Palatino Linotype" w:eastAsia="Palatino Linotype" w:hAnsi="Palatino Linotype" w:cs="Palatino Linotype"/>
          <w:i/>
          <w:sz w:val="22"/>
          <w:szCs w:val="22"/>
        </w:rPr>
      </w:pPr>
    </w:p>
    <w:p w14:paraId="68BE2E8F"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rPr>
        <w:t>por lo que la CURP está considerada como información confidencial</w:t>
      </w:r>
      <w:r>
        <w:rPr>
          <w:rFonts w:ascii="Palatino Linotype" w:eastAsia="Palatino Linotype" w:hAnsi="Palatino Linotype" w:cs="Palatino Linotype"/>
          <w:i/>
          <w:sz w:val="22"/>
          <w:szCs w:val="22"/>
        </w:rPr>
        <w:t>.” (Sic)</w:t>
      </w:r>
    </w:p>
    <w:p w14:paraId="630D019C" w14:textId="77777777" w:rsidR="001D4788" w:rsidRDefault="00B124AE">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5039977" w14:textId="77777777" w:rsidR="001D4788" w:rsidRDefault="001D4788">
      <w:pPr>
        <w:ind w:left="851" w:right="902"/>
        <w:jc w:val="both"/>
        <w:rPr>
          <w:rFonts w:ascii="Palatino Linotype" w:eastAsia="Palatino Linotype" w:hAnsi="Palatino Linotype" w:cs="Palatino Linotype"/>
          <w:sz w:val="22"/>
          <w:szCs w:val="22"/>
        </w:rPr>
      </w:pPr>
    </w:p>
    <w:p w14:paraId="76230AE5"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la CURP se encuentra vinculada al nombre y apellidos de la persona, lo que permite identificar fecha y lugar de nacimiento, así como el sexo; </w:t>
      </w:r>
      <w:r>
        <w:rPr>
          <w:rFonts w:ascii="Palatino Linotype" w:eastAsia="Palatino Linotype" w:hAnsi="Palatino Linotype" w:cs="Palatino Linotype"/>
        </w:rPr>
        <w:lastRenderedPageBreak/>
        <w:t>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65FAE3" w14:textId="77777777" w:rsidR="001D4788" w:rsidRDefault="001D4788">
      <w:pPr>
        <w:spacing w:line="360" w:lineRule="auto"/>
        <w:jc w:val="both"/>
        <w:rPr>
          <w:rFonts w:ascii="Palatino Linotype" w:eastAsia="Palatino Linotype" w:hAnsi="Palatino Linotype" w:cs="Palatino Linotype"/>
        </w:rPr>
      </w:pPr>
    </w:p>
    <w:p w14:paraId="1856AE82"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Clave de cualquier tipo de seguridad social,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071751C" w14:textId="77777777" w:rsidR="001D4788" w:rsidRDefault="001D4788">
      <w:pPr>
        <w:spacing w:line="360" w:lineRule="auto"/>
        <w:jc w:val="both"/>
        <w:rPr>
          <w:rFonts w:ascii="Palatino Linotype" w:eastAsia="Palatino Linotype" w:hAnsi="Palatino Linotype" w:cs="Palatino Linotype"/>
        </w:rPr>
      </w:pPr>
    </w:p>
    <w:p w14:paraId="2BA6A2BE"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los préstamos o descuentos de carácter personal,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2BE1842" w14:textId="77777777" w:rsidR="001D4788" w:rsidRDefault="001D4788">
      <w:pPr>
        <w:spacing w:line="360" w:lineRule="auto"/>
        <w:jc w:val="both"/>
        <w:rPr>
          <w:rFonts w:ascii="Palatino Linotype" w:eastAsia="Palatino Linotype" w:hAnsi="Palatino Linotype" w:cs="Palatino Linotype"/>
        </w:rPr>
      </w:pPr>
    </w:p>
    <w:p w14:paraId="41B56F86"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su parte, el artículo 84 de la Ley del Trabajo de los Servidores Públicos del Estado y Municipios, señala:</w:t>
      </w:r>
    </w:p>
    <w:p w14:paraId="68842F75" w14:textId="77777777" w:rsidR="001D4788" w:rsidRDefault="001D4788">
      <w:pPr>
        <w:jc w:val="both"/>
        <w:rPr>
          <w:rFonts w:ascii="Palatino Linotype" w:eastAsia="Palatino Linotype" w:hAnsi="Palatino Linotype" w:cs="Palatino Linotype"/>
        </w:rPr>
      </w:pPr>
    </w:p>
    <w:p w14:paraId="321D9C28" w14:textId="77777777" w:rsidR="001D4788" w:rsidRDefault="00B124AE">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34FC7FA7"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55B9EA55"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 Deudas contraídas con las instituciones públicas o dependencias</w:t>
      </w:r>
      <w:r>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585F8F5A"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 Cuotas sindicales</w:t>
      </w:r>
      <w:r>
        <w:rPr>
          <w:rFonts w:ascii="Palatino Linotype" w:eastAsia="Palatino Linotype" w:hAnsi="Palatino Linotype" w:cs="Palatino Linotype"/>
          <w:i/>
          <w:sz w:val="22"/>
          <w:szCs w:val="22"/>
        </w:rPr>
        <w:t>;</w:t>
      </w:r>
    </w:p>
    <w:p w14:paraId="650B4CAE"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D899902"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2BFCDDA" w14:textId="77777777" w:rsidR="001D4788" w:rsidRDefault="00B124AE">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 Obligaciones a cargo del servidor público con las que haya consentido</w:t>
      </w:r>
      <w:r>
        <w:rPr>
          <w:rFonts w:ascii="Palatino Linotype" w:eastAsia="Palatino Linotype" w:hAnsi="Palatino Linotype" w:cs="Palatino Linotype"/>
          <w:i/>
          <w:sz w:val="22"/>
          <w:szCs w:val="22"/>
        </w:rPr>
        <w:t>, derivadas de la adquisición o del uso de habitaciones consideradas como de interés social;</w:t>
      </w:r>
    </w:p>
    <w:p w14:paraId="3348DBDE"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0D27ABEB"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45FB08CC" w14:textId="77777777" w:rsidR="001D4788" w:rsidRDefault="00B124AE">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4A8D5D50" w14:textId="77777777" w:rsidR="001D4788" w:rsidRDefault="00B124AE">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C41B2C9" w14:textId="77777777" w:rsidR="001D4788" w:rsidRDefault="001D4788">
      <w:pPr>
        <w:ind w:left="851" w:right="902"/>
        <w:jc w:val="both"/>
        <w:rPr>
          <w:rFonts w:ascii="Palatino Linotype" w:eastAsia="Palatino Linotype" w:hAnsi="Palatino Linotype" w:cs="Palatino Linotype"/>
          <w:sz w:val="22"/>
          <w:szCs w:val="22"/>
        </w:rPr>
      </w:pPr>
    </w:p>
    <w:p w14:paraId="6F7491FF"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la ley establece claramente cuáles son esos descuentos o gravámenes que directamente se relacionan con las obligaciones adquiridas como servidores públicos y aquéllos que </w:t>
      </w:r>
      <w:r>
        <w:rPr>
          <w:rFonts w:ascii="Palatino Linotype" w:eastAsia="Palatino Linotype" w:hAnsi="Palatino Linotype" w:cs="Palatino Linotype"/>
          <w:b/>
        </w:rPr>
        <w:t>únicamente inciden en su vida privada</w:t>
      </w:r>
      <w:r>
        <w:rPr>
          <w:rFonts w:ascii="Palatino Linotype" w:eastAsia="Palatino Linotype" w:hAnsi="Palatino Linotype" w:cs="Palatino Linotype"/>
        </w:rPr>
        <w:t xml:space="preserve">. De este </w:t>
      </w:r>
      <w:r>
        <w:rPr>
          <w:rFonts w:ascii="Palatino Linotype" w:eastAsia="Palatino Linotype" w:hAnsi="Palatino Linotype" w:cs="Palatino Linotype"/>
        </w:rPr>
        <w:lastRenderedPageBreak/>
        <w:t>modo, descuentos por pensiones alimenticias o créditos adquiridos con instituciones privadas o públicas pero que fueron contraídas en forma individual, son información que debe clasificarse como confidencial.</w:t>
      </w:r>
    </w:p>
    <w:p w14:paraId="6611E0B1" w14:textId="77777777" w:rsidR="001D4788" w:rsidRDefault="001D4788">
      <w:pPr>
        <w:spacing w:line="360" w:lineRule="auto"/>
        <w:jc w:val="both"/>
        <w:rPr>
          <w:rFonts w:ascii="Palatino Linotype" w:eastAsia="Palatino Linotype" w:hAnsi="Palatino Linotype" w:cs="Palatino Linotype"/>
        </w:rPr>
      </w:pPr>
    </w:p>
    <w:p w14:paraId="56E5C648"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esta Autoridad reitera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47F4AC25" w14:textId="77777777" w:rsidR="001D4788" w:rsidRDefault="001D4788">
      <w:pPr>
        <w:spacing w:line="360" w:lineRule="auto"/>
        <w:ind w:right="49"/>
        <w:jc w:val="both"/>
        <w:rPr>
          <w:rFonts w:ascii="Palatino Linotype" w:eastAsia="Palatino Linotype" w:hAnsi="Palatino Linotype" w:cs="Palatino Linotype"/>
        </w:rPr>
      </w:pPr>
    </w:p>
    <w:p w14:paraId="107CE82D"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E3CCEF" w14:textId="77777777" w:rsidR="001D4788" w:rsidRDefault="001D4788">
      <w:pPr>
        <w:jc w:val="both"/>
        <w:rPr>
          <w:rFonts w:ascii="Palatino Linotype" w:eastAsia="Palatino Linotype" w:hAnsi="Palatino Linotype" w:cs="Palatino Linotype"/>
        </w:rPr>
      </w:pPr>
    </w:p>
    <w:p w14:paraId="1839A459" w14:textId="77777777" w:rsidR="001D4788" w:rsidRDefault="00B124AE">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7662B4A8"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43B9986D"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14:paraId="42197021" w14:textId="77777777" w:rsidR="001D4788" w:rsidRDefault="00B124AE">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64EF765B"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19C6F21"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960184E"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769167F0" w14:textId="77777777" w:rsidR="001D4788" w:rsidRDefault="00B124AE">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14:paraId="434D48EA"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06F3140D"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3654DE70"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E62C80"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9462515"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0976C4"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1DF267"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0E931E9"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4D2C7EFA"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3F1013AA"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w:t>
      </w:r>
      <w:r>
        <w:rPr>
          <w:rFonts w:ascii="Palatino Linotype" w:eastAsia="Palatino Linotype" w:hAnsi="Palatino Linotype" w:cs="Palatino Linotype"/>
          <w:i/>
          <w:sz w:val="22"/>
          <w:szCs w:val="22"/>
        </w:rPr>
        <w:t xml:space="preserve"> Se determine mediante resolución de autoridad competente, o</w:t>
      </w:r>
    </w:p>
    <w:p w14:paraId="66CF283D"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44790F1"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8902CCB"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1326EA"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FC89735"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D5D8893"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84D2B59"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384B4CC"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518CA2F"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1118E9"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F56016" w14:textId="77777777" w:rsidR="001D4788" w:rsidRDefault="00B124A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1D7403BC" w14:textId="77777777" w:rsidR="001D4788" w:rsidRDefault="00B124AE">
      <w:pPr>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14:paraId="06C011AD" w14:textId="77777777" w:rsidR="001D4788" w:rsidRDefault="001D4788">
      <w:pPr>
        <w:ind w:left="851" w:right="902"/>
        <w:jc w:val="both"/>
        <w:rPr>
          <w:rFonts w:ascii="Palatino Linotype" w:eastAsia="Palatino Linotype" w:hAnsi="Palatino Linotype" w:cs="Palatino Linotype"/>
          <w:sz w:val="22"/>
          <w:szCs w:val="22"/>
        </w:rPr>
      </w:pPr>
    </w:p>
    <w:p w14:paraId="1172CD2D" w14:textId="77777777" w:rsidR="001D4788" w:rsidRDefault="00B124AE">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35FB14" w14:textId="77777777" w:rsidR="001D4788" w:rsidRDefault="001D4788">
      <w:pPr>
        <w:spacing w:line="276" w:lineRule="auto"/>
        <w:ind w:right="901"/>
        <w:jc w:val="both"/>
        <w:rPr>
          <w:rFonts w:ascii="Palatino Linotype" w:eastAsia="Palatino Linotype" w:hAnsi="Palatino Linotype" w:cs="Palatino Linotype"/>
          <w:sz w:val="22"/>
          <w:szCs w:val="22"/>
        </w:rPr>
      </w:pPr>
    </w:p>
    <w:p w14:paraId="3DEE3643" w14:textId="77777777" w:rsidR="001D4788" w:rsidRDefault="001D4788">
      <w:pPr>
        <w:spacing w:line="360" w:lineRule="auto"/>
        <w:jc w:val="both"/>
        <w:rPr>
          <w:rFonts w:ascii="Palatino Linotype" w:eastAsia="Palatino Linotype" w:hAnsi="Palatino Linotype" w:cs="Palatino Linotype"/>
        </w:rPr>
      </w:pPr>
    </w:p>
    <w:p w14:paraId="76A475E3" w14:textId="77777777" w:rsidR="001D4788" w:rsidRDefault="001D4788">
      <w:pPr>
        <w:spacing w:before="240" w:after="240" w:line="360" w:lineRule="auto"/>
        <w:ind w:right="49"/>
        <w:jc w:val="both"/>
        <w:rPr>
          <w:rFonts w:ascii="Palatino Linotype" w:eastAsia="Palatino Linotype" w:hAnsi="Palatino Linotype" w:cs="Palatino Linotype"/>
          <w:b/>
          <w:sz w:val="22"/>
          <w:szCs w:val="22"/>
        </w:rPr>
      </w:pPr>
    </w:p>
    <w:p w14:paraId="1E4B8598" w14:textId="77777777" w:rsidR="001D4788" w:rsidRDefault="001D4788">
      <w:pPr>
        <w:spacing w:before="280" w:after="280" w:line="360" w:lineRule="auto"/>
        <w:jc w:val="both"/>
        <w:rPr>
          <w:rFonts w:ascii="Palatino Linotype" w:eastAsia="Palatino Linotype" w:hAnsi="Palatino Linotype" w:cs="Palatino Linotype"/>
        </w:rPr>
      </w:pPr>
    </w:p>
    <w:p w14:paraId="5250E312" w14:textId="77777777" w:rsidR="001D4788" w:rsidRDefault="001D4788">
      <w:pPr>
        <w:spacing w:line="360" w:lineRule="auto"/>
        <w:ind w:right="-28"/>
        <w:jc w:val="both"/>
        <w:rPr>
          <w:rFonts w:ascii="Palatino Linotype" w:eastAsia="Palatino Linotype" w:hAnsi="Palatino Linotype" w:cs="Palatino Linotype"/>
        </w:rPr>
      </w:pPr>
    </w:p>
    <w:p w14:paraId="042414FD"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w:t>
      </w:r>
      <w:r>
        <w:rPr>
          <w:rFonts w:ascii="Palatino Linotype" w:eastAsia="Palatino Linotype" w:hAnsi="Palatino Linotype" w:cs="Palatino Linotype"/>
        </w:rPr>
        <w:lastRenderedPageBreak/>
        <w:t xml:space="preserve">Libre y Soberano de México; 2, fracción II, 29, 36, fracciones I y II, 176, 178, 179, 181, 185 fracción I, 186 y 188 de la Ley de Transparencia y Acceso a la Información Pública del Estado de México y Municipios, este Pleno: </w:t>
      </w:r>
    </w:p>
    <w:p w14:paraId="7745F384" w14:textId="77777777" w:rsidR="001D4788" w:rsidRDefault="001D4788">
      <w:pPr>
        <w:spacing w:line="360" w:lineRule="auto"/>
        <w:jc w:val="both"/>
        <w:rPr>
          <w:rFonts w:ascii="Palatino Linotype" w:eastAsia="Palatino Linotype" w:hAnsi="Palatino Linotype" w:cs="Palatino Linotype"/>
        </w:rPr>
      </w:pPr>
    </w:p>
    <w:p w14:paraId="519C0557" w14:textId="77777777" w:rsidR="001D4788" w:rsidRDefault="00B124AE">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6985B424" w14:textId="77777777" w:rsidR="001D4788" w:rsidRDefault="001D4788">
      <w:pPr>
        <w:spacing w:line="360" w:lineRule="auto"/>
        <w:jc w:val="center"/>
        <w:rPr>
          <w:rFonts w:ascii="Palatino Linotype" w:eastAsia="Palatino Linotype" w:hAnsi="Palatino Linotype" w:cs="Palatino Linotype"/>
          <w:b/>
          <w:sz w:val="26"/>
          <w:szCs w:val="26"/>
        </w:rPr>
      </w:pPr>
    </w:p>
    <w:p w14:paraId="495CCB9A" w14:textId="77777777" w:rsidR="001D4788" w:rsidRDefault="00B124A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REVOCAN </w:t>
      </w:r>
      <w:r>
        <w:rPr>
          <w:rFonts w:ascii="Palatino Linotype" w:eastAsia="Palatino Linotype" w:hAnsi="Palatino Linotype" w:cs="Palatino Linotype"/>
        </w:rPr>
        <w:t xml:space="preserve">las respuestas emitidas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acceso a la información pública recaídas en los Recurso de Revisión </w:t>
      </w:r>
      <w:r>
        <w:rPr>
          <w:rFonts w:ascii="Palatino Linotype" w:eastAsia="Palatino Linotype" w:hAnsi="Palatino Linotype" w:cs="Palatino Linotype"/>
          <w:b/>
        </w:rPr>
        <w:t xml:space="preserve">12517/INFOEM/IP/RR/2022, 12518/INFOEM/IP/RR/2022, 12519/INFOEM/IP/RR/2022 y 12520/INFOEM/IP/RR/2022 </w:t>
      </w:r>
      <w:r>
        <w:rPr>
          <w:rFonts w:ascii="Palatino Linotype" w:eastAsia="Palatino Linotype" w:hAnsi="Palatino Linotype" w:cs="Palatino Linotype"/>
        </w:rPr>
        <w:t xml:space="preserve">y se ordena que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 xml:space="preserve"> haga entrega al</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mediante el Sistema de Acceso a la Información Mexiquense (SAIMEX), de lo siguiente: </w:t>
      </w:r>
    </w:p>
    <w:p w14:paraId="07FBBCD3" w14:textId="77777777" w:rsidR="001D4788" w:rsidRDefault="001D4788">
      <w:pPr>
        <w:widowControl w:val="0"/>
        <w:spacing w:line="360" w:lineRule="auto"/>
        <w:jc w:val="both"/>
        <w:rPr>
          <w:rFonts w:ascii="Palatino Linotype" w:eastAsia="Palatino Linotype" w:hAnsi="Palatino Linotype" w:cs="Palatino Linotype"/>
          <w:i/>
          <w:sz w:val="22"/>
          <w:szCs w:val="22"/>
        </w:rPr>
      </w:pPr>
    </w:p>
    <w:p w14:paraId="5F879104" w14:textId="77777777" w:rsidR="001D4788" w:rsidRDefault="00B124AE">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soporte documental de ser procedente en versión pública, donde conste: la Nómina general, lista de raya, contrataciones por honorarios y todos aquellos pagos realizados por concepto de nómina relativos a los años 2019, 2020, 2021 y del periodo transcurrido del uno de enero al 31 de mayo de 2022.</w:t>
      </w:r>
    </w:p>
    <w:p w14:paraId="6ED3204A" w14:textId="77777777" w:rsidR="001D4788" w:rsidRDefault="001D4788">
      <w:pPr>
        <w:tabs>
          <w:tab w:val="left" w:pos="709"/>
        </w:tabs>
        <w:ind w:left="850" w:right="899"/>
        <w:jc w:val="both"/>
        <w:rPr>
          <w:rFonts w:ascii="Palatino Linotype" w:eastAsia="Palatino Linotype" w:hAnsi="Palatino Linotype" w:cs="Palatino Linotype"/>
          <w:i/>
          <w:sz w:val="22"/>
          <w:szCs w:val="22"/>
        </w:rPr>
      </w:pPr>
    </w:p>
    <w:p w14:paraId="348AAEEB" w14:textId="77777777" w:rsidR="001D4788" w:rsidRDefault="001D4788">
      <w:pPr>
        <w:tabs>
          <w:tab w:val="left" w:pos="709"/>
        </w:tabs>
        <w:ind w:left="850" w:right="899"/>
        <w:jc w:val="both"/>
        <w:rPr>
          <w:rFonts w:ascii="Palatino Linotype" w:eastAsia="Palatino Linotype" w:hAnsi="Palatino Linotype" w:cs="Palatino Linotype"/>
          <w:i/>
          <w:sz w:val="22"/>
          <w:szCs w:val="22"/>
        </w:rPr>
      </w:pPr>
    </w:p>
    <w:p w14:paraId="476546E9" w14:textId="77777777" w:rsidR="001D4788" w:rsidRDefault="00B124AE">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135E34CF" w14:textId="77777777" w:rsidR="001D4788" w:rsidRDefault="001D4788">
      <w:pPr>
        <w:tabs>
          <w:tab w:val="left" w:pos="709"/>
        </w:tabs>
        <w:ind w:left="850" w:right="899"/>
        <w:jc w:val="both"/>
        <w:rPr>
          <w:rFonts w:ascii="Palatino Linotype" w:eastAsia="Palatino Linotype" w:hAnsi="Palatino Linotype" w:cs="Palatino Linotype"/>
          <w:i/>
          <w:sz w:val="22"/>
          <w:szCs w:val="22"/>
        </w:rPr>
      </w:pPr>
    </w:p>
    <w:p w14:paraId="201CACB6" w14:textId="77777777" w:rsidR="001D4788" w:rsidRDefault="00B124AE">
      <w:pPr>
        <w:tabs>
          <w:tab w:val="left" w:pos="709"/>
        </w:tabs>
        <w:ind w:left="850" w:right="899"/>
        <w:jc w:val="both"/>
        <w:rPr>
          <w:rFonts w:ascii="Palatino Linotype" w:eastAsia="Palatino Linotype" w:hAnsi="Palatino Linotype" w:cs="Palatino Linotype"/>
          <w:i/>
          <w:sz w:val="22"/>
          <w:szCs w:val="22"/>
        </w:rPr>
      </w:pPr>
      <w:r w:rsidRPr="00F6555C">
        <w:rPr>
          <w:rFonts w:ascii="Palatino Linotype" w:eastAsia="Palatino Linotype" w:hAnsi="Palatino Linotype" w:cs="Palatino Linotype"/>
          <w:i/>
          <w:sz w:val="22"/>
          <w:szCs w:val="22"/>
        </w:rPr>
        <w:t xml:space="preserve">Por lo que hace al supuesto de lista de raya, de encontrarse en la circunstancia fáctica en la que no se hubiera generado esta información bastará con el sólo pronunciamiento del </w:t>
      </w:r>
      <w:r w:rsidRPr="00F6555C">
        <w:rPr>
          <w:rFonts w:ascii="Palatino Linotype" w:eastAsia="Palatino Linotype" w:hAnsi="Palatino Linotype" w:cs="Palatino Linotype"/>
          <w:b/>
          <w:i/>
          <w:sz w:val="22"/>
          <w:szCs w:val="22"/>
        </w:rPr>
        <w:t>SUJETO OBLIGADO</w:t>
      </w:r>
      <w:r w:rsidRPr="00F6555C">
        <w:rPr>
          <w:rFonts w:ascii="Palatino Linotype" w:eastAsia="Palatino Linotype" w:hAnsi="Palatino Linotype" w:cs="Palatino Linotype"/>
          <w:i/>
          <w:sz w:val="22"/>
          <w:szCs w:val="22"/>
        </w:rPr>
        <w:t xml:space="preserve"> de manera fundada y motivada en</w:t>
      </w:r>
      <w:r>
        <w:rPr>
          <w:rFonts w:ascii="Palatino Linotype" w:eastAsia="Palatino Linotype" w:hAnsi="Palatino Linotype" w:cs="Palatino Linotype"/>
          <w:i/>
          <w:sz w:val="22"/>
          <w:szCs w:val="22"/>
        </w:rPr>
        <w:t xml:space="preserve"> términos del segundo párrafo del  artículo 19 de la Ley de Transparencia local, para dar por satisfecho el derecho de acceso a la información.</w:t>
      </w:r>
    </w:p>
    <w:p w14:paraId="071A8ED9" w14:textId="77777777" w:rsidR="001D4788" w:rsidRDefault="001D4788">
      <w:pPr>
        <w:tabs>
          <w:tab w:val="left" w:pos="709"/>
        </w:tabs>
        <w:ind w:right="899"/>
        <w:jc w:val="both"/>
        <w:rPr>
          <w:rFonts w:ascii="Palatino Linotype" w:eastAsia="Palatino Linotype" w:hAnsi="Palatino Linotype" w:cs="Palatino Linotype"/>
          <w:i/>
          <w:sz w:val="22"/>
          <w:szCs w:val="22"/>
        </w:rPr>
      </w:pPr>
    </w:p>
    <w:p w14:paraId="20E6CE4F" w14:textId="77777777" w:rsidR="001D4788" w:rsidRDefault="001D4788">
      <w:pPr>
        <w:tabs>
          <w:tab w:val="left" w:pos="709"/>
        </w:tabs>
        <w:ind w:right="899"/>
        <w:jc w:val="both"/>
        <w:rPr>
          <w:rFonts w:ascii="Palatino Linotype" w:eastAsia="Palatino Linotype" w:hAnsi="Palatino Linotype" w:cs="Palatino Linotype"/>
          <w:b/>
        </w:rPr>
      </w:pPr>
    </w:p>
    <w:p w14:paraId="51857E5F"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094DDBE8" w14:textId="77777777" w:rsidR="001D4788" w:rsidRDefault="001D4788">
      <w:pPr>
        <w:spacing w:line="360" w:lineRule="auto"/>
        <w:jc w:val="both"/>
        <w:rPr>
          <w:rFonts w:ascii="Palatino Linotype" w:eastAsia="Palatino Linotype" w:hAnsi="Palatino Linotype" w:cs="Palatino Linotype"/>
          <w:b/>
        </w:rPr>
      </w:pPr>
    </w:p>
    <w:p w14:paraId="0AF9FB26"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248632" w14:textId="77777777" w:rsidR="001D4788" w:rsidRDefault="001D4788">
      <w:pPr>
        <w:spacing w:line="360" w:lineRule="auto"/>
        <w:jc w:val="both"/>
        <w:rPr>
          <w:rFonts w:ascii="Palatino Linotype" w:eastAsia="Palatino Linotype" w:hAnsi="Palatino Linotype" w:cs="Palatino Linotype"/>
          <w:b/>
        </w:rPr>
      </w:pPr>
    </w:p>
    <w:p w14:paraId="1B3CF825"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0D085DF7" w14:textId="77777777" w:rsidR="001D4788" w:rsidRDefault="001D4788">
      <w:pPr>
        <w:widowControl w:val="0"/>
        <w:spacing w:line="360" w:lineRule="auto"/>
        <w:jc w:val="both"/>
        <w:rPr>
          <w:rFonts w:ascii="Palatino Linotype" w:eastAsia="Palatino Linotype" w:hAnsi="Palatino Linotype" w:cs="Palatino Linotype"/>
        </w:rPr>
      </w:pPr>
    </w:p>
    <w:p w14:paraId="15097AE4" w14:textId="77777777" w:rsidR="001D4788" w:rsidRDefault="00B124A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8C6967">
        <w:rPr>
          <w:rFonts w:ascii="Palatino Linotype" w:eastAsia="Palatino Linotype" w:hAnsi="Palatino Linotype" w:cs="Palatino Linotype"/>
          <w:lang w:val="es-419"/>
        </w:rPr>
        <w:t>MAYORIA</w:t>
      </w:r>
      <w:r>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w:t>
      </w:r>
      <w:r>
        <w:rPr>
          <w:rFonts w:ascii="Palatino Linotype" w:eastAsia="Palatino Linotype" w:hAnsi="Palatino Linotype" w:cs="Palatino Linotype"/>
        </w:rPr>
        <w:lastRenderedPageBreak/>
        <w:t>POR LOS COMISIONADOS JOSÉ MARTÍNEZ VILCHIS</w:t>
      </w:r>
      <w:r w:rsidR="008C6967">
        <w:rPr>
          <w:rFonts w:ascii="Palatino Linotype" w:eastAsia="Palatino Linotype" w:hAnsi="Palatino Linotype" w:cs="Palatino Linotype"/>
          <w:lang w:val="es-419"/>
        </w:rPr>
        <w:t xml:space="preserve"> (EMITE VOTO PARTICULAR)</w:t>
      </w:r>
      <w:r>
        <w:rPr>
          <w:rFonts w:ascii="Palatino Linotype" w:eastAsia="Palatino Linotype" w:hAnsi="Palatino Linotype" w:cs="Palatino Linotype"/>
        </w:rPr>
        <w:t>; MARÍA DEL ROSARIO MEJÍA AYALA; SHARON CRISTINA MORALES MARTÍNEZ</w:t>
      </w:r>
      <w:r w:rsidR="008C6967">
        <w:rPr>
          <w:rFonts w:ascii="Palatino Linotype" w:eastAsia="Palatino Linotype" w:hAnsi="Palatino Linotype" w:cs="Palatino Linotype"/>
          <w:lang w:val="es-419"/>
        </w:rPr>
        <w:t xml:space="preserve"> (EMITE VOTO DISIDENTE)</w:t>
      </w:r>
      <w:r>
        <w:rPr>
          <w:rFonts w:ascii="Palatino Linotype" w:eastAsia="Palatino Linotype" w:hAnsi="Palatino Linotype" w:cs="Palatino Linotype"/>
        </w:rPr>
        <w:t>; LUIS GUSTAVO PARRA NORIEGA</w:t>
      </w:r>
      <w:r w:rsidR="008C6967">
        <w:rPr>
          <w:rFonts w:ascii="Palatino Linotype" w:eastAsia="Palatino Linotype" w:hAnsi="Palatino Linotype" w:cs="Palatino Linotype"/>
          <w:lang w:val="es-419"/>
        </w:rPr>
        <w:t xml:space="preserve"> (EMITE VOTO PARTICULAR)</w:t>
      </w:r>
      <w:r>
        <w:rPr>
          <w:rFonts w:ascii="Palatino Linotype" w:eastAsia="Palatino Linotype" w:hAnsi="Palatino Linotype" w:cs="Palatino Linotype"/>
        </w:rPr>
        <w:t xml:space="preserve"> Y GUADALUPE RAMÍREZ PEÑA; EN LA CUADRAGÉSIMA SESIÓN ORDINARIA CELEBRADA EL NUEVE DE NOVIEMBRE DE DOS MIL VEINTIDÓS, ANTE EL SECRETARIO TÉCNICO DEL PLENO, ALEXIS TAPIA RAMÍREZ.</w:t>
      </w:r>
    </w:p>
    <w:p w14:paraId="27BC2C1C" w14:textId="77777777" w:rsidR="001D4788" w:rsidRDefault="00B124AE">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78F4F93F" w14:textId="77777777" w:rsidR="001D4788" w:rsidRDefault="00B124AE">
      <w:pPr>
        <w:rPr>
          <w:rFonts w:ascii="Palatino Linotype" w:eastAsia="Palatino Linotype" w:hAnsi="Palatino Linotype" w:cs="Palatino Linotype"/>
        </w:rPr>
      </w:pPr>
      <w:r>
        <w:br w:type="page"/>
      </w:r>
    </w:p>
    <w:p w14:paraId="690AE63D" w14:textId="77777777" w:rsidR="001D4788" w:rsidRDefault="001D4788">
      <w:pPr>
        <w:spacing w:line="360" w:lineRule="auto"/>
        <w:jc w:val="both"/>
        <w:rPr>
          <w:rFonts w:ascii="Palatino Linotype" w:eastAsia="Palatino Linotype" w:hAnsi="Palatino Linotype" w:cs="Palatino Linotype"/>
        </w:rPr>
      </w:pPr>
    </w:p>
    <w:p w14:paraId="622F91D8" w14:textId="77777777" w:rsidR="001D4788" w:rsidRDefault="001D4788">
      <w:pPr>
        <w:spacing w:line="360" w:lineRule="auto"/>
        <w:jc w:val="both"/>
        <w:rPr>
          <w:rFonts w:ascii="Palatino Linotype" w:eastAsia="Palatino Linotype" w:hAnsi="Palatino Linotype" w:cs="Palatino Linotype"/>
        </w:rPr>
      </w:pPr>
    </w:p>
    <w:p w14:paraId="55FAE395" w14:textId="77777777" w:rsidR="001D4788" w:rsidRDefault="001D4788">
      <w:pPr>
        <w:spacing w:line="360" w:lineRule="auto"/>
        <w:jc w:val="both"/>
        <w:rPr>
          <w:rFonts w:ascii="Palatino Linotype" w:eastAsia="Palatino Linotype" w:hAnsi="Palatino Linotype" w:cs="Palatino Linotype"/>
        </w:rPr>
      </w:pPr>
    </w:p>
    <w:p w14:paraId="14F9BC59" w14:textId="77777777" w:rsidR="001D4788" w:rsidRDefault="001D4788">
      <w:pPr>
        <w:spacing w:line="360" w:lineRule="auto"/>
        <w:jc w:val="both"/>
        <w:rPr>
          <w:rFonts w:ascii="Palatino Linotype" w:eastAsia="Palatino Linotype" w:hAnsi="Palatino Linotype" w:cs="Palatino Linotype"/>
        </w:rPr>
      </w:pPr>
    </w:p>
    <w:p w14:paraId="4BBB676A" w14:textId="77777777" w:rsidR="001D4788" w:rsidRDefault="001D4788">
      <w:pPr>
        <w:spacing w:line="360" w:lineRule="auto"/>
        <w:jc w:val="both"/>
        <w:rPr>
          <w:rFonts w:ascii="Palatino Linotype" w:eastAsia="Palatino Linotype" w:hAnsi="Palatino Linotype" w:cs="Palatino Linotype"/>
        </w:rPr>
      </w:pPr>
    </w:p>
    <w:p w14:paraId="6F7B397A" w14:textId="77777777" w:rsidR="001D4788" w:rsidRDefault="001D4788">
      <w:pPr>
        <w:spacing w:line="360" w:lineRule="auto"/>
        <w:jc w:val="both"/>
        <w:rPr>
          <w:rFonts w:ascii="Palatino Linotype" w:eastAsia="Palatino Linotype" w:hAnsi="Palatino Linotype" w:cs="Palatino Linotype"/>
        </w:rPr>
      </w:pPr>
    </w:p>
    <w:p w14:paraId="6558F3B4" w14:textId="77777777" w:rsidR="001D4788" w:rsidRDefault="001D4788">
      <w:pPr>
        <w:spacing w:line="360" w:lineRule="auto"/>
        <w:jc w:val="both"/>
        <w:rPr>
          <w:rFonts w:ascii="Palatino Linotype" w:eastAsia="Palatino Linotype" w:hAnsi="Palatino Linotype" w:cs="Palatino Linotype"/>
        </w:rPr>
      </w:pPr>
    </w:p>
    <w:p w14:paraId="208A404C" w14:textId="77777777" w:rsidR="001D4788" w:rsidRDefault="001D4788">
      <w:pPr>
        <w:spacing w:line="360" w:lineRule="auto"/>
        <w:jc w:val="both"/>
        <w:rPr>
          <w:rFonts w:ascii="Palatino Linotype" w:eastAsia="Palatino Linotype" w:hAnsi="Palatino Linotype" w:cs="Palatino Linotype"/>
        </w:rPr>
      </w:pPr>
    </w:p>
    <w:p w14:paraId="72D15968" w14:textId="77777777" w:rsidR="001D4788" w:rsidRDefault="001D4788">
      <w:pPr>
        <w:spacing w:line="360" w:lineRule="auto"/>
        <w:jc w:val="both"/>
        <w:rPr>
          <w:rFonts w:ascii="Palatino Linotype" w:eastAsia="Palatino Linotype" w:hAnsi="Palatino Linotype" w:cs="Palatino Linotype"/>
        </w:rPr>
      </w:pPr>
    </w:p>
    <w:p w14:paraId="645FD4A7" w14:textId="77777777" w:rsidR="001D4788" w:rsidRDefault="001D4788">
      <w:pPr>
        <w:spacing w:line="360" w:lineRule="auto"/>
        <w:jc w:val="both"/>
        <w:rPr>
          <w:rFonts w:ascii="Palatino Linotype" w:eastAsia="Palatino Linotype" w:hAnsi="Palatino Linotype" w:cs="Palatino Linotype"/>
        </w:rPr>
      </w:pPr>
    </w:p>
    <w:p w14:paraId="4B6DFDD5" w14:textId="77777777" w:rsidR="001D4788" w:rsidRDefault="001D4788">
      <w:pPr>
        <w:spacing w:line="360" w:lineRule="auto"/>
        <w:jc w:val="both"/>
        <w:rPr>
          <w:rFonts w:ascii="Palatino Linotype" w:eastAsia="Palatino Linotype" w:hAnsi="Palatino Linotype" w:cs="Palatino Linotype"/>
        </w:rPr>
      </w:pPr>
    </w:p>
    <w:p w14:paraId="55AFB52F" w14:textId="77777777" w:rsidR="001D4788" w:rsidRDefault="001D4788">
      <w:pPr>
        <w:spacing w:line="360" w:lineRule="auto"/>
        <w:jc w:val="both"/>
        <w:rPr>
          <w:rFonts w:ascii="Palatino Linotype" w:eastAsia="Palatino Linotype" w:hAnsi="Palatino Linotype" w:cs="Palatino Linotype"/>
        </w:rPr>
      </w:pPr>
    </w:p>
    <w:p w14:paraId="50C6BFFD" w14:textId="77777777" w:rsidR="001D4788" w:rsidRDefault="001D4788">
      <w:pPr>
        <w:spacing w:line="360" w:lineRule="auto"/>
        <w:jc w:val="both"/>
        <w:rPr>
          <w:rFonts w:ascii="Palatino Linotype" w:eastAsia="Palatino Linotype" w:hAnsi="Palatino Linotype" w:cs="Palatino Linotype"/>
        </w:rPr>
      </w:pPr>
    </w:p>
    <w:p w14:paraId="73C026AC" w14:textId="77777777" w:rsidR="001D4788" w:rsidRDefault="001D4788">
      <w:pPr>
        <w:spacing w:line="360" w:lineRule="auto"/>
        <w:jc w:val="both"/>
        <w:rPr>
          <w:rFonts w:ascii="Palatino Linotype" w:eastAsia="Palatino Linotype" w:hAnsi="Palatino Linotype" w:cs="Palatino Linotype"/>
        </w:rPr>
      </w:pPr>
    </w:p>
    <w:p w14:paraId="2D98858D" w14:textId="77777777" w:rsidR="001D4788" w:rsidRDefault="001D4788">
      <w:pPr>
        <w:spacing w:line="360" w:lineRule="auto"/>
        <w:jc w:val="both"/>
        <w:rPr>
          <w:rFonts w:ascii="Palatino Linotype" w:eastAsia="Palatino Linotype" w:hAnsi="Palatino Linotype" w:cs="Palatino Linotype"/>
        </w:rPr>
      </w:pPr>
    </w:p>
    <w:p w14:paraId="4F484FCF" w14:textId="77777777" w:rsidR="001D4788" w:rsidRDefault="001D4788">
      <w:pPr>
        <w:spacing w:line="360" w:lineRule="auto"/>
        <w:jc w:val="both"/>
        <w:rPr>
          <w:rFonts w:ascii="Palatino Linotype" w:eastAsia="Palatino Linotype" w:hAnsi="Palatino Linotype" w:cs="Palatino Linotype"/>
        </w:rPr>
      </w:pPr>
    </w:p>
    <w:p w14:paraId="242A8D05" w14:textId="77777777" w:rsidR="001D4788" w:rsidRDefault="001D4788">
      <w:pPr>
        <w:spacing w:line="360" w:lineRule="auto"/>
        <w:jc w:val="both"/>
        <w:rPr>
          <w:rFonts w:ascii="Palatino Linotype" w:eastAsia="Palatino Linotype" w:hAnsi="Palatino Linotype" w:cs="Palatino Linotype"/>
        </w:rPr>
      </w:pPr>
    </w:p>
    <w:p w14:paraId="0F70C3F9" w14:textId="77777777" w:rsidR="001D4788" w:rsidRDefault="001D4788">
      <w:pPr>
        <w:spacing w:line="360" w:lineRule="auto"/>
        <w:jc w:val="both"/>
        <w:rPr>
          <w:rFonts w:ascii="Palatino Linotype" w:eastAsia="Palatino Linotype" w:hAnsi="Palatino Linotype" w:cs="Palatino Linotype"/>
        </w:rPr>
      </w:pPr>
      <w:bookmarkStart w:id="6" w:name="_heading=h.30j0zll" w:colFirst="0" w:colLast="0"/>
      <w:bookmarkEnd w:id="6"/>
    </w:p>
    <w:sectPr w:rsidR="001D4788">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3298D" w14:textId="77777777" w:rsidR="00322A7C" w:rsidRDefault="00322A7C">
      <w:r>
        <w:separator/>
      </w:r>
    </w:p>
  </w:endnote>
  <w:endnote w:type="continuationSeparator" w:id="0">
    <w:p w14:paraId="1906758D" w14:textId="77777777" w:rsidR="00322A7C" w:rsidRDefault="0032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Noto San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8395D" w14:textId="77777777" w:rsidR="001D4788" w:rsidRDefault="00B124A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024EA">
      <w:rPr>
        <w:rFonts w:ascii="Palatino Linotype" w:eastAsia="Palatino Linotype" w:hAnsi="Palatino Linotype" w:cs="Palatino Linotype"/>
        <w:noProof/>
        <w:color w:val="000000"/>
        <w:sz w:val="22"/>
        <w:szCs w:val="22"/>
      </w:rPr>
      <w:t>52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024EA">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1BE3C" w14:textId="77777777" w:rsidR="001D4788" w:rsidRDefault="00B124A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5024EA">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5024EA">
      <w:rPr>
        <w:rFonts w:ascii="Palatino Linotype" w:eastAsia="Palatino Linotype" w:hAnsi="Palatino Linotype" w:cs="Palatino Linotype"/>
        <w:noProof/>
        <w:color w:val="000000"/>
        <w:sz w:val="22"/>
        <w:szCs w:val="22"/>
      </w:rPr>
      <w:t>54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56019" w14:textId="77777777" w:rsidR="00322A7C" w:rsidRDefault="00322A7C">
      <w:r>
        <w:separator/>
      </w:r>
    </w:p>
  </w:footnote>
  <w:footnote w:type="continuationSeparator" w:id="0">
    <w:p w14:paraId="4CE78F5E" w14:textId="77777777" w:rsidR="00322A7C" w:rsidRDefault="00322A7C">
      <w:r>
        <w:continuationSeparator/>
      </w:r>
    </w:p>
  </w:footnote>
  <w:footnote w:id="1">
    <w:p w14:paraId="425C9FCB" w14:textId="77777777" w:rsidR="001D4788" w:rsidRDefault="00B124A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87F4A" w14:textId="77777777" w:rsidR="001D4788" w:rsidRDefault="00322A7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B5D3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1D580" w14:textId="77777777" w:rsidR="001D4788" w:rsidRDefault="00322A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71301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4" croptop="-8531f" cropbottom="8531f" cropleft="19205f" cropright="-19205f"/>
          <w10:wrap anchorx="margin" anchory="margin"/>
        </v:shape>
      </w:pict>
    </w:r>
  </w:p>
  <w:tbl>
    <w:tblPr>
      <w:tblStyle w:val="afffffffffc"/>
      <w:tblW w:w="9534" w:type="dxa"/>
      <w:tblInd w:w="-142" w:type="dxa"/>
      <w:tblLayout w:type="fixed"/>
      <w:tblLook w:val="0400" w:firstRow="0" w:lastRow="0" w:firstColumn="0" w:lastColumn="0" w:noHBand="0" w:noVBand="1"/>
    </w:tblPr>
    <w:tblGrid>
      <w:gridCol w:w="3261"/>
      <w:gridCol w:w="2551"/>
      <w:gridCol w:w="3722"/>
    </w:tblGrid>
    <w:tr w:rsidR="001D4788" w14:paraId="6CC26A0F" w14:textId="77777777">
      <w:tc>
        <w:tcPr>
          <w:tcW w:w="3261" w:type="dxa"/>
          <w:vMerge w:val="restart"/>
        </w:tcPr>
        <w:p w14:paraId="03B87DF3"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rPr>
            <w:drawing>
              <wp:inline distT="0" distB="0" distL="0" distR="0" wp14:anchorId="5C67C8B8" wp14:editId="148C2ADD">
                <wp:extent cx="1692162" cy="852673"/>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7C47CB6"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7F13D1E"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12517/INFOEM/IP/RR/2022 y acumulados </w:t>
          </w:r>
        </w:p>
      </w:tc>
    </w:tr>
    <w:tr w:rsidR="001D4788" w14:paraId="2979200D" w14:textId="77777777">
      <w:tc>
        <w:tcPr>
          <w:tcW w:w="3261" w:type="dxa"/>
          <w:vMerge/>
        </w:tcPr>
        <w:p w14:paraId="796BAA32" w14:textId="77777777" w:rsidR="001D4788" w:rsidRDefault="001D478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26D3DF8"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3EF2C09"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Huixquilucan</w:t>
          </w:r>
        </w:p>
      </w:tc>
    </w:tr>
    <w:tr w:rsidR="001D4788" w14:paraId="1B6EEF77" w14:textId="77777777">
      <w:trPr>
        <w:trHeight w:val="228"/>
      </w:trPr>
      <w:tc>
        <w:tcPr>
          <w:tcW w:w="3261" w:type="dxa"/>
          <w:vMerge/>
        </w:tcPr>
        <w:p w14:paraId="26CF50D7" w14:textId="77777777" w:rsidR="001D4788" w:rsidRDefault="001D478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A5D11D5"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F820E64"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9E5799B" w14:textId="77777777" w:rsidR="001D4788" w:rsidRDefault="001D478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9ACB3" w14:textId="77777777" w:rsidR="001D4788" w:rsidRDefault="00322A7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0552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4"/>
          <w10:wrap anchorx="margin" anchory="margin"/>
        </v:shape>
      </w:pict>
    </w:r>
  </w:p>
  <w:tbl>
    <w:tblPr>
      <w:tblStyle w:val="afffffffffd"/>
      <w:tblW w:w="9900" w:type="dxa"/>
      <w:tblInd w:w="-833" w:type="dxa"/>
      <w:tblLayout w:type="fixed"/>
      <w:tblLook w:val="0400" w:firstRow="0" w:lastRow="0" w:firstColumn="0" w:lastColumn="0" w:noHBand="0" w:noVBand="1"/>
    </w:tblPr>
    <w:tblGrid>
      <w:gridCol w:w="3805"/>
      <w:gridCol w:w="3000"/>
      <w:gridCol w:w="3095"/>
    </w:tblGrid>
    <w:tr w:rsidR="001D4788" w14:paraId="78F9F2FE" w14:textId="77777777">
      <w:tc>
        <w:tcPr>
          <w:tcW w:w="3805" w:type="dxa"/>
          <w:vMerge w:val="restart"/>
          <w:shd w:val="clear" w:color="auto" w:fill="auto"/>
        </w:tcPr>
        <w:p w14:paraId="17730F65" w14:textId="77777777" w:rsidR="001D4788" w:rsidRDefault="00B124A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lang w:val="es-419"/>
            </w:rPr>
            <w:drawing>
              <wp:inline distT="0" distB="0" distL="0" distR="0" wp14:anchorId="3E116CEA" wp14:editId="3D8C170A">
                <wp:extent cx="1692162" cy="852673"/>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34224A4B"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288E65B"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12517/INFOEM/IP/RR/2022 y acumulados</w:t>
          </w:r>
        </w:p>
      </w:tc>
    </w:tr>
    <w:tr w:rsidR="001D4788" w14:paraId="0A73C9A8" w14:textId="77777777">
      <w:tc>
        <w:tcPr>
          <w:tcW w:w="3805" w:type="dxa"/>
          <w:vMerge/>
          <w:shd w:val="clear" w:color="auto" w:fill="auto"/>
        </w:tcPr>
        <w:p w14:paraId="27EBF47C" w14:textId="77777777" w:rsidR="001D4788" w:rsidRDefault="001D478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20EF66A"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3101148" w14:textId="33E69364" w:rsidR="001D4788" w:rsidRDefault="005024E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 XXXXXXXXXXXXXXXXX </w:t>
          </w:r>
          <w:proofErr w:type="spellStart"/>
          <w:r>
            <w:rPr>
              <w:rFonts w:ascii="Palatino Linotype" w:eastAsia="Palatino Linotype" w:hAnsi="Palatino Linotype" w:cs="Palatino Linotype"/>
              <w:b/>
            </w:rPr>
            <w:t>XXXXXXXXXXXXXXXXX</w:t>
          </w:r>
          <w:proofErr w:type="spellEnd"/>
          <w:r>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XXXXXXXXXXXXXXXXX</w:t>
          </w:r>
          <w:proofErr w:type="spellEnd"/>
        </w:p>
      </w:tc>
    </w:tr>
    <w:tr w:rsidR="001D4788" w14:paraId="3FC615B8" w14:textId="77777777">
      <w:trPr>
        <w:trHeight w:val="228"/>
      </w:trPr>
      <w:tc>
        <w:tcPr>
          <w:tcW w:w="3805" w:type="dxa"/>
          <w:vMerge/>
          <w:shd w:val="clear" w:color="auto" w:fill="auto"/>
        </w:tcPr>
        <w:p w14:paraId="170BE4FC" w14:textId="77777777" w:rsidR="001D4788" w:rsidRDefault="001D478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E5C5ECE"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8ADD4B5"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Huixquilucan</w:t>
          </w:r>
        </w:p>
      </w:tc>
    </w:tr>
    <w:tr w:rsidR="001D4788" w14:paraId="729BB4E2" w14:textId="77777777">
      <w:tc>
        <w:tcPr>
          <w:tcW w:w="3805" w:type="dxa"/>
          <w:vMerge/>
          <w:shd w:val="clear" w:color="auto" w:fill="auto"/>
        </w:tcPr>
        <w:p w14:paraId="2D3C1853" w14:textId="77777777" w:rsidR="001D4788" w:rsidRDefault="001D478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57DF1E1" w14:textId="77777777" w:rsidR="001D4788" w:rsidRDefault="00B124A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7BB53ABF" w14:textId="77777777" w:rsidR="001D4788" w:rsidRDefault="00B124A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A7739E9" w14:textId="77777777" w:rsidR="001D4788" w:rsidRDefault="001D478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B68F8"/>
    <w:multiLevelType w:val="multilevel"/>
    <w:tmpl w:val="87F08A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38590088"/>
    <w:multiLevelType w:val="multilevel"/>
    <w:tmpl w:val="360A67C0"/>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w:eastAsia="Noto Sans" w:hAnsi="Noto Sans" w:cs="Noto San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3E368A"/>
    <w:multiLevelType w:val="multilevel"/>
    <w:tmpl w:val="2F60D2E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55A15C06"/>
    <w:multiLevelType w:val="multilevel"/>
    <w:tmpl w:val="18A85B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55FF5AB0"/>
    <w:multiLevelType w:val="multilevel"/>
    <w:tmpl w:val="C0389D3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9EA5934"/>
    <w:multiLevelType w:val="multilevel"/>
    <w:tmpl w:val="C5027B9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w:eastAsia="Noto Sans" w:hAnsi="Noto Sans" w:cs="Noto Sans"/>
      </w:rPr>
    </w:lvl>
    <w:lvl w:ilvl="3">
      <w:start w:val="1"/>
      <w:numFmt w:val="decimal"/>
      <w:lvlText w:val=""/>
      <w:lvlJc w:val="left"/>
      <w:pPr>
        <w:ind w:left="2520" w:hanging="360"/>
      </w:pPr>
      <w:rPr>
        <w:rFonts w:ascii="Noto Sans" w:eastAsia="Noto Sans" w:hAnsi="Noto Sans" w:cs="Noto San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w:eastAsia="Noto Sans" w:hAnsi="Noto Sans" w:cs="Noto Sans"/>
      </w:rPr>
    </w:lvl>
    <w:lvl w:ilvl="6">
      <w:start w:val="1"/>
      <w:numFmt w:val="decimal"/>
      <w:lvlText w:val=""/>
      <w:lvlJc w:val="left"/>
      <w:pPr>
        <w:ind w:left="4680" w:hanging="360"/>
      </w:pPr>
      <w:rPr>
        <w:rFonts w:ascii="Noto Sans" w:eastAsia="Noto Sans" w:hAnsi="Noto Sans" w:cs="Noto San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w:eastAsia="Noto Sans" w:hAnsi="Noto Sans" w:cs="Noto Sans"/>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88"/>
    <w:rsid w:val="001D4788"/>
    <w:rsid w:val="00322A7C"/>
    <w:rsid w:val="005024EA"/>
    <w:rsid w:val="008C6967"/>
    <w:rsid w:val="009B3DB8"/>
    <w:rsid w:val="00B124AE"/>
    <w:rsid w:val="00BC0FFB"/>
    <w:rsid w:val="00F11DE5"/>
    <w:rsid w:val="00F65257"/>
    <w:rsid w:val="00F655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FD213"/>
  <w15:docId w15:val="{DB14E1AA-12DF-4467-B0A8-B1888344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c"/>
    <w:tblPr>
      <w:tblStyleRowBandSize w:val="1"/>
      <w:tblStyleColBandSize w:val="1"/>
      <w:tblCellMar>
        <w:top w:w="100" w:type="dxa"/>
        <w:left w:w="100" w:type="dxa"/>
        <w:bottom w:w="100" w:type="dxa"/>
        <w:right w:w="100" w:type="dxa"/>
      </w:tblCellMar>
    </w:tblPr>
  </w:style>
  <w:style w:type="table" w:customStyle="1" w:styleId="a0">
    <w:basedOn w:val="TableNormalfc"/>
    <w:tblPr>
      <w:tblStyleRowBandSize w:val="1"/>
      <w:tblStyleColBandSize w:val="1"/>
      <w:tblCellMar>
        <w:left w:w="115" w:type="dxa"/>
        <w:right w:w="115" w:type="dxa"/>
      </w:tblCellMar>
    </w:tblPr>
  </w:style>
  <w:style w:type="table" w:customStyle="1" w:styleId="a1">
    <w:basedOn w:val="TableNormalfc"/>
    <w:tblPr>
      <w:tblStyleRowBandSize w:val="1"/>
      <w:tblStyleColBandSize w:val="1"/>
      <w:tblCellMar>
        <w:left w:w="115" w:type="dxa"/>
        <w:right w:w="115" w:type="dxa"/>
      </w:tblCellMar>
    </w:tblPr>
  </w:style>
  <w:style w:type="table" w:customStyle="1" w:styleId="a2">
    <w:basedOn w:val="TableNormalfc"/>
    <w:tblPr>
      <w:tblStyleRowBandSize w:val="1"/>
      <w:tblStyleColBandSize w:val="1"/>
      <w:tblCellMar>
        <w:left w:w="115" w:type="dxa"/>
        <w:right w:w="115" w:type="dxa"/>
      </w:tblCellMar>
    </w:tblPr>
  </w:style>
  <w:style w:type="table" w:customStyle="1" w:styleId="a3">
    <w:basedOn w:val="TableNormalfc"/>
    <w:tblPr>
      <w:tblStyleRowBandSize w:val="1"/>
      <w:tblStyleColBandSize w:val="1"/>
      <w:tblCellMar>
        <w:left w:w="115" w:type="dxa"/>
        <w:right w:w="115" w:type="dxa"/>
      </w:tblCellMar>
    </w:tblPr>
  </w:style>
  <w:style w:type="table" w:customStyle="1" w:styleId="a4">
    <w:basedOn w:val="TableNormalfc"/>
    <w:tblPr>
      <w:tblStyleRowBandSize w:val="1"/>
      <w:tblStyleColBandSize w:val="1"/>
      <w:tblCellMar>
        <w:left w:w="115" w:type="dxa"/>
        <w:right w:w="115" w:type="dxa"/>
      </w:tblCellMar>
    </w:tblPr>
  </w:style>
  <w:style w:type="table" w:customStyle="1" w:styleId="a5">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c"/>
    <w:tblPr>
      <w:tblStyleRowBandSize w:val="1"/>
      <w:tblStyleColBandSize w:val="1"/>
      <w:tblCellMar>
        <w:left w:w="115" w:type="dxa"/>
        <w:right w:w="115" w:type="dxa"/>
      </w:tblCellMar>
    </w:tblPr>
  </w:style>
  <w:style w:type="table" w:customStyle="1" w:styleId="a7">
    <w:basedOn w:val="TableNormalfc"/>
    <w:tblPr>
      <w:tblStyleRowBandSize w:val="1"/>
      <w:tblStyleColBandSize w:val="1"/>
      <w:tblCellMar>
        <w:left w:w="115" w:type="dxa"/>
        <w:right w:w="115" w:type="dxa"/>
      </w:tblCellMar>
    </w:tblPr>
  </w:style>
  <w:style w:type="table" w:customStyle="1" w:styleId="a8">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c"/>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9"/>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9"/>
    <w:tblPr>
      <w:tblStyleRowBandSize w:val="1"/>
      <w:tblStyleColBandSize w:val="1"/>
      <w:tblCellMar>
        <w:top w:w="100" w:type="dxa"/>
        <w:left w:w="100" w:type="dxa"/>
        <w:bottom w:w="100" w:type="dxa"/>
        <w:right w:w="100" w:type="dxa"/>
      </w:tblCellMar>
    </w:tblPr>
  </w:style>
  <w:style w:type="table" w:customStyle="1" w:styleId="af4">
    <w:basedOn w:val="TableNormalf9"/>
    <w:tblPr>
      <w:tblStyleRowBandSize w:val="1"/>
      <w:tblStyleColBandSize w:val="1"/>
      <w:tblCellMar>
        <w:top w:w="100" w:type="dxa"/>
        <w:left w:w="100" w:type="dxa"/>
        <w:bottom w:w="100" w:type="dxa"/>
        <w:right w:w="100" w:type="dxa"/>
      </w:tblCellMar>
    </w:tblPr>
  </w:style>
  <w:style w:type="table" w:customStyle="1" w:styleId="af5">
    <w:basedOn w:val="TableNormalf9"/>
    <w:tblPr>
      <w:tblStyleRowBandSize w:val="1"/>
      <w:tblStyleColBandSize w:val="1"/>
      <w:tblCellMar>
        <w:top w:w="100" w:type="dxa"/>
        <w:left w:w="100" w:type="dxa"/>
        <w:bottom w:w="100" w:type="dxa"/>
        <w:right w:w="100" w:type="dxa"/>
      </w:tblCellMar>
    </w:tblPr>
  </w:style>
  <w:style w:type="table" w:customStyle="1" w:styleId="af6">
    <w:basedOn w:val="TableNormalf9"/>
    <w:tblPr>
      <w:tblStyleRowBandSize w:val="1"/>
      <w:tblStyleColBandSize w:val="1"/>
      <w:tblCellMar>
        <w:top w:w="100" w:type="dxa"/>
        <w:left w:w="100" w:type="dxa"/>
        <w:bottom w:w="100" w:type="dxa"/>
        <w:right w:w="100" w:type="dxa"/>
      </w:tblCellMar>
    </w:tblPr>
  </w:style>
  <w:style w:type="table" w:customStyle="1" w:styleId="af7">
    <w:basedOn w:val="TableNormalf9"/>
    <w:tblPr>
      <w:tblStyleRowBandSize w:val="1"/>
      <w:tblStyleColBandSize w:val="1"/>
      <w:tblCellMar>
        <w:top w:w="100" w:type="dxa"/>
        <w:left w:w="100" w:type="dxa"/>
        <w:bottom w:w="100" w:type="dxa"/>
        <w:right w:w="100" w:type="dxa"/>
      </w:tblCellMar>
    </w:tblPr>
  </w:style>
  <w:style w:type="table" w:customStyle="1" w:styleId="a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a"/>
    <w:tblPr>
      <w:tblStyleRowBandSize w:val="1"/>
      <w:tblStyleColBandSize w:val="1"/>
      <w:tblCellMar>
        <w:top w:w="100" w:type="dxa"/>
        <w:left w:w="100" w:type="dxa"/>
        <w:bottom w:w="100" w:type="dxa"/>
        <w:right w:w="100" w:type="dxa"/>
      </w:tblCellMar>
    </w:tblPr>
  </w:style>
  <w:style w:type="table" w:customStyle="1" w:styleId="afffffff0">
    <w:basedOn w:val="TableNormala"/>
    <w:tblPr>
      <w:tblStyleRowBandSize w:val="1"/>
      <w:tblStyleColBandSize w:val="1"/>
      <w:tblCellMar>
        <w:top w:w="100" w:type="dxa"/>
        <w:left w:w="100" w:type="dxa"/>
        <w:bottom w:w="100" w:type="dxa"/>
        <w:right w:w="100" w:type="dxa"/>
      </w:tblCellMar>
    </w:tblPr>
  </w:style>
  <w:style w:type="table" w:customStyle="1" w:styleId="a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N2KAgGAqUzOSpfkHNI8McvjYAw==">AMUW2mVfaDGn1z14KObH7tGQRt1mrWzsSxxmFN/OHOUCEgcXiALpB3pD4S2HA5aNiuzDN8URUjAZYOw/sm/C+16v4XBcEsip1pHzTCywGEdKNxilmTHy/+1wk28x6VPx1rnk6OWuVoQAAQ6vU1IteZhxFN5y6VnVJ8VklLuWnUOgz1InMxuwMv1/fapdkpszQDFrHYPIUFX4EHGERM17c051obIMNbmh0g==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0358E2-FDBE-4A22-857A-7D7F951B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54</Pages>
  <Words>12556</Words>
  <Characters>69064</Characters>
  <Application>Microsoft Office Word</Application>
  <DocSecurity>0</DocSecurity>
  <Lines>575</Lines>
  <Paragraphs>162</Paragraphs>
  <ScaleCrop>false</ScaleCrop>
  <Company/>
  <LinksUpToDate>false</LinksUpToDate>
  <CharactersWithSpaces>81458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2022-11-11T05:16:00Z</cp:lastPrinted>
  <dcterms:created xsi:type="dcterms:W3CDTF">2022-10-27T19:33:00Z</dcterms:created>
  <dcterms:modified xsi:type="dcterms:W3CDTF">2022-12-01T23:47:00Z</dcterms:modified>
</cp:coreProperties>
</file>