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8C73" w14:textId="77777777" w:rsidR="00B04927" w:rsidRPr="00287C00" w:rsidRDefault="00B04927" w:rsidP="00287C00">
      <w:pPr>
        <w:spacing w:after="0" w:line="360" w:lineRule="auto"/>
        <w:rPr>
          <w:rFonts w:eastAsia="Calibri" w:cs="Tahoma"/>
          <w:bCs/>
          <w:color w:val="000000"/>
        </w:rPr>
      </w:pPr>
    </w:p>
    <w:p w14:paraId="48FE9495" w14:textId="67CD9914" w:rsidR="00252D61" w:rsidRPr="00287C00" w:rsidRDefault="00252D61" w:rsidP="00287C00">
      <w:pPr>
        <w:spacing w:after="0" w:line="360" w:lineRule="auto"/>
        <w:rPr>
          <w:rFonts w:eastAsia="Times New Roman" w:cs="Tahoma"/>
          <w:bCs/>
          <w:color w:val="auto"/>
          <w:lang w:eastAsia="es-ES"/>
        </w:rPr>
      </w:pPr>
      <w:r w:rsidRPr="00287C00">
        <w:rPr>
          <w:rFonts w:eastAsia="Calibri" w:cs="Tahoma"/>
          <w:bCs/>
          <w:color w:val="000000"/>
        </w:rPr>
        <w:t xml:space="preserve">Resolución del Pleno del Instituto de Transparencia, Acceso a la Información Pública y </w:t>
      </w:r>
      <w:r w:rsidRPr="00287C00">
        <w:rPr>
          <w:rFonts w:eastAsia="Times New Roman" w:cs="Tahoma"/>
          <w:bCs/>
          <w:color w:val="auto"/>
          <w:lang w:eastAsia="es-ES"/>
        </w:rPr>
        <w:t>Protección de Datos Personales del Estado de México y Municipios, con domicilio en Metepec, Estado de México, de fecha tres de marzo de dos mil veintidós.</w:t>
      </w:r>
    </w:p>
    <w:p w14:paraId="6996EA06" w14:textId="77777777" w:rsidR="00252D61" w:rsidRPr="00287C00" w:rsidRDefault="00252D61" w:rsidP="00287C00">
      <w:pPr>
        <w:tabs>
          <w:tab w:val="left" w:pos="2839"/>
        </w:tabs>
        <w:spacing w:after="0" w:line="360" w:lineRule="auto"/>
        <w:rPr>
          <w:rFonts w:eastAsia="Times New Roman" w:cs="Tahoma"/>
          <w:bCs/>
          <w:color w:val="auto"/>
          <w:lang w:eastAsia="es-ES"/>
        </w:rPr>
      </w:pPr>
    </w:p>
    <w:p w14:paraId="5D9CD679" w14:textId="77777777" w:rsidR="00252D61" w:rsidRPr="00287C00" w:rsidRDefault="00252D61" w:rsidP="00287C00">
      <w:pPr>
        <w:spacing w:after="0" w:line="360" w:lineRule="auto"/>
        <w:rPr>
          <w:rFonts w:eastAsia="Calibri" w:cs="Tahoma"/>
          <w:color w:val="000000"/>
        </w:rPr>
      </w:pPr>
      <w:r w:rsidRPr="00287C00">
        <w:rPr>
          <w:rFonts w:eastAsia="Times New Roman" w:cs="Tahoma"/>
          <w:b/>
          <w:bCs/>
          <w:color w:val="auto"/>
          <w:lang w:eastAsia="es-ES"/>
        </w:rPr>
        <w:t>VISTO</w:t>
      </w:r>
      <w:r w:rsidRPr="00287C00">
        <w:rPr>
          <w:rFonts w:eastAsia="Calibri" w:cs="Tahoma"/>
          <w:bCs/>
          <w:color w:val="0D0D0D"/>
        </w:rPr>
        <w:t xml:space="preserve"> el expediente conformado con motivo del Recurso de Revisión </w:t>
      </w:r>
      <w:r w:rsidRPr="00287C00">
        <w:rPr>
          <w:rFonts w:eastAsia="Calibri" w:cs="Tahoma"/>
          <w:color w:val="000000"/>
        </w:rPr>
        <w:t>00251/INFOEM/IP/RR/2022, interpuesto por</w:t>
      </w:r>
      <w:r w:rsidRPr="00287C00">
        <w:rPr>
          <w:rFonts w:eastAsia="Calibri" w:cs="Tahoma"/>
        </w:rPr>
        <w:t xml:space="preserve">, en lo sucesivo, el </w:t>
      </w:r>
      <w:r w:rsidRPr="00287C00">
        <w:rPr>
          <w:rFonts w:eastAsia="Calibri" w:cs="Tahoma"/>
          <w:color w:val="0D0D0D"/>
        </w:rPr>
        <w:t>Recurrente o Particular, en contra de la respuesta del Sujeto Obligado,</w:t>
      </w:r>
      <w:r w:rsidRPr="00287C00">
        <w:rPr>
          <w:rFonts w:eastAsia="Calibri" w:cs="Tahoma"/>
          <w:color w:val="000000"/>
        </w:rPr>
        <w:t xml:space="preserve"> Comisión de Conciliación y Arbitraje Médico del Estado de México, a la solicitud de acceso a la información 00277/CAMEM/IP/2021, se emite la presente Resolución, con base en los Antecedentes y Considerandos que se exponen a continuación:</w:t>
      </w:r>
    </w:p>
    <w:p w14:paraId="64DCC82E" w14:textId="77777777" w:rsidR="00357BD0" w:rsidRPr="00287C00" w:rsidRDefault="00357BD0" w:rsidP="00287C00">
      <w:pPr>
        <w:spacing w:after="0" w:line="360" w:lineRule="auto"/>
        <w:rPr>
          <w:rFonts w:eastAsia="Calibri" w:cs="Tahoma"/>
          <w:color w:val="0D0D0D"/>
        </w:rPr>
      </w:pPr>
    </w:p>
    <w:p w14:paraId="04F87FF4" w14:textId="77777777" w:rsidR="00252D61" w:rsidRPr="00287C00" w:rsidRDefault="00252D61" w:rsidP="00287C00">
      <w:pPr>
        <w:tabs>
          <w:tab w:val="center" w:pos="4522"/>
          <w:tab w:val="left" w:pos="7245"/>
        </w:tabs>
        <w:spacing w:after="0" w:line="360" w:lineRule="auto"/>
        <w:jc w:val="center"/>
        <w:rPr>
          <w:rFonts w:eastAsia="Calibri" w:cs="Tahoma"/>
          <w:b/>
          <w:color w:val="000000"/>
        </w:rPr>
      </w:pPr>
      <w:r w:rsidRPr="00287C00">
        <w:rPr>
          <w:rFonts w:eastAsia="Calibri" w:cs="Tahoma"/>
          <w:b/>
          <w:color w:val="000000"/>
        </w:rPr>
        <w:t>A N T E C E D E N T E S:</w:t>
      </w:r>
    </w:p>
    <w:p w14:paraId="4C51750D" w14:textId="77777777" w:rsidR="00252D61" w:rsidRPr="00287C00" w:rsidRDefault="00252D61" w:rsidP="00287C00">
      <w:pPr>
        <w:spacing w:after="0" w:line="360" w:lineRule="auto"/>
      </w:pPr>
    </w:p>
    <w:p w14:paraId="6C046383" w14:textId="77777777" w:rsidR="00252D61" w:rsidRPr="00287C00" w:rsidRDefault="00252D61" w:rsidP="00287C00">
      <w:pPr>
        <w:tabs>
          <w:tab w:val="left" w:pos="567"/>
        </w:tabs>
        <w:spacing w:after="0" w:line="360" w:lineRule="auto"/>
        <w:rPr>
          <w:rFonts w:eastAsia="Times New Roman" w:cs="Tahoma"/>
          <w:b/>
          <w:color w:val="auto"/>
          <w:lang w:eastAsia="es-ES"/>
        </w:rPr>
      </w:pPr>
      <w:r w:rsidRPr="00287C00">
        <w:rPr>
          <w:rFonts w:eastAsia="Times New Roman" w:cs="Tahoma"/>
          <w:b/>
          <w:color w:val="auto"/>
          <w:lang w:eastAsia="es-ES"/>
        </w:rPr>
        <w:t>I. Presentación de la solicitud de información:</w:t>
      </w:r>
    </w:p>
    <w:p w14:paraId="7F6A9917" w14:textId="77777777" w:rsidR="00252D61" w:rsidRPr="00287C00" w:rsidRDefault="00252D61" w:rsidP="00287C00">
      <w:pPr>
        <w:tabs>
          <w:tab w:val="left" w:pos="567"/>
        </w:tabs>
        <w:spacing w:after="0" w:line="360" w:lineRule="auto"/>
        <w:rPr>
          <w:rFonts w:eastAsia="Times New Roman" w:cs="Tahoma"/>
          <w:color w:val="auto"/>
          <w:lang w:eastAsia="es-ES"/>
        </w:rPr>
      </w:pPr>
    </w:p>
    <w:p w14:paraId="377FF4FA" w14:textId="559EABB5" w:rsidR="00A17F83" w:rsidRPr="00287C00" w:rsidRDefault="00A17F83" w:rsidP="00287C00">
      <w:pPr>
        <w:tabs>
          <w:tab w:val="left" w:pos="567"/>
        </w:tabs>
        <w:spacing w:after="0" w:line="360" w:lineRule="auto"/>
        <w:rPr>
          <w:rFonts w:eastAsia="Times New Roman" w:cs="Tahoma"/>
          <w:b/>
          <w:color w:val="auto"/>
          <w:lang w:eastAsia="es-ES"/>
        </w:rPr>
      </w:pPr>
      <w:r w:rsidRPr="00287C00">
        <w:rPr>
          <w:rFonts w:eastAsia="Times New Roman" w:cs="Tahoma"/>
          <w:color w:val="auto"/>
          <w:lang w:eastAsia="es-ES"/>
        </w:rPr>
        <w:t xml:space="preserve">Con fecha trece de diciembre de dos mil veintiuno, </w:t>
      </w:r>
      <w:r w:rsidR="00B04927" w:rsidRPr="00287C00">
        <w:rPr>
          <w:rFonts w:eastAsia="Times New Roman" w:cs="Tahoma"/>
          <w:color w:val="auto"/>
          <w:lang w:eastAsia="es-ES"/>
        </w:rPr>
        <w:t>se tuvo por registrado</w:t>
      </w:r>
      <w:r w:rsidRPr="00287C00">
        <w:rPr>
          <w:rFonts w:eastAsia="Times New Roman" w:cs="Tahoma"/>
          <w:color w:val="auto"/>
          <w:lang w:eastAsia="es-ES"/>
        </w:rPr>
        <w:t xml:space="preserve"> una solicitud de acceso a la información pública</w:t>
      </w:r>
      <w:r w:rsidR="00B04927" w:rsidRPr="00287C00">
        <w:rPr>
          <w:rFonts w:eastAsia="Times New Roman" w:cs="Tahoma"/>
          <w:color w:val="auto"/>
          <w:lang w:eastAsia="es-ES"/>
        </w:rPr>
        <w:t>, por el Particular</w:t>
      </w:r>
      <w:r w:rsidRPr="00287C00">
        <w:rPr>
          <w:rFonts w:eastAsia="Times New Roman" w:cs="Tahoma"/>
          <w:color w:val="auto"/>
          <w:lang w:eastAsia="es-ES"/>
        </w:rPr>
        <w:t xml:space="preserve">, a través del Sistema de Acceso a la Información Mexiquense (SAIMEX), ante la </w:t>
      </w:r>
      <w:r w:rsidRPr="00287C00">
        <w:rPr>
          <w:rFonts w:eastAsia="Calibri" w:cs="Tahoma"/>
          <w:color w:val="000000"/>
        </w:rPr>
        <w:t xml:space="preserve">Comisión de Conciliación y Arbitraje Médico del Estado de México, lo anterior, </w:t>
      </w:r>
      <w:r w:rsidRPr="00287C00">
        <w:rPr>
          <w:rFonts w:eastAsia="Times New Roman" w:cs="Tahoma"/>
          <w:b/>
          <w:color w:val="auto"/>
          <w:lang w:eastAsia="es-ES"/>
        </w:rPr>
        <w:t xml:space="preserve">ya que si bien, se registró el once </w:t>
      </w:r>
      <w:r w:rsidR="00B04927" w:rsidRPr="00287C00">
        <w:rPr>
          <w:rFonts w:eastAsia="Times New Roman" w:cs="Tahoma"/>
          <w:b/>
          <w:color w:val="auto"/>
          <w:lang w:eastAsia="es-ES"/>
        </w:rPr>
        <w:t>de dicho mes y año</w:t>
      </w:r>
      <w:r w:rsidRPr="00287C00">
        <w:rPr>
          <w:rFonts w:eastAsia="Times New Roman" w:cs="Tahoma"/>
          <w:b/>
          <w:color w:val="auto"/>
          <w:lang w:eastAsia="es-ES"/>
        </w:rPr>
        <w:t>,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tuvo por presentado el día hábil subsecuente</w:t>
      </w:r>
      <w:r w:rsidRPr="00287C00">
        <w:rPr>
          <w:rFonts w:eastAsia="Times New Roman" w:cs="Tahoma"/>
          <w:color w:val="auto"/>
          <w:lang w:eastAsia="es-ES"/>
        </w:rPr>
        <w:t xml:space="preserve">; </w:t>
      </w:r>
      <w:r w:rsidRPr="00287C00">
        <w:rPr>
          <w:rFonts w:eastAsia="Times New Roman" w:cs="Tahoma"/>
          <w:color w:val="auto"/>
          <w:lang w:val="es-ES" w:eastAsia="es-ES"/>
        </w:rPr>
        <w:t>mediante la cual requirió lo siguiente:</w:t>
      </w:r>
    </w:p>
    <w:p w14:paraId="096C5A24" w14:textId="77777777" w:rsidR="00252D61" w:rsidRPr="00287C00" w:rsidRDefault="00252D61" w:rsidP="00287C00">
      <w:pPr>
        <w:tabs>
          <w:tab w:val="left" w:pos="4667"/>
        </w:tabs>
        <w:spacing w:after="0" w:line="360" w:lineRule="auto"/>
        <w:ind w:left="567" w:right="567"/>
        <w:rPr>
          <w:rFonts w:eastAsia="Times New Roman" w:cs="Tahoma"/>
          <w:b/>
          <w:i/>
          <w:iCs/>
          <w:color w:val="auto"/>
          <w:sz w:val="20"/>
          <w:szCs w:val="20"/>
          <w:lang w:eastAsia="es-ES"/>
        </w:rPr>
      </w:pPr>
      <w:r w:rsidRPr="00287C00">
        <w:rPr>
          <w:rFonts w:eastAsia="Times New Roman" w:cs="Tahoma"/>
          <w:b/>
          <w:i/>
          <w:iCs/>
          <w:color w:val="auto"/>
          <w:sz w:val="20"/>
          <w:szCs w:val="20"/>
          <w:lang w:eastAsia="es-ES"/>
        </w:rPr>
        <w:lastRenderedPageBreak/>
        <w:t>“DESCRIPCIÓN CLARA Y PRECISA DE LA INFORMACIÓN SOLICITADA.</w:t>
      </w:r>
    </w:p>
    <w:p w14:paraId="1CCAD100" w14:textId="432E1C6A" w:rsidR="00252D61" w:rsidRPr="00287C00" w:rsidRDefault="00A17F83" w:rsidP="00287C00">
      <w:pPr>
        <w:tabs>
          <w:tab w:val="left" w:pos="4667"/>
        </w:tabs>
        <w:spacing w:after="0" w:line="360" w:lineRule="auto"/>
        <w:ind w:left="567" w:right="567"/>
        <w:rPr>
          <w:rFonts w:eastAsia="Times New Roman" w:cs="Tahoma"/>
          <w:bCs/>
          <w:i/>
          <w:iCs/>
          <w:color w:val="auto"/>
          <w:sz w:val="20"/>
          <w:szCs w:val="20"/>
          <w:lang w:eastAsia="es-ES"/>
        </w:rPr>
      </w:pPr>
      <w:r w:rsidRPr="00287C00">
        <w:rPr>
          <w:rFonts w:eastAsia="Times New Roman" w:cs="Tahoma"/>
          <w:bCs/>
          <w:i/>
          <w:iCs/>
          <w:color w:val="auto"/>
          <w:sz w:val="20"/>
          <w:szCs w:val="20"/>
          <w:lang w:eastAsia="es-ES"/>
        </w:rPr>
        <w:t xml:space="preserve">Requiero la versión pública de la nómina 22 del 2021, así como de una conciliación.” </w:t>
      </w:r>
      <w:r w:rsidR="00252D61" w:rsidRPr="00287C00">
        <w:rPr>
          <w:rFonts w:eastAsia="Times New Roman" w:cs="Tahoma"/>
          <w:bCs/>
          <w:i/>
          <w:iCs/>
          <w:color w:val="auto"/>
          <w:sz w:val="20"/>
          <w:szCs w:val="20"/>
          <w:lang w:eastAsia="es-ES"/>
        </w:rPr>
        <w:t xml:space="preserve">(Sic) </w:t>
      </w:r>
    </w:p>
    <w:p w14:paraId="5B04EA4B" w14:textId="77777777" w:rsidR="00B04927" w:rsidRPr="00287C00" w:rsidRDefault="00B04927" w:rsidP="00287C00">
      <w:pPr>
        <w:tabs>
          <w:tab w:val="left" w:pos="4667"/>
        </w:tabs>
        <w:spacing w:after="0" w:line="360" w:lineRule="auto"/>
        <w:ind w:left="567" w:right="567"/>
        <w:rPr>
          <w:rFonts w:eastAsia="Times New Roman" w:cs="Tahoma"/>
          <w:bCs/>
          <w:i/>
          <w:iCs/>
          <w:color w:val="auto"/>
          <w:sz w:val="20"/>
          <w:szCs w:val="20"/>
          <w:lang w:eastAsia="es-ES"/>
        </w:rPr>
      </w:pPr>
    </w:p>
    <w:p w14:paraId="2BC0B023" w14:textId="669D2CA4" w:rsidR="00252D61" w:rsidRPr="00287C00" w:rsidRDefault="00252D61" w:rsidP="00287C00">
      <w:pPr>
        <w:tabs>
          <w:tab w:val="left" w:pos="4667"/>
        </w:tabs>
        <w:spacing w:after="0" w:line="360" w:lineRule="auto"/>
        <w:ind w:left="567" w:right="567"/>
        <w:rPr>
          <w:rFonts w:eastAsia="Times New Roman" w:cs="Tahoma"/>
          <w:b/>
          <w:bCs/>
          <w:i/>
          <w:iCs/>
          <w:color w:val="auto"/>
          <w:sz w:val="20"/>
          <w:lang w:eastAsia="es-ES"/>
        </w:rPr>
      </w:pPr>
      <w:r w:rsidRPr="00287C00">
        <w:rPr>
          <w:rFonts w:eastAsia="Times New Roman" w:cs="Tahoma"/>
          <w:b/>
          <w:bCs/>
          <w:i/>
          <w:iCs/>
          <w:color w:val="auto"/>
          <w:sz w:val="20"/>
          <w:lang w:eastAsia="es-ES"/>
        </w:rPr>
        <w:t>“MODALIDAD DE ENTREGA</w:t>
      </w:r>
    </w:p>
    <w:p w14:paraId="1A31FEF7" w14:textId="77777777" w:rsidR="00252D61" w:rsidRPr="00287C00" w:rsidRDefault="00252D61" w:rsidP="00287C00">
      <w:pPr>
        <w:spacing w:after="0" w:line="360" w:lineRule="auto"/>
        <w:ind w:left="567" w:right="567"/>
        <w:rPr>
          <w:rFonts w:eastAsia="Times New Roman" w:cs="Arial"/>
          <w:bCs/>
          <w:i/>
          <w:iCs/>
          <w:color w:val="auto"/>
          <w:sz w:val="20"/>
          <w:lang w:eastAsia="es-ES"/>
        </w:rPr>
      </w:pPr>
      <w:r w:rsidRPr="00287C00">
        <w:rPr>
          <w:rFonts w:eastAsia="Times New Roman" w:cs="Arial"/>
          <w:bCs/>
          <w:i/>
          <w:iCs/>
          <w:color w:val="auto"/>
          <w:sz w:val="20"/>
          <w:lang w:eastAsia="es-ES"/>
        </w:rPr>
        <w:t>A través del SAIMEX”</w:t>
      </w:r>
    </w:p>
    <w:p w14:paraId="0B0F11D1" w14:textId="77777777" w:rsidR="00252D61" w:rsidRPr="00287C00" w:rsidRDefault="00252D61" w:rsidP="00287C00">
      <w:pPr>
        <w:spacing w:after="0" w:line="360" w:lineRule="auto"/>
        <w:ind w:left="567" w:right="567"/>
        <w:rPr>
          <w:rFonts w:eastAsia="Times New Roman" w:cs="Arial"/>
          <w:bCs/>
          <w:i/>
          <w:iCs/>
          <w:color w:val="auto"/>
          <w:sz w:val="20"/>
          <w:lang w:eastAsia="es-ES"/>
        </w:rPr>
      </w:pPr>
    </w:p>
    <w:p w14:paraId="5C2B285C" w14:textId="77777777" w:rsidR="00252D61" w:rsidRPr="00287C00" w:rsidRDefault="00252D61" w:rsidP="00287C00">
      <w:pPr>
        <w:autoSpaceDE w:val="0"/>
        <w:autoSpaceDN w:val="0"/>
        <w:adjustRightInd w:val="0"/>
        <w:spacing w:after="0" w:line="360" w:lineRule="auto"/>
        <w:rPr>
          <w:b/>
          <w:bCs/>
        </w:rPr>
      </w:pPr>
      <w:r w:rsidRPr="00287C00">
        <w:rPr>
          <w:rFonts w:cs="Tahoma"/>
          <w:b/>
        </w:rPr>
        <w:t>II.</w:t>
      </w:r>
      <w:r w:rsidRPr="00287C00">
        <w:rPr>
          <w:b/>
          <w:bCs/>
        </w:rPr>
        <w:t xml:space="preserve"> Respuesta del Sujeto Obligado. </w:t>
      </w:r>
    </w:p>
    <w:p w14:paraId="7EB83C6A" w14:textId="77777777" w:rsidR="00252D61" w:rsidRPr="00287C00" w:rsidRDefault="00252D61" w:rsidP="00287C00">
      <w:pPr>
        <w:spacing w:after="0" w:line="360" w:lineRule="auto"/>
      </w:pPr>
    </w:p>
    <w:p w14:paraId="7CF2BD65" w14:textId="77777777" w:rsidR="00A17F83" w:rsidRPr="00287C00" w:rsidRDefault="00252D61" w:rsidP="00287C00">
      <w:pPr>
        <w:spacing w:after="0" w:line="360" w:lineRule="auto"/>
      </w:pPr>
      <w:r w:rsidRPr="00287C00">
        <w:t>Con fecha</w:t>
      </w:r>
      <w:r w:rsidR="00A17F83" w:rsidRPr="00287C00">
        <w:t xml:space="preserve"> diecisiete de enero de dos mil veintidós, </w:t>
      </w:r>
      <w:r w:rsidRPr="00287C00">
        <w:t xml:space="preserve">el Sujeto Obligado notificó, a través del Sistema de Acceso a la Información Mexiquense (SAIMEX), la respuesta a la solicitud de acceso a la información pública, </w:t>
      </w:r>
      <w:r w:rsidR="00A17F83" w:rsidRPr="00287C00">
        <w:t xml:space="preserve">conforme a lo siguiente: </w:t>
      </w:r>
    </w:p>
    <w:p w14:paraId="0758B485" w14:textId="77777777" w:rsidR="00A17F83" w:rsidRPr="00287C00" w:rsidRDefault="00A17F83" w:rsidP="00287C00">
      <w:pPr>
        <w:spacing w:after="0" w:line="360" w:lineRule="auto"/>
      </w:pPr>
    </w:p>
    <w:p w14:paraId="71120A49" w14:textId="77777777" w:rsidR="00A17F83" w:rsidRPr="00287C00" w:rsidRDefault="00A17F83" w:rsidP="00287C00">
      <w:pPr>
        <w:spacing w:after="0" w:line="360" w:lineRule="auto"/>
        <w:ind w:left="567" w:right="567"/>
        <w:rPr>
          <w:i/>
          <w:sz w:val="20"/>
          <w:szCs w:val="20"/>
        </w:rPr>
      </w:pPr>
      <w:r w:rsidRPr="00287C00">
        <w:rPr>
          <w:i/>
          <w:sz w:val="20"/>
          <w:szCs w:val="20"/>
        </w:rPr>
        <w:t xml:space="preserve">“… </w:t>
      </w:r>
    </w:p>
    <w:p w14:paraId="5C2186A8" w14:textId="0AB3FA58" w:rsidR="00A17F83" w:rsidRPr="00287C00" w:rsidRDefault="00A17F83" w:rsidP="00287C00">
      <w:pPr>
        <w:spacing w:after="0" w:line="360" w:lineRule="auto"/>
        <w:ind w:left="567" w:right="567"/>
        <w:rPr>
          <w:i/>
          <w:sz w:val="20"/>
          <w:szCs w:val="20"/>
        </w:rPr>
      </w:pPr>
      <w:r w:rsidRPr="00287C00">
        <w:rPr>
          <w:i/>
          <w:sz w:val="20"/>
          <w:szCs w:val="20"/>
        </w:rPr>
        <w:t xml:space="preserve">En respuesta a su solicitud de información número 00277/CAMEM/IP/2021, “Requiero la versión pública de la nómina 22 del 2021, así como de una conciliación. </w:t>
      </w:r>
      <w:proofErr w:type="gramStart"/>
      <w:r w:rsidR="00B04927" w:rsidRPr="00287C00">
        <w:rPr>
          <w:i/>
          <w:sz w:val="20"/>
          <w:szCs w:val="20"/>
        </w:rPr>
        <w:t>‘</w:t>
      </w:r>
      <w:r w:rsidRPr="00287C00">
        <w:rPr>
          <w:i/>
          <w:sz w:val="20"/>
          <w:szCs w:val="20"/>
        </w:rPr>
        <w:t xml:space="preserve"> al</w:t>
      </w:r>
      <w:proofErr w:type="gramEnd"/>
      <w:r w:rsidRPr="00287C00">
        <w:rPr>
          <w:i/>
          <w:sz w:val="20"/>
          <w:szCs w:val="20"/>
        </w:rPr>
        <w:t xml:space="preserve"> respecto </w:t>
      </w:r>
      <w:r w:rsidRPr="00287C00">
        <w:rPr>
          <w:b/>
          <w:i/>
          <w:sz w:val="20"/>
          <w:szCs w:val="20"/>
        </w:rPr>
        <w:t>me permito comunicar a usted que su solicitud no es concreta</w:t>
      </w:r>
      <w:r w:rsidRPr="00287C00">
        <w:rPr>
          <w:i/>
          <w:sz w:val="20"/>
          <w:szCs w:val="20"/>
        </w:rPr>
        <w:t xml:space="preserve">; lo anterior, con fundamento en la Ley de Transparencia y Acceso a la Información Pública del Estado de México y Municipios que establece lo siguiente: Artículo 12.- </w:t>
      </w:r>
      <w:r w:rsidR="00B04927" w:rsidRPr="00287C00">
        <w:rPr>
          <w:i/>
          <w:sz w:val="20"/>
          <w:szCs w:val="20"/>
        </w:rPr>
        <w:t>‘</w:t>
      </w:r>
      <w:r w:rsidRPr="00287C00">
        <w:rPr>
          <w:i/>
          <w:sz w:val="20"/>
          <w:szCs w:val="20"/>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w:t>
      </w:r>
      <w:r w:rsidR="00B04927" w:rsidRPr="00287C00">
        <w:rPr>
          <w:i/>
          <w:sz w:val="20"/>
          <w:szCs w:val="20"/>
        </w:rPr>
        <w:t>‘</w:t>
      </w:r>
      <w:r w:rsidRPr="00287C00">
        <w:rPr>
          <w:i/>
          <w:sz w:val="20"/>
          <w:szCs w:val="20"/>
        </w:rPr>
        <w:t>… Los sujetos obligados solo proporcionarán la información pública que generen, administren o posean en el ejercicio de sus atribuciones</w:t>
      </w:r>
    </w:p>
    <w:p w14:paraId="0D37C9DB" w14:textId="77777777" w:rsidR="00A17F83" w:rsidRPr="00287C00" w:rsidRDefault="00A17F83" w:rsidP="00287C00">
      <w:pPr>
        <w:spacing w:after="0" w:line="360" w:lineRule="auto"/>
        <w:ind w:left="567" w:right="567"/>
        <w:rPr>
          <w:i/>
          <w:sz w:val="20"/>
          <w:szCs w:val="20"/>
        </w:rPr>
      </w:pPr>
      <w:r w:rsidRPr="00287C00">
        <w:rPr>
          <w:i/>
          <w:sz w:val="20"/>
          <w:szCs w:val="20"/>
        </w:rPr>
        <w:t xml:space="preserve">…” (Sic) </w:t>
      </w:r>
    </w:p>
    <w:p w14:paraId="30477C79" w14:textId="77777777" w:rsidR="00252D61" w:rsidRPr="00287C00" w:rsidRDefault="00252D61" w:rsidP="00287C00">
      <w:pPr>
        <w:spacing w:after="0" w:line="360" w:lineRule="auto"/>
        <w:ind w:right="567"/>
        <w:rPr>
          <w:iCs/>
        </w:rPr>
      </w:pPr>
    </w:p>
    <w:p w14:paraId="417F0459" w14:textId="77777777" w:rsidR="00252D61" w:rsidRPr="00287C00" w:rsidRDefault="00252D61" w:rsidP="00287C00">
      <w:pPr>
        <w:spacing w:after="0" w:line="360" w:lineRule="auto"/>
        <w:rPr>
          <w:b/>
        </w:rPr>
      </w:pPr>
      <w:r w:rsidRPr="00287C00">
        <w:rPr>
          <w:b/>
        </w:rPr>
        <w:t xml:space="preserve">III. Interposición del Recurso de Revisión. </w:t>
      </w:r>
    </w:p>
    <w:p w14:paraId="40D6B4BB" w14:textId="77777777" w:rsidR="00252D61" w:rsidRPr="00287C00" w:rsidRDefault="00252D61" w:rsidP="00287C00">
      <w:pPr>
        <w:spacing w:after="0" w:line="360" w:lineRule="auto"/>
        <w:rPr>
          <w:bCs/>
        </w:rPr>
      </w:pPr>
    </w:p>
    <w:p w14:paraId="07E04114" w14:textId="77777777" w:rsidR="00252D61" w:rsidRPr="00287C00" w:rsidRDefault="00252D61" w:rsidP="00287C00">
      <w:pPr>
        <w:spacing w:after="0" w:line="360" w:lineRule="auto"/>
        <w:rPr>
          <w:bCs/>
        </w:rPr>
      </w:pPr>
      <w:r w:rsidRPr="00287C00">
        <w:rPr>
          <w:bCs/>
        </w:rPr>
        <w:t>Con fecha</w:t>
      </w:r>
      <w:r w:rsidR="00A17F83" w:rsidRPr="00287C00">
        <w:rPr>
          <w:bCs/>
        </w:rPr>
        <w:t xml:space="preserve"> veintiuno de enero de dos mil veintidós</w:t>
      </w:r>
      <w:r w:rsidRPr="00287C00">
        <w:rPr>
          <w:bCs/>
        </w:rPr>
        <w:t xml:space="preserve">, se recibió en este Instituto, a través del </w:t>
      </w:r>
      <w:r w:rsidRPr="00287C00">
        <w:rPr>
          <w:bCs/>
          <w:lang w:val="es-ES"/>
        </w:rPr>
        <w:t>Sistema de Acceso a la Información Mexiquense (SAIMEX)</w:t>
      </w:r>
      <w:r w:rsidRPr="00287C00">
        <w:rPr>
          <w:bCs/>
        </w:rPr>
        <w:t xml:space="preserve">, Recurso de Revisión interpuesto </w:t>
      </w:r>
      <w:r w:rsidRPr="00287C00">
        <w:rPr>
          <w:bCs/>
        </w:rPr>
        <w:lastRenderedPageBreak/>
        <w:t>por la parte Recurrente, en contra de la respuesta por el Sujeto Obligado, a la solicitud de información, en los siguientes términos:</w:t>
      </w:r>
    </w:p>
    <w:p w14:paraId="412D5942" w14:textId="77777777" w:rsidR="00252D61" w:rsidRPr="00287C00" w:rsidRDefault="00252D61" w:rsidP="00287C00">
      <w:pPr>
        <w:spacing w:after="0" w:line="360" w:lineRule="auto"/>
        <w:rPr>
          <w:bCs/>
        </w:rPr>
      </w:pPr>
    </w:p>
    <w:p w14:paraId="03C60D46" w14:textId="77777777" w:rsidR="00252D61" w:rsidRPr="00287C00" w:rsidRDefault="00252D61" w:rsidP="00287C00">
      <w:pPr>
        <w:spacing w:after="0" w:line="360" w:lineRule="auto"/>
        <w:ind w:left="567" w:right="567"/>
        <w:rPr>
          <w:bCs/>
          <w:i/>
          <w:sz w:val="20"/>
          <w:szCs w:val="20"/>
        </w:rPr>
      </w:pPr>
      <w:r w:rsidRPr="00287C00">
        <w:rPr>
          <w:b/>
          <w:bCs/>
          <w:i/>
          <w:sz w:val="20"/>
          <w:szCs w:val="20"/>
        </w:rPr>
        <w:t>“ACTO IMPUGNADO</w:t>
      </w:r>
    </w:p>
    <w:p w14:paraId="5FF7F72B" w14:textId="77777777" w:rsidR="00252D61" w:rsidRPr="00287C00" w:rsidRDefault="00A17F83" w:rsidP="00287C00">
      <w:pPr>
        <w:spacing w:after="0" w:line="360" w:lineRule="auto"/>
        <w:ind w:left="567" w:right="567"/>
        <w:rPr>
          <w:i/>
          <w:sz w:val="20"/>
          <w:szCs w:val="20"/>
        </w:rPr>
      </w:pPr>
      <w:r w:rsidRPr="00287C00">
        <w:rPr>
          <w:i/>
          <w:sz w:val="20"/>
          <w:szCs w:val="20"/>
        </w:rPr>
        <w:t>no en</w:t>
      </w:r>
      <w:r w:rsidR="00C53E98" w:rsidRPr="00287C00">
        <w:rPr>
          <w:i/>
          <w:sz w:val="20"/>
          <w:szCs w:val="20"/>
        </w:rPr>
        <w:t xml:space="preserve">trega la </w:t>
      </w:r>
      <w:proofErr w:type="spellStart"/>
      <w:r w:rsidR="00C53E98" w:rsidRPr="00287C00">
        <w:rPr>
          <w:i/>
          <w:sz w:val="20"/>
          <w:szCs w:val="20"/>
        </w:rPr>
        <w:t>informacion</w:t>
      </w:r>
      <w:proofErr w:type="spellEnd"/>
      <w:r w:rsidR="00C53E98" w:rsidRPr="00287C00">
        <w:rPr>
          <w:i/>
          <w:sz w:val="20"/>
          <w:szCs w:val="20"/>
        </w:rPr>
        <w:t xml:space="preserve"> solicitada</w:t>
      </w:r>
      <w:r w:rsidR="00252D61" w:rsidRPr="00287C00">
        <w:rPr>
          <w:i/>
          <w:sz w:val="20"/>
          <w:szCs w:val="20"/>
        </w:rPr>
        <w:t>.” (Sic.)</w:t>
      </w:r>
    </w:p>
    <w:p w14:paraId="46D20410" w14:textId="77777777" w:rsidR="00252D61" w:rsidRPr="00287C00" w:rsidRDefault="00252D61" w:rsidP="00287C00">
      <w:pPr>
        <w:spacing w:after="0" w:line="360" w:lineRule="auto"/>
        <w:ind w:left="567" w:right="567"/>
        <w:rPr>
          <w:i/>
          <w:sz w:val="20"/>
          <w:szCs w:val="20"/>
        </w:rPr>
      </w:pPr>
    </w:p>
    <w:p w14:paraId="01F2B2AE" w14:textId="77777777" w:rsidR="00252D61" w:rsidRPr="00287C00" w:rsidRDefault="00252D61" w:rsidP="00287C00">
      <w:pPr>
        <w:spacing w:after="0" w:line="360" w:lineRule="auto"/>
        <w:ind w:left="567" w:right="567"/>
        <w:rPr>
          <w:b/>
          <w:i/>
          <w:sz w:val="20"/>
          <w:szCs w:val="20"/>
        </w:rPr>
      </w:pPr>
      <w:r w:rsidRPr="00287C00">
        <w:rPr>
          <w:b/>
          <w:i/>
          <w:sz w:val="20"/>
          <w:szCs w:val="20"/>
        </w:rPr>
        <w:t>“RAZONES O MOTIVOS DE LA INCONFORMIDAD</w:t>
      </w:r>
    </w:p>
    <w:p w14:paraId="56BD8105" w14:textId="77777777" w:rsidR="00252D61" w:rsidRPr="00287C00" w:rsidRDefault="00A17F83" w:rsidP="00287C00">
      <w:pPr>
        <w:spacing w:after="0" w:line="360" w:lineRule="auto"/>
        <w:ind w:left="567" w:right="567"/>
        <w:rPr>
          <w:i/>
          <w:sz w:val="20"/>
          <w:szCs w:val="20"/>
        </w:rPr>
      </w:pPr>
      <w:r w:rsidRPr="00287C00">
        <w:rPr>
          <w:i/>
          <w:sz w:val="20"/>
          <w:szCs w:val="20"/>
        </w:rPr>
        <w:t>Un nómina es infor</w:t>
      </w:r>
      <w:r w:rsidR="00C53E98" w:rsidRPr="00287C00">
        <w:rPr>
          <w:i/>
          <w:sz w:val="20"/>
          <w:szCs w:val="20"/>
        </w:rPr>
        <w:t>mación pública y no al entregan.</w:t>
      </w:r>
      <w:r w:rsidR="00252D61" w:rsidRPr="00287C00">
        <w:rPr>
          <w:i/>
          <w:sz w:val="20"/>
          <w:szCs w:val="20"/>
        </w:rPr>
        <w:t>” (Sic.)</w:t>
      </w:r>
    </w:p>
    <w:p w14:paraId="3F0B856B" w14:textId="77777777" w:rsidR="00252D61" w:rsidRPr="00287C00" w:rsidRDefault="00252D61" w:rsidP="00287C00">
      <w:pPr>
        <w:spacing w:after="0" w:line="360" w:lineRule="auto"/>
      </w:pPr>
    </w:p>
    <w:p w14:paraId="380A3A3B" w14:textId="77777777" w:rsidR="00252D61" w:rsidRPr="00287C00" w:rsidRDefault="00252D61" w:rsidP="00287C00">
      <w:pPr>
        <w:spacing w:after="0" w:line="360" w:lineRule="auto"/>
        <w:rPr>
          <w:b/>
          <w:bCs/>
        </w:rPr>
      </w:pPr>
      <w:r w:rsidRPr="00287C00">
        <w:rPr>
          <w:b/>
        </w:rPr>
        <w:t xml:space="preserve">IV. </w:t>
      </w:r>
      <w:r w:rsidRPr="00287C00">
        <w:rPr>
          <w:b/>
          <w:bCs/>
        </w:rPr>
        <w:t xml:space="preserve">Trámite del </w:t>
      </w:r>
      <w:r w:rsidRPr="00287C00">
        <w:rPr>
          <w:b/>
        </w:rPr>
        <w:t xml:space="preserve">Recurso de Revisión </w:t>
      </w:r>
      <w:r w:rsidRPr="00287C00">
        <w:rPr>
          <w:b/>
          <w:bCs/>
        </w:rPr>
        <w:t>ante este Instituto.</w:t>
      </w:r>
    </w:p>
    <w:p w14:paraId="7B68B389" w14:textId="77777777" w:rsidR="00252D61" w:rsidRPr="00287C00" w:rsidRDefault="00252D61" w:rsidP="00287C00">
      <w:pPr>
        <w:spacing w:after="0" w:line="360" w:lineRule="auto"/>
        <w:rPr>
          <w:b/>
          <w:bCs/>
        </w:rPr>
      </w:pPr>
    </w:p>
    <w:p w14:paraId="7ABC8142" w14:textId="77777777" w:rsidR="00252D61" w:rsidRPr="00287C00" w:rsidRDefault="00252D61" w:rsidP="00287C00">
      <w:pPr>
        <w:spacing w:after="0" w:line="360" w:lineRule="auto"/>
        <w:rPr>
          <w:b/>
          <w:bCs/>
        </w:rPr>
      </w:pPr>
      <w:r w:rsidRPr="00287C00">
        <w:rPr>
          <w:b/>
          <w:bCs/>
        </w:rPr>
        <w:t xml:space="preserve">a) Turno del Medio de Impugnación. </w:t>
      </w:r>
      <w:r w:rsidRPr="00287C00">
        <w:rPr>
          <w:bCs/>
        </w:rPr>
        <w:t xml:space="preserve">El </w:t>
      </w:r>
      <w:r w:rsidR="00A17F83" w:rsidRPr="00287C00">
        <w:rPr>
          <w:bCs/>
        </w:rPr>
        <w:t>veintiuno de enero de dos mil veintidós</w:t>
      </w:r>
      <w:r w:rsidRPr="00287C00">
        <w:rPr>
          <w:bCs/>
        </w:rPr>
        <w:t xml:space="preserve">, el </w:t>
      </w:r>
      <w:r w:rsidRPr="00287C00">
        <w:rPr>
          <w:lang w:val="es-ES"/>
        </w:rPr>
        <w:t>Sistema de Acceso a la Información Mexiquense (SAIMEX),</w:t>
      </w:r>
      <w:r w:rsidRPr="00287C00">
        <w:rPr>
          <w:bCs/>
        </w:rPr>
        <w:t xml:space="preserve"> asignó el número de expediente </w:t>
      </w:r>
      <w:r w:rsidRPr="00287C00">
        <w:rPr>
          <w:b/>
          <w:bCs/>
        </w:rPr>
        <w:t>00251/INFOEM/IP/RR/2022</w:t>
      </w:r>
      <w:r w:rsidRPr="00287C00">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CB7AFCC" w14:textId="77777777" w:rsidR="00252D61" w:rsidRPr="00287C00" w:rsidRDefault="00252D61" w:rsidP="00287C00">
      <w:pPr>
        <w:spacing w:after="0" w:line="360" w:lineRule="auto"/>
        <w:rPr>
          <w:bCs/>
        </w:rPr>
      </w:pPr>
    </w:p>
    <w:p w14:paraId="1DDFF177" w14:textId="77777777" w:rsidR="00252D61" w:rsidRPr="00287C00" w:rsidRDefault="00252D61" w:rsidP="00287C00">
      <w:pPr>
        <w:spacing w:after="0" w:line="360" w:lineRule="auto"/>
      </w:pPr>
      <w:r w:rsidRPr="00287C00">
        <w:rPr>
          <w:b/>
          <w:bCs/>
        </w:rPr>
        <w:t>b) Admisión del Recurso de Revisión</w:t>
      </w:r>
      <w:r w:rsidRPr="00287C00">
        <w:rPr>
          <w:b/>
          <w:bCs/>
          <w:lang w:val="es-ES_tradnl"/>
        </w:rPr>
        <w:t xml:space="preserve">. </w:t>
      </w:r>
      <w:r w:rsidRPr="00287C00">
        <w:rPr>
          <w:bCs/>
          <w:lang w:val="es-ES_tradnl"/>
        </w:rPr>
        <w:t xml:space="preserve">El </w:t>
      </w:r>
      <w:r w:rsidR="00A17F83" w:rsidRPr="00287C00">
        <w:rPr>
          <w:bCs/>
        </w:rPr>
        <w:t>veintiséis de enero de dos mil veintidós</w:t>
      </w:r>
      <w:r w:rsidRPr="00287C00">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33F193B" w14:textId="77777777" w:rsidR="00252D61" w:rsidRPr="00287C00" w:rsidRDefault="00252D61" w:rsidP="00287C00">
      <w:pPr>
        <w:spacing w:after="0" w:line="360" w:lineRule="auto"/>
      </w:pPr>
    </w:p>
    <w:p w14:paraId="16B7AC5A" w14:textId="14B09AA7" w:rsidR="00A17F83" w:rsidRPr="00287C00" w:rsidRDefault="00252D61" w:rsidP="00287C00">
      <w:pPr>
        <w:spacing w:after="0" w:line="360" w:lineRule="auto"/>
      </w:pPr>
      <w:r w:rsidRPr="00287C00">
        <w:rPr>
          <w:b/>
        </w:rPr>
        <w:lastRenderedPageBreak/>
        <w:t>c) Informe Justificado</w:t>
      </w:r>
      <w:r w:rsidR="00B04927" w:rsidRPr="00287C00">
        <w:rPr>
          <w:b/>
        </w:rPr>
        <w:t xml:space="preserve"> o Manifestaciones</w:t>
      </w:r>
      <w:r w:rsidRPr="00287C00">
        <w:rPr>
          <w:b/>
        </w:rPr>
        <w:t xml:space="preserve">. </w:t>
      </w:r>
      <w:r w:rsidR="00B04927" w:rsidRPr="00287C00">
        <w:t>L</w:t>
      </w:r>
      <w:r w:rsidR="00A17F83" w:rsidRPr="00287C00">
        <w:t>as partes fueron omisas en realizar manifestaciones</w:t>
      </w:r>
      <w:r w:rsidR="00B04927" w:rsidRPr="00287C00">
        <w:t xml:space="preserve"> o alegatos</w:t>
      </w:r>
    </w:p>
    <w:p w14:paraId="1F5BA9DA" w14:textId="77777777" w:rsidR="00252D61" w:rsidRPr="00287C00" w:rsidRDefault="00252D61" w:rsidP="00287C00">
      <w:pPr>
        <w:spacing w:after="0" w:line="360" w:lineRule="auto"/>
        <w:rPr>
          <w:rFonts w:eastAsia="Palatino Linotype" w:cs="Palatino Linotype"/>
          <w:b/>
          <w:bCs/>
        </w:rPr>
      </w:pPr>
    </w:p>
    <w:p w14:paraId="1A8FC9AB" w14:textId="77777777" w:rsidR="00252D61" w:rsidRPr="00287C00" w:rsidRDefault="00C53E98" w:rsidP="00287C00">
      <w:pPr>
        <w:spacing w:after="0" w:line="360" w:lineRule="auto"/>
        <w:rPr>
          <w:rFonts w:eastAsia="Palatino Linotype" w:cs="Palatino Linotype"/>
          <w:b/>
          <w:bCs/>
        </w:rPr>
      </w:pPr>
      <w:r w:rsidRPr="00287C00">
        <w:rPr>
          <w:rFonts w:eastAsia="Times New Roman" w:cs="Tahoma"/>
          <w:b/>
          <w:color w:val="auto"/>
          <w:szCs w:val="24"/>
          <w:lang w:eastAsia="es-ES"/>
        </w:rPr>
        <w:t>d</w:t>
      </w:r>
      <w:r w:rsidR="00252D61" w:rsidRPr="00287C00">
        <w:rPr>
          <w:rFonts w:eastAsia="Times New Roman" w:cs="Tahoma"/>
          <w:b/>
          <w:color w:val="auto"/>
          <w:szCs w:val="24"/>
          <w:lang w:eastAsia="es-ES"/>
        </w:rPr>
        <w:t>) Cierre de instrucción.</w:t>
      </w:r>
      <w:r w:rsidR="00252D61" w:rsidRPr="00287C00">
        <w:rPr>
          <w:rFonts w:eastAsia="Times New Roman" w:cs="Tahoma"/>
          <w:color w:val="auto"/>
          <w:szCs w:val="24"/>
          <w:lang w:eastAsia="es-ES"/>
        </w:rPr>
        <w:t xml:space="preserve"> El </w:t>
      </w:r>
      <w:r w:rsidRPr="00287C00">
        <w:rPr>
          <w:rFonts w:eastAsia="Times New Roman" w:cs="Tahoma"/>
          <w:color w:val="auto"/>
          <w:szCs w:val="24"/>
          <w:lang w:eastAsia="es-ES"/>
        </w:rPr>
        <w:t>veinticinco de febrero de dos mil veintidós</w:t>
      </w:r>
      <w:r w:rsidR="00252D61" w:rsidRPr="00287C00">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252D61" w:rsidRPr="00287C00">
        <w:rPr>
          <w:rFonts w:eastAsia="Palatino Linotype" w:cs="Palatino Linotype"/>
          <w:lang w:val="es-ES"/>
        </w:rPr>
        <w:t>acto que fue notificado a las partes, mediante el Sistema de Acceso a la Información Mexiquense (SAIMEX</w:t>
      </w:r>
      <w:r w:rsidRPr="00287C00">
        <w:rPr>
          <w:rFonts w:eastAsia="Palatino Linotype" w:cs="Palatino Linotype"/>
          <w:lang w:val="es-ES"/>
        </w:rPr>
        <w:t xml:space="preserve">). </w:t>
      </w:r>
    </w:p>
    <w:p w14:paraId="193864D0" w14:textId="77777777" w:rsidR="00252D61" w:rsidRPr="00287C00" w:rsidRDefault="00252D61" w:rsidP="00287C00">
      <w:pPr>
        <w:spacing w:after="0" w:line="360" w:lineRule="auto"/>
        <w:rPr>
          <w:rFonts w:eastAsia="Times New Roman" w:cs="Tahoma"/>
          <w:color w:val="auto"/>
          <w:szCs w:val="24"/>
          <w:lang w:eastAsia="es-ES"/>
        </w:rPr>
      </w:pPr>
    </w:p>
    <w:p w14:paraId="2380422D" w14:textId="77777777" w:rsidR="00252D61" w:rsidRPr="00287C00" w:rsidRDefault="00252D61" w:rsidP="00287C00">
      <w:pPr>
        <w:spacing w:after="0" w:line="360" w:lineRule="auto"/>
        <w:rPr>
          <w:rFonts w:eastAsia="Times New Roman" w:cs="Tahoma"/>
          <w:color w:val="auto"/>
          <w:szCs w:val="24"/>
          <w:lang w:eastAsia="es-ES"/>
        </w:rPr>
      </w:pPr>
      <w:r w:rsidRPr="00287C00">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0A777E2F" w14:textId="77777777" w:rsidR="00252D61" w:rsidRPr="00287C00" w:rsidRDefault="00252D61" w:rsidP="00287C00">
      <w:pPr>
        <w:spacing w:after="0" w:line="360" w:lineRule="auto"/>
        <w:rPr>
          <w:rFonts w:eastAsia="Times New Roman" w:cs="Tahoma"/>
          <w:bCs/>
          <w:iCs/>
          <w:color w:val="auto"/>
          <w:lang w:val="es-ES" w:eastAsia="es-ES"/>
        </w:rPr>
      </w:pPr>
    </w:p>
    <w:p w14:paraId="25308FA4" w14:textId="77777777" w:rsidR="00252D61" w:rsidRPr="00287C00" w:rsidRDefault="00252D61" w:rsidP="00287C00">
      <w:pPr>
        <w:spacing w:after="0" w:line="360" w:lineRule="auto"/>
        <w:jc w:val="center"/>
        <w:rPr>
          <w:rFonts w:eastAsia="Times New Roman" w:cs="Tahoma"/>
          <w:b/>
          <w:color w:val="auto"/>
          <w:lang w:val="es-ES" w:eastAsia="es-ES"/>
        </w:rPr>
      </w:pPr>
      <w:r w:rsidRPr="00287C00">
        <w:rPr>
          <w:rFonts w:eastAsia="Times New Roman" w:cs="Tahoma"/>
          <w:b/>
          <w:color w:val="auto"/>
          <w:lang w:val="es-ES" w:eastAsia="es-ES"/>
        </w:rPr>
        <w:t>C O N S I D E R A N D O S:</w:t>
      </w:r>
    </w:p>
    <w:p w14:paraId="530353C1" w14:textId="77777777" w:rsidR="00252D61" w:rsidRPr="00287C00" w:rsidRDefault="00252D61" w:rsidP="00287C00">
      <w:pPr>
        <w:spacing w:after="0" w:line="360" w:lineRule="auto"/>
        <w:rPr>
          <w:b/>
        </w:rPr>
      </w:pPr>
    </w:p>
    <w:p w14:paraId="41B0F066" w14:textId="77777777" w:rsidR="00252D61" w:rsidRPr="00287C00" w:rsidRDefault="00252D61" w:rsidP="00287C00">
      <w:pPr>
        <w:autoSpaceDE w:val="0"/>
        <w:autoSpaceDN w:val="0"/>
        <w:adjustRightInd w:val="0"/>
        <w:spacing w:after="0" w:line="360" w:lineRule="auto"/>
        <w:rPr>
          <w:rFonts w:eastAsia="Times New Roman" w:cs="Tahoma"/>
          <w:b/>
          <w:color w:val="auto"/>
          <w:szCs w:val="24"/>
          <w:lang w:val="es-ES" w:eastAsia="es-ES"/>
        </w:rPr>
      </w:pPr>
      <w:r w:rsidRPr="00287C00">
        <w:rPr>
          <w:rFonts w:eastAsia="Calibri" w:cs="Tahoma"/>
          <w:b/>
          <w:color w:val="000000"/>
          <w:szCs w:val="24"/>
          <w:lang w:val="es-ES" w:eastAsia="es-MX"/>
        </w:rPr>
        <w:t>PRIMERO</w:t>
      </w:r>
      <w:r w:rsidRPr="00287C00">
        <w:rPr>
          <w:rFonts w:eastAsia="Calibri" w:cs="Tahoma"/>
          <w:color w:val="000000"/>
          <w:szCs w:val="24"/>
          <w:lang w:val="es-ES" w:eastAsia="es-MX"/>
        </w:rPr>
        <w:t xml:space="preserve">. </w:t>
      </w:r>
      <w:r w:rsidRPr="00287C00">
        <w:rPr>
          <w:rFonts w:eastAsia="Times New Roman" w:cs="Tahoma"/>
          <w:b/>
          <w:color w:val="auto"/>
          <w:szCs w:val="24"/>
          <w:lang w:val="es-ES" w:eastAsia="es-ES"/>
        </w:rPr>
        <w:t>Competencia.</w:t>
      </w:r>
    </w:p>
    <w:p w14:paraId="3C03585D" w14:textId="77777777" w:rsidR="00252D61" w:rsidRPr="00287C00" w:rsidRDefault="00252D61" w:rsidP="00287C00">
      <w:pPr>
        <w:autoSpaceDE w:val="0"/>
        <w:autoSpaceDN w:val="0"/>
        <w:adjustRightInd w:val="0"/>
        <w:spacing w:after="0" w:line="360" w:lineRule="auto"/>
        <w:rPr>
          <w:rFonts w:eastAsia="Times New Roman" w:cs="Tahoma"/>
          <w:b/>
          <w:color w:val="auto"/>
          <w:szCs w:val="24"/>
          <w:lang w:val="es-ES" w:eastAsia="es-ES"/>
        </w:rPr>
      </w:pPr>
    </w:p>
    <w:p w14:paraId="6761C36C" w14:textId="77777777" w:rsidR="00252D61" w:rsidRPr="00287C00" w:rsidRDefault="00252D61" w:rsidP="00287C00">
      <w:pPr>
        <w:spacing w:after="0" w:line="360" w:lineRule="auto"/>
        <w:rPr>
          <w:rFonts w:eastAsia="Times New Roman" w:cs="Tahoma"/>
          <w:bCs/>
          <w:color w:val="auto"/>
          <w:lang w:eastAsia="es-ES"/>
        </w:rPr>
      </w:pPr>
      <w:r w:rsidRPr="00287C00">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287C00">
        <w:rPr>
          <w:rFonts w:eastAsia="Times New Roman" w:cs="Tahoma"/>
          <w:bCs/>
          <w:color w:val="auto"/>
          <w:lang w:eastAsia="es-ES"/>
        </w:rPr>
        <w:t>trig</w:t>
      </w:r>
      <w:r w:rsidRPr="00287C00">
        <w:rPr>
          <w:rFonts w:eastAsia="Times New Roman" w:cs="Tahoma"/>
          <w:bCs/>
          <w:color w:val="auto"/>
          <w:lang w:val="x-none" w:eastAsia="es-ES"/>
        </w:rPr>
        <w:t>ésimo</w:t>
      </w:r>
      <w:proofErr w:type="spellEnd"/>
      <w:r w:rsidRPr="00287C00">
        <w:rPr>
          <w:rFonts w:eastAsia="Times New Roman" w:cs="Tahoma"/>
          <w:bCs/>
          <w:color w:val="auto"/>
          <w:lang w:val="x-none" w:eastAsia="es-ES"/>
        </w:rPr>
        <w:t>, trigésimo primero</w:t>
      </w:r>
      <w:r w:rsidRPr="00287C00">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87C00">
        <w:rPr>
          <w:rFonts w:eastAsia="Times New Roman" w:cs="Times New Roman"/>
          <w:bCs/>
          <w:color w:val="auto"/>
          <w:lang w:eastAsia="es-ES"/>
        </w:rPr>
        <w:t xml:space="preserve"> 7°, </w:t>
      </w:r>
      <w:r w:rsidRPr="00287C00">
        <w:rPr>
          <w:rFonts w:eastAsia="Times New Roman" w:cs="Tahoma"/>
          <w:bCs/>
          <w:color w:val="auto"/>
          <w:lang w:eastAsia="es-ES"/>
        </w:rPr>
        <w:t xml:space="preserve">9°, </w:t>
      </w:r>
      <w:r w:rsidRPr="00287C00">
        <w:rPr>
          <w:rFonts w:eastAsia="Times New Roman" w:cs="Tahoma"/>
          <w:bCs/>
          <w:color w:val="auto"/>
          <w:lang w:eastAsia="es-ES"/>
        </w:rPr>
        <w:lastRenderedPageBreak/>
        <w:t>fracciones I y XXIV y 11 del Reglamento Interior del Instituto de Transparencia, Acceso a la Información Pública y Protección de Datos Personales del Estado de México y Municipios.</w:t>
      </w:r>
    </w:p>
    <w:p w14:paraId="2C92E5B2" w14:textId="77777777" w:rsidR="00252D61" w:rsidRPr="00287C00" w:rsidRDefault="00252D61" w:rsidP="00287C00">
      <w:pPr>
        <w:spacing w:after="0" w:line="360" w:lineRule="auto"/>
        <w:rPr>
          <w:rFonts w:eastAsia="Times New Roman" w:cs="Tahoma"/>
          <w:bCs/>
          <w:color w:val="auto"/>
          <w:lang w:eastAsia="es-ES"/>
        </w:rPr>
      </w:pPr>
    </w:p>
    <w:p w14:paraId="1A82A0E1" w14:textId="77777777" w:rsidR="00252D61" w:rsidRPr="00287C00" w:rsidRDefault="00252D61" w:rsidP="00287C00">
      <w:pPr>
        <w:autoSpaceDE w:val="0"/>
        <w:autoSpaceDN w:val="0"/>
        <w:adjustRightInd w:val="0"/>
        <w:spacing w:after="0" w:line="360" w:lineRule="auto"/>
        <w:rPr>
          <w:rFonts w:eastAsia="Times New Roman" w:cs="Tahoma"/>
          <w:color w:val="auto"/>
          <w:szCs w:val="24"/>
          <w:lang w:val="es-ES" w:eastAsia="es-ES"/>
        </w:rPr>
      </w:pPr>
      <w:r w:rsidRPr="00287C00">
        <w:rPr>
          <w:rFonts w:eastAsia="Calibri" w:cs="Tahoma"/>
          <w:b/>
          <w:color w:val="000000"/>
          <w:szCs w:val="24"/>
          <w:lang w:val="es-ES" w:eastAsia="es-MX"/>
        </w:rPr>
        <w:t>SEGUNDO</w:t>
      </w:r>
      <w:r w:rsidRPr="00287C00">
        <w:rPr>
          <w:rFonts w:eastAsia="Calibri" w:cs="Tahoma"/>
          <w:color w:val="000000"/>
          <w:szCs w:val="24"/>
          <w:lang w:val="es-ES" w:eastAsia="es-MX"/>
        </w:rPr>
        <w:t xml:space="preserve">. </w:t>
      </w:r>
      <w:r w:rsidRPr="00287C00">
        <w:rPr>
          <w:rFonts w:eastAsia="Times New Roman" w:cs="Tahoma"/>
          <w:b/>
          <w:color w:val="auto"/>
          <w:szCs w:val="24"/>
          <w:lang w:val="es-ES" w:eastAsia="es-ES"/>
        </w:rPr>
        <w:t>Causales de improcedencia y sobreseimiento.</w:t>
      </w:r>
      <w:r w:rsidRPr="00287C00">
        <w:rPr>
          <w:rFonts w:eastAsia="Times New Roman" w:cs="Tahoma"/>
          <w:color w:val="auto"/>
          <w:szCs w:val="24"/>
          <w:lang w:val="es-ES" w:eastAsia="es-ES"/>
        </w:rPr>
        <w:t xml:space="preserve"> </w:t>
      </w:r>
    </w:p>
    <w:p w14:paraId="20628898" w14:textId="77777777" w:rsidR="00252D61" w:rsidRPr="00287C00" w:rsidRDefault="00252D61" w:rsidP="00287C00">
      <w:pPr>
        <w:autoSpaceDE w:val="0"/>
        <w:autoSpaceDN w:val="0"/>
        <w:adjustRightInd w:val="0"/>
        <w:spacing w:after="0" w:line="360" w:lineRule="auto"/>
        <w:rPr>
          <w:rFonts w:eastAsia="Times New Roman" w:cs="Tahoma"/>
          <w:color w:val="auto"/>
          <w:szCs w:val="24"/>
          <w:lang w:val="es-ES" w:eastAsia="es-ES"/>
        </w:rPr>
      </w:pPr>
    </w:p>
    <w:p w14:paraId="7F1EF32D" w14:textId="77777777" w:rsidR="00252D61" w:rsidRPr="00287C00" w:rsidRDefault="00252D61" w:rsidP="00287C00">
      <w:pPr>
        <w:autoSpaceDE w:val="0"/>
        <w:autoSpaceDN w:val="0"/>
        <w:adjustRightInd w:val="0"/>
        <w:spacing w:after="0" w:line="360" w:lineRule="auto"/>
        <w:rPr>
          <w:rFonts w:eastAsia="Times New Roman" w:cs="Tahoma"/>
          <w:color w:val="auto"/>
          <w:szCs w:val="24"/>
          <w:lang w:val="es-ES" w:eastAsia="es-ES"/>
        </w:rPr>
      </w:pPr>
      <w:r w:rsidRPr="00287C00">
        <w:rPr>
          <w:rFonts w:eastAsia="Times New Roman" w:cs="Tahoma"/>
          <w:color w:val="auto"/>
          <w:szCs w:val="24"/>
          <w:lang w:val="es-ES" w:eastAsia="es-ES"/>
        </w:rPr>
        <w:t xml:space="preserve">De las constancias que forma parte del Recurso de Revisión que se analiza, se advierte que previo al estudio del fondo de la </w:t>
      </w:r>
      <w:r w:rsidRPr="00287C00">
        <w:rPr>
          <w:rFonts w:eastAsia="Times New Roman" w:cs="Tahoma"/>
          <w:i/>
          <w:color w:val="auto"/>
          <w:szCs w:val="24"/>
          <w:lang w:val="es-ES" w:eastAsia="es-ES"/>
        </w:rPr>
        <w:t>litis</w:t>
      </w:r>
      <w:r w:rsidRPr="00287C00">
        <w:rPr>
          <w:rFonts w:eastAsia="Times New Roman" w:cs="Tahoma"/>
          <w:color w:val="auto"/>
          <w:szCs w:val="24"/>
          <w:lang w:val="es-ES" w:eastAsia="es-ES"/>
        </w:rPr>
        <w:t>, es necesario estudiar las causales de improcedencia y sobreseimiento que se adviertan, para determinar lo que en Derecho proceda.</w:t>
      </w:r>
    </w:p>
    <w:p w14:paraId="6163FBE2" w14:textId="77777777" w:rsidR="00252D61" w:rsidRPr="00287C00" w:rsidRDefault="00252D61" w:rsidP="00287C00">
      <w:pPr>
        <w:autoSpaceDE w:val="0"/>
        <w:autoSpaceDN w:val="0"/>
        <w:adjustRightInd w:val="0"/>
        <w:spacing w:after="0" w:line="360" w:lineRule="auto"/>
        <w:rPr>
          <w:rFonts w:eastAsia="Times New Roman" w:cs="Tahoma"/>
          <w:color w:val="auto"/>
          <w:szCs w:val="24"/>
          <w:lang w:val="es-ES" w:eastAsia="es-ES"/>
        </w:rPr>
      </w:pPr>
    </w:p>
    <w:p w14:paraId="53C2F4BA" w14:textId="77777777" w:rsidR="00252D61" w:rsidRPr="00287C00" w:rsidRDefault="00252D61" w:rsidP="00287C00">
      <w:pPr>
        <w:autoSpaceDE w:val="0"/>
        <w:autoSpaceDN w:val="0"/>
        <w:adjustRightInd w:val="0"/>
        <w:spacing w:after="0" w:line="360" w:lineRule="auto"/>
        <w:rPr>
          <w:rFonts w:eastAsia="Calibri" w:cs="Tahoma"/>
          <w:color w:val="000000"/>
          <w:szCs w:val="24"/>
          <w:lang w:val="es-ES" w:eastAsia="es-MX"/>
        </w:rPr>
      </w:pPr>
      <w:r w:rsidRPr="00287C00">
        <w:rPr>
          <w:rFonts w:eastAsia="Calibri" w:cs="Tahoma"/>
          <w:b/>
          <w:color w:val="000000"/>
          <w:szCs w:val="24"/>
          <w:lang w:val="es-ES" w:eastAsia="es-MX"/>
        </w:rPr>
        <w:t>Causales de improcedencia.</w:t>
      </w:r>
      <w:r w:rsidRPr="00287C00">
        <w:rPr>
          <w:rFonts w:eastAsia="Calibri" w:cs="Tahoma"/>
          <w:color w:val="000000"/>
          <w:szCs w:val="24"/>
          <w:lang w:val="es-ES" w:eastAsia="es-MX"/>
        </w:rPr>
        <w:t xml:space="preserve"> </w:t>
      </w:r>
    </w:p>
    <w:p w14:paraId="7933656C" w14:textId="77777777" w:rsidR="00252D61" w:rsidRPr="00287C00" w:rsidRDefault="00252D61" w:rsidP="00287C00">
      <w:pPr>
        <w:autoSpaceDE w:val="0"/>
        <w:autoSpaceDN w:val="0"/>
        <w:adjustRightInd w:val="0"/>
        <w:spacing w:after="0" w:line="360" w:lineRule="auto"/>
        <w:rPr>
          <w:rFonts w:eastAsia="Calibri" w:cs="Tahoma"/>
          <w:color w:val="000000"/>
          <w:szCs w:val="24"/>
          <w:lang w:val="es-ES" w:eastAsia="es-MX"/>
        </w:rPr>
      </w:pPr>
    </w:p>
    <w:p w14:paraId="43C6E8FB" w14:textId="77777777" w:rsidR="00252D61" w:rsidRPr="00287C00" w:rsidRDefault="00252D61" w:rsidP="00287C00">
      <w:pPr>
        <w:autoSpaceDE w:val="0"/>
        <w:autoSpaceDN w:val="0"/>
        <w:adjustRightInd w:val="0"/>
        <w:spacing w:after="0" w:line="360" w:lineRule="auto"/>
        <w:rPr>
          <w:rFonts w:eastAsia="Calibri" w:cs="Tahoma"/>
          <w:color w:val="000000"/>
          <w:lang w:val="es-ES" w:eastAsia="es-MX"/>
        </w:rPr>
      </w:pPr>
      <w:r w:rsidRPr="00287C00">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287C00">
        <w:rPr>
          <w:rFonts w:eastAsia="Calibri" w:cs="Tahoma"/>
          <w:b/>
          <w:bCs/>
          <w:color w:val="000000"/>
          <w:lang w:eastAsia="es-MX"/>
        </w:rPr>
        <w:t xml:space="preserve"> </w:t>
      </w:r>
      <w:r w:rsidRPr="00287C00">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40E4ABB1" w14:textId="77777777" w:rsidR="00252D61" w:rsidRPr="00287C00" w:rsidRDefault="00252D61" w:rsidP="00287C00">
      <w:pPr>
        <w:autoSpaceDE w:val="0"/>
        <w:autoSpaceDN w:val="0"/>
        <w:adjustRightInd w:val="0"/>
        <w:spacing w:after="0" w:line="360" w:lineRule="auto"/>
        <w:rPr>
          <w:rFonts w:eastAsia="Calibri" w:cs="Tahoma"/>
          <w:color w:val="000000"/>
          <w:lang w:eastAsia="es-MX"/>
        </w:rPr>
      </w:pPr>
    </w:p>
    <w:p w14:paraId="1F9B7C38" w14:textId="77777777" w:rsidR="00252D61" w:rsidRPr="00287C00" w:rsidRDefault="00252D61" w:rsidP="00287C00">
      <w:pPr>
        <w:autoSpaceDE w:val="0"/>
        <w:autoSpaceDN w:val="0"/>
        <w:adjustRightInd w:val="0"/>
        <w:spacing w:after="0" w:line="360" w:lineRule="auto"/>
        <w:rPr>
          <w:rFonts w:eastAsia="Calibri" w:cs="Tahoma"/>
          <w:color w:val="000000"/>
          <w:lang w:eastAsia="es-MX"/>
        </w:rPr>
      </w:pPr>
      <w:r w:rsidRPr="00287C00">
        <w:rPr>
          <w:rFonts w:eastAsia="Calibri" w:cs="Tahoma"/>
          <w:color w:val="000000"/>
          <w:lang w:eastAsia="es-MX"/>
        </w:rPr>
        <w:t xml:space="preserve">En el presente caso, </w:t>
      </w:r>
      <w:r w:rsidRPr="00287C00">
        <w:rPr>
          <w:rFonts w:eastAsia="Calibri" w:cs="Tahoma"/>
          <w:b/>
          <w:color w:val="000000"/>
          <w:lang w:eastAsia="es-MX"/>
        </w:rPr>
        <w:t>no se actualiza ninguna de las causales de improcedencia</w:t>
      </w:r>
      <w:r w:rsidRPr="00287C00">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AF93ECC" w14:textId="5629C1B9" w:rsidR="00252D61" w:rsidRPr="00287C00" w:rsidRDefault="00252D61" w:rsidP="00287C00">
      <w:pPr>
        <w:spacing w:after="0" w:line="360" w:lineRule="auto"/>
        <w:rPr>
          <w:rFonts w:eastAsia="Times New Roman" w:cs="Tahoma"/>
          <w:b/>
          <w:bCs/>
          <w:color w:val="auto"/>
          <w:lang w:eastAsia="es-ES"/>
        </w:rPr>
      </w:pPr>
    </w:p>
    <w:p w14:paraId="1AF9B3DF" w14:textId="77777777" w:rsidR="00B04927" w:rsidRPr="00287C00" w:rsidRDefault="00B04927" w:rsidP="00287C00">
      <w:pPr>
        <w:spacing w:after="0" w:line="360" w:lineRule="auto"/>
        <w:rPr>
          <w:rFonts w:eastAsia="Times New Roman" w:cs="Tahoma"/>
          <w:b/>
          <w:bCs/>
          <w:color w:val="auto"/>
          <w:lang w:eastAsia="es-ES"/>
        </w:rPr>
      </w:pPr>
    </w:p>
    <w:p w14:paraId="36EAD268" w14:textId="77777777" w:rsidR="00252D61" w:rsidRPr="00287C00" w:rsidRDefault="00252D61" w:rsidP="00287C00">
      <w:pPr>
        <w:spacing w:after="0" w:line="360" w:lineRule="auto"/>
        <w:rPr>
          <w:rFonts w:eastAsia="Times New Roman" w:cs="Tahoma"/>
          <w:color w:val="auto"/>
          <w:lang w:eastAsia="es-ES"/>
        </w:rPr>
      </w:pPr>
      <w:r w:rsidRPr="00287C00">
        <w:rPr>
          <w:rFonts w:eastAsia="Times New Roman" w:cs="Tahoma"/>
          <w:color w:val="auto"/>
          <w:lang w:eastAsia="es-ES"/>
        </w:rPr>
        <w:t>Asimismo, se actualiza la causal de procedencia del Recurso de Revisión señalada en el artículo 179, fracciones V</w:t>
      </w:r>
      <w:r w:rsidR="00C53E98" w:rsidRPr="00287C00">
        <w:rPr>
          <w:rFonts w:eastAsia="Times New Roman" w:cs="Tahoma"/>
          <w:color w:val="auto"/>
          <w:lang w:eastAsia="es-ES"/>
        </w:rPr>
        <w:t>I</w:t>
      </w:r>
      <w:r w:rsidRPr="00287C00">
        <w:rPr>
          <w:rFonts w:eastAsia="Times New Roman" w:cs="Tahoma"/>
          <w:color w:val="auto"/>
          <w:lang w:eastAsia="es-ES"/>
        </w:rPr>
        <w:t xml:space="preserve">, de la Ley en cita, </w:t>
      </w:r>
      <w:r w:rsidRPr="00287C00">
        <w:rPr>
          <w:rFonts w:eastAsia="Calibri" w:cs="Tahoma"/>
          <w:color w:val="000000"/>
          <w:lang w:eastAsia="es-MX"/>
        </w:rPr>
        <w:t xml:space="preserve">pues la Recurrente se inconformó </w:t>
      </w:r>
      <w:r w:rsidRPr="00287C00">
        <w:rPr>
          <w:rFonts w:eastAsia="Times New Roman" w:cs="Tahoma"/>
          <w:color w:val="auto"/>
          <w:lang w:val="es-ES" w:eastAsia="es-ES"/>
        </w:rPr>
        <w:t>con la entrega de información</w:t>
      </w:r>
      <w:r w:rsidRPr="00287C00">
        <w:rPr>
          <w:rFonts w:eastAsia="Times New Roman" w:cs="Tahoma"/>
          <w:color w:val="auto"/>
          <w:lang w:val="x-none" w:eastAsia="es-ES"/>
        </w:rPr>
        <w:t xml:space="preserve"> </w:t>
      </w:r>
      <w:r w:rsidR="00C53E98" w:rsidRPr="00287C00">
        <w:rPr>
          <w:rFonts w:eastAsia="Times New Roman" w:cs="Tahoma"/>
          <w:color w:val="auto"/>
          <w:lang w:eastAsia="es-ES"/>
        </w:rPr>
        <w:t>que no corresponde con lo solicitado.</w:t>
      </w:r>
    </w:p>
    <w:p w14:paraId="69969F65" w14:textId="77777777" w:rsidR="00252D61" w:rsidRPr="00287C00" w:rsidRDefault="00252D61" w:rsidP="00287C00">
      <w:pPr>
        <w:spacing w:after="0" w:line="360" w:lineRule="auto"/>
        <w:rPr>
          <w:rFonts w:eastAsia="Times New Roman" w:cs="Tahoma"/>
          <w:b/>
          <w:bCs/>
          <w:color w:val="auto"/>
          <w:lang w:eastAsia="es-ES"/>
        </w:rPr>
      </w:pPr>
    </w:p>
    <w:p w14:paraId="526DC7B2" w14:textId="77777777" w:rsidR="00252D61" w:rsidRPr="00287C00" w:rsidRDefault="00252D61" w:rsidP="00287C00">
      <w:pPr>
        <w:spacing w:after="0" w:line="360" w:lineRule="auto"/>
        <w:rPr>
          <w:rFonts w:eastAsia="Times New Roman" w:cs="Tahoma"/>
          <w:b/>
          <w:bCs/>
          <w:color w:val="auto"/>
          <w:lang w:eastAsia="es-ES"/>
        </w:rPr>
      </w:pPr>
      <w:r w:rsidRPr="00287C00">
        <w:rPr>
          <w:rFonts w:eastAsia="Times New Roman" w:cs="Tahoma"/>
          <w:b/>
          <w:bCs/>
          <w:color w:val="auto"/>
          <w:lang w:eastAsia="es-ES"/>
        </w:rPr>
        <w:t>Causales de sobreseimiento.</w:t>
      </w:r>
    </w:p>
    <w:p w14:paraId="5892E7FB" w14:textId="77777777" w:rsidR="00252D61" w:rsidRPr="00287C00" w:rsidRDefault="00252D61" w:rsidP="00287C00">
      <w:pPr>
        <w:spacing w:after="0" w:line="360" w:lineRule="auto"/>
        <w:rPr>
          <w:rFonts w:eastAsia="Times New Roman" w:cs="Tahoma"/>
          <w:b/>
          <w:bCs/>
          <w:color w:val="auto"/>
          <w:lang w:eastAsia="es-ES"/>
        </w:rPr>
      </w:pPr>
    </w:p>
    <w:p w14:paraId="16DA6CBD" w14:textId="77777777" w:rsidR="00252D61" w:rsidRPr="00287C00" w:rsidRDefault="00252D61" w:rsidP="00287C00">
      <w:pPr>
        <w:spacing w:after="0" w:line="360" w:lineRule="auto"/>
        <w:rPr>
          <w:rFonts w:eastAsia="Times New Roman" w:cs="Tahoma"/>
          <w:color w:val="auto"/>
          <w:szCs w:val="24"/>
          <w:lang w:eastAsia="es-ES"/>
        </w:rPr>
      </w:pPr>
      <w:r w:rsidRPr="00287C00">
        <w:rPr>
          <w:rFonts w:eastAsia="Times New Roman" w:cs="Tahoma"/>
          <w:color w:val="auto"/>
          <w:szCs w:val="24"/>
          <w:lang w:eastAsia="es-ES"/>
        </w:rPr>
        <w:t>Por ser de previo y especial pronunciamiento, este Instituto analiza si se actualiza alguna causal de sobreseimiento.</w:t>
      </w:r>
    </w:p>
    <w:p w14:paraId="548A5F5B" w14:textId="77777777" w:rsidR="00252D61" w:rsidRPr="00287C00" w:rsidRDefault="00252D61" w:rsidP="00287C00">
      <w:pPr>
        <w:spacing w:after="0" w:line="360" w:lineRule="auto"/>
        <w:rPr>
          <w:rFonts w:eastAsia="Times New Roman" w:cs="Tahoma"/>
          <w:color w:val="auto"/>
          <w:szCs w:val="24"/>
          <w:lang w:eastAsia="es-ES"/>
        </w:rPr>
      </w:pPr>
    </w:p>
    <w:p w14:paraId="5B7917F3" w14:textId="77777777" w:rsidR="00252D61" w:rsidRPr="00287C00" w:rsidRDefault="00252D61" w:rsidP="00287C00">
      <w:pPr>
        <w:spacing w:after="0" w:line="360" w:lineRule="auto"/>
        <w:rPr>
          <w:rFonts w:eastAsia="Times New Roman" w:cs="Tahoma"/>
          <w:color w:val="auto"/>
          <w:szCs w:val="24"/>
          <w:lang w:eastAsia="es-ES"/>
        </w:rPr>
      </w:pPr>
      <w:r w:rsidRPr="00287C00">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F98A2B6" w14:textId="77777777" w:rsidR="00252D61" w:rsidRPr="00287C00" w:rsidRDefault="00252D61" w:rsidP="00287C00">
      <w:pPr>
        <w:spacing w:after="0" w:line="360" w:lineRule="auto"/>
        <w:rPr>
          <w:rFonts w:eastAsia="Times New Roman" w:cs="Tahoma"/>
          <w:color w:val="auto"/>
          <w:szCs w:val="24"/>
          <w:lang w:eastAsia="es-ES"/>
        </w:rPr>
      </w:pPr>
    </w:p>
    <w:p w14:paraId="2DA70D5D" w14:textId="77777777" w:rsidR="00252D61" w:rsidRPr="00287C00" w:rsidRDefault="00252D61" w:rsidP="00287C00">
      <w:pPr>
        <w:spacing w:after="0" w:line="360" w:lineRule="auto"/>
        <w:rPr>
          <w:rFonts w:eastAsia="Times New Roman" w:cs="Tahoma"/>
          <w:color w:val="auto"/>
          <w:szCs w:val="24"/>
          <w:lang w:val="es-ES" w:eastAsia="es-ES"/>
        </w:rPr>
      </w:pPr>
      <w:r w:rsidRPr="00287C00">
        <w:rPr>
          <w:rFonts w:eastAsia="Times New Roman" w:cs="Tahoma"/>
          <w:bCs/>
          <w:color w:val="auto"/>
          <w:szCs w:val="24"/>
          <w:lang w:val="es-ES" w:eastAsia="es-ES"/>
        </w:rPr>
        <w:t xml:space="preserve">Por tales motivos, </w:t>
      </w:r>
      <w:r w:rsidRPr="00287C00">
        <w:rPr>
          <w:rFonts w:eastAsia="Times New Roman" w:cs="Tahoma"/>
          <w:color w:val="auto"/>
          <w:szCs w:val="24"/>
          <w:lang w:val="es-ES" w:eastAsia="es-ES"/>
        </w:rPr>
        <w:t>se considera procedente entrar al fondo del presente asunto.</w:t>
      </w:r>
    </w:p>
    <w:p w14:paraId="7CB87C2D" w14:textId="77777777" w:rsidR="00252D61" w:rsidRPr="00287C00" w:rsidRDefault="00252D61" w:rsidP="00287C00">
      <w:pPr>
        <w:spacing w:after="0" w:line="360" w:lineRule="auto"/>
      </w:pPr>
    </w:p>
    <w:p w14:paraId="4C80D0EB" w14:textId="77777777" w:rsidR="00252D61" w:rsidRPr="00287C00" w:rsidRDefault="00252D61" w:rsidP="00287C00">
      <w:pPr>
        <w:spacing w:after="0" w:line="360" w:lineRule="auto"/>
        <w:rPr>
          <w:rFonts w:eastAsia="Times New Roman" w:cs="Tahoma"/>
          <w:b/>
          <w:bCs/>
          <w:iCs/>
          <w:color w:val="auto"/>
          <w:lang w:val="es-ES" w:eastAsia="es-ES"/>
        </w:rPr>
      </w:pPr>
      <w:r w:rsidRPr="00287C00">
        <w:rPr>
          <w:rFonts w:eastAsia="Times New Roman" w:cs="Tahoma"/>
          <w:b/>
          <w:bCs/>
          <w:iCs/>
          <w:color w:val="auto"/>
          <w:lang w:val="es-ES" w:eastAsia="es-ES"/>
        </w:rPr>
        <w:t xml:space="preserve">TERCERO. Determinación de la Controversia. </w:t>
      </w:r>
    </w:p>
    <w:p w14:paraId="04DBA9E8" w14:textId="77777777" w:rsidR="00252D61" w:rsidRPr="00287C00" w:rsidRDefault="00252D61" w:rsidP="00287C00">
      <w:pPr>
        <w:autoSpaceDE w:val="0"/>
        <w:autoSpaceDN w:val="0"/>
        <w:adjustRightInd w:val="0"/>
        <w:spacing w:after="0" w:line="360" w:lineRule="auto"/>
        <w:rPr>
          <w:rFonts w:eastAsia="Calibri" w:cs="Tahoma"/>
          <w:color w:val="000000"/>
          <w:szCs w:val="24"/>
          <w:lang w:val="es-ES" w:eastAsia="es-MX"/>
        </w:rPr>
      </w:pPr>
    </w:p>
    <w:p w14:paraId="50B1D420" w14:textId="77777777" w:rsidR="00B04927" w:rsidRPr="00287C00" w:rsidRDefault="00252D61" w:rsidP="00287C00">
      <w:pPr>
        <w:autoSpaceDE w:val="0"/>
        <w:autoSpaceDN w:val="0"/>
        <w:adjustRightInd w:val="0"/>
        <w:spacing w:after="0" w:line="360" w:lineRule="auto"/>
        <w:rPr>
          <w:rFonts w:eastAsia="Calibri" w:cs="Tahoma"/>
          <w:color w:val="000000"/>
          <w:szCs w:val="24"/>
          <w:lang w:eastAsia="es-MX"/>
        </w:rPr>
      </w:pPr>
      <w:r w:rsidRPr="00287C00">
        <w:rPr>
          <w:rFonts w:eastAsia="Calibri" w:cs="Tahoma"/>
          <w:color w:val="000000"/>
          <w:szCs w:val="24"/>
          <w:lang w:val="es-ES" w:eastAsia="es-MX"/>
        </w:rPr>
        <w:t xml:space="preserve">Una vez realizado el estudio de las constancias que obran en el expediente electrónico en el que se actúa, se advierte que el Solicitante requirió </w:t>
      </w:r>
      <w:r w:rsidR="008B43AE" w:rsidRPr="00287C00">
        <w:rPr>
          <w:rFonts w:eastAsia="Calibri" w:cs="Tahoma"/>
          <w:color w:val="000000"/>
          <w:szCs w:val="24"/>
          <w:lang w:val="es-ES" w:eastAsia="es-MX"/>
        </w:rPr>
        <w:t xml:space="preserve">la nómina </w:t>
      </w:r>
      <w:r w:rsidR="00B04927" w:rsidRPr="00287C00">
        <w:rPr>
          <w:rFonts w:eastAsia="Calibri" w:cs="Tahoma"/>
          <w:color w:val="000000"/>
          <w:szCs w:val="24"/>
          <w:lang w:val="es-ES" w:eastAsia="es-MX"/>
        </w:rPr>
        <w:t>número veintidós del ejercicio fiscal dos mil veintiuno de todos los</w:t>
      </w:r>
      <w:r w:rsidR="008B43AE" w:rsidRPr="00287C00">
        <w:rPr>
          <w:rFonts w:eastAsia="Calibri" w:cs="Tahoma"/>
          <w:color w:val="000000"/>
          <w:szCs w:val="24"/>
          <w:lang w:val="es-ES" w:eastAsia="es-MX"/>
        </w:rPr>
        <w:t xml:space="preserve"> servidores públicos adscritos a la </w:t>
      </w:r>
      <w:r w:rsidR="008B43AE" w:rsidRPr="00287C00">
        <w:rPr>
          <w:rFonts w:eastAsia="Calibri" w:cs="Tahoma"/>
          <w:color w:val="000000"/>
          <w:szCs w:val="24"/>
          <w:lang w:eastAsia="es-MX"/>
        </w:rPr>
        <w:t>Comisión de Conciliación y Arbitraje Médico del Estado de México</w:t>
      </w:r>
      <w:r w:rsidR="00B04927" w:rsidRPr="00287C00">
        <w:rPr>
          <w:rFonts w:eastAsia="Calibri" w:cs="Tahoma"/>
          <w:color w:val="000000"/>
          <w:szCs w:val="24"/>
          <w:lang w:eastAsia="es-MX"/>
        </w:rPr>
        <w:t>, así como la última conciliación realizada al trece de diciembre de dos mil veintidós</w:t>
      </w:r>
      <w:r w:rsidR="008B43AE" w:rsidRPr="00287C00">
        <w:rPr>
          <w:rFonts w:eastAsia="Calibri" w:cs="Tahoma"/>
          <w:color w:val="000000"/>
          <w:szCs w:val="24"/>
          <w:lang w:eastAsia="es-MX"/>
        </w:rPr>
        <w:t xml:space="preserve">. </w:t>
      </w:r>
    </w:p>
    <w:p w14:paraId="62A16F73" w14:textId="77777777" w:rsidR="00B04927" w:rsidRPr="00287C00" w:rsidRDefault="00B04927" w:rsidP="00287C00">
      <w:pPr>
        <w:autoSpaceDE w:val="0"/>
        <w:autoSpaceDN w:val="0"/>
        <w:adjustRightInd w:val="0"/>
        <w:spacing w:after="0" w:line="360" w:lineRule="auto"/>
        <w:rPr>
          <w:rFonts w:eastAsia="Calibri" w:cs="Tahoma"/>
          <w:color w:val="000000"/>
          <w:szCs w:val="24"/>
          <w:lang w:eastAsia="es-MX"/>
        </w:rPr>
      </w:pPr>
    </w:p>
    <w:p w14:paraId="5AF98647" w14:textId="36CFC9F0" w:rsidR="004A7568" w:rsidRPr="00287C00" w:rsidRDefault="008B43AE" w:rsidP="00287C00">
      <w:pPr>
        <w:autoSpaceDE w:val="0"/>
        <w:autoSpaceDN w:val="0"/>
        <w:adjustRightInd w:val="0"/>
        <w:spacing w:after="0" w:line="360" w:lineRule="auto"/>
        <w:rPr>
          <w:rFonts w:eastAsia="Calibri" w:cs="Tahoma"/>
          <w:color w:val="000000"/>
          <w:szCs w:val="24"/>
          <w:lang w:val="es-ES" w:eastAsia="es-MX"/>
        </w:rPr>
      </w:pPr>
      <w:r w:rsidRPr="00287C00">
        <w:rPr>
          <w:rFonts w:eastAsia="Calibri" w:cs="Tahoma"/>
          <w:color w:val="000000"/>
          <w:szCs w:val="24"/>
          <w:lang w:eastAsia="es-MX"/>
        </w:rPr>
        <w:t xml:space="preserve">En respuesta el Sujeto Obligado manifestó que la solicitud del Particular </w:t>
      </w:r>
      <w:r w:rsidR="00025DD0" w:rsidRPr="00287C00">
        <w:rPr>
          <w:rFonts w:eastAsia="Calibri" w:cs="Tahoma"/>
          <w:color w:val="000000"/>
          <w:szCs w:val="24"/>
          <w:lang w:eastAsia="es-MX"/>
        </w:rPr>
        <w:t>no era concreta</w:t>
      </w:r>
      <w:r w:rsidR="00B04927" w:rsidRPr="00287C00">
        <w:rPr>
          <w:rFonts w:eastAsia="Calibri" w:cs="Tahoma"/>
          <w:color w:val="000000"/>
          <w:szCs w:val="24"/>
          <w:lang w:eastAsia="es-MX"/>
        </w:rPr>
        <w:t xml:space="preserve"> y por lo tanto, no la podía atender; a</w:t>
      </w:r>
      <w:r w:rsidR="00025DD0" w:rsidRPr="00287C00">
        <w:rPr>
          <w:rFonts w:eastAsia="Calibri" w:cs="Tahoma"/>
          <w:color w:val="000000"/>
          <w:szCs w:val="24"/>
          <w:lang w:eastAsia="es-MX"/>
        </w:rPr>
        <w:t xml:space="preserve">nte dicha circunstancia </w:t>
      </w:r>
      <w:r w:rsidR="00025DD0" w:rsidRPr="00287C00">
        <w:rPr>
          <w:rFonts w:eastAsia="Calibri" w:cs="Tahoma"/>
          <w:color w:val="000000"/>
          <w:szCs w:val="24"/>
          <w:lang w:val="es-ES" w:eastAsia="es-MX"/>
        </w:rPr>
        <w:t>el Solicitante se agravi</w:t>
      </w:r>
      <w:r w:rsidR="00B04927" w:rsidRPr="00287C00">
        <w:rPr>
          <w:rFonts w:eastAsia="Calibri" w:cs="Tahoma"/>
          <w:color w:val="000000"/>
          <w:szCs w:val="24"/>
          <w:lang w:val="es-ES" w:eastAsia="es-MX"/>
        </w:rPr>
        <w:t>ó</w:t>
      </w:r>
      <w:r w:rsidR="00025DD0" w:rsidRPr="00287C00">
        <w:rPr>
          <w:rFonts w:eastAsia="Calibri" w:cs="Tahoma"/>
          <w:color w:val="000000"/>
          <w:szCs w:val="24"/>
          <w:lang w:val="es-ES" w:eastAsia="es-MX"/>
        </w:rPr>
        <w:t xml:space="preserve"> </w:t>
      </w:r>
      <w:r w:rsidR="00B04927" w:rsidRPr="00287C00">
        <w:rPr>
          <w:rFonts w:eastAsia="Calibri" w:cs="Tahoma"/>
          <w:color w:val="000000"/>
          <w:szCs w:val="24"/>
          <w:lang w:val="es-ES" w:eastAsia="es-MX"/>
        </w:rPr>
        <w:t>con la entrega de información que no corresponde con lo solicitado, al señalar que no se le había entregado la nómina, misma que se trataba de información pública</w:t>
      </w:r>
      <w:r w:rsidR="00025DD0" w:rsidRPr="00287C00">
        <w:rPr>
          <w:rFonts w:eastAsia="Calibri" w:cs="Tahoma"/>
          <w:color w:val="000000"/>
          <w:szCs w:val="24"/>
          <w:lang w:val="es-ES" w:eastAsia="es-MX"/>
        </w:rPr>
        <w:t>, lo anterior, actualiza la causal de procedencia prevista en la fracción VI, del artículo 179 de la Le</w:t>
      </w:r>
      <w:r w:rsidR="00201C08" w:rsidRPr="00287C00">
        <w:rPr>
          <w:rFonts w:eastAsia="Calibri" w:cs="Tahoma"/>
          <w:color w:val="000000"/>
          <w:szCs w:val="24"/>
          <w:lang w:val="es-ES" w:eastAsia="es-MX"/>
        </w:rPr>
        <w:t>y de Transparencia y Acceso a la Información Pública del Estado de México y Municipios</w:t>
      </w:r>
      <w:r w:rsidR="004A7568" w:rsidRPr="00287C00">
        <w:rPr>
          <w:rFonts w:eastAsia="Calibri" w:cs="Tahoma"/>
          <w:color w:val="000000"/>
          <w:szCs w:val="24"/>
          <w:lang w:val="es-ES" w:eastAsia="es-MX"/>
        </w:rPr>
        <w:t>.</w:t>
      </w:r>
    </w:p>
    <w:p w14:paraId="5C82BA27" w14:textId="1E2C4C54" w:rsidR="004A7568" w:rsidRPr="00287C00" w:rsidRDefault="004A7568" w:rsidP="00287C00">
      <w:pPr>
        <w:autoSpaceDE w:val="0"/>
        <w:autoSpaceDN w:val="0"/>
        <w:adjustRightInd w:val="0"/>
        <w:spacing w:after="0" w:line="360" w:lineRule="auto"/>
        <w:rPr>
          <w:rFonts w:eastAsia="Calibri" w:cs="Tahoma"/>
          <w:color w:val="000000"/>
          <w:szCs w:val="24"/>
          <w:lang w:val="es-ES" w:eastAsia="es-MX"/>
        </w:rPr>
      </w:pPr>
    </w:p>
    <w:p w14:paraId="52023E31" w14:textId="682E209B" w:rsidR="004A7568" w:rsidRPr="004A7568" w:rsidRDefault="00227BB4" w:rsidP="00287C00">
      <w:pPr>
        <w:autoSpaceDE w:val="0"/>
        <w:autoSpaceDN w:val="0"/>
        <w:adjustRightInd w:val="0"/>
        <w:spacing w:after="0" w:line="360" w:lineRule="auto"/>
        <w:rPr>
          <w:rFonts w:eastAsia="Times New Roman" w:cs="Tahoma"/>
          <w:bCs/>
          <w:color w:val="auto"/>
          <w:lang w:eastAsia="es-ES"/>
        </w:rPr>
      </w:pPr>
      <w:r w:rsidRPr="00287C00">
        <w:rPr>
          <w:rFonts w:eastAsia="Times New Roman" w:cs="Tahoma"/>
          <w:bCs/>
          <w:color w:val="auto"/>
          <w:lang w:eastAsia="es-ES"/>
        </w:rPr>
        <w:t>Sobre lo anterior</w:t>
      </w:r>
      <w:r w:rsidR="004A7568" w:rsidRPr="004A7568">
        <w:rPr>
          <w:rFonts w:eastAsia="Times New Roman" w:cs="Tahoma"/>
          <w:bCs/>
          <w:color w:val="auto"/>
          <w:lang w:eastAsia="es-ES"/>
        </w:rPr>
        <w:t xml:space="preserve">, es importante precisar que, </w:t>
      </w:r>
      <w:r w:rsidRPr="00287C00">
        <w:rPr>
          <w:rFonts w:eastAsia="Times New Roman" w:cs="Tahoma"/>
          <w:bCs/>
          <w:color w:val="auto"/>
          <w:lang w:eastAsia="es-ES"/>
        </w:rPr>
        <w:t>el</w:t>
      </w:r>
      <w:r w:rsidR="004A7568" w:rsidRPr="004A7568">
        <w:rPr>
          <w:rFonts w:eastAsia="Times New Roman" w:cs="Tahoma"/>
          <w:bCs/>
          <w:color w:val="auto"/>
          <w:lang w:eastAsia="es-ES"/>
        </w:rPr>
        <w:t xml:space="preserve"> Recurrente no emitió inconformidad alguna respecto </w:t>
      </w:r>
      <w:r w:rsidRPr="00287C00">
        <w:rPr>
          <w:rFonts w:eastAsia="Times New Roman" w:cs="Tahoma"/>
          <w:bCs/>
          <w:color w:val="auto"/>
          <w:lang w:eastAsia="es-ES"/>
        </w:rPr>
        <w:t xml:space="preserve">al pedimento, referente a </w:t>
      </w:r>
      <w:r w:rsidRPr="00287C00">
        <w:rPr>
          <w:rFonts w:eastAsia="Calibri" w:cs="Tahoma"/>
          <w:color w:val="000000"/>
          <w:szCs w:val="24"/>
          <w:lang w:eastAsia="es-MX"/>
        </w:rPr>
        <w:t>la última conciliación realizada al trece de diciembre de dos mil veintidós,</w:t>
      </w:r>
      <w:r w:rsidR="004A7568" w:rsidRPr="004A7568">
        <w:rPr>
          <w:rFonts w:eastAsia="Times New Roman" w:cs="Tahoma"/>
          <w:bCs/>
          <w:color w:val="auto"/>
          <w:lang w:eastAsia="es-ES"/>
        </w:rPr>
        <w:t xml:space="preserve"> por lo que, no se hará pronunciamiento alguno </w:t>
      </w:r>
      <w:r w:rsidRPr="00287C00">
        <w:rPr>
          <w:rFonts w:eastAsia="Times New Roman" w:cs="Tahoma"/>
          <w:bCs/>
          <w:color w:val="auto"/>
          <w:lang w:eastAsia="es-ES"/>
        </w:rPr>
        <w:t>sobre este</w:t>
      </w:r>
      <w:r w:rsidR="004A7568" w:rsidRPr="004A7568">
        <w:rPr>
          <w:rFonts w:eastAsia="Times New Roman" w:cs="Tahoma"/>
          <w:bCs/>
          <w:color w:val="auto"/>
          <w:lang w:eastAsia="es-ES"/>
        </w:rPr>
        <w:t xml:space="preserve">; lo anterior, de </w:t>
      </w:r>
      <w:r w:rsidR="004A7568" w:rsidRPr="004A7568">
        <w:rPr>
          <w:rFonts w:eastAsia="Times New Roman" w:cs="Tahoma"/>
          <w:bCs/>
          <w:iCs/>
          <w:color w:val="auto"/>
          <w:lang w:eastAsia="es-ES"/>
        </w:rPr>
        <w:t xml:space="preserve">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004A7568" w:rsidRPr="004A7568">
        <w:rPr>
          <w:rFonts w:eastAsia="Times New Roman" w:cs="Tahoma"/>
          <w:b/>
          <w:bCs/>
          <w:iCs/>
          <w:color w:val="auto"/>
          <w:lang w:eastAsia="es-ES"/>
        </w:rPr>
        <w:t>los actos que se hayan consentido tácitamente,</w:t>
      </w:r>
      <w:r w:rsidR="004A7568" w:rsidRPr="004A7568">
        <w:rPr>
          <w:rFonts w:eastAsia="Times New Roman" w:cs="Tahoma"/>
          <w:bCs/>
          <w:iCs/>
          <w:color w:val="auto"/>
          <w:lang w:eastAsia="es-ES"/>
        </w:rPr>
        <w:t xml:space="preserve"> entendiéndose por estos cuando el agravio no se haya promovido en el plazo señalado para el efecto.</w:t>
      </w:r>
    </w:p>
    <w:p w14:paraId="3B18AC54" w14:textId="77777777" w:rsidR="004A7568" w:rsidRPr="004A7568" w:rsidRDefault="004A7568" w:rsidP="00287C00">
      <w:pPr>
        <w:spacing w:after="0" w:line="360" w:lineRule="auto"/>
        <w:rPr>
          <w:rFonts w:eastAsia="Times New Roman" w:cs="Tahoma"/>
          <w:bCs/>
          <w:color w:val="auto"/>
          <w:lang w:eastAsia="es-ES"/>
        </w:rPr>
      </w:pPr>
    </w:p>
    <w:p w14:paraId="3C97D3C7" w14:textId="77777777" w:rsidR="004A7568" w:rsidRPr="004A7568" w:rsidRDefault="004A7568" w:rsidP="00287C00">
      <w:pPr>
        <w:spacing w:after="0" w:line="360" w:lineRule="auto"/>
        <w:rPr>
          <w:rFonts w:eastAsia="Times New Roman" w:cs="Tahoma"/>
          <w:bCs/>
          <w:iCs/>
          <w:color w:val="auto"/>
          <w:lang w:eastAsia="es-ES"/>
        </w:rPr>
      </w:pPr>
      <w:r w:rsidRPr="004A7568">
        <w:rPr>
          <w:rFonts w:eastAsia="Times New Roman" w:cs="Tahoma"/>
          <w:bCs/>
          <w:iCs/>
          <w:color w:val="auto"/>
          <w:lang w:eastAsia="es-ES"/>
        </w:rPr>
        <w:t xml:space="preserve">De la misma manera resulta aplicable el criterio sostenido por el Poder Judicial de la Federación de rubro </w:t>
      </w:r>
      <w:r w:rsidRPr="004A7568">
        <w:rPr>
          <w:rFonts w:eastAsia="Times New Roman" w:cs="Tahoma"/>
          <w:b/>
          <w:bCs/>
          <w:iCs/>
          <w:color w:val="auto"/>
          <w:lang w:eastAsia="es-ES"/>
        </w:rPr>
        <w:t>ACTOS CONSENTIDOS TÁCITAMENTE</w:t>
      </w:r>
      <w:r w:rsidRPr="004A7568">
        <w:rPr>
          <w:rFonts w:eastAsia="Times New Roman" w:cs="Tahoma"/>
          <w:bCs/>
          <w:iCs/>
          <w:color w:val="auto"/>
          <w:lang w:eastAsia="es-E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7A45B27" w14:textId="77777777" w:rsidR="004A7568" w:rsidRPr="004A7568" w:rsidRDefault="004A7568" w:rsidP="00287C00">
      <w:pPr>
        <w:spacing w:after="0" w:line="360" w:lineRule="auto"/>
        <w:rPr>
          <w:rFonts w:eastAsia="Times New Roman" w:cs="Tahoma"/>
          <w:bCs/>
          <w:iCs/>
          <w:color w:val="auto"/>
          <w:lang w:eastAsia="es-ES"/>
        </w:rPr>
      </w:pPr>
    </w:p>
    <w:p w14:paraId="6749A32F" w14:textId="77777777" w:rsidR="004A7568" w:rsidRPr="004A7568" w:rsidRDefault="004A7568" w:rsidP="00287C00">
      <w:pPr>
        <w:spacing w:after="0" w:line="360" w:lineRule="auto"/>
        <w:rPr>
          <w:rFonts w:eastAsia="Times New Roman" w:cs="Tahoma"/>
          <w:bCs/>
          <w:iCs/>
          <w:color w:val="auto"/>
          <w:lang w:eastAsia="es-ES"/>
        </w:rPr>
      </w:pPr>
      <w:r w:rsidRPr="004A7568">
        <w:rPr>
          <w:rFonts w:eastAsia="Times New Roman" w:cs="Tahoma"/>
          <w:bCs/>
          <w:iCs/>
          <w:color w:val="auto"/>
          <w:lang w:eastAsia="es-ES"/>
        </w:rPr>
        <w:t xml:space="preserve">De acuerdo con el criterio en comento, en el caso de que la Solicitante no haya manifestado su inconformidad en contra del acto en su totalidad o en cualquiera de sus partes, se tendrá por consentido al no haber realizado argumento alguno que formulara un agravio en su contra, </w:t>
      </w:r>
      <w:r w:rsidRPr="004A7568">
        <w:rPr>
          <w:rFonts w:eastAsia="Times New Roman" w:cs="Tahoma"/>
          <w:bCs/>
          <w:iCs/>
          <w:color w:val="auto"/>
          <w:lang w:eastAsia="es-ES"/>
        </w:rPr>
        <w:lastRenderedPageBreak/>
        <w:t>por lo que, en la especie, se válida la respuesta respecto de los puntos no controvertidos y se arriba a la conclusión de que estos</w:t>
      </w:r>
      <w:r w:rsidRPr="004A7568">
        <w:rPr>
          <w:rFonts w:eastAsia="Times New Roman" w:cs="Tahoma"/>
          <w:b/>
          <w:bCs/>
          <w:iCs/>
          <w:color w:val="auto"/>
          <w:lang w:eastAsia="es-ES"/>
        </w:rPr>
        <w:t xml:space="preserve"> quedaron firmes. </w:t>
      </w:r>
    </w:p>
    <w:p w14:paraId="0F062EE0" w14:textId="77777777" w:rsidR="004A7568" w:rsidRPr="004A7568" w:rsidRDefault="004A7568" w:rsidP="00287C00">
      <w:pPr>
        <w:spacing w:after="0" w:line="360" w:lineRule="auto"/>
        <w:rPr>
          <w:rFonts w:eastAsia="Times New Roman" w:cs="Tahoma"/>
          <w:bCs/>
          <w:iCs/>
          <w:color w:val="auto"/>
          <w:lang w:eastAsia="es-ES"/>
        </w:rPr>
      </w:pPr>
    </w:p>
    <w:p w14:paraId="7B40F0F5" w14:textId="77777777" w:rsidR="004A7568" w:rsidRPr="004A7568" w:rsidRDefault="004A7568" w:rsidP="00287C00">
      <w:pPr>
        <w:spacing w:after="0" w:line="360" w:lineRule="auto"/>
        <w:rPr>
          <w:rFonts w:eastAsia="Times New Roman" w:cs="Tahoma"/>
          <w:bCs/>
          <w:iCs/>
          <w:color w:val="auto"/>
          <w:lang w:eastAsia="es-ES"/>
        </w:rPr>
      </w:pPr>
      <w:r w:rsidRPr="004A7568">
        <w:rPr>
          <w:rFonts w:eastAsia="Times New Roman" w:cs="Tahoma"/>
          <w:bCs/>
          <w:iCs/>
          <w:color w:val="auto"/>
          <w:lang w:eastAsia="es-ES"/>
        </w:rPr>
        <w:t>Asimismo, resulta relevante traer a colación el Criterio 01/20, emitido por el Instituto Nacional de Transparencia, Acceso a la Información y Protección de Datos Personales, que establece lo siguiente:</w:t>
      </w:r>
    </w:p>
    <w:p w14:paraId="0568DFF1" w14:textId="77777777" w:rsidR="004A7568" w:rsidRPr="004A7568" w:rsidRDefault="004A7568" w:rsidP="00287C00">
      <w:pPr>
        <w:spacing w:after="0" w:line="360" w:lineRule="auto"/>
        <w:rPr>
          <w:rFonts w:eastAsia="Times New Roman" w:cs="Tahoma"/>
          <w:bCs/>
          <w:iCs/>
          <w:color w:val="auto"/>
          <w:lang w:eastAsia="es-ES"/>
        </w:rPr>
      </w:pPr>
    </w:p>
    <w:p w14:paraId="2363DA9F" w14:textId="77777777" w:rsidR="004A7568" w:rsidRPr="004A7568" w:rsidRDefault="004A7568" w:rsidP="00287C00">
      <w:pPr>
        <w:spacing w:after="0" w:line="360" w:lineRule="auto"/>
        <w:ind w:left="567" w:right="567"/>
        <w:rPr>
          <w:rFonts w:eastAsia="Times New Roman" w:cs="Tahoma"/>
          <w:bCs/>
          <w:i/>
          <w:color w:val="auto"/>
          <w:sz w:val="20"/>
          <w:szCs w:val="20"/>
          <w:lang w:eastAsia="es-ES"/>
        </w:rPr>
      </w:pPr>
      <w:r w:rsidRPr="004A7568">
        <w:rPr>
          <w:rFonts w:eastAsia="Times New Roman" w:cs="Tahoma"/>
          <w:b/>
          <w:bCs/>
          <w:i/>
          <w:color w:val="auto"/>
          <w:sz w:val="20"/>
          <w:szCs w:val="20"/>
          <w:lang w:eastAsia="es-ES"/>
        </w:rPr>
        <w:t xml:space="preserve">“Actos consentidos tácitamente. Improcedencia de su análisis. </w:t>
      </w:r>
      <w:r w:rsidRPr="004A7568">
        <w:rPr>
          <w:rFonts w:eastAsia="Times New Roman" w:cs="Tahoma"/>
          <w:bCs/>
          <w:i/>
          <w:color w:val="auto"/>
          <w:sz w:val="20"/>
          <w:szCs w:val="20"/>
          <w:lang w:eastAsia="es-E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8C6D6D5" w14:textId="77777777" w:rsidR="004A7568" w:rsidRPr="004A7568" w:rsidRDefault="004A7568" w:rsidP="00287C00">
      <w:pPr>
        <w:spacing w:after="0" w:line="360" w:lineRule="auto"/>
        <w:rPr>
          <w:rFonts w:eastAsia="Times New Roman" w:cs="Tahoma"/>
          <w:bCs/>
          <w:iCs/>
          <w:color w:val="auto"/>
          <w:lang w:eastAsia="es-ES"/>
        </w:rPr>
      </w:pPr>
    </w:p>
    <w:p w14:paraId="0F2C97C0" w14:textId="431CAA78" w:rsidR="004A7568" w:rsidRPr="004A7568" w:rsidRDefault="004A7568" w:rsidP="00287C00">
      <w:pPr>
        <w:spacing w:after="0" w:line="360" w:lineRule="auto"/>
        <w:rPr>
          <w:rFonts w:eastAsia="Times New Roman" w:cs="Tahoma"/>
          <w:bCs/>
          <w:color w:val="auto"/>
          <w:lang w:eastAsia="es-ES"/>
        </w:rPr>
      </w:pPr>
      <w:r w:rsidRPr="004A7568">
        <w:rPr>
          <w:rFonts w:eastAsia="Times New Roman" w:cs="Tahoma"/>
          <w:bCs/>
          <w:color w:val="auto"/>
          <w:lang w:eastAsia="es-ES"/>
        </w:rPr>
        <w:t xml:space="preserve">Conforme al Criterio establecido, es improcedente entrar al análisis de las partes de la respuesta del Sujeto Obligado que no fueron impugnadas por el Recurrente; por lo que, en el presente caso, </w:t>
      </w:r>
      <w:r w:rsidR="00227BB4" w:rsidRPr="00287C00">
        <w:rPr>
          <w:rFonts w:eastAsia="Times New Roman" w:cs="Tahoma"/>
          <w:bCs/>
          <w:color w:val="auto"/>
          <w:lang w:eastAsia="es-ES"/>
        </w:rPr>
        <w:t>únicamente se entrará al análisis referente a la nómina del Sujeto Obligado.</w:t>
      </w:r>
    </w:p>
    <w:p w14:paraId="3CC66995" w14:textId="77777777" w:rsidR="004A7568" w:rsidRPr="004A7568" w:rsidRDefault="004A7568" w:rsidP="00287C00">
      <w:pPr>
        <w:spacing w:after="0" w:line="360" w:lineRule="auto"/>
        <w:rPr>
          <w:rFonts w:eastAsia="Times New Roman" w:cs="Tahoma"/>
          <w:bCs/>
          <w:color w:val="auto"/>
          <w:lang w:eastAsia="es-ES"/>
        </w:rPr>
      </w:pPr>
    </w:p>
    <w:p w14:paraId="6A7FE940" w14:textId="7DEEF94E" w:rsidR="00201C08" w:rsidRPr="00287C00" w:rsidRDefault="004A7568" w:rsidP="00287C00">
      <w:pPr>
        <w:spacing w:after="0" w:line="360" w:lineRule="auto"/>
        <w:rPr>
          <w:rFonts w:eastAsia="Calibri" w:cs="Tahoma"/>
          <w:color w:val="000000"/>
          <w:szCs w:val="24"/>
          <w:lang w:val="es-ES" w:eastAsia="es-MX"/>
        </w:rPr>
      </w:pPr>
      <w:r w:rsidRPr="004A7568">
        <w:rPr>
          <w:rFonts w:eastAsia="Times New Roman" w:cs="Tahoma"/>
          <w:bCs/>
          <w:iCs/>
          <w:color w:val="auto"/>
          <w:lang w:eastAsia="es-ES"/>
        </w:rPr>
        <w:t>Por lo expuesto, en el presente caso, únicamente se entrará al estudio sobre la información proporcionada a los puntos 2, 4 y 5 de la solicitud de información, lo cual actualiza la causal de procedencia, en términos del artículo 179, fracción V, de la Ley de Transparencia y Acceso a la Información Pública del Estado de México y Municipios</w:t>
      </w:r>
      <w:r w:rsidR="00B04927" w:rsidRPr="00287C00">
        <w:rPr>
          <w:rFonts w:eastAsia="Calibri" w:cs="Tahoma"/>
          <w:color w:val="000000"/>
          <w:szCs w:val="24"/>
          <w:lang w:val="es-ES" w:eastAsia="es-MX"/>
        </w:rPr>
        <w:t>; a</w:t>
      </w:r>
      <w:r w:rsidR="00201C08" w:rsidRPr="00287C00">
        <w:rPr>
          <w:rFonts w:eastAsia="Calibri" w:cs="Tahoma"/>
          <w:color w:val="000000"/>
          <w:szCs w:val="24"/>
          <w:lang w:val="es-ES" w:eastAsia="es-MX"/>
        </w:rPr>
        <w:t xml:space="preserve">sí las cosas, una vez admitido y notificado el Recurso de Revisión a las partes, estas fueron omisas en realizar alguna manifestación que a su derecho conviniera y asistiera. </w:t>
      </w:r>
    </w:p>
    <w:p w14:paraId="48241C75" w14:textId="77777777" w:rsidR="00252D61" w:rsidRPr="00287C00" w:rsidRDefault="00252D61" w:rsidP="00287C00">
      <w:pPr>
        <w:autoSpaceDE w:val="0"/>
        <w:autoSpaceDN w:val="0"/>
        <w:adjustRightInd w:val="0"/>
        <w:spacing w:after="0" w:line="360" w:lineRule="auto"/>
        <w:rPr>
          <w:rFonts w:eastAsia="Calibri" w:cs="Tahoma"/>
          <w:iCs/>
          <w:color w:val="auto"/>
          <w:lang w:val="es-ES" w:eastAsia="es-ES_tradnl"/>
        </w:rPr>
      </w:pPr>
    </w:p>
    <w:p w14:paraId="2C649709" w14:textId="77777777" w:rsidR="00252D61" w:rsidRPr="00287C00" w:rsidRDefault="00252D61" w:rsidP="00287C00">
      <w:pPr>
        <w:spacing w:after="0" w:line="360" w:lineRule="auto"/>
      </w:pPr>
      <w:r w:rsidRPr="00287C00">
        <w:t>Lo anterior, se desprende de las documentales que obran en el expediente de referencia, materia de la presente Resolución, consistentes en: la solicitud de acceso a la información; la respuesta del Suje</w:t>
      </w:r>
      <w:r w:rsidR="00201C08" w:rsidRPr="00287C00">
        <w:t xml:space="preserve">to Obligado y </w:t>
      </w:r>
      <w:r w:rsidRPr="00287C00">
        <w:rPr>
          <w:bCs/>
        </w:rPr>
        <w:t xml:space="preserve">el </w:t>
      </w:r>
      <w:r w:rsidRPr="00287C00">
        <w:t xml:space="preserve">escrito recursal, instrumentales que se toman en cuenta a efecto de resolver el presente medio de impugnación, conforme a lo dispuesto por el artículo </w:t>
      </w:r>
      <w:r w:rsidRPr="00287C00">
        <w:lastRenderedPageBreak/>
        <w:t>185, fracción IV, de la Ley de Transparencia y Acceso a la Información Pública del Estado de México y Municipios.</w:t>
      </w:r>
    </w:p>
    <w:p w14:paraId="2A0308A4" w14:textId="77777777" w:rsidR="00252D61" w:rsidRPr="00287C00" w:rsidRDefault="00252D61" w:rsidP="00287C00">
      <w:pPr>
        <w:spacing w:after="0" w:line="360" w:lineRule="auto"/>
      </w:pPr>
    </w:p>
    <w:p w14:paraId="516F4349" w14:textId="77777777" w:rsidR="00252D61" w:rsidRPr="00287C00" w:rsidRDefault="00252D61" w:rsidP="00287C00">
      <w:pPr>
        <w:spacing w:after="0" w:line="360" w:lineRule="auto"/>
        <w:rPr>
          <w:rFonts w:eastAsia="Times New Roman" w:cs="Tahoma"/>
          <w:b/>
          <w:bCs/>
          <w:iCs/>
          <w:color w:val="auto"/>
          <w:lang w:eastAsia="es-ES"/>
        </w:rPr>
      </w:pPr>
      <w:r w:rsidRPr="00287C00">
        <w:rPr>
          <w:rFonts w:eastAsia="Times New Roman" w:cs="Tahoma"/>
          <w:b/>
          <w:bCs/>
          <w:iCs/>
          <w:color w:val="auto"/>
          <w:lang w:val="es-ES" w:eastAsia="es-ES"/>
        </w:rPr>
        <w:t xml:space="preserve">CUARTO. </w:t>
      </w:r>
      <w:r w:rsidRPr="00287C00">
        <w:rPr>
          <w:rFonts w:eastAsia="Times New Roman" w:cs="Tahoma"/>
          <w:b/>
          <w:bCs/>
          <w:iCs/>
          <w:color w:val="auto"/>
          <w:lang w:eastAsia="es-ES"/>
        </w:rPr>
        <w:t>Marco normativo aplicable en materia de transparencia y acceso a la información pública.</w:t>
      </w:r>
    </w:p>
    <w:p w14:paraId="34751AD7" w14:textId="77777777" w:rsidR="00252D61" w:rsidRPr="00287C00" w:rsidRDefault="00252D61" w:rsidP="00287C00">
      <w:pPr>
        <w:spacing w:after="0" w:line="360" w:lineRule="auto"/>
        <w:rPr>
          <w:rFonts w:eastAsia="Times New Roman" w:cs="Tahoma"/>
          <w:b/>
          <w:bCs/>
          <w:iCs/>
          <w:color w:val="auto"/>
          <w:lang w:eastAsia="es-ES"/>
        </w:rPr>
      </w:pPr>
    </w:p>
    <w:p w14:paraId="0B938359" w14:textId="77777777" w:rsidR="00252D61" w:rsidRPr="00287C00" w:rsidRDefault="00252D61"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22AD9F" w14:textId="77777777" w:rsidR="00252D61" w:rsidRPr="00287C00" w:rsidRDefault="00252D61" w:rsidP="00287C00">
      <w:pPr>
        <w:spacing w:after="0" w:line="360" w:lineRule="auto"/>
        <w:rPr>
          <w:rFonts w:eastAsia="Times New Roman" w:cs="Tahoma"/>
          <w:bCs/>
          <w:iCs/>
          <w:color w:val="auto"/>
          <w:lang w:eastAsia="es-ES"/>
        </w:rPr>
      </w:pPr>
    </w:p>
    <w:p w14:paraId="0E6B80C2" w14:textId="77777777" w:rsidR="00252D61" w:rsidRPr="00287C00" w:rsidRDefault="00252D61"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D375DB4" w14:textId="77777777" w:rsidR="00252D61" w:rsidRPr="00287C00" w:rsidRDefault="00252D61" w:rsidP="00287C00">
      <w:pPr>
        <w:spacing w:after="0" w:line="360" w:lineRule="auto"/>
        <w:rPr>
          <w:rFonts w:eastAsia="Times New Roman" w:cs="Tahoma"/>
          <w:bCs/>
          <w:iCs/>
          <w:color w:val="auto"/>
          <w:lang w:eastAsia="es-ES"/>
        </w:rPr>
      </w:pPr>
    </w:p>
    <w:p w14:paraId="6012AA51" w14:textId="77777777" w:rsidR="00252D61" w:rsidRPr="00287C00" w:rsidRDefault="00252D61"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1CBCCB" w14:textId="77777777" w:rsidR="00252D61" w:rsidRPr="00287C00" w:rsidRDefault="00252D61" w:rsidP="00287C00">
      <w:pPr>
        <w:spacing w:after="0" w:line="360" w:lineRule="auto"/>
        <w:rPr>
          <w:rFonts w:eastAsia="Times New Roman" w:cs="Tahoma"/>
          <w:bCs/>
          <w:iCs/>
          <w:color w:val="auto"/>
          <w:lang w:eastAsia="es-ES"/>
        </w:rPr>
      </w:pPr>
    </w:p>
    <w:p w14:paraId="348389A5" w14:textId="77777777" w:rsidR="00252D61" w:rsidRPr="00287C00" w:rsidRDefault="00252D61"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354446E0" w14:textId="77777777" w:rsidR="00252D61" w:rsidRPr="00287C00" w:rsidRDefault="00252D61" w:rsidP="00287C00">
      <w:pPr>
        <w:spacing w:after="0" w:line="360" w:lineRule="auto"/>
        <w:rPr>
          <w:rFonts w:eastAsia="Times New Roman" w:cs="Tahoma"/>
          <w:bCs/>
          <w:iCs/>
          <w:color w:val="auto"/>
          <w:lang w:eastAsia="es-ES"/>
        </w:rPr>
      </w:pPr>
    </w:p>
    <w:p w14:paraId="175FC13D" w14:textId="77777777" w:rsidR="00252D61" w:rsidRPr="00287C00" w:rsidRDefault="00252D61"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El artículo 12, que, quienes generen, recopilen, administren, manejen, procesen, archiven o conserven información pública serán responsables de la misma.</w:t>
      </w:r>
    </w:p>
    <w:p w14:paraId="4F850E09" w14:textId="77777777" w:rsidR="00252D61" w:rsidRPr="00287C00" w:rsidRDefault="00252D61" w:rsidP="00287C00">
      <w:pPr>
        <w:spacing w:after="0" w:line="360" w:lineRule="auto"/>
        <w:rPr>
          <w:rFonts w:eastAsia="Times New Roman" w:cs="Tahoma"/>
          <w:bCs/>
          <w:iCs/>
          <w:color w:val="auto"/>
          <w:lang w:eastAsia="es-ES"/>
        </w:rPr>
      </w:pPr>
    </w:p>
    <w:p w14:paraId="3E78570C" w14:textId="77777777" w:rsidR="00252D61" w:rsidRPr="00287C00" w:rsidRDefault="00252D61"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29B030CA" w14:textId="77777777" w:rsidR="00252D61" w:rsidRPr="00287C00" w:rsidRDefault="00252D61" w:rsidP="00287C00">
      <w:pPr>
        <w:spacing w:after="0" w:line="360" w:lineRule="auto"/>
        <w:rPr>
          <w:rFonts w:eastAsia="Times New Roman" w:cs="Tahoma"/>
          <w:bCs/>
          <w:iCs/>
          <w:color w:val="auto"/>
          <w:lang w:eastAsia="es-ES"/>
        </w:rPr>
      </w:pPr>
    </w:p>
    <w:p w14:paraId="674C8F85" w14:textId="77777777" w:rsidR="00252D61" w:rsidRPr="00287C00" w:rsidRDefault="00252D61"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F2ACEDC" w14:textId="77777777" w:rsidR="00252D61" w:rsidRPr="00287C00" w:rsidRDefault="00252D61" w:rsidP="00287C00">
      <w:pPr>
        <w:spacing w:after="0" w:line="360" w:lineRule="auto"/>
        <w:rPr>
          <w:rFonts w:eastAsia="Times New Roman" w:cs="Tahoma"/>
          <w:color w:val="auto"/>
          <w:lang w:eastAsia="es-ES"/>
        </w:rPr>
      </w:pPr>
    </w:p>
    <w:p w14:paraId="284EBD31" w14:textId="77777777" w:rsidR="00C955DA" w:rsidRPr="00287C00" w:rsidRDefault="00C955DA" w:rsidP="00287C00">
      <w:pPr>
        <w:spacing w:after="0" w:line="360" w:lineRule="auto"/>
        <w:rPr>
          <w:rFonts w:cs="Tahoma"/>
        </w:rPr>
      </w:pPr>
      <w:r w:rsidRPr="00287C00">
        <w:rPr>
          <w:rFonts w:cs="Tahoma"/>
        </w:rPr>
        <w:t>El artículo 92, fracción VIII, que, se debe poner a disposición del público, de manera permanente y actualizada, en medios electrónicos, la información sobre las remuneraciones de todos los servidores públicos de base o de confianza, al ser Obligación Común de Transparencia para los Sujetos Obligados.</w:t>
      </w:r>
    </w:p>
    <w:p w14:paraId="6FBCD099" w14:textId="77777777" w:rsidR="00252D61" w:rsidRPr="00287C00" w:rsidRDefault="00252D61" w:rsidP="00287C00">
      <w:pPr>
        <w:spacing w:after="0" w:line="360" w:lineRule="auto"/>
        <w:rPr>
          <w:rFonts w:eastAsia="Times New Roman" w:cs="Tahoma"/>
          <w:b/>
          <w:bCs/>
          <w:iCs/>
          <w:color w:val="auto"/>
          <w:lang w:val="es-ES" w:eastAsia="es-ES"/>
        </w:rPr>
      </w:pPr>
    </w:p>
    <w:p w14:paraId="399B6895" w14:textId="2EA54B20" w:rsidR="00252D61" w:rsidRPr="00287C00" w:rsidRDefault="00252D61" w:rsidP="00287C00">
      <w:pPr>
        <w:spacing w:after="0" w:line="360" w:lineRule="auto"/>
        <w:rPr>
          <w:rFonts w:eastAsia="Times New Roman" w:cs="Tahoma"/>
          <w:b/>
          <w:bCs/>
          <w:iCs/>
          <w:color w:val="auto"/>
          <w:lang w:val="es-ES" w:eastAsia="es-ES"/>
        </w:rPr>
      </w:pPr>
      <w:r w:rsidRPr="00287C00">
        <w:rPr>
          <w:rFonts w:eastAsia="Times New Roman" w:cs="Tahoma"/>
          <w:b/>
          <w:bCs/>
          <w:iCs/>
          <w:color w:val="auto"/>
          <w:lang w:val="es-ES" w:eastAsia="es-ES"/>
        </w:rPr>
        <w:t>Quinto. Estudio de Fondo.</w:t>
      </w:r>
    </w:p>
    <w:p w14:paraId="1A07DE4B" w14:textId="77777777" w:rsidR="00252D61" w:rsidRPr="00287C00" w:rsidRDefault="00252D61" w:rsidP="00287C00">
      <w:pPr>
        <w:spacing w:after="0" w:line="360" w:lineRule="auto"/>
        <w:rPr>
          <w:rFonts w:eastAsia="Times New Roman" w:cs="Tahoma"/>
          <w:iCs/>
          <w:color w:val="auto"/>
          <w:lang w:val="es-ES" w:eastAsia="es-ES"/>
        </w:rPr>
      </w:pPr>
    </w:p>
    <w:p w14:paraId="3AE7A5A2" w14:textId="77777777" w:rsidR="00FD45E8" w:rsidRPr="00287C00" w:rsidRDefault="00FD45E8" w:rsidP="00287C00">
      <w:pPr>
        <w:spacing w:after="0" w:line="360" w:lineRule="auto"/>
        <w:rPr>
          <w:rFonts w:eastAsia="Times New Roman" w:cs="Tahoma"/>
          <w:iCs/>
          <w:color w:val="auto"/>
          <w:lang w:val="es-ES" w:eastAsia="es-ES"/>
        </w:rPr>
      </w:pPr>
      <w:r w:rsidRPr="00287C00">
        <w:rPr>
          <w:rFonts w:eastAsia="Times New Roman" w:cs="Tahoma"/>
          <w:iCs/>
          <w:color w:val="auto"/>
          <w:lang w:val="es-ES" w:eastAsia="es-ES"/>
        </w:rPr>
        <w:t xml:space="preserve">Establecido lo anterior, se procede analizar el agravio hecho valer por el Particular, referente a la entrega de información que no corresponde con lo solicitado, por lo que en un primero momento es oportuno contextualizar la solicitud de información referente a la nómina. </w:t>
      </w:r>
    </w:p>
    <w:p w14:paraId="63CA0F24" w14:textId="77777777" w:rsidR="00FD45E8" w:rsidRPr="00287C00" w:rsidRDefault="00FD45E8" w:rsidP="00287C00">
      <w:pPr>
        <w:spacing w:after="0" w:line="360" w:lineRule="auto"/>
        <w:rPr>
          <w:rFonts w:eastAsia="Times New Roman" w:cs="Tahoma"/>
          <w:iCs/>
          <w:color w:val="auto"/>
          <w:lang w:val="es-ES" w:eastAsia="es-ES"/>
        </w:rPr>
      </w:pPr>
    </w:p>
    <w:p w14:paraId="59B3C95E" w14:textId="77777777" w:rsidR="00FD45E8" w:rsidRPr="00287C00" w:rsidRDefault="00FD45E8" w:rsidP="00287C00">
      <w:pPr>
        <w:spacing w:after="0" w:line="360" w:lineRule="auto"/>
        <w:ind w:right="-93"/>
        <w:rPr>
          <w:rFonts w:eastAsia="Calibri" w:cs="Tahoma"/>
          <w:bCs/>
        </w:rPr>
      </w:pPr>
      <w:r w:rsidRPr="00287C00">
        <w:rPr>
          <w:rFonts w:eastAsia="Calibri" w:cs="Tahoma"/>
          <w:bCs/>
        </w:rPr>
        <w:t>Sobre el documento solicitado</w:t>
      </w:r>
      <w:r w:rsidRPr="00287C00">
        <w:rPr>
          <w:rFonts w:eastAsia="Calibri" w:cs="Tahoma"/>
          <w:b/>
          <w:bCs/>
        </w:rPr>
        <w:t xml:space="preserve">, </w:t>
      </w:r>
      <w:r w:rsidRPr="00287C00">
        <w:rPr>
          <w:rFonts w:eastAsia="Calibri" w:cs="Tahoma"/>
          <w:bCs/>
        </w:rPr>
        <w:t>el Glosario localizado en la página de Transparencia Presupuestaria de la Secretaría de Hacienda y Crédito Público (</w:t>
      </w:r>
      <w:hyperlink r:id="rId8" w:history="1">
        <w:r w:rsidRPr="00287C00">
          <w:rPr>
            <w:rFonts w:eastAsia="Calibri" w:cs="Tahoma"/>
            <w:bCs/>
            <w:u w:val="single"/>
          </w:rPr>
          <w:t>http://www.transparenciapresupuestaria.gob.mx/es/PTP/Glosario</w:t>
        </w:r>
      </w:hyperlink>
      <w:r w:rsidRPr="00287C00">
        <w:rPr>
          <w:rFonts w:eastAsia="Calibri" w:cs="Tahoma"/>
          <w:bCs/>
        </w:rPr>
        <w:t xml:space="preserve">, consultado el veintitrés de febrero de dos mil veintidós) establece que la </w:t>
      </w:r>
      <w:r w:rsidRPr="00287C00">
        <w:rPr>
          <w:rFonts w:eastAsia="Calibri" w:cs="Tahoma"/>
          <w:b/>
          <w:bC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61410D90" w14:textId="77777777" w:rsidR="00FD45E8" w:rsidRPr="00287C00" w:rsidRDefault="00FD45E8" w:rsidP="00287C00">
      <w:pPr>
        <w:spacing w:after="0" w:line="360" w:lineRule="auto"/>
        <w:ind w:right="-93"/>
        <w:rPr>
          <w:rFonts w:eastAsia="Calibri" w:cs="Tahoma"/>
          <w:b/>
          <w:bCs/>
        </w:rPr>
      </w:pPr>
    </w:p>
    <w:p w14:paraId="17B2352A" w14:textId="77777777" w:rsidR="00FD45E8" w:rsidRPr="00287C00" w:rsidRDefault="00FD45E8" w:rsidP="00287C00">
      <w:pPr>
        <w:spacing w:after="0" w:line="360" w:lineRule="auto"/>
        <w:ind w:right="-93"/>
        <w:rPr>
          <w:rFonts w:eastAsia="Calibri" w:cs="Tahoma"/>
          <w:b/>
          <w:bCs/>
        </w:rPr>
      </w:pPr>
      <w:r w:rsidRPr="00287C00">
        <w:rPr>
          <w:rFonts w:eastAsia="Calibri" w:cs="Tahoma"/>
          <w:bCs/>
        </w:rPr>
        <w:t>De la misma manera, el Glosario de términos más usuales en la Administración Pública Federal, emitido por la Secretaría de Hacienda y Crédito Público (</w:t>
      </w:r>
      <w:hyperlink r:id="rId9" w:history="1">
        <w:r w:rsidRPr="00287C00">
          <w:rPr>
            <w:rFonts w:eastAsia="Calibri" w:cs="Tahoma"/>
            <w:bCs/>
            <w:u w:val="single"/>
          </w:rPr>
          <w:t>http://www.apartados.hacienda.gob.mx/contabilidad/documentos/informe_cuenta/1998/cuenta_publica/Glosario/n.htm</w:t>
        </w:r>
      </w:hyperlink>
      <w:r w:rsidRPr="00287C00">
        <w:rPr>
          <w:rFonts w:eastAsia="Calibri" w:cs="Tahoma"/>
          <w:bCs/>
        </w:rPr>
        <w:t xml:space="preserve">, </w:t>
      </w:r>
      <w:r w:rsidR="00A12088" w:rsidRPr="00287C00">
        <w:rPr>
          <w:rFonts w:eastAsia="Calibri" w:cs="Tahoma"/>
          <w:bCs/>
        </w:rPr>
        <w:t>consultado el veintitrés de febrero de dos mil veintidós</w:t>
      </w:r>
      <w:r w:rsidRPr="00287C00">
        <w:rPr>
          <w:rFonts w:eastAsia="Calibri" w:cs="Tahoma"/>
          <w:bCs/>
        </w:rPr>
        <w:t xml:space="preserve">), establece que la </w:t>
      </w:r>
      <w:r w:rsidRPr="00287C00">
        <w:rPr>
          <w:rFonts w:eastAsia="Calibri" w:cs="Tahoma"/>
          <w:b/>
          <w:bCs/>
        </w:rPr>
        <w:t>nómina es un listado general de los trabajadores de una institución, en el cual se asientan las percepciones brutas, deducciones y alcance neto de las mismas.</w:t>
      </w:r>
    </w:p>
    <w:p w14:paraId="2AAE5CA8" w14:textId="77777777" w:rsidR="00FD45E8" w:rsidRPr="00287C00" w:rsidRDefault="00FD45E8" w:rsidP="00287C00">
      <w:pPr>
        <w:spacing w:after="0" w:line="360" w:lineRule="auto"/>
        <w:ind w:right="-93"/>
        <w:rPr>
          <w:rFonts w:eastAsia="Calibri" w:cs="Tahoma"/>
          <w:bCs/>
        </w:rPr>
      </w:pPr>
    </w:p>
    <w:p w14:paraId="7E256F0C" w14:textId="77777777" w:rsidR="00FD45E8" w:rsidRPr="00287C00" w:rsidRDefault="00FD45E8" w:rsidP="00287C00">
      <w:pPr>
        <w:spacing w:after="0" w:line="360" w:lineRule="auto"/>
        <w:ind w:right="-93"/>
        <w:rPr>
          <w:rFonts w:eastAsia="Calibri" w:cs="Tahoma"/>
          <w:bCs/>
        </w:rPr>
      </w:pPr>
      <w:r w:rsidRPr="00287C00">
        <w:rPr>
          <w:rFonts w:eastAsia="Calibri" w:cs="Tahoma"/>
          <w:bCs/>
        </w:rPr>
        <w:t>Conforme a lo anterior, se puede advertir que la nómina se puede referir a lo siguiente:</w:t>
      </w:r>
    </w:p>
    <w:p w14:paraId="7D220D47" w14:textId="77777777" w:rsidR="00FD45E8" w:rsidRPr="00287C00" w:rsidRDefault="00FD45E8" w:rsidP="00287C00">
      <w:pPr>
        <w:spacing w:after="0" w:line="360" w:lineRule="auto"/>
        <w:ind w:right="-93"/>
        <w:rPr>
          <w:rFonts w:eastAsia="Calibri" w:cs="Tahoma"/>
          <w:bCs/>
        </w:rPr>
      </w:pPr>
    </w:p>
    <w:p w14:paraId="1E64489E" w14:textId="77777777" w:rsidR="00FD45E8" w:rsidRPr="00287C00" w:rsidRDefault="00FD45E8" w:rsidP="00287C00">
      <w:pPr>
        <w:numPr>
          <w:ilvl w:val="0"/>
          <w:numId w:val="23"/>
        </w:numPr>
        <w:spacing w:after="0" w:line="360" w:lineRule="auto"/>
        <w:ind w:right="-93"/>
        <w:contextualSpacing/>
        <w:jc w:val="left"/>
        <w:rPr>
          <w:rFonts w:eastAsia="Calibri" w:cs="Tahoma"/>
          <w:bCs/>
        </w:rPr>
      </w:pPr>
      <w:r w:rsidRPr="00287C00">
        <w:rPr>
          <w:rFonts w:eastAsia="Calibri" w:cs="Tahoma"/>
          <w:bCs/>
        </w:rPr>
        <w:t>Relación de trabajadores con las percepciones monetarias de cada uno.</w:t>
      </w:r>
    </w:p>
    <w:p w14:paraId="08429790" w14:textId="77777777" w:rsidR="00FD45E8" w:rsidRPr="00287C00" w:rsidRDefault="00FD45E8" w:rsidP="00287C00">
      <w:pPr>
        <w:spacing w:after="0" w:line="360" w:lineRule="auto"/>
        <w:ind w:left="720" w:right="-93"/>
        <w:contextualSpacing/>
        <w:rPr>
          <w:rFonts w:eastAsia="Calibri" w:cs="Tahoma"/>
          <w:b/>
          <w:bCs/>
        </w:rPr>
      </w:pPr>
    </w:p>
    <w:p w14:paraId="7DBD31B2" w14:textId="77777777" w:rsidR="00FD45E8" w:rsidRPr="00287C00" w:rsidRDefault="00FD45E8" w:rsidP="00287C00">
      <w:pPr>
        <w:numPr>
          <w:ilvl w:val="0"/>
          <w:numId w:val="23"/>
        </w:numPr>
        <w:spacing w:after="0" w:line="360" w:lineRule="auto"/>
        <w:ind w:right="-93"/>
        <w:contextualSpacing/>
        <w:jc w:val="left"/>
        <w:rPr>
          <w:rFonts w:eastAsia="Calibri" w:cs="Tahoma"/>
          <w:bCs/>
        </w:rPr>
      </w:pPr>
      <w:r w:rsidRPr="00287C00">
        <w:rPr>
          <w:rFonts w:eastAsia="Calibri" w:cs="Tahoma"/>
          <w:bCs/>
        </w:rPr>
        <w:t>Recibo individual que contiene las prestaciones y deducciones de un trabajador.</w:t>
      </w:r>
    </w:p>
    <w:p w14:paraId="5E287751" w14:textId="77777777" w:rsidR="00FD45E8" w:rsidRPr="00287C00" w:rsidRDefault="00FD45E8" w:rsidP="00287C00">
      <w:pPr>
        <w:spacing w:after="0" w:line="360" w:lineRule="auto"/>
        <w:ind w:left="720"/>
        <w:contextualSpacing/>
        <w:jc w:val="left"/>
        <w:rPr>
          <w:rFonts w:eastAsia="Calibri" w:cs="Tahoma"/>
          <w:b/>
          <w:bCs/>
        </w:rPr>
      </w:pPr>
    </w:p>
    <w:p w14:paraId="51764FCB" w14:textId="77777777" w:rsidR="00FD45E8" w:rsidRPr="00287C00" w:rsidRDefault="00FD45E8" w:rsidP="00287C00">
      <w:pPr>
        <w:numPr>
          <w:ilvl w:val="0"/>
          <w:numId w:val="23"/>
        </w:numPr>
        <w:spacing w:after="0" w:line="360" w:lineRule="auto"/>
        <w:ind w:right="-93"/>
        <w:contextualSpacing/>
        <w:jc w:val="left"/>
        <w:rPr>
          <w:rFonts w:eastAsia="Calibri" w:cs="Tahoma"/>
          <w:b/>
          <w:bCs/>
        </w:rPr>
      </w:pPr>
      <w:r w:rsidRPr="00287C00">
        <w:rPr>
          <w:rFonts w:eastAsia="Calibri" w:cs="Tahoma"/>
          <w:b/>
          <w:bCs/>
        </w:rPr>
        <w:t>Listado general de los servidores públicos de una institución o dependencia, en el cual se asientan las percepciones brutas, deducciones y alcance neto de las mismas.</w:t>
      </w:r>
    </w:p>
    <w:p w14:paraId="42DFF1C4" w14:textId="77777777" w:rsidR="00FD45E8" w:rsidRPr="00287C00" w:rsidRDefault="00FD45E8" w:rsidP="00287C00">
      <w:pPr>
        <w:spacing w:after="0" w:line="360" w:lineRule="auto"/>
        <w:rPr>
          <w:rFonts w:eastAsia="Times New Roman" w:cs="Tahoma"/>
          <w:lang w:eastAsia="es-ES"/>
        </w:rPr>
      </w:pPr>
    </w:p>
    <w:p w14:paraId="244ACFEF" w14:textId="77777777" w:rsidR="00FD45E8" w:rsidRPr="00287C00" w:rsidRDefault="00A12088" w:rsidP="00287C00">
      <w:pPr>
        <w:spacing w:after="0" w:line="360" w:lineRule="auto"/>
        <w:rPr>
          <w:rFonts w:eastAsia="Times New Roman" w:cs="Tahoma"/>
          <w:lang w:eastAsia="es-ES"/>
        </w:rPr>
      </w:pPr>
      <w:r w:rsidRPr="00287C00">
        <w:rPr>
          <w:rFonts w:eastAsia="Times New Roman" w:cs="Tahoma"/>
          <w:lang w:eastAsia="es-ES"/>
        </w:rPr>
        <w:t xml:space="preserve">En razón de lo anterior, se logra colegir que la pretensión del hoy Recurrente es obtener el documento que contenga </w:t>
      </w:r>
      <w:r w:rsidR="00FD45E8" w:rsidRPr="00287C00">
        <w:rPr>
          <w:rFonts w:eastAsia="Times New Roman" w:cs="Tahoma"/>
          <w:lang w:eastAsia="es-ES"/>
        </w:rPr>
        <w:t xml:space="preserve">el </w:t>
      </w:r>
      <w:r w:rsidR="00FD45E8" w:rsidRPr="00287C00">
        <w:rPr>
          <w:rFonts w:eastAsia="Times New Roman" w:cs="Tahoma"/>
          <w:b/>
          <w:lang w:eastAsia="es-ES"/>
        </w:rPr>
        <w:t xml:space="preserve">listado que contenga las remuneraciones de todos los servidores públicos del </w:t>
      </w:r>
      <w:r w:rsidR="001F049A" w:rsidRPr="00287C00">
        <w:rPr>
          <w:rFonts w:eastAsia="Times New Roman" w:cs="Tahoma"/>
          <w:b/>
          <w:lang w:eastAsia="es-ES"/>
        </w:rPr>
        <w:t>Comisión de Conciliación y Arbitraje Médico del Estado de México</w:t>
      </w:r>
      <w:r w:rsidR="00FD45E8" w:rsidRPr="00287C00">
        <w:rPr>
          <w:rFonts w:eastAsia="Times New Roman" w:cs="Tahoma"/>
          <w:b/>
          <w:lang w:eastAsia="es-ES"/>
        </w:rPr>
        <w:t>, que contenga los sueldos (bruto y neto), prestaciones y deducciones.</w:t>
      </w:r>
    </w:p>
    <w:p w14:paraId="6517D498" w14:textId="77777777" w:rsidR="00FD45E8" w:rsidRPr="00287C00" w:rsidRDefault="00FD45E8" w:rsidP="00287C00">
      <w:pPr>
        <w:spacing w:after="0" w:line="360" w:lineRule="auto"/>
        <w:rPr>
          <w:rFonts w:eastAsia="Times New Roman" w:cs="Tahoma"/>
          <w:b/>
          <w:lang w:eastAsia="es-ES"/>
        </w:rPr>
      </w:pPr>
    </w:p>
    <w:p w14:paraId="5E43C414" w14:textId="4C603274" w:rsidR="0073110D" w:rsidRPr="00287C00" w:rsidRDefault="0073110D" w:rsidP="00287C00">
      <w:pPr>
        <w:spacing w:after="0" w:line="360" w:lineRule="auto"/>
        <w:rPr>
          <w:rFonts w:eastAsia="Times New Roman" w:cs="Tahoma"/>
          <w:iCs/>
          <w:color w:val="auto"/>
          <w:lang w:val="es-ES" w:eastAsia="es-ES"/>
        </w:rPr>
      </w:pPr>
      <w:r w:rsidRPr="00287C00">
        <w:rPr>
          <w:rFonts w:eastAsia="Times New Roman" w:cs="Tahoma"/>
          <w:iCs/>
          <w:color w:val="auto"/>
          <w:lang w:val="es-ES" w:eastAsia="es-ES"/>
        </w:rPr>
        <w:t xml:space="preserve">Respecto al tema, es conveniente traer al estudio el artículo 2° fracción V, de la Ley de Fiscalización Superior del Estado de México, que establece </w:t>
      </w:r>
      <w:r w:rsidR="00227BB4" w:rsidRPr="00287C00">
        <w:rPr>
          <w:rFonts w:eastAsia="Times New Roman" w:cs="Tahoma"/>
          <w:iCs/>
          <w:color w:val="auto"/>
          <w:lang w:val="es-ES" w:eastAsia="es-ES"/>
        </w:rPr>
        <w:t>como Entidad Fiscalizable, entre otros, a</w:t>
      </w:r>
      <w:r w:rsidRPr="00287C00">
        <w:rPr>
          <w:rFonts w:eastAsia="Times New Roman" w:cs="Tahoma"/>
          <w:iCs/>
          <w:color w:val="auto"/>
          <w:lang w:val="es-ES" w:eastAsia="es-ES"/>
        </w:rPr>
        <w:t xml:space="preserve"> los </w:t>
      </w:r>
      <w:r w:rsidRPr="00287C00">
        <w:rPr>
          <w:rFonts w:eastAsia="Times New Roman" w:cs="Tahoma"/>
          <w:iCs/>
          <w:color w:val="auto"/>
          <w:lang w:eastAsia="es-ES"/>
        </w:rPr>
        <w:t>Poderes Públicos</w:t>
      </w:r>
      <w:r w:rsidR="00227BB4" w:rsidRPr="00287C00">
        <w:rPr>
          <w:rFonts w:eastAsia="Times New Roman" w:cs="Tahoma"/>
          <w:iCs/>
          <w:color w:val="auto"/>
          <w:lang w:eastAsia="es-ES"/>
        </w:rPr>
        <w:t>.</w:t>
      </w:r>
    </w:p>
    <w:p w14:paraId="68C60C94" w14:textId="77777777" w:rsidR="0073110D" w:rsidRPr="00287C00" w:rsidRDefault="0073110D" w:rsidP="00287C00">
      <w:pPr>
        <w:spacing w:after="0" w:line="360" w:lineRule="auto"/>
        <w:rPr>
          <w:rFonts w:eastAsia="Times New Roman" w:cs="Tahoma"/>
          <w:iCs/>
          <w:color w:val="auto"/>
          <w:lang w:val="es-ES" w:eastAsia="es-ES"/>
        </w:rPr>
      </w:pPr>
    </w:p>
    <w:p w14:paraId="167363B6" w14:textId="2C7D8F60" w:rsidR="006745A6" w:rsidRPr="00287C00" w:rsidRDefault="00227BB4" w:rsidP="00287C00">
      <w:pPr>
        <w:spacing w:after="0" w:line="360" w:lineRule="auto"/>
        <w:rPr>
          <w:rFonts w:eastAsia="Times New Roman" w:cs="Tahoma"/>
          <w:iCs/>
          <w:color w:val="auto"/>
          <w:lang w:val="es-ES" w:eastAsia="es-ES"/>
        </w:rPr>
      </w:pPr>
      <w:r w:rsidRPr="00287C00">
        <w:rPr>
          <w:rFonts w:eastAsia="Times New Roman" w:cs="Tahoma"/>
          <w:iCs/>
          <w:color w:val="auto"/>
          <w:lang w:val="es-ES" w:eastAsia="es-ES"/>
        </w:rPr>
        <w:lastRenderedPageBreak/>
        <w:t>Además</w:t>
      </w:r>
      <w:r w:rsidR="00FE53E2" w:rsidRPr="00287C00">
        <w:rPr>
          <w:rFonts w:eastAsia="Times New Roman" w:cs="Tahoma"/>
          <w:iCs/>
          <w:color w:val="auto"/>
          <w:lang w:val="es-ES" w:eastAsia="es-ES"/>
        </w:rPr>
        <w:t>, el artículo 32</w:t>
      </w:r>
      <w:r w:rsidRPr="00287C00">
        <w:rPr>
          <w:rFonts w:eastAsia="Times New Roman" w:cs="Tahoma"/>
          <w:iCs/>
          <w:color w:val="auto"/>
          <w:lang w:val="es-ES" w:eastAsia="es-ES"/>
        </w:rPr>
        <w:t xml:space="preserve"> de dicho ordenamiento jurídico</w:t>
      </w:r>
      <w:r w:rsidR="00FE53E2" w:rsidRPr="00287C00">
        <w:rPr>
          <w:rFonts w:eastAsia="Times New Roman" w:cs="Tahoma"/>
          <w:bCs/>
          <w:iCs/>
          <w:color w:val="auto"/>
          <w:lang w:eastAsia="es-ES"/>
        </w:rPr>
        <w:t xml:space="preserve">, establece que las Entidades Fiscalizables </w:t>
      </w:r>
      <w:r w:rsidR="00FE53E2" w:rsidRPr="00287C00">
        <w:rPr>
          <w:rFonts w:eastAsia="Times New Roman" w:cs="Tahoma"/>
          <w:bCs/>
          <w:iCs/>
          <w:color w:val="auto"/>
          <w:lang w:val="es-ES" w:eastAsia="es-ES"/>
        </w:rPr>
        <w:t xml:space="preserve">deberán presentar los informes trimestrales dentro de los veinte días hábiles posteriores al término del trimestre correspondiente. </w:t>
      </w:r>
    </w:p>
    <w:p w14:paraId="63C4FB28" w14:textId="77777777" w:rsidR="006745A6" w:rsidRPr="00287C00" w:rsidRDefault="006745A6" w:rsidP="00287C00">
      <w:pPr>
        <w:spacing w:after="0" w:line="360" w:lineRule="auto"/>
        <w:rPr>
          <w:rFonts w:eastAsia="Times New Roman" w:cs="Tahoma"/>
          <w:iCs/>
          <w:color w:val="auto"/>
          <w:lang w:val="es-ES" w:eastAsia="es-ES"/>
        </w:rPr>
      </w:pPr>
    </w:p>
    <w:p w14:paraId="16E416A9" w14:textId="24363FEF" w:rsidR="00FE53E2" w:rsidRPr="00287C00" w:rsidRDefault="00FE53E2"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En ese orden de ideas, el diverso 8°, fracciones XI y XIV, de dicho ordenamiento jurídico, establece que el Órgano Superior de Fiscalización del Estado de México, será el encargado de establecer los lineamientos necesarios para la elaboración de los informes mensuales</w:t>
      </w:r>
      <w:r w:rsidR="00227BB4" w:rsidRPr="00287C00">
        <w:rPr>
          <w:rFonts w:eastAsia="Times New Roman" w:cs="Tahoma"/>
          <w:bCs/>
          <w:iCs/>
          <w:color w:val="auto"/>
          <w:lang w:eastAsia="es-ES"/>
        </w:rPr>
        <w:t xml:space="preserve"> o trimestrales</w:t>
      </w:r>
      <w:r w:rsidRPr="00287C00">
        <w:rPr>
          <w:rFonts w:eastAsia="Times New Roman" w:cs="Tahoma"/>
          <w:bCs/>
          <w:iCs/>
          <w:color w:val="auto"/>
          <w:lang w:eastAsia="es-ES"/>
        </w:rPr>
        <w:t>; además que verificará que dichos informes hayan sido presentados conforme a la normatividad aplicable.</w:t>
      </w:r>
    </w:p>
    <w:p w14:paraId="4745FECD" w14:textId="5889A132" w:rsidR="006745A6" w:rsidRPr="00287C00" w:rsidRDefault="006745A6" w:rsidP="00287C00">
      <w:pPr>
        <w:spacing w:after="0" w:line="360" w:lineRule="auto"/>
        <w:rPr>
          <w:rFonts w:eastAsia="Times New Roman" w:cs="Tahoma"/>
          <w:iCs/>
          <w:color w:val="auto"/>
          <w:lang w:val="es-ES" w:eastAsia="es-ES"/>
        </w:rPr>
      </w:pPr>
    </w:p>
    <w:p w14:paraId="160DAB03" w14:textId="0AF1251A" w:rsidR="00CF3569" w:rsidRPr="00CF3569" w:rsidRDefault="00CF3569" w:rsidP="00287C00">
      <w:pPr>
        <w:spacing w:after="0" w:line="360" w:lineRule="auto"/>
        <w:rPr>
          <w:rFonts w:eastAsia="Calibri" w:cs="Tahoma"/>
          <w:bCs/>
          <w:iCs/>
          <w:color w:val="auto"/>
          <w:lang w:eastAsia="es-ES_tradnl"/>
        </w:rPr>
      </w:pPr>
      <w:r w:rsidRPr="00CF3569">
        <w:rPr>
          <w:rFonts w:eastAsia="Calibri" w:cs="Tahoma"/>
          <w:bCs/>
          <w:iCs/>
          <w:color w:val="auto"/>
          <w:lang w:eastAsia="es-ES_tradnl"/>
        </w:rPr>
        <w:t xml:space="preserve">En ese sentido, en las Políticas para la Integración del Informe Trimestral de los Sujetos de Fiscalización </w:t>
      </w:r>
      <w:r w:rsidRPr="00287C00">
        <w:rPr>
          <w:rFonts w:eastAsia="Calibri" w:cs="Tahoma"/>
          <w:bCs/>
          <w:iCs/>
          <w:color w:val="auto"/>
          <w:lang w:eastAsia="es-ES_tradnl"/>
        </w:rPr>
        <w:t>Estatales</w:t>
      </w:r>
      <w:r w:rsidRPr="00CF3569">
        <w:rPr>
          <w:rFonts w:eastAsia="Calibri" w:cs="Tahoma"/>
          <w:bCs/>
          <w:iCs/>
          <w:color w:val="auto"/>
          <w:lang w:eastAsia="es-ES_tradnl"/>
        </w:rPr>
        <w:t xml:space="preserve">, para el ejercicio fiscal dos mil veintiuno, se advierte que el </w:t>
      </w:r>
      <w:r w:rsidRPr="00CF3569">
        <w:rPr>
          <w:rFonts w:eastAsia="Calibri" w:cs="Tahoma"/>
          <w:b/>
          <w:bCs/>
          <w:iCs/>
          <w:color w:val="auto"/>
          <w:lang w:eastAsia="es-ES_tradnl"/>
        </w:rPr>
        <w:t>Módulo 4</w:t>
      </w:r>
      <w:r w:rsidRPr="00CF3569">
        <w:rPr>
          <w:rFonts w:eastAsia="Calibri" w:cs="Tahoma"/>
          <w:bCs/>
          <w:iCs/>
          <w:color w:val="auto"/>
          <w:lang w:eastAsia="es-ES_tradnl"/>
        </w:rPr>
        <w:t xml:space="preserve">, </w:t>
      </w:r>
      <w:r w:rsidRPr="00CF3569">
        <w:rPr>
          <w:rFonts w:eastAsia="Calibri" w:cs="Tahoma"/>
          <w:bCs/>
          <w:iCs/>
          <w:color w:val="auto"/>
          <w:lang w:val="es-ES_tradnl" w:eastAsia="es-ES_tradnl"/>
        </w:rPr>
        <w:t xml:space="preserve">se integra por diversos documentos, entre los que se encuentra </w:t>
      </w:r>
      <w:r w:rsidRPr="00287C00">
        <w:rPr>
          <w:rFonts w:eastAsia="Calibri" w:cs="Tahoma"/>
          <w:bCs/>
          <w:iCs/>
          <w:color w:val="auto"/>
          <w:lang w:val="es-ES_tradnl" w:eastAsia="es-ES_tradnl"/>
        </w:rPr>
        <w:t>la Nómina Detallada</w:t>
      </w:r>
      <w:r w:rsidRPr="00CF3569">
        <w:rPr>
          <w:rFonts w:eastAsia="Calibri" w:cs="Tahoma"/>
          <w:bCs/>
          <w:iCs/>
          <w:color w:val="auto"/>
          <w:lang w:eastAsia="es-ES_tradnl"/>
        </w:rPr>
        <w:t>, mismo que será entregado al Órgano Superior de Fiscalización del Estado de México, tal como se muestra a continuación:</w:t>
      </w:r>
    </w:p>
    <w:p w14:paraId="32F9E783" w14:textId="38335918" w:rsidR="00CF3569" w:rsidRPr="00287C00" w:rsidRDefault="00CF3569" w:rsidP="00287C00">
      <w:pPr>
        <w:spacing w:after="0" w:line="360" w:lineRule="auto"/>
        <w:rPr>
          <w:rFonts w:eastAsia="Times New Roman" w:cs="Tahoma"/>
          <w:iCs/>
          <w:color w:val="auto"/>
          <w:lang w:val="es-ES" w:eastAsia="es-ES"/>
        </w:rPr>
      </w:pPr>
    </w:p>
    <w:p w14:paraId="24EDB2A8" w14:textId="684248A4" w:rsidR="00CF3569" w:rsidRPr="00287C00" w:rsidRDefault="00CF3569" w:rsidP="00287C00">
      <w:pPr>
        <w:spacing w:after="0" w:line="360" w:lineRule="auto"/>
        <w:rPr>
          <w:rFonts w:eastAsia="Times New Roman" w:cs="Tahoma"/>
          <w:iCs/>
          <w:color w:val="auto"/>
          <w:lang w:val="es-ES" w:eastAsia="es-ES"/>
        </w:rPr>
      </w:pPr>
      <w:r w:rsidRPr="00287C00">
        <w:rPr>
          <w:noProof/>
        </w:rPr>
        <w:drawing>
          <wp:inline distT="0" distB="0" distL="0" distR="0" wp14:anchorId="51E9BCFA" wp14:editId="346CE140">
            <wp:extent cx="5791835" cy="1141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141095"/>
                    </a:xfrm>
                    <a:prstGeom prst="rect">
                      <a:avLst/>
                    </a:prstGeom>
                  </pic:spPr>
                </pic:pic>
              </a:graphicData>
            </a:graphic>
          </wp:inline>
        </w:drawing>
      </w:r>
    </w:p>
    <w:p w14:paraId="2ED0F9F9" w14:textId="225F6456" w:rsidR="00CF3569" w:rsidRPr="00287C00" w:rsidRDefault="00CF3569" w:rsidP="00287C00">
      <w:pPr>
        <w:spacing w:after="0" w:line="360" w:lineRule="auto"/>
        <w:rPr>
          <w:rFonts w:eastAsia="Times New Roman" w:cs="Tahoma"/>
          <w:bCs/>
          <w:iCs/>
          <w:color w:val="auto"/>
          <w:lang w:val="es-ES_tradnl" w:eastAsia="es-ES"/>
        </w:rPr>
      </w:pPr>
    </w:p>
    <w:p w14:paraId="4098F668" w14:textId="4552F8F6" w:rsidR="00CF3569" w:rsidRPr="00287C00" w:rsidRDefault="00CF3569" w:rsidP="00287C00">
      <w:pPr>
        <w:spacing w:after="0" w:line="360" w:lineRule="auto"/>
        <w:rPr>
          <w:rFonts w:eastAsia="Times New Roman" w:cs="Tahoma"/>
          <w:bCs/>
          <w:iCs/>
          <w:color w:val="auto"/>
          <w:lang w:val="es-ES_tradnl" w:eastAsia="es-ES"/>
        </w:rPr>
      </w:pPr>
      <w:r w:rsidRPr="00287C00">
        <w:rPr>
          <w:rFonts w:eastAsia="Times New Roman" w:cs="Tahoma"/>
          <w:bCs/>
          <w:iCs/>
          <w:color w:val="auto"/>
          <w:lang w:val="es-ES_tradnl" w:eastAsia="es-ES"/>
        </w:rPr>
        <w:t xml:space="preserve">Además del Instructivo de llenado de dicho formato, se logra observar que contiene la información referente a todos los sueldos, prestaciones y deducciones de cada uno de los servidores públicos adscritos de </w:t>
      </w:r>
      <w:r w:rsidR="00D9736E" w:rsidRPr="00287C00">
        <w:rPr>
          <w:rFonts w:eastAsia="Times New Roman" w:cs="Tahoma"/>
          <w:bCs/>
          <w:iCs/>
          <w:color w:val="auto"/>
          <w:lang w:val="es-ES_tradnl" w:eastAsia="es-ES"/>
        </w:rPr>
        <w:t>la dependencia, de una quincena en específico, esto es, contiene la información de manera quincenal.</w:t>
      </w:r>
    </w:p>
    <w:p w14:paraId="56EFDCDE" w14:textId="1B25D0EF" w:rsidR="00824599" w:rsidRPr="00287C00" w:rsidRDefault="00824599" w:rsidP="00287C00">
      <w:pPr>
        <w:spacing w:after="0" w:line="360" w:lineRule="auto"/>
        <w:jc w:val="center"/>
        <w:rPr>
          <w:rFonts w:eastAsia="Times New Roman" w:cs="Tahoma"/>
          <w:bCs/>
          <w:iCs/>
          <w:color w:val="auto"/>
          <w:lang w:val="es-ES_tradnl" w:eastAsia="es-ES"/>
        </w:rPr>
      </w:pPr>
    </w:p>
    <w:p w14:paraId="14CD12F4" w14:textId="7FC4CF6D" w:rsidR="00D9736E" w:rsidRPr="00287C00" w:rsidRDefault="00D9736E" w:rsidP="00287C00">
      <w:pPr>
        <w:spacing w:after="0" w:line="360" w:lineRule="auto"/>
        <w:rPr>
          <w:rFonts w:eastAsia="Times New Roman" w:cs="Tahoma"/>
          <w:bCs/>
          <w:iCs/>
          <w:color w:val="auto"/>
          <w:lang w:val="es-ES_tradnl" w:eastAsia="es-ES"/>
        </w:rPr>
      </w:pPr>
      <w:r w:rsidRPr="00287C00">
        <w:rPr>
          <w:rFonts w:eastAsia="Times New Roman" w:cs="Tahoma"/>
          <w:bCs/>
          <w:iCs/>
          <w:color w:val="auto"/>
          <w:lang w:val="es-ES_tradnl" w:eastAsia="es-ES"/>
        </w:rPr>
        <w:lastRenderedPageBreak/>
        <w:t xml:space="preserve">Ahora bien, no pasa desapercibido que la pretensión del ahora Recurrente es obtener la información de la nómina veintidós, </w:t>
      </w:r>
      <w:proofErr w:type="gramStart"/>
      <w:r w:rsidRPr="00287C00">
        <w:rPr>
          <w:rFonts w:eastAsia="Times New Roman" w:cs="Tahoma"/>
          <w:bCs/>
          <w:iCs/>
          <w:color w:val="auto"/>
          <w:lang w:val="es-ES_tradnl" w:eastAsia="es-ES"/>
        </w:rPr>
        <w:t>que</w:t>
      </w:r>
      <w:proofErr w:type="gramEnd"/>
      <w:r w:rsidRPr="00287C00">
        <w:rPr>
          <w:rFonts w:eastAsia="Times New Roman" w:cs="Tahoma"/>
          <w:bCs/>
          <w:iCs/>
          <w:color w:val="auto"/>
          <w:lang w:val="es-ES_tradnl" w:eastAsia="es-ES"/>
        </w:rPr>
        <w:t xml:space="preserve"> si bien no es claro a que se refiere a dicho número, se logra observar que corresponde al número de quincena de la cual requiere la información; por lo que, en el presente caso, </w:t>
      </w:r>
      <w:r w:rsidR="007C04A8" w:rsidRPr="00287C00">
        <w:rPr>
          <w:rFonts w:eastAsia="Times New Roman" w:cs="Tahoma"/>
          <w:bCs/>
          <w:iCs/>
          <w:color w:val="auto"/>
          <w:lang w:val="es-ES_tradnl" w:eastAsia="es-ES"/>
        </w:rPr>
        <w:t>al ser la número veintidós, corresponde a la segunda quincena de noviembre de dos mil veintiuno.</w:t>
      </w:r>
    </w:p>
    <w:p w14:paraId="4AF91008" w14:textId="77777777" w:rsidR="00A73358" w:rsidRPr="00287C00" w:rsidRDefault="00A73358" w:rsidP="00287C00">
      <w:pPr>
        <w:spacing w:after="0" w:line="360" w:lineRule="auto"/>
        <w:rPr>
          <w:rFonts w:eastAsia="Times New Roman" w:cs="Tahoma"/>
          <w:bCs/>
          <w:iCs/>
          <w:color w:val="auto"/>
          <w:lang w:val="es-ES_tradnl" w:eastAsia="es-ES"/>
        </w:rPr>
      </w:pPr>
    </w:p>
    <w:p w14:paraId="7523CDCD" w14:textId="37DFE9DE" w:rsidR="004B5B1B" w:rsidRPr="00287C00" w:rsidRDefault="007C04A8" w:rsidP="00287C00">
      <w:pPr>
        <w:spacing w:after="0" w:line="360" w:lineRule="auto"/>
        <w:rPr>
          <w:rFonts w:eastAsia="Times New Roman" w:cs="Tahoma"/>
          <w:b/>
          <w:bCs/>
          <w:iCs/>
          <w:color w:val="auto"/>
          <w:lang w:eastAsia="es-ES"/>
        </w:rPr>
      </w:pPr>
      <w:r w:rsidRPr="00287C00">
        <w:rPr>
          <w:rFonts w:eastAsia="Times New Roman" w:cs="Tahoma"/>
          <w:bCs/>
          <w:iCs/>
          <w:color w:val="auto"/>
          <w:lang w:val="es-ES_tradnl" w:eastAsia="es-ES"/>
        </w:rPr>
        <w:t xml:space="preserve">Conforme a lo anterior, se logra observar, por una </w:t>
      </w:r>
      <w:r w:rsidR="003829E7" w:rsidRPr="00287C00">
        <w:rPr>
          <w:rFonts w:eastAsia="Times New Roman" w:cs="Tahoma"/>
          <w:bCs/>
          <w:iCs/>
          <w:color w:val="auto"/>
          <w:lang w:val="es-ES_tradnl" w:eastAsia="es-ES"/>
        </w:rPr>
        <w:t xml:space="preserve">parte, que </w:t>
      </w:r>
      <w:r w:rsidRPr="00287C00">
        <w:rPr>
          <w:rFonts w:eastAsia="Times New Roman" w:cs="Tahoma"/>
          <w:bCs/>
          <w:iCs/>
          <w:color w:val="auto"/>
          <w:lang w:val="es-ES_tradnl" w:eastAsia="es-ES"/>
        </w:rPr>
        <w:t xml:space="preserve">se solicitó la Nómina Detallada de la segunda quincena de noviembre de dos mil veintiuno y, por otra parte, que la </w:t>
      </w:r>
      <w:r w:rsidR="004B5B1B" w:rsidRPr="00287C00">
        <w:rPr>
          <w:rFonts w:eastAsia="Times New Roman" w:cs="Tahoma"/>
          <w:bCs/>
          <w:iCs/>
          <w:color w:val="auto"/>
          <w:lang w:eastAsia="es-ES"/>
        </w:rPr>
        <w:t xml:space="preserve">Comisión de Conciliación y Arbitraje Médico del Estado de México, tiene competencia para conocer </w:t>
      </w:r>
      <w:r w:rsidRPr="00287C00">
        <w:rPr>
          <w:rFonts w:eastAsia="Times New Roman" w:cs="Tahoma"/>
          <w:bCs/>
          <w:iCs/>
          <w:color w:val="auto"/>
          <w:lang w:eastAsia="es-ES"/>
        </w:rPr>
        <w:t xml:space="preserve">de dicho documento, al tenerlo que </w:t>
      </w:r>
      <w:r w:rsidR="003829E7" w:rsidRPr="00287C00">
        <w:rPr>
          <w:rFonts w:eastAsia="Times New Roman" w:cs="Tahoma"/>
          <w:bCs/>
          <w:iCs/>
          <w:color w:val="auto"/>
          <w:lang w:eastAsia="es-ES"/>
        </w:rPr>
        <w:t>elaborar y presentar el Órgano Superior de Fiscalización.</w:t>
      </w:r>
    </w:p>
    <w:p w14:paraId="799B29E1" w14:textId="7F054B40" w:rsidR="00FE53E2" w:rsidRPr="00287C00" w:rsidRDefault="00FE53E2" w:rsidP="00287C00">
      <w:pPr>
        <w:spacing w:after="0" w:line="360" w:lineRule="auto"/>
        <w:rPr>
          <w:rFonts w:eastAsia="Times New Roman" w:cs="Tahoma"/>
          <w:iCs/>
          <w:color w:val="auto"/>
          <w:lang w:val="es-ES" w:eastAsia="es-ES"/>
        </w:rPr>
      </w:pPr>
    </w:p>
    <w:p w14:paraId="0924C4EC" w14:textId="3531FAF8" w:rsidR="003829E7" w:rsidRPr="00287C00" w:rsidRDefault="003829E7" w:rsidP="00287C00">
      <w:pPr>
        <w:spacing w:after="0" w:line="360" w:lineRule="auto"/>
        <w:rPr>
          <w:rFonts w:eastAsia="Times New Roman" w:cs="Tahoma"/>
          <w:iCs/>
          <w:color w:val="auto"/>
          <w:lang w:val="es-ES" w:eastAsia="es-ES"/>
        </w:rPr>
      </w:pPr>
      <w:bookmarkStart w:id="0" w:name="_Hlk96598878"/>
      <w:r w:rsidRPr="00287C00">
        <w:rPr>
          <w:rFonts w:eastAsia="Times New Roman" w:cs="Tahoma"/>
          <w:iCs/>
          <w:color w:val="auto"/>
          <w:lang w:val="es-ES" w:eastAsia="es-ES"/>
        </w:rPr>
        <w:t>Ahora bien, en respuesta el Sujeto Obligado aludió a que el requerimiento de información no era claro y, por lo tanto, no podía atender la solicitud de información; lo cual resulta incorrecto, pues como se precisó en párrafos anteriores, de la lectura del pedimento, se logra vislumbrar que se requiere en el presente caso, un documento específico, de un periodo determinado.</w:t>
      </w:r>
    </w:p>
    <w:p w14:paraId="3CE48E34" w14:textId="27302E25" w:rsidR="003829E7" w:rsidRPr="00287C00" w:rsidRDefault="003829E7" w:rsidP="00287C00">
      <w:pPr>
        <w:spacing w:after="0" w:line="360" w:lineRule="auto"/>
        <w:rPr>
          <w:rFonts w:eastAsia="Times New Roman" w:cs="Tahoma"/>
          <w:iCs/>
          <w:color w:val="auto"/>
          <w:lang w:val="es-ES" w:eastAsia="es-ES"/>
        </w:rPr>
      </w:pPr>
    </w:p>
    <w:p w14:paraId="50A2990B" w14:textId="2BFE3091" w:rsidR="004B5B1B" w:rsidRPr="00287C00" w:rsidRDefault="003829E7" w:rsidP="00287C00">
      <w:pPr>
        <w:spacing w:after="0" w:line="360" w:lineRule="auto"/>
        <w:rPr>
          <w:rFonts w:eastAsia="Times New Roman" w:cs="Tahoma"/>
          <w:bCs/>
          <w:iCs/>
          <w:color w:val="auto"/>
          <w:lang w:eastAsia="es-ES"/>
        </w:rPr>
      </w:pPr>
      <w:r w:rsidRPr="00287C00">
        <w:rPr>
          <w:rFonts w:eastAsia="Times New Roman" w:cs="Tahoma"/>
          <w:iCs/>
          <w:color w:val="auto"/>
          <w:lang w:val="es-ES" w:eastAsia="es-ES"/>
        </w:rPr>
        <w:t>Aunado a lo anterior, de las constancias que obran en el expediente, no se logra vislumbrar a que áreas se turnó la solicitud; por lo que</w:t>
      </w:r>
      <w:r w:rsidR="004B5B1B" w:rsidRPr="00287C00">
        <w:rPr>
          <w:rFonts w:eastAsia="Times New Roman" w:cs="Tahoma"/>
          <w:iCs/>
          <w:color w:val="auto"/>
          <w:lang w:val="es-ES" w:eastAsia="es-ES"/>
        </w:rPr>
        <w:t>, r</w:t>
      </w:r>
      <w:r w:rsidR="004B5B1B" w:rsidRPr="00287C00">
        <w:rPr>
          <w:rFonts w:eastAsia="Times New Roman" w:cs="Tahoma"/>
          <w:bCs/>
          <w:iCs/>
          <w:color w:val="auto"/>
          <w:lang w:eastAsia="es-ES"/>
        </w:rPr>
        <w:t>esulta necesario hacer referencia al procedimiento de búsqueda que d</w:t>
      </w:r>
      <w:r w:rsidRPr="00287C00">
        <w:rPr>
          <w:rFonts w:eastAsia="Times New Roman" w:cs="Tahoma"/>
          <w:bCs/>
          <w:iCs/>
          <w:color w:val="auto"/>
          <w:lang w:eastAsia="es-ES"/>
        </w:rPr>
        <w:t>ebió</w:t>
      </w:r>
      <w:r w:rsidR="004B5B1B" w:rsidRPr="00287C00">
        <w:rPr>
          <w:rFonts w:eastAsia="Times New Roman" w:cs="Tahoma"/>
          <w:bCs/>
          <w:iCs/>
          <w:color w:val="auto"/>
          <w:lang w:eastAsia="es-ES"/>
        </w:rPr>
        <w:t xml:space="preserve"> seguir los Sujetos Obligados para localizar la información, el cual se encuentra previsto en los artículos 160 y 162 de la Ley de Transparencia y Acceso a la Información Pública del Estado de México y Municipios, mismo que es el siguiente:</w:t>
      </w:r>
    </w:p>
    <w:p w14:paraId="08D62207" w14:textId="77777777" w:rsidR="004B5B1B" w:rsidRPr="00287C00" w:rsidRDefault="004B5B1B" w:rsidP="00287C00">
      <w:pPr>
        <w:spacing w:after="0" w:line="360" w:lineRule="auto"/>
        <w:rPr>
          <w:rFonts w:eastAsia="Times New Roman" w:cs="Tahoma"/>
          <w:bCs/>
          <w:iCs/>
          <w:color w:val="auto"/>
          <w:lang w:eastAsia="es-ES"/>
        </w:rPr>
      </w:pPr>
    </w:p>
    <w:p w14:paraId="19E410A8" w14:textId="77777777" w:rsidR="004B5B1B" w:rsidRPr="00287C00" w:rsidRDefault="004B5B1B" w:rsidP="00287C00">
      <w:pPr>
        <w:numPr>
          <w:ilvl w:val="0"/>
          <w:numId w:val="1"/>
        </w:numPr>
        <w:spacing w:after="0" w:line="360" w:lineRule="auto"/>
        <w:rPr>
          <w:rFonts w:eastAsia="Times New Roman" w:cs="Tahoma"/>
          <w:bCs/>
          <w:iCs/>
          <w:color w:val="auto"/>
          <w:lang w:val="es-ES" w:eastAsia="es-ES"/>
        </w:rPr>
      </w:pPr>
      <w:r w:rsidRPr="00287C00">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D5FB3A7" w14:textId="77777777" w:rsidR="004B5B1B" w:rsidRPr="00287C00" w:rsidRDefault="004B5B1B" w:rsidP="00287C00">
      <w:pPr>
        <w:spacing w:after="0" w:line="360" w:lineRule="auto"/>
        <w:rPr>
          <w:rFonts w:eastAsia="Times New Roman" w:cs="Tahoma"/>
          <w:bCs/>
          <w:iCs/>
          <w:color w:val="auto"/>
          <w:lang w:val="es-ES" w:eastAsia="es-ES"/>
        </w:rPr>
      </w:pPr>
    </w:p>
    <w:p w14:paraId="3B7BF778" w14:textId="77777777" w:rsidR="004B5B1B" w:rsidRPr="00287C00" w:rsidRDefault="004B5B1B" w:rsidP="00287C00">
      <w:pPr>
        <w:numPr>
          <w:ilvl w:val="0"/>
          <w:numId w:val="1"/>
        </w:numPr>
        <w:spacing w:after="0" w:line="360" w:lineRule="auto"/>
        <w:rPr>
          <w:rFonts w:eastAsia="Times New Roman" w:cs="Tahoma"/>
          <w:bCs/>
          <w:iCs/>
          <w:color w:val="auto"/>
          <w:lang w:val="es-ES" w:eastAsia="es-ES"/>
        </w:rPr>
      </w:pPr>
      <w:r w:rsidRPr="00287C00">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DD17C5B" w14:textId="77777777" w:rsidR="004B5B1B" w:rsidRPr="00287C00" w:rsidRDefault="004B5B1B" w:rsidP="00287C00">
      <w:pPr>
        <w:spacing w:after="0" w:line="360" w:lineRule="auto"/>
        <w:rPr>
          <w:rFonts w:eastAsia="Times New Roman" w:cs="Tahoma"/>
          <w:bCs/>
          <w:iCs/>
          <w:color w:val="auto"/>
          <w:lang w:eastAsia="es-ES"/>
        </w:rPr>
      </w:pPr>
    </w:p>
    <w:p w14:paraId="6FB4CF6D" w14:textId="526EAA84" w:rsidR="00162FDD" w:rsidRPr="00287C00" w:rsidRDefault="003829E7"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Así</w:t>
      </w:r>
      <w:r w:rsidR="004B5B1B" w:rsidRPr="00287C00">
        <w:rPr>
          <w:rFonts w:eastAsia="Times New Roman" w:cs="Tahoma"/>
          <w:bCs/>
          <w:iCs/>
          <w:color w:val="auto"/>
          <w:lang w:eastAsia="es-ES"/>
        </w:rPr>
        <w:t xml:space="preserve">, a efecto de determinar si el Sujeto Obligado cumplió con el procedimiento de búsqueda, resulta necesario traer </w:t>
      </w:r>
      <w:r w:rsidRPr="00287C00">
        <w:rPr>
          <w:rFonts w:eastAsia="Times New Roman" w:cs="Tahoma"/>
          <w:bCs/>
          <w:iCs/>
          <w:color w:val="auto"/>
          <w:lang w:eastAsia="es-ES"/>
        </w:rPr>
        <w:t>a colación los</w:t>
      </w:r>
      <w:r w:rsidR="006D0B7A" w:rsidRPr="00287C00">
        <w:rPr>
          <w:rFonts w:eastAsia="Times New Roman" w:cs="Tahoma"/>
          <w:bCs/>
          <w:iCs/>
          <w:color w:val="auto"/>
          <w:lang w:eastAsia="es-ES"/>
        </w:rPr>
        <w:t xml:space="preserve"> artículo</w:t>
      </w:r>
      <w:r w:rsidRPr="00287C00">
        <w:rPr>
          <w:rFonts w:eastAsia="Times New Roman" w:cs="Tahoma"/>
          <w:bCs/>
          <w:iCs/>
          <w:color w:val="auto"/>
          <w:lang w:eastAsia="es-ES"/>
        </w:rPr>
        <w:t>s</w:t>
      </w:r>
      <w:r w:rsidR="006D0B7A" w:rsidRPr="00287C00">
        <w:rPr>
          <w:rFonts w:eastAsia="Times New Roman" w:cs="Tahoma"/>
          <w:bCs/>
          <w:iCs/>
          <w:color w:val="auto"/>
          <w:lang w:eastAsia="es-ES"/>
        </w:rPr>
        <w:t xml:space="preserve"> 6</w:t>
      </w:r>
      <w:r w:rsidRPr="00287C00">
        <w:rPr>
          <w:rFonts w:eastAsia="Times New Roman" w:cs="Tahoma"/>
          <w:bCs/>
          <w:iCs/>
          <w:color w:val="auto"/>
          <w:lang w:eastAsia="es-ES"/>
        </w:rPr>
        <w:t>°</w:t>
      </w:r>
      <w:r w:rsidR="006D0B7A" w:rsidRPr="00287C00">
        <w:rPr>
          <w:rFonts w:eastAsia="Times New Roman" w:cs="Tahoma"/>
          <w:bCs/>
          <w:iCs/>
          <w:color w:val="auto"/>
          <w:lang w:eastAsia="es-ES"/>
        </w:rPr>
        <w:t>, fracción VIII</w:t>
      </w:r>
      <w:r w:rsidRPr="00287C00">
        <w:rPr>
          <w:rFonts w:eastAsia="Times New Roman" w:cs="Tahoma"/>
          <w:bCs/>
          <w:iCs/>
          <w:color w:val="auto"/>
          <w:lang w:eastAsia="es-ES"/>
        </w:rPr>
        <w:t>, y 23, fracción I</w:t>
      </w:r>
      <w:r w:rsidR="006D0B7A" w:rsidRPr="00287C00">
        <w:rPr>
          <w:rFonts w:eastAsia="Times New Roman" w:cs="Tahoma"/>
          <w:bCs/>
          <w:iCs/>
          <w:color w:val="auto"/>
          <w:lang w:eastAsia="es-ES"/>
        </w:rPr>
        <w:t>, del Reglamento Interno de la Comisión de Conciliación y Arbitraje Médico del Estado de México</w:t>
      </w:r>
      <w:r w:rsidRPr="00287C00">
        <w:rPr>
          <w:rFonts w:eastAsia="Times New Roman" w:cs="Tahoma"/>
          <w:bCs/>
          <w:iCs/>
          <w:color w:val="auto"/>
          <w:lang w:eastAsia="es-ES"/>
        </w:rPr>
        <w:t xml:space="preserve">, que establecen que el Sujeto Obligado cuenta con diversas unidades administrativas para el ejercicio de sus funciones, entre las cuales, se encuentra la Unidad de Apoyo Administrativo, encargada de </w:t>
      </w:r>
      <w:r w:rsidR="00DE5BC0" w:rsidRPr="00287C00">
        <w:rPr>
          <w:rFonts w:eastAsia="Times New Roman" w:cs="Tahoma"/>
          <w:bCs/>
          <w:iCs/>
          <w:color w:val="auto"/>
          <w:lang w:eastAsia="es-ES"/>
        </w:rPr>
        <w:t>aplicar las políticas, normas, sistemas y procedimientos para la programación, presupuestación y administración de los recursos asignados a la Comisión</w:t>
      </w:r>
      <w:r w:rsidRPr="00287C00">
        <w:rPr>
          <w:rFonts w:eastAsia="Times New Roman" w:cs="Tahoma"/>
          <w:bCs/>
          <w:iCs/>
          <w:color w:val="auto"/>
          <w:lang w:eastAsia="es-ES"/>
        </w:rPr>
        <w:t xml:space="preserve">; además que conforme al </w:t>
      </w:r>
      <w:r w:rsidR="00DE5BC0" w:rsidRPr="00287C00">
        <w:rPr>
          <w:rFonts w:eastAsia="Times New Roman" w:cs="Tahoma"/>
          <w:bCs/>
          <w:iCs/>
          <w:color w:val="auto"/>
          <w:lang w:eastAsia="es-ES"/>
        </w:rPr>
        <w:t>Manual General de Organización de la Comisión de Conciliación y Arbitraje Médico del Estado de México,</w:t>
      </w:r>
      <w:r w:rsidR="00162FDD" w:rsidRPr="00287C00">
        <w:rPr>
          <w:rFonts w:eastAsia="Times New Roman" w:cs="Tahoma"/>
          <w:bCs/>
          <w:iCs/>
          <w:color w:val="auto"/>
          <w:lang w:eastAsia="es-ES"/>
        </w:rPr>
        <w:t xml:space="preserve"> </w:t>
      </w:r>
      <w:r w:rsidRPr="00287C00">
        <w:rPr>
          <w:rFonts w:eastAsia="Times New Roman" w:cs="Tahoma"/>
          <w:bCs/>
          <w:iCs/>
          <w:color w:val="auto"/>
          <w:lang w:eastAsia="es-ES"/>
        </w:rPr>
        <w:t xml:space="preserve">se encarga de </w:t>
      </w:r>
      <w:r w:rsidR="00B35CD6" w:rsidRPr="00287C00">
        <w:rPr>
          <w:rFonts w:eastAsia="Times New Roman" w:cs="Tahoma"/>
          <w:bCs/>
          <w:iCs/>
          <w:color w:val="auto"/>
          <w:lang w:eastAsia="es-ES"/>
        </w:rPr>
        <w:t>f</w:t>
      </w:r>
      <w:r w:rsidR="00162FDD" w:rsidRPr="00287C00">
        <w:rPr>
          <w:rFonts w:cs="Tahoma"/>
          <w:bCs/>
          <w:iCs/>
          <w:color w:val="auto"/>
        </w:rPr>
        <w:t xml:space="preserve">ormular los reportes relativos </w:t>
      </w:r>
      <w:r w:rsidR="00B35CD6" w:rsidRPr="00287C00">
        <w:rPr>
          <w:rFonts w:cs="Tahoma"/>
          <w:bCs/>
          <w:iCs/>
          <w:color w:val="auto"/>
        </w:rPr>
        <w:t>al ejercicio del presupuesto</w:t>
      </w:r>
      <w:r w:rsidRPr="00287C00">
        <w:rPr>
          <w:rFonts w:cs="Tahoma"/>
          <w:bCs/>
          <w:iCs/>
          <w:color w:val="auto"/>
        </w:rPr>
        <w:t>, así como, de</w:t>
      </w:r>
      <w:r w:rsidR="00D86F72" w:rsidRPr="00287C00">
        <w:rPr>
          <w:rFonts w:cs="Tahoma"/>
          <w:bCs/>
          <w:iCs/>
          <w:color w:val="auto"/>
        </w:rPr>
        <w:t xml:space="preserve"> recopilar e integrar la información financiera que se requiera para la formulación de la cuenta pública.</w:t>
      </w:r>
    </w:p>
    <w:p w14:paraId="06866B6F" w14:textId="77777777" w:rsidR="00DE5BC0" w:rsidRPr="00287C00" w:rsidRDefault="00DE5BC0" w:rsidP="00287C00">
      <w:pPr>
        <w:spacing w:after="0" w:line="360" w:lineRule="auto"/>
        <w:rPr>
          <w:rFonts w:eastAsia="Times New Roman" w:cs="Tahoma"/>
          <w:bCs/>
          <w:iCs/>
          <w:color w:val="auto"/>
          <w:lang w:eastAsia="es-ES"/>
        </w:rPr>
      </w:pPr>
    </w:p>
    <w:p w14:paraId="6DD424EA" w14:textId="3438BE64" w:rsidR="00FE53E2" w:rsidRPr="00287C00" w:rsidRDefault="003829E7"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Conforme a lo anterior</w:t>
      </w:r>
      <w:r w:rsidR="006F7940" w:rsidRPr="00287C00">
        <w:rPr>
          <w:rFonts w:eastAsia="Times New Roman" w:cs="Tahoma"/>
          <w:bCs/>
          <w:iCs/>
          <w:color w:val="auto"/>
          <w:lang w:eastAsia="es-ES"/>
        </w:rPr>
        <w:t xml:space="preserve">, se logra colegir que el Sujeto Obligado cuenta con un área competente para </w:t>
      </w:r>
      <w:r w:rsidRPr="00287C00">
        <w:rPr>
          <w:rFonts w:eastAsia="Times New Roman" w:cs="Tahoma"/>
          <w:bCs/>
          <w:iCs/>
          <w:color w:val="auto"/>
          <w:lang w:eastAsia="es-ES"/>
        </w:rPr>
        <w:t>conocer de la información peticionada</w:t>
      </w:r>
      <w:r w:rsidR="00D436AA" w:rsidRPr="00287C00">
        <w:rPr>
          <w:rFonts w:eastAsia="Times New Roman" w:cs="Tahoma"/>
          <w:iCs/>
          <w:color w:val="auto"/>
          <w:lang w:eastAsia="es-ES"/>
        </w:rPr>
        <w:t xml:space="preserve">, a saber, la </w:t>
      </w:r>
      <w:r w:rsidR="00D436AA" w:rsidRPr="00287C00">
        <w:rPr>
          <w:rFonts w:eastAsia="Times New Roman" w:cs="Tahoma"/>
          <w:bCs/>
          <w:iCs/>
          <w:color w:val="auto"/>
          <w:lang w:eastAsia="es-ES"/>
        </w:rPr>
        <w:t>Unidad de Apoyo Administrativo</w:t>
      </w:r>
      <w:r w:rsidRPr="00287C00">
        <w:rPr>
          <w:rFonts w:eastAsia="Times New Roman" w:cs="Tahoma"/>
          <w:bCs/>
          <w:iCs/>
          <w:color w:val="auto"/>
          <w:lang w:eastAsia="es-ES"/>
        </w:rPr>
        <w:t>, que ve todas las cuestiones relacionadas con los informes trimestrales; por lo que</w:t>
      </w:r>
      <w:r w:rsidR="006569CE" w:rsidRPr="00287C00">
        <w:rPr>
          <w:rFonts w:eastAsia="Times New Roman" w:cs="Tahoma"/>
          <w:bCs/>
          <w:iCs/>
          <w:color w:val="auto"/>
          <w:lang w:eastAsia="es-ES"/>
        </w:rPr>
        <w:t xml:space="preserve">, es posible advertir que el Sujeto Obligado incumplió con el procedimiento de búsqueda </w:t>
      </w:r>
      <w:r w:rsidR="006569CE" w:rsidRPr="00287C00">
        <w:rPr>
          <w:rFonts w:eastAsia="Calibri" w:cs="Tahoma"/>
          <w:color w:val="000000"/>
          <w:szCs w:val="24"/>
          <w:lang w:val="es-ES" w:eastAsia="es-MX"/>
        </w:rPr>
        <w:t xml:space="preserve">establecido en el artículo 162 de la Ley de Transparencia y Acceso a la Información Pública del Estado de México y Municipios, al no turnar el requerimiento de información al área competente. </w:t>
      </w:r>
    </w:p>
    <w:p w14:paraId="7E99098F" w14:textId="77777777" w:rsidR="00D86F72" w:rsidRPr="00287C00" w:rsidRDefault="00D86F72" w:rsidP="00287C00">
      <w:pPr>
        <w:spacing w:after="0" w:line="360" w:lineRule="auto"/>
        <w:rPr>
          <w:rFonts w:eastAsia="Times New Roman" w:cs="Tahoma"/>
          <w:iCs/>
          <w:color w:val="auto"/>
          <w:lang w:val="es-ES" w:eastAsia="es-ES"/>
        </w:rPr>
      </w:pPr>
    </w:p>
    <w:p w14:paraId="1BBB3511" w14:textId="4CC46814" w:rsidR="00287C00" w:rsidRPr="00287C00" w:rsidRDefault="003829E7" w:rsidP="00287C00">
      <w:pPr>
        <w:spacing w:after="0" w:line="360" w:lineRule="auto"/>
      </w:pPr>
      <w:r w:rsidRPr="00287C00">
        <w:rPr>
          <w:rFonts w:eastAsia="Times New Roman" w:cs="Tahoma"/>
          <w:iCs/>
          <w:color w:val="auto"/>
          <w:lang w:val="es-ES" w:eastAsia="es-ES"/>
        </w:rPr>
        <w:t xml:space="preserve">Por otra parte, es de señalar que el artículo 159 de la Ley de Transparencia y Acceso a la Información Pública del Estado de México y Municipios, precisa que cuando los detalles </w:t>
      </w:r>
      <w:r w:rsidRPr="00287C00">
        <w:rPr>
          <w:rFonts w:eastAsia="Times New Roman" w:cs="Tahoma"/>
          <w:iCs/>
          <w:color w:val="auto"/>
          <w:lang w:val="es-ES" w:eastAsia="es-ES"/>
        </w:rPr>
        <w:lastRenderedPageBreak/>
        <w:t xml:space="preserve">proporcionados para localizar los documentos </w:t>
      </w:r>
      <w:r w:rsidR="00287C00" w:rsidRPr="00287C00">
        <w:rPr>
          <w:rFonts w:eastAsia="Times New Roman" w:cs="Tahoma"/>
          <w:iCs/>
          <w:color w:val="auto"/>
          <w:lang w:val="es-ES" w:eastAsia="es-ES"/>
        </w:rPr>
        <w:t xml:space="preserve">resulten </w:t>
      </w:r>
      <w:r w:rsidR="00287C00" w:rsidRPr="00287C00">
        <w:t>insuficientes, incompletos o sean erróneos, la Unidad de Transparencia podrá requerir al solicitante que indique otros elementos que complementen, corrijan o amplíen los datos proporcionados o bien, precise uno o varios requerimientos de información; lo cual no aconteció, pues la Comisión únicamente dio contestación al requerimiento al señalar que no podía atenderlo, al no ser clara la solicitud.</w:t>
      </w:r>
    </w:p>
    <w:p w14:paraId="25D9A1DB" w14:textId="29231930" w:rsidR="00287C00" w:rsidRPr="00287C00" w:rsidRDefault="00287C00" w:rsidP="00287C00">
      <w:pPr>
        <w:spacing w:after="0" w:line="360" w:lineRule="auto"/>
      </w:pPr>
    </w:p>
    <w:p w14:paraId="72F7962B" w14:textId="6722EE67" w:rsidR="006B3A28" w:rsidRPr="00287C00" w:rsidRDefault="00287C00" w:rsidP="00287C00">
      <w:pPr>
        <w:spacing w:after="0" w:line="360" w:lineRule="auto"/>
        <w:rPr>
          <w:rFonts w:eastAsia="Times New Roman" w:cs="Tahoma"/>
          <w:b/>
          <w:iCs/>
          <w:color w:val="auto"/>
          <w:lang w:val="es-ES" w:eastAsia="es-ES"/>
        </w:rPr>
      </w:pPr>
      <w:r w:rsidRPr="00287C00">
        <w:t xml:space="preserve">Conforme a lo anterior, se considera que toda vez que el Sujeto Obligado no siguió el procedimiento de búsqueda, no requirió una aclaración ante la duda del requerimiento y a consideración de este Instituto existían suficientes elementos para atender el requerimiento de información, se considera que el </w:t>
      </w:r>
      <w:r w:rsidR="008354C0" w:rsidRPr="00287C00">
        <w:rPr>
          <w:rFonts w:eastAsia="Times New Roman" w:cs="Tahoma"/>
          <w:iCs/>
          <w:color w:val="auto"/>
          <w:lang w:val="es-ES" w:eastAsia="es-ES"/>
        </w:rPr>
        <w:t xml:space="preserve">agravio valer en el presente Medio de Impugnación deviene de </w:t>
      </w:r>
      <w:r w:rsidR="008354C0" w:rsidRPr="00287C00">
        <w:rPr>
          <w:rFonts w:eastAsia="Times New Roman" w:cs="Tahoma"/>
          <w:b/>
          <w:iCs/>
          <w:color w:val="auto"/>
          <w:lang w:val="es-ES" w:eastAsia="es-ES"/>
        </w:rPr>
        <w:t xml:space="preserve">FUNDADO. </w:t>
      </w:r>
    </w:p>
    <w:p w14:paraId="1F48E38A" w14:textId="4220E04D" w:rsidR="002B1656" w:rsidRPr="00287C00" w:rsidRDefault="002B1656" w:rsidP="00287C00">
      <w:pPr>
        <w:spacing w:after="0" w:line="360" w:lineRule="auto"/>
        <w:rPr>
          <w:rFonts w:eastAsia="Times New Roman" w:cs="Tahoma"/>
          <w:b/>
          <w:iCs/>
          <w:color w:val="auto"/>
          <w:lang w:val="es-ES" w:eastAsia="es-ES"/>
        </w:rPr>
      </w:pPr>
    </w:p>
    <w:p w14:paraId="734F3114" w14:textId="14C5B53D" w:rsidR="00287C00" w:rsidRPr="00287C00" w:rsidRDefault="00287C00" w:rsidP="00287C00">
      <w:pPr>
        <w:autoSpaceDE w:val="0"/>
        <w:autoSpaceDN w:val="0"/>
        <w:adjustRightInd w:val="0"/>
        <w:spacing w:after="0" w:line="360" w:lineRule="auto"/>
        <w:rPr>
          <w:rFonts w:eastAsia="Calibri" w:cs="Tahoma"/>
          <w:color w:val="000000"/>
        </w:rPr>
      </w:pPr>
      <w:r w:rsidRPr="00287C00">
        <w:rPr>
          <w:rFonts w:eastAsia="Calibri" w:cs="Tahoma"/>
          <w:color w:val="000000"/>
        </w:rPr>
        <w:t>Además, resulta necesario traer a colación el Criterio 16/17, emitido por el Instituto Nacional de Transparencia, Acceso a la Información y Protección de Datos Personales, que establece:</w:t>
      </w:r>
    </w:p>
    <w:p w14:paraId="401ABD1C" w14:textId="77777777" w:rsidR="00287C00" w:rsidRPr="00287C00" w:rsidRDefault="00287C00" w:rsidP="00287C00">
      <w:pPr>
        <w:autoSpaceDE w:val="0"/>
        <w:autoSpaceDN w:val="0"/>
        <w:adjustRightInd w:val="0"/>
        <w:spacing w:after="0" w:line="360" w:lineRule="auto"/>
        <w:rPr>
          <w:rFonts w:eastAsia="Calibri" w:cs="Tahoma"/>
          <w:color w:val="000000"/>
        </w:rPr>
      </w:pPr>
    </w:p>
    <w:p w14:paraId="5CD5A3ED" w14:textId="77777777" w:rsidR="00287C00" w:rsidRPr="003F2D12" w:rsidRDefault="00287C00" w:rsidP="00287C00">
      <w:pPr>
        <w:autoSpaceDE w:val="0"/>
        <w:autoSpaceDN w:val="0"/>
        <w:adjustRightInd w:val="0"/>
        <w:spacing w:after="0" w:line="360" w:lineRule="auto"/>
        <w:ind w:left="567" w:right="567"/>
        <w:rPr>
          <w:rFonts w:eastAsia="Calibri" w:cs="Tahoma"/>
          <w:i/>
          <w:iCs/>
          <w:color w:val="000000"/>
          <w:sz w:val="18"/>
          <w:szCs w:val="18"/>
        </w:rPr>
      </w:pPr>
      <w:r w:rsidRPr="003F2D12">
        <w:rPr>
          <w:rFonts w:eastAsia="Calibri" w:cs="Tahoma"/>
          <w:b/>
          <w:bCs/>
          <w:i/>
          <w:iCs/>
          <w:color w:val="000000"/>
          <w:sz w:val="20"/>
          <w:szCs w:val="20"/>
        </w:rPr>
        <w:t>“Expresión documental.</w:t>
      </w:r>
      <w:r w:rsidRPr="003F2D12">
        <w:rPr>
          <w:rFonts w:eastAsia="Calibri" w:cs="Tahoma"/>
          <w:i/>
          <w:iCs/>
          <w:color w:val="000000"/>
          <w:sz w:val="20"/>
          <w:szCs w:val="20"/>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0AFEA340" w14:textId="77777777" w:rsidR="00287C00" w:rsidRPr="00287C00" w:rsidRDefault="00287C00" w:rsidP="00287C00">
      <w:pPr>
        <w:autoSpaceDE w:val="0"/>
        <w:autoSpaceDN w:val="0"/>
        <w:adjustRightInd w:val="0"/>
        <w:spacing w:after="0" w:line="360" w:lineRule="auto"/>
        <w:rPr>
          <w:rFonts w:eastAsia="Calibri" w:cs="Tahoma"/>
          <w:color w:val="000000"/>
        </w:rPr>
      </w:pPr>
    </w:p>
    <w:p w14:paraId="65C99428" w14:textId="77777777" w:rsidR="00287C00" w:rsidRPr="00287C00" w:rsidRDefault="00287C00" w:rsidP="00287C00">
      <w:pPr>
        <w:autoSpaceDE w:val="0"/>
        <w:autoSpaceDN w:val="0"/>
        <w:adjustRightInd w:val="0"/>
        <w:spacing w:after="0" w:line="360" w:lineRule="auto"/>
        <w:rPr>
          <w:rFonts w:eastAsia="Calibri" w:cs="Tahoma"/>
          <w:color w:val="000000"/>
        </w:rPr>
      </w:pPr>
      <w:r w:rsidRPr="00287C00">
        <w:rPr>
          <w:rFonts w:eastAsia="Calibri" w:cs="Tahoma"/>
          <w:color w:val="000000"/>
        </w:rPr>
        <w:t>Del criterio citado, se desprende que cuando los particulares no identifiquen de forma precisa la documentación que podría contener la información de su interés o la solicitud sea una consulta, los Sujetos Obligados deben de proporcionar la expresión documental, que dé cuenta de lo requerido.</w:t>
      </w:r>
    </w:p>
    <w:p w14:paraId="1E993725" w14:textId="654B9C48" w:rsidR="00287C00" w:rsidRDefault="00287C00" w:rsidP="00287C00">
      <w:pPr>
        <w:spacing w:after="0" w:line="360" w:lineRule="auto"/>
        <w:rPr>
          <w:rFonts w:eastAsia="Times New Roman" w:cs="Tahoma"/>
          <w:b/>
          <w:iCs/>
          <w:color w:val="auto"/>
          <w:lang w:val="es-ES" w:eastAsia="es-ES"/>
        </w:rPr>
      </w:pPr>
    </w:p>
    <w:p w14:paraId="20B7576A" w14:textId="34A14E82" w:rsidR="00287C00" w:rsidRDefault="00287C00" w:rsidP="00287C00">
      <w:pPr>
        <w:spacing w:after="0" w:line="360" w:lineRule="auto"/>
        <w:rPr>
          <w:rFonts w:eastAsia="Times New Roman" w:cs="Tahoma"/>
          <w:b/>
          <w:iCs/>
          <w:color w:val="auto"/>
          <w:lang w:val="es-ES" w:eastAsia="es-ES"/>
        </w:rPr>
      </w:pPr>
    </w:p>
    <w:p w14:paraId="2B4D9244" w14:textId="6D4EA2B9" w:rsidR="00287C00" w:rsidRPr="00287C00" w:rsidRDefault="00287C00" w:rsidP="00287C00">
      <w:pPr>
        <w:spacing w:after="0" w:line="360" w:lineRule="auto"/>
        <w:rPr>
          <w:rFonts w:eastAsia="Times New Roman" w:cs="Tahoma"/>
          <w:bCs/>
          <w:iCs/>
          <w:color w:val="auto"/>
          <w:lang w:val="es-ES" w:eastAsia="es-ES"/>
        </w:rPr>
      </w:pPr>
      <w:r>
        <w:rPr>
          <w:rFonts w:eastAsia="Times New Roman" w:cs="Tahoma"/>
          <w:bCs/>
          <w:iCs/>
          <w:color w:val="auto"/>
          <w:lang w:val="es-ES" w:eastAsia="es-ES"/>
        </w:rPr>
        <w:lastRenderedPageBreak/>
        <w:t>Conforme a lo anterior, se considera que el no solicitar la aclaración, establecida en el artículo 159 de la Ley de la materia, el Sujeto Obligado debió proporcionar la expresión documental que considerara procedente para atender el requerimiento de información, lo cual no aconteció y robustece que su actuar fue erróneo.</w:t>
      </w:r>
    </w:p>
    <w:p w14:paraId="57300CE6" w14:textId="77777777" w:rsidR="00287C00" w:rsidRPr="00287C00" w:rsidRDefault="00287C00" w:rsidP="00287C00">
      <w:pPr>
        <w:spacing w:after="0" w:line="360" w:lineRule="auto"/>
        <w:rPr>
          <w:rFonts w:eastAsia="Times New Roman" w:cs="Tahoma"/>
          <w:b/>
          <w:iCs/>
          <w:color w:val="auto"/>
          <w:lang w:val="es-ES" w:eastAsia="es-ES"/>
        </w:rPr>
      </w:pPr>
    </w:p>
    <w:p w14:paraId="4A4DD89C" w14:textId="27B7DBEC" w:rsidR="002B1656" w:rsidRPr="00287C00" w:rsidRDefault="00287C00" w:rsidP="00287C00">
      <w:pPr>
        <w:spacing w:after="0" w:line="360" w:lineRule="auto"/>
        <w:rPr>
          <w:rFonts w:eastAsia="Times New Roman" w:cs="Tahoma"/>
          <w:iCs/>
          <w:color w:val="auto"/>
          <w:lang w:val="es-ES" w:eastAsia="es-ES"/>
        </w:rPr>
      </w:pPr>
      <w:r>
        <w:rPr>
          <w:rFonts w:eastAsia="Times New Roman" w:cs="Tahoma"/>
          <w:bCs/>
          <w:iCs/>
          <w:color w:val="auto"/>
          <w:lang w:val="es-ES" w:eastAsia="es-ES"/>
        </w:rPr>
        <w:t xml:space="preserve">Por tal circunstancia, este Instituto considera </w:t>
      </w:r>
      <w:proofErr w:type="gramStart"/>
      <w:r>
        <w:rPr>
          <w:rFonts w:eastAsia="Times New Roman" w:cs="Tahoma"/>
          <w:bCs/>
          <w:iCs/>
          <w:color w:val="auto"/>
          <w:lang w:val="es-ES" w:eastAsia="es-ES"/>
        </w:rPr>
        <w:t>que</w:t>
      </w:r>
      <w:proofErr w:type="gramEnd"/>
      <w:r>
        <w:rPr>
          <w:rFonts w:eastAsia="Times New Roman" w:cs="Tahoma"/>
          <w:bCs/>
          <w:iCs/>
          <w:color w:val="auto"/>
          <w:lang w:val="es-ES" w:eastAsia="es-ES"/>
        </w:rPr>
        <w:t xml:space="preserve"> para atender el requerimiento de información, la </w:t>
      </w:r>
      <w:r w:rsidRPr="00252D61">
        <w:rPr>
          <w:rFonts w:eastAsia="Calibri" w:cs="Tahoma"/>
        </w:rPr>
        <w:t>Comisión de Conciliación y Arbitraje Médico del Estado de México</w:t>
      </w:r>
      <w:r>
        <w:rPr>
          <w:rFonts w:eastAsia="Calibri" w:cs="Tahoma"/>
        </w:rPr>
        <w:t xml:space="preserve">, deberá realizar una </w:t>
      </w:r>
      <w:r w:rsidR="009916B8" w:rsidRPr="00287C00">
        <w:rPr>
          <w:rFonts w:eastAsia="Times New Roman" w:cs="Tahoma"/>
          <w:iCs/>
          <w:color w:val="auto"/>
          <w:lang w:eastAsia="es-ES"/>
        </w:rPr>
        <w:t>búsqueda exhaustiva y razonable, en todas las áreas que estime competentes</w:t>
      </w:r>
      <w:r w:rsidR="00C21B0C">
        <w:rPr>
          <w:rFonts w:eastAsia="Times New Roman" w:cs="Tahoma"/>
          <w:iCs/>
          <w:color w:val="auto"/>
          <w:lang w:eastAsia="es-ES"/>
        </w:rPr>
        <w:t>, entre las cuales no</w:t>
      </w:r>
      <w:r w:rsidR="009916B8" w:rsidRPr="00287C00">
        <w:rPr>
          <w:rFonts w:eastAsia="Times New Roman" w:cs="Tahoma"/>
          <w:iCs/>
          <w:color w:val="auto"/>
          <w:lang w:eastAsia="es-ES"/>
        </w:rPr>
        <w:t xml:space="preserve"> podrá omitir a la </w:t>
      </w:r>
      <w:r w:rsidR="009916B8" w:rsidRPr="00287C00">
        <w:rPr>
          <w:rFonts w:eastAsia="Times New Roman" w:cs="Tahoma"/>
          <w:bCs/>
          <w:iCs/>
          <w:color w:val="auto"/>
          <w:lang w:eastAsia="es-ES"/>
        </w:rPr>
        <w:t>Unidad de Apoyo Administrativo</w:t>
      </w:r>
      <w:r w:rsidR="00C21B0C">
        <w:rPr>
          <w:rFonts w:eastAsia="Times New Roman" w:cs="Tahoma"/>
          <w:bCs/>
          <w:iCs/>
          <w:color w:val="auto"/>
          <w:lang w:eastAsia="es-ES"/>
        </w:rPr>
        <w:t>, a efecto de que proporcione el documento que obra en sus archivos y da cuenta de lo solicitado.</w:t>
      </w:r>
    </w:p>
    <w:p w14:paraId="277BAA58" w14:textId="77777777" w:rsidR="006B3A28" w:rsidRPr="00287C00" w:rsidRDefault="006B3A28" w:rsidP="00287C00">
      <w:pPr>
        <w:spacing w:after="0" w:line="360" w:lineRule="auto"/>
        <w:rPr>
          <w:rFonts w:eastAsia="Times New Roman" w:cs="Tahoma"/>
          <w:iCs/>
          <w:color w:val="auto"/>
          <w:lang w:val="es-ES" w:eastAsia="es-ES"/>
        </w:rPr>
      </w:pPr>
    </w:p>
    <w:p w14:paraId="4E42CB5C" w14:textId="3F824C0F" w:rsidR="00B84455" w:rsidRPr="00287C00" w:rsidRDefault="00C21B0C" w:rsidP="00287C00">
      <w:pPr>
        <w:spacing w:after="0" w:line="360" w:lineRule="auto"/>
        <w:rPr>
          <w:rFonts w:eastAsia="Times New Roman" w:cs="Tahoma"/>
          <w:iCs/>
          <w:color w:val="auto"/>
          <w:lang w:val="es-ES" w:eastAsia="es-ES"/>
        </w:rPr>
      </w:pPr>
      <w:r>
        <w:rPr>
          <w:rFonts w:eastAsia="Times New Roman" w:cs="Tahoma"/>
          <w:iCs/>
          <w:color w:val="auto"/>
          <w:lang w:val="es-ES" w:eastAsia="es-ES"/>
        </w:rPr>
        <w:t>D</w:t>
      </w:r>
      <w:r w:rsidR="00B84455" w:rsidRPr="00287C00">
        <w:rPr>
          <w:rFonts w:eastAsia="Times New Roman" w:cs="Tahoma"/>
          <w:iCs/>
          <w:color w:val="auto"/>
          <w:lang w:val="es-ES" w:eastAsia="es-ES"/>
        </w:rPr>
        <w:t>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38056A5" w14:textId="77777777" w:rsidR="00B84455" w:rsidRPr="00287C00" w:rsidRDefault="00B84455" w:rsidP="00287C00">
      <w:pPr>
        <w:spacing w:after="0" w:line="360" w:lineRule="auto"/>
        <w:rPr>
          <w:rFonts w:eastAsia="Times New Roman" w:cs="Tahoma"/>
          <w:iCs/>
          <w:color w:val="auto"/>
          <w:lang w:val="es-ES" w:eastAsia="es-ES"/>
        </w:rPr>
      </w:pPr>
    </w:p>
    <w:p w14:paraId="1D88EA0F" w14:textId="77777777" w:rsidR="00B84455" w:rsidRPr="00287C00" w:rsidRDefault="00B84455" w:rsidP="00287C00">
      <w:pPr>
        <w:spacing w:after="0" w:line="360" w:lineRule="auto"/>
        <w:rPr>
          <w:rFonts w:eastAsia="Times New Roman" w:cs="Tahoma"/>
          <w:iCs/>
          <w:color w:val="auto"/>
          <w:lang w:val="es-ES" w:eastAsia="es-ES"/>
        </w:rPr>
      </w:pPr>
      <w:r w:rsidRPr="00287C00">
        <w:rPr>
          <w:rFonts w:eastAsia="Times New Roman" w:cs="Tahoma"/>
          <w:iCs/>
          <w:color w:val="auto"/>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287C00">
        <w:rPr>
          <w:rFonts w:eastAsia="Times New Roman" w:cs="Tahoma"/>
          <w:i/>
          <w:iCs/>
          <w:color w:val="auto"/>
          <w:lang w:val="es-ES" w:eastAsia="es-ES"/>
        </w:rPr>
        <w:t>“ad hoc”;</w:t>
      </w:r>
      <w:r w:rsidRPr="00287C00">
        <w:rPr>
          <w:rFonts w:eastAsia="Times New Roman" w:cs="Tahoma"/>
          <w:iCs/>
          <w:color w:val="auto"/>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14:paraId="28880D81" w14:textId="77777777" w:rsidR="00B84455" w:rsidRPr="00287C00" w:rsidRDefault="00B84455" w:rsidP="00287C00">
      <w:pPr>
        <w:spacing w:after="0" w:line="360" w:lineRule="auto"/>
        <w:rPr>
          <w:rFonts w:eastAsia="Times New Roman" w:cs="Tahoma"/>
          <w:iCs/>
          <w:color w:val="auto"/>
          <w:lang w:val="es-ES" w:eastAsia="es-ES"/>
        </w:rPr>
      </w:pPr>
    </w:p>
    <w:p w14:paraId="067ACF5B" w14:textId="77777777" w:rsidR="00B84455" w:rsidRPr="00287C00" w:rsidRDefault="00B84455" w:rsidP="00287C00">
      <w:pPr>
        <w:spacing w:after="0" w:line="360" w:lineRule="auto"/>
        <w:ind w:left="567" w:right="567"/>
        <w:rPr>
          <w:rFonts w:eastAsia="Times New Roman" w:cs="Tahoma"/>
          <w:i/>
          <w:iCs/>
          <w:color w:val="auto"/>
          <w:sz w:val="20"/>
          <w:szCs w:val="20"/>
          <w:lang w:val="es-ES" w:eastAsia="es-ES"/>
        </w:rPr>
      </w:pPr>
      <w:r w:rsidRPr="00287C00">
        <w:rPr>
          <w:rFonts w:eastAsia="Times New Roman" w:cs="Tahoma"/>
          <w:b/>
          <w:bCs/>
          <w:i/>
          <w:iCs/>
          <w:color w:val="auto"/>
          <w:sz w:val="20"/>
          <w:szCs w:val="20"/>
          <w:lang w:val="es-ES" w:eastAsia="es-ES"/>
        </w:rPr>
        <w:lastRenderedPageBreak/>
        <w:t>“No existe obligación de elaborar documentos ad hoc para atender las solicitudes de acceso a la información.</w:t>
      </w:r>
      <w:r w:rsidRPr="00287C00">
        <w:rPr>
          <w:rFonts w:eastAsia="Times New Roman" w:cs="Tahoma"/>
          <w:i/>
          <w:iCs/>
          <w:color w:val="auto"/>
          <w:sz w:val="20"/>
          <w:szCs w:val="20"/>
          <w:lang w:val="es-ES"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0718018" w14:textId="77777777" w:rsidR="00B84455" w:rsidRPr="00287C00" w:rsidRDefault="00B84455" w:rsidP="00287C00">
      <w:pPr>
        <w:spacing w:after="0" w:line="360" w:lineRule="auto"/>
        <w:rPr>
          <w:rFonts w:eastAsia="Times New Roman" w:cs="Tahoma"/>
          <w:bCs/>
          <w:iCs/>
          <w:color w:val="auto"/>
          <w:lang w:eastAsia="es-ES"/>
        </w:rPr>
      </w:pPr>
    </w:p>
    <w:p w14:paraId="0D4BEEBD" w14:textId="765C0F68" w:rsidR="00B84455" w:rsidRPr="00287C00" w:rsidRDefault="00B84455" w:rsidP="00287C00">
      <w:pPr>
        <w:spacing w:after="0" w:line="360" w:lineRule="auto"/>
        <w:rPr>
          <w:rFonts w:eastAsia="Times New Roman" w:cs="Tahoma"/>
          <w:iCs/>
          <w:color w:val="auto"/>
          <w:lang w:val="es-ES" w:eastAsia="es-ES"/>
        </w:rPr>
      </w:pPr>
      <w:r w:rsidRPr="00287C00">
        <w:rPr>
          <w:rFonts w:eastAsia="Times New Roman" w:cs="Tahoma"/>
          <w:iCs/>
          <w:color w:val="auto"/>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w:t>
      </w:r>
      <w:r w:rsidR="00A86D1E" w:rsidRPr="00287C00">
        <w:rPr>
          <w:rFonts w:eastAsia="Times New Roman" w:cs="Tahoma"/>
          <w:iCs/>
          <w:color w:val="auto"/>
          <w:lang w:val="es-ES" w:eastAsia="es-ES"/>
        </w:rPr>
        <w:t>es del Recurrente</w:t>
      </w:r>
      <w:r w:rsidR="00C21B0C">
        <w:rPr>
          <w:rFonts w:eastAsia="Times New Roman" w:cs="Tahoma"/>
          <w:iCs/>
          <w:color w:val="auto"/>
          <w:lang w:val="es-ES" w:eastAsia="es-ES"/>
        </w:rPr>
        <w:t>; por lo que, en el presente caso, deberá entregar la Nómina Detallada, de la segunda quincena de noviembre de dos mil veintiuno.</w:t>
      </w:r>
    </w:p>
    <w:bookmarkEnd w:id="0"/>
    <w:p w14:paraId="35129038" w14:textId="77777777" w:rsidR="00A86D1E" w:rsidRPr="00287C00" w:rsidRDefault="00A86D1E" w:rsidP="00287C00">
      <w:pPr>
        <w:spacing w:after="0" w:line="360" w:lineRule="auto"/>
        <w:rPr>
          <w:rFonts w:eastAsia="Times New Roman" w:cs="Tahoma"/>
          <w:iCs/>
          <w:color w:val="auto"/>
          <w:lang w:val="es-ES" w:eastAsia="es-ES"/>
        </w:rPr>
      </w:pPr>
    </w:p>
    <w:p w14:paraId="3359377B" w14:textId="54F8CA6F" w:rsidR="00C21B0C" w:rsidRDefault="00400FC3" w:rsidP="00287C00">
      <w:pPr>
        <w:spacing w:after="0" w:line="360" w:lineRule="auto"/>
        <w:rPr>
          <w:rFonts w:eastAsia="Calibri" w:cs="Tahoma"/>
        </w:rPr>
      </w:pPr>
      <w:r w:rsidRPr="00287C00">
        <w:rPr>
          <w:rFonts w:eastAsia="Times New Roman" w:cs="Tahoma"/>
          <w:iCs/>
          <w:lang w:eastAsia="es-ES"/>
        </w:rPr>
        <w:t xml:space="preserve">Ahora bien, </w:t>
      </w:r>
      <w:r w:rsidR="00C21B0C">
        <w:rPr>
          <w:rFonts w:eastAsia="Times New Roman" w:cs="Tahoma"/>
          <w:iCs/>
          <w:lang w:eastAsia="es-ES"/>
        </w:rPr>
        <w:t xml:space="preserve">del análisis del </w:t>
      </w:r>
      <w:r w:rsidR="00C21B0C">
        <w:rPr>
          <w:rFonts w:eastAsia="Calibri" w:cs="Tahoma"/>
        </w:rPr>
        <w:t>formato de la Nómina Detallada, se logra advertir que contiene diversos datos que podrían ser considerados confidenciales, a saber, los siguientes:</w:t>
      </w:r>
    </w:p>
    <w:p w14:paraId="677AE67A" w14:textId="70E8D492" w:rsidR="00C21B0C" w:rsidRDefault="00C21B0C" w:rsidP="00287C00">
      <w:pPr>
        <w:spacing w:after="0" w:line="360" w:lineRule="auto"/>
        <w:rPr>
          <w:rFonts w:eastAsia="Calibri" w:cs="Tahoma"/>
        </w:rPr>
      </w:pPr>
    </w:p>
    <w:p w14:paraId="76883B95" w14:textId="77777777" w:rsidR="00C21B0C" w:rsidRPr="00581930" w:rsidRDefault="00C21B0C" w:rsidP="00C21B0C">
      <w:pPr>
        <w:numPr>
          <w:ilvl w:val="0"/>
          <w:numId w:val="31"/>
        </w:numPr>
        <w:spacing w:after="0" w:line="360" w:lineRule="auto"/>
        <w:rPr>
          <w:rFonts w:eastAsia="Calibri" w:cs="Tahoma"/>
          <w:bCs/>
        </w:rPr>
      </w:pPr>
      <w:r w:rsidRPr="00581930">
        <w:rPr>
          <w:rFonts w:eastAsia="Calibri" w:cs="Tahoma"/>
          <w:bCs/>
        </w:rPr>
        <w:t>Clave Única de Registro de Población (CURP);</w:t>
      </w:r>
    </w:p>
    <w:p w14:paraId="6362C102" w14:textId="77777777" w:rsidR="00C21B0C" w:rsidRPr="00581930" w:rsidRDefault="00C21B0C" w:rsidP="00C21B0C">
      <w:pPr>
        <w:numPr>
          <w:ilvl w:val="0"/>
          <w:numId w:val="31"/>
        </w:numPr>
        <w:spacing w:after="0" w:line="360" w:lineRule="auto"/>
        <w:rPr>
          <w:rFonts w:eastAsia="Calibri" w:cs="Tahoma"/>
          <w:bCs/>
        </w:rPr>
      </w:pPr>
      <w:r w:rsidRPr="00581930">
        <w:rPr>
          <w:rFonts w:eastAsia="Calibri" w:cs="Tahoma"/>
          <w:bCs/>
        </w:rPr>
        <w:t>Registro Federal de Contribuyentes (RFC);</w:t>
      </w:r>
    </w:p>
    <w:p w14:paraId="5379D900" w14:textId="05DE73BF" w:rsidR="00C21B0C" w:rsidRPr="00581930" w:rsidRDefault="00C21B0C" w:rsidP="00C21B0C">
      <w:pPr>
        <w:numPr>
          <w:ilvl w:val="0"/>
          <w:numId w:val="31"/>
        </w:numPr>
        <w:spacing w:after="0" w:line="360" w:lineRule="auto"/>
        <w:rPr>
          <w:rFonts w:eastAsia="Calibri" w:cs="Tahoma"/>
          <w:bCs/>
        </w:rPr>
      </w:pPr>
      <w:r w:rsidRPr="00581930">
        <w:rPr>
          <w:rFonts w:eastAsia="Calibri" w:cs="Tahoma"/>
          <w:bCs/>
        </w:rPr>
        <w:t>Número de seguridad social del Instituto de Seguridad Social del Estado de México y Municipios</w:t>
      </w:r>
      <w:r>
        <w:rPr>
          <w:rFonts w:eastAsia="Calibri" w:cs="Tahoma"/>
          <w:bCs/>
        </w:rPr>
        <w:t>, y</w:t>
      </w:r>
    </w:p>
    <w:p w14:paraId="0486BDFA" w14:textId="3D93147A" w:rsidR="00C21B0C" w:rsidRPr="00581930" w:rsidRDefault="00C21B0C" w:rsidP="00C21B0C">
      <w:pPr>
        <w:numPr>
          <w:ilvl w:val="0"/>
          <w:numId w:val="31"/>
        </w:numPr>
        <w:spacing w:after="0" w:line="360" w:lineRule="auto"/>
        <w:rPr>
          <w:rFonts w:eastAsia="Calibri" w:cs="Tahoma"/>
          <w:bCs/>
        </w:rPr>
      </w:pPr>
      <w:r w:rsidRPr="00581930">
        <w:rPr>
          <w:rFonts w:eastAsia="Calibri" w:cs="Tahoma"/>
          <w:bCs/>
        </w:rPr>
        <w:t>Deducciones personales</w:t>
      </w:r>
      <w:r>
        <w:rPr>
          <w:rFonts w:eastAsia="Calibri" w:cs="Tahoma"/>
          <w:bCs/>
        </w:rPr>
        <w:t>.</w:t>
      </w:r>
    </w:p>
    <w:p w14:paraId="2F2FE7B7" w14:textId="77777777" w:rsidR="00C21B0C" w:rsidRDefault="00C21B0C" w:rsidP="00287C00">
      <w:pPr>
        <w:spacing w:after="0" w:line="360" w:lineRule="auto"/>
        <w:rPr>
          <w:rFonts w:eastAsia="Times New Roman" w:cs="Tahoma"/>
          <w:iCs/>
          <w:lang w:eastAsia="es-ES"/>
        </w:rPr>
      </w:pPr>
    </w:p>
    <w:p w14:paraId="4441DAA7" w14:textId="77777777" w:rsidR="00C21B0C" w:rsidRDefault="00C21B0C" w:rsidP="00C21B0C">
      <w:pPr>
        <w:spacing w:line="360" w:lineRule="auto"/>
        <w:rPr>
          <w:rFonts w:eastAsia="Calibri" w:cs="Tahoma"/>
          <w:bCs/>
        </w:rPr>
      </w:pPr>
      <w:r>
        <w:rPr>
          <w:rFonts w:eastAsia="Calibri" w:cs="Tahoma"/>
          <w:bCs/>
        </w:rPr>
        <w:t xml:space="preserve">Así, se procede analizar si dichos datos son confidenciales o públicos; en principio, cabe mencionar que el artículo 6°, Apartado A), fracción II, de la Constitución Política de los Estados Unidos Mexicanos, prevé que la información que se refiere a la vida privada y los datos </w:t>
      </w:r>
      <w:r>
        <w:rPr>
          <w:rFonts w:eastAsia="Calibri" w:cs="Tahoma"/>
          <w:bCs/>
        </w:rPr>
        <w:lastRenderedPageBreak/>
        <w:t>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29F332A" w14:textId="77777777" w:rsidR="00A86D1E" w:rsidRPr="00287C00" w:rsidRDefault="00A86D1E" w:rsidP="00287C00">
      <w:pPr>
        <w:spacing w:after="0" w:line="360" w:lineRule="auto"/>
        <w:rPr>
          <w:rFonts w:eastAsia="Times New Roman" w:cs="Tahoma"/>
          <w:bCs/>
          <w:iCs/>
          <w:color w:val="auto"/>
          <w:lang w:eastAsia="es-ES"/>
        </w:rPr>
      </w:pPr>
    </w:p>
    <w:p w14:paraId="207AA056" w14:textId="77777777" w:rsidR="00A86D1E" w:rsidRPr="00287C00" w:rsidRDefault="00A86D1E"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B65C110" w14:textId="77777777" w:rsidR="00A86D1E" w:rsidRPr="00287C00" w:rsidRDefault="00A86D1E" w:rsidP="00287C00">
      <w:pPr>
        <w:spacing w:after="0" w:line="360" w:lineRule="auto"/>
        <w:rPr>
          <w:rFonts w:eastAsia="Times New Roman" w:cs="Tahoma"/>
          <w:bCs/>
          <w:iCs/>
          <w:color w:val="auto"/>
          <w:lang w:eastAsia="es-ES"/>
        </w:rPr>
      </w:pPr>
    </w:p>
    <w:p w14:paraId="29AC30AC" w14:textId="77777777" w:rsidR="00A86D1E" w:rsidRPr="00287C00" w:rsidRDefault="00A86D1E"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DD3F041" w14:textId="77777777" w:rsidR="00A86D1E" w:rsidRPr="00287C00" w:rsidRDefault="00A86D1E" w:rsidP="00287C00">
      <w:pPr>
        <w:spacing w:after="0" w:line="360" w:lineRule="auto"/>
        <w:rPr>
          <w:rFonts w:eastAsia="Times New Roman" w:cs="Tahoma"/>
          <w:bCs/>
          <w:iCs/>
          <w:color w:val="auto"/>
          <w:lang w:eastAsia="es-ES"/>
        </w:rPr>
      </w:pPr>
    </w:p>
    <w:p w14:paraId="56B4C92D" w14:textId="77777777" w:rsidR="00A86D1E" w:rsidRPr="00287C00" w:rsidRDefault="00A86D1E"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0969BD6" w14:textId="77777777" w:rsidR="00A86D1E" w:rsidRPr="00287C00" w:rsidRDefault="00A86D1E" w:rsidP="00287C00">
      <w:pPr>
        <w:spacing w:after="0" w:line="360" w:lineRule="auto"/>
        <w:rPr>
          <w:rFonts w:eastAsia="Times New Roman" w:cs="Tahoma"/>
          <w:bCs/>
          <w:iCs/>
          <w:color w:val="auto"/>
          <w:lang w:eastAsia="es-ES"/>
        </w:rPr>
      </w:pPr>
    </w:p>
    <w:p w14:paraId="5CE54E70" w14:textId="77777777" w:rsidR="00A86D1E" w:rsidRPr="00287C00" w:rsidRDefault="00A86D1E"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3FEF587" w14:textId="77777777" w:rsidR="00A86D1E" w:rsidRPr="00287C00" w:rsidRDefault="00A86D1E" w:rsidP="00287C00">
      <w:pPr>
        <w:spacing w:after="0" w:line="360" w:lineRule="auto"/>
        <w:rPr>
          <w:rFonts w:eastAsia="Times New Roman" w:cs="Tahoma"/>
          <w:bCs/>
          <w:iCs/>
          <w:color w:val="auto"/>
          <w:lang w:eastAsia="es-ES"/>
        </w:rPr>
      </w:pPr>
    </w:p>
    <w:p w14:paraId="471E29E3" w14:textId="77777777" w:rsidR="00A86D1E" w:rsidRPr="00287C00" w:rsidRDefault="00A86D1E"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B39CE3E" w14:textId="77777777" w:rsidR="00A86D1E" w:rsidRPr="00287C00" w:rsidRDefault="00A86D1E" w:rsidP="00287C00">
      <w:pPr>
        <w:spacing w:after="0" w:line="360" w:lineRule="auto"/>
        <w:rPr>
          <w:rFonts w:eastAsia="Times New Roman" w:cs="Tahoma"/>
          <w:bCs/>
          <w:iCs/>
          <w:color w:val="auto"/>
          <w:lang w:eastAsia="es-ES"/>
        </w:rPr>
      </w:pPr>
    </w:p>
    <w:p w14:paraId="23AA0621" w14:textId="77777777" w:rsidR="00A86D1E" w:rsidRPr="00287C00" w:rsidRDefault="00A86D1E"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En términos de lo expuesto, la documentación y aquellos datos que se consideren confidenciales, serán una limitante del derecho de acceso a la información, siempre y cuando:</w:t>
      </w:r>
    </w:p>
    <w:p w14:paraId="4CB9DF27" w14:textId="77777777" w:rsidR="00A86D1E" w:rsidRPr="00287C00" w:rsidRDefault="00A86D1E" w:rsidP="00287C00">
      <w:pPr>
        <w:spacing w:after="0" w:line="360" w:lineRule="auto"/>
        <w:rPr>
          <w:rFonts w:eastAsia="Times New Roman" w:cs="Tahoma"/>
          <w:bCs/>
          <w:iCs/>
          <w:color w:val="auto"/>
          <w:lang w:eastAsia="es-ES"/>
        </w:rPr>
      </w:pPr>
    </w:p>
    <w:p w14:paraId="11B2B9BB" w14:textId="77777777" w:rsidR="00A86D1E" w:rsidRPr="00287C00" w:rsidRDefault="00A86D1E" w:rsidP="00287C00">
      <w:pPr>
        <w:numPr>
          <w:ilvl w:val="0"/>
          <w:numId w:val="27"/>
        </w:numPr>
        <w:spacing w:after="0" w:line="360" w:lineRule="auto"/>
        <w:rPr>
          <w:rFonts w:eastAsia="Times New Roman" w:cs="Tahoma"/>
          <w:bCs/>
          <w:iCs/>
          <w:color w:val="auto"/>
          <w:lang w:eastAsia="es-ES"/>
        </w:rPr>
      </w:pPr>
      <w:r w:rsidRPr="00287C00">
        <w:rPr>
          <w:rFonts w:eastAsia="Times New Roman" w:cs="Tahoma"/>
          <w:bCs/>
          <w:iCs/>
          <w:color w:val="auto"/>
          <w:lang w:eastAsia="es-ES"/>
        </w:rPr>
        <w:t xml:space="preserve">Se trate de datos personales o información privada; esto es, información concerniente a una persona física o jurídico colectiva y que esta sea identificada o identificable. </w:t>
      </w:r>
    </w:p>
    <w:p w14:paraId="108BF741" w14:textId="77777777" w:rsidR="00A86D1E" w:rsidRPr="00287C00" w:rsidRDefault="00A86D1E" w:rsidP="00287C00">
      <w:pPr>
        <w:spacing w:after="0" w:line="360" w:lineRule="auto"/>
        <w:rPr>
          <w:rFonts w:eastAsia="Times New Roman" w:cs="Tahoma"/>
          <w:bCs/>
          <w:iCs/>
          <w:color w:val="auto"/>
          <w:lang w:eastAsia="es-ES"/>
        </w:rPr>
      </w:pPr>
    </w:p>
    <w:p w14:paraId="6499348E" w14:textId="77777777" w:rsidR="00A86D1E" w:rsidRPr="00287C00" w:rsidRDefault="00A86D1E" w:rsidP="00287C00">
      <w:pPr>
        <w:numPr>
          <w:ilvl w:val="0"/>
          <w:numId w:val="27"/>
        </w:numPr>
        <w:spacing w:after="0" w:line="360" w:lineRule="auto"/>
        <w:rPr>
          <w:rFonts w:eastAsia="Times New Roman" w:cs="Tahoma"/>
          <w:bCs/>
          <w:iCs/>
          <w:color w:val="auto"/>
          <w:lang w:eastAsia="es-ES"/>
        </w:rPr>
      </w:pPr>
      <w:r w:rsidRPr="00287C00">
        <w:rPr>
          <w:rFonts w:eastAsia="Times New Roman" w:cs="Tahoma"/>
          <w:bCs/>
          <w:iCs/>
          <w:color w:val="auto"/>
          <w:lang w:eastAsia="es-ES"/>
        </w:rPr>
        <w:t xml:space="preserve">Para la difusión de los datos, se requiera el consentimiento del titular. </w:t>
      </w:r>
    </w:p>
    <w:p w14:paraId="64821169" w14:textId="77777777" w:rsidR="00A86D1E" w:rsidRPr="00287C00" w:rsidRDefault="00A86D1E" w:rsidP="00287C00">
      <w:pPr>
        <w:spacing w:after="0" w:line="360" w:lineRule="auto"/>
        <w:rPr>
          <w:rFonts w:eastAsia="Times New Roman" w:cs="Tahoma"/>
          <w:bCs/>
          <w:iCs/>
          <w:color w:val="auto"/>
          <w:lang w:eastAsia="es-ES"/>
        </w:rPr>
      </w:pPr>
    </w:p>
    <w:p w14:paraId="6CE2E393" w14:textId="77777777" w:rsidR="00A86D1E" w:rsidRPr="00287C00" w:rsidRDefault="00A86D1E"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74176F6" w14:textId="77777777" w:rsidR="00A86D1E" w:rsidRPr="00287C00" w:rsidRDefault="00A86D1E" w:rsidP="00287C00">
      <w:pPr>
        <w:spacing w:after="0" w:line="360" w:lineRule="auto"/>
        <w:rPr>
          <w:rFonts w:eastAsia="Times New Roman" w:cs="Tahoma"/>
          <w:bCs/>
          <w:iCs/>
          <w:color w:val="auto"/>
          <w:lang w:eastAsia="es-ES"/>
        </w:rPr>
      </w:pPr>
    </w:p>
    <w:p w14:paraId="70FD41D5" w14:textId="724A0634" w:rsidR="00A86D1E" w:rsidRPr="00287C00" w:rsidRDefault="00A86D1E"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Además, en el artículo 5° de dicho ordenamiento jurídico, establece que es la Ley aplicable para todo tratamiento de datos personales.</w:t>
      </w:r>
      <w:r w:rsidR="00741DF8">
        <w:rPr>
          <w:rFonts w:eastAsia="Times New Roman" w:cs="Tahoma"/>
          <w:bCs/>
          <w:iCs/>
          <w:color w:val="auto"/>
          <w:lang w:eastAsia="es-ES"/>
        </w:rPr>
        <w:t xml:space="preserve"> </w:t>
      </w:r>
      <w:r w:rsidRPr="00287C00">
        <w:rPr>
          <w:rFonts w:eastAsia="Times New Roman" w:cs="Tahoma"/>
          <w:bCs/>
          <w:iCs/>
          <w:color w:val="auto"/>
          <w:lang w:eastAsia="es-ES"/>
        </w:rPr>
        <w:t xml:space="preserve">En ese orden de ideas, los artículos 6°, 7°, 8° y 14 de la </w:t>
      </w:r>
      <w:r w:rsidRPr="00287C00">
        <w:rPr>
          <w:rFonts w:eastAsia="Times New Roman" w:cs="Tahoma"/>
          <w:bCs/>
          <w:iCs/>
          <w:color w:val="auto"/>
          <w:lang w:eastAsia="es-ES"/>
        </w:rPr>
        <w:lastRenderedPageBreak/>
        <w:t>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ED388CE" w14:textId="77777777" w:rsidR="00A86D1E" w:rsidRPr="00287C00" w:rsidRDefault="00A86D1E" w:rsidP="00287C00">
      <w:pPr>
        <w:spacing w:after="0" w:line="360" w:lineRule="auto"/>
        <w:rPr>
          <w:rFonts w:eastAsia="Times New Roman" w:cs="Tahoma"/>
          <w:bCs/>
          <w:iCs/>
          <w:color w:val="auto"/>
          <w:lang w:eastAsia="es-ES"/>
        </w:rPr>
      </w:pPr>
    </w:p>
    <w:p w14:paraId="54342D90" w14:textId="77777777" w:rsidR="00A86D1E" w:rsidRPr="00287C00" w:rsidRDefault="00A86D1E"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0C4C846" w14:textId="77777777" w:rsidR="00A86D1E" w:rsidRPr="00287C00" w:rsidRDefault="00A86D1E" w:rsidP="00287C00">
      <w:pPr>
        <w:spacing w:after="0" w:line="360" w:lineRule="auto"/>
        <w:rPr>
          <w:rFonts w:eastAsia="Times New Roman" w:cs="Tahoma"/>
          <w:bCs/>
          <w:iCs/>
          <w:color w:val="auto"/>
          <w:lang w:eastAsia="es-ES"/>
        </w:rPr>
      </w:pPr>
    </w:p>
    <w:p w14:paraId="484412E6" w14:textId="77777777" w:rsidR="00A86D1E" w:rsidRPr="00287C00" w:rsidRDefault="00A86D1E"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695E9ED" w14:textId="77777777" w:rsidR="00A86D1E" w:rsidRPr="00287C00" w:rsidRDefault="00A86D1E" w:rsidP="00287C00">
      <w:pPr>
        <w:spacing w:after="0" w:line="360" w:lineRule="auto"/>
        <w:rPr>
          <w:rFonts w:eastAsia="Times New Roman" w:cs="Tahoma"/>
          <w:bCs/>
          <w:iCs/>
          <w:color w:val="auto"/>
          <w:lang w:eastAsia="es-ES"/>
        </w:rPr>
      </w:pPr>
    </w:p>
    <w:p w14:paraId="703C2A45" w14:textId="77777777" w:rsidR="00A86D1E" w:rsidRPr="00287C00" w:rsidRDefault="00A86D1E"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De tal suerte, las instituciones públicas tienen la doble responsabilidad, por un lado, de proteger los datos personales y por otro, darles publicidad cuando la relevancia de esos datos sea de interés público.</w:t>
      </w:r>
    </w:p>
    <w:p w14:paraId="4F2E9EF6" w14:textId="77777777" w:rsidR="00A86D1E" w:rsidRPr="00287C00" w:rsidRDefault="00A86D1E" w:rsidP="00287C00">
      <w:pPr>
        <w:spacing w:after="0" w:line="360" w:lineRule="auto"/>
        <w:rPr>
          <w:rFonts w:eastAsia="Times New Roman" w:cs="Tahoma"/>
          <w:bCs/>
          <w:iCs/>
          <w:color w:val="auto"/>
          <w:lang w:eastAsia="es-ES"/>
        </w:rPr>
      </w:pPr>
    </w:p>
    <w:p w14:paraId="4A9533FC" w14:textId="77777777" w:rsidR="00A86D1E" w:rsidRPr="00287C00" w:rsidRDefault="00A86D1E"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58F8249C" w14:textId="77777777" w:rsidR="00A86D1E" w:rsidRPr="00287C00" w:rsidRDefault="00A86D1E" w:rsidP="00287C00">
      <w:pPr>
        <w:spacing w:after="0" w:line="360" w:lineRule="auto"/>
        <w:rPr>
          <w:rFonts w:eastAsia="Times New Roman" w:cs="Tahoma"/>
          <w:bCs/>
          <w:iCs/>
          <w:color w:val="auto"/>
          <w:lang w:eastAsia="es-ES"/>
        </w:rPr>
      </w:pPr>
    </w:p>
    <w:p w14:paraId="42A15B40" w14:textId="77777777" w:rsidR="00A86D1E" w:rsidRPr="00287C00" w:rsidRDefault="00A86D1E"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3367347" w14:textId="77777777" w:rsidR="00A86D1E" w:rsidRPr="00287C00" w:rsidRDefault="00A86D1E" w:rsidP="00287C00">
      <w:pPr>
        <w:spacing w:after="0" w:line="360" w:lineRule="auto"/>
        <w:rPr>
          <w:rFonts w:eastAsia="Times New Roman" w:cs="Tahoma"/>
          <w:bCs/>
          <w:iCs/>
          <w:color w:val="auto"/>
          <w:lang w:eastAsia="es-ES"/>
        </w:rPr>
      </w:pPr>
    </w:p>
    <w:p w14:paraId="1AF13A25" w14:textId="77777777" w:rsidR="00A86D1E" w:rsidRPr="00287C00" w:rsidRDefault="00A86D1E"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3505EA1" w14:textId="77777777" w:rsidR="00A86D1E" w:rsidRPr="00287C00" w:rsidRDefault="00A86D1E" w:rsidP="00287C00">
      <w:pPr>
        <w:spacing w:after="0" w:line="360" w:lineRule="auto"/>
        <w:rPr>
          <w:rFonts w:eastAsia="Times New Roman" w:cs="Tahoma"/>
          <w:bCs/>
          <w:iCs/>
          <w:color w:val="auto"/>
          <w:lang w:eastAsia="es-ES"/>
        </w:rPr>
      </w:pPr>
    </w:p>
    <w:p w14:paraId="770DF129" w14:textId="77777777" w:rsidR="00741DF8" w:rsidRPr="00741DF8" w:rsidRDefault="00741DF8" w:rsidP="00741DF8">
      <w:pPr>
        <w:spacing w:after="0" w:line="360" w:lineRule="auto"/>
        <w:rPr>
          <w:rFonts w:eastAsia="Calibri" w:cs="Tahoma"/>
          <w:bCs/>
          <w:color w:val="000000"/>
        </w:rPr>
      </w:pPr>
      <w:r w:rsidRPr="00741DF8">
        <w:rPr>
          <w:rFonts w:eastAsia="Calibri" w:cs="Tahoma"/>
          <w:bCs/>
          <w:color w:val="000000"/>
        </w:rPr>
        <w:lastRenderedPageBreak/>
        <w:t>Bajo ese contexto, se analizarán si los datos mencionados, deben ser considerados confidenciales, en términos del artículo 143, fracción I, de la Ley de Transparencia y Acceso a la Información Pública del Estado de México y Municipios, o públicos.</w:t>
      </w:r>
    </w:p>
    <w:p w14:paraId="364C4661" w14:textId="77777777" w:rsidR="00F861B9" w:rsidRPr="00287C00" w:rsidRDefault="00F861B9" w:rsidP="00287C00">
      <w:pPr>
        <w:spacing w:after="0" w:line="360" w:lineRule="auto"/>
        <w:rPr>
          <w:rFonts w:eastAsia="Times New Roman" w:cs="Tahoma"/>
          <w:lang w:eastAsia="es-ES"/>
        </w:rPr>
      </w:pPr>
    </w:p>
    <w:p w14:paraId="2734BD4C" w14:textId="77777777" w:rsidR="00F861B9" w:rsidRPr="00287C00" w:rsidRDefault="00F861B9" w:rsidP="00287C00">
      <w:pPr>
        <w:numPr>
          <w:ilvl w:val="0"/>
          <w:numId w:val="8"/>
        </w:numPr>
        <w:spacing w:after="0" w:line="360" w:lineRule="auto"/>
        <w:jc w:val="left"/>
        <w:rPr>
          <w:rFonts w:eastAsia="Calibri" w:cs="Tahoma"/>
          <w:b/>
          <w:bCs/>
          <w:iCs/>
        </w:rPr>
      </w:pPr>
      <w:r w:rsidRPr="00287C00">
        <w:rPr>
          <w:rFonts w:eastAsia="Calibri" w:cs="Tahoma"/>
          <w:b/>
          <w:bCs/>
          <w:iCs/>
        </w:rPr>
        <w:t>Clave de seguridad social del Instituto de Seguridad Social del Estado de México y Municipios.</w:t>
      </w:r>
    </w:p>
    <w:p w14:paraId="2D4EE015" w14:textId="77777777" w:rsidR="00F861B9" w:rsidRPr="00287C00" w:rsidRDefault="00F861B9" w:rsidP="00287C00">
      <w:pPr>
        <w:spacing w:after="0" w:line="360" w:lineRule="auto"/>
        <w:rPr>
          <w:rFonts w:eastAsia="Calibri" w:cs="Tahoma"/>
          <w:b/>
          <w:bCs/>
          <w:iCs/>
        </w:rPr>
      </w:pPr>
    </w:p>
    <w:p w14:paraId="45F74671" w14:textId="77777777" w:rsidR="00F861B9" w:rsidRPr="00287C00" w:rsidRDefault="00F861B9" w:rsidP="00287C00">
      <w:pPr>
        <w:spacing w:after="0" w:line="360" w:lineRule="auto"/>
        <w:rPr>
          <w:rFonts w:eastAsia="Calibri" w:cs="Tahoma"/>
          <w:bCs/>
          <w:iCs/>
        </w:rPr>
      </w:pPr>
      <w:r w:rsidRPr="00287C00">
        <w:rPr>
          <w:rFonts w:eastAsia="Calibri" w:cs="Tahoma"/>
          <w:bCs/>
          <w:iC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A563B76" w14:textId="77777777" w:rsidR="00F861B9" w:rsidRPr="00287C00" w:rsidRDefault="00F861B9" w:rsidP="00287C00">
      <w:pPr>
        <w:spacing w:after="0" w:line="360" w:lineRule="auto"/>
        <w:rPr>
          <w:rFonts w:eastAsia="Calibri" w:cs="Tahoma"/>
          <w:bCs/>
          <w:iCs/>
        </w:rPr>
      </w:pPr>
    </w:p>
    <w:p w14:paraId="1933F29D" w14:textId="77777777" w:rsidR="00F861B9" w:rsidRPr="00287C00" w:rsidRDefault="00F861B9" w:rsidP="00287C00">
      <w:pPr>
        <w:spacing w:after="0" w:line="360" w:lineRule="auto"/>
        <w:rPr>
          <w:rFonts w:eastAsia="Calibri" w:cs="Tahoma"/>
          <w:bCs/>
          <w:iCs/>
        </w:rPr>
      </w:pPr>
      <w:r w:rsidRPr="00287C00">
        <w:rPr>
          <w:rFonts w:eastAsia="Calibri" w:cs="Tahoma"/>
          <w:bCs/>
          <w:iCs/>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287C00">
        <w:rPr>
          <w:rFonts w:eastAsia="Calibri" w:cs="Tahoma"/>
          <w:b/>
          <w:bCs/>
          <w:iCs/>
        </w:rPr>
        <w:t>y se le asigna una clave para hacer identificable al trabajador con el objetivo de poder proporcionar los servicios que brinda el Instituto de Seguridad Social del Estado de México y Municipios.</w:t>
      </w:r>
    </w:p>
    <w:p w14:paraId="78EF3537" w14:textId="77777777" w:rsidR="00F861B9" w:rsidRPr="00287C00" w:rsidRDefault="00F861B9" w:rsidP="00287C00">
      <w:pPr>
        <w:spacing w:after="0" w:line="360" w:lineRule="auto"/>
        <w:rPr>
          <w:rFonts w:eastAsia="Calibri" w:cs="Tahoma"/>
          <w:bCs/>
          <w:iCs/>
        </w:rPr>
      </w:pPr>
    </w:p>
    <w:p w14:paraId="0BD98A6D" w14:textId="77777777" w:rsidR="00F861B9" w:rsidRPr="00287C00" w:rsidRDefault="00F861B9" w:rsidP="00287C00">
      <w:pPr>
        <w:spacing w:after="0" w:line="360" w:lineRule="auto"/>
        <w:rPr>
          <w:rFonts w:eastAsia="Calibri" w:cs="Tahoma"/>
          <w:bCs/>
          <w:iCs/>
        </w:rPr>
      </w:pPr>
      <w:r w:rsidRPr="00287C00">
        <w:rPr>
          <w:rFonts w:eastAsia="Calibri" w:cs="Tahoma"/>
          <w:bCs/>
          <w:iCs/>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w:t>
      </w:r>
      <w:r w:rsidRPr="00287C00">
        <w:rPr>
          <w:rFonts w:eastAsia="Calibri" w:cs="Tahoma"/>
          <w:bCs/>
          <w:iCs/>
        </w:rPr>
        <w:lastRenderedPageBreak/>
        <w:t>el trabajador se dé de baja y alta en diversas ocasiones, con motivo de haber trabajado en diferentes instituciones gubernamentales de la Entidad.</w:t>
      </w:r>
    </w:p>
    <w:p w14:paraId="33A02C6C" w14:textId="77777777" w:rsidR="00F861B9" w:rsidRPr="00287C00" w:rsidRDefault="00F861B9" w:rsidP="00287C00">
      <w:pPr>
        <w:spacing w:after="0" w:line="360" w:lineRule="auto"/>
        <w:rPr>
          <w:rFonts w:eastAsia="Calibri" w:cs="Tahoma"/>
          <w:bCs/>
          <w:iCs/>
        </w:rPr>
      </w:pPr>
    </w:p>
    <w:p w14:paraId="22D50740" w14:textId="77777777" w:rsidR="00F861B9" w:rsidRPr="00287C00" w:rsidRDefault="00F861B9" w:rsidP="00287C00">
      <w:pPr>
        <w:spacing w:after="0" w:line="360" w:lineRule="auto"/>
        <w:rPr>
          <w:rFonts w:eastAsia="Calibri" w:cs="Tahoma"/>
          <w:bCs/>
          <w:iCs/>
        </w:rPr>
      </w:pPr>
      <w:r w:rsidRPr="00287C00">
        <w:rPr>
          <w:rFonts w:eastAsia="Calibri" w:cs="Tahoma"/>
          <w:bCs/>
          <w:iC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6183D7D2" w14:textId="77777777" w:rsidR="00F861B9" w:rsidRPr="00287C00" w:rsidRDefault="00F861B9" w:rsidP="00287C00">
      <w:pPr>
        <w:spacing w:after="0" w:line="360" w:lineRule="auto"/>
        <w:rPr>
          <w:rFonts w:eastAsia="Calibri" w:cs="Tahoma"/>
          <w:bCs/>
          <w:iCs/>
          <w:lang w:val="es-ES"/>
        </w:rPr>
      </w:pPr>
    </w:p>
    <w:p w14:paraId="19FB8EA0" w14:textId="77777777" w:rsidR="00F861B9" w:rsidRPr="00287C00" w:rsidRDefault="00F861B9" w:rsidP="00287C00">
      <w:pPr>
        <w:numPr>
          <w:ilvl w:val="0"/>
          <w:numId w:val="8"/>
        </w:numPr>
        <w:spacing w:after="0" w:line="360" w:lineRule="auto"/>
        <w:jc w:val="left"/>
        <w:rPr>
          <w:rFonts w:eastAsia="Calibri" w:cs="Tahoma"/>
          <w:b/>
          <w:bCs/>
          <w:iCs/>
          <w:lang w:val="es-ES_tradnl"/>
        </w:rPr>
      </w:pPr>
      <w:r w:rsidRPr="00287C00">
        <w:rPr>
          <w:rFonts w:eastAsia="Calibri" w:cs="Tahoma"/>
          <w:b/>
          <w:bCs/>
          <w:iCs/>
        </w:rPr>
        <w:t>C</w:t>
      </w:r>
      <w:r w:rsidRPr="00287C00">
        <w:rPr>
          <w:rFonts w:eastAsia="Calibri" w:cs="Tahoma"/>
          <w:b/>
          <w:bCs/>
          <w:iCs/>
          <w:lang w:val="es-ES_tradnl"/>
        </w:rPr>
        <w:t>lave Única de Registro de Población (CURP).</w:t>
      </w:r>
    </w:p>
    <w:p w14:paraId="629B42DA" w14:textId="77777777" w:rsidR="00F861B9" w:rsidRPr="00287C00" w:rsidRDefault="00F861B9" w:rsidP="00287C00">
      <w:pPr>
        <w:spacing w:after="0" w:line="360" w:lineRule="auto"/>
        <w:rPr>
          <w:rFonts w:eastAsia="Calibri" w:cs="Tahoma"/>
          <w:bCs/>
          <w:iCs/>
        </w:rPr>
      </w:pPr>
    </w:p>
    <w:p w14:paraId="79607DE8" w14:textId="77777777" w:rsidR="00F861B9" w:rsidRPr="00287C00" w:rsidRDefault="00F861B9" w:rsidP="00287C00">
      <w:pPr>
        <w:spacing w:after="0" w:line="360" w:lineRule="auto"/>
        <w:rPr>
          <w:rFonts w:eastAsia="Calibri" w:cs="Tahoma"/>
          <w:bCs/>
          <w:iCs/>
        </w:rPr>
      </w:pPr>
      <w:r w:rsidRPr="00287C00">
        <w:rPr>
          <w:rFonts w:eastAsia="Calibri" w:cs="Tahoma"/>
          <w:bCs/>
          <w:i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5CB2FE3" w14:textId="77777777" w:rsidR="00F861B9" w:rsidRPr="00287C00" w:rsidRDefault="00F861B9" w:rsidP="00287C00">
      <w:pPr>
        <w:spacing w:after="0" w:line="360" w:lineRule="auto"/>
        <w:rPr>
          <w:rFonts w:eastAsia="Calibri" w:cs="Tahoma"/>
          <w:bCs/>
          <w:iCs/>
        </w:rPr>
      </w:pPr>
    </w:p>
    <w:p w14:paraId="5EF8BBA7" w14:textId="77777777" w:rsidR="00F861B9" w:rsidRPr="00287C00" w:rsidRDefault="00F861B9" w:rsidP="00287C00">
      <w:pPr>
        <w:spacing w:after="0" w:line="360" w:lineRule="auto"/>
        <w:rPr>
          <w:rFonts w:eastAsia="Calibri" w:cs="Tahoma"/>
          <w:bCs/>
          <w:iCs/>
        </w:rPr>
      </w:pPr>
      <w:r w:rsidRPr="00287C00">
        <w:rPr>
          <w:rFonts w:eastAsia="Calibri" w:cs="Tahoma"/>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743EB9C" w14:textId="77777777" w:rsidR="00F861B9" w:rsidRPr="00287C00" w:rsidRDefault="00F861B9" w:rsidP="00287C00">
      <w:pPr>
        <w:spacing w:after="0" w:line="360" w:lineRule="auto"/>
        <w:rPr>
          <w:rFonts w:eastAsia="Calibri" w:cs="Tahoma"/>
          <w:bCs/>
          <w:iCs/>
        </w:rPr>
      </w:pPr>
    </w:p>
    <w:p w14:paraId="53B26F66" w14:textId="77777777" w:rsidR="00F861B9" w:rsidRPr="00287C00" w:rsidRDefault="00F861B9" w:rsidP="00287C00">
      <w:pPr>
        <w:spacing w:after="0" w:line="360" w:lineRule="auto"/>
        <w:contextualSpacing/>
        <w:rPr>
          <w:rFonts w:eastAsia="Times New Roman" w:cs="Tahoma"/>
          <w:lang w:eastAsia="es-MX"/>
        </w:rPr>
      </w:pPr>
      <w:r w:rsidRPr="00287C00">
        <w:rPr>
          <w:rFonts w:eastAsia="Times New Roman" w:cs="Tahoma"/>
          <w:lang w:eastAsia="es-MX"/>
        </w:rPr>
        <w:t xml:space="preserve">En ese orden de ideas, la Secretaría de Gobernación en las direcciones </w:t>
      </w:r>
      <w:hyperlink r:id="rId11" w:history="1">
        <w:r w:rsidRPr="00287C00">
          <w:rPr>
            <w:rFonts w:eastAsia="Times New Roman" w:cs="Tahoma"/>
            <w:u w:val="single"/>
            <w:lang w:eastAsia="es-MX"/>
          </w:rPr>
          <w:t>https://consultas.curp.gob.mx/CurpSP/html/informacionecurpPS.html</w:t>
        </w:r>
      </w:hyperlink>
      <w:r w:rsidRPr="00287C00">
        <w:rPr>
          <w:rFonts w:eastAsia="Times New Roman" w:cs="Tahoma"/>
          <w:lang w:eastAsia="es-MX"/>
        </w:rPr>
        <w:t xml:space="preserve"> y </w:t>
      </w:r>
      <w:hyperlink r:id="rId12" w:history="1">
        <w:r w:rsidRPr="00287C00">
          <w:rPr>
            <w:rFonts w:eastAsia="Times New Roman" w:cs="Tahoma"/>
            <w:u w:val="single"/>
            <w:lang w:eastAsia="es-MX"/>
          </w:rPr>
          <w:t>https://www.gob.mx/segob/renapo/acciones-y-programas/clave-unica-de-registro-de-</w:t>
        </w:r>
        <w:r w:rsidRPr="00287C00">
          <w:rPr>
            <w:rFonts w:eastAsia="Times New Roman" w:cs="Tahoma"/>
            <w:u w:val="single"/>
            <w:lang w:eastAsia="es-MX"/>
          </w:rPr>
          <w:lastRenderedPageBreak/>
          <w:t>poblacion-curp-142226</w:t>
        </w:r>
      </w:hyperlink>
      <w:r w:rsidRPr="00287C00">
        <w:rPr>
          <w:rFonts w:eastAsia="Times New Roman" w:cs="Tahoma"/>
          <w:lang w:eastAsia="es-MX"/>
        </w:rPr>
        <w:t xml:space="preserve"> (consultadas el </w:t>
      </w:r>
      <w:r w:rsidR="00544F01" w:rsidRPr="00287C00">
        <w:rPr>
          <w:rFonts w:eastAsia="Times New Roman" w:cs="Tahoma"/>
          <w:lang w:eastAsia="es-MX"/>
        </w:rPr>
        <w:t>veintitrés de febrero de dos mil veintidós</w:t>
      </w:r>
      <w:r w:rsidRPr="00287C00">
        <w:rPr>
          <w:rFonts w:eastAsia="Times New Roman" w:cs="Tahoma"/>
          <w:lang w:eastAsia="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287C00">
        <w:rPr>
          <w:rFonts w:eastAsia="Times New Roman" w:cs="Tahoma"/>
          <w:b/>
          <w:lang w:eastAsia="es-MX"/>
        </w:rPr>
        <w:t>se generan a partir de los datos contenidos en el documento probatorio de la identidad</w:t>
      </w:r>
      <w:r w:rsidRPr="00287C00">
        <w:rPr>
          <w:rFonts w:eastAsia="Times New Roman" w:cs="Tahoma"/>
          <w:lang w:eastAsia="es-MX"/>
        </w:rPr>
        <w:t xml:space="preserve"> </w:t>
      </w:r>
      <w:r w:rsidRPr="00287C00">
        <w:rPr>
          <w:rFonts w:eastAsia="Times New Roman" w:cs="Tahoma"/>
          <w:b/>
          <w:lang w:eastAsia="es-MX"/>
        </w:rPr>
        <w:t xml:space="preserve">del interesado </w:t>
      </w:r>
      <w:r w:rsidRPr="00287C00">
        <w:rPr>
          <w:rFonts w:eastAsia="Times New Roman" w:cs="Tahoma"/>
          <w:lang w:eastAsia="es-MX"/>
        </w:rPr>
        <w:t>(acta de nacimiento, carta de naturalización o documento migratorio) de la siguiente forma:</w:t>
      </w:r>
    </w:p>
    <w:p w14:paraId="7F6890F0" w14:textId="77777777" w:rsidR="00F861B9" w:rsidRPr="00287C00" w:rsidRDefault="00F861B9" w:rsidP="00287C00">
      <w:pPr>
        <w:spacing w:after="0" w:line="360" w:lineRule="auto"/>
        <w:rPr>
          <w:rFonts w:eastAsia="Calibri" w:cs="Tahoma"/>
          <w:bCs/>
          <w:iCs/>
        </w:rPr>
      </w:pPr>
    </w:p>
    <w:p w14:paraId="698D552D" w14:textId="77777777" w:rsidR="00F861B9" w:rsidRPr="00287C00" w:rsidRDefault="00F861B9" w:rsidP="00287C00">
      <w:pPr>
        <w:numPr>
          <w:ilvl w:val="0"/>
          <w:numId w:val="26"/>
        </w:numPr>
        <w:spacing w:after="0" w:line="360" w:lineRule="auto"/>
        <w:contextualSpacing/>
        <w:jc w:val="left"/>
        <w:rPr>
          <w:rFonts w:eastAsia="Calibri" w:cs="Tahoma"/>
          <w:bCs/>
          <w:iCs/>
        </w:rPr>
      </w:pPr>
      <w:r w:rsidRPr="00287C00">
        <w:rPr>
          <w:rFonts w:eastAsia="Calibri" w:cs="Tahoma"/>
          <w:bCs/>
          <w:iCs/>
        </w:rPr>
        <w:t>El primero y segundo apellidos, así como al nombre de pila;</w:t>
      </w:r>
    </w:p>
    <w:p w14:paraId="6E098147" w14:textId="77777777" w:rsidR="00F861B9" w:rsidRPr="00287C00" w:rsidRDefault="00F861B9" w:rsidP="00287C00">
      <w:pPr>
        <w:numPr>
          <w:ilvl w:val="0"/>
          <w:numId w:val="26"/>
        </w:numPr>
        <w:spacing w:after="0" w:line="360" w:lineRule="auto"/>
        <w:contextualSpacing/>
        <w:jc w:val="left"/>
        <w:rPr>
          <w:rFonts w:eastAsia="Calibri" w:cs="Tahoma"/>
          <w:bCs/>
          <w:iCs/>
        </w:rPr>
      </w:pPr>
      <w:r w:rsidRPr="00287C00">
        <w:rPr>
          <w:rFonts w:eastAsia="Calibri" w:cs="Tahoma"/>
          <w:bCs/>
          <w:iCs/>
        </w:rPr>
        <w:t>La fecha de nacimiento;</w:t>
      </w:r>
    </w:p>
    <w:p w14:paraId="7DB16A24" w14:textId="77777777" w:rsidR="00F861B9" w:rsidRPr="00287C00" w:rsidRDefault="00F861B9" w:rsidP="00287C00">
      <w:pPr>
        <w:numPr>
          <w:ilvl w:val="0"/>
          <w:numId w:val="26"/>
        </w:numPr>
        <w:spacing w:after="0" w:line="360" w:lineRule="auto"/>
        <w:contextualSpacing/>
        <w:jc w:val="left"/>
        <w:rPr>
          <w:rFonts w:eastAsia="Calibri" w:cs="Tahoma"/>
          <w:bCs/>
          <w:iCs/>
        </w:rPr>
      </w:pPr>
      <w:r w:rsidRPr="00287C00">
        <w:rPr>
          <w:rFonts w:eastAsia="Calibri" w:cs="Tahoma"/>
          <w:bCs/>
          <w:iCs/>
        </w:rPr>
        <w:t>El sexo, y</w:t>
      </w:r>
    </w:p>
    <w:p w14:paraId="1A41CFE8" w14:textId="77777777" w:rsidR="00F861B9" w:rsidRPr="00287C00" w:rsidRDefault="00F861B9" w:rsidP="00287C00">
      <w:pPr>
        <w:numPr>
          <w:ilvl w:val="0"/>
          <w:numId w:val="26"/>
        </w:numPr>
        <w:spacing w:after="0" w:line="360" w:lineRule="auto"/>
        <w:contextualSpacing/>
        <w:jc w:val="left"/>
        <w:rPr>
          <w:rFonts w:eastAsia="Calibri" w:cs="Tahoma"/>
          <w:bCs/>
          <w:iCs/>
        </w:rPr>
      </w:pPr>
      <w:r w:rsidRPr="00287C00">
        <w:rPr>
          <w:rFonts w:eastAsia="Calibri" w:cs="Tahoma"/>
          <w:bCs/>
          <w:iCs/>
        </w:rPr>
        <w:t>La entidad federativa de nacimiento.</w:t>
      </w:r>
    </w:p>
    <w:p w14:paraId="69D1AF40" w14:textId="77777777" w:rsidR="00F861B9" w:rsidRPr="00287C00" w:rsidRDefault="00F861B9" w:rsidP="00287C00">
      <w:pPr>
        <w:spacing w:after="0" w:line="360" w:lineRule="auto"/>
        <w:rPr>
          <w:rFonts w:eastAsia="Calibri" w:cs="Tahoma"/>
          <w:bCs/>
          <w:iCs/>
        </w:rPr>
      </w:pPr>
    </w:p>
    <w:p w14:paraId="5075ED8E" w14:textId="66F4E5F9" w:rsidR="00F861B9" w:rsidRPr="00287C00" w:rsidRDefault="00F861B9" w:rsidP="00287C00">
      <w:pPr>
        <w:spacing w:after="0" w:line="360" w:lineRule="auto"/>
        <w:rPr>
          <w:rFonts w:eastAsia="Calibri" w:cs="Tahoma"/>
          <w:bCs/>
          <w:iCs/>
        </w:rPr>
      </w:pPr>
      <w:r w:rsidRPr="00287C00">
        <w:rPr>
          <w:rFonts w:eastAsia="Calibri" w:cs="Tahoma"/>
          <w:bCs/>
          <w:iCs/>
        </w:rPr>
        <w:t>Los dos últimos elementos de la Clave Única de Registro de Población evitan la duplicidad de la Clave y garantizan su correcta integración</w:t>
      </w:r>
      <w:r w:rsidR="00741DF8">
        <w:rPr>
          <w:rFonts w:eastAsia="Calibri" w:cs="Tahoma"/>
          <w:bCs/>
          <w:iCs/>
        </w:rPr>
        <w:t>; por lo que, s</w:t>
      </w:r>
      <w:r w:rsidRPr="00287C00">
        <w:rPr>
          <w:rFonts w:eastAsia="Calibri" w:cs="Tahoma"/>
          <w:bCs/>
          <w:iCs/>
        </w:rPr>
        <w:t xml:space="preserve">e desprende </w:t>
      </w:r>
      <w:r w:rsidR="00741DF8">
        <w:rPr>
          <w:rFonts w:eastAsia="Calibri" w:cs="Tahoma"/>
          <w:bCs/>
          <w:iCs/>
        </w:rPr>
        <w:t>que</w:t>
      </w:r>
      <w:r w:rsidRPr="00287C00">
        <w:rPr>
          <w:rFonts w:eastAsia="Calibri" w:cs="Tahoma"/>
          <w:bCs/>
          <w:iCs/>
        </w:rPr>
        <w:t xml:space="preserve">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7273F38" w14:textId="77777777" w:rsidR="00F861B9" w:rsidRPr="00287C00" w:rsidRDefault="00F861B9" w:rsidP="00287C00">
      <w:pPr>
        <w:spacing w:after="0" w:line="360" w:lineRule="auto"/>
        <w:rPr>
          <w:rFonts w:eastAsia="Calibri" w:cs="Tahoma"/>
          <w:bCs/>
          <w:iCs/>
        </w:rPr>
      </w:pPr>
    </w:p>
    <w:p w14:paraId="17B130FF" w14:textId="77777777" w:rsidR="00F861B9" w:rsidRPr="00287C00" w:rsidRDefault="00F861B9" w:rsidP="00287C00">
      <w:pPr>
        <w:spacing w:after="0" w:line="360" w:lineRule="auto"/>
        <w:rPr>
          <w:rFonts w:eastAsia="Calibri" w:cs="Tahoma"/>
          <w:bCs/>
          <w:iCs/>
        </w:rPr>
      </w:pPr>
      <w:r w:rsidRPr="00287C00">
        <w:rPr>
          <w:rFonts w:eastAsia="Calibri" w:cs="Tahoma"/>
          <w:bCs/>
          <w:iCs/>
        </w:rPr>
        <w:t>Situación que se robustece, con el Criterio 18/17, emitido por el Instituto Nacional de Transparencia, Acceso a la Información y Protección de Datos Personales, que establece lo siguiente:</w:t>
      </w:r>
    </w:p>
    <w:p w14:paraId="03B15E76" w14:textId="77777777" w:rsidR="00F861B9" w:rsidRPr="00287C00" w:rsidRDefault="00F861B9" w:rsidP="00287C00">
      <w:pPr>
        <w:spacing w:after="0" w:line="360" w:lineRule="auto"/>
        <w:rPr>
          <w:rFonts w:eastAsia="Calibri" w:cs="Tahoma"/>
          <w:bCs/>
          <w:iCs/>
        </w:rPr>
      </w:pPr>
    </w:p>
    <w:p w14:paraId="468194B5" w14:textId="77777777" w:rsidR="00F861B9" w:rsidRPr="00287C00" w:rsidRDefault="00F861B9" w:rsidP="00287C00">
      <w:pPr>
        <w:spacing w:after="0" w:line="360" w:lineRule="auto"/>
        <w:ind w:left="567"/>
        <w:rPr>
          <w:rFonts w:eastAsia="Calibri" w:cs="Tahoma"/>
          <w:bCs/>
          <w:i/>
          <w:iCs/>
          <w:sz w:val="20"/>
          <w:szCs w:val="20"/>
        </w:rPr>
      </w:pPr>
      <w:r w:rsidRPr="00287C00">
        <w:rPr>
          <w:rFonts w:eastAsia="Calibri" w:cs="Tahoma"/>
          <w:b/>
          <w:bCs/>
          <w:i/>
          <w:iCs/>
          <w:sz w:val="20"/>
          <w:szCs w:val="20"/>
        </w:rPr>
        <w:t xml:space="preserve">“Clave Única de Registro de Población (CURP). </w:t>
      </w:r>
      <w:r w:rsidRPr="00287C00">
        <w:rPr>
          <w:rFonts w:eastAsia="Calibri" w:cs="Tahoma"/>
          <w:bCs/>
          <w:i/>
          <w:iCs/>
          <w:sz w:val="20"/>
          <w:szCs w:val="20"/>
        </w:rPr>
        <w:t xml:space="preserve">La Clave Única de Registro de Población se integra por datos personales que sólo conciernen al particular titular de la misma, como lo son su nombre, apellidos, </w:t>
      </w:r>
      <w:r w:rsidRPr="00287C00">
        <w:rPr>
          <w:rFonts w:eastAsia="Calibri" w:cs="Tahoma"/>
          <w:bCs/>
          <w:i/>
          <w:iCs/>
          <w:sz w:val="20"/>
          <w:szCs w:val="20"/>
        </w:rPr>
        <w:lastRenderedPageBreak/>
        <w:t xml:space="preserve">fecha de nacimiento, lugar de nacimiento y sexo. Dichos datos, constituyen información que distingue plenamente a una persona física del resto de los habitantes del país, por lo que la CURP está considerada como información confidencial.” </w:t>
      </w:r>
    </w:p>
    <w:p w14:paraId="7432B44D" w14:textId="77777777" w:rsidR="00F861B9" w:rsidRPr="00287C00" w:rsidRDefault="00F861B9" w:rsidP="00287C00">
      <w:pPr>
        <w:spacing w:after="0" w:line="360" w:lineRule="auto"/>
        <w:rPr>
          <w:rFonts w:eastAsia="Calibri" w:cs="Tahoma"/>
          <w:bCs/>
          <w:iCs/>
        </w:rPr>
      </w:pPr>
    </w:p>
    <w:p w14:paraId="583BD1ED" w14:textId="77777777" w:rsidR="00F861B9" w:rsidRPr="00287C00" w:rsidRDefault="00F861B9" w:rsidP="00287C00">
      <w:pPr>
        <w:spacing w:after="0" w:line="360" w:lineRule="auto"/>
        <w:rPr>
          <w:rFonts w:eastAsia="Calibri" w:cs="Tahoma"/>
          <w:bCs/>
          <w:iCs/>
        </w:rPr>
      </w:pPr>
      <w:r w:rsidRPr="00287C00">
        <w:rPr>
          <w:rFonts w:eastAsia="Calibri" w:cs="Tahoma"/>
          <w:bCs/>
          <w:iC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09F156EE" w14:textId="77777777" w:rsidR="00F861B9" w:rsidRPr="00287C00" w:rsidRDefault="00F861B9" w:rsidP="00287C00">
      <w:pPr>
        <w:spacing w:after="0" w:line="360" w:lineRule="auto"/>
        <w:rPr>
          <w:rFonts w:eastAsia="Calibri" w:cs="Tahoma"/>
          <w:bCs/>
          <w:iCs/>
          <w:lang w:val="es-ES"/>
        </w:rPr>
      </w:pPr>
    </w:p>
    <w:p w14:paraId="0AA0962C" w14:textId="77777777" w:rsidR="00F861B9" w:rsidRPr="00287C00" w:rsidRDefault="00F861B9" w:rsidP="00287C00">
      <w:pPr>
        <w:numPr>
          <w:ilvl w:val="0"/>
          <w:numId w:val="8"/>
        </w:numPr>
        <w:spacing w:after="0" w:line="360" w:lineRule="auto"/>
        <w:jc w:val="left"/>
        <w:rPr>
          <w:rFonts w:eastAsia="Calibri" w:cs="Tahoma"/>
          <w:b/>
          <w:bCs/>
          <w:iCs/>
          <w:lang w:val="es-ES_tradnl"/>
        </w:rPr>
      </w:pPr>
      <w:r w:rsidRPr="00287C00">
        <w:rPr>
          <w:rFonts w:eastAsia="Calibri" w:cs="Tahoma"/>
          <w:b/>
          <w:bCs/>
          <w:iCs/>
          <w:lang w:val="es-ES_tradnl"/>
        </w:rPr>
        <w:t>Registro Federal de Contribuyentes (RFC).</w:t>
      </w:r>
    </w:p>
    <w:p w14:paraId="4DADC1D1" w14:textId="77777777" w:rsidR="00F861B9" w:rsidRPr="00287C00" w:rsidRDefault="00F861B9" w:rsidP="00287C00">
      <w:pPr>
        <w:spacing w:after="0" w:line="360" w:lineRule="auto"/>
        <w:rPr>
          <w:rFonts w:eastAsia="Calibri" w:cs="Tahoma"/>
          <w:bCs/>
          <w:iCs/>
        </w:rPr>
      </w:pPr>
    </w:p>
    <w:p w14:paraId="1DF152BC" w14:textId="77777777" w:rsidR="00F861B9" w:rsidRPr="00287C00" w:rsidRDefault="00F861B9" w:rsidP="00287C00">
      <w:pPr>
        <w:spacing w:after="0" w:line="360" w:lineRule="auto"/>
        <w:rPr>
          <w:rFonts w:eastAsia="Calibri" w:cs="Tahoma"/>
          <w:bCs/>
          <w:iCs/>
        </w:rPr>
      </w:pPr>
      <w:r w:rsidRPr="00287C00">
        <w:rPr>
          <w:rFonts w:eastAsia="Calibri"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DFFA7AD" w14:textId="77777777" w:rsidR="00F861B9" w:rsidRPr="00287C00" w:rsidRDefault="00F861B9" w:rsidP="00287C00">
      <w:pPr>
        <w:spacing w:after="0" w:line="360" w:lineRule="auto"/>
        <w:rPr>
          <w:rFonts w:eastAsia="Calibri" w:cs="Tahoma"/>
          <w:bCs/>
          <w:iCs/>
        </w:rPr>
      </w:pPr>
    </w:p>
    <w:p w14:paraId="63D06639" w14:textId="77777777" w:rsidR="00F861B9" w:rsidRPr="00287C00" w:rsidRDefault="00F861B9" w:rsidP="00287C00">
      <w:pPr>
        <w:spacing w:after="0" w:line="360" w:lineRule="auto"/>
        <w:rPr>
          <w:rFonts w:eastAsia="Calibri" w:cs="Tahoma"/>
          <w:bCs/>
          <w:iCs/>
        </w:rPr>
      </w:pPr>
      <w:r w:rsidRPr="00287C00">
        <w:rPr>
          <w:rFonts w:eastAsia="Calibri" w:cs="Tahoma"/>
          <w:bCs/>
          <w:iCs/>
        </w:rPr>
        <w:t xml:space="preserve">De acuerdo a lo establecido en el artículo en comento, esta clave se compone de trece caracteres alfanuméricos, con datos obtenidos de los apellidos, nombre(s), fecha de nacimiento del titular, más una </w:t>
      </w:r>
      <w:proofErr w:type="spellStart"/>
      <w:r w:rsidRPr="00287C00">
        <w:rPr>
          <w:rFonts w:eastAsia="Calibri" w:cs="Tahoma"/>
          <w:bCs/>
          <w:iCs/>
        </w:rPr>
        <w:t>homoclave</w:t>
      </w:r>
      <w:proofErr w:type="spellEnd"/>
      <w:r w:rsidRPr="00287C00">
        <w:rPr>
          <w:rFonts w:eastAsia="Calibri" w:cs="Tahoma"/>
          <w:bCs/>
          <w:iCs/>
        </w:rPr>
        <w:t xml:space="preserve"> que establece el sistema automático del Servicio de Administración Tributaria.</w:t>
      </w:r>
    </w:p>
    <w:p w14:paraId="4CEE7265" w14:textId="77777777" w:rsidR="00F861B9" w:rsidRPr="00287C00" w:rsidRDefault="00F861B9" w:rsidP="00287C00">
      <w:pPr>
        <w:spacing w:after="0" w:line="360" w:lineRule="auto"/>
        <w:rPr>
          <w:rFonts w:eastAsia="Calibri" w:cs="Tahoma"/>
          <w:bCs/>
          <w:iCs/>
        </w:rPr>
      </w:pPr>
    </w:p>
    <w:p w14:paraId="72A776C9" w14:textId="77777777" w:rsidR="00F861B9" w:rsidRPr="00287C00" w:rsidRDefault="00F861B9" w:rsidP="00287C00">
      <w:pPr>
        <w:spacing w:after="0" w:line="360" w:lineRule="auto"/>
        <w:rPr>
          <w:rFonts w:eastAsia="Calibri" w:cs="Tahoma"/>
          <w:bCs/>
          <w:iCs/>
        </w:rPr>
      </w:pPr>
      <w:r w:rsidRPr="00287C00">
        <w:rPr>
          <w:rFonts w:eastAsia="Calibri" w:cs="Tahoma"/>
          <w:bCs/>
          <w:iCs/>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w:t>
      </w:r>
      <w:r w:rsidRPr="00287C00">
        <w:rPr>
          <w:rFonts w:eastAsia="Calibri" w:cs="Tahoma"/>
          <w:bCs/>
          <w:iCs/>
        </w:rPr>
        <w:lastRenderedPageBreak/>
        <w:t>que los particulares tramitan dicho dato, con el único propósito de realizar mediante esa clave de identificación, operaciones o actividades de naturaleza fiscal.</w:t>
      </w:r>
    </w:p>
    <w:p w14:paraId="1D850504" w14:textId="77777777" w:rsidR="00F861B9" w:rsidRPr="00287C00" w:rsidRDefault="00F861B9" w:rsidP="00287C00">
      <w:pPr>
        <w:spacing w:after="0" w:line="360" w:lineRule="auto"/>
        <w:rPr>
          <w:rFonts w:eastAsia="Calibri" w:cs="Tahoma"/>
          <w:bCs/>
          <w:iCs/>
        </w:rPr>
      </w:pPr>
    </w:p>
    <w:p w14:paraId="131E3802" w14:textId="77777777" w:rsidR="00F861B9" w:rsidRPr="00287C00" w:rsidRDefault="00F861B9" w:rsidP="00287C00">
      <w:pPr>
        <w:spacing w:after="0" w:line="360" w:lineRule="auto"/>
        <w:rPr>
          <w:rFonts w:eastAsia="Calibri" w:cs="Tahoma"/>
          <w:bCs/>
          <w:iCs/>
        </w:rPr>
      </w:pPr>
      <w:r w:rsidRPr="00287C00">
        <w:rPr>
          <w:rFonts w:eastAsia="Calibri" w:cs="Tahoma"/>
          <w:bCs/>
          <w:i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9575822" w14:textId="77777777" w:rsidR="00F861B9" w:rsidRPr="00287C00" w:rsidRDefault="00F861B9" w:rsidP="00287C00">
      <w:pPr>
        <w:spacing w:after="0" w:line="360" w:lineRule="auto"/>
        <w:rPr>
          <w:rFonts w:eastAsia="Calibri" w:cs="Tahoma"/>
          <w:bCs/>
          <w:iCs/>
        </w:rPr>
      </w:pPr>
    </w:p>
    <w:p w14:paraId="76DCB4B0" w14:textId="77777777" w:rsidR="00F861B9" w:rsidRPr="00287C00" w:rsidRDefault="00F861B9" w:rsidP="00287C00">
      <w:pPr>
        <w:spacing w:after="0" w:line="360" w:lineRule="auto"/>
        <w:rPr>
          <w:rFonts w:eastAsia="Calibri" w:cs="Tahoma"/>
          <w:bCs/>
          <w:iCs/>
        </w:rPr>
      </w:pPr>
      <w:r w:rsidRPr="00287C00">
        <w:rPr>
          <w:rFonts w:eastAsia="Calibri" w:cs="Tahoma"/>
          <w:bCs/>
          <w:iCs/>
        </w:rPr>
        <w:t>Lo anterior, resulta congruente con el Criterio 19/17 emitido por el Instituto Nacional de Transparencia, Acceso a la Información y Protección de Datos Personales, en el cual se señala lo siguiente:</w:t>
      </w:r>
    </w:p>
    <w:p w14:paraId="0C0CC7D1" w14:textId="77777777" w:rsidR="00F861B9" w:rsidRPr="00287C00" w:rsidRDefault="00F861B9" w:rsidP="00287C00">
      <w:pPr>
        <w:spacing w:after="0" w:line="360" w:lineRule="auto"/>
        <w:rPr>
          <w:rFonts w:eastAsia="Calibri" w:cs="Tahoma"/>
          <w:bCs/>
          <w:iCs/>
        </w:rPr>
      </w:pPr>
    </w:p>
    <w:p w14:paraId="615A4469" w14:textId="77777777" w:rsidR="00F861B9" w:rsidRPr="00287C00" w:rsidRDefault="00F861B9" w:rsidP="00287C00">
      <w:pPr>
        <w:spacing w:after="0" w:line="360" w:lineRule="auto"/>
        <w:ind w:left="567" w:right="567"/>
        <w:rPr>
          <w:rFonts w:eastAsia="Calibri" w:cs="Tahoma"/>
          <w:bCs/>
          <w:i/>
          <w:iCs/>
          <w:sz w:val="20"/>
          <w:szCs w:val="20"/>
        </w:rPr>
      </w:pPr>
      <w:r w:rsidRPr="00287C00">
        <w:rPr>
          <w:rFonts w:eastAsia="Calibri" w:cs="Tahoma"/>
          <w:b/>
          <w:bCs/>
          <w:i/>
          <w:iCs/>
          <w:sz w:val="20"/>
          <w:szCs w:val="20"/>
        </w:rPr>
        <w:t>“Registro Federal de Contribuyentes (RFC) de personas físicas.</w:t>
      </w:r>
      <w:r w:rsidRPr="00287C00">
        <w:rPr>
          <w:rFonts w:eastAsia="Calibri" w:cs="Tahoma"/>
          <w:bCs/>
          <w:i/>
          <w:iCs/>
          <w:sz w:val="20"/>
          <w:szCs w:val="20"/>
        </w:rPr>
        <w:t xml:space="preserve"> El RFC es una clave de carácter fiscal, única e irrepetible, que permite identificar al titular, su edad y fecha de nacimiento, por lo que es un dato personal de carácter confidencial.”</w:t>
      </w:r>
    </w:p>
    <w:p w14:paraId="5EFF65C8" w14:textId="77777777" w:rsidR="00F861B9" w:rsidRPr="00287C00" w:rsidRDefault="00F861B9" w:rsidP="00287C00">
      <w:pPr>
        <w:spacing w:after="0" w:line="360" w:lineRule="auto"/>
        <w:rPr>
          <w:rFonts w:eastAsia="Calibri" w:cs="Tahoma"/>
          <w:bCs/>
          <w:iCs/>
        </w:rPr>
      </w:pPr>
    </w:p>
    <w:p w14:paraId="06F08A3E" w14:textId="77777777" w:rsidR="00F861B9" w:rsidRPr="00287C00" w:rsidRDefault="00F861B9" w:rsidP="00287C00">
      <w:pPr>
        <w:spacing w:after="0" w:line="360" w:lineRule="auto"/>
        <w:rPr>
          <w:rFonts w:eastAsia="Calibri" w:cs="Tahoma"/>
          <w:bCs/>
          <w:iCs/>
        </w:rPr>
      </w:pPr>
      <w:r w:rsidRPr="00287C00">
        <w:rPr>
          <w:rFonts w:eastAsia="Calibri" w:cs="Tahoma"/>
          <w:bCs/>
          <w:iC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4F4252B" w14:textId="77777777" w:rsidR="00F861B9" w:rsidRPr="00287C00" w:rsidRDefault="00F861B9" w:rsidP="00287C00">
      <w:pPr>
        <w:spacing w:after="0" w:line="360" w:lineRule="auto"/>
        <w:rPr>
          <w:rFonts w:eastAsia="Times New Roman" w:cs="Tahoma"/>
          <w:bCs/>
          <w:iCs/>
          <w:color w:val="auto"/>
          <w:lang w:eastAsia="es-ES"/>
        </w:rPr>
      </w:pPr>
    </w:p>
    <w:p w14:paraId="72A5703F" w14:textId="77777777" w:rsidR="00544F01" w:rsidRPr="00287C00" w:rsidRDefault="00544F01" w:rsidP="00287C00">
      <w:pPr>
        <w:numPr>
          <w:ilvl w:val="0"/>
          <w:numId w:val="8"/>
        </w:numPr>
        <w:spacing w:after="0" w:line="360" w:lineRule="auto"/>
        <w:rPr>
          <w:rFonts w:eastAsia="Times New Roman" w:cs="Tahoma"/>
          <w:b/>
          <w:bCs/>
          <w:iCs/>
          <w:color w:val="auto"/>
          <w:lang w:eastAsia="es-ES"/>
        </w:rPr>
      </w:pPr>
      <w:r w:rsidRPr="00287C00">
        <w:rPr>
          <w:rFonts w:eastAsia="Times New Roman" w:cs="Tahoma"/>
          <w:b/>
          <w:bCs/>
          <w:iCs/>
          <w:color w:val="auto"/>
          <w:lang w:eastAsia="es-ES"/>
        </w:rPr>
        <w:t xml:space="preserve">Deducciones personales. </w:t>
      </w:r>
    </w:p>
    <w:p w14:paraId="4FD02895" w14:textId="77777777" w:rsidR="00544F01" w:rsidRPr="00287C00" w:rsidRDefault="00544F01" w:rsidP="00287C00">
      <w:pPr>
        <w:spacing w:after="0" w:line="360" w:lineRule="auto"/>
        <w:rPr>
          <w:rFonts w:eastAsia="Times New Roman" w:cs="Tahoma"/>
          <w:b/>
          <w:bCs/>
          <w:iCs/>
          <w:color w:val="auto"/>
          <w:lang w:eastAsia="es-ES"/>
        </w:rPr>
      </w:pPr>
    </w:p>
    <w:p w14:paraId="7FB1BFB4" w14:textId="77777777" w:rsidR="00544F01" w:rsidRPr="00287C00" w:rsidRDefault="00544F01" w:rsidP="00741DF8">
      <w:pPr>
        <w:widowControl w:val="0"/>
        <w:spacing w:after="0" w:line="360" w:lineRule="auto"/>
        <w:rPr>
          <w:rFonts w:eastAsia="Times New Roman" w:cs="Tahoma"/>
          <w:bCs/>
          <w:iCs/>
          <w:color w:val="auto"/>
          <w:lang w:eastAsia="es-ES"/>
        </w:rPr>
      </w:pPr>
      <w:r w:rsidRPr="00287C00">
        <w:rPr>
          <w:rFonts w:eastAsia="Times New Roman" w:cs="Tahoma"/>
          <w:bCs/>
          <w:iCs/>
          <w:color w:val="auto"/>
          <w:lang w:eastAsia="es-ES"/>
        </w:rPr>
        <w:t xml:space="preserve">Es necesario precisar que existen deducciones que se generan con motivo de una decisión libre </w:t>
      </w:r>
      <w:r w:rsidRPr="00287C00">
        <w:rPr>
          <w:rFonts w:eastAsia="Times New Roman" w:cs="Tahoma"/>
          <w:bCs/>
          <w:iCs/>
          <w:color w:val="auto"/>
          <w:lang w:eastAsia="es-ES"/>
        </w:rPr>
        <w:lastRenderedPageBreak/>
        <w:t>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61146BF4" w14:textId="77777777" w:rsidR="00544F01" w:rsidRPr="00287C00" w:rsidRDefault="00544F01" w:rsidP="00287C00">
      <w:pPr>
        <w:spacing w:after="0" w:line="360" w:lineRule="auto"/>
        <w:rPr>
          <w:rFonts w:eastAsia="Times New Roman" w:cs="Tahoma"/>
          <w:bCs/>
          <w:iCs/>
          <w:color w:val="auto"/>
          <w:lang w:eastAsia="es-ES"/>
        </w:rPr>
      </w:pPr>
    </w:p>
    <w:p w14:paraId="677E4A60" w14:textId="77777777" w:rsidR="00544F01" w:rsidRPr="00287C00" w:rsidRDefault="00544F01"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 xml:space="preserve">Asimismo, hay otras que se generan con motivo de una sentencia judicial, como es la pensión alimenticia que periódicamente se retira de la cuenta de un empleado, a efecto de que sea entregado a un tercero. </w:t>
      </w:r>
    </w:p>
    <w:p w14:paraId="72F843CD" w14:textId="77777777" w:rsidR="00544F01" w:rsidRPr="00287C00" w:rsidRDefault="00544F01" w:rsidP="00287C00">
      <w:pPr>
        <w:spacing w:after="0" w:line="360" w:lineRule="auto"/>
        <w:rPr>
          <w:rFonts w:eastAsia="Times New Roman" w:cs="Tahoma"/>
          <w:bCs/>
          <w:iCs/>
          <w:color w:val="auto"/>
          <w:lang w:eastAsia="es-ES"/>
        </w:rPr>
      </w:pPr>
    </w:p>
    <w:p w14:paraId="394E0423" w14:textId="77777777" w:rsidR="00544F01" w:rsidRPr="00287C00" w:rsidRDefault="00544F01"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1018584" w14:textId="77777777" w:rsidR="00544F01" w:rsidRPr="00287C00" w:rsidRDefault="00544F01" w:rsidP="00287C00">
      <w:pPr>
        <w:spacing w:after="0" w:line="360" w:lineRule="auto"/>
        <w:rPr>
          <w:rFonts w:eastAsia="Times New Roman" w:cs="Tahoma"/>
          <w:bCs/>
          <w:iCs/>
          <w:color w:val="auto"/>
          <w:lang w:eastAsia="es-ES"/>
        </w:rPr>
      </w:pPr>
    </w:p>
    <w:p w14:paraId="326BC16A" w14:textId="77777777" w:rsidR="00544F01" w:rsidRPr="00287C00" w:rsidRDefault="00544F01"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6AE7DCA4" w14:textId="77777777" w:rsidR="00A86D1E" w:rsidRPr="00287C00" w:rsidRDefault="00A86D1E" w:rsidP="00287C00">
      <w:pPr>
        <w:spacing w:after="0" w:line="360" w:lineRule="auto"/>
        <w:rPr>
          <w:rFonts w:eastAsia="Times New Roman" w:cs="Tahoma"/>
          <w:b/>
          <w:bCs/>
          <w:iCs/>
          <w:color w:val="auto"/>
          <w:lang w:eastAsia="es-ES"/>
        </w:rPr>
      </w:pPr>
    </w:p>
    <w:p w14:paraId="344683E3" w14:textId="76D6BAB4" w:rsidR="00544F01" w:rsidRPr="00287C00" w:rsidRDefault="00544F01" w:rsidP="00287C00">
      <w:pPr>
        <w:spacing w:after="0" w:line="360" w:lineRule="auto"/>
        <w:rPr>
          <w:rFonts w:eastAsia="Calibri" w:cs="Tahoma"/>
          <w:bCs/>
        </w:rPr>
      </w:pPr>
      <w:r w:rsidRPr="00287C00">
        <w:rPr>
          <w:rFonts w:eastAsia="Times New Roman" w:cs="Tahoma"/>
          <w:lang w:eastAsia="es-ES"/>
        </w:rPr>
        <w:t xml:space="preserve">Conforme a lo analizado, procede la clasificación </w:t>
      </w:r>
      <w:r w:rsidRPr="00287C00">
        <w:rPr>
          <w:rFonts w:eastAsia="Calibri" w:cs="Tahoma"/>
          <w:bCs/>
        </w:rPr>
        <w:t xml:space="preserve">de </w:t>
      </w:r>
      <w:r w:rsidR="00FE1026" w:rsidRPr="00287C00">
        <w:rPr>
          <w:rFonts w:eastAsia="Times New Roman" w:cs="Tahoma"/>
          <w:bCs/>
          <w:iCs/>
          <w:lang w:eastAsia="es-ES"/>
        </w:rPr>
        <w:t>la</w:t>
      </w:r>
      <w:r w:rsidR="00FE1026" w:rsidRPr="00287C00">
        <w:rPr>
          <w:rFonts w:eastAsia="Times New Roman" w:cs="Tahoma"/>
          <w:bCs/>
          <w:iCs/>
          <w:lang w:val="es-ES" w:eastAsia="es-ES"/>
        </w:rPr>
        <w:t xml:space="preserve"> Clave del Instituto de Seguridad Pública del Estado de México y Municipios, </w:t>
      </w:r>
      <w:r w:rsidR="00FE1026" w:rsidRPr="00287C00">
        <w:rPr>
          <w:rFonts w:eastAsia="Times New Roman" w:cs="Tahoma"/>
          <w:lang w:eastAsia="es-ES"/>
        </w:rPr>
        <w:t xml:space="preserve">la </w:t>
      </w:r>
      <w:r w:rsidR="00FE1026" w:rsidRPr="00287C00">
        <w:rPr>
          <w:rFonts w:eastAsia="Calibri" w:cs="Tahoma"/>
          <w:bCs/>
          <w:iCs/>
          <w:lang w:val="es-ES"/>
        </w:rPr>
        <w:t xml:space="preserve">Clave Única de Registro de Población, </w:t>
      </w:r>
      <w:r w:rsidR="00FE1026" w:rsidRPr="00287C00">
        <w:rPr>
          <w:rFonts w:eastAsia="Times New Roman" w:cs="Tahoma"/>
          <w:lang w:eastAsia="es-ES"/>
        </w:rPr>
        <w:t>el</w:t>
      </w:r>
      <w:r w:rsidR="00FE1026" w:rsidRPr="00287C00">
        <w:rPr>
          <w:rFonts w:eastAsia="Times New Roman" w:cs="Tahoma"/>
          <w:bCs/>
          <w:lang w:eastAsia="es-ES"/>
        </w:rPr>
        <w:t xml:space="preserve"> Registro Federal de Contribuyentes</w:t>
      </w:r>
      <w:r w:rsidR="00741DF8">
        <w:rPr>
          <w:rFonts w:eastAsia="Times New Roman" w:cs="Tahoma"/>
          <w:bCs/>
          <w:lang w:eastAsia="es-ES"/>
        </w:rPr>
        <w:t xml:space="preserve"> y</w:t>
      </w:r>
      <w:r w:rsidR="00FE1026" w:rsidRPr="00287C00">
        <w:rPr>
          <w:rFonts w:eastAsia="Times New Roman" w:cs="Tahoma"/>
          <w:bCs/>
          <w:lang w:eastAsia="es-ES"/>
        </w:rPr>
        <w:t xml:space="preserve"> deducciones personales</w:t>
      </w:r>
      <w:r w:rsidRPr="00287C00">
        <w:rPr>
          <w:rFonts w:eastAsia="Calibri" w:cs="Tahoma"/>
          <w:bCs/>
        </w:rPr>
        <w:t xml:space="preserve">, en términos del artículo 143, fracción I, de la Ley de Transparencia y Acceso a la Información Pública del Estado de México y Municipios; por lo que, deberá proporcionar </w:t>
      </w:r>
      <w:r w:rsidR="00741DF8">
        <w:rPr>
          <w:rFonts w:eastAsia="Calibri" w:cs="Tahoma"/>
          <w:bCs/>
        </w:rPr>
        <w:t>el documento</w:t>
      </w:r>
      <w:r w:rsidRPr="00287C00">
        <w:rPr>
          <w:rFonts w:eastAsia="Calibri" w:cs="Tahoma"/>
          <w:bCs/>
        </w:rPr>
        <w:t xml:space="preserve"> en versión pública.</w:t>
      </w:r>
    </w:p>
    <w:p w14:paraId="103E6CEA" w14:textId="77777777" w:rsidR="00544F01" w:rsidRPr="00287C00" w:rsidRDefault="00544F01" w:rsidP="00287C00">
      <w:pPr>
        <w:spacing w:after="0" w:line="360" w:lineRule="auto"/>
        <w:rPr>
          <w:rFonts w:eastAsia="Calibri" w:cs="Tahoma"/>
          <w:bCs/>
        </w:rPr>
      </w:pPr>
    </w:p>
    <w:p w14:paraId="45E5117E" w14:textId="77777777" w:rsidR="00544F01" w:rsidRPr="00287C00" w:rsidRDefault="00544F01" w:rsidP="00287C00">
      <w:pPr>
        <w:spacing w:after="0" w:line="360" w:lineRule="auto"/>
        <w:rPr>
          <w:rFonts w:eastAsia="Times New Roman" w:cs="Tahoma"/>
          <w:bCs/>
          <w:lang w:val="es-ES" w:eastAsia="es-ES"/>
        </w:rPr>
      </w:pPr>
      <w:r w:rsidRPr="00287C00">
        <w:rPr>
          <w:rFonts w:eastAsia="Times New Roman" w:cs="Tahoma"/>
          <w:bCs/>
          <w:lang w:val="es-ES" w:eastAsia="es-ES"/>
        </w:rPr>
        <w:lastRenderedPageBreak/>
        <w:t>Lo anterior,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FDCE95C" w14:textId="77777777" w:rsidR="00544F01" w:rsidRPr="00287C00" w:rsidRDefault="00544F01" w:rsidP="00287C00">
      <w:pPr>
        <w:spacing w:after="0" w:line="360" w:lineRule="auto"/>
        <w:rPr>
          <w:rFonts w:eastAsia="Times New Roman" w:cs="Tahoma"/>
          <w:bCs/>
          <w:lang w:val="es-ES" w:eastAsia="es-ES"/>
        </w:rPr>
      </w:pPr>
    </w:p>
    <w:p w14:paraId="58F15F6A" w14:textId="77777777" w:rsidR="00544F01" w:rsidRPr="00287C00" w:rsidRDefault="00544F01" w:rsidP="00287C00">
      <w:pPr>
        <w:spacing w:after="0" w:line="360" w:lineRule="auto"/>
        <w:rPr>
          <w:rFonts w:eastAsia="Times New Roman" w:cs="Tahoma"/>
          <w:lang w:val="es-ES" w:eastAsia="es-ES"/>
        </w:rPr>
      </w:pPr>
      <w:r w:rsidRPr="00287C00">
        <w:rPr>
          <w:rFonts w:eastAsia="Times New Roman" w:cs="Tahoma"/>
          <w:bCs/>
          <w:lang w:val="es-ES" w:eastAsia="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3EE63C0D" w14:textId="77777777" w:rsidR="00A86D1E" w:rsidRPr="00287C00" w:rsidRDefault="00A86D1E" w:rsidP="00287C00">
      <w:pPr>
        <w:spacing w:after="0" w:line="360" w:lineRule="auto"/>
        <w:rPr>
          <w:rFonts w:eastAsia="Times New Roman" w:cs="Tahoma"/>
          <w:iCs/>
          <w:color w:val="auto"/>
          <w:lang w:val="es-ES" w:eastAsia="es-ES"/>
        </w:rPr>
      </w:pPr>
    </w:p>
    <w:p w14:paraId="219A90B2" w14:textId="77777777" w:rsidR="00DF5E9D" w:rsidRPr="00287C00" w:rsidRDefault="00DF5E9D" w:rsidP="00287C00">
      <w:pPr>
        <w:spacing w:after="0" w:line="360" w:lineRule="auto"/>
        <w:rPr>
          <w:rFonts w:eastAsia="Times New Roman" w:cs="Tahoma"/>
          <w:b/>
          <w:iCs/>
          <w:color w:val="auto"/>
          <w:lang w:val="es-ES" w:eastAsia="es-ES"/>
        </w:rPr>
      </w:pPr>
      <w:r w:rsidRPr="00287C00">
        <w:rPr>
          <w:rFonts w:eastAsia="Times New Roman" w:cs="Tahoma"/>
          <w:b/>
          <w:iCs/>
          <w:color w:val="auto"/>
          <w:lang w:val="es-ES" w:eastAsia="es-ES"/>
        </w:rPr>
        <w:t xml:space="preserve">SEXTO. Decisión. </w:t>
      </w:r>
    </w:p>
    <w:p w14:paraId="41ADCB90" w14:textId="77777777" w:rsidR="00DF5E9D" w:rsidRPr="00287C00" w:rsidRDefault="00DF5E9D" w:rsidP="00287C00">
      <w:pPr>
        <w:spacing w:after="0" w:line="360" w:lineRule="auto"/>
        <w:rPr>
          <w:rFonts w:eastAsia="Times New Roman" w:cs="Tahoma"/>
          <w:b/>
          <w:iCs/>
          <w:color w:val="auto"/>
          <w:lang w:val="es-ES" w:eastAsia="es-ES"/>
        </w:rPr>
      </w:pPr>
    </w:p>
    <w:p w14:paraId="4367376B" w14:textId="54A20EAB" w:rsidR="00400FC3" w:rsidRPr="00287C00" w:rsidRDefault="00DF5E9D" w:rsidP="00287C00">
      <w:pPr>
        <w:spacing w:after="0" w:line="360" w:lineRule="auto"/>
        <w:rPr>
          <w:rFonts w:eastAsia="Times New Roman" w:cs="Tahoma"/>
          <w:iCs/>
          <w:color w:val="auto"/>
          <w:lang w:eastAsia="es-ES"/>
        </w:rPr>
      </w:pPr>
      <w:r w:rsidRPr="00287C00">
        <w:rPr>
          <w:rFonts w:eastAsia="Times New Roman" w:cs="Tahoma"/>
          <w:iCs/>
          <w:color w:val="auto"/>
          <w:lang w:eastAsia="es-ES"/>
        </w:rPr>
        <w:t xml:space="preserve">De acuerdo con lo expuesto y, con fundamento en el artículo 186, fracción III, de la Ley de Transparencia y Acceso a la Información Pública del Estado de México y Municipios, este Instituto considera procedente </w:t>
      </w:r>
      <w:r w:rsidRPr="00287C00">
        <w:rPr>
          <w:rFonts w:eastAsia="Times New Roman" w:cs="Tahoma"/>
          <w:b/>
          <w:iCs/>
          <w:color w:val="auto"/>
          <w:lang w:eastAsia="es-ES"/>
        </w:rPr>
        <w:t xml:space="preserve">REVOCAR </w:t>
      </w:r>
      <w:r w:rsidRPr="00287C00">
        <w:rPr>
          <w:rFonts w:eastAsia="Times New Roman" w:cs="Tahoma"/>
          <w:bCs/>
          <w:iCs/>
          <w:color w:val="auto"/>
          <w:lang w:eastAsia="es-ES"/>
        </w:rPr>
        <w:t xml:space="preserve">la repuesta otorgada </w:t>
      </w:r>
      <w:r w:rsidRPr="00287C00">
        <w:rPr>
          <w:rFonts w:eastAsia="Times New Roman" w:cs="Tahoma"/>
          <w:iCs/>
          <w:color w:val="auto"/>
          <w:lang w:eastAsia="es-ES"/>
        </w:rPr>
        <w:t xml:space="preserve">por el Sujeto Obligado, </w:t>
      </w:r>
      <w:r w:rsidR="003D36B4" w:rsidRPr="00287C00">
        <w:rPr>
          <w:rFonts w:eastAsia="Times New Roman" w:cs="Tahoma"/>
          <w:iCs/>
          <w:color w:val="auto"/>
          <w:lang w:eastAsia="es-ES"/>
        </w:rPr>
        <w:t>a efecto de que,</w:t>
      </w:r>
      <w:r w:rsidRPr="00287C00">
        <w:rPr>
          <w:rFonts w:eastAsia="Times New Roman" w:cs="Tahoma"/>
          <w:iCs/>
          <w:color w:val="auto"/>
          <w:lang w:eastAsia="es-ES"/>
        </w:rPr>
        <w:t xml:space="preserve"> previa búsqueda exhaustiva y razonable en todas las áreas competentes, entre las cuales no podrá omitir a la</w:t>
      </w:r>
      <w:r w:rsidR="00400FC3" w:rsidRPr="00287C00">
        <w:rPr>
          <w:rFonts w:eastAsia="Times New Roman" w:cs="Tahoma"/>
          <w:iCs/>
          <w:color w:val="auto"/>
          <w:lang w:eastAsia="es-ES"/>
        </w:rPr>
        <w:t xml:space="preserve"> </w:t>
      </w:r>
      <w:r w:rsidR="003D36B4" w:rsidRPr="00287C00">
        <w:rPr>
          <w:rFonts w:eastAsia="Times New Roman" w:cs="Tahoma"/>
          <w:bCs/>
          <w:iCs/>
          <w:color w:val="auto"/>
          <w:lang w:eastAsia="es-ES"/>
        </w:rPr>
        <w:t>Unidad de Apoyo Administrativo, entregue, a través del Sistema de Acceso a la Información Mexiquense (SAIMEX), en versión pública</w:t>
      </w:r>
      <w:r w:rsidR="00741DF8">
        <w:rPr>
          <w:rFonts w:eastAsia="Times New Roman" w:cs="Tahoma"/>
          <w:bCs/>
          <w:iCs/>
          <w:color w:val="auto"/>
          <w:lang w:eastAsia="es-ES"/>
        </w:rPr>
        <w:t>, la Nómina Detallada, de la segunda quincena de noviembre de dos mil veintiuno.</w:t>
      </w:r>
    </w:p>
    <w:p w14:paraId="69C5D11F" w14:textId="77777777" w:rsidR="00400FC3" w:rsidRPr="00287C00" w:rsidRDefault="00400FC3" w:rsidP="00287C00">
      <w:pPr>
        <w:spacing w:after="0" w:line="360" w:lineRule="auto"/>
        <w:rPr>
          <w:rFonts w:eastAsia="Times New Roman" w:cs="Tahoma"/>
          <w:iCs/>
          <w:color w:val="auto"/>
          <w:lang w:eastAsia="es-ES"/>
        </w:rPr>
      </w:pPr>
    </w:p>
    <w:p w14:paraId="7CF3F636" w14:textId="69681357" w:rsidR="00DF5E9D" w:rsidRPr="00287C00" w:rsidRDefault="00D0431D" w:rsidP="00287C00">
      <w:pPr>
        <w:spacing w:after="0" w:line="360" w:lineRule="auto"/>
        <w:rPr>
          <w:rFonts w:eastAsia="Times New Roman" w:cs="Tahoma"/>
          <w:bCs/>
          <w:iCs/>
          <w:color w:val="auto"/>
          <w:lang w:eastAsia="es-ES"/>
        </w:rPr>
      </w:pPr>
      <w:bookmarkStart w:id="1" w:name="_Hlk96601090"/>
      <w:r w:rsidRPr="00287C00">
        <w:rPr>
          <w:rFonts w:eastAsia="Times New Roman" w:cs="Tahoma"/>
          <w:bCs/>
          <w:iCs/>
          <w:color w:val="auto"/>
          <w:lang w:eastAsia="es-ES"/>
        </w:rPr>
        <w:t>Además</w:t>
      </w:r>
      <w:r w:rsidR="00DF5E9D" w:rsidRPr="00287C00">
        <w:rPr>
          <w:rFonts w:eastAsia="Times New Roman" w:cs="Tahoma"/>
          <w:bCs/>
          <w:iCs/>
          <w:color w:val="auto"/>
          <w:lang w:eastAsia="es-ES"/>
        </w:rPr>
        <w:t xml:space="preserve">, deberá proporcionar el Acuerdo de Clasificación donde el Comité de Transparencia, confirme la eliminación de los datos </w:t>
      </w:r>
      <w:r w:rsidR="00741DF8">
        <w:rPr>
          <w:rFonts w:eastAsia="Times New Roman" w:cs="Tahoma"/>
          <w:bCs/>
          <w:iCs/>
          <w:color w:val="auto"/>
          <w:lang w:eastAsia="es-ES"/>
        </w:rPr>
        <w:t>confidenciales</w:t>
      </w:r>
      <w:r w:rsidR="00DF5E9D" w:rsidRPr="00287C00">
        <w:rPr>
          <w:rFonts w:eastAsia="Times New Roman" w:cs="Tahoma"/>
          <w:bCs/>
          <w:iCs/>
          <w:color w:val="auto"/>
          <w:lang w:eastAsia="es-ES"/>
        </w:rPr>
        <w:t>, en la versión pública, de conformidad con los artículos 49, fracciones II y VIII y 132, fracción II de la Ley de Transparencia y Acceso a la Información Pública del Estado de México y Municipios.</w:t>
      </w:r>
    </w:p>
    <w:bookmarkEnd w:id="1"/>
    <w:p w14:paraId="554D0C54" w14:textId="77777777" w:rsidR="00DF5E9D" w:rsidRPr="00287C00" w:rsidRDefault="00DF5E9D" w:rsidP="00287C00">
      <w:pPr>
        <w:spacing w:after="0" w:line="360" w:lineRule="auto"/>
        <w:rPr>
          <w:rFonts w:eastAsia="Times New Roman" w:cs="Tahoma"/>
          <w:b/>
          <w:bCs/>
          <w:iCs/>
          <w:color w:val="auto"/>
          <w:lang w:val="es-ES" w:eastAsia="es-ES"/>
        </w:rPr>
      </w:pPr>
      <w:r w:rsidRPr="00287C00">
        <w:rPr>
          <w:rFonts w:eastAsia="Times New Roman" w:cs="Tahoma"/>
          <w:b/>
          <w:bCs/>
          <w:iCs/>
          <w:color w:val="auto"/>
          <w:lang w:val="es-ES" w:eastAsia="es-ES"/>
        </w:rPr>
        <w:lastRenderedPageBreak/>
        <w:t>Términos de la Resolución para conocimiento del Particular.</w:t>
      </w:r>
    </w:p>
    <w:p w14:paraId="07DED5B9" w14:textId="77777777" w:rsidR="00DF5E9D" w:rsidRPr="00287C00" w:rsidRDefault="00DF5E9D" w:rsidP="00287C00">
      <w:pPr>
        <w:spacing w:after="0" w:line="360" w:lineRule="auto"/>
        <w:rPr>
          <w:rFonts w:eastAsia="Times New Roman" w:cs="Tahoma"/>
          <w:b/>
          <w:bCs/>
          <w:iCs/>
          <w:color w:val="auto"/>
          <w:lang w:val="es-ES" w:eastAsia="es-ES"/>
        </w:rPr>
      </w:pPr>
    </w:p>
    <w:p w14:paraId="5C727AB9" w14:textId="7DAA1EF5" w:rsidR="00DF5E9D" w:rsidRPr="00287C00" w:rsidRDefault="00DF5E9D" w:rsidP="00287C00">
      <w:pPr>
        <w:spacing w:after="0" w:line="360" w:lineRule="auto"/>
        <w:rPr>
          <w:rFonts w:eastAsia="Times New Roman" w:cs="Tahoma"/>
          <w:bCs/>
          <w:iCs/>
          <w:color w:val="auto"/>
          <w:lang w:val="es-ES_tradnl" w:eastAsia="es-ES"/>
        </w:rPr>
      </w:pPr>
      <w:bookmarkStart w:id="2" w:name="_Hlk96601148"/>
      <w:r w:rsidRPr="00287C00">
        <w:rPr>
          <w:rFonts w:eastAsia="Times New Roman" w:cs="Tahoma"/>
          <w:iCs/>
          <w:color w:val="auto"/>
          <w:lang w:eastAsia="es-ES"/>
        </w:rPr>
        <w:t xml:space="preserve">Se le hace del conocimiento a la ahora Recurrente, que, en el presente caso, </w:t>
      </w:r>
      <w:r w:rsidRPr="00287C00">
        <w:rPr>
          <w:rFonts w:eastAsia="Times New Roman" w:cs="Tahoma"/>
          <w:bCs/>
          <w:iCs/>
          <w:color w:val="auto"/>
          <w:lang w:val="es-ES" w:eastAsia="es-ES"/>
        </w:rPr>
        <w:t xml:space="preserve">se le da la razón, pues </w:t>
      </w:r>
      <w:r w:rsidR="00124793" w:rsidRPr="00287C00">
        <w:rPr>
          <w:rFonts w:eastAsia="Times New Roman" w:cs="Tahoma"/>
          <w:bCs/>
          <w:iCs/>
          <w:color w:val="auto"/>
          <w:lang w:val="es-ES" w:eastAsia="es-ES"/>
        </w:rPr>
        <w:t xml:space="preserve">de la lectura del requerimiento de información presentado ante la </w:t>
      </w:r>
      <w:r w:rsidR="00124793" w:rsidRPr="00287C00">
        <w:rPr>
          <w:rFonts w:eastAsia="Times New Roman" w:cs="Tahoma"/>
          <w:bCs/>
          <w:iCs/>
          <w:color w:val="auto"/>
          <w:lang w:eastAsia="es-ES"/>
        </w:rPr>
        <w:t>Comisión de Conciliación y Arbitraje Médico del Estado de México, se advierten elementos suficientes para ser atendida</w:t>
      </w:r>
      <w:r w:rsidR="00741DF8">
        <w:rPr>
          <w:rFonts w:eastAsia="Times New Roman" w:cs="Tahoma"/>
          <w:bCs/>
          <w:iCs/>
          <w:color w:val="auto"/>
          <w:lang w:eastAsia="es-ES"/>
        </w:rPr>
        <w:t xml:space="preserve">, por lo que, en el presente caso, deberá proporcionarle la Nómina Detallada, en versión pública, con el fin de salvaguardar los datos personales. </w:t>
      </w:r>
      <w:bookmarkStart w:id="3" w:name="_Hlk96601209"/>
      <w:r w:rsidRPr="00287C00">
        <w:rPr>
          <w:rFonts w:eastAsia="Times New Roman" w:cs="Tahoma"/>
          <w:bCs/>
          <w:iCs/>
          <w:color w:val="auto"/>
          <w:lang w:val="es-ES_tradnl" w:eastAsia="es-ES"/>
        </w:rPr>
        <w:t>Finalmente,</w:t>
      </w:r>
      <w:r w:rsidR="00741DF8">
        <w:rPr>
          <w:rFonts w:eastAsia="Times New Roman" w:cs="Tahoma"/>
          <w:bCs/>
          <w:iCs/>
          <w:color w:val="auto"/>
          <w:lang w:val="es-ES_tradnl" w:eastAsia="es-ES"/>
        </w:rPr>
        <w:t xml:space="preserve"> </w:t>
      </w:r>
      <w:r w:rsidRPr="00287C00">
        <w:rPr>
          <w:rFonts w:eastAsia="Times New Roman" w:cs="Tahoma"/>
          <w:bCs/>
          <w:iCs/>
          <w:color w:val="auto"/>
          <w:lang w:val="es-ES_tradnl" w:eastAsia="es-ES"/>
        </w:rPr>
        <w:t>la labor del Instituto, es apoyar a la población a acceder a la información pública y garantizar la protección de los datos personales.</w:t>
      </w:r>
    </w:p>
    <w:bookmarkEnd w:id="2"/>
    <w:bookmarkEnd w:id="3"/>
    <w:p w14:paraId="2EDAEB1E" w14:textId="77777777" w:rsidR="00DF5E9D" w:rsidRPr="00287C00" w:rsidRDefault="00DF5E9D" w:rsidP="00287C00">
      <w:pPr>
        <w:spacing w:after="0" w:line="360" w:lineRule="auto"/>
        <w:rPr>
          <w:rFonts w:eastAsia="Times New Roman" w:cs="Tahoma"/>
          <w:iCs/>
          <w:color w:val="auto"/>
          <w:lang w:eastAsia="es-ES"/>
        </w:rPr>
      </w:pPr>
    </w:p>
    <w:p w14:paraId="1F7AA48F" w14:textId="77777777" w:rsidR="00DF5E9D" w:rsidRPr="00287C00" w:rsidRDefault="00DF5E9D" w:rsidP="00287C00">
      <w:pPr>
        <w:spacing w:after="0" w:line="360" w:lineRule="auto"/>
        <w:rPr>
          <w:rFonts w:eastAsia="Times New Roman" w:cs="Tahoma"/>
          <w:bCs/>
          <w:iCs/>
          <w:color w:val="auto"/>
          <w:lang w:eastAsia="es-ES"/>
        </w:rPr>
      </w:pPr>
      <w:r w:rsidRPr="00287C00">
        <w:rPr>
          <w:rFonts w:eastAsia="Times New Roman" w:cs="Tahoma"/>
          <w:bCs/>
          <w:iCs/>
          <w:color w:val="auto"/>
          <w:lang w:eastAsia="es-ES"/>
        </w:rPr>
        <w:t>Por lo expuesto y fundado, este Pleno:</w:t>
      </w:r>
    </w:p>
    <w:p w14:paraId="3F07C071" w14:textId="77777777" w:rsidR="00252D61" w:rsidRPr="00287C00" w:rsidRDefault="00252D61" w:rsidP="00287C00">
      <w:pPr>
        <w:spacing w:after="0" w:line="360" w:lineRule="auto"/>
        <w:ind w:right="-28"/>
        <w:rPr>
          <w:rFonts w:eastAsia="Calibri" w:cs="Tahoma"/>
          <w:bCs/>
          <w:color w:val="auto"/>
        </w:rPr>
      </w:pPr>
    </w:p>
    <w:p w14:paraId="276E7543" w14:textId="77777777" w:rsidR="00252D61" w:rsidRPr="00287C00" w:rsidRDefault="00252D61" w:rsidP="00287C00">
      <w:pPr>
        <w:spacing w:after="0" w:line="360" w:lineRule="auto"/>
        <w:ind w:right="-28"/>
        <w:jc w:val="center"/>
        <w:rPr>
          <w:rFonts w:eastAsia="Calibri" w:cs="Tahoma"/>
          <w:b/>
          <w:bCs/>
          <w:color w:val="auto"/>
        </w:rPr>
      </w:pPr>
      <w:r w:rsidRPr="00287C00">
        <w:rPr>
          <w:rFonts w:eastAsia="Calibri" w:cs="Tahoma"/>
          <w:b/>
          <w:bCs/>
          <w:color w:val="auto"/>
        </w:rPr>
        <w:t>R E S U E L V E:</w:t>
      </w:r>
    </w:p>
    <w:p w14:paraId="53954662" w14:textId="77777777" w:rsidR="00252D61" w:rsidRPr="00287C00" w:rsidRDefault="00252D61" w:rsidP="00287C00">
      <w:pPr>
        <w:spacing w:after="0" w:line="360" w:lineRule="auto"/>
        <w:rPr>
          <w:lang w:val="es-ES" w:eastAsia="es-ES_tradnl"/>
        </w:rPr>
      </w:pPr>
    </w:p>
    <w:p w14:paraId="20B9FC8A" w14:textId="77777777" w:rsidR="00252D61" w:rsidRPr="00287C00" w:rsidRDefault="00252D61" w:rsidP="00287C00">
      <w:pPr>
        <w:spacing w:after="0" w:line="360" w:lineRule="auto"/>
        <w:contextualSpacing/>
        <w:rPr>
          <w:rFonts w:eastAsia="Calibri" w:cs="Tahoma"/>
          <w:bCs/>
        </w:rPr>
      </w:pPr>
      <w:r w:rsidRPr="00287C00">
        <w:rPr>
          <w:rFonts w:cs="Tahoma"/>
          <w:b/>
          <w:bCs/>
        </w:rPr>
        <w:t xml:space="preserve">PRIMERO. </w:t>
      </w:r>
      <w:r w:rsidRPr="00287C00">
        <w:rPr>
          <w:rFonts w:cs="Tahoma"/>
          <w:bCs/>
        </w:rPr>
        <w:t xml:space="preserve">Se </w:t>
      </w:r>
      <w:r w:rsidR="002526CB" w:rsidRPr="00287C00">
        <w:rPr>
          <w:rFonts w:cs="Tahoma"/>
          <w:b/>
          <w:bCs/>
        </w:rPr>
        <w:t>REVOCA</w:t>
      </w:r>
      <w:r w:rsidRPr="00287C00">
        <w:rPr>
          <w:rFonts w:cs="Tahoma"/>
          <w:bCs/>
        </w:rPr>
        <w:t xml:space="preserve"> la respuesta entregada por el </w:t>
      </w:r>
      <w:r w:rsidRPr="00287C00">
        <w:rPr>
          <w:rFonts w:eastAsia="Calibri" w:cs="Tahoma"/>
        </w:rPr>
        <w:t>Comisión de Conciliación y Arbitraje Médico del Estado de México</w:t>
      </w:r>
      <w:r w:rsidRPr="00287C00">
        <w:rPr>
          <w:rFonts w:cs="Tahoma"/>
          <w:bCs/>
        </w:rPr>
        <w:t xml:space="preserve"> a la solicitud de </w:t>
      </w:r>
      <w:r w:rsidRPr="00287C00">
        <w:rPr>
          <w:rFonts w:eastAsia="Calibri" w:cs="Tahoma"/>
        </w:rPr>
        <w:t xml:space="preserve">información </w:t>
      </w:r>
      <w:r w:rsidRPr="00287C00">
        <w:rPr>
          <w:rFonts w:eastAsia="Calibri" w:cs="Tahoma"/>
          <w:b/>
          <w:bCs/>
        </w:rPr>
        <w:t>00277/CAMEM/IP/2021</w:t>
      </w:r>
      <w:r w:rsidRPr="00287C00">
        <w:t xml:space="preserve"> por resultar </w:t>
      </w:r>
      <w:r w:rsidRPr="00287C00">
        <w:rPr>
          <w:b/>
        </w:rPr>
        <w:t>FUNDADAS</w:t>
      </w:r>
      <w:r w:rsidRPr="00287C00">
        <w:rPr>
          <w:rFonts w:cs="Tahoma"/>
        </w:rPr>
        <w:t xml:space="preserve"> </w:t>
      </w:r>
      <w:r w:rsidRPr="00287C00">
        <w:rPr>
          <w:rFonts w:eastAsia="Calibri" w:cs="Tahoma"/>
        </w:rPr>
        <w:t>las razones o motivos de inconformidad hechos valer por el Particular, en</w:t>
      </w:r>
      <w:r w:rsidRPr="00287C00">
        <w:rPr>
          <w:rFonts w:eastAsia="Calibri" w:cs="Tahoma"/>
          <w:bCs/>
        </w:rPr>
        <w:t xml:space="preserve"> términos de los considerandos </w:t>
      </w:r>
      <w:r w:rsidRPr="00287C00">
        <w:rPr>
          <w:rFonts w:eastAsia="Calibri" w:cs="Tahoma"/>
          <w:b/>
          <w:bCs/>
        </w:rPr>
        <w:t xml:space="preserve">QUINTO </w:t>
      </w:r>
      <w:r w:rsidRPr="00287C00">
        <w:rPr>
          <w:rFonts w:eastAsia="Calibri" w:cs="Tahoma"/>
        </w:rPr>
        <w:t xml:space="preserve">y </w:t>
      </w:r>
      <w:r w:rsidRPr="00287C00">
        <w:rPr>
          <w:rFonts w:eastAsia="Calibri" w:cs="Tahoma"/>
          <w:b/>
          <w:bCs/>
        </w:rPr>
        <w:t>SEXTO</w:t>
      </w:r>
      <w:r w:rsidRPr="00287C00">
        <w:rPr>
          <w:rFonts w:eastAsia="Calibri" w:cs="Tahoma"/>
          <w:bCs/>
        </w:rPr>
        <w:t xml:space="preserve"> de la presente Resolución.</w:t>
      </w:r>
    </w:p>
    <w:p w14:paraId="1A19F2EE" w14:textId="77777777" w:rsidR="00252D61" w:rsidRPr="00287C00" w:rsidRDefault="00252D61" w:rsidP="00287C00">
      <w:pPr>
        <w:spacing w:after="0" w:line="360" w:lineRule="auto"/>
        <w:contextualSpacing/>
        <w:rPr>
          <w:rFonts w:eastAsia="Calibri" w:cs="Tahoma"/>
          <w:bCs/>
        </w:rPr>
      </w:pPr>
    </w:p>
    <w:p w14:paraId="70896229" w14:textId="1CE7D30B" w:rsidR="00252D61" w:rsidRPr="00287C00" w:rsidRDefault="00252D61" w:rsidP="00287C00">
      <w:pPr>
        <w:spacing w:after="0" w:line="360" w:lineRule="auto"/>
        <w:contextualSpacing/>
        <w:rPr>
          <w:rFonts w:cs="Tahoma"/>
        </w:rPr>
      </w:pPr>
      <w:r w:rsidRPr="00287C00">
        <w:rPr>
          <w:rFonts w:cs="Tahoma"/>
          <w:b/>
          <w:bCs/>
        </w:rPr>
        <w:t xml:space="preserve">SEGUNDO. </w:t>
      </w:r>
      <w:r w:rsidRPr="00287C00">
        <w:rPr>
          <w:rFonts w:cs="Tahoma"/>
        </w:rPr>
        <w:t xml:space="preserve">Se </w:t>
      </w:r>
      <w:r w:rsidRPr="00287C00">
        <w:rPr>
          <w:rFonts w:cs="Tahoma"/>
          <w:b/>
        </w:rPr>
        <w:t xml:space="preserve">ORDENA </w:t>
      </w:r>
      <w:r w:rsidRPr="00287C00">
        <w:rPr>
          <w:rFonts w:cs="Tahoma"/>
          <w:bCs/>
        </w:rPr>
        <w:t xml:space="preserve">al </w:t>
      </w:r>
      <w:r w:rsidRPr="00287C00">
        <w:rPr>
          <w:rFonts w:cs="Tahoma"/>
        </w:rPr>
        <w:t xml:space="preserve">Ente Recurrido, </w:t>
      </w:r>
      <w:bookmarkStart w:id="4" w:name="_Hlk96601250"/>
      <w:r w:rsidRPr="00287C00">
        <w:rPr>
          <w:rFonts w:cs="Tahoma"/>
        </w:rPr>
        <w:t>a efecto de</w:t>
      </w:r>
      <w:r w:rsidRPr="00287C00">
        <w:rPr>
          <w:rFonts w:eastAsia="Calibri" w:cs="Tahoma"/>
          <w:lang w:eastAsia="es-MX"/>
        </w:rPr>
        <w:t xml:space="preserve"> que</w:t>
      </w:r>
      <w:r w:rsidR="00741DF8">
        <w:rPr>
          <w:rFonts w:eastAsia="Calibri" w:cs="Tahoma"/>
          <w:lang w:eastAsia="es-MX"/>
        </w:rPr>
        <w:t>, previa búsqueda exhaustiva y razonable, en todas las áreas competentes,</w:t>
      </w:r>
      <w:r w:rsidRPr="00287C00">
        <w:rPr>
          <w:rFonts w:eastAsia="Calibri" w:cs="Tahoma"/>
          <w:lang w:eastAsia="es-MX"/>
        </w:rPr>
        <w:t xml:space="preserve"> entregue</w:t>
      </w:r>
      <w:r w:rsidRPr="00287C00">
        <w:rPr>
          <w:rFonts w:cs="Tahoma"/>
        </w:rPr>
        <w:t xml:space="preserve">, a través del Sistema de Acceso a la Información Mexiquense (SAIMEX), </w:t>
      </w:r>
      <w:r w:rsidR="00741DF8">
        <w:rPr>
          <w:rFonts w:cs="Tahoma"/>
        </w:rPr>
        <w:t xml:space="preserve">en versión pública, </w:t>
      </w:r>
      <w:r w:rsidRPr="00287C00">
        <w:rPr>
          <w:rFonts w:cs="Tahoma"/>
        </w:rPr>
        <w:t>lo siguiente:</w:t>
      </w:r>
    </w:p>
    <w:bookmarkEnd w:id="4"/>
    <w:p w14:paraId="6187A698" w14:textId="77777777" w:rsidR="002526CB" w:rsidRPr="00287C00" w:rsidRDefault="002526CB" w:rsidP="00287C00">
      <w:pPr>
        <w:spacing w:after="0" w:line="360" w:lineRule="auto"/>
        <w:contextualSpacing/>
        <w:rPr>
          <w:rFonts w:cs="Tahoma"/>
        </w:rPr>
      </w:pPr>
    </w:p>
    <w:p w14:paraId="2E374773" w14:textId="0A9A11D7" w:rsidR="002526CB" w:rsidRDefault="00741DF8" w:rsidP="00741DF8">
      <w:pPr>
        <w:pStyle w:val="Prrafodelista"/>
        <w:numPr>
          <w:ilvl w:val="0"/>
          <w:numId w:val="30"/>
        </w:numPr>
        <w:spacing w:line="360" w:lineRule="auto"/>
        <w:rPr>
          <w:rFonts w:cs="Tahoma"/>
          <w:iCs/>
          <w:color w:val="auto"/>
        </w:rPr>
      </w:pPr>
      <w:r>
        <w:rPr>
          <w:rFonts w:cs="Tahoma"/>
          <w:iCs/>
          <w:color w:val="auto"/>
        </w:rPr>
        <w:t>La N</w:t>
      </w:r>
      <w:r w:rsidR="002526CB" w:rsidRPr="00287C00">
        <w:rPr>
          <w:rFonts w:cs="Tahoma"/>
          <w:iCs/>
          <w:color w:val="auto"/>
        </w:rPr>
        <w:t xml:space="preserve">omina </w:t>
      </w:r>
      <w:r>
        <w:rPr>
          <w:rFonts w:cs="Tahoma"/>
          <w:iCs/>
          <w:color w:val="auto"/>
        </w:rPr>
        <w:t>D</w:t>
      </w:r>
      <w:r w:rsidR="002526CB" w:rsidRPr="00287C00">
        <w:rPr>
          <w:rFonts w:cs="Tahoma"/>
          <w:iCs/>
          <w:color w:val="auto"/>
        </w:rPr>
        <w:t>etallada</w:t>
      </w:r>
      <w:r>
        <w:rPr>
          <w:rFonts w:cs="Tahoma"/>
          <w:iCs/>
          <w:color w:val="auto"/>
        </w:rPr>
        <w:t>,</w:t>
      </w:r>
      <w:r w:rsidR="002526CB" w:rsidRPr="00287C00">
        <w:rPr>
          <w:rFonts w:cs="Tahoma"/>
          <w:iCs/>
          <w:color w:val="auto"/>
        </w:rPr>
        <w:t xml:space="preserve"> de la segunda quincena </w:t>
      </w:r>
      <w:r>
        <w:rPr>
          <w:rFonts w:cs="Tahoma"/>
          <w:iCs/>
          <w:color w:val="auto"/>
        </w:rPr>
        <w:t xml:space="preserve">de noviembre </w:t>
      </w:r>
      <w:r w:rsidR="002526CB" w:rsidRPr="00287C00">
        <w:rPr>
          <w:rFonts w:cs="Tahoma"/>
          <w:iCs/>
          <w:color w:val="auto"/>
        </w:rPr>
        <w:t>de dos mil veintiuno</w:t>
      </w:r>
      <w:r>
        <w:rPr>
          <w:rFonts w:cs="Tahoma"/>
          <w:iCs/>
          <w:color w:val="auto"/>
        </w:rPr>
        <w:t>.</w:t>
      </w:r>
    </w:p>
    <w:p w14:paraId="53AB2EC2" w14:textId="77777777" w:rsidR="00741DF8" w:rsidRPr="00287C00" w:rsidRDefault="00741DF8" w:rsidP="00741DF8">
      <w:pPr>
        <w:pStyle w:val="Prrafodelista"/>
        <w:spacing w:line="360" w:lineRule="auto"/>
        <w:rPr>
          <w:rFonts w:cs="Tahoma"/>
          <w:iCs/>
          <w:color w:val="auto"/>
        </w:rPr>
      </w:pPr>
    </w:p>
    <w:p w14:paraId="19BCC4BF" w14:textId="65D46F0B" w:rsidR="00252D61" w:rsidRPr="00287C00" w:rsidRDefault="00252D61" w:rsidP="00287C00">
      <w:pPr>
        <w:tabs>
          <w:tab w:val="left" w:pos="4962"/>
        </w:tabs>
        <w:spacing w:after="0" w:line="360" w:lineRule="auto"/>
        <w:rPr>
          <w:rFonts w:eastAsia="Calibri" w:cs="Tahoma"/>
          <w:bCs/>
          <w:iCs/>
          <w:color w:val="auto"/>
          <w:lang w:val="es-ES"/>
        </w:rPr>
      </w:pPr>
      <w:r w:rsidRPr="00287C00">
        <w:rPr>
          <w:rFonts w:eastAsia="Calibri" w:cs="Tahoma"/>
          <w:bCs/>
          <w:iCs/>
          <w:color w:val="auto"/>
          <w:lang w:val="es-ES"/>
        </w:rPr>
        <w:t>A</w:t>
      </w:r>
      <w:r w:rsidR="002526CB" w:rsidRPr="00287C00">
        <w:rPr>
          <w:rFonts w:eastAsia="Calibri" w:cs="Tahoma"/>
          <w:bCs/>
          <w:iCs/>
          <w:color w:val="auto"/>
          <w:lang w:val="es-ES"/>
        </w:rPr>
        <w:t>demás,</w:t>
      </w:r>
      <w:r w:rsidRPr="00287C00">
        <w:rPr>
          <w:rFonts w:eastAsia="Calibri" w:cs="Tahoma"/>
          <w:bCs/>
          <w:iCs/>
          <w:color w:val="auto"/>
          <w:lang w:val="es-ES"/>
        </w:rPr>
        <w:t xml:space="preserve"> deberá proporcionar el Acuerdo de Clasificación donde el Comité de Transparencia, confirme la eliminación de los datos </w:t>
      </w:r>
      <w:r w:rsidR="00741DF8">
        <w:rPr>
          <w:rFonts w:eastAsia="Calibri" w:cs="Tahoma"/>
          <w:bCs/>
          <w:iCs/>
          <w:color w:val="auto"/>
          <w:lang w:val="es-ES"/>
        </w:rPr>
        <w:t>confidenciales</w:t>
      </w:r>
      <w:r w:rsidRPr="00287C00">
        <w:rPr>
          <w:rFonts w:eastAsia="Calibri" w:cs="Tahoma"/>
          <w:bCs/>
          <w:iCs/>
          <w:color w:val="auto"/>
          <w:lang w:val="es-ES"/>
        </w:rPr>
        <w:t xml:space="preserve">, en la versión pública, de conformidad con </w:t>
      </w:r>
      <w:r w:rsidRPr="00287C00">
        <w:rPr>
          <w:rFonts w:eastAsia="Calibri" w:cs="Tahoma"/>
          <w:bCs/>
          <w:iCs/>
          <w:color w:val="auto"/>
          <w:lang w:val="es-ES"/>
        </w:rPr>
        <w:lastRenderedPageBreak/>
        <w:t>los artículos 49, fracciones II y VIII y 132, fracción II de la Ley de Transparencia y Acceso a la Información Pública del Estado de México y Municipios.</w:t>
      </w:r>
    </w:p>
    <w:p w14:paraId="79D48F2D" w14:textId="77777777" w:rsidR="00252D61" w:rsidRPr="00287C00" w:rsidRDefault="00252D61" w:rsidP="00287C00">
      <w:pPr>
        <w:spacing w:after="0" w:line="360" w:lineRule="auto"/>
        <w:rPr>
          <w:rFonts w:eastAsia="Times New Roman" w:cs="Tahoma"/>
          <w:bCs/>
          <w:color w:val="auto"/>
          <w:lang w:eastAsia="es-ES"/>
        </w:rPr>
      </w:pPr>
    </w:p>
    <w:p w14:paraId="6A85AF99" w14:textId="77777777" w:rsidR="00252D61" w:rsidRPr="00287C00" w:rsidRDefault="00252D61" w:rsidP="00287C00">
      <w:pPr>
        <w:spacing w:after="0" w:line="360" w:lineRule="auto"/>
        <w:rPr>
          <w:rFonts w:cs="Tahoma"/>
        </w:rPr>
      </w:pPr>
      <w:r w:rsidRPr="00287C00">
        <w:rPr>
          <w:rFonts w:cs="Arial"/>
          <w:b/>
          <w:lang w:val="es-ES_tradnl"/>
        </w:rPr>
        <w:t>TERCERO.</w:t>
      </w:r>
      <w:r w:rsidRPr="00287C00">
        <w:rPr>
          <w:rFonts w:cs="Tahoma"/>
          <w:b/>
        </w:rPr>
        <w:t xml:space="preserve"> NOTIFÍQUESE </w:t>
      </w:r>
      <w:r w:rsidRPr="00287C00">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5AE8355" w14:textId="77777777" w:rsidR="00252D61" w:rsidRPr="00287C00" w:rsidRDefault="00252D61" w:rsidP="00287C00">
      <w:pPr>
        <w:spacing w:after="0" w:line="360" w:lineRule="auto"/>
        <w:rPr>
          <w:rFonts w:cs="Tahoma"/>
        </w:rPr>
      </w:pPr>
    </w:p>
    <w:p w14:paraId="32F12C4C" w14:textId="77777777" w:rsidR="00252D61" w:rsidRPr="00287C00" w:rsidRDefault="00252D61" w:rsidP="00287C00">
      <w:pPr>
        <w:spacing w:after="0" w:line="360" w:lineRule="auto"/>
        <w:contextualSpacing/>
        <w:rPr>
          <w:rFonts w:eastAsia="Calibri" w:cs="Tahoma"/>
          <w:iCs/>
        </w:rPr>
      </w:pPr>
      <w:bookmarkStart w:id="5" w:name="_Hlk61509110"/>
      <w:r w:rsidRPr="00287C00">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5"/>
    </w:p>
    <w:p w14:paraId="693D1FF8" w14:textId="77777777" w:rsidR="00252D61" w:rsidRPr="00287C00" w:rsidRDefault="00252D61" w:rsidP="00287C00">
      <w:pPr>
        <w:spacing w:after="0" w:line="360" w:lineRule="auto"/>
        <w:rPr>
          <w:rFonts w:cs="Tahoma"/>
        </w:rPr>
      </w:pPr>
    </w:p>
    <w:p w14:paraId="69006E6B" w14:textId="77777777" w:rsidR="00252D61" w:rsidRPr="00287C00" w:rsidRDefault="00252D61" w:rsidP="00287C00">
      <w:pPr>
        <w:spacing w:after="0" w:line="360" w:lineRule="auto"/>
        <w:rPr>
          <w:rFonts w:cs="Tahoma"/>
        </w:rPr>
      </w:pPr>
      <w:r w:rsidRPr="00287C00">
        <w:rPr>
          <w:rFonts w:cs="Tahoma"/>
          <w:b/>
        </w:rPr>
        <w:t>CUARTO. NOTIFÍQUESE</w:t>
      </w:r>
      <w:r w:rsidRPr="00287C00">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98EC57" w14:textId="77777777" w:rsidR="00252D61" w:rsidRPr="00287C00" w:rsidRDefault="00252D61" w:rsidP="00287C00">
      <w:pPr>
        <w:spacing w:after="0" w:line="360" w:lineRule="auto"/>
        <w:rPr>
          <w:rFonts w:eastAsia="Calibri" w:cs="Tahoma"/>
          <w:bCs/>
          <w:lang w:val="es-ES"/>
        </w:rPr>
      </w:pPr>
    </w:p>
    <w:p w14:paraId="15AFADE9" w14:textId="77777777" w:rsidR="00252D61" w:rsidRPr="00287C00" w:rsidRDefault="00252D61" w:rsidP="00287C00">
      <w:pPr>
        <w:spacing w:after="0" w:line="360" w:lineRule="auto"/>
        <w:rPr>
          <w:rFonts w:eastAsia="Calibri" w:cs="Tahoma"/>
          <w:bCs/>
        </w:rPr>
      </w:pPr>
      <w:r w:rsidRPr="00287C00">
        <w:rPr>
          <w:rFonts w:eastAsia="Calibri" w:cs="Tahoma"/>
          <w:bCs/>
        </w:rPr>
        <w:t xml:space="preserve">ASÍ LO RESUELVE, POR </w:t>
      </w:r>
      <w:r w:rsidRPr="00287C00">
        <w:rPr>
          <w:rFonts w:eastAsia="Calibri" w:cs="Tahoma"/>
          <w:b/>
        </w:rPr>
        <w:t>UNANIMIDAD</w:t>
      </w:r>
      <w:r w:rsidRPr="00287C00">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w:t>
      </w:r>
      <w:r w:rsidRPr="00287C00">
        <w:rPr>
          <w:rFonts w:eastAsia="Calibri" w:cs="Tahoma"/>
          <w:bCs/>
        </w:rPr>
        <w:lastRenderedPageBreak/>
        <w:t>ORDINARIA, CELEBRADA EL TRES DE MARZO DE DOS MIL VEINTIDÓS, ANTE EL SECRETARIO TÉCNICO DEL PLENO, ALEXIS TAPIA RAMÍREZ.</w:t>
      </w:r>
    </w:p>
    <w:p w14:paraId="0FAF7121" w14:textId="77777777" w:rsidR="00252D61" w:rsidRPr="00287C00" w:rsidRDefault="00252D61" w:rsidP="00287C00">
      <w:pPr>
        <w:spacing w:after="0" w:line="360" w:lineRule="auto"/>
        <w:jc w:val="left"/>
        <w:rPr>
          <w:rFonts w:eastAsia="Calibri" w:cs="Tahoma"/>
          <w:b/>
          <w:bCs/>
        </w:rPr>
      </w:pPr>
      <w:r w:rsidRPr="00287C00">
        <w:rPr>
          <w:rFonts w:eastAsia="Calibri" w:cs="Tahoma"/>
          <w:b/>
          <w:bCs/>
        </w:rPr>
        <w:br w:type="page"/>
      </w:r>
    </w:p>
    <w:p w14:paraId="5893BC47" w14:textId="77777777" w:rsidR="00252D61" w:rsidRPr="00287C00" w:rsidRDefault="00252D61" w:rsidP="00287C00">
      <w:pPr>
        <w:spacing w:after="0" w:line="360" w:lineRule="auto"/>
      </w:pPr>
    </w:p>
    <w:p w14:paraId="36AADFF6" w14:textId="77777777" w:rsidR="00252D61" w:rsidRPr="00287C00" w:rsidRDefault="00252D61" w:rsidP="00287C00">
      <w:pPr>
        <w:spacing w:after="0" w:line="360" w:lineRule="auto"/>
      </w:pPr>
    </w:p>
    <w:sectPr w:rsidR="00252D61" w:rsidRPr="00287C00" w:rsidSect="00252D61">
      <w:headerReference w:type="even" r:id="rId13"/>
      <w:headerReference w:type="default" r:id="rId14"/>
      <w:footerReference w:type="even" r:id="rId15"/>
      <w:footerReference w:type="default" r:id="rId16"/>
      <w:headerReference w:type="first" r:id="rId17"/>
      <w:footerReference w:type="first" r:id="rId18"/>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F195D" w14:textId="77777777" w:rsidR="00EA749D" w:rsidRDefault="00EA749D" w:rsidP="00252D61">
      <w:pPr>
        <w:spacing w:after="0" w:line="240" w:lineRule="auto"/>
      </w:pPr>
      <w:r>
        <w:separator/>
      </w:r>
    </w:p>
  </w:endnote>
  <w:endnote w:type="continuationSeparator" w:id="0">
    <w:p w14:paraId="71A56BA5" w14:textId="77777777" w:rsidR="00EA749D" w:rsidRDefault="00EA749D" w:rsidP="0025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183481A9" w14:textId="77777777" w:rsidR="00DF5E9D" w:rsidRDefault="00DF5E9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15EEC43" w14:textId="77777777" w:rsidR="00DF5E9D" w:rsidRDefault="00DF5E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44C06DB8" w14:textId="77777777" w:rsidR="00DF5E9D" w:rsidRDefault="00DF5E9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57BD0">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57BD0">
              <w:rPr>
                <w:b/>
                <w:bCs/>
                <w:noProof/>
              </w:rPr>
              <w:t>37</w:t>
            </w:r>
            <w:r>
              <w:rPr>
                <w:b/>
                <w:bCs/>
                <w:sz w:val="24"/>
                <w:szCs w:val="24"/>
              </w:rPr>
              <w:fldChar w:fldCharType="end"/>
            </w:r>
          </w:p>
        </w:sdtContent>
      </w:sdt>
    </w:sdtContent>
  </w:sdt>
  <w:p w14:paraId="253DFDAB" w14:textId="77777777" w:rsidR="00DF5E9D" w:rsidRDefault="00DF5E9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7EAC55EB" w14:textId="77777777" w:rsidR="00DF5E9D" w:rsidRDefault="00DF5E9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57BD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57BD0">
              <w:rPr>
                <w:b/>
                <w:bCs/>
                <w:noProof/>
              </w:rPr>
              <w:t>37</w:t>
            </w:r>
            <w:r>
              <w:rPr>
                <w:b/>
                <w:bCs/>
                <w:sz w:val="24"/>
                <w:szCs w:val="24"/>
              </w:rPr>
              <w:fldChar w:fldCharType="end"/>
            </w:r>
          </w:p>
        </w:sdtContent>
      </w:sdt>
    </w:sdtContent>
  </w:sdt>
  <w:p w14:paraId="34690E9C" w14:textId="77777777" w:rsidR="00DF5E9D" w:rsidRDefault="00DF5E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7DF3" w14:textId="77777777" w:rsidR="00EA749D" w:rsidRDefault="00EA749D" w:rsidP="00252D61">
      <w:pPr>
        <w:spacing w:after="0" w:line="240" w:lineRule="auto"/>
      </w:pPr>
      <w:r>
        <w:separator/>
      </w:r>
    </w:p>
  </w:footnote>
  <w:footnote w:type="continuationSeparator" w:id="0">
    <w:p w14:paraId="7EDC6B0C" w14:textId="77777777" w:rsidR="00EA749D" w:rsidRDefault="00EA749D" w:rsidP="00252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DF5E9D" w14:paraId="70578F71" w14:textId="77777777" w:rsidTr="00252D61">
      <w:trPr>
        <w:trHeight w:val="141"/>
      </w:trPr>
      <w:tc>
        <w:tcPr>
          <w:tcW w:w="2404" w:type="dxa"/>
        </w:tcPr>
        <w:p w14:paraId="74AE0643" w14:textId="77777777" w:rsidR="00DF5E9D" w:rsidRPr="001B5FB6" w:rsidRDefault="00DF5E9D" w:rsidP="00252D61">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53334128" w14:textId="77777777" w:rsidR="00DF5E9D" w:rsidRPr="00A8173F" w:rsidRDefault="00DF5E9D" w:rsidP="00252D61">
          <w:pPr>
            <w:tabs>
              <w:tab w:val="right" w:pos="8838"/>
            </w:tabs>
            <w:ind w:left="-28" w:right="683"/>
            <w:rPr>
              <w:rFonts w:eastAsia="Calibri" w:cs="Tahoma"/>
            </w:rPr>
          </w:pPr>
          <w:r w:rsidRPr="00A8173F">
            <w:rPr>
              <w:rFonts w:eastAsia="Calibri" w:cs="Tahoma"/>
              <w:lang w:val="es-MX"/>
            </w:rPr>
            <w:t>04196/INFOEM/IP/RR/2020</w:t>
          </w:r>
        </w:p>
      </w:tc>
    </w:tr>
    <w:tr w:rsidR="00DF5E9D" w14:paraId="08A484C3" w14:textId="77777777" w:rsidTr="00252D61">
      <w:trPr>
        <w:trHeight w:val="276"/>
      </w:trPr>
      <w:tc>
        <w:tcPr>
          <w:tcW w:w="2404" w:type="dxa"/>
        </w:tcPr>
        <w:p w14:paraId="6A26E22D" w14:textId="77777777" w:rsidR="00DF5E9D" w:rsidRPr="001B5FB6" w:rsidRDefault="00DF5E9D" w:rsidP="00252D61">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70BFC990" w14:textId="77777777" w:rsidR="00DF5E9D" w:rsidRPr="00A8173F" w:rsidRDefault="00DF5E9D" w:rsidP="00252D61">
          <w:pPr>
            <w:tabs>
              <w:tab w:val="right" w:pos="8838"/>
            </w:tabs>
            <w:ind w:right="116"/>
            <w:rPr>
              <w:rFonts w:eastAsia="Calibri" w:cs="Tahoma"/>
              <w:lang w:val="es-MX"/>
            </w:rPr>
          </w:pPr>
          <w:r w:rsidRPr="00A8173F">
            <w:rPr>
              <w:rFonts w:eastAsia="Calibri" w:cs="Tahoma"/>
              <w:lang w:val="es-MX"/>
            </w:rPr>
            <w:t>Ayuntamiento de Chapultepec</w:t>
          </w:r>
        </w:p>
      </w:tc>
    </w:tr>
    <w:tr w:rsidR="00DF5E9D" w14:paraId="1C1966CC" w14:textId="77777777" w:rsidTr="00252D61">
      <w:trPr>
        <w:trHeight w:val="276"/>
      </w:trPr>
      <w:tc>
        <w:tcPr>
          <w:tcW w:w="2404" w:type="dxa"/>
        </w:tcPr>
        <w:p w14:paraId="2A85F29A" w14:textId="77777777" w:rsidR="00DF5E9D" w:rsidRPr="001B5FB6" w:rsidRDefault="00DF5E9D" w:rsidP="00252D61">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6FB8B58A" w14:textId="77777777" w:rsidR="00DF5E9D" w:rsidRPr="00A8173F" w:rsidRDefault="00DF5E9D" w:rsidP="00252D61">
          <w:pPr>
            <w:tabs>
              <w:tab w:val="right" w:pos="8838"/>
            </w:tabs>
            <w:ind w:right="-32"/>
            <w:rPr>
              <w:rFonts w:eastAsia="Calibri" w:cs="Tahoma"/>
              <w:lang w:val="es-MX"/>
            </w:rPr>
          </w:pPr>
          <w:r w:rsidRPr="00A8173F">
            <w:rPr>
              <w:rFonts w:eastAsia="Calibri" w:cs="Tahoma"/>
              <w:lang w:val="es-MX"/>
            </w:rPr>
            <w:t>Luis Gustavo Parra Noriega</w:t>
          </w:r>
        </w:p>
      </w:tc>
    </w:tr>
  </w:tbl>
  <w:p w14:paraId="158956BC" w14:textId="77777777" w:rsidR="00DF5E9D" w:rsidRDefault="00EA749D">
    <w:pPr>
      <w:pStyle w:val="Encabezado"/>
    </w:pPr>
    <w:r>
      <w:rPr>
        <w:noProof/>
      </w:rPr>
      <w:pict w14:anchorId="427DB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5" type="#_x0000_t75" alt="MARCA DE AGUA - HOJA RESOLUCIÓN"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1"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DF5E9D" w14:paraId="6D9B78F1" w14:textId="77777777" w:rsidTr="00B04927">
      <w:trPr>
        <w:trHeight w:val="141"/>
      </w:trPr>
      <w:tc>
        <w:tcPr>
          <w:tcW w:w="2404" w:type="dxa"/>
        </w:tcPr>
        <w:p w14:paraId="0250360D" w14:textId="50C71026" w:rsidR="00DF5E9D" w:rsidRPr="001B5FB6" w:rsidRDefault="00DF5E9D" w:rsidP="00252D61">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A363BA8" w14:textId="77777777" w:rsidR="00DF5E9D" w:rsidRPr="00252D61" w:rsidRDefault="00DF5E9D" w:rsidP="00252D61">
          <w:pPr>
            <w:tabs>
              <w:tab w:val="right" w:pos="8838"/>
            </w:tabs>
            <w:ind w:left="-28" w:right="454"/>
            <w:rPr>
              <w:rFonts w:eastAsia="Calibri" w:cs="Tahoma"/>
            </w:rPr>
          </w:pPr>
          <w:r w:rsidRPr="00252D61">
            <w:rPr>
              <w:rFonts w:eastAsia="Calibri" w:cs="Tahoma"/>
              <w:bCs/>
              <w:lang w:val="es-MX"/>
            </w:rPr>
            <w:t>00251/INFOEM/IP/RR/2022</w:t>
          </w:r>
        </w:p>
      </w:tc>
    </w:tr>
    <w:tr w:rsidR="00DF5E9D" w14:paraId="4EC95572" w14:textId="77777777" w:rsidTr="00CF3569">
      <w:trPr>
        <w:trHeight w:val="276"/>
      </w:trPr>
      <w:tc>
        <w:tcPr>
          <w:tcW w:w="2404" w:type="dxa"/>
          <w:shd w:val="clear" w:color="auto" w:fill="auto"/>
        </w:tcPr>
        <w:p w14:paraId="007BAF63" w14:textId="77777777" w:rsidR="00DF5E9D" w:rsidRPr="001B5FB6" w:rsidRDefault="00DF5E9D" w:rsidP="00252D61">
          <w:pPr>
            <w:tabs>
              <w:tab w:val="right" w:pos="8838"/>
            </w:tabs>
            <w:ind w:right="-105"/>
            <w:rPr>
              <w:rFonts w:eastAsia="Calibri" w:cs="Tahoma"/>
              <w:b/>
              <w:lang w:val="es-MX"/>
            </w:rPr>
          </w:pPr>
          <w:r w:rsidRPr="001B5FB6">
            <w:rPr>
              <w:rFonts w:eastAsia="Calibri" w:cs="Tahoma"/>
              <w:b/>
              <w:lang w:val="es-MX"/>
            </w:rPr>
            <w:t>Sujeto Obligado:</w:t>
          </w:r>
        </w:p>
      </w:tc>
      <w:tc>
        <w:tcPr>
          <w:tcW w:w="4117" w:type="dxa"/>
          <w:shd w:val="clear" w:color="auto" w:fill="auto"/>
        </w:tcPr>
        <w:p w14:paraId="240429EE" w14:textId="77777777" w:rsidR="00DF5E9D" w:rsidRPr="00252D61" w:rsidRDefault="00DF5E9D" w:rsidP="00252D61">
          <w:pPr>
            <w:tabs>
              <w:tab w:val="right" w:pos="8838"/>
            </w:tabs>
            <w:ind w:right="454"/>
            <w:rPr>
              <w:rFonts w:eastAsia="Calibri" w:cs="Tahoma"/>
              <w:lang w:val="es-MX"/>
            </w:rPr>
          </w:pPr>
          <w:r w:rsidRPr="00252D61">
            <w:rPr>
              <w:rFonts w:eastAsia="Calibri" w:cs="Tahoma"/>
              <w:lang w:val="es-MX"/>
            </w:rPr>
            <w:t>Comisión de Conciliación y Arbitraje Médico del Estado de México</w:t>
          </w:r>
        </w:p>
      </w:tc>
    </w:tr>
    <w:tr w:rsidR="00DF5E9D" w14:paraId="56125A86" w14:textId="77777777" w:rsidTr="00B04927">
      <w:trPr>
        <w:trHeight w:val="276"/>
      </w:trPr>
      <w:tc>
        <w:tcPr>
          <w:tcW w:w="2404" w:type="dxa"/>
        </w:tcPr>
        <w:p w14:paraId="1CDFCE6B" w14:textId="77777777" w:rsidR="00DF5E9D" w:rsidRPr="001B5FB6" w:rsidRDefault="00DF5E9D" w:rsidP="00252D61">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50FEB27E" w14:textId="77777777" w:rsidR="00DF5E9D" w:rsidRPr="00A8173F" w:rsidRDefault="00DF5E9D" w:rsidP="00252D61">
          <w:pPr>
            <w:tabs>
              <w:tab w:val="right" w:pos="8838"/>
            </w:tabs>
            <w:ind w:right="454"/>
            <w:rPr>
              <w:rFonts w:eastAsia="Calibri" w:cs="Tahoma"/>
              <w:lang w:val="es-MX"/>
            </w:rPr>
          </w:pPr>
          <w:r w:rsidRPr="00A8173F">
            <w:rPr>
              <w:rFonts w:eastAsia="Calibri" w:cs="Tahoma"/>
              <w:lang w:val="es-MX"/>
            </w:rPr>
            <w:t>Luis Gustavo Parra Noriega</w:t>
          </w:r>
        </w:p>
      </w:tc>
    </w:tr>
  </w:tbl>
  <w:p w14:paraId="19279CDA" w14:textId="7FC3683A" w:rsidR="00DF5E9D" w:rsidRDefault="00EA749D">
    <w:pPr>
      <w:pStyle w:val="Encabezado"/>
    </w:pPr>
    <w:r>
      <w:rPr>
        <w:noProof/>
      </w:rPr>
      <w:pict w14:anchorId="6BED4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82.55pt;margin-top:-123.65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DF5E9D" w:rsidRPr="005C106F" w14:paraId="5A865ED7" w14:textId="77777777" w:rsidTr="00252D61">
      <w:trPr>
        <w:trHeight w:val="1546"/>
      </w:trPr>
      <w:tc>
        <w:tcPr>
          <w:tcW w:w="2127" w:type="dxa"/>
          <w:shd w:val="clear" w:color="auto" w:fill="auto"/>
        </w:tcPr>
        <w:p w14:paraId="6EDBF3F9" w14:textId="77777777" w:rsidR="00DF5E9D" w:rsidRPr="005C106F" w:rsidRDefault="00DF5E9D" w:rsidP="00252D61">
          <w:pPr>
            <w:tabs>
              <w:tab w:val="right" w:pos="4273"/>
            </w:tabs>
            <w:rPr>
              <w:rFonts w:ascii="Garamond" w:eastAsia="Calibri" w:hAnsi="Garamond"/>
              <w:sz w:val="16"/>
              <w:szCs w:val="16"/>
            </w:rPr>
          </w:pPr>
        </w:p>
      </w:tc>
      <w:tc>
        <w:tcPr>
          <w:tcW w:w="6945" w:type="dxa"/>
          <w:shd w:val="clear" w:color="auto" w:fill="auto"/>
        </w:tcPr>
        <w:tbl>
          <w:tblPr>
            <w:tblStyle w:val="Tablaconcuadrcula"/>
            <w:tblW w:w="6095"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91"/>
          </w:tblGrid>
          <w:tr w:rsidR="00DF5E9D" w14:paraId="1804DFB4" w14:textId="77777777" w:rsidTr="00B04927">
            <w:trPr>
              <w:trHeight w:val="141"/>
            </w:trPr>
            <w:tc>
              <w:tcPr>
                <w:tcW w:w="2404" w:type="dxa"/>
                <w:vAlign w:val="bottom"/>
              </w:tcPr>
              <w:p w14:paraId="072B8A53" w14:textId="77777777" w:rsidR="00DF5E9D" w:rsidRPr="001B5FB6" w:rsidRDefault="00DF5E9D" w:rsidP="00252D61">
                <w:pPr>
                  <w:tabs>
                    <w:tab w:val="right" w:pos="8838"/>
                  </w:tabs>
                  <w:ind w:right="-105"/>
                  <w:rPr>
                    <w:rFonts w:eastAsia="Calibri" w:cs="Tahoma"/>
                    <w:b/>
                    <w:lang w:val="es-MX"/>
                  </w:rPr>
                </w:pPr>
                <w:r w:rsidRPr="001B5FB6">
                  <w:rPr>
                    <w:rFonts w:eastAsia="Calibri" w:cs="Tahoma"/>
                    <w:b/>
                    <w:lang w:val="es-MX"/>
                  </w:rPr>
                  <w:t>Recurso de Revisión:</w:t>
                </w:r>
              </w:p>
            </w:tc>
            <w:tc>
              <w:tcPr>
                <w:tcW w:w="3691" w:type="dxa"/>
              </w:tcPr>
              <w:p w14:paraId="2C66572A" w14:textId="77777777" w:rsidR="00DF5E9D" w:rsidRDefault="00DF5E9D" w:rsidP="00252D61">
                <w:pPr>
                  <w:tabs>
                    <w:tab w:val="right" w:pos="8838"/>
                  </w:tabs>
                  <w:ind w:left="-28" w:right="-107"/>
                  <w:rPr>
                    <w:rFonts w:eastAsia="Calibri" w:cs="Tahoma"/>
                    <w:lang w:val="es-MX"/>
                  </w:rPr>
                </w:pPr>
              </w:p>
              <w:p w14:paraId="6D2AA4E5" w14:textId="77777777" w:rsidR="00DF5E9D" w:rsidRPr="00252D61" w:rsidRDefault="00DF5E9D" w:rsidP="00252D61">
                <w:pPr>
                  <w:tabs>
                    <w:tab w:val="right" w:pos="8838"/>
                  </w:tabs>
                  <w:ind w:left="-28" w:right="-107"/>
                  <w:rPr>
                    <w:rFonts w:eastAsia="Calibri" w:cs="Tahoma"/>
                  </w:rPr>
                </w:pPr>
                <w:r w:rsidRPr="00252D61">
                  <w:rPr>
                    <w:rFonts w:eastAsia="Calibri" w:cs="Tahoma"/>
                    <w:bCs/>
                    <w:lang w:val="es-MX"/>
                  </w:rPr>
                  <w:t>00251/INFOEM/IP/RR/2022</w:t>
                </w:r>
              </w:p>
            </w:tc>
          </w:tr>
          <w:tr w:rsidR="00DF5E9D" w14:paraId="635A390D" w14:textId="77777777" w:rsidTr="00B04927">
            <w:trPr>
              <w:trHeight w:val="141"/>
            </w:trPr>
            <w:tc>
              <w:tcPr>
                <w:tcW w:w="2404" w:type="dxa"/>
              </w:tcPr>
              <w:p w14:paraId="0E06AF45" w14:textId="77777777" w:rsidR="00DF5E9D" w:rsidRPr="001B5FB6" w:rsidRDefault="00DF5E9D" w:rsidP="00252D61">
                <w:pPr>
                  <w:tabs>
                    <w:tab w:val="right" w:pos="8838"/>
                  </w:tabs>
                  <w:ind w:right="-105"/>
                  <w:rPr>
                    <w:rFonts w:eastAsia="Calibri" w:cs="Tahoma"/>
                    <w:b/>
                    <w:lang w:val="es-MX"/>
                  </w:rPr>
                </w:pPr>
                <w:r w:rsidRPr="001B5FB6">
                  <w:rPr>
                    <w:rFonts w:eastAsia="Calibri" w:cs="Tahoma"/>
                    <w:b/>
                    <w:lang w:val="es-MX"/>
                  </w:rPr>
                  <w:t>Recurrente:</w:t>
                </w:r>
              </w:p>
            </w:tc>
            <w:tc>
              <w:tcPr>
                <w:tcW w:w="3691" w:type="dxa"/>
              </w:tcPr>
              <w:p w14:paraId="317EAA5B" w14:textId="77777777" w:rsidR="00DF5E9D" w:rsidRPr="003405AF" w:rsidRDefault="00DF5E9D" w:rsidP="00252D61">
                <w:pPr>
                  <w:tabs>
                    <w:tab w:val="right" w:pos="8838"/>
                  </w:tabs>
                  <w:ind w:right="-107"/>
                  <w:rPr>
                    <w:rFonts w:eastAsia="Calibri" w:cs="Tahoma"/>
                    <w:lang w:val="es-MX"/>
                  </w:rPr>
                </w:pPr>
              </w:p>
            </w:tc>
          </w:tr>
          <w:tr w:rsidR="00DF5E9D" w14:paraId="6665B646" w14:textId="77777777" w:rsidTr="00B04927">
            <w:trPr>
              <w:trHeight w:val="276"/>
            </w:trPr>
            <w:tc>
              <w:tcPr>
                <w:tcW w:w="2404" w:type="dxa"/>
              </w:tcPr>
              <w:p w14:paraId="174B9951" w14:textId="77777777" w:rsidR="00DF5E9D" w:rsidRPr="001B5FB6" w:rsidRDefault="00DF5E9D" w:rsidP="00252D61">
                <w:pPr>
                  <w:tabs>
                    <w:tab w:val="right" w:pos="8838"/>
                  </w:tabs>
                  <w:ind w:right="-105"/>
                  <w:rPr>
                    <w:rFonts w:eastAsia="Calibri" w:cs="Tahoma"/>
                    <w:b/>
                    <w:lang w:val="es-MX"/>
                  </w:rPr>
                </w:pPr>
                <w:r w:rsidRPr="001B5FB6">
                  <w:rPr>
                    <w:rFonts w:eastAsia="Calibri" w:cs="Tahoma"/>
                    <w:b/>
                    <w:lang w:val="es-MX"/>
                  </w:rPr>
                  <w:t>Sujeto Obligado:</w:t>
                </w:r>
              </w:p>
            </w:tc>
            <w:tc>
              <w:tcPr>
                <w:tcW w:w="3691" w:type="dxa"/>
              </w:tcPr>
              <w:p w14:paraId="4A4579FD" w14:textId="77777777" w:rsidR="00DF5E9D" w:rsidRPr="00C853D1" w:rsidRDefault="00DF5E9D" w:rsidP="00252D61">
                <w:pPr>
                  <w:tabs>
                    <w:tab w:val="right" w:pos="8838"/>
                  </w:tabs>
                  <w:ind w:right="-107"/>
                  <w:rPr>
                    <w:rFonts w:eastAsia="Calibri" w:cs="Tahoma"/>
                    <w:lang w:val="es-MX"/>
                  </w:rPr>
                </w:pPr>
                <w:r w:rsidRPr="00252D61">
                  <w:rPr>
                    <w:rFonts w:eastAsia="Calibri" w:cs="Tahoma"/>
                    <w:lang w:val="es-MX"/>
                  </w:rPr>
                  <w:t>Comisión de Conciliación y Arbitraje Médico del Estado de México</w:t>
                </w:r>
              </w:p>
            </w:tc>
          </w:tr>
          <w:tr w:rsidR="00DF5E9D" w14:paraId="27E980A9" w14:textId="77777777" w:rsidTr="00B04927">
            <w:trPr>
              <w:trHeight w:val="276"/>
            </w:trPr>
            <w:tc>
              <w:tcPr>
                <w:tcW w:w="2404" w:type="dxa"/>
              </w:tcPr>
              <w:p w14:paraId="670E93B0" w14:textId="77777777" w:rsidR="00DF5E9D" w:rsidRPr="001B5FB6" w:rsidRDefault="00DF5E9D" w:rsidP="00252D61">
                <w:pPr>
                  <w:tabs>
                    <w:tab w:val="right" w:pos="8838"/>
                  </w:tabs>
                  <w:ind w:right="-105"/>
                  <w:rPr>
                    <w:rFonts w:eastAsia="Calibri" w:cs="Tahoma"/>
                    <w:b/>
                    <w:lang w:val="es-MX"/>
                  </w:rPr>
                </w:pPr>
                <w:r w:rsidRPr="001B5FB6">
                  <w:rPr>
                    <w:rFonts w:eastAsia="Calibri" w:cs="Tahoma"/>
                    <w:b/>
                    <w:lang w:val="es-MX"/>
                  </w:rPr>
                  <w:t>Comisionado Ponente:</w:t>
                </w:r>
              </w:p>
            </w:tc>
            <w:tc>
              <w:tcPr>
                <w:tcW w:w="3691" w:type="dxa"/>
              </w:tcPr>
              <w:p w14:paraId="3544B53C" w14:textId="77777777" w:rsidR="00DF5E9D" w:rsidRPr="00A8173F" w:rsidRDefault="00DF5E9D" w:rsidP="00252D61">
                <w:pPr>
                  <w:tabs>
                    <w:tab w:val="right" w:pos="8838"/>
                  </w:tabs>
                  <w:ind w:right="-107"/>
                  <w:rPr>
                    <w:rFonts w:eastAsia="Calibri" w:cs="Tahoma"/>
                    <w:lang w:val="es-MX"/>
                  </w:rPr>
                </w:pPr>
                <w:r w:rsidRPr="00A8173F">
                  <w:rPr>
                    <w:rFonts w:eastAsia="Calibri" w:cs="Tahoma"/>
                    <w:lang w:val="es-MX"/>
                  </w:rPr>
                  <w:t>Luis Gustavo Parra Noriega</w:t>
                </w:r>
              </w:p>
            </w:tc>
          </w:tr>
        </w:tbl>
        <w:p w14:paraId="43F9A045" w14:textId="77777777" w:rsidR="00DF5E9D" w:rsidRPr="005C106F" w:rsidRDefault="00DF5E9D" w:rsidP="00252D61">
          <w:pPr>
            <w:tabs>
              <w:tab w:val="right" w:pos="8838"/>
            </w:tabs>
            <w:ind w:left="-28"/>
            <w:rPr>
              <w:rFonts w:ascii="Arial" w:eastAsia="Calibri" w:hAnsi="Arial" w:cs="Arial"/>
              <w:b/>
            </w:rPr>
          </w:pPr>
        </w:p>
      </w:tc>
    </w:tr>
  </w:tbl>
  <w:p w14:paraId="6FF14DE5" w14:textId="77777777" w:rsidR="00DF5E9D" w:rsidRDefault="00EA749D">
    <w:pPr>
      <w:pStyle w:val="Encabezado"/>
    </w:pPr>
    <w:r>
      <w:rPr>
        <w:noProof/>
      </w:rPr>
      <w:pict w14:anchorId="07C17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7" type="#_x0000_t75" alt="MARCA DE AGUA - HOJA RESOLUCIÓN" style="position:absolute;left:0;text-align:left;margin-left:-97.1pt;margin-top:-125.3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BB71DF8"/>
    <w:multiLevelType w:val="hybridMultilevel"/>
    <w:tmpl w:val="ED5C8F5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352FEC"/>
    <w:multiLevelType w:val="hybridMultilevel"/>
    <w:tmpl w:val="51D85EEE"/>
    <w:lvl w:ilvl="0" w:tplc="9F6C5B0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B41FAB"/>
    <w:multiLevelType w:val="hybridMultilevel"/>
    <w:tmpl w:val="50B8F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5B93E7E"/>
    <w:multiLevelType w:val="hybridMultilevel"/>
    <w:tmpl w:val="55761944"/>
    <w:lvl w:ilvl="0" w:tplc="9F6C5B0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2755DE"/>
    <w:multiLevelType w:val="hybridMultilevel"/>
    <w:tmpl w:val="61406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6EFC069F"/>
    <w:multiLevelType w:val="hybridMultilevel"/>
    <w:tmpl w:val="86E21128"/>
    <w:lvl w:ilvl="0" w:tplc="9F6C5B0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855483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2823919">
    <w:abstractNumId w:val="3"/>
  </w:num>
  <w:num w:numId="3" w16cid:durableId="380708901">
    <w:abstractNumId w:val="8"/>
  </w:num>
  <w:num w:numId="4" w16cid:durableId="1898586708">
    <w:abstractNumId w:val="13"/>
  </w:num>
  <w:num w:numId="5" w16cid:durableId="1308054216">
    <w:abstractNumId w:val="21"/>
  </w:num>
  <w:num w:numId="6" w16cid:durableId="1369404680">
    <w:abstractNumId w:val="19"/>
  </w:num>
  <w:num w:numId="7" w16cid:durableId="2094638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8289297">
    <w:abstractNumId w:val="6"/>
  </w:num>
  <w:num w:numId="9" w16cid:durableId="294146228">
    <w:abstractNumId w:val="28"/>
  </w:num>
  <w:num w:numId="10" w16cid:durableId="441074107">
    <w:abstractNumId w:val="7"/>
  </w:num>
  <w:num w:numId="11" w16cid:durableId="46682224">
    <w:abstractNumId w:val="18"/>
  </w:num>
  <w:num w:numId="12" w16cid:durableId="1671639414">
    <w:abstractNumId w:val="15"/>
  </w:num>
  <w:num w:numId="13" w16cid:durableId="1039547430">
    <w:abstractNumId w:val="29"/>
  </w:num>
  <w:num w:numId="14" w16cid:durableId="1084912125">
    <w:abstractNumId w:val="20"/>
  </w:num>
  <w:num w:numId="15" w16cid:durableId="611984461">
    <w:abstractNumId w:val="16"/>
  </w:num>
  <w:num w:numId="16" w16cid:durableId="1276253872">
    <w:abstractNumId w:val="24"/>
  </w:num>
  <w:num w:numId="17" w16cid:durableId="1577982848">
    <w:abstractNumId w:val="14"/>
  </w:num>
  <w:num w:numId="18" w16cid:durableId="993293272">
    <w:abstractNumId w:val="25"/>
  </w:num>
  <w:num w:numId="19" w16cid:durableId="1955595847">
    <w:abstractNumId w:val="10"/>
  </w:num>
  <w:num w:numId="20" w16cid:durableId="870580828">
    <w:abstractNumId w:val="1"/>
  </w:num>
  <w:num w:numId="21" w16cid:durableId="686374112">
    <w:abstractNumId w:val="22"/>
  </w:num>
  <w:num w:numId="22" w16cid:durableId="419760572">
    <w:abstractNumId w:val="12"/>
  </w:num>
  <w:num w:numId="23" w16cid:durableId="1272856320">
    <w:abstractNumId w:val="23"/>
  </w:num>
  <w:num w:numId="24" w16cid:durableId="2060585581">
    <w:abstractNumId w:val="4"/>
  </w:num>
  <w:num w:numId="25" w16cid:durableId="685404959">
    <w:abstractNumId w:val="27"/>
  </w:num>
  <w:num w:numId="26" w16cid:durableId="868952808">
    <w:abstractNumId w:val="0"/>
  </w:num>
  <w:num w:numId="27" w16cid:durableId="912545669">
    <w:abstractNumId w:val="9"/>
  </w:num>
  <w:num w:numId="28" w16cid:durableId="438305063">
    <w:abstractNumId w:val="2"/>
  </w:num>
  <w:num w:numId="29" w16cid:durableId="854537417">
    <w:abstractNumId w:val="17"/>
  </w:num>
  <w:num w:numId="30" w16cid:durableId="522400998">
    <w:abstractNumId w:val="11"/>
  </w:num>
  <w:num w:numId="31" w16cid:durableId="1105616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D61"/>
    <w:rsid w:val="00025DD0"/>
    <w:rsid w:val="00111421"/>
    <w:rsid w:val="001166CD"/>
    <w:rsid w:val="00124793"/>
    <w:rsid w:val="00162810"/>
    <w:rsid w:val="00162FDD"/>
    <w:rsid w:val="001746E6"/>
    <w:rsid w:val="001B6F47"/>
    <w:rsid w:val="001F049A"/>
    <w:rsid w:val="00201C08"/>
    <w:rsid w:val="00216982"/>
    <w:rsid w:val="00227BB4"/>
    <w:rsid w:val="002526CB"/>
    <w:rsid w:val="00252D61"/>
    <w:rsid w:val="00253F46"/>
    <w:rsid w:val="0028261C"/>
    <w:rsid w:val="00287C00"/>
    <w:rsid w:val="002B1656"/>
    <w:rsid w:val="002B5936"/>
    <w:rsid w:val="002D452E"/>
    <w:rsid w:val="002F09A8"/>
    <w:rsid w:val="003102C1"/>
    <w:rsid w:val="00357BD0"/>
    <w:rsid w:val="003829E7"/>
    <w:rsid w:val="00394F2E"/>
    <w:rsid w:val="003D12ED"/>
    <w:rsid w:val="003D36B4"/>
    <w:rsid w:val="003F2D12"/>
    <w:rsid w:val="00400FC3"/>
    <w:rsid w:val="004A7568"/>
    <w:rsid w:val="004B5B1B"/>
    <w:rsid w:val="004F082C"/>
    <w:rsid w:val="0051799B"/>
    <w:rsid w:val="00530623"/>
    <w:rsid w:val="00544F01"/>
    <w:rsid w:val="005D215B"/>
    <w:rsid w:val="006569CE"/>
    <w:rsid w:val="006745A6"/>
    <w:rsid w:val="006B3A28"/>
    <w:rsid w:val="006D0B7A"/>
    <w:rsid w:val="006F7940"/>
    <w:rsid w:val="007068D5"/>
    <w:rsid w:val="0073110D"/>
    <w:rsid w:val="00741DF8"/>
    <w:rsid w:val="007723B3"/>
    <w:rsid w:val="007A45DD"/>
    <w:rsid w:val="007C04A8"/>
    <w:rsid w:val="007D2E61"/>
    <w:rsid w:val="007E36C2"/>
    <w:rsid w:val="00812DD3"/>
    <w:rsid w:val="00824599"/>
    <w:rsid w:val="00827A5C"/>
    <w:rsid w:val="008354C0"/>
    <w:rsid w:val="008B43AE"/>
    <w:rsid w:val="008C180E"/>
    <w:rsid w:val="00952F42"/>
    <w:rsid w:val="00987853"/>
    <w:rsid w:val="00987C76"/>
    <w:rsid w:val="009916B8"/>
    <w:rsid w:val="009C56FC"/>
    <w:rsid w:val="00A12088"/>
    <w:rsid w:val="00A17F83"/>
    <w:rsid w:val="00A33E74"/>
    <w:rsid w:val="00A37434"/>
    <w:rsid w:val="00A73358"/>
    <w:rsid w:val="00A86D1E"/>
    <w:rsid w:val="00AF2AC7"/>
    <w:rsid w:val="00B04927"/>
    <w:rsid w:val="00B1771D"/>
    <w:rsid w:val="00B35CD6"/>
    <w:rsid w:val="00B70E31"/>
    <w:rsid w:val="00B770B3"/>
    <w:rsid w:val="00B84455"/>
    <w:rsid w:val="00C21B0C"/>
    <w:rsid w:val="00C53E98"/>
    <w:rsid w:val="00C5589F"/>
    <w:rsid w:val="00C94BDF"/>
    <w:rsid w:val="00C955DA"/>
    <w:rsid w:val="00CD7882"/>
    <w:rsid w:val="00CE28FC"/>
    <w:rsid w:val="00CF3569"/>
    <w:rsid w:val="00D0431D"/>
    <w:rsid w:val="00D436AA"/>
    <w:rsid w:val="00D44A72"/>
    <w:rsid w:val="00D86F72"/>
    <w:rsid w:val="00D9736E"/>
    <w:rsid w:val="00DE5BC0"/>
    <w:rsid w:val="00DF5E9D"/>
    <w:rsid w:val="00EA749D"/>
    <w:rsid w:val="00EC43EF"/>
    <w:rsid w:val="00ED00AC"/>
    <w:rsid w:val="00ED50D4"/>
    <w:rsid w:val="00EE0908"/>
    <w:rsid w:val="00F26CC1"/>
    <w:rsid w:val="00F7423B"/>
    <w:rsid w:val="00F861B9"/>
    <w:rsid w:val="00FD45E8"/>
    <w:rsid w:val="00FE1026"/>
    <w:rsid w:val="00FE53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58834"/>
  <w15:chartTrackingRefBased/>
  <w15:docId w15:val="{C31D654E-BF10-4C82-9C7C-D9678DFD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B4"/>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2D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2D61"/>
    <w:rPr>
      <w:rFonts w:ascii="Palatino Linotype" w:hAnsi="Palatino Linotype"/>
      <w:color w:val="000000" w:themeColor="text1"/>
    </w:rPr>
  </w:style>
  <w:style w:type="paragraph" w:styleId="Piedepgina">
    <w:name w:val="footer"/>
    <w:basedOn w:val="Normal"/>
    <w:link w:val="PiedepginaCar"/>
    <w:uiPriority w:val="99"/>
    <w:unhideWhenUsed/>
    <w:rsid w:val="00252D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2D61"/>
    <w:rPr>
      <w:rFonts w:ascii="Palatino Linotype" w:hAnsi="Palatino Linotype"/>
      <w:color w:val="000000" w:themeColor="text1"/>
    </w:rPr>
  </w:style>
  <w:style w:type="table" w:styleId="Tablaconcuadrcula">
    <w:name w:val="Table Grid"/>
    <w:basedOn w:val="Tablanormal"/>
    <w:uiPriority w:val="39"/>
    <w:rsid w:val="00252D6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252D6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62FDD"/>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62FDD"/>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252D61"/>
    <w:rPr>
      <w:color w:val="605E5C"/>
      <w:shd w:val="clear" w:color="auto" w:fill="E1DFDD"/>
    </w:rPr>
  </w:style>
  <w:style w:type="character" w:styleId="Hipervnculovisitado">
    <w:name w:val="FollowedHyperlink"/>
    <w:basedOn w:val="Fuentedeprrafopredeter"/>
    <w:uiPriority w:val="99"/>
    <w:semiHidden/>
    <w:unhideWhenUsed/>
    <w:rsid w:val="00252D61"/>
    <w:rPr>
      <w:color w:val="954F72" w:themeColor="followedHyperlink"/>
      <w:u w:val="single"/>
    </w:rPr>
  </w:style>
  <w:style w:type="character" w:customStyle="1" w:styleId="dp6">
    <w:name w:val="dp6"/>
    <w:basedOn w:val="Fuentedeprrafopredeter"/>
    <w:rsid w:val="00252D61"/>
  </w:style>
  <w:style w:type="paragraph" w:styleId="Textosinformato">
    <w:name w:val="Plain Text"/>
    <w:basedOn w:val="Normal"/>
    <w:link w:val="TextosinformatoCar"/>
    <w:rsid w:val="00252D61"/>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52D61"/>
    <w:rPr>
      <w:rFonts w:ascii="Courier New" w:eastAsia="Times New Roman" w:hAnsi="Courier New" w:cs="Times New Roman"/>
      <w:sz w:val="20"/>
      <w:szCs w:val="20"/>
      <w:lang w:val="x-none" w:eastAsia="es-ES"/>
    </w:rPr>
  </w:style>
  <w:style w:type="paragraph" w:customStyle="1" w:styleId="Texto">
    <w:name w:val="Texto"/>
    <w:basedOn w:val="Normal"/>
    <w:link w:val="TextoCar"/>
    <w:rsid w:val="00252D61"/>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52D61"/>
    <w:rPr>
      <w:rFonts w:ascii="Arial" w:eastAsia="Times New Roman" w:hAnsi="Arial" w:cs="Times New Roman"/>
      <w:sz w:val="18"/>
      <w:szCs w:val="18"/>
      <w:lang w:val="es-ES" w:eastAsia="es-ES"/>
    </w:rPr>
  </w:style>
  <w:style w:type="character" w:customStyle="1" w:styleId="markedcontent">
    <w:name w:val="markedcontent"/>
    <w:basedOn w:val="Fuentedeprrafopredeter"/>
    <w:rsid w:val="00252D61"/>
  </w:style>
  <w:style w:type="paragraph" w:styleId="NormalWeb">
    <w:name w:val="Normal (Web)"/>
    <w:basedOn w:val="Normal"/>
    <w:uiPriority w:val="99"/>
    <w:semiHidden/>
    <w:unhideWhenUsed/>
    <w:rsid w:val="00252D61"/>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25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10480">
      <w:bodyDiv w:val="1"/>
      <w:marLeft w:val="0"/>
      <w:marRight w:val="0"/>
      <w:marTop w:val="0"/>
      <w:marBottom w:val="0"/>
      <w:divBdr>
        <w:top w:val="none" w:sz="0" w:space="0" w:color="auto"/>
        <w:left w:val="none" w:sz="0" w:space="0" w:color="auto"/>
        <w:bottom w:val="none" w:sz="0" w:space="0" w:color="auto"/>
        <w:right w:val="none" w:sz="0" w:space="0" w:color="auto"/>
      </w:divBdr>
    </w:div>
    <w:div w:id="1233545704">
      <w:bodyDiv w:val="1"/>
      <w:marLeft w:val="0"/>
      <w:marRight w:val="0"/>
      <w:marTop w:val="0"/>
      <w:marBottom w:val="0"/>
      <w:divBdr>
        <w:top w:val="none" w:sz="0" w:space="0" w:color="auto"/>
        <w:left w:val="none" w:sz="0" w:space="0" w:color="auto"/>
        <w:bottom w:val="none" w:sz="0" w:space="0" w:color="auto"/>
        <w:right w:val="none" w:sz="0" w:space="0" w:color="auto"/>
      </w:divBdr>
    </w:div>
    <w:div w:id="1313636340">
      <w:bodyDiv w:val="1"/>
      <w:marLeft w:val="0"/>
      <w:marRight w:val="0"/>
      <w:marTop w:val="0"/>
      <w:marBottom w:val="0"/>
      <w:divBdr>
        <w:top w:val="none" w:sz="0" w:space="0" w:color="auto"/>
        <w:left w:val="none" w:sz="0" w:space="0" w:color="auto"/>
        <w:bottom w:val="none" w:sz="0" w:space="0" w:color="auto"/>
        <w:right w:val="none" w:sz="0" w:space="0" w:color="auto"/>
      </w:divBdr>
    </w:div>
    <w:div w:id="1508986169">
      <w:bodyDiv w:val="1"/>
      <w:marLeft w:val="0"/>
      <w:marRight w:val="0"/>
      <w:marTop w:val="0"/>
      <w:marBottom w:val="0"/>
      <w:divBdr>
        <w:top w:val="none" w:sz="0" w:space="0" w:color="auto"/>
        <w:left w:val="none" w:sz="0" w:space="0" w:color="auto"/>
        <w:bottom w:val="none" w:sz="0" w:space="0" w:color="auto"/>
        <w:right w:val="none" w:sz="0" w:space="0" w:color="auto"/>
      </w:divBdr>
    </w:div>
    <w:div w:id="1544053826">
      <w:bodyDiv w:val="1"/>
      <w:marLeft w:val="0"/>
      <w:marRight w:val="0"/>
      <w:marTop w:val="0"/>
      <w:marBottom w:val="0"/>
      <w:divBdr>
        <w:top w:val="none" w:sz="0" w:space="0" w:color="auto"/>
        <w:left w:val="none" w:sz="0" w:space="0" w:color="auto"/>
        <w:bottom w:val="none" w:sz="0" w:space="0" w:color="auto"/>
        <w:right w:val="none" w:sz="0" w:space="0" w:color="auto"/>
      </w:divBdr>
    </w:div>
    <w:div w:id="1617910618">
      <w:bodyDiv w:val="1"/>
      <w:marLeft w:val="0"/>
      <w:marRight w:val="0"/>
      <w:marTop w:val="0"/>
      <w:marBottom w:val="0"/>
      <w:divBdr>
        <w:top w:val="none" w:sz="0" w:space="0" w:color="auto"/>
        <w:left w:val="none" w:sz="0" w:space="0" w:color="auto"/>
        <w:bottom w:val="none" w:sz="0" w:space="0" w:color="auto"/>
        <w:right w:val="none" w:sz="0" w:space="0" w:color="auto"/>
      </w:divBdr>
    </w:div>
    <w:div w:id="1735740554">
      <w:bodyDiv w:val="1"/>
      <w:marLeft w:val="0"/>
      <w:marRight w:val="0"/>
      <w:marTop w:val="0"/>
      <w:marBottom w:val="0"/>
      <w:divBdr>
        <w:top w:val="none" w:sz="0" w:space="0" w:color="auto"/>
        <w:left w:val="none" w:sz="0" w:space="0" w:color="auto"/>
        <w:bottom w:val="none" w:sz="0" w:space="0" w:color="auto"/>
        <w:right w:val="none" w:sz="0" w:space="0" w:color="auto"/>
      </w:divBdr>
    </w:div>
    <w:div w:id="1768577492">
      <w:bodyDiv w:val="1"/>
      <w:marLeft w:val="0"/>
      <w:marRight w:val="0"/>
      <w:marTop w:val="0"/>
      <w:marBottom w:val="0"/>
      <w:divBdr>
        <w:top w:val="none" w:sz="0" w:space="0" w:color="auto"/>
        <w:left w:val="none" w:sz="0" w:space="0" w:color="auto"/>
        <w:bottom w:val="none" w:sz="0" w:space="0" w:color="auto"/>
        <w:right w:val="none" w:sz="0" w:space="0" w:color="auto"/>
      </w:divBdr>
    </w:div>
    <w:div w:id="211651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EAE6C-E771-4BDE-8FF5-B55D3BA2C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8154</Words>
  <Characters>44849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Yesica Gonzales Romero</cp:lastModifiedBy>
  <cp:revision>2</cp:revision>
  <dcterms:created xsi:type="dcterms:W3CDTF">2022-05-18T02:14:00Z</dcterms:created>
  <dcterms:modified xsi:type="dcterms:W3CDTF">2022-05-18T02:14:00Z</dcterms:modified>
</cp:coreProperties>
</file>