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5BB56" w14:textId="2398F25D" w:rsidR="009F09BC" w:rsidRPr="00BA513A" w:rsidRDefault="009F09BC" w:rsidP="007105DF">
      <w:pPr>
        <w:tabs>
          <w:tab w:val="left" w:pos="3465"/>
        </w:tabs>
        <w:spacing w:before="240" w:after="360" w:line="276" w:lineRule="auto"/>
        <w:jc w:val="both"/>
        <w:rPr>
          <w:rFonts w:ascii="Palatino Linotype" w:hAnsi="Palatino Linotype"/>
          <w:b/>
        </w:rPr>
      </w:pPr>
      <w:r w:rsidRPr="00BA513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A4893" w:rsidRPr="00BA513A">
        <w:rPr>
          <w:rFonts w:ascii="Palatino Linotype" w:hAnsi="Palatino Linotype"/>
          <w:b/>
        </w:rPr>
        <w:t>treinta</w:t>
      </w:r>
      <w:r w:rsidR="00314517" w:rsidRPr="00BA513A">
        <w:rPr>
          <w:rFonts w:ascii="Palatino Linotype" w:hAnsi="Palatino Linotype"/>
          <w:b/>
        </w:rPr>
        <w:t xml:space="preserve"> </w:t>
      </w:r>
      <w:r w:rsidR="004A4893" w:rsidRPr="00BA513A">
        <w:rPr>
          <w:rFonts w:ascii="Palatino Linotype" w:hAnsi="Palatino Linotype"/>
          <w:b/>
        </w:rPr>
        <w:t>(30</w:t>
      </w:r>
      <w:r w:rsidRPr="00BA513A">
        <w:rPr>
          <w:rFonts w:ascii="Palatino Linotype" w:hAnsi="Palatino Linotype"/>
          <w:b/>
        </w:rPr>
        <w:t>) d</w:t>
      </w:r>
      <w:r w:rsidR="00D51020" w:rsidRPr="00BA513A">
        <w:rPr>
          <w:rFonts w:ascii="Palatino Linotype" w:hAnsi="Palatino Linotype"/>
          <w:b/>
        </w:rPr>
        <w:t>e marzo de dos mil veintidós</w:t>
      </w:r>
      <w:r w:rsidRPr="00BA513A">
        <w:rPr>
          <w:rFonts w:ascii="Palatino Linotype" w:hAnsi="Palatino Linotype"/>
          <w:b/>
        </w:rPr>
        <w:t>.</w:t>
      </w:r>
    </w:p>
    <w:p w14:paraId="5E609C0C" w14:textId="7E6AAFDD" w:rsidR="004D5311" w:rsidRPr="00BA513A" w:rsidRDefault="004D5311" w:rsidP="007105DF">
      <w:pPr>
        <w:spacing w:before="240" w:after="360" w:line="276" w:lineRule="auto"/>
        <w:jc w:val="both"/>
        <w:rPr>
          <w:rFonts w:ascii="Palatino Linotype" w:hAnsi="Palatino Linotype"/>
        </w:rPr>
      </w:pPr>
      <w:bookmarkStart w:id="0" w:name="_Toc461555884"/>
      <w:bookmarkStart w:id="1" w:name="_Toc466371847"/>
      <w:bookmarkStart w:id="2" w:name="_Toc83128575"/>
      <w:r w:rsidRPr="00BA513A">
        <w:rPr>
          <w:rFonts w:ascii="Palatino Linotype" w:hAnsi="Palatino Linotype"/>
          <w:b/>
        </w:rPr>
        <w:t>VISTO</w:t>
      </w:r>
      <w:r w:rsidRPr="00BA513A">
        <w:rPr>
          <w:rFonts w:ascii="Palatino Linotype" w:hAnsi="Palatino Linotype"/>
        </w:rPr>
        <w:t xml:space="preserve"> el expediente electrónico formado con motivo del recurso de revisión</w:t>
      </w:r>
      <w:r w:rsidRPr="00BA513A">
        <w:rPr>
          <w:rFonts w:ascii="Palatino Linotype" w:hAnsi="Palatino Linotype"/>
          <w:b/>
          <w:bCs/>
          <w:lang w:val="es-MX"/>
        </w:rPr>
        <w:t xml:space="preserve"> </w:t>
      </w:r>
      <w:r w:rsidR="004A4893" w:rsidRPr="00BA513A">
        <w:rPr>
          <w:rFonts w:ascii="Palatino Linotype" w:hAnsi="Palatino Linotype"/>
          <w:b/>
          <w:bCs/>
          <w:lang w:val="es-MX"/>
        </w:rPr>
        <w:t>00258/INFOEM/IP/RR/2022</w:t>
      </w:r>
      <w:r w:rsidRPr="00BA513A">
        <w:rPr>
          <w:rFonts w:ascii="Palatino Linotype" w:hAnsi="Palatino Linotype" w:cs="Arial"/>
          <w:b/>
          <w:bCs/>
        </w:rPr>
        <w:t xml:space="preserve">, </w:t>
      </w:r>
      <w:r w:rsidRPr="00BA513A">
        <w:rPr>
          <w:rFonts w:ascii="Palatino Linotype" w:hAnsi="Palatino Linotype"/>
        </w:rPr>
        <w:t>promovido por un usuario del Sistema de Acceso a la Información Mexiquense (</w:t>
      </w:r>
      <w:r w:rsidRPr="00BA513A">
        <w:rPr>
          <w:rFonts w:ascii="Palatino Linotype" w:hAnsi="Palatino Linotype"/>
          <w:b/>
        </w:rPr>
        <w:t>SAIMEX</w:t>
      </w:r>
      <w:r w:rsidRPr="00BA513A">
        <w:rPr>
          <w:rFonts w:ascii="Palatino Linotype" w:hAnsi="Palatino Linotype"/>
        </w:rPr>
        <w:t xml:space="preserve">), quien no proporciono nombre o seudónimo para ser identificado y quien en lo sucesivo será identificado como </w:t>
      </w:r>
      <w:r w:rsidRPr="00BA513A">
        <w:rPr>
          <w:rFonts w:ascii="Palatino Linotype" w:hAnsi="Palatino Linotype"/>
          <w:b/>
        </w:rPr>
        <w:t xml:space="preserve"> </w:t>
      </w:r>
      <w:r w:rsidRPr="00BA513A">
        <w:rPr>
          <w:rFonts w:ascii="Palatino Linotype" w:hAnsi="Palatino Linotype" w:cs="Arial"/>
          <w:b/>
        </w:rPr>
        <w:t>RECURRENTE</w:t>
      </w:r>
      <w:r w:rsidRPr="00BA513A">
        <w:rPr>
          <w:rFonts w:ascii="Palatino Linotype" w:hAnsi="Palatino Linotype" w:cs="Arial"/>
        </w:rPr>
        <w:t xml:space="preserve">, en contra de la respuesta de </w:t>
      </w:r>
      <w:r w:rsidR="004A4893" w:rsidRPr="00BA513A">
        <w:rPr>
          <w:rFonts w:ascii="Palatino Linotype" w:hAnsi="Palatino Linotype" w:cs="Arial"/>
          <w:b/>
        </w:rPr>
        <w:t>Comisión de Conciliación y Arbitraje Médico del Estado de México</w:t>
      </w:r>
      <w:r w:rsidRPr="00BA513A">
        <w:rPr>
          <w:rFonts w:ascii="Palatino Linotype" w:hAnsi="Palatino Linotype" w:cs="Arial"/>
          <w:b/>
        </w:rPr>
        <w:t xml:space="preserve">, </w:t>
      </w:r>
      <w:r w:rsidRPr="00BA513A">
        <w:rPr>
          <w:rFonts w:ascii="Palatino Linotype" w:hAnsi="Palatino Linotype"/>
        </w:rPr>
        <w:t>en lo sucesivo el</w:t>
      </w:r>
      <w:r w:rsidRPr="00BA513A">
        <w:rPr>
          <w:rFonts w:ascii="Palatino Linotype" w:hAnsi="Palatino Linotype"/>
          <w:b/>
        </w:rPr>
        <w:t xml:space="preserve"> SUJETO OBLIGADO, </w:t>
      </w:r>
      <w:r w:rsidRPr="00BA513A">
        <w:rPr>
          <w:rFonts w:ascii="Palatino Linotype" w:hAnsi="Palatino Linotype"/>
        </w:rPr>
        <w:t xml:space="preserve">se procede a dictar la presente resolución, con base en los siguientes: </w:t>
      </w:r>
    </w:p>
    <w:p w14:paraId="3B4F4EFA" w14:textId="77777777" w:rsidR="009F09BC" w:rsidRPr="00BA513A" w:rsidRDefault="009F09BC" w:rsidP="007105DF">
      <w:pPr>
        <w:pStyle w:val="Ttulo1"/>
        <w:spacing w:line="276" w:lineRule="auto"/>
        <w:jc w:val="center"/>
        <w:rPr>
          <w:rFonts w:ascii="Palatino Linotype" w:hAnsi="Palatino Linotype"/>
          <w:b/>
          <w:color w:val="000000" w:themeColor="text1"/>
          <w:sz w:val="24"/>
          <w:szCs w:val="24"/>
        </w:rPr>
      </w:pPr>
      <w:r w:rsidRPr="00BA513A">
        <w:rPr>
          <w:rFonts w:ascii="Palatino Linotype" w:hAnsi="Palatino Linotype"/>
          <w:b/>
          <w:color w:val="000000" w:themeColor="text1"/>
          <w:sz w:val="24"/>
          <w:szCs w:val="24"/>
        </w:rPr>
        <w:t>ANTECEDENTES</w:t>
      </w:r>
      <w:bookmarkEnd w:id="0"/>
      <w:bookmarkEnd w:id="1"/>
      <w:bookmarkEnd w:id="2"/>
    </w:p>
    <w:p w14:paraId="6C95A5C2" w14:textId="3BF41644" w:rsidR="004D5311" w:rsidRPr="00BA513A" w:rsidRDefault="004A4893" w:rsidP="007105DF">
      <w:pPr>
        <w:pStyle w:val="Prrafodelista"/>
        <w:numPr>
          <w:ilvl w:val="0"/>
          <w:numId w:val="15"/>
        </w:numPr>
        <w:spacing w:before="240" w:after="240" w:line="276" w:lineRule="auto"/>
        <w:ind w:left="0" w:firstLine="0"/>
        <w:jc w:val="both"/>
        <w:rPr>
          <w:rFonts w:ascii="Palatino Linotype" w:hAnsi="Palatino Linotype"/>
        </w:rPr>
      </w:pPr>
      <w:r w:rsidRPr="00BA513A">
        <w:rPr>
          <w:rFonts w:ascii="Palatino Linotype" w:eastAsia="Calibri" w:hAnsi="Palatino Linotype" w:cs="Arial"/>
          <w:lang w:val="es-ES"/>
        </w:rPr>
        <w:t xml:space="preserve">El </w:t>
      </w:r>
      <w:r w:rsidRPr="00BA513A">
        <w:rPr>
          <w:rFonts w:ascii="Palatino Linotype" w:eastAsia="Calibri" w:hAnsi="Palatino Linotype" w:cs="Arial"/>
          <w:b/>
          <w:lang w:val="es-ES"/>
        </w:rPr>
        <w:t>trece (13) diciembre</w:t>
      </w:r>
      <w:r w:rsidR="004D5311" w:rsidRPr="00BA513A">
        <w:rPr>
          <w:rFonts w:ascii="Palatino Linotype" w:eastAsia="Calibri" w:hAnsi="Palatino Linotype" w:cs="Arial"/>
          <w:b/>
          <w:lang w:val="es-ES"/>
        </w:rPr>
        <w:t xml:space="preserve"> </w:t>
      </w:r>
      <w:r w:rsidRPr="00BA513A">
        <w:rPr>
          <w:rFonts w:ascii="Palatino Linotype" w:eastAsia="Calibri" w:hAnsi="Palatino Linotype" w:cs="Arial"/>
          <w:lang w:val="es-ES"/>
        </w:rPr>
        <w:t>de dos mil veintiuno</w:t>
      </w:r>
      <w:r w:rsidR="004D5311" w:rsidRPr="00BA513A">
        <w:rPr>
          <w:rFonts w:ascii="Palatino Linotype" w:eastAsia="Calibri" w:hAnsi="Palatino Linotype" w:cs="Arial"/>
          <w:lang w:val="es-ES"/>
        </w:rPr>
        <w:t>,</w:t>
      </w:r>
      <w:r w:rsidR="004D5311" w:rsidRPr="00BA513A">
        <w:rPr>
          <w:rFonts w:ascii="Palatino Linotype" w:eastAsia="Calibri" w:hAnsi="Palatino Linotype" w:cs="Times New Roman"/>
          <w:lang w:val="es-ES"/>
        </w:rPr>
        <w:t xml:space="preserve"> se</w:t>
      </w:r>
      <w:r w:rsidR="004D5311" w:rsidRPr="00BA513A">
        <w:rPr>
          <w:rFonts w:ascii="Palatino Linotype" w:hAnsi="Palatino Linotype"/>
          <w:b/>
        </w:rPr>
        <w:t xml:space="preserve"> </w:t>
      </w:r>
      <w:r w:rsidR="004D5311" w:rsidRPr="00BA513A">
        <w:rPr>
          <w:rFonts w:ascii="Palatino Linotype" w:hAnsi="Palatino Linotype"/>
        </w:rPr>
        <w:t xml:space="preserve">presentó </w:t>
      </w:r>
      <w:r w:rsidR="004D5311" w:rsidRPr="00BA513A">
        <w:rPr>
          <w:rFonts w:ascii="Palatino Linotype" w:eastAsia="Calibri" w:hAnsi="Palatino Linotype" w:cs="Arial"/>
          <w:lang w:val="es-ES"/>
        </w:rPr>
        <w:t xml:space="preserve">ante el </w:t>
      </w:r>
      <w:r w:rsidR="004D5311" w:rsidRPr="00BA513A">
        <w:rPr>
          <w:rFonts w:ascii="Palatino Linotype" w:eastAsia="Calibri" w:hAnsi="Palatino Linotype" w:cs="Arial"/>
          <w:b/>
          <w:lang w:val="es-ES"/>
        </w:rPr>
        <w:t>SUJETO OBLIGADO,</w:t>
      </w:r>
      <w:r w:rsidR="004D5311" w:rsidRPr="00BA513A">
        <w:rPr>
          <w:rFonts w:ascii="Palatino Linotype" w:eastAsia="Calibri" w:hAnsi="Palatino Linotype" w:cs="Arial"/>
        </w:rPr>
        <w:t xml:space="preserve"> vía </w:t>
      </w:r>
      <w:r w:rsidR="004D5311" w:rsidRPr="00BA513A">
        <w:rPr>
          <w:rFonts w:ascii="Palatino Linotype" w:eastAsia="Calibri" w:hAnsi="Palatino Linotype" w:cs="Arial"/>
          <w:lang w:val="es-ES"/>
        </w:rPr>
        <w:t>Sistema de Acceso a la Información Mexiquense (</w:t>
      </w:r>
      <w:r w:rsidR="004D5311" w:rsidRPr="00BA513A">
        <w:rPr>
          <w:rFonts w:ascii="Palatino Linotype" w:eastAsia="Calibri" w:hAnsi="Palatino Linotype" w:cs="Arial"/>
          <w:b/>
          <w:lang w:val="es-ES"/>
        </w:rPr>
        <w:t>SAIMEX</w:t>
      </w:r>
      <w:r w:rsidR="004D5311" w:rsidRPr="00BA513A">
        <w:rPr>
          <w:rFonts w:ascii="Palatino Linotype" w:eastAsia="Calibri" w:hAnsi="Palatino Linotype" w:cs="Arial"/>
          <w:lang w:val="es-ES"/>
        </w:rPr>
        <w:t>), la solicitud de información pública registrada con el número</w:t>
      </w:r>
      <w:r w:rsidR="004D5311" w:rsidRPr="00BA513A">
        <w:rPr>
          <w:rFonts w:ascii="Palatino Linotype" w:eastAsia="Calibri" w:hAnsi="Palatino Linotype" w:cs="Arial"/>
          <w:b/>
          <w:bCs/>
        </w:rPr>
        <w:t xml:space="preserve">  </w:t>
      </w:r>
      <w:r w:rsidRPr="00BA513A">
        <w:rPr>
          <w:rFonts w:ascii="Palatino Linotype" w:eastAsia="Calibri" w:hAnsi="Palatino Linotype" w:cs="Arial"/>
          <w:b/>
          <w:bCs/>
        </w:rPr>
        <w:t>00282/CAMEM/IP/2021</w:t>
      </w:r>
      <w:r w:rsidR="004D5311" w:rsidRPr="00BA513A">
        <w:rPr>
          <w:rFonts w:ascii="Palatino Linotype" w:eastAsia="Times New Roman" w:hAnsi="Palatino Linotype" w:cs="Arial"/>
          <w:b/>
          <w:lang w:val="es-ES"/>
        </w:rPr>
        <w:t xml:space="preserve">, </w:t>
      </w:r>
      <w:r w:rsidR="004D5311" w:rsidRPr="00BA513A">
        <w:rPr>
          <w:rFonts w:ascii="Palatino Linotype" w:eastAsia="Calibri" w:hAnsi="Palatino Linotype" w:cs="Arial"/>
          <w:lang w:val="es-ES"/>
        </w:rPr>
        <w:t>mediante la cual se requirió lo siguiente:</w:t>
      </w:r>
    </w:p>
    <w:p w14:paraId="4404F49E" w14:textId="34BD81F0" w:rsidR="004D5311" w:rsidRPr="00BA513A" w:rsidRDefault="004D5311" w:rsidP="007105DF">
      <w:pPr>
        <w:tabs>
          <w:tab w:val="left" w:pos="8222"/>
        </w:tabs>
        <w:spacing w:before="240" w:after="240" w:line="276" w:lineRule="auto"/>
        <w:ind w:left="567" w:right="567"/>
        <w:contextualSpacing/>
        <w:jc w:val="both"/>
        <w:rPr>
          <w:rFonts w:ascii="Palatino Linotype" w:eastAsia="Calibri" w:hAnsi="Palatino Linotype" w:cs="Arial"/>
          <w:i/>
          <w:lang w:val="es-ES"/>
        </w:rPr>
      </w:pPr>
      <w:r w:rsidRPr="00BA513A">
        <w:rPr>
          <w:rFonts w:ascii="Palatino Linotype" w:eastAsia="Calibri" w:hAnsi="Palatino Linotype" w:cs="Arial"/>
          <w:i/>
          <w:lang w:val="es-ES"/>
        </w:rPr>
        <w:t>“</w:t>
      </w:r>
      <w:r w:rsidR="004A4893" w:rsidRPr="00BA513A">
        <w:rPr>
          <w:rFonts w:ascii="Palatino Linotype" w:eastAsia="Calibri" w:hAnsi="Palatino Linotype" w:cs="Arial"/>
          <w:i/>
          <w:lang w:val="es-ES"/>
        </w:rPr>
        <w:t>Contratos subrogados al 2021 en versión pública y en formato pdf.</w:t>
      </w:r>
      <w:r w:rsidRPr="00BA513A">
        <w:rPr>
          <w:rFonts w:ascii="Palatino Linotype" w:eastAsia="Calibri" w:hAnsi="Palatino Linotype" w:cs="Arial"/>
          <w:i/>
          <w:lang w:val="es-ES"/>
        </w:rPr>
        <w:t>” (Sic)</w:t>
      </w:r>
    </w:p>
    <w:p w14:paraId="0D293608" w14:textId="77777777" w:rsidR="004D5311" w:rsidRPr="00BA513A" w:rsidRDefault="004D5311" w:rsidP="007105DF">
      <w:pPr>
        <w:pStyle w:val="Prrafodelista"/>
        <w:spacing w:before="240" w:after="240" w:line="276" w:lineRule="auto"/>
        <w:ind w:left="0"/>
        <w:jc w:val="both"/>
        <w:rPr>
          <w:rFonts w:ascii="Palatino Linotype" w:hAnsi="Palatino Linotype"/>
        </w:rPr>
      </w:pPr>
    </w:p>
    <w:p w14:paraId="010A8237" w14:textId="77777777" w:rsidR="004D5311" w:rsidRPr="00BA513A" w:rsidRDefault="004D5311"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hAnsi="Palatino Linotype" w:cs="Arial"/>
        </w:rPr>
        <w:t xml:space="preserve">Se hace constar que </w:t>
      </w:r>
      <w:r w:rsidRPr="00BA513A">
        <w:rPr>
          <w:rFonts w:ascii="Palatino Linotype" w:eastAsia="Times New Roman" w:hAnsi="Palatino Linotype" w:cs="Arial"/>
          <w:lang w:val="es-ES"/>
        </w:rPr>
        <w:t xml:space="preserve">se señaló como modalidad de entrega de la información: a través del Sistema de Acceso a la Información Mexiquense </w:t>
      </w:r>
      <w:r w:rsidRPr="00BA513A">
        <w:rPr>
          <w:rFonts w:ascii="Palatino Linotype" w:eastAsia="Times New Roman" w:hAnsi="Palatino Linotype" w:cs="Arial"/>
          <w:b/>
          <w:lang w:val="es-ES"/>
        </w:rPr>
        <w:t>(SAIMEX).</w:t>
      </w:r>
    </w:p>
    <w:p w14:paraId="0B321907" w14:textId="77777777" w:rsidR="004B61DC" w:rsidRPr="00BA513A" w:rsidRDefault="004B61DC"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0DD72059" w14:textId="6CB1AEFE" w:rsidR="006600B7" w:rsidRPr="00BA513A" w:rsidRDefault="006600B7" w:rsidP="007105DF">
      <w:pPr>
        <w:pStyle w:val="Prrafodelista"/>
        <w:numPr>
          <w:ilvl w:val="0"/>
          <w:numId w:val="15"/>
        </w:numPr>
        <w:spacing w:before="240" w:after="240" w:line="276" w:lineRule="auto"/>
        <w:ind w:left="0" w:firstLine="0"/>
        <w:jc w:val="both"/>
        <w:rPr>
          <w:rFonts w:ascii="Palatino Linotype" w:hAnsi="Palatino Linotype"/>
        </w:rPr>
      </w:pPr>
      <w:r w:rsidRPr="00BA513A">
        <w:rPr>
          <w:rFonts w:ascii="Palatino Linotype" w:hAnsi="Palatino Linotype"/>
        </w:rPr>
        <w:t xml:space="preserve">En cumplimiento al artículo 162 de la Ley de Transparencia y Acceso a la Información Pública del Estado de México y Municipios, el diecisiete de enero dos mil veintidós, el </w:t>
      </w:r>
      <w:r w:rsidRPr="00BA513A">
        <w:rPr>
          <w:rFonts w:ascii="Palatino Linotype" w:hAnsi="Palatino Linotype"/>
          <w:b/>
        </w:rPr>
        <w:t>SUJETO OBLIGADO</w:t>
      </w:r>
      <w:r w:rsidRPr="00BA513A">
        <w:rPr>
          <w:rFonts w:ascii="Palatino Linotype" w:hAnsi="Palatino Linotype"/>
        </w:rPr>
        <w:t xml:space="preserve"> turnó mediante requerimiento, el contenido de la solicitud de información al servidor público habilitado que consideró competente, a efecto de que realizara la búsqueda y localización de la misma, tal como se desprende de la imagen que se inserta a continuación:</w:t>
      </w:r>
    </w:p>
    <w:p w14:paraId="711F6EE6" w14:textId="77777777" w:rsidR="005D1930" w:rsidRPr="00BA513A" w:rsidRDefault="005D1930" w:rsidP="007105DF">
      <w:pPr>
        <w:pStyle w:val="Prrafodelista"/>
        <w:spacing w:before="240" w:after="240" w:line="276" w:lineRule="auto"/>
        <w:ind w:left="0"/>
        <w:jc w:val="both"/>
        <w:rPr>
          <w:rFonts w:ascii="Palatino Linotype" w:hAnsi="Palatino Linotype"/>
        </w:rPr>
      </w:pPr>
    </w:p>
    <w:p w14:paraId="779332B1" w14:textId="3DB558E0" w:rsidR="006600B7" w:rsidRPr="00BA513A" w:rsidRDefault="005D1930" w:rsidP="007105DF">
      <w:pPr>
        <w:pStyle w:val="Prrafodelista"/>
        <w:spacing w:before="240" w:after="240" w:line="276" w:lineRule="auto"/>
        <w:ind w:left="0"/>
        <w:jc w:val="both"/>
        <w:rPr>
          <w:rFonts w:ascii="Palatino Linotype" w:hAnsi="Palatino Linotype"/>
        </w:rPr>
      </w:pPr>
      <w:r w:rsidRPr="00BA513A">
        <w:rPr>
          <w:rFonts w:ascii="Palatino Linotype" w:hAnsi="Palatino Linotype"/>
          <w:noProof/>
          <w:lang w:val="es-MX" w:eastAsia="es-MX"/>
        </w:rPr>
        <w:lastRenderedPageBreak/>
        <w:drawing>
          <wp:inline distT="0" distB="0" distL="0" distR="0" wp14:anchorId="3411D7FE" wp14:editId="7615CF0F">
            <wp:extent cx="5785485" cy="207899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485" cy="2078990"/>
                    </a:xfrm>
                    <a:prstGeom prst="rect">
                      <a:avLst/>
                    </a:prstGeom>
                    <a:noFill/>
                  </pic:spPr>
                </pic:pic>
              </a:graphicData>
            </a:graphic>
          </wp:inline>
        </w:drawing>
      </w:r>
    </w:p>
    <w:p w14:paraId="2CCF80F2" w14:textId="77777777" w:rsidR="005D1930" w:rsidRPr="00BA513A" w:rsidRDefault="005D1930" w:rsidP="007105DF">
      <w:pPr>
        <w:pStyle w:val="Prrafodelista"/>
        <w:spacing w:before="240" w:after="240" w:line="276" w:lineRule="auto"/>
        <w:ind w:left="0"/>
        <w:jc w:val="both"/>
        <w:rPr>
          <w:rFonts w:ascii="Palatino Linotype" w:hAnsi="Palatino Linotype"/>
        </w:rPr>
      </w:pPr>
    </w:p>
    <w:p w14:paraId="1BF6D8FE" w14:textId="74C5F4AC" w:rsidR="00D51020" w:rsidRPr="00BA513A" w:rsidRDefault="004A4893" w:rsidP="007105DF">
      <w:pPr>
        <w:pStyle w:val="Prrafodelista"/>
        <w:numPr>
          <w:ilvl w:val="0"/>
          <w:numId w:val="15"/>
        </w:numPr>
        <w:spacing w:before="240" w:after="240" w:line="276" w:lineRule="auto"/>
        <w:ind w:left="0" w:firstLine="0"/>
        <w:jc w:val="both"/>
        <w:rPr>
          <w:rFonts w:ascii="Palatino Linotype" w:hAnsi="Palatino Linotype"/>
        </w:rPr>
      </w:pPr>
      <w:r w:rsidRPr="00BA513A">
        <w:rPr>
          <w:rFonts w:ascii="Palatino Linotype" w:eastAsiaTheme="minorHAnsi" w:hAnsi="Palatino Linotype"/>
          <w:color w:val="000000"/>
          <w:lang w:val="es-MX" w:eastAsia="en-US"/>
        </w:rPr>
        <w:t>El diecisiete</w:t>
      </w:r>
      <w:r w:rsidR="004B61DC" w:rsidRPr="00BA513A">
        <w:rPr>
          <w:rFonts w:ascii="Palatino Linotype" w:eastAsiaTheme="minorHAnsi" w:hAnsi="Palatino Linotype"/>
          <w:color w:val="000000"/>
          <w:lang w:val="es-MX" w:eastAsia="en-US"/>
        </w:rPr>
        <w:t xml:space="preserve"> </w:t>
      </w:r>
      <w:r w:rsidRPr="00BA513A">
        <w:rPr>
          <w:rFonts w:ascii="Palatino Linotype" w:eastAsiaTheme="minorHAnsi" w:hAnsi="Palatino Linotype"/>
          <w:b/>
          <w:color w:val="000000"/>
          <w:lang w:val="es-MX" w:eastAsia="en-US"/>
        </w:rPr>
        <w:t>(17</w:t>
      </w:r>
      <w:r w:rsidR="004B61DC" w:rsidRPr="00BA513A">
        <w:rPr>
          <w:rFonts w:ascii="Palatino Linotype" w:eastAsiaTheme="minorHAnsi" w:hAnsi="Palatino Linotype"/>
          <w:b/>
          <w:color w:val="000000"/>
          <w:lang w:val="es-MX" w:eastAsia="en-US"/>
        </w:rPr>
        <w:t>) de enero</w:t>
      </w:r>
      <w:r w:rsidR="004B61DC" w:rsidRPr="00BA513A">
        <w:rPr>
          <w:rFonts w:ascii="Palatino Linotype" w:eastAsiaTheme="minorHAnsi" w:hAnsi="Palatino Linotype"/>
          <w:color w:val="000000"/>
          <w:lang w:val="es-MX" w:eastAsia="en-US"/>
        </w:rPr>
        <w:t xml:space="preserve"> de dos mil veintidós, el </w:t>
      </w:r>
      <w:r w:rsidR="004B61DC" w:rsidRPr="00BA513A">
        <w:rPr>
          <w:rFonts w:ascii="Palatino Linotype" w:eastAsiaTheme="minorHAnsi" w:hAnsi="Palatino Linotype"/>
          <w:b/>
          <w:bCs/>
          <w:color w:val="000000"/>
          <w:lang w:val="es-MX" w:eastAsia="en-US"/>
        </w:rPr>
        <w:t>SUJETO OBLIGADO</w:t>
      </w:r>
      <w:r w:rsidR="004B61DC" w:rsidRPr="00BA513A">
        <w:rPr>
          <w:rFonts w:ascii="Palatino Linotype" w:eastAsiaTheme="minorHAnsi" w:hAnsi="Palatino Linotype"/>
          <w:color w:val="000000"/>
          <w:lang w:val="es-MX" w:eastAsia="en-US"/>
        </w:rPr>
        <w:t xml:space="preserve"> dio respuesta a la solicitud de información en los siguientes términos:</w:t>
      </w:r>
    </w:p>
    <w:p w14:paraId="6D5AF50D" w14:textId="77777777" w:rsidR="004A4893" w:rsidRPr="00BA513A" w:rsidRDefault="00D51020" w:rsidP="007105DF">
      <w:pPr>
        <w:tabs>
          <w:tab w:val="left" w:pos="426"/>
        </w:tabs>
        <w:spacing w:before="240" w:after="240" w:line="276" w:lineRule="auto"/>
        <w:ind w:left="567" w:right="567"/>
        <w:contextualSpacing/>
        <w:jc w:val="right"/>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 xml:space="preserve"> </w:t>
      </w:r>
      <w:r w:rsidR="004B61DC" w:rsidRPr="00BA513A">
        <w:rPr>
          <w:rFonts w:ascii="Palatino Linotype" w:eastAsia="MS Mincho" w:hAnsi="Palatino Linotype" w:cs="Times New Roman"/>
          <w:i/>
          <w:lang w:val="es-MX" w:eastAsia="en-US"/>
        </w:rPr>
        <w:t>“</w:t>
      </w:r>
      <w:r w:rsidR="004A4893" w:rsidRPr="00BA513A">
        <w:rPr>
          <w:rFonts w:ascii="Palatino Linotype" w:eastAsia="MS Mincho" w:hAnsi="Palatino Linotype" w:cs="Times New Roman"/>
          <w:i/>
          <w:lang w:val="es-MX" w:eastAsia="en-US"/>
        </w:rPr>
        <w:t>Metepec, México a 17 de Enero de 2022</w:t>
      </w:r>
    </w:p>
    <w:p w14:paraId="5577D833" w14:textId="77777777" w:rsidR="004A4893" w:rsidRPr="00BA513A" w:rsidRDefault="004A4893" w:rsidP="007105DF">
      <w:pPr>
        <w:tabs>
          <w:tab w:val="left" w:pos="426"/>
        </w:tabs>
        <w:spacing w:before="240" w:after="240" w:line="276" w:lineRule="auto"/>
        <w:ind w:left="567" w:right="567"/>
        <w:contextualSpacing/>
        <w:jc w:val="right"/>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Nombre del solicitante:</w:t>
      </w:r>
    </w:p>
    <w:p w14:paraId="71AE0CB1" w14:textId="77777777" w:rsidR="004A4893" w:rsidRPr="00BA513A" w:rsidRDefault="004A4893" w:rsidP="007105DF">
      <w:pPr>
        <w:tabs>
          <w:tab w:val="left" w:pos="426"/>
        </w:tabs>
        <w:spacing w:before="240" w:after="240" w:line="276" w:lineRule="auto"/>
        <w:ind w:left="567" w:right="567"/>
        <w:contextualSpacing/>
        <w:jc w:val="right"/>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Folio de la solicitud: 00282/CAMEM/IP/2021</w:t>
      </w:r>
    </w:p>
    <w:p w14:paraId="7543F425" w14:textId="77777777" w:rsidR="004A4893" w:rsidRPr="00BA513A" w:rsidRDefault="004A4893" w:rsidP="007105DF">
      <w:pPr>
        <w:tabs>
          <w:tab w:val="left" w:pos="426"/>
        </w:tabs>
        <w:spacing w:before="240" w:after="240" w:line="276" w:lineRule="auto"/>
        <w:ind w:left="567" w:right="567"/>
        <w:contextualSpacing/>
        <w:rPr>
          <w:rFonts w:ascii="Palatino Linotype" w:eastAsia="MS Mincho" w:hAnsi="Palatino Linotype" w:cs="Times New Roman"/>
          <w:i/>
          <w:lang w:val="es-MX" w:eastAsia="en-US"/>
        </w:rPr>
      </w:pPr>
    </w:p>
    <w:p w14:paraId="3D29DF48" w14:textId="77777777" w:rsidR="004A4893" w:rsidRPr="00BA513A" w:rsidRDefault="004A4893" w:rsidP="007105DF">
      <w:pPr>
        <w:tabs>
          <w:tab w:val="left" w:pos="426"/>
        </w:tabs>
        <w:spacing w:before="240" w:after="240" w:line="276" w:lineRule="auto"/>
        <w:ind w:left="567" w:right="567"/>
        <w:contextualSpacing/>
        <w:jc w:val="both"/>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67A61A" w14:textId="77777777" w:rsidR="004A4893" w:rsidRPr="00BA513A" w:rsidRDefault="004A4893" w:rsidP="007105DF">
      <w:pPr>
        <w:tabs>
          <w:tab w:val="left" w:pos="426"/>
        </w:tabs>
        <w:spacing w:before="240" w:after="240" w:line="276" w:lineRule="auto"/>
        <w:ind w:left="567" w:right="567"/>
        <w:contextualSpacing/>
        <w:jc w:val="both"/>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En atención a la Solicitud de Información con folio 00282/CAMEM/IP/2021, mediante la cual se requiere a la letra “Contratos subrogados al 2021 en versión pública y en formato pdf”, me permito solicitar sea más específico en su solicitud.</w:t>
      </w:r>
    </w:p>
    <w:p w14:paraId="4AFA2574" w14:textId="77777777" w:rsidR="004A4893" w:rsidRPr="00BA513A" w:rsidRDefault="004A4893" w:rsidP="007105DF">
      <w:pPr>
        <w:tabs>
          <w:tab w:val="left" w:pos="426"/>
        </w:tabs>
        <w:spacing w:before="240" w:after="240" w:line="276" w:lineRule="auto"/>
        <w:ind w:left="567" w:right="567"/>
        <w:contextualSpacing/>
        <w:rPr>
          <w:rFonts w:ascii="Palatino Linotype" w:eastAsia="MS Mincho" w:hAnsi="Palatino Linotype" w:cs="Times New Roman"/>
          <w:i/>
          <w:lang w:val="es-MX" w:eastAsia="en-US"/>
        </w:rPr>
      </w:pPr>
    </w:p>
    <w:p w14:paraId="455BD7DC" w14:textId="77777777" w:rsidR="004A4893" w:rsidRPr="00BA513A" w:rsidRDefault="004A4893" w:rsidP="007105DF">
      <w:pPr>
        <w:tabs>
          <w:tab w:val="left" w:pos="426"/>
        </w:tabs>
        <w:spacing w:before="240" w:after="240" w:line="276" w:lineRule="auto"/>
        <w:ind w:left="567" w:right="567"/>
        <w:contextualSpacing/>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ATENTAMENTE</w:t>
      </w:r>
    </w:p>
    <w:p w14:paraId="539B29BB" w14:textId="3CC03D2B" w:rsidR="00530E72" w:rsidRPr="00BA513A" w:rsidRDefault="004A4893" w:rsidP="007105DF">
      <w:pPr>
        <w:tabs>
          <w:tab w:val="left" w:pos="426"/>
        </w:tabs>
        <w:spacing w:before="240" w:after="240" w:line="276" w:lineRule="auto"/>
        <w:ind w:left="567" w:right="567"/>
        <w:contextualSpacing/>
        <w:rPr>
          <w:rFonts w:ascii="Palatino Linotype" w:eastAsia="MS Mincho" w:hAnsi="Palatino Linotype" w:cs="Times New Roman"/>
          <w:lang w:val="es-MX" w:eastAsia="en-US"/>
        </w:rPr>
      </w:pPr>
      <w:r w:rsidRPr="00BA513A">
        <w:rPr>
          <w:rFonts w:ascii="Palatino Linotype" w:eastAsia="MS Mincho" w:hAnsi="Palatino Linotype" w:cs="Times New Roman"/>
          <w:i/>
          <w:lang w:val="es-MX" w:eastAsia="en-US"/>
        </w:rPr>
        <w:t>LCA EDUARDO GONZAGA PALMA</w:t>
      </w:r>
      <w:r w:rsidR="004B61DC" w:rsidRPr="00BA513A">
        <w:rPr>
          <w:rFonts w:ascii="Palatino Linotype" w:eastAsia="MS Mincho" w:hAnsi="Palatino Linotype" w:cs="Times New Roman"/>
          <w:i/>
          <w:lang w:val="es-MX" w:eastAsia="en-US"/>
        </w:rPr>
        <w:t>”</w:t>
      </w:r>
      <w:r w:rsidR="004B61DC" w:rsidRPr="00BA513A">
        <w:rPr>
          <w:rFonts w:ascii="Palatino Linotype" w:eastAsia="MS Mincho" w:hAnsi="Palatino Linotype" w:cs="Times New Roman"/>
          <w:lang w:val="es-MX" w:eastAsia="en-US"/>
        </w:rPr>
        <w:t xml:space="preserve"> (Sic)</w:t>
      </w:r>
    </w:p>
    <w:p w14:paraId="35F75CC9" w14:textId="77777777" w:rsidR="004A4893" w:rsidRPr="00BA513A" w:rsidRDefault="004A4893" w:rsidP="007105DF">
      <w:pPr>
        <w:tabs>
          <w:tab w:val="left" w:pos="426"/>
        </w:tabs>
        <w:spacing w:before="240" w:after="240" w:line="276" w:lineRule="auto"/>
        <w:ind w:left="567" w:right="567"/>
        <w:contextualSpacing/>
        <w:rPr>
          <w:rFonts w:ascii="Palatino Linotype" w:eastAsia="MS Mincho" w:hAnsi="Palatino Linotype" w:cs="Times New Roman"/>
          <w:i/>
          <w:lang w:val="es-MX" w:eastAsia="en-US"/>
        </w:rPr>
      </w:pPr>
    </w:p>
    <w:p w14:paraId="029CD509" w14:textId="6A6EE460" w:rsidR="004B61DC" w:rsidRPr="00BA513A" w:rsidRDefault="004B61DC" w:rsidP="007105DF">
      <w:pPr>
        <w:numPr>
          <w:ilvl w:val="0"/>
          <w:numId w:val="15"/>
        </w:numPr>
        <w:tabs>
          <w:tab w:val="left" w:pos="426"/>
        </w:tabs>
        <w:spacing w:before="240" w:after="240" w:line="276" w:lineRule="auto"/>
        <w:ind w:left="0" w:firstLine="0"/>
        <w:contextualSpacing/>
        <w:jc w:val="both"/>
        <w:rPr>
          <w:rFonts w:ascii="Palatino Linotype" w:eastAsia="MS Mincho" w:hAnsi="Palatino Linotype" w:cs="Times New Roman"/>
          <w:lang w:val="es-MX" w:eastAsia="en-US"/>
        </w:rPr>
      </w:pPr>
      <w:r w:rsidRPr="00BA513A">
        <w:rPr>
          <w:rFonts w:ascii="Palatino Linotype" w:eastAsia="Times New Roman" w:hAnsi="Palatino Linotype" w:cs="Arial"/>
          <w:lang w:val="es-ES" w:eastAsia="en-US"/>
        </w:rPr>
        <w:t xml:space="preserve">Derivado de la respuesta emitida por el </w:t>
      </w:r>
      <w:r w:rsidRPr="00BA513A">
        <w:rPr>
          <w:rFonts w:ascii="Palatino Linotype" w:eastAsia="Times New Roman" w:hAnsi="Palatino Linotype" w:cs="Arial"/>
          <w:b/>
          <w:lang w:val="es-ES" w:eastAsia="en-US"/>
        </w:rPr>
        <w:t>SUJETO OBLIGADO</w:t>
      </w:r>
      <w:r w:rsidR="00E21CFA" w:rsidRPr="00BA513A">
        <w:rPr>
          <w:rFonts w:ascii="Palatino Linotype" w:eastAsia="Times New Roman" w:hAnsi="Palatino Linotype" w:cs="Arial"/>
          <w:lang w:val="es-ES" w:eastAsia="en-US"/>
        </w:rPr>
        <w:t xml:space="preserve">, el </w:t>
      </w:r>
      <w:r w:rsidR="004A4893" w:rsidRPr="00BA513A">
        <w:rPr>
          <w:rFonts w:ascii="Palatino Linotype" w:eastAsia="Times New Roman" w:hAnsi="Palatino Linotype" w:cs="Arial"/>
          <w:b/>
          <w:lang w:val="es-ES" w:eastAsia="en-US"/>
        </w:rPr>
        <w:t>veinticuatro (24</w:t>
      </w:r>
      <w:r w:rsidRPr="00BA513A">
        <w:rPr>
          <w:rFonts w:ascii="Palatino Linotype" w:eastAsia="Times New Roman" w:hAnsi="Palatino Linotype" w:cs="Arial"/>
          <w:b/>
          <w:lang w:val="es-ES" w:eastAsia="en-US"/>
        </w:rPr>
        <w:t xml:space="preserve">) de enero </w:t>
      </w:r>
      <w:r w:rsidRPr="00BA513A">
        <w:rPr>
          <w:rFonts w:ascii="Palatino Linotype" w:eastAsia="Times New Roman" w:hAnsi="Palatino Linotype" w:cs="Arial"/>
          <w:lang w:val="es-ES" w:eastAsia="en-US"/>
        </w:rPr>
        <w:t xml:space="preserve">de dos mil veintidós, estando en tiempo y forma, el </w:t>
      </w:r>
      <w:r w:rsidR="003E73D9" w:rsidRPr="00BA513A">
        <w:rPr>
          <w:rFonts w:ascii="Palatino Linotype" w:eastAsia="Times New Roman" w:hAnsi="Palatino Linotype" w:cs="Arial"/>
          <w:b/>
          <w:lang w:val="es-ES" w:eastAsia="en-US"/>
        </w:rPr>
        <w:t>PARTICULAR</w:t>
      </w:r>
      <w:r w:rsidRPr="00BA513A">
        <w:rPr>
          <w:rFonts w:ascii="Palatino Linotype" w:eastAsia="Times New Roman" w:hAnsi="Palatino Linotype" w:cs="Arial"/>
          <w:lang w:val="es-ES" w:eastAsia="en-US"/>
        </w:rPr>
        <w:t xml:space="preserve"> interpuso el recurso de revisión </w:t>
      </w:r>
      <w:r w:rsidR="004A4893" w:rsidRPr="00BA513A">
        <w:rPr>
          <w:rFonts w:ascii="Palatino Linotype" w:eastAsia="Times New Roman" w:hAnsi="Palatino Linotype" w:cs="Arial"/>
          <w:b/>
          <w:bCs/>
          <w:lang w:eastAsia="en-US"/>
        </w:rPr>
        <w:t>00258/INFOEM/IP/RR/2022</w:t>
      </w:r>
      <w:r w:rsidRPr="00BA513A">
        <w:rPr>
          <w:rFonts w:ascii="Palatino Linotype" w:eastAsia="Calibri" w:hAnsi="Palatino Linotype" w:cs="Arial"/>
          <w:b/>
          <w:lang w:val="es-ES" w:eastAsia="en-US"/>
        </w:rPr>
        <w:t>;</w:t>
      </w:r>
      <w:r w:rsidRPr="00BA513A">
        <w:rPr>
          <w:rFonts w:ascii="Palatino Linotype" w:eastAsia="Times New Roman" w:hAnsi="Palatino Linotype" w:cs="Arial"/>
          <w:lang w:val="es-ES" w:eastAsia="en-US"/>
        </w:rPr>
        <w:t xml:space="preserve"> impugnación en la que refirió lo siguiente:</w:t>
      </w:r>
    </w:p>
    <w:p w14:paraId="55A57589" w14:textId="77777777" w:rsidR="004B61DC" w:rsidRPr="00BA513A" w:rsidRDefault="004B61DC" w:rsidP="007105DF">
      <w:pPr>
        <w:tabs>
          <w:tab w:val="left" w:pos="426"/>
        </w:tabs>
        <w:spacing w:before="240" w:after="240" w:line="276" w:lineRule="auto"/>
        <w:ind w:left="851"/>
        <w:contextualSpacing/>
        <w:jc w:val="both"/>
        <w:rPr>
          <w:rFonts w:ascii="Palatino Linotype" w:eastAsia="MS Mincho" w:hAnsi="Palatino Linotype" w:cs="Times New Roman"/>
          <w:lang w:val="es-MX" w:eastAsia="en-US"/>
        </w:rPr>
      </w:pPr>
    </w:p>
    <w:p w14:paraId="479AFC9C" w14:textId="3FE06091" w:rsidR="00E21CFA" w:rsidRPr="00BA513A" w:rsidRDefault="004B61DC" w:rsidP="007105DF">
      <w:pPr>
        <w:numPr>
          <w:ilvl w:val="0"/>
          <w:numId w:val="35"/>
        </w:numPr>
        <w:spacing w:after="160" w:line="276" w:lineRule="auto"/>
        <w:ind w:right="567"/>
        <w:contextualSpacing/>
        <w:jc w:val="both"/>
        <w:rPr>
          <w:rFonts w:ascii="Palatino Linotype" w:eastAsia="Times New Roman" w:hAnsi="Palatino Linotype" w:cs="Arial"/>
          <w:i/>
          <w:lang w:val="es-ES" w:eastAsia="en-US"/>
        </w:rPr>
      </w:pPr>
      <w:r w:rsidRPr="00BA513A">
        <w:rPr>
          <w:rFonts w:ascii="Palatino Linotype" w:eastAsia="Times New Roman" w:hAnsi="Palatino Linotype" w:cs="Arial"/>
          <w:b/>
          <w:lang w:val="es-ES" w:eastAsia="en-US"/>
        </w:rPr>
        <w:lastRenderedPageBreak/>
        <w:t>Acto impugnado:</w:t>
      </w:r>
      <w:r w:rsidRPr="00BA513A">
        <w:rPr>
          <w:rFonts w:ascii="Palatino Linotype" w:eastAsia="Times New Roman" w:hAnsi="Palatino Linotype" w:cs="Arial"/>
          <w:i/>
          <w:lang w:val="es-ES" w:eastAsia="en-US"/>
        </w:rPr>
        <w:t xml:space="preserve"> “</w:t>
      </w:r>
      <w:r w:rsidR="00781A67" w:rsidRPr="00BA513A">
        <w:rPr>
          <w:rFonts w:ascii="Palatino Linotype" w:eastAsia="Times New Roman" w:hAnsi="Palatino Linotype" w:cs="Arial"/>
          <w:i/>
          <w:lang w:val="es-ES" w:eastAsia="en-US"/>
        </w:rPr>
        <w:t>No entrega la información.</w:t>
      </w:r>
      <w:r w:rsidRPr="00BA513A">
        <w:rPr>
          <w:rFonts w:ascii="Palatino Linotype" w:eastAsia="Times New Roman" w:hAnsi="Palatino Linotype" w:cs="Arial"/>
          <w:i/>
          <w:lang w:val="es-ES" w:eastAsia="en-US"/>
        </w:rPr>
        <w:t>”.(Sic)</w:t>
      </w:r>
    </w:p>
    <w:p w14:paraId="1FD9D679" w14:textId="77777777" w:rsidR="00E21CFA" w:rsidRPr="00BA513A" w:rsidRDefault="00E21CFA" w:rsidP="007105DF">
      <w:pPr>
        <w:spacing w:after="160" w:line="276" w:lineRule="auto"/>
        <w:ind w:left="851" w:right="567"/>
        <w:contextualSpacing/>
        <w:jc w:val="both"/>
        <w:rPr>
          <w:rFonts w:ascii="Palatino Linotype" w:eastAsia="Times New Roman" w:hAnsi="Palatino Linotype" w:cs="Arial"/>
          <w:i/>
          <w:lang w:val="es-ES" w:eastAsia="en-US"/>
        </w:rPr>
      </w:pPr>
    </w:p>
    <w:p w14:paraId="0305A5B8" w14:textId="4CCBACB3" w:rsidR="004B61DC" w:rsidRPr="00BA513A" w:rsidRDefault="004B61DC" w:rsidP="007105DF">
      <w:pPr>
        <w:numPr>
          <w:ilvl w:val="0"/>
          <w:numId w:val="35"/>
        </w:numPr>
        <w:spacing w:after="160" w:line="276" w:lineRule="auto"/>
        <w:ind w:right="567"/>
        <w:contextualSpacing/>
        <w:jc w:val="both"/>
        <w:rPr>
          <w:rFonts w:ascii="Palatino Linotype" w:eastAsia="Times New Roman" w:hAnsi="Palatino Linotype" w:cs="Arial"/>
          <w:i/>
          <w:lang w:val="es-ES" w:eastAsia="en-US"/>
        </w:rPr>
      </w:pPr>
      <w:r w:rsidRPr="00BA513A">
        <w:rPr>
          <w:rFonts w:ascii="Palatino Linotype" w:eastAsia="Times New Roman" w:hAnsi="Palatino Linotype" w:cs="Arial"/>
          <w:b/>
          <w:lang w:val="es-ES" w:eastAsia="en-US"/>
        </w:rPr>
        <w:t>Razones o motivos de inconformidad:</w:t>
      </w:r>
      <w:r w:rsidRPr="00BA513A">
        <w:rPr>
          <w:rFonts w:ascii="Palatino Linotype" w:eastAsia="Times New Roman" w:hAnsi="Palatino Linotype" w:cs="Arial"/>
          <w:i/>
          <w:lang w:val="es-ES" w:eastAsia="en-US"/>
        </w:rPr>
        <w:t xml:space="preserve"> “</w:t>
      </w:r>
      <w:r w:rsidR="00B045A5" w:rsidRPr="00BA513A">
        <w:rPr>
          <w:rFonts w:ascii="Palatino Linotype" w:eastAsia="Times New Roman" w:hAnsi="Palatino Linotype" w:cs="Arial"/>
          <w:i/>
          <w:lang w:val="es-ES" w:eastAsia="en-US"/>
        </w:rPr>
        <w:t>No entrega lo que se le pide y que es su responsabilidad atenderla.</w:t>
      </w:r>
      <w:r w:rsidRPr="00BA513A">
        <w:rPr>
          <w:rFonts w:ascii="Palatino Linotype" w:eastAsia="Times New Roman" w:hAnsi="Palatino Linotype" w:cs="Arial"/>
          <w:i/>
          <w:lang w:val="es-ES" w:eastAsia="en-US"/>
        </w:rPr>
        <w:t>”. (Sic)</w:t>
      </w:r>
    </w:p>
    <w:p w14:paraId="0AB33B72" w14:textId="77777777" w:rsidR="00E21CFA" w:rsidRPr="00BA513A" w:rsidRDefault="00E21CFA"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eastAsia="MS Mincho" w:hAnsi="Palatino Linotype" w:cs="Times New Roman"/>
          <w:lang w:val="es-MX" w:eastAsia="en-US"/>
        </w:rPr>
        <w:t xml:space="preserve">Se registró el recurso de revisión bajo el número de expediente al rubro indicado, asimismo con fundamento en lo dispuesto por el artículo 185 fracción I de </w:t>
      </w:r>
      <w:r w:rsidRPr="00BA513A">
        <w:rPr>
          <w:rFonts w:ascii="Palatino Linotype" w:eastAsia="MS Mincho" w:hAnsi="Palatino Linotype" w:cs="Times New Roman"/>
          <w:b/>
          <w:lang w:val="es-MX" w:eastAsia="en-US"/>
        </w:rPr>
        <w:t>la Ley de Transparencia y Acceso a la Información Pública del Estado de México y Municipios</w:t>
      </w:r>
      <w:r w:rsidRPr="00BA513A">
        <w:rPr>
          <w:rFonts w:ascii="Palatino Linotype" w:eastAsia="MS Mincho" w:hAnsi="Palatino Linotype" w:cs="Times New Roman"/>
          <w:lang w:val="es-MX" w:eastAsia="en-US"/>
        </w:rPr>
        <w:t xml:space="preserve"> se turnó a la Comisionada </w:t>
      </w:r>
      <w:r w:rsidRPr="00BA513A">
        <w:rPr>
          <w:rFonts w:ascii="Palatino Linotype" w:eastAsia="MS Mincho" w:hAnsi="Palatino Linotype" w:cs="Times New Roman"/>
          <w:b/>
          <w:lang w:val="es-MX" w:eastAsia="en-US"/>
        </w:rPr>
        <w:t>María del Rosario Mejía Ayala</w:t>
      </w:r>
      <w:r w:rsidRPr="00BA513A">
        <w:rPr>
          <w:rFonts w:ascii="Palatino Linotype" w:eastAsia="MS Mincho" w:hAnsi="Palatino Linotype" w:cs="Times New Roman"/>
          <w:lang w:val="es-MX" w:eastAsia="en-US"/>
        </w:rPr>
        <w:t>, con el objeto de su análisis.</w:t>
      </w:r>
    </w:p>
    <w:p w14:paraId="18FC2F5A" w14:textId="77777777" w:rsidR="00E21CFA" w:rsidRPr="00BA513A" w:rsidRDefault="00E21CFA" w:rsidP="007105DF">
      <w:pPr>
        <w:pStyle w:val="Prrafodelista"/>
        <w:tabs>
          <w:tab w:val="left" w:pos="426"/>
        </w:tabs>
        <w:spacing w:before="240" w:after="240" w:line="276" w:lineRule="auto"/>
        <w:ind w:left="0"/>
        <w:jc w:val="both"/>
        <w:rPr>
          <w:rFonts w:ascii="Palatino Linotype" w:eastAsia="MS Mincho" w:hAnsi="Palatino Linotype" w:cs="Times New Roman"/>
          <w:lang w:val="es-MX" w:eastAsia="en-US"/>
        </w:rPr>
      </w:pPr>
    </w:p>
    <w:p w14:paraId="62A59B1A" w14:textId="01844A72" w:rsidR="00B045A5" w:rsidRPr="00BA513A" w:rsidRDefault="00E21CFA"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eastAsia="MS Mincho" w:hAnsi="Palatino Linotype" w:cs="Times New Roman"/>
          <w:lang w:val="es-MX" w:eastAsia="en-US"/>
        </w:rPr>
        <w:t>La Comisionada Ponente con fundamento en lo dispuesto por el artículo 185 fracción II de la ley de la materia, a través del acuerdo de admisión de fecha</w:t>
      </w:r>
      <w:r w:rsidR="00B045A5" w:rsidRPr="00BA513A">
        <w:rPr>
          <w:rFonts w:ascii="Palatino Linotype" w:eastAsia="MS Mincho" w:hAnsi="Palatino Linotype" w:cs="Times New Roman"/>
          <w:b/>
          <w:lang w:val="es-MX" w:eastAsia="en-US"/>
        </w:rPr>
        <w:t xml:space="preserve"> veintiséis (26) de enero</w:t>
      </w:r>
      <w:r w:rsidRPr="00BA513A">
        <w:rPr>
          <w:rFonts w:ascii="Palatino Linotype" w:eastAsia="MS Mincho" w:hAnsi="Palatino Linotype" w:cs="Times New Roman"/>
          <w:lang w:val="es-MX" w:eastAsia="en-US"/>
        </w:rPr>
        <w:t xml:space="preserve"> de dos mil veintidós, puso a disposición de las partes el expediente electrónico vía </w:t>
      </w:r>
      <w:r w:rsidRPr="00BA513A">
        <w:rPr>
          <w:rFonts w:ascii="Palatino Linotype" w:eastAsia="MS Mincho" w:hAnsi="Palatino Linotype" w:cs="Times New Roman"/>
          <w:b/>
          <w:lang w:val="es-MX" w:eastAsia="en-US"/>
        </w:rPr>
        <w:t>SAIMEX</w:t>
      </w:r>
      <w:r w:rsidRPr="00BA513A">
        <w:rPr>
          <w:rFonts w:ascii="Palatino Linotype" w:eastAsia="MS Mincho" w:hAnsi="Palatino Linotype" w:cs="Times New Roman"/>
          <w:lang w:val="es-MX" w:eastAsia="en-US"/>
        </w:rPr>
        <w:t xml:space="preserve"> a efecto de que en un plazo máximo de siete días manifestaran lo que a derecho convinieran, ofrecieran pruebas y alegatos según corresponda al caso concreto, de esta forma para que el SUJETO OBLIGADO presentara el informe justificado procedente.</w:t>
      </w:r>
    </w:p>
    <w:p w14:paraId="323C983F" w14:textId="77777777" w:rsidR="00B045A5" w:rsidRPr="00BA513A" w:rsidRDefault="00B045A5" w:rsidP="007105DF">
      <w:pPr>
        <w:pStyle w:val="Prrafodelista"/>
        <w:tabs>
          <w:tab w:val="left" w:pos="426"/>
        </w:tabs>
        <w:spacing w:before="240" w:after="240" w:line="276" w:lineRule="auto"/>
        <w:ind w:left="0"/>
        <w:jc w:val="both"/>
        <w:rPr>
          <w:rFonts w:ascii="Palatino Linotype" w:eastAsia="MS Mincho" w:hAnsi="Palatino Linotype" w:cs="Times New Roman"/>
          <w:lang w:val="es-MX" w:eastAsia="en-US"/>
        </w:rPr>
      </w:pPr>
    </w:p>
    <w:p w14:paraId="76CB9588" w14:textId="31078FD4" w:rsidR="009A7331" w:rsidRPr="00BA513A" w:rsidRDefault="00B045A5"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hAnsi="Palatino Linotype" w:cs="Arial"/>
        </w:rPr>
        <w:t xml:space="preserve">El </w:t>
      </w:r>
      <w:r w:rsidRPr="00BA513A">
        <w:rPr>
          <w:rFonts w:ascii="Palatino Linotype" w:hAnsi="Palatino Linotype" w:cs="Arial"/>
          <w:b/>
        </w:rPr>
        <w:t>SUJETO OBLIGADO</w:t>
      </w:r>
      <w:r w:rsidRPr="00BA513A">
        <w:rPr>
          <w:rFonts w:ascii="Palatino Linotype" w:hAnsi="Palatino Linotype" w:cs="Arial"/>
        </w:rPr>
        <w:t xml:space="preserve"> no rindió informe justificado, por su parte el</w:t>
      </w:r>
      <w:r w:rsidRPr="00BA513A">
        <w:rPr>
          <w:rFonts w:ascii="Palatino Linotype" w:hAnsi="Palatino Linotype" w:cs="Arial"/>
          <w:b/>
        </w:rPr>
        <w:t xml:space="preserve"> RECURRENTE</w:t>
      </w:r>
      <w:r w:rsidRPr="00BA513A">
        <w:rPr>
          <w:rFonts w:ascii="Palatino Linotype" w:hAnsi="Palatino Linotype" w:cs="Arial"/>
        </w:rPr>
        <w:t xml:space="preserve"> fue omiso en realizar manifestaciones, presentar pruebas, alegatos o expresar lo que a su derecho conviniera y asistiera. </w:t>
      </w:r>
    </w:p>
    <w:p w14:paraId="0A258006" w14:textId="77777777" w:rsidR="00B045A5" w:rsidRPr="00BA513A" w:rsidRDefault="00B045A5"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29EABC2E" w14:textId="7EF4F5AB" w:rsidR="00F262CA" w:rsidRPr="00BA513A" w:rsidRDefault="00F24AD2"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t>La Comisionada Ponente decretó el</w:t>
      </w:r>
      <w:r w:rsidR="009A7331" w:rsidRPr="00BA513A">
        <w:rPr>
          <w:rFonts w:ascii="Palatino Linotype" w:eastAsia="MS Mincho" w:hAnsi="Palatino Linotype" w:cs="Times New Roman"/>
        </w:rPr>
        <w:t xml:space="preserve"> cierre de instrucción en fecha </w:t>
      </w:r>
      <w:r w:rsidR="00B045A5" w:rsidRPr="00BA513A">
        <w:rPr>
          <w:rFonts w:ascii="Palatino Linotype" w:eastAsia="MS Mincho" w:hAnsi="Palatino Linotype" w:cs="Times New Roman"/>
          <w:b/>
        </w:rPr>
        <w:t>nueve</w:t>
      </w:r>
      <w:r w:rsidR="009A7331" w:rsidRPr="00BA513A">
        <w:rPr>
          <w:rFonts w:ascii="Palatino Linotype" w:eastAsia="MS Mincho" w:hAnsi="Palatino Linotype" w:cs="Times New Roman"/>
        </w:rPr>
        <w:t xml:space="preserve"> </w:t>
      </w:r>
      <w:r w:rsidR="00B045A5" w:rsidRPr="00BA513A">
        <w:rPr>
          <w:rFonts w:ascii="Palatino Linotype" w:eastAsia="MS Mincho" w:hAnsi="Palatino Linotype" w:cs="Times New Roman"/>
          <w:b/>
        </w:rPr>
        <w:t xml:space="preserve">(09) de febrero </w:t>
      </w:r>
      <w:r w:rsidRPr="00BA513A">
        <w:rPr>
          <w:rFonts w:ascii="Palatino Linotype" w:eastAsia="MS Mincho" w:hAnsi="Palatino Linotype" w:cs="Times New Roman"/>
        </w:rPr>
        <w:t>de dos mil veintidós, a efecto de presentar al Pleno el correspondiente proyecto de resolución y-----------------------------------------------------------------------------</w:t>
      </w:r>
      <w:r w:rsidR="00F262CA" w:rsidRPr="00BA513A">
        <w:rPr>
          <w:rFonts w:ascii="Palatino Linotype" w:eastAsia="MS Mincho" w:hAnsi="Palatino Linotype" w:cs="Times New Roman"/>
        </w:rPr>
        <w:t>-</w:t>
      </w:r>
    </w:p>
    <w:p w14:paraId="2D41F9C4" w14:textId="77777777" w:rsidR="00F262CA" w:rsidRPr="00BA513A" w:rsidRDefault="00F262CA" w:rsidP="007105DF">
      <w:pPr>
        <w:pStyle w:val="Ttulo1"/>
        <w:spacing w:line="276" w:lineRule="auto"/>
        <w:jc w:val="center"/>
        <w:rPr>
          <w:rFonts w:ascii="Palatino Linotype" w:hAnsi="Palatino Linotype"/>
          <w:b/>
          <w:color w:val="000000" w:themeColor="text1"/>
          <w:sz w:val="24"/>
          <w:szCs w:val="24"/>
        </w:rPr>
      </w:pPr>
      <w:r w:rsidRPr="00BA513A">
        <w:rPr>
          <w:rFonts w:ascii="Palatino Linotype" w:hAnsi="Palatino Linotype"/>
          <w:b/>
          <w:color w:val="000000" w:themeColor="text1"/>
          <w:sz w:val="24"/>
          <w:szCs w:val="24"/>
        </w:rPr>
        <w:t>CONSIDERANDO</w:t>
      </w:r>
    </w:p>
    <w:p w14:paraId="5717B1DD" w14:textId="77777777" w:rsidR="00F262CA" w:rsidRPr="00BA513A" w:rsidRDefault="00F262CA" w:rsidP="007105DF">
      <w:pPr>
        <w:spacing w:line="276" w:lineRule="auto"/>
        <w:rPr>
          <w:rFonts w:ascii="Palatino Linotype" w:hAnsi="Palatino Linotype"/>
          <w:lang w:val="es-MX" w:eastAsia="en-US"/>
        </w:rPr>
      </w:pPr>
    </w:p>
    <w:p w14:paraId="430F4713" w14:textId="77777777" w:rsidR="00F262CA" w:rsidRPr="00BA513A" w:rsidRDefault="00F262CA" w:rsidP="007105DF">
      <w:pPr>
        <w:pStyle w:val="Ttulo2"/>
        <w:spacing w:line="276" w:lineRule="auto"/>
        <w:rPr>
          <w:rFonts w:ascii="Palatino Linotype" w:hAnsi="Palatino Linotype"/>
          <w:b/>
          <w:color w:val="auto"/>
          <w:sz w:val="24"/>
          <w:szCs w:val="24"/>
        </w:rPr>
      </w:pPr>
      <w:r w:rsidRPr="00BA513A">
        <w:rPr>
          <w:rFonts w:ascii="Palatino Linotype" w:hAnsi="Palatino Linotype"/>
          <w:b/>
          <w:color w:val="auto"/>
          <w:sz w:val="24"/>
          <w:szCs w:val="24"/>
        </w:rPr>
        <w:t>PRIMERO. De la competencia</w:t>
      </w:r>
    </w:p>
    <w:p w14:paraId="3C266AEF" w14:textId="77777777" w:rsidR="00F262CA" w:rsidRPr="00BA513A" w:rsidRDefault="00F262CA"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28E13428" w14:textId="77777777" w:rsidR="00F262CA" w:rsidRPr="00BA513A" w:rsidRDefault="00353F1D"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hAnsi="Palatino Linotype"/>
          <w:color w:val="000000" w:themeColor="text1"/>
        </w:rPr>
        <w:lastRenderedPageBreak/>
        <w:t xml:space="preserve">El </w:t>
      </w:r>
      <w:r w:rsidRPr="00BA513A">
        <w:rPr>
          <w:rFonts w:ascii="Palatino Linotype" w:hAnsi="Palatino Linotype"/>
        </w:rPr>
        <w:t>Instituto</w:t>
      </w:r>
      <w:r w:rsidRPr="00BA513A">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29ABA7F" w14:textId="77777777" w:rsidR="00F262CA" w:rsidRPr="00BA513A" w:rsidRDefault="00F262CA" w:rsidP="007105DF">
      <w:pPr>
        <w:pStyle w:val="Ttulo2"/>
        <w:spacing w:line="276" w:lineRule="auto"/>
        <w:rPr>
          <w:rFonts w:ascii="Palatino Linotype" w:hAnsi="Palatino Linotype"/>
          <w:b/>
          <w:color w:val="auto"/>
          <w:sz w:val="24"/>
          <w:szCs w:val="24"/>
        </w:rPr>
      </w:pPr>
      <w:bookmarkStart w:id="3" w:name="_Toc491791304"/>
      <w:bookmarkStart w:id="4" w:name="_Toc83128580"/>
      <w:r w:rsidRPr="00BA513A">
        <w:rPr>
          <w:rFonts w:ascii="Palatino Linotype" w:hAnsi="Palatino Linotype"/>
          <w:b/>
          <w:color w:val="auto"/>
          <w:sz w:val="24"/>
          <w:szCs w:val="24"/>
        </w:rPr>
        <w:t>SEGUNDO. De la oportunidad y procedencia.</w:t>
      </w:r>
      <w:bookmarkEnd w:id="3"/>
      <w:bookmarkEnd w:id="4"/>
    </w:p>
    <w:p w14:paraId="64F17D6A" w14:textId="77777777" w:rsidR="00530E72" w:rsidRPr="00BA513A" w:rsidRDefault="00530E72" w:rsidP="007105DF">
      <w:pPr>
        <w:spacing w:line="276" w:lineRule="auto"/>
        <w:rPr>
          <w:rFonts w:ascii="Palatino Linotype" w:hAnsi="Palatino Linotype"/>
        </w:rPr>
      </w:pPr>
    </w:p>
    <w:p w14:paraId="0A364C64" w14:textId="7EF967C7" w:rsidR="001232BE" w:rsidRPr="00BA513A" w:rsidRDefault="001E3956" w:rsidP="007105DF">
      <w:pPr>
        <w:pStyle w:val="Prrafodelista"/>
        <w:numPr>
          <w:ilvl w:val="0"/>
          <w:numId w:val="38"/>
        </w:numPr>
        <w:spacing w:after="160" w:line="276" w:lineRule="auto"/>
        <w:ind w:left="0" w:right="49" w:firstLine="0"/>
        <w:jc w:val="both"/>
        <w:rPr>
          <w:rFonts w:ascii="Palatino Linotype" w:eastAsia="MS Mincho" w:hAnsi="Palatino Linotype" w:cs="Times New Roman"/>
          <w:lang w:val="es-MX" w:eastAsia="en-US"/>
        </w:rPr>
      </w:pPr>
      <w:r w:rsidRPr="00BA513A">
        <w:rPr>
          <w:rFonts w:ascii="Palatino Linotype" w:eastAsia="Calibri" w:hAnsi="Palatino Linotype" w:cs="Arial"/>
        </w:rPr>
        <w:t xml:space="preserve">El medio de impugnación fue presentado a través del </w:t>
      </w:r>
      <w:r w:rsidRPr="00BA513A">
        <w:rPr>
          <w:rFonts w:ascii="Palatino Linotype" w:eastAsia="Calibri" w:hAnsi="Palatino Linotype" w:cs="Arial"/>
          <w:b/>
        </w:rPr>
        <w:t>SAIMEX,</w:t>
      </w:r>
      <w:r w:rsidRPr="00BA513A">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BA513A">
        <w:rPr>
          <w:rFonts w:ascii="Palatino Linotype" w:eastAsia="Calibri" w:hAnsi="Palatino Linotype" w:cs="Arial"/>
          <w:b/>
        </w:rPr>
        <w:t>SUJETO OBLIGADO</w:t>
      </w:r>
      <w:r w:rsidRPr="00BA513A">
        <w:rPr>
          <w:rFonts w:ascii="Palatino Linotype" w:eastAsia="Calibri" w:hAnsi="Palatino Linotype" w:cs="Arial"/>
        </w:rPr>
        <w:t xml:space="preserve"> entregó respuesta el d</w:t>
      </w:r>
      <w:r w:rsidR="001232BE" w:rsidRPr="00BA513A">
        <w:rPr>
          <w:rFonts w:ascii="Palatino Linotype" w:eastAsia="Calibri" w:hAnsi="Palatino Linotype" w:cs="Arial"/>
        </w:rPr>
        <w:t xml:space="preserve">ía </w:t>
      </w:r>
      <w:r w:rsidR="00B045A5" w:rsidRPr="00BA513A">
        <w:rPr>
          <w:rFonts w:ascii="Palatino Linotype" w:eastAsia="Calibri" w:hAnsi="Palatino Linotype" w:cs="Arial"/>
          <w:b/>
        </w:rPr>
        <w:t>diecisiete (17</w:t>
      </w:r>
      <w:r w:rsidRPr="00BA513A">
        <w:rPr>
          <w:rFonts w:ascii="Palatino Linotype" w:eastAsia="Calibri" w:hAnsi="Palatino Linotype" w:cs="Arial"/>
          <w:b/>
        </w:rPr>
        <w:t>) de</w:t>
      </w:r>
      <w:r w:rsidR="001232BE" w:rsidRPr="00BA513A">
        <w:rPr>
          <w:rFonts w:ascii="Palatino Linotype" w:eastAsia="Calibri" w:hAnsi="Palatino Linotype" w:cs="Arial"/>
          <w:b/>
        </w:rPr>
        <w:t xml:space="preserve"> enero</w:t>
      </w:r>
      <w:r w:rsidRPr="00BA513A">
        <w:rPr>
          <w:rFonts w:ascii="Palatino Linotype" w:eastAsia="Calibri" w:hAnsi="Palatino Linotype" w:cs="Arial"/>
        </w:rPr>
        <w:t xml:space="preserve"> </w:t>
      </w:r>
      <w:r w:rsidR="001232BE" w:rsidRPr="00BA513A">
        <w:rPr>
          <w:rFonts w:ascii="Palatino Linotype" w:eastAsia="Calibri" w:hAnsi="Palatino Linotype" w:cs="Arial"/>
        </w:rPr>
        <w:t>de dos mil veintidós</w:t>
      </w:r>
      <w:r w:rsidRPr="00BA513A">
        <w:rPr>
          <w:rFonts w:ascii="Palatino Linotype" w:eastAsia="Calibri" w:hAnsi="Palatino Linotype" w:cs="Arial"/>
          <w:lang w:val="es-MX" w:eastAsia="en-US"/>
        </w:rPr>
        <w:t xml:space="preserve">, el plazo para interponer el recurso de revisión </w:t>
      </w:r>
      <w:r w:rsidR="001232BE" w:rsidRPr="00BA513A">
        <w:rPr>
          <w:rFonts w:ascii="Palatino Linotype" w:eastAsia="Calibri" w:hAnsi="Palatino Linotype" w:cs="Arial"/>
          <w:lang w:val="es-MX" w:eastAsia="en-US"/>
        </w:rPr>
        <w:t xml:space="preserve">trascurrió del </w:t>
      </w:r>
      <w:r w:rsidR="00B045A5" w:rsidRPr="00BA513A">
        <w:rPr>
          <w:rFonts w:ascii="Palatino Linotype" w:eastAsia="Calibri" w:hAnsi="Palatino Linotype" w:cs="Arial"/>
          <w:b/>
          <w:lang w:val="es-MX" w:eastAsia="en-US"/>
        </w:rPr>
        <w:t>dieciocho (18</w:t>
      </w:r>
      <w:r w:rsidRPr="00BA513A">
        <w:rPr>
          <w:rFonts w:ascii="Palatino Linotype" w:eastAsia="Calibri" w:hAnsi="Palatino Linotype" w:cs="Arial"/>
          <w:b/>
          <w:lang w:val="es-MX" w:eastAsia="en-US"/>
        </w:rPr>
        <w:t>) de</w:t>
      </w:r>
      <w:r w:rsidR="00B045A5" w:rsidRPr="00BA513A">
        <w:rPr>
          <w:rFonts w:ascii="Palatino Linotype" w:eastAsia="Calibri" w:hAnsi="Palatino Linotype" w:cs="Arial"/>
          <w:b/>
          <w:lang w:val="es-MX" w:eastAsia="en-US"/>
        </w:rPr>
        <w:t xml:space="preserve"> enero</w:t>
      </w:r>
      <w:r w:rsidRPr="00BA513A">
        <w:rPr>
          <w:rFonts w:ascii="Palatino Linotype" w:eastAsia="Calibri" w:hAnsi="Palatino Linotype" w:cs="Arial"/>
          <w:lang w:val="es-MX" w:eastAsia="en-US"/>
        </w:rPr>
        <w:t xml:space="preserve"> dos mil </w:t>
      </w:r>
      <w:r w:rsidR="001232BE" w:rsidRPr="00BA513A">
        <w:rPr>
          <w:rFonts w:ascii="Palatino Linotype" w:eastAsia="Calibri" w:hAnsi="Palatino Linotype" w:cs="Arial"/>
          <w:lang w:val="es-MX" w:eastAsia="en-US"/>
        </w:rPr>
        <w:t>veintidós</w:t>
      </w:r>
      <w:r w:rsidRPr="00BA513A">
        <w:rPr>
          <w:rFonts w:ascii="Palatino Linotype" w:eastAsia="Calibri" w:hAnsi="Palatino Linotype" w:cs="Arial"/>
          <w:lang w:val="es-MX" w:eastAsia="en-US"/>
        </w:rPr>
        <w:t xml:space="preserve"> </w:t>
      </w:r>
      <w:r w:rsidR="00B045A5" w:rsidRPr="00BA513A">
        <w:rPr>
          <w:rFonts w:ascii="Palatino Linotype" w:eastAsia="Calibri" w:hAnsi="Palatino Linotype" w:cs="Arial"/>
          <w:b/>
          <w:lang w:val="es-MX" w:eastAsia="en-US"/>
        </w:rPr>
        <w:t>al ocho (08</w:t>
      </w:r>
      <w:r w:rsidR="001232BE" w:rsidRPr="00BA513A">
        <w:rPr>
          <w:rFonts w:ascii="Palatino Linotype" w:eastAsia="Calibri" w:hAnsi="Palatino Linotype" w:cs="Arial"/>
          <w:b/>
          <w:lang w:val="es-MX" w:eastAsia="en-US"/>
        </w:rPr>
        <w:t>) de febrero</w:t>
      </w:r>
      <w:r w:rsidRPr="00BA513A">
        <w:rPr>
          <w:rFonts w:ascii="Palatino Linotype" w:eastAsia="Calibri" w:hAnsi="Palatino Linotype" w:cs="Arial"/>
          <w:lang w:val="es-MX" w:eastAsia="en-US"/>
        </w:rPr>
        <w:t xml:space="preserve"> de dos mil veintidós, por lo que si el particular interpuso recurso de revisión el </w:t>
      </w:r>
      <w:r w:rsidR="00B045A5" w:rsidRPr="00BA513A">
        <w:rPr>
          <w:rFonts w:ascii="Palatino Linotype" w:eastAsia="Calibri" w:hAnsi="Palatino Linotype" w:cs="Arial"/>
          <w:b/>
          <w:lang w:val="es-MX" w:eastAsia="en-US"/>
        </w:rPr>
        <w:t>veinticuatro (24</w:t>
      </w:r>
      <w:r w:rsidRPr="00BA513A">
        <w:rPr>
          <w:rFonts w:ascii="Palatino Linotype" w:eastAsia="Calibri" w:hAnsi="Palatino Linotype" w:cs="Arial"/>
          <w:b/>
          <w:lang w:val="es-MX" w:eastAsia="en-US"/>
        </w:rPr>
        <w:t>) de</w:t>
      </w:r>
      <w:r w:rsidR="00B045A5" w:rsidRPr="00BA513A">
        <w:rPr>
          <w:rFonts w:ascii="Palatino Linotype" w:eastAsia="Calibri" w:hAnsi="Palatino Linotype" w:cs="Arial"/>
          <w:b/>
          <w:lang w:val="es-MX" w:eastAsia="en-US"/>
        </w:rPr>
        <w:t xml:space="preserve"> enero</w:t>
      </w:r>
      <w:r w:rsidR="001232BE" w:rsidRPr="00BA513A">
        <w:rPr>
          <w:rFonts w:ascii="Palatino Linotype" w:eastAsia="Calibri" w:hAnsi="Palatino Linotype" w:cs="Arial"/>
          <w:lang w:val="es-MX" w:eastAsia="en-US"/>
        </w:rPr>
        <w:t xml:space="preserve"> de dos mil veintidós</w:t>
      </w:r>
      <w:r w:rsidR="00B045A5" w:rsidRPr="00BA513A">
        <w:rPr>
          <w:rFonts w:ascii="Palatino Linotype" w:eastAsia="Calibri" w:hAnsi="Palatino Linotype" w:cs="Arial"/>
          <w:lang w:val="es-MX" w:eastAsia="en-US"/>
        </w:rPr>
        <w:t xml:space="preserve">, </w:t>
      </w:r>
      <w:r w:rsidR="00B045A5" w:rsidRPr="00BA513A">
        <w:rPr>
          <w:rFonts w:ascii="Palatino Linotype" w:eastAsia="MS Mincho" w:hAnsi="Palatino Linotype" w:cs="Times New Roman"/>
          <w:lang w:val="es-MX" w:eastAsia="en-US"/>
        </w:rPr>
        <w:t xml:space="preserve"> </w:t>
      </w:r>
      <w:r w:rsidR="00B045A5" w:rsidRPr="00BA513A">
        <w:rPr>
          <w:rFonts w:ascii="Palatino Linotype" w:hAnsi="Palatino Linotype" w:cs="Arial"/>
        </w:rPr>
        <w:t xml:space="preserve">éste se encuentran dentro de los márgenes temporales previstos en el artículo 178 de la </w:t>
      </w:r>
      <w:r w:rsidR="00B045A5" w:rsidRPr="00BA513A">
        <w:rPr>
          <w:rFonts w:ascii="Palatino Linotype" w:hAnsi="Palatino Linotype" w:cs="Arial"/>
          <w:b/>
        </w:rPr>
        <w:t>Ley de Transparencia y Acceso a la Información Pública del Estado de México y Municipios</w:t>
      </w:r>
      <w:r w:rsidR="00B045A5" w:rsidRPr="00BA513A">
        <w:rPr>
          <w:rFonts w:ascii="Palatino Linotype" w:hAnsi="Palatino Linotype" w:cs="Arial"/>
        </w:rPr>
        <w:t>.</w:t>
      </w:r>
    </w:p>
    <w:p w14:paraId="410F4B95" w14:textId="77777777" w:rsidR="00F30462" w:rsidRPr="00BA513A" w:rsidRDefault="00F30462" w:rsidP="007105DF">
      <w:pPr>
        <w:pStyle w:val="Prrafodelista"/>
        <w:spacing w:after="160" w:line="276" w:lineRule="auto"/>
        <w:ind w:left="0" w:right="49"/>
        <w:jc w:val="both"/>
        <w:rPr>
          <w:rFonts w:ascii="Palatino Linotype" w:eastAsia="MS Mincho" w:hAnsi="Palatino Linotype" w:cs="Times New Roman"/>
          <w:lang w:val="es-MX" w:eastAsia="en-US"/>
        </w:rPr>
      </w:pPr>
    </w:p>
    <w:p w14:paraId="06036DBF" w14:textId="77777777" w:rsidR="001E3956" w:rsidRPr="00BA513A" w:rsidRDefault="001E3956"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hAnsi="Palatino Linotype"/>
          <w:color w:val="000000" w:themeColor="text1"/>
        </w:rPr>
        <w:t xml:space="preserve">Por </w:t>
      </w:r>
      <w:r w:rsidRPr="00BA513A">
        <w:rPr>
          <w:rFonts w:ascii="Palatino Linotype" w:hAnsi="Palatino Linotype"/>
          <w:color w:val="000000" w:themeColor="text1"/>
          <w:lang w:val="es-ES"/>
        </w:rPr>
        <w:t xml:space="preserve">otro lado, de la revisión al expediente electrónico contenido en el sistema </w:t>
      </w:r>
      <w:r w:rsidRPr="00BA513A">
        <w:rPr>
          <w:rFonts w:ascii="Palatino Linotype" w:hAnsi="Palatino Linotype"/>
          <w:b/>
          <w:color w:val="000000" w:themeColor="text1"/>
          <w:lang w:val="es-ES"/>
        </w:rPr>
        <w:t>SAIMEX,</w:t>
      </w:r>
      <w:r w:rsidRPr="00BA513A">
        <w:rPr>
          <w:rFonts w:ascii="Palatino Linotype" w:hAnsi="Palatino Linotype"/>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BA513A">
        <w:rPr>
          <w:rFonts w:ascii="Palatino Linotype" w:hAnsi="Palatino Linotype"/>
          <w:b/>
          <w:color w:val="000000" w:themeColor="text1"/>
          <w:lang w:val="es-ES"/>
        </w:rPr>
        <w:t>no señaló su nombre para ser identificado, ni se tiene certeza sobre su identidad.</w:t>
      </w:r>
      <w:r w:rsidRPr="00BA513A">
        <w:rPr>
          <w:rFonts w:ascii="Palatino Linotype" w:hAnsi="Palatino Linotype"/>
          <w:color w:val="000000" w:themeColor="text1"/>
          <w:lang w:val="es-ES"/>
        </w:rPr>
        <w:t xml:space="preserve"> Sin embargo, es importante señalar que </w:t>
      </w:r>
      <w:r w:rsidRPr="00BA513A">
        <w:rPr>
          <w:rFonts w:ascii="Palatino Linotype" w:hAnsi="Palatino Linotype"/>
          <w:color w:val="000000" w:themeColor="text1"/>
        </w:rPr>
        <w:t xml:space="preserve">el nombre de los Solicitantes y Recurrentes no es un requisito </w:t>
      </w:r>
      <w:r w:rsidRPr="00BA513A">
        <w:rPr>
          <w:rFonts w:ascii="Palatino Linotype" w:hAnsi="Palatino Linotype"/>
          <w:color w:val="000000" w:themeColor="text1"/>
        </w:rPr>
        <w:lastRenderedPageBreak/>
        <w:t>indispensable para la tramitación del acto procesal específico en materia de acceso a la información, ello en estricto apego al numeral 155 párrafo tercero de la Ley de la materia, en concatenación con el 180 del mismo ordenamiento.</w:t>
      </w:r>
    </w:p>
    <w:p w14:paraId="4C95F680" w14:textId="77777777" w:rsidR="001E3956" w:rsidRPr="00BA513A" w:rsidRDefault="001E3956" w:rsidP="007105DF">
      <w:pPr>
        <w:pStyle w:val="Prrafodelista"/>
        <w:tabs>
          <w:tab w:val="left" w:pos="426"/>
        </w:tabs>
        <w:spacing w:before="240" w:after="240" w:line="276" w:lineRule="auto"/>
        <w:ind w:left="0"/>
        <w:jc w:val="both"/>
        <w:rPr>
          <w:rFonts w:ascii="Palatino Linotype" w:eastAsia="MS Mincho" w:hAnsi="Palatino Linotype" w:cs="Times New Roman"/>
          <w:lang w:val="es-MX" w:eastAsia="en-US"/>
        </w:rPr>
      </w:pPr>
    </w:p>
    <w:p w14:paraId="301E7C98" w14:textId="77777777" w:rsidR="001E3956" w:rsidRPr="00BA513A" w:rsidRDefault="001E3956"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eastAsia="Calibri" w:hAnsi="Palatino Linotype" w:cs="Arial"/>
          <w:color w:val="000000" w:themeColor="text1"/>
        </w:rPr>
        <w:t xml:space="preserve">Esto </w:t>
      </w:r>
      <w:r w:rsidRPr="00BA513A">
        <w:rPr>
          <w:rFonts w:ascii="Palatino Linotype" w:hAnsi="Palatino Linotype" w:cs="Arial"/>
          <w:color w:val="000000" w:themeColor="text1"/>
          <w:lang w:val="es-ES"/>
        </w:rPr>
        <w:t xml:space="preserve">es así, ya que de conformidad con los artículos 6, apartado A, fracciones III y IV de la </w:t>
      </w:r>
      <w:r w:rsidRPr="00BA513A">
        <w:rPr>
          <w:rFonts w:ascii="Palatino Linotype" w:hAnsi="Palatino Linotype" w:cs="Arial"/>
          <w:b/>
          <w:color w:val="000000" w:themeColor="text1"/>
          <w:lang w:val="es-ES"/>
        </w:rPr>
        <w:t>Constitución Política de los Estados Unidos Mexicanos</w:t>
      </w:r>
      <w:r w:rsidRPr="00BA513A">
        <w:rPr>
          <w:rFonts w:ascii="Palatino Linotype" w:hAnsi="Palatino Linotype" w:cs="Arial"/>
          <w:color w:val="000000" w:themeColor="text1"/>
          <w:lang w:val="es-ES"/>
        </w:rPr>
        <w:t xml:space="preserve">; 5, párrafos trigésimo, trigésimo primero y trigésimo segundo, fracciones III, IV y V, de la </w:t>
      </w:r>
      <w:r w:rsidRPr="00BA513A">
        <w:rPr>
          <w:rFonts w:ascii="Palatino Linotype" w:hAnsi="Palatino Linotype" w:cs="Arial"/>
          <w:b/>
          <w:color w:val="000000" w:themeColor="text1"/>
          <w:lang w:val="es-ES"/>
        </w:rPr>
        <w:t>Constitución Política del Estado Libre y Soberano de México</w:t>
      </w:r>
      <w:r w:rsidRPr="00BA513A">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C9EA2DF" w14:textId="77777777" w:rsidR="00B9167F" w:rsidRPr="00BA513A" w:rsidRDefault="00B9167F" w:rsidP="007105DF">
      <w:pPr>
        <w:pStyle w:val="Prrafodelista"/>
        <w:tabs>
          <w:tab w:val="left" w:pos="426"/>
        </w:tabs>
        <w:spacing w:before="240" w:after="240" w:line="276" w:lineRule="auto"/>
        <w:ind w:left="0"/>
        <w:jc w:val="both"/>
        <w:rPr>
          <w:rFonts w:ascii="Palatino Linotype" w:eastAsia="MS Mincho" w:hAnsi="Palatino Linotype" w:cs="Times New Roman"/>
          <w:lang w:val="es-MX" w:eastAsia="en-US"/>
        </w:rPr>
      </w:pPr>
    </w:p>
    <w:p w14:paraId="0CDAFBB6" w14:textId="77777777" w:rsidR="001E3956" w:rsidRPr="00BA513A" w:rsidRDefault="001E3956"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eastAsia="Calibri" w:hAnsi="Palatino Linotype" w:cs="Arial"/>
          <w:color w:val="000000" w:themeColor="text1"/>
        </w:rPr>
        <w:t xml:space="preserve">Por </w:t>
      </w:r>
      <w:r w:rsidRPr="00BA513A">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F73F85" w14:textId="77777777" w:rsidR="001E3956" w:rsidRPr="00BA513A" w:rsidRDefault="001E3956" w:rsidP="007105DF">
      <w:pPr>
        <w:pStyle w:val="Prrafodelista"/>
        <w:tabs>
          <w:tab w:val="left" w:pos="426"/>
        </w:tabs>
        <w:spacing w:before="240" w:after="240" w:line="276" w:lineRule="auto"/>
        <w:ind w:left="0"/>
        <w:jc w:val="both"/>
        <w:rPr>
          <w:rFonts w:ascii="Palatino Linotype" w:eastAsia="MS Mincho" w:hAnsi="Palatino Linotype" w:cs="Times New Roman"/>
          <w:lang w:val="es-MX" w:eastAsia="en-US"/>
        </w:rPr>
      </w:pPr>
    </w:p>
    <w:p w14:paraId="734CB950" w14:textId="77777777" w:rsidR="001E3956" w:rsidRPr="00BA513A" w:rsidRDefault="001E3956"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eastAsia="Calibri" w:hAnsi="Palatino Linotype" w:cs="Arial"/>
          <w:color w:val="000000" w:themeColor="text1"/>
        </w:rPr>
        <w:t xml:space="preserve">Asimismo, </w:t>
      </w:r>
      <w:r w:rsidRPr="00BA513A">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16E36C2" w14:textId="77777777" w:rsidR="001E3956" w:rsidRPr="00BA513A" w:rsidRDefault="001E3956" w:rsidP="007105DF">
      <w:pPr>
        <w:pStyle w:val="Prrafodelista"/>
        <w:tabs>
          <w:tab w:val="left" w:pos="426"/>
        </w:tabs>
        <w:spacing w:before="240" w:after="240" w:line="276" w:lineRule="auto"/>
        <w:ind w:left="0"/>
        <w:jc w:val="both"/>
        <w:rPr>
          <w:rFonts w:ascii="Palatino Linotype" w:eastAsia="MS Mincho" w:hAnsi="Palatino Linotype" w:cs="Times New Roman"/>
          <w:lang w:val="es-MX" w:eastAsia="en-US"/>
        </w:rPr>
      </w:pPr>
    </w:p>
    <w:p w14:paraId="5C37A4B0" w14:textId="77777777" w:rsidR="001E3956" w:rsidRPr="00BA513A" w:rsidRDefault="001E3956"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eastAsia="Calibri" w:hAnsi="Palatino Linotype" w:cs="Arial"/>
          <w:color w:val="000000" w:themeColor="text1"/>
        </w:rPr>
        <w:t xml:space="preserve">De </w:t>
      </w:r>
      <w:r w:rsidRPr="00BA513A">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DB5E993" w14:textId="77777777" w:rsidR="001E3956" w:rsidRPr="00BA513A" w:rsidRDefault="001E3956" w:rsidP="007105DF">
      <w:pPr>
        <w:pStyle w:val="Prrafodelista"/>
        <w:tabs>
          <w:tab w:val="left" w:pos="426"/>
        </w:tabs>
        <w:spacing w:before="240" w:after="240" w:line="276" w:lineRule="auto"/>
        <w:ind w:left="0"/>
        <w:jc w:val="both"/>
        <w:rPr>
          <w:rFonts w:ascii="Palatino Linotype" w:eastAsia="MS Mincho" w:hAnsi="Palatino Linotype" w:cs="Times New Roman"/>
          <w:lang w:val="es-MX" w:eastAsia="en-US"/>
        </w:rPr>
      </w:pPr>
    </w:p>
    <w:p w14:paraId="26CE8CFD" w14:textId="77777777" w:rsidR="001E3956" w:rsidRPr="00BA513A" w:rsidRDefault="001E3956"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eastAsia="Calibri" w:hAnsi="Palatino Linotype" w:cs="Arial"/>
          <w:color w:val="000000" w:themeColor="text1"/>
        </w:rPr>
        <w:t xml:space="preserve">Por </w:t>
      </w:r>
      <w:r w:rsidRPr="00BA513A">
        <w:rPr>
          <w:rFonts w:ascii="Palatino Linotype" w:eastAsia="Calibri" w:hAnsi="Palatino Linotype" w:cs="Arial"/>
        </w:rPr>
        <w:t xml:space="preserve">lo tanto, </w:t>
      </w:r>
      <w:r w:rsidRPr="00BA513A">
        <w:rPr>
          <w:rFonts w:ascii="Palatino Linotype" w:eastAsia="Times New Roman" w:hAnsi="Palatino Linotype" w:cs="Arial"/>
          <w:color w:val="000000" w:themeColor="text1"/>
          <w:lang w:val="es-ES" w:eastAsia="es-MX"/>
        </w:rPr>
        <w:t xml:space="preserve">el nombre de la </w:t>
      </w:r>
      <w:r w:rsidRPr="00BA513A">
        <w:rPr>
          <w:rFonts w:ascii="Palatino Linotype" w:eastAsia="Times New Roman" w:hAnsi="Palatino Linotype" w:cs="Arial"/>
          <w:b/>
          <w:color w:val="000000" w:themeColor="text1"/>
          <w:lang w:val="es-ES" w:eastAsia="es-MX"/>
        </w:rPr>
        <w:t>SOLICITANTE</w:t>
      </w:r>
      <w:r w:rsidRPr="00BA513A">
        <w:rPr>
          <w:rFonts w:ascii="Palatino Linotype" w:eastAsia="Times New Roman" w:hAnsi="Palatino Linotype" w:cs="Arial"/>
          <w:color w:val="000000" w:themeColor="text1"/>
          <w:lang w:val="es-ES" w:eastAsia="es-MX"/>
        </w:rPr>
        <w:t xml:space="preserve"> y subsecuente </w:t>
      </w:r>
      <w:r w:rsidRPr="00BA513A">
        <w:rPr>
          <w:rFonts w:ascii="Palatino Linotype" w:eastAsia="Times New Roman" w:hAnsi="Palatino Linotype" w:cs="Arial"/>
          <w:b/>
          <w:color w:val="000000" w:themeColor="text1"/>
          <w:lang w:val="es-ES" w:eastAsia="es-MX"/>
        </w:rPr>
        <w:t>RECURRENTE</w:t>
      </w:r>
      <w:r w:rsidRPr="00BA513A">
        <w:rPr>
          <w:rFonts w:ascii="Palatino Linotype" w:eastAsia="Times New Roman" w:hAnsi="Palatino Linotype" w:cs="Arial"/>
          <w:color w:val="000000" w:themeColor="text1"/>
          <w:lang w:val="es-ES" w:eastAsia="es-MX"/>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D037E8E" w14:textId="77777777" w:rsidR="001E3956" w:rsidRPr="00BA513A" w:rsidRDefault="001E3956" w:rsidP="007105DF">
      <w:pPr>
        <w:pStyle w:val="Prrafodelista"/>
        <w:tabs>
          <w:tab w:val="left" w:pos="426"/>
        </w:tabs>
        <w:spacing w:before="240" w:after="240" w:line="276" w:lineRule="auto"/>
        <w:ind w:left="0"/>
        <w:jc w:val="both"/>
        <w:rPr>
          <w:rFonts w:ascii="Palatino Linotype" w:eastAsia="MS Mincho" w:hAnsi="Palatino Linotype" w:cs="Times New Roman"/>
          <w:lang w:val="es-MX" w:eastAsia="en-US"/>
        </w:rPr>
      </w:pPr>
    </w:p>
    <w:p w14:paraId="6A1AF3B6" w14:textId="77777777" w:rsidR="001E3956" w:rsidRPr="00BA513A" w:rsidRDefault="001E3956"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lang w:val="es-MX" w:eastAsia="en-US"/>
        </w:rPr>
      </w:pPr>
      <w:r w:rsidRPr="00BA513A">
        <w:rPr>
          <w:rFonts w:ascii="Palatino Linotype" w:eastAsia="Calibri" w:hAnsi="Palatino Linotype" w:cs="Arial"/>
          <w:color w:val="000000" w:themeColor="text1"/>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7047D10" w14:textId="77777777" w:rsidR="009F09BC" w:rsidRPr="00BA513A" w:rsidRDefault="009F09BC" w:rsidP="007105DF">
      <w:pPr>
        <w:pStyle w:val="Ttulo1"/>
        <w:spacing w:line="276" w:lineRule="auto"/>
        <w:rPr>
          <w:rFonts w:ascii="Palatino Linotype" w:hAnsi="Palatino Linotype"/>
          <w:b/>
          <w:color w:val="000000" w:themeColor="text1"/>
          <w:sz w:val="24"/>
          <w:szCs w:val="24"/>
        </w:rPr>
      </w:pPr>
      <w:bookmarkStart w:id="5" w:name="_Toc34246179"/>
      <w:bookmarkStart w:id="6" w:name="_Toc50033991"/>
      <w:bookmarkStart w:id="7" w:name="_Toc51259588"/>
      <w:bookmarkStart w:id="8" w:name="_Toc83128581"/>
      <w:r w:rsidRPr="00BA513A">
        <w:rPr>
          <w:rFonts w:ascii="Palatino Linotype" w:hAnsi="Palatino Linotype"/>
          <w:b/>
          <w:color w:val="000000" w:themeColor="text1"/>
          <w:sz w:val="24"/>
          <w:szCs w:val="24"/>
        </w:rPr>
        <w:t xml:space="preserve">TERCERO. </w:t>
      </w:r>
      <w:bookmarkStart w:id="9" w:name="_Toc501021589"/>
      <w:r w:rsidRPr="00BA513A">
        <w:rPr>
          <w:rFonts w:ascii="Palatino Linotype" w:hAnsi="Palatino Linotype"/>
          <w:b/>
          <w:color w:val="000000" w:themeColor="text1"/>
          <w:sz w:val="24"/>
          <w:szCs w:val="24"/>
        </w:rPr>
        <w:t xml:space="preserve">Del planteamiento de la </w:t>
      </w:r>
      <w:r w:rsidRPr="00BA513A">
        <w:rPr>
          <w:rFonts w:ascii="Palatino Linotype" w:hAnsi="Palatino Linotype"/>
          <w:b/>
          <w:i/>
          <w:color w:val="000000" w:themeColor="text1"/>
          <w:sz w:val="24"/>
          <w:szCs w:val="24"/>
        </w:rPr>
        <w:t>Litis</w:t>
      </w:r>
      <w:r w:rsidRPr="00BA513A">
        <w:rPr>
          <w:rFonts w:ascii="Palatino Linotype" w:hAnsi="Palatino Linotype"/>
          <w:b/>
          <w:color w:val="000000" w:themeColor="text1"/>
          <w:sz w:val="24"/>
          <w:szCs w:val="24"/>
        </w:rPr>
        <w:t>.</w:t>
      </w:r>
      <w:bookmarkEnd w:id="5"/>
      <w:bookmarkEnd w:id="6"/>
      <w:bookmarkEnd w:id="7"/>
      <w:bookmarkEnd w:id="8"/>
      <w:bookmarkEnd w:id="9"/>
    </w:p>
    <w:p w14:paraId="723E9086" w14:textId="77777777" w:rsidR="00530E72" w:rsidRPr="00BA513A" w:rsidRDefault="001232BE"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Calibri" w:hAnsi="Palatino Linotype" w:cs="Tahoma"/>
          <w:iCs/>
          <w:lang w:val="es-ES" w:eastAsia="es-ES_tradnl"/>
        </w:rPr>
        <w:t>El recurso revisión tiene como finalidad reparar cualquier posible afectación al derecho de acceso a la información pública en términos del Título Octavo de</w:t>
      </w:r>
      <w:r w:rsidRPr="00BA513A">
        <w:rPr>
          <w:rFonts w:ascii="Palatino Linotype" w:eastAsia="Calibri" w:hAnsi="Palatino Linotype" w:cs="Tahoma"/>
          <w:iCs/>
          <w:color w:val="000000" w:themeColor="text1"/>
          <w:lang w:val="es-ES" w:eastAsia="es-ES_tradnl"/>
        </w:rPr>
        <w:t xml:space="preserve"> </w:t>
      </w:r>
      <w:r w:rsidRPr="00BA513A">
        <w:rPr>
          <w:rFonts w:ascii="Palatino Linotype" w:eastAsia="Calibri" w:hAnsi="Palatino Linotype" w:cs="Tahoma"/>
          <w:b/>
          <w:bCs/>
          <w:iCs/>
          <w:color w:val="000000" w:themeColor="text1"/>
          <w:lang w:val="es-ES" w:eastAsia="es-ES_tradnl"/>
        </w:rPr>
        <w:t>la</w:t>
      </w:r>
      <w:r w:rsidRPr="00BA513A">
        <w:rPr>
          <w:rFonts w:ascii="Palatino Linotype" w:eastAsia="Calibri" w:hAnsi="Palatino Linotype" w:cs="Tahoma"/>
          <w:iCs/>
          <w:color w:val="000000" w:themeColor="text1"/>
          <w:lang w:val="es-ES" w:eastAsia="es-ES_tradnl"/>
        </w:rPr>
        <w:t xml:space="preserve"> </w:t>
      </w:r>
      <w:r w:rsidRPr="00BA513A">
        <w:rPr>
          <w:rFonts w:ascii="Palatino Linotype" w:eastAsia="Calibri" w:hAnsi="Palatino Linotype" w:cs="Tahoma"/>
          <w:b/>
          <w:iCs/>
          <w:lang w:val="es-ES" w:eastAsia="es-ES_tradnl"/>
        </w:rPr>
        <w:t>Ley de Transparencia y Acceso a la Información Pública del Estado de México y Municipios</w:t>
      </w:r>
      <w:r w:rsidRPr="00BA513A">
        <w:rPr>
          <w:rFonts w:ascii="Palatino Linotype" w:eastAsia="Calibri" w:hAnsi="Palatino Linotype" w:cs="Tahoma"/>
          <w:iCs/>
          <w:lang w:val="es-ES" w:eastAsia="es-ES_tradnl"/>
        </w:rPr>
        <w:t>; y así determinar la confirmación, revocación o modificación, desechamiento o sobreseimiento; y, en su caso, ordenar la entrega de la información, respecto a las respuestas o falta de ellas de los Sujetos Obligados.</w:t>
      </w:r>
    </w:p>
    <w:p w14:paraId="653B49FB" w14:textId="77777777" w:rsidR="00530E72" w:rsidRPr="00BA513A" w:rsidRDefault="00530E72"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2E921234" w14:textId="77777777" w:rsidR="001232BE" w:rsidRPr="00BA513A" w:rsidRDefault="00530E72"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Gothic" w:hAnsi="Palatino Linotype"/>
        </w:rPr>
        <w:t xml:space="preserve">Del estudio de las constancias que obran dentro del expediente digital formado en el </w:t>
      </w:r>
      <w:r w:rsidRPr="00BA513A">
        <w:rPr>
          <w:rFonts w:ascii="Palatino Linotype" w:eastAsia="MS Gothic" w:hAnsi="Palatino Linotype"/>
          <w:b/>
        </w:rPr>
        <w:t>SAIMEX</w:t>
      </w:r>
      <w:r w:rsidRPr="00BA513A">
        <w:rPr>
          <w:rFonts w:ascii="Palatino Linotype" w:eastAsia="MS Gothic" w:hAnsi="Palatino Linotype"/>
        </w:rPr>
        <w:t xml:space="preserve">, se puede apreciar que el </w:t>
      </w:r>
      <w:r w:rsidR="003E73D9" w:rsidRPr="00BA513A">
        <w:rPr>
          <w:rFonts w:ascii="Palatino Linotype" w:eastAsia="MS Gothic" w:hAnsi="Palatino Linotype"/>
          <w:b/>
        </w:rPr>
        <w:t>PARTICULAR</w:t>
      </w:r>
      <w:r w:rsidRPr="00BA513A">
        <w:rPr>
          <w:rFonts w:ascii="Palatino Linotype" w:eastAsia="MS Gothic" w:hAnsi="Palatino Linotype"/>
        </w:rPr>
        <w:t xml:space="preserve"> solicitó la siguiente información:</w:t>
      </w:r>
    </w:p>
    <w:p w14:paraId="34D11D92" w14:textId="77777777" w:rsidR="00530E72" w:rsidRPr="00BA513A" w:rsidRDefault="00530E72"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55684B38" w14:textId="7843A5DA" w:rsidR="00530E72" w:rsidRPr="00BA513A" w:rsidRDefault="00F30462" w:rsidP="007105DF">
      <w:pPr>
        <w:pStyle w:val="Prrafodelista"/>
        <w:numPr>
          <w:ilvl w:val="0"/>
          <w:numId w:val="40"/>
        </w:numPr>
        <w:tabs>
          <w:tab w:val="left" w:pos="426"/>
        </w:tabs>
        <w:spacing w:before="240" w:after="240" w:line="276" w:lineRule="auto"/>
        <w:jc w:val="both"/>
        <w:rPr>
          <w:rFonts w:ascii="Palatino Linotype" w:eastAsia="MS Mincho" w:hAnsi="Palatino Linotype" w:cs="Times New Roman"/>
          <w:b/>
        </w:rPr>
      </w:pPr>
      <w:r w:rsidRPr="00BA513A">
        <w:rPr>
          <w:rFonts w:ascii="Palatino Linotype" w:eastAsia="MS Mincho" w:hAnsi="Palatino Linotype" w:cs="Times New Roman"/>
          <w:b/>
        </w:rPr>
        <w:t>Contratos subrogados al 2021 en versión pública y en formato pdf.</w:t>
      </w:r>
    </w:p>
    <w:p w14:paraId="1D1A93BD" w14:textId="77777777" w:rsidR="00530E72" w:rsidRPr="00BA513A" w:rsidRDefault="00530E72" w:rsidP="007105DF">
      <w:pPr>
        <w:pStyle w:val="Prrafodelista"/>
        <w:tabs>
          <w:tab w:val="left" w:pos="426"/>
        </w:tabs>
        <w:spacing w:before="240" w:after="240" w:line="276" w:lineRule="auto"/>
        <w:jc w:val="both"/>
        <w:rPr>
          <w:rFonts w:ascii="Palatino Linotype" w:eastAsia="MS Mincho" w:hAnsi="Palatino Linotype" w:cs="Times New Roman"/>
          <w:b/>
        </w:rPr>
      </w:pPr>
    </w:p>
    <w:p w14:paraId="1FA27ED2" w14:textId="7AB157C4" w:rsidR="00530E72" w:rsidRPr="00BA513A" w:rsidRDefault="00530E72"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hAnsi="Palatino Linotype" w:cs="Arial"/>
        </w:rPr>
        <w:t xml:space="preserve">Asimismo, el </w:t>
      </w:r>
      <w:r w:rsidRPr="00BA513A">
        <w:rPr>
          <w:rFonts w:ascii="Palatino Linotype" w:hAnsi="Palatino Linotype" w:cs="Arial"/>
          <w:b/>
          <w:bCs/>
        </w:rPr>
        <w:t>SUJETO OBLIGADO</w:t>
      </w:r>
      <w:r w:rsidR="00F30462" w:rsidRPr="00BA513A">
        <w:rPr>
          <w:rFonts w:ascii="Palatino Linotype" w:hAnsi="Palatino Linotype" w:cs="Arial"/>
        </w:rPr>
        <w:t xml:space="preserve"> emitió por respuesta lo siguiente:</w:t>
      </w:r>
    </w:p>
    <w:p w14:paraId="0A0C8FCA" w14:textId="77777777" w:rsidR="00F30462" w:rsidRPr="00BA513A" w:rsidRDefault="00F30462" w:rsidP="007105DF">
      <w:pPr>
        <w:tabs>
          <w:tab w:val="left" w:pos="426"/>
        </w:tabs>
        <w:spacing w:before="240" w:after="240" w:line="276" w:lineRule="auto"/>
        <w:ind w:left="567" w:right="567"/>
        <w:contextualSpacing/>
        <w:jc w:val="right"/>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“Metepec, México a 17 de Enero de 2022</w:t>
      </w:r>
    </w:p>
    <w:p w14:paraId="1EF4FD9E" w14:textId="77777777" w:rsidR="00F30462" w:rsidRPr="00BA513A" w:rsidRDefault="00F30462" w:rsidP="007105DF">
      <w:pPr>
        <w:tabs>
          <w:tab w:val="left" w:pos="426"/>
        </w:tabs>
        <w:spacing w:before="240" w:after="240" w:line="276" w:lineRule="auto"/>
        <w:ind w:left="567" w:right="567"/>
        <w:contextualSpacing/>
        <w:jc w:val="right"/>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Nombre del solicitante:</w:t>
      </w:r>
    </w:p>
    <w:p w14:paraId="37B269F2" w14:textId="77777777" w:rsidR="00F30462" w:rsidRPr="00BA513A" w:rsidRDefault="00F30462" w:rsidP="007105DF">
      <w:pPr>
        <w:tabs>
          <w:tab w:val="left" w:pos="426"/>
        </w:tabs>
        <w:spacing w:before="240" w:after="240" w:line="276" w:lineRule="auto"/>
        <w:ind w:left="567" w:right="567"/>
        <w:contextualSpacing/>
        <w:jc w:val="right"/>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lastRenderedPageBreak/>
        <w:t>Folio de la solicitud: 00282/CAMEM/IP/2021</w:t>
      </w:r>
    </w:p>
    <w:p w14:paraId="529730B2" w14:textId="77777777" w:rsidR="00F30462" w:rsidRPr="00BA513A" w:rsidRDefault="00F30462" w:rsidP="007105DF">
      <w:pPr>
        <w:tabs>
          <w:tab w:val="left" w:pos="426"/>
        </w:tabs>
        <w:spacing w:before="240" w:after="240" w:line="276" w:lineRule="auto"/>
        <w:ind w:left="567" w:right="567"/>
        <w:contextualSpacing/>
        <w:rPr>
          <w:rFonts w:ascii="Palatino Linotype" w:eastAsia="MS Mincho" w:hAnsi="Palatino Linotype" w:cs="Times New Roman"/>
          <w:i/>
          <w:lang w:val="es-MX" w:eastAsia="en-US"/>
        </w:rPr>
      </w:pPr>
    </w:p>
    <w:p w14:paraId="0D33F6F5" w14:textId="77777777" w:rsidR="00F30462" w:rsidRPr="00BA513A" w:rsidRDefault="00F30462" w:rsidP="007105DF">
      <w:pPr>
        <w:tabs>
          <w:tab w:val="left" w:pos="426"/>
        </w:tabs>
        <w:spacing w:before="240" w:after="240" w:line="276" w:lineRule="auto"/>
        <w:ind w:left="567" w:right="567"/>
        <w:contextualSpacing/>
        <w:jc w:val="both"/>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95C3C3" w14:textId="77777777" w:rsidR="00F30462" w:rsidRPr="00BA513A" w:rsidRDefault="00F30462" w:rsidP="007105DF">
      <w:pPr>
        <w:tabs>
          <w:tab w:val="left" w:pos="426"/>
        </w:tabs>
        <w:spacing w:before="240" w:after="240" w:line="276" w:lineRule="auto"/>
        <w:ind w:left="567" w:right="567"/>
        <w:contextualSpacing/>
        <w:jc w:val="both"/>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En atención a la Solicitud de Información con folio 00282/CAMEM/IP/2021, mediante la cual se requiere a la letra “Contratos subrogados al 2021 en versión pública y en formato pdf”, me permito solicitar sea más específico en su solicitud.</w:t>
      </w:r>
    </w:p>
    <w:p w14:paraId="1583D082" w14:textId="77777777" w:rsidR="00F30462" w:rsidRPr="00BA513A" w:rsidRDefault="00F30462" w:rsidP="007105DF">
      <w:pPr>
        <w:tabs>
          <w:tab w:val="left" w:pos="426"/>
        </w:tabs>
        <w:spacing w:before="240" w:after="240" w:line="276" w:lineRule="auto"/>
        <w:ind w:left="567" w:right="567"/>
        <w:contextualSpacing/>
        <w:rPr>
          <w:rFonts w:ascii="Palatino Linotype" w:eastAsia="MS Mincho" w:hAnsi="Palatino Linotype" w:cs="Times New Roman"/>
          <w:i/>
          <w:lang w:val="es-MX" w:eastAsia="en-US"/>
        </w:rPr>
      </w:pPr>
    </w:p>
    <w:p w14:paraId="7CE2B555" w14:textId="77777777" w:rsidR="00F30462" w:rsidRPr="00BA513A" w:rsidRDefault="00F30462" w:rsidP="007105DF">
      <w:pPr>
        <w:tabs>
          <w:tab w:val="left" w:pos="426"/>
        </w:tabs>
        <w:spacing w:before="240" w:after="240" w:line="276" w:lineRule="auto"/>
        <w:ind w:left="567" w:right="567"/>
        <w:contextualSpacing/>
        <w:rPr>
          <w:rFonts w:ascii="Palatino Linotype" w:eastAsia="MS Mincho" w:hAnsi="Palatino Linotype" w:cs="Times New Roman"/>
          <w:i/>
          <w:lang w:val="es-MX" w:eastAsia="en-US"/>
        </w:rPr>
      </w:pPr>
      <w:r w:rsidRPr="00BA513A">
        <w:rPr>
          <w:rFonts w:ascii="Palatino Linotype" w:eastAsia="MS Mincho" w:hAnsi="Palatino Linotype" w:cs="Times New Roman"/>
          <w:i/>
          <w:lang w:val="es-MX" w:eastAsia="en-US"/>
        </w:rPr>
        <w:t>ATENTAMENTE</w:t>
      </w:r>
    </w:p>
    <w:p w14:paraId="09EFCBC3" w14:textId="4F689BBB" w:rsidR="00F30462" w:rsidRPr="00BA513A" w:rsidRDefault="00F30462" w:rsidP="007105DF">
      <w:pPr>
        <w:tabs>
          <w:tab w:val="left" w:pos="426"/>
        </w:tabs>
        <w:spacing w:before="240" w:after="240" w:line="276" w:lineRule="auto"/>
        <w:ind w:left="567" w:right="567"/>
        <w:contextualSpacing/>
        <w:rPr>
          <w:rFonts w:ascii="Palatino Linotype" w:eastAsia="MS Mincho" w:hAnsi="Palatino Linotype" w:cs="Times New Roman"/>
          <w:lang w:val="es-MX" w:eastAsia="en-US"/>
        </w:rPr>
      </w:pPr>
      <w:r w:rsidRPr="00BA513A">
        <w:rPr>
          <w:rFonts w:ascii="Palatino Linotype" w:eastAsia="MS Mincho" w:hAnsi="Palatino Linotype" w:cs="Times New Roman"/>
          <w:i/>
          <w:lang w:val="es-MX" w:eastAsia="en-US"/>
        </w:rPr>
        <w:t>LCA EDUARDO GONZAGA PALMA”</w:t>
      </w:r>
      <w:r w:rsidRPr="00BA513A">
        <w:rPr>
          <w:rFonts w:ascii="Palatino Linotype" w:eastAsia="MS Mincho" w:hAnsi="Palatino Linotype" w:cs="Times New Roman"/>
          <w:lang w:val="es-MX" w:eastAsia="en-US"/>
        </w:rPr>
        <w:t xml:space="preserve"> (Sic)</w:t>
      </w:r>
    </w:p>
    <w:p w14:paraId="7B2B2EFE" w14:textId="77777777" w:rsidR="00F30462" w:rsidRPr="00BA513A" w:rsidRDefault="00F30462" w:rsidP="007105DF">
      <w:pPr>
        <w:tabs>
          <w:tab w:val="left" w:pos="426"/>
        </w:tabs>
        <w:spacing w:before="240" w:after="240" w:line="276" w:lineRule="auto"/>
        <w:ind w:left="567" w:right="567"/>
        <w:contextualSpacing/>
        <w:rPr>
          <w:rFonts w:ascii="Palatino Linotype" w:eastAsia="MS Mincho" w:hAnsi="Palatino Linotype" w:cs="Times New Roman"/>
          <w:lang w:val="es-MX" w:eastAsia="en-US"/>
        </w:rPr>
      </w:pPr>
    </w:p>
    <w:p w14:paraId="6C37732D" w14:textId="3974B5F5" w:rsidR="00F30462" w:rsidRPr="00BA513A" w:rsidRDefault="00530E72"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Arial"/>
        </w:rPr>
        <w:t>En este sentido, el</w:t>
      </w:r>
      <w:r w:rsidRPr="00BA513A">
        <w:rPr>
          <w:rFonts w:ascii="Palatino Linotype" w:eastAsia="MS Mincho" w:hAnsi="Palatino Linotype" w:cs="Arial"/>
          <w:b/>
        </w:rPr>
        <w:t xml:space="preserve"> RECURRENTE</w:t>
      </w:r>
      <w:r w:rsidRPr="00BA513A">
        <w:rPr>
          <w:rFonts w:ascii="Palatino Linotype" w:eastAsia="MS Mincho" w:hAnsi="Palatino Linotype" w:cs="Arial"/>
        </w:rPr>
        <w:t xml:space="preserve"> señaló</w:t>
      </w:r>
      <w:r w:rsidR="00F30462" w:rsidRPr="00BA513A">
        <w:rPr>
          <w:rFonts w:ascii="Palatino Linotype" w:eastAsia="MS Mincho" w:hAnsi="Palatino Linotype" w:cs="Arial"/>
        </w:rPr>
        <w:t xml:space="preserve"> en su recurso de revisión</w:t>
      </w:r>
      <w:r w:rsidRPr="00BA513A">
        <w:rPr>
          <w:rFonts w:ascii="Palatino Linotype" w:eastAsia="MS Mincho" w:hAnsi="Palatino Linotype" w:cs="Arial"/>
        </w:rPr>
        <w:t xml:space="preserve">, como motivo de inconformidad </w:t>
      </w:r>
      <w:r w:rsidR="00F30462" w:rsidRPr="00BA513A">
        <w:rPr>
          <w:rFonts w:ascii="Palatino Linotype" w:eastAsia="MS Mincho" w:hAnsi="Palatino Linotype" w:cs="Arial"/>
        </w:rPr>
        <w:t>que n</w:t>
      </w:r>
      <w:r w:rsidR="00F30462" w:rsidRPr="00BA513A">
        <w:rPr>
          <w:rFonts w:ascii="Palatino Linotype" w:eastAsia="MS Mincho" w:hAnsi="Palatino Linotype" w:cs="Times New Roman"/>
        </w:rPr>
        <w:t>o entrego lo que se le pide y que es su responsabilidad atenderla.</w:t>
      </w:r>
    </w:p>
    <w:p w14:paraId="4D753BE3" w14:textId="77777777" w:rsidR="00F30462" w:rsidRPr="00BA513A" w:rsidRDefault="00F30462"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5F2AC205" w14:textId="5292B056" w:rsidR="00530E72" w:rsidRPr="00BA513A" w:rsidRDefault="00530E72"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t xml:space="preserve">En ese sentido, esta Ponencia Resolutora advierte que las razones o motivos de inconformidad manifestados por el </w:t>
      </w:r>
      <w:r w:rsidRPr="00BA513A">
        <w:rPr>
          <w:rFonts w:ascii="Palatino Linotype" w:eastAsia="MS Mincho" w:hAnsi="Palatino Linotype" w:cs="Times New Roman"/>
          <w:b/>
        </w:rPr>
        <w:t>RECURRENTE</w:t>
      </w:r>
      <w:r w:rsidRPr="00BA513A">
        <w:rPr>
          <w:rFonts w:ascii="Palatino Linotype" w:eastAsia="MS Mincho" w:hAnsi="Palatino Linotype" w:cs="Times New Roman"/>
        </w:rPr>
        <w:t xml:space="preserve"> sugieren que la respuesta proporcionada por el </w:t>
      </w:r>
      <w:r w:rsidRPr="00BA513A">
        <w:rPr>
          <w:rFonts w:ascii="Palatino Linotype" w:eastAsia="MS Mincho" w:hAnsi="Palatino Linotype" w:cs="Times New Roman"/>
          <w:b/>
        </w:rPr>
        <w:t>SUJETO OBLIGADO</w:t>
      </w:r>
      <w:r w:rsidRPr="00BA513A">
        <w:rPr>
          <w:rFonts w:ascii="Palatino Linotype" w:eastAsia="MS Mincho" w:hAnsi="Palatino Linotype" w:cs="Times New Roman"/>
        </w:rPr>
        <w:t xml:space="preserve"> no cumplió con los principios contendidos en el artículo 11 de la Ley de Transparencia y Acceso a la Información Pública del Estado de México y Municipios, los cuales señalan que en la generación, publicación y entrega de información se</w:t>
      </w:r>
      <w:r w:rsidR="00D54285" w:rsidRPr="00BA513A">
        <w:rPr>
          <w:rFonts w:ascii="Palatino Linotype" w:eastAsia="MS Mincho" w:hAnsi="Palatino Linotype" w:cs="Times New Roman"/>
        </w:rPr>
        <w:t xml:space="preserve"> deberá garantizar que ésta sea </w:t>
      </w:r>
      <w:r w:rsidR="00220532" w:rsidRPr="00BA513A">
        <w:rPr>
          <w:rFonts w:ascii="Palatino Linotype" w:eastAsia="MS Mincho" w:hAnsi="Palatino Linotype" w:cs="Times New Roman"/>
          <w:b/>
        </w:rPr>
        <w:t>oportuna</w:t>
      </w:r>
      <w:r w:rsidR="00D54285" w:rsidRPr="00BA513A">
        <w:rPr>
          <w:rFonts w:ascii="Palatino Linotype" w:eastAsia="MS Mincho" w:hAnsi="Palatino Linotype" w:cs="Times New Roman"/>
        </w:rPr>
        <w:t xml:space="preserve">,  </w:t>
      </w:r>
    </w:p>
    <w:p w14:paraId="066217EE" w14:textId="77777777" w:rsidR="00530E72" w:rsidRPr="00BA513A" w:rsidRDefault="00530E72"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7C3CBE54" w14:textId="77777777" w:rsidR="00C81F02" w:rsidRPr="00BA513A" w:rsidRDefault="00530E72"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hAnsi="Palatino Linotype" w:cs="Arial"/>
          <w:color w:val="000000" w:themeColor="text1"/>
        </w:rPr>
        <w:t xml:space="preserve">Por lo anterior, la </w:t>
      </w:r>
      <w:r w:rsidRPr="00BA513A">
        <w:rPr>
          <w:rFonts w:ascii="Palatino Linotype" w:hAnsi="Palatino Linotype" w:cs="Arial"/>
          <w:i/>
          <w:color w:val="000000" w:themeColor="text1"/>
        </w:rPr>
        <w:t>Litis</w:t>
      </w:r>
      <w:r w:rsidRPr="00BA513A">
        <w:rPr>
          <w:rFonts w:ascii="Palatino Linotype" w:hAnsi="Palatino Linotype" w:cs="Arial"/>
          <w:color w:val="000000" w:themeColor="text1"/>
        </w:rPr>
        <w:t xml:space="preserve"> a resolver en el presente recurso se circunscribe en determinar si la respuesta del </w:t>
      </w:r>
      <w:r w:rsidRPr="00BA513A">
        <w:rPr>
          <w:rFonts w:ascii="Palatino Linotype" w:hAnsi="Palatino Linotype" w:cs="Arial"/>
          <w:b/>
          <w:bCs/>
          <w:color w:val="000000" w:themeColor="text1"/>
        </w:rPr>
        <w:t>SUJETO OBLIGADO</w:t>
      </w:r>
      <w:r w:rsidRPr="00BA513A">
        <w:rPr>
          <w:rFonts w:ascii="Palatino Linotype" w:hAnsi="Palatino Linotype" w:cs="Arial"/>
          <w:color w:val="000000" w:themeColor="text1"/>
        </w:rPr>
        <w:t xml:space="preserve"> colma el derecho de acceso a la información ejercido por el </w:t>
      </w:r>
      <w:r w:rsidRPr="00BA513A">
        <w:rPr>
          <w:rFonts w:ascii="Palatino Linotype" w:hAnsi="Palatino Linotype" w:cs="Arial"/>
          <w:b/>
          <w:bCs/>
          <w:color w:val="000000" w:themeColor="text1"/>
        </w:rPr>
        <w:t>RECURRENTE</w:t>
      </w:r>
      <w:r w:rsidRPr="00BA513A">
        <w:rPr>
          <w:rFonts w:ascii="Palatino Linotype" w:hAnsi="Palatino Linotype" w:cs="Arial"/>
          <w:color w:val="000000" w:themeColor="text1"/>
        </w:rPr>
        <w:t xml:space="preserve">; o si, por el contrario, se </w:t>
      </w:r>
      <w:r w:rsidRPr="00BA513A">
        <w:rPr>
          <w:rFonts w:ascii="Palatino Linotype" w:hAnsi="Palatino Linotype"/>
          <w:color w:val="000000" w:themeColor="text1"/>
        </w:rPr>
        <w:t>actualizan las causales de procedencia</w:t>
      </w:r>
      <w:r w:rsidRPr="00BA513A">
        <w:rPr>
          <w:rFonts w:ascii="Palatino Linotype" w:hAnsi="Palatino Linotype" w:cs="Arial"/>
          <w:color w:val="000000" w:themeColor="text1"/>
        </w:rPr>
        <w:t xml:space="preserve"> del recurso de revisión establecidas en el artículo 179 fracción V de la Ley de Transparencia y Acceso a la Información Pública del Estado de México y Municipios, y que se transcriben a continuación:</w:t>
      </w:r>
    </w:p>
    <w:p w14:paraId="415E978C" w14:textId="77777777" w:rsidR="00C81F02" w:rsidRPr="00BA513A" w:rsidRDefault="00C81F02" w:rsidP="007105DF">
      <w:pPr>
        <w:pStyle w:val="Prrafodelista"/>
        <w:tabs>
          <w:tab w:val="left" w:pos="426"/>
        </w:tabs>
        <w:spacing w:line="276" w:lineRule="auto"/>
        <w:ind w:left="0" w:right="49"/>
        <w:jc w:val="both"/>
        <w:rPr>
          <w:rFonts w:ascii="Palatino Linotype" w:eastAsia="Times New Roman" w:hAnsi="Palatino Linotype" w:cs="Arial"/>
          <w:bCs/>
          <w:color w:val="000000" w:themeColor="text1"/>
          <w:lang w:eastAsia="es-MX"/>
        </w:rPr>
      </w:pPr>
    </w:p>
    <w:p w14:paraId="64E8B996" w14:textId="77777777" w:rsidR="00C81F02" w:rsidRPr="00BA513A" w:rsidRDefault="00C81F02" w:rsidP="007105DF">
      <w:pPr>
        <w:pStyle w:val="Sinespaciado"/>
        <w:tabs>
          <w:tab w:val="left" w:pos="426"/>
        </w:tabs>
        <w:spacing w:line="276" w:lineRule="auto"/>
        <w:ind w:left="851" w:right="567"/>
        <w:jc w:val="both"/>
        <w:rPr>
          <w:rFonts w:ascii="Palatino Linotype" w:hAnsi="Palatino Linotype"/>
          <w:i/>
          <w:color w:val="000000" w:themeColor="text1"/>
        </w:rPr>
      </w:pPr>
      <w:r w:rsidRPr="00BA513A">
        <w:rPr>
          <w:rFonts w:ascii="Palatino Linotype" w:hAnsi="Palatino Linotype"/>
          <w:i/>
          <w:color w:val="000000" w:themeColor="text1"/>
        </w:rPr>
        <w:lastRenderedPageBreak/>
        <w:t>“</w:t>
      </w:r>
      <w:r w:rsidRPr="00BA513A">
        <w:rPr>
          <w:rFonts w:ascii="Palatino Linotype" w:hAnsi="Palatino Linotype"/>
          <w:b/>
          <w:i/>
          <w:color w:val="000000" w:themeColor="text1"/>
        </w:rPr>
        <w:t>Artículo 179.</w:t>
      </w:r>
      <w:r w:rsidRPr="00BA513A">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4F24A6A1" w14:textId="77777777" w:rsidR="00D54285" w:rsidRPr="00BA513A" w:rsidRDefault="00D54285" w:rsidP="007105DF">
      <w:pPr>
        <w:pStyle w:val="Sinespaciado"/>
        <w:tabs>
          <w:tab w:val="left" w:pos="426"/>
        </w:tabs>
        <w:spacing w:line="276" w:lineRule="auto"/>
        <w:ind w:left="851" w:right="567"/>
        <w:jc w:val="both"/>
        <w:rPr>
          <w:rFonts w:ascii="Palatino Linotype" w:hAnsi="Palatino Linotype"/>
          <w:i/>
          <w:color w:val="000000" w:themeColor="text1"/>
        </w:rPr>
      </w:pPr>
      <w:r w:rsidRPr="00BA513A">
        <w:rPr>
          <w:rFonts w:ascii="Palatino Linotype" w:hAnsi="Palatino Linotype"/>
          <w:b/>
          <w:i/>
          <w:color w:val="000000" w:themeColor="text1"/>
        </w:rPr>
        <w:t>I.</w:t>
      </w:r>
      <w:r w:rsidRPr="00BA513A">
        <w:rPr>
          <w:rFonts w:ascii="Palatino Linotype" w:hAnsi="Palatino Linotype"/>
          <w:i/>
          <w:color w:val="000000" w:themeColor="text1"/>
        </w:rPr>
        <w:t xml:space="preserve"> La negativa a la información solicitada;</w:t>
      </w:r>
    </w:p>
    <w:p w14:paraId="161A67D5" w14:textId="77777777" w:rsidR="00C81F02" w:rsidRPr="00BA513A" w:rsidRDefault="00C81F02" w:rsidP="007105DF">
      <w:pPr>
        <w:spacing w:line="276" w:lineRule="auto"/>
        <w:rPr>
          <w:rFonts w:ascii="Palatino Linotype" w:eastAsia="MS Mincho" w:hAnsi="Palatino Linotype" w:cs="Arial"/>
        </w:rPr>
      </w:pPr>
    </w:p>
    <w:p w14:paraId="4DF3B023" w14:textId="18B91B97" w:rsidR="00220532" w:rsidRPr="00BA513A" w:rsidRDefault="00C81F02" w:rsidP="007105DF">
      <w:pPr>
        <w:pStyle w:val="Ttulo2"/>
        <w:spacing w:line="276" w:lineRule="auto"/>
        <w:rPr>
          <w:rFonts w:ascii="Palatino Linotype" w:hAnsi="Palatino Linotype"/>
          <w:b/>
          <w:color w:val="000000" w:themeColor="text1"/>
          <w:sz w:val="24"/>
          <w:szCs w:val="24"/>
        </w:rPr>
      </w:pPr>
      <w:bookmarkStart w:id="10" w:name="_Toc495427545"/>
      <w:bookmarkStart w:id="11" w:name="_Toc23414596"/>
      <w:bookmarkStart w:id="12" w:name="_Toc34819433"/>
      <w:bookmarkStart w:id="13" w:name="_Toc51259589"/>
      <w:bookmarkStart w:id="14" w:name="_Toc83128582"/>
      <w:r w:rsidRPr="00BA513A">
        <w:rPr>
          <w:rFonts w:ascii="Palatino Linotype" w:hAnsi="Palatino Linotype"/>
          <w:b/>
          <w:color w:val="000000" w:themeColor="text1"/>
          <w:sz w:val="24"/>
          <w:szCs w:val="24"/>
        </w:rPr>
        <w:t>CUARTO. Del estudio y resolución del asunto.</w:t>
      </w:r>
      <w:bookmarkEnd w:id="10"/>
      <w:bookmarkEnd w:id="11"/>
      <w:bookmarkEnd w:id="12"/>
      <w:bookmarkEnd w:id="13"/>
      <w:bookmarkEnd w:id="14"/>
    </w:p>
    <w:p w14:paraId="41E12B1B" w14:textId="16F46C44" w:rsidR="00220532" w:rsidRPr="00BA513A" w:rsidRDefault="00220532"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t xml:space="preserve">Respecto a la solicitud del </w:t>
      </w:r>
      <w:r w:rsidRPr="00BA513A">
        <w:rPr>
          <w:rFonts w:ascii="Palatino Linotype" w:eastAsia="MS Mincho" w:hAnsi="Palatino Linotype" w:cs="Times New Roman"/>
          <w:b/>
        </w:rPr>
        <w:t xml:space="preserve">RECURRENTE, </w:t>
      </w:r>
      <w:r w:rsidRPr="00BA513A">
        <w:rPr>
          <w:rFonts w:ascii="Palatino Linotype" w:eastAsia="MS Mincho" w:hAnsi="Palatino Linotype" w:cs="Times New Roman"/>
        </w:rPr>
        <w:t>en la cual requirió los contratos subrogados al 2021 en versión pública y en formato pdf.</w:t>
      </w:r>
    </w:p>
    <w:p w14:paraId="3113175C" w14:textId="77777777" w:rsidR="00C80988" w:rsidRPr="00BA513A" w:rsidRDefault="00C80988"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4D50C223" w14:textId="0EAA29D2" w:rsidR="00C80988" w:rsidRPr="00BA513A" w:rsidRDefault="00C80988"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hAnsi="Palatino Linotype" w:cs="Arial"/>
        </w:rPr>
        <w:t xml:space="preserve">El </w:t>
      </w:r>
      <w:r w:rsidRPr="00BA513A">
        <w:rPr>
          <w:rFonts w:ascii="Palatino Linotype" w:hAnsi="Palatino Linotype" w:cs="Arial"/>
          <w:b/>
        </w:rPr>
        <w:t>SUJETO OBLIGADO</w:t>
      </w:r>
      <w:r w:rsidRPr="00BA513A">
        <w:rPr>
          <w:rFonts w:ascii="Palatino Linotype" w:hAnsi="Palatino Linotype" w:cs="Arial"/>
        </w:rPr>
        <w:t xml:space="preserve"> en su respuesta solicito al RECURRENTE fuera más específico en su solicitud-</w:t>
      </w:r>
    </w:p>
    <w:p w14:paraId="4473F57F" w14:textId="77777777" w:rsidR="00C80988" w:rsidRPr="00BA513A" w:rsidRDefault="00C80988"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72735354" w14:textId="1DE568FA" w:rsidR="00C80988" w:rsidRPr="00BA513A" w:rsidRDefault="00C80988"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t>En est</w:t>
      </w:r>
      <w:r w:rsidR="00150AED" w:rsidRPr="00BA513A">
        <w:rPr>
          <w:rFonts w:ascii="Palatino Linotype" w:eastAsia="MS Mincho" w:hAnsi="Palatino Linotype" w:cs="Times New Roman"/>
        </w:rPr>
        <w:t xml:space="preserve">e sentido, es posible definir </w:t>
      </w:r>
      <w:r w:rsidR="004F24D1" w:rsidRPr="00BA513A">
        <w:rPr>
          <w:rFonts w:ascii="Palatino Linotype" w:eastAsia="MS Mincho" w:hAnsi="Palatino Linotype" w:cs="Times New Roman"/>
        </w:rPr>
        <w:t>contrato</w:t>
      </w:r>
      <w:r w:rsidR="00781A67" w:rsidRPr="00BA513A">
        <w:rPr>
          <w:rFonts w:ascii="Palatino Linotype" w:eastAsia="MS Mincho" w:hAnsi="Palatino Linotype" w:cs="Times New Roman"/>
        </w:rPr>
        <w:t>,</w:t>
      </w:r>
      <w:r w:rsidR="004F24D1" w:rsidRPr="00BA513A">
        <w:rPr>
          <w:rFonts w:ascii="Palatino Linotype" w:eastAsia="MS Mincho" w:hAnsi="Palatino Linotype" w:cs="Times New Roman"/>
        </w:rPr>
        <w:t xml:space="preserve"> </w:t>
      </w:r>
      <w:r w:rsidR="002E45BD" w:rsidRPr="00BA513A">
        <w:rPr>
          <w:rFonts w:ascii="Palatino Linotype" w:eastAsia="MS Mincho" w:hAnsi="Palatino Linotype" w:cs="Times New Roman"/>
        </w:rPr>
        <w:t xml:space="preserve">conforme al </w:t>
      </w:r>
      <w:r w:rsidR="009F2A79" w:rsidRPr="00BA513A">
        <w:rPr>
          <w:rFonts w:ascii="Palatino Linotype" w:eastAsia="MS Mincho" w:hAnsi="Palatino Linotype" w:cs="Times New Roman"/>
        </w:rPr>
        <w:t>C</w:t>
      </w:r>
      <w:r w:rsidR="002E45BD" w:rsidRPr="00BA513A">
        <w:rPr>
          <w:rFonts w:ascii="Palatino Linotype" w:eastAsia="MS Mincho" w:hAnsi="Palatino Linotype" w:cs="Times New Roman"/>
        </w:rPr>
        <w:t xml:space="preserve">ódigo </w:t>
      </w:r>
      <w:r w:rsidR="009F2A79" w:rsidRPr="00BA513A">
        <w:rPr>
          <w:rFonts w:ascii="Palatino Linotype" w:eastAsia="MS Mincho" w:hAnsi="Palatino Linotype" w:cs="Times New Roman"/>
        </w:rPr>
        <w:t>C</w:t>
      </w:r>
      <w:r w:rsidR="002E45BD" w:rsidRPr="00BA513A">
        <w:rPr>
          <w:rFonts w:ascii="Palatino Linotype" w:eastAsia="MS Mincho" w:hAnsi="Palatino Linotype" w:cs="Times New Roman"/>
        </w:rPr>
        <w:t xml:space="preserve">ivil del Estado de México. </w:t>
      </w:r>
    </w:p>
    <w:p w14:paraId="166DA13E" w14:textId="77777777" w:rsidR="00BC6A3D" w:rsidRPr="00BA513A" w:rsidRDefault="00150AED" w:rsidP="007105DF">
      <w:pPr>
        <w:pStyle w:val="Prrafodelista"/>
        <w:numPr>
          <w:ilvl w:val="0"/>
          <w:numId w:val="40"/>
        </w:numPr>
        <w:tabs>
          <w:tab w:val="left" w:pos="426"/>
        </w:tabs>
        <w:spacing w:before="240" w:after="240" w:line="276" w:lineRule="auto"/>
        <w:ind w:left="567" w:firstLine="0"/>
        <w:jc w:val="both"/>
        <w:rPr>
          <w:rFonts w:ascii="Palatino Linotype" w:eastAsia="MS Mincho" w:hAnsi="Palatino Linotype" w:cs="Times New Roman"/>
        </w:rPr>
      </w:pPr>
      <w:r w:rsidRPr="00BA513A">
        <w:rPr>
          <w:rFonts w:ascii="Palatino Linotype" w:eastAsia="MS Mincho" w:hAnsi="Palatino Linotype" w:cs="Times New Roman"/>
        </w:rPr>
        <w:t>Contrato:</w:t>
      </w:r>
      <w:r w:rsidR="009047A2" w:rsidRPr="00BA513A">
        <w:rPr>
          <w:rFonts w:ascii="Palatino Linotype" w:hAnsi="Palatino Linotype"/>
        </w:rPr>
        <w:t xml:space="preserve"> </w:t>
      </w:r>
    </w:p>
    <w:p w14:paraId="7D69FC5E" w14:textId="62A63C2E" w:rsidR="002E45BD" w:rsidRPr="00BA513A" w:rsidRDefault="00BC6A3D" w:rsidP="007105DF">
      <w:pPr>
        <w:pStyle w:val="Prrafodelista"/>
        <w:tabs>
          <w:tab w:val="left" w:pos="426"/>
        </w:tabs>
        <w:spacing w:before="240" w:after="240" w:line="276" w:lineRule="auto"/>
        <w:jc w:val="both"/>
        <w:rPr>
          <w:rFonts w:ascii="Palatino Linotype" w:hAnsi="Palatino Linotype"/>
        </w:rPr>
      </w:pPr>
      <w:r w:rsidRPr="00BA513A">
        <w:rPr>
          <w:rFonts w:ascii="Palatino Linotype" w:hAnsi="Palatino Linotype"/>
        </w:rPr>
        <w:t>C</w:t>
      </w:r>
      <w:r w:rsidR="002E45BD" w:rsidRPr="00BA513A">
        <w:rPr>
          <w:rFonts w:ascii="Palatino Linotype" w:hAnsi="Palatino Linotype"/>
        </w:rPr>
        <w:t xml:space="preserve">apítulo </w:t>
      </w:r>
      <w:r w:rsidRPr="00BA513A">
        <w:rPr>
          <w:rFonts w:ascii="Palatino Linotype" w:hAnsi="Palatino Linotype"/>
        </w:rPr>
        <w:t>I, de los contratos en el Articulo 7.31</w:t>
      </w:r>
      <w:r w:rsidR="009F2A79" w:rsidRPr="00BA513A">
        <w:rPr>
          <w:rFonts w:ascii="Palatino Linotype" w:hAnsi="Palatino Linotype"/>
        </w:rPr>
        <w:t>.</w:t>
      </w:r>
    </w:p>
    <w:p w14:paraId="6858D2F2" w14:textId="63CC6865" w:rsidR="004F24D1" w:rsidRPr="00BA513A" w:rsidRDefault="00BC6A3D" w:rsidP="007105DF">
      <w:pPr>
        <w:pStyle w:val="Prrafodelista"/>
        <w:tabs>
          <w:tab w:val="left" w:pos="426"/>
        </w:tabs>
        <w:spacing w:before="240" w:after="240" w:line="276" w:lineRule="auto"/>
        <w:jc w:val="both"/>
        <w:rPr>
          <w:rFonts w:ascii="Palatino Linotype" w:eastAsia="MS Mincho" w:hAnsi="Palatino Linotype" w:cs="Times New Roman"/>
        </w:rPr>
      </w:pPr>
      <w:r w:rsidRPr="00BA513A">
        <w:rPr>
          <w:rFonts w:ascii="Palatino Linotype" w:eastAsia="MS Mincho" w:hAnsi="Palatino Linotype" w:cs="Times New Roman"/>
        </w:rPr>
        <w:t>“Los convenios que crean o transfieren obligaciones y derechos, reciben el nombre de contratos.”</w:t>
      </w:r>
      <w:r w:rsidR="004F24D1" w:rsidRPr="00BA513A">
        <w:rPr>
          <w:rStyle w:val="Refdenotaalpie"/>
          <w:rFonts w:ascii="Palatino Linotype" w:eastAsia="MS Mincho" w:hAnsi="Palatino Linotype" w:cs="Times New Roman"/>
        </w:rPr>
        <w:footnoteReference w:id="1"/>
      </w:r>
    </w:p>
    <w:p w14:paraId="33CDD47E" w14:textId="77777777" w:rsidR="004F24D1" w:rsidRPr="00BA513A" w:rsidRDefault="004F24D1" w:rsidP="007105DF">
      <w:pPr>
        <w:pStyle w:val="Prrafodelista"/>
        <w:tabs>
          <w:tab w:val="left" w:pos="426"/>
        </w:tabs>
        <w:spacing w:before="240" w:after="240" w:line="276" w:lineRule="auto"/>
        <w:jc w:val="both"/>
        <w:rPr>
          <w:rFonts w:ascii="Palatino Linotype" w:eastAsia="MS Mincho" w:hAnsi="Palatino Linotype" w:cs="Times New Roman"/>
        </w:rPr>
      </w:pPr>
    </w:p>
    <w:p w14:paraId="00539BE2" w14:textId="7FF9E017" w:rsidR="004F24D1" w:rsidRPr="00BA513A" w:rsidRDefault="004F24D1"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t>Mientras que subrogación conforme al libro la subrogación del libro que pertenece al acervo de la biblioteca virtual del Instituto de Investigaciones Jurídicas de la UNAM de  Miguel Ángel y Valencia, significa:</w:t>
      </w:r>
    </w:p>
    <w:p w14:paraId="66A4AE7F" w14:textId="77777777" w:rsidR="003D08E5" w:rsidRPr="00BA513A" w:rsidRDefault="003D08E5"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3016D615" w14:textId="107B9B5A" w:rsidR="004F24D1" w:rsidRPr="00BA513A" w:rsidRDefault="003D08E5" w:rsidP="007105DF">
      <w:pPr>
        <w:pStyle w:val="Prrafodelista"/>
        <w:tabs>
          <w:tab w:val="left" w:pos="426"/>
        </w:tabs>
        <w:spacing w:before="240" w:after="240" w:line="276" w:lineRule="auto"/>
        <w:ind w:left="567" w:right="616"/>
        <w:jc w:val="both"/>
        <w:rPr>
          <w:rFonts w:ascii="Palatino Linotype" w:eastAsia="MS Mincho" w:hAnsi="Palatino Linotype" w:cs="Times New Roman"/>
          <w:i/>
        </w:rPr>
      </w:pPr>
      <w:r w:rsidRPr="00BA513A">
        <w:rPr>
          <w:rFonts w:ascii="Palatino Linotype" w:eastAsia="MS Mincho" w:hAnsi="Palatino Linotype" w:cs="Times New Roman"/>
          <w:i/>
        </w:rPr>
        <w:t>“</w:t>
      </w:r>
      <w:r w:rsidR="004F24D1" w:rsidRPr="00BA513A">
        <w:rPr>
          <w:rFonts w:ascii="Palatino Linotype" w:eastAsia="MS Mincho" w:hAnsi="Palatino Linotype" w:cs="Times New Roman"/>
          <w:i/>
        </w:rPr>
        <w:t>La palabra subrogar significa la acción de “sustituir a poner una persona o cosa en lugar de otra”.</w:t>
      </w:r>
    </w:p>
    <w:p w14:paraId="56C72B3B" w14:textId="0692616A" w:rsidR="003D08E5" w:rsidRPr="00BA513A" w:rsidRDefault="003D08E5" w:rsidP="007105DF">
      <w:pPr>
        <w:pStyle w:val="Prrafodelista"/>
        <w:tabs>
          <w:tab w:val="left" w:pos="426"/>
        </w:tabs>
        <w:spacing w:before="240" w:after="240" w:line="276" w:lineRule="auto"/>
        <w:ind w:left="567" w:right="616"/>
        <w:jc w:val="both"/>
        <w:rPr>
          <w:rFonts w:ascii="Palatino Linotype" w:eastAsia="MS Mincho" w:hAnsi="Palatino Linotype" w:cs="Times New Roman"/>
          <w:i/>
        </w:rPr>
      </w:pPr>
      <w:r w:rsidRPr="00BA513A">
        <w:rPr>
          <w:rFonts w:ascii="Palatino Linotype" w:eastAsia="MS Mincho" w:hAnsi="Palatino Linotype" w:cs="Times New Roman"/>
          <w:i/>
        </w:rPr>
        <w:t>Por ello, puede decirse que existe una subrogación real, cuando de sustituye una cosa por otra y personal, cuando de sustituye una persona por otra.”</w:t>
      </w:r>
      <w:r w:rsidRPr="00BA513A">
        <w:rPr>
          <w:rStyle w:val="Refdenotaalpie"/>
          <w:rFonts w:ascii="Palatino Linotype" w:eastAsia="MS Mincho" w:hAnsi="Palatino Linotype" w:cs="Times New Roman"/>
          <w:i/>
        </w:rPr>
        <w:footnoteReference w:id="2"/>
      </w:r>
      <w:r w:rsidRPr="00BA513A">
        <w:rPr>
          <w:rFonts w:ascii="Palatino Linotype" w:eastAsia="MS Mincho" w:hAnsi="Palatino Linotype" w:cs="Times New Roman"/>
          <w:i/>
        </w:rPr>
        <w:t xml:space="preserve"> </w:t>
      </w:r>
    </w:p>
    <w:p w14:paraId="4DB4345A" w14:textId="77777777" w:rsidR="003D08E5" w:rsidRPr="00BA513A" w:rsidRDefault="003D08E5" w:rsidP="007105DF">
      <w:pPr>
        <w:pStyle w:val="Prrafodelista"/>
        <w:tabs>
          <w:tab w:val="left" w:pos="426"/>
        </w:tabs>
        <w:spacing w:before="240" w:after="240" w:line="276" w:lineRule="auto"/>
        <w:ind w:left="567" w:right="616"/>
        <w:jc w:val="both"/>
        <w:rPr>
          <w:rFonts w:ascii="Palatino Linotype" w:eastAsia="MS Mincho" w:hAnsi="Palatino Linotype" w:cs="Times New Roman"/>
          <w:i/>
        </w:rPr>
      </w:pPr>
    </w:p>
    <w:p w14:paraId="0C4ECAB2" w14:textId="30CFAF89" w:rsidR="003D08E5" w:rsidRPr="00BA513A" w:rsidRDefault="003D08E5"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lastRenderedPageBreak/>
        <w:t>Por lo tanto la subrogación del contrato se entiende  conforme a conceptos jurídicos en relación al derecho civil como:</w:t>
      </w:r>
    </w:p>
    <w:p w14:paraId="15160B96" w14:textId="77777777" w:rsidR="00781A67" w:rsidRPr="00BA513A" w:rsidRDefault="00781A67"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7DFFEED6" w14:textId="4FEF00C7" w:rsidR="003D08E5" w:rsidRPr="00BA513A" w:rsidRDefault="004575E6" w:rsidP="007105DF">
      <w:pPr>
        <w:pStyle w:val="Prrafodelista"/>
        <w:numPr>
          <w:ilvl w:val="0"/>
          <w:numId w:val="40"/>
        </w:numPr>
        <w:tabs>
          <w:tab w:val="left" w:pos="426"/>
        </w:tabs>
        <w:spacing w:before="240" w:after="240" w:line="276" w:lineRule="auto"/>
        <w:jc w:val="both"/>
        <w:rPr>
          <w:rFonts w:ascii="Palatino Linotype" w:eastAsia="MS Mincho" w:hAnsi="Palatino Linotype" w:cs="Times New Roman"/>
        </w:rPr>
      </w:pPr>
      <w:r w:rsidRPr="00BA513A">
        <w:rPr>
          <w:rFonts w:ascii="Palatino Linotype" w:eastAsia="MS Mincho" w:hAnsi="Palatino Linotype" w:cs="Times New Roman"/>
        </w:rPr>
        <w:t>“</w:t>
      </w:r>
      <w:r w:rsidR="003D08E5" w:rsidRPr="00BA513A">
        <w:rPr>
          <w:rFonts w:ascii="Palatino Linotype" w:eastAsia="MS Mincho" w:hAnsi="Palatino Linotype" w:cs="Times New Roman"/>
        </w:rPr>
        <w:t>La subrogación es el cambio de uno de los titulares en un contrato. De común acuerdo o por circunstancias sobrevenidas, una persona física sustituye a otra.</w:t>
      </w:r>
    </w:p>
    <w:p w14:paraId="13AB56E5" w14:textId="08DA0650" w:rsidR="003D08E5" w:rsidRPr="00BA513A" w:rsidRDefault="003D08E5" w:rsidP="007105DF">
      <w:pPr>
        <w:pStyle w:val="Prrafodelista"/>
        <w:tabs>
          <w:tab w:val="left" w:pos="426"/>
        </w:tabs>
        <w:spacing w:before="240" w:after="240" w:line="276" w:lineRule="auto"/>
        <w:jc w:val="both"/>
        <w:rPr>
          <w:rFonts w:ascii="Palatino Linotype" w:eastAsia="MS Mincho" w:hAnsi="Palatino Linotype" w:cs="Times New Roman"/>
        </w:rPr>
      </w:pPr>
      <w:r w:rsidRPr="00BA513A">
        <w:rPr>
          <w:rFonts w:ascii="Palatino Linotype" w:eastAsia="MS Mincho" w:hAnsi="Palatino Linotype" w:cs="Times New Roman"/>
        </w:rPr>
        <w:t>También puede tener lugar la sustitución de una persona moral por otra similar. Así como que lo sustituible sea una cosa (objeto) de similar cuantía y que cumpla la misma función.</w:t>
      </w:r>
      <w:r w:rsidR="004575E6" w:rsidRPr="00BA513A">
        <w:rPr>
          <w:rFonts w:ascii="Palatino Linotype" w:eastAsia="MS Mincho" w:hAnsi="Palatino Linotype" w:cs="Times New Roman"/>
        </w:rPr>
        <w:t>”</w:t>
      </w:r>
      <w:r w:rsidR="004575E6" w:rsidRPr="00BA513A">
        <w:rPr>
          <w:rStyle w:val="Refdenotaalpie"/>
          <w:rFonts w:ascii="Palatino Linotype" w:eastAsia="MS Mincho" w:hAnsi="Palatino Linotype" w:cs="Times New Roman"/>
        </w:rPr>
        <w:footnoteReference w:id="3"/>
      </w:r>
    </w:p>
    <w:p w14:paraId="04F9118C" w14:textId="77777777" w:rsidR="00781A67" w:rsidRPr="00BA513A" w:rsidRDefault="00781A67" w:rsidP="007105DF">
      <w:pPr>
        <w:pStyle w:val="Prrafodelista"/>
        <w:tabs>
          <w:tab w:val="left" w:pos="426"/>
        </w:tabs>
        <w:spacing w:before="240" w:after="240" w:line="276" w:lineRule="auto"/>
        <w:jc w:val="both"/>
        <w:rPr>
          <w:rFonts w:ascii="Palatino Linotype" w:eastAsia="MS Mincho" w:hAnsi="Palatino Linotype" w:cs="Times New Roman"/>
        </w:rPr>
      </w:pPr>
    </w:p>
    <w:p w14:paraId="14B1B894" w14:textId="09C72B8C" w:rsidR="004575E6" w:rsidRPr="00BA513A" w:rsidRDefault="003D08E5"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t xml:space="preserve"> </w:t>
      </w:r>
      <w:r w:rsidR="004575E6" w:rsidRPr="00BA513A">
        <w:rPr>
          <w:rFonts w:ascii="Palatino Linotype" w:eastAsia="MS Mincho" w:hAnsi="Palatino Linotype" w:cs="Times New Roman"/>
        </w:rPr>
        <w:t>En esa tesitura, cabe mencionar que referente</w:t>
      </w:r>
      <w:r w:rsidR="00781A67" w:rsidRPr="00BA513A">
        <w:rPr>
          <w:rFonts w:ascii="Palatino Linotype" w:eastAsia="MS Mincho" w:hAnsi="Palatino Linotype" w:cs="Times New Roman"/>
        </w:rPr>
        <w:t>,</w:t>
      </w:r>
      <w:r w:rsidR="004575E6" w:rsidRPr="00BA513A">
        <w:rPr>
          <w:rFonts w:ascii="Palatino Linotype" w:eastAsia="MS Mincho" w:hAnsi="Palatino Linotype" w:cs="Times New Roman"/>
        </w:rPr>
        <w:t xml:space="preserve"> al Reglamento Interno de la Comisión de Conciliación y Arbitraje Médico del Estado de México</w:t>
      </w:r>
      <w:r w:rsidR="00E43C39" w:rsidRPr="00BA513A">
        <w:rPr>
          <w:rFonts w:ascii="Palatino Linotype" w:eastAsia="MS Mincho" w:hAnsi="Palatino Linotype" w:cs="Times New Roman"/>
        </w:rPr>
        <w:t xml:space="preserve"> en  el capítulo III</w:t>
      </w:r>
      <w:r w:rsidR="004575E6" w:rsidRPr="00BA513A">
        <w:rPr>
          <w:rFonts w:ascii="Palatino Linotype" w:eastAsia="MS Mincho" w:hAnsi="Palatino Linotype" w:cs="Times New Roman"/>
        </w:rPr>
        <w:t xml:space="preserve"> </w:t>
      </w:r>
      <w:r w:rsidR="00E43C39" w:rsidRPr="00BA513A">
        <w:rPr>
          <w:rFonts w:ascii="Palatino Linotype" w:eastAsia="MS Mincho" w:hAnsi="Palatino Linotype" w:cs="Times New Roman"/>
        </w:rPr>
        <w:t xml:space="preserve"> y V </w:t>
      </w:r>
      <w:r w:rsidR="004575E6" w:rsidRPr="00BA513A">
        <w:rPr>
          <w:rFonts w:ascii="Palatino Linotype" w:eastAsia="MS Mincho" w:hAnsi="Palatino Linotype" w:cs="Times New Roman"/>
        </w:rPr>
        <w:t>se establece lo siguiente:</w:t>
      </w:r>
    </w:p>
    <w:p w14:paraId="38DE5A39" w14:textId="77777777" w:rsidR="00781A67" w:rsidRPr="00BA513A" w:rsidRDefault="00781A67"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223C620D" w14:textId="6B7F26AE" w:rsidR="00E43C39" w:rsidRPr="00BA513A" w:rsidRDefault="00E43C39" w:rsidP="007105DF">
      <w:pPr>
        <w:pStyle w:val="Prrafodelista"/>
        <w:numPr>
          <w:ilvl w:val="0"/>
          <w:numId w:val="40"/>
        </w:numPr>
        <w:tabs>
          <w:tab w:val="left" w:pos="426"/>
        </w:tabs>
        <w:spacing w:before="240" w:after="240" w:line="276" w:lineRule="auto"/>
        <w:jc w:val="both"/>
        <w:rPr>
          <w:rFonts w:ascii="Palatino Linotype" w:hAnsi="Palatino Linotype"/>
          <w:i/>
        </w:rPr>
      </w:pPr>
      <w:r w:rsidRPr="00BA513A">
        <w:rPr>
          <w:rFonts w:ascii="Palatino Linotype" w:hAnsi="Palatino Linotype"/>
          <w:i/>
        </w:rPr>
        <w:t>“</w:t>
      </w:r>
      <w:r w:rsidRPr="00BA513A">
        <w:rPr>
          <w:rFonts w:ascii="Palatino Linotype" w:hAnsi="Palatino Linotype"/>
          <w:b/>
          <w:i/>
        </w:rPr>
        <w:t>CAPÍTULO III</w:t>
      </w:r>
      <w:r w:rsidRPr="00BA513A">
        <w:rPr>
          <w:rFonts w:ascii="Palatino Linotype" w:hAnsi="Palatino Linotype"/>
          <w:i/>
        </w:rPr>
        <w:t xml:space="preserve">  </w:t>
      </w:r>
    </w:p>
    <w:p w14:paraId="4ABC70AA" w14:textId="018A540F" w:rsidR="004575E6" w:rsidRPr="00BA513A" w:rsidRDefault="00E43C39" w:rsidP="007105DF">
      <w:pPr>
        <w:pStyle w:val="Prrafodelista"/>
        <w:tabs>
          <w:tab w:val="left" w:pos="426"/>
        </w:tabs>
        <w:spacing w:before="240" w:after="240" w:line="276" w:lineRule="auto"/>
        <w:jc w:val="both"/>
        <w:rPr>
          <w:rFonts w:ascii="Palatino Linotype" w:hAnsi="Palatino Linotype"/>
          <w:i/>
        </w:rPr>
      </w:pPr>
      <w:r w:rsidRPr="00BA513A">
        <w:rPr>
          <w:rFonts w:ascii="Palatino Linotype" w:hAnsi="Palatino Linotype"/>
          <w:i/>
        </w:rPr>
        <w:t>DE LAS ATRIBUCIONES DEL COMISIONADO</w:t>
      </w:r>
    </w:p>
    <w:p w14:paraId="32C773EE" w14:textId="51D9D327" w:rsidR="00E43C39" w:rsidRPr="00BA513A" w:rsidRDefault="00E43C39" w:rsidP="007105DF">
      <w:pPr>
        <w:pStyle w:val="Prrafodelista"/>
        <w:tabs>
          <w:tab w:val="left" w:pos="426"/>
        </w:tabs>
        <w:spacing w:before="240" w:after="240" w:line="276" w:lineRule="auto"/>
        <w:jc w:val="both"/>
        <w:rPr>
          <w:rFonts w:ascii="Palatino Linotype" w:hAnsi="Palatino Linotype"/>
          <w:i/>
        </w:rPr>
      </w:pPr>
      <w:r w:rsidRPr="00BA513A">
        <w:rPr>
          <w:rFonts w:ascii="Palatino Linotype" w:hAnsi="Palatino Linotype"/>
          <w:b/>
          <w:i/>
        </w:rPr>
        <w:t>Artículo 15</w:t>
      </w:r>
      <w:r w:rsidRPr="00BA513A">
        <w:rPr>
          <w:rFonts w:ascii="Palatino Linotype" w:hAnsi="Palatino Linotype"/>
          <w:i/>
        </w:rPr>
        <w:t>.- Corresponde al Comisionado las atribuciones siguientes:</w:t>
      </w:r>
    </w:p>
    <w:p w14:paraId="2C86672C" w14:textId="11A8CEAC" w:rsidR="00E43C39" w:rsidRPr="00BA513A" w:rsidRDefault="00E43C39" w:rsidP="007105DF">
      <w:pPr>
        <w:pStyle w:val="Prrafodelista"/>
        <w:tabs>
          <w:tab w:val="left" w:pos="426"/>
        </w:tabs>
        <w:spacing w:before="240" w:after="240" w:line="276" w:lineRule="auto"/>
        <w:jc w:val="both"/>
        <w:rPr>
          <w:rFonts w:ascii="Palatino Linotype" w:hAnsi="Palatino Linotype"/>
          <w:i/>
        </w:rPr>
      </w:pPr>
      <w:r w:rsidRPr="00BA513A">
        <w:rPr>
          <w:rFonts w:ascii="Palatino Linotype" w:hAnsi="Palatino Linotype"/>
          <w:b/>
          <w:i/>
        </w:rPr>
        <w:t>VI.</w:t>
      </w:r>
      <w:r w:rsidRPr="00BA513A">
        <w:rPr>
          <w:rFonts w:ascii="Palatino Linotype" w:hAnsi="Palatino Linotype"/>
          <w:i/>
        </w:rPr>
        <w:t xml:space="preserve"> Suscribir acuerdos, convenios y contratos, así como lo demás actos jurídico-administrativos en los que participe la Comisión, informando de ello al Consejo.”</w:t>
      </w:r>
      <w:r w:rsidRPr="00BA513A">
        <w:rPr>
          <w:rFonts w:ascii="Palatino Linotype" w:hAnsi="Palatino Linotype"/>
          <w:i/>
        </w:rPr>
        <w:cr/>
      </w:r>
    </w:p>
    <w:p w14:paraId="63C9F67C" w14:textId="4933D09B" w:rsidR="00E43C39" w:rsidRPr="00BA513A" w:rsidRDefault="00E43C39" w:rsidP="007105DF">
      <w:pPr>
        <w:pStyle w:val="Prrafodelista"/>
        <w:numPr>
          <w:ilvl w:val="0"/>
          <w:numId w:val="40"/>
        </w:numPr>
        <w:tabs>
          <w:tab w:val="left" w:pos="426"/>
        </w:tabs>
        <w:spacing w:before="240" w:after="240" w:line="276" w:lineRule="auto"/>
        <w:jc w:val="both"/>
        <w:rPr>
          <w:rFonts w:ascii="Palatino Linotype" w:hAnsi="Palatino Linotype"/>
          <w:b/>
          <w:i/>
        </w:rPr>
      </w:pPr>
      <w:r w:rsidRPr="00BA513A">
        <w:rPr>
          <w:rFonts w:ascii="Palatino Linotype" w:hAnsi="Palatino Linotype"/>
          <w:b/>
          <w:i/>
        </w:rPr>
        <w:t>“CAPÍTULO V</w:t>
      </w:r>
    </w:p>
    <w:p w14:paraId="140D446D" w14:textId="35880169" w:rsidR="00E43C39" w:rsidRPr="00BA513A" w:rsidRDefault="00E43C39" w:rsidP="007105DF">
      <w:pPr>
        <w:pStyle w:val="Prrafodelista"/>
        <w:tabs>
          <w:tab w:val="left" w:pos="426"/>
        </w:tabs>
        <w:spacing w:before="240" w:after="240" w:line="276" w:lineRule="auto"/>
        <w:jc w:val="both"/>
        <w:rPr>
          <w:rFonts w:ascii="Palatino Linotype" w:hAnsi="Palatino Linotype"/>
          <w:i/>
        </w:rPr>
      </w:pPr>
      <w:r w:rsidRPr="00BA513A">
        <w:rPr>
          <w:rFonts w:ascii="Palatino Linotype" w:hAnsi="Palatino Linotype"/>
          <w:i/>
        </w:rPr>
        <w:t>DE LAS ATRIBUCIONES ESPECÍFICAS DE LAS SUBCOMISIONES, UNIDADES Y DELEGACIONES</w:t>
      </w:r>
    </w:p>
    <w:p w14:paraId="16DC7F8B" w14:textId="43552A79" w:rsidR="00E43C39" w:rsidRPr="00BA513A" w:rsidRDefault="00E43C39" w:rsidP="007105DF">
      <w:pPr>
        <w:pStyle w:val="Prrafodelista"/>
        <w:tabs>
          <w:tab w:val="left" w:pos="426"/>
        </w:tabs>
        <w:spacing w:before="240" w:after="240" w:line="276" w:lineRule="auto"/>
        <w:jc w:val="both"/>
        <w:rPr>
          <w:rFonts w:ascii="Palatino Linotype" w:hAnsi="Palatino Linotype"/>
          <w:i/>
        </w:rPr>
      </w:pPr>
      <w:r w:rsidRPr="00BA513A">
        <w:rPr>
          <w:rFonts w:ascii="Palatino Linotype" w:hAnsi="Palatino Linotype"/>
          <w:b/>
          <w:i/>
        </w:rPr>
        <w:t>Artículo 23</w:t>
      </w:r>
      <w:r w:rsidRPr="00BA513A">
        <w:rPr>
          <w:rFonts w:ascii="Palatino Linotype" w:hAnsi="Palatino Linotype"/>
          <w:i/>
        </w:rPr>
        <w:t>.- Corresponde a la Unidad de Apoyo Administrativo:</w:t>
      </w:r>
    </w:p>
    <w:p w14:paraId="354B4404" w14:textId="6481794F" w:rsidR="00E43C39" w:rsidRPr="00BA513A" w:rsidRDefault="00E43C39" w:rsidP="007105DF">
      <w:pPr>
        <w:pStyle w:val="Prrafodelista"/>
        <w:tabs>
          <w:tab w:val="left" w:pos="426"/>
        </w:tabs>
        <w:spacing w:before="240" w:after="240" w:line="276" w:lineRule="auto"/>
        <w:jc w:val="both"/>
        <w:rPr>
          <w:rFonts w:ascii="Palatino Linotype" w:hAnsi="Palatino Linotype"/>
          <w:i/>
        </w:rPr>
      </w:pPr>
      <w:r w:rsidRPr="00BA513A">
        <w:rPr>
          <w:rFonts w:ascii="Palatino Linotype" w:hAnsi="Palatino Linotype"/>
          <w:b/>
          <w:i/>
        </w:rPr>
        <w:t>VII.</w:t>
      </w:r>
      <w:r w:rsidRPr="00BA513A">
        <w:rPr>
          <w:rFonts w:ascii="Palatino Linotype" w:hAnsi="Palatino Linotype"/>
          <w:i/>
        </w:rPr>
        <w:t xml:space="preserve"> Suscribir, previa autorización del Comisionado, los convenios, contratos y demás documentos que impliquen actos de administración relacionados con su competencia.</w:t>
      </w:r>
      <w:r w:rsidRPr="00BA513A">
        <w:rPr>
          <w:rFonts w:ascii="Palatino Linotype" w:hAnsi="Palatino Linotype"/>
          <w:i/>
        </w:rPr>
        <w:cr/>
      </w:r>
      <w:r w:rsidRPr="00BA513A">
        <w:rPr>
          <w:rFonts w:ascii="Palatino Linotype" w:hAnsi="Palatino Linotype"/>
          <w:b/>
          <w:i/>
        </w:rPr>
        <w:t xml:space="preserve"> XII.</w:t>
      </w:r>
      <w:r w:rsidRPr="00BA513A">
        <w:rPr>
          <w:rFonts w:ascii="Palatino Linotype" w:hAnsi="Palatino Linotype"/>
          <w:i/>
        </w:rPr>
        <w:t xml:space="preserve"> Suscribir los contratos y convenios derivados de los procedimientos adquisitivos de bienes, arrendamientos, servicios, obra pública y servicios relacionados con la misma, con base en la normatividad aplicable, previo acuerdo del Comisionado.</w:t>
      </w:r>
    </w:p>
    <w:p w14:paraId="59AF0AFA" w14:textId="52A16E28" w:rsidR="00E43C39" w:rsidRPr="00BA513A" w:rsidRDefault="00E43C39" w:rsidP="007105DF">
      <w:pPr>
        <w:pStyle w:val="Prrafodelista"/>
        <w:tabs>
          <w:tab w:val="left" w:pos="426"/>
        </w:tabs>
        <w:spacing w:before="240" w:after="240" w:line="276" w:lineRule="auto"/>
        <w:jc w:val="both"/>
        <w:rPr>
          <w:rFonts w:ascii="Palatino Linotype" w:hAnsi="Palatino Linotype"/>
          <w:i/>
        </w:rPr>
      </w:pPr>
      <w:r w:rsidRPr="00BA513A">
        <w:rPr>
          <w:rFonts w:ascii="Palatino Linotype" w:hAnsi="Palatino Linotype"/>
          <w:b/>
          <w:i/>
        </w:rPr>
        <w:lastRenderedPageBreak/>
        <w:t>XIII.</w:t>
      </w:r>
      <w:r w:rsidRPr="00BA513A">
        <w:rPr>
          <w:rFonts w:ascii="Palatino Linotype" w:hAnsi="Palatino Linotype"/>
          <w:i/>
        </w:rPr>
        <w:t xml:space="preserve"> Rescindir administrativamente los contratos y convenios derivados de los procedimientos que haya celebrado la Comisión e informar al Órgano Interno de Control de la Comisión de las posibles infracciones a que haya lugar.”</w:t>
      </w:r>
    </w:p>
    <w:p w14:paraId="160BE6F3" w14:textId="77777777" w:rsidR="001A76DA" w:rsidRPr="00BA513A" w:rsidRDefault="001A76DA" w:rsidP="007105DF">
      <w:pPr>
        <w:pStyle w:val="Prrafodelista"/>
        <w:tabs>
          <w:tab w:val="left" w:pos="426"/>
        </w:tabs>
        <w:spacing w:before="240" w:after="240" w:line="276" w:lineRule="auto"/>
        <w:jc w:val="both"/>
        <w:rPr>
          <w:rFonts w:ascii="Palatino Linotype" w:hAnsi="Palatino Linotype"/>
          <w:i/>
        </w:rPr>
      </w:pPr>
    </w:p>
    <w:p w14:paraId="0410C2F7" w14:textId="1DA04546" w:rsidR="00A33ECD" w:rsidRPr="00BA513A" w:rsidRDefault="00A33ECD"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t xml:space="preserve">Antes de continuar es menester mencionar que en la </w:t>
      </w:r>
      <w:r w:rsidRPr="00BA513A">
        <w:rPr>
          <w:rFonts w:ascii="Palatino Linotype" w:eastAsia="MS Mincho" w:hAnsi="Palatino Linotype" w:cs="Times New Roman"/>
          <w:b/>
        </w:rPr>
        <w:t>Ley de Transparencia y Acceso a la Información Pública del Estado de México y Municipios</w:t>
      </w:r>
      <w:r w:rsidRPr="00BA513A">
        <w:rPr>
          <w:rFonts w:ascii="Palatino Linotype" w:eastAsia="MS Mincho" w:hAnsi="Palatino Linotype" w:cs="Times New Roman"/>
        </w:rPr>
        <w:t xml:space="preserve"> en el Título </w:t>
      </w:r>
      <w:r w:rsidRPr="00BA513A">
        <w:rPr>
          <w:rFonts w:ascii="Palatino Linotype" w:eastAsia="MS Mincho" w:hAnsi="Palatino Linotype" w:cs="Times New Roman"/>
          <w:b/>
        </w:rPr>
        <w:t xml:space="preserve">Quinto </w:t>
      </w:r>
      <w:r w:rsidRPr="00BA513A">
        <w:rPr>
          <w:rFonts w:ascii="Palatino Linotype" w:eastAsia="MS Mincho" w:hAnsi="Palatino Linotype" w:cs="Times New Roman"/>
        </w:rPr>
        <w:t>de las Obl</w:t>
      </w:r>
      <w:r w:rsidR="00F12F1E" w:rsidRPr="00BA513A">
        <w:rPr>
          <w:rFonts w:ascii="Palatino Linotype" w:eastAsia="MS Mincho" w:hAnsi="Palatino Linotype" w:cs="Times New Roman"/>
        </w:rPr>
        <w:t>igaciones de Transparencia, Capí</w:t>
      </w:r>
      <w:r w:rsidRPr="00BA513A">
        <w:rPr>
          <w:rFonts w:ascii="Palatino Linotype" w:eastAsia="MS Mincho" w:hAnsi="Palatino Linotype" w:cs="Times New Roman"/>
        </w:rPr>
        <w:t>tulo II De la obligaciones de transparencia común en la fracción XX</w:t>
      </w:r>
      <w:r w:rsidR="001103E4" w:rsidRPr="00BA513A">
        <w:rPr>
          <w:rFonts w:ascii="Palatino Linotype" w:eastAsia="MS Mincho" w:hAnsi="Palatino Linotype" w:cs="Times New Roman"/>
        </w:rPr>
        <w:t>, XXIX</w:t>
      </w:r>
      <w:r w:rsidRPr="00BA513A">
        <w:rPr>
          <w:rFonts w:ascii="Palatino Linotype" w:eastAsia="MS Mincho" w:hAnsi="Palatino Linotype" w:cs="Times New Roman"/>
        </w:rPr>
        <w:t xml:space="preserve"> y XXXII se establece lo siguiente; </w:t>
      </w:r>
    </w:p>
    <w:p w14:paraId="3336E9A4" w14:textId="77777777" w:rsidR="00A33ECD" w:rsidRPr="00BA513A" w:rsidRDefault="00A33ECD"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23B6D78F" w14:textId="77777777" w:rsidR="00A33ECD" w:rsidRPr="00BA513A" w:rsidRDefault="00A33ECD" w:rsidP="007105DF">
      <w:pPr>
        <w:pStyle w:val="Prrafodelista"/>
        <w:tabs>
          <w:tab w:val="left" w:pos="426"/>
        </w:tabs>
        <w:spacing w:before="240" w:after="240" w:line="276" w:lineRule="auto"/>
        <w:jc w:val="both"/>
        <w:rPr>
          <w:rFonts w:ascii="Palatino Linotype" w:eastAsia="MS Mincho" w:hAnsi="Palatino Linotype" w:cs="Times New Roman"/>
          <w:b/>
        </w:rPr>
      </w:pPr>
      <w:r w:rsidRPr="00BA513A">
        <w:rPr>
          <w:rFonts w:ascii="Palatino Linotype" w:eastAsia="MS Mincho" w:hAnsi="Palatino Linotype" w:cs="Times New Roman"/>
          <w:b/>
        </w:rPr>
        <w:t>Capítulo II</w:t>
      </w:r>
    </w:p>
    <w:p w14:paraId="74307FC8" w14:textId="38784E1C" w:rsidR="00A33ECD" w:rsidRPr="00BA513A" w:rsidRDefault="00A33ECD" w:rsidP="007105DF">
      <w:pPr>
        <w:pStyle w:val="Prrafodelista"/>
        <w:tabs>
          <w:tab w:val="left" w:pos="426"/>
        </w:tabs>
        <w:spacing w:before="240" w:after="240" w:line="276" w:lineRule="auto"/>
        <w:jc w:val="both"/>
        <w:rPr>
          <w:rFonts w:ascii="Palatino Linotype" w:eastAsia="MS Mincho" w:hAnsi="Palatino Linotype" w:cs="Times New Roman"/>
          <w:b/>
        </w:rPr>
      </w:pPr>
      <w:r w:rsidRPr="00BA513A">
        <w:rPr>
          <w:rFonts w:ascii="Palatino Linotype" w:eastAsia="MS Mincho" w:hAnsi="Palatino Linotype" w:cs="Times New Roman"/>
          <w:b/>
        </w:rPr>
        <w:t>De las Obligaciones de Transparencia Comunes</w:t>
      </w:r>
    </w:p>
    <w:p w14:paraId="2508CBB5" w14:textId="77777777" w:rsidR="007105DF" w:rsidRPr="00BA513A" w:rsidRDefault="007105DF" w:rsidP="007105DF">
      <w:pPr>
        <w:pStyle w:val="Prrafodelista"/>
        <w:tabs>
          <w:tab w:val="left" w:pos="426"/>
        </w:tabs>
        <w:spacing w:before="240" w:after="240" w:line="276" w:lineRule="auto"/>
        <w:jc w:val="both"/>
        <w:rPr>
          <w:rFonts w:ascii="Palatino Linotype" w:eastAsia="MS Mincho" w:hAnsi="Palatino Linotype" w:cs="Times New Roman"/>
          <w:b/>
        </w:rPr>
      </w:pPr>
    </w:p>
    <w:p w14:paraId="7A5954BF" w14:textId="6F079176" w:rsidR="00A33ECD" w:rsidRPr="00BA513A" w:rsidRDefault="00A33ECD" w:rsidP="007105DF">
      <w:pPr>
        <w:pStyle w:val="Prrafodelista"/>
        <w:numPr>
          <w:ilvl w:val="0"/>
          <w:numId w:val="40"/>
        </w:numPr>
        <w:tabs>
          <w:tab w:val="left" w:pos="426"/>
        </w:tabs>
        <w:spacing w:before="240" w:after="240" w:line="276" w:lineRule="auto"/>
        <w:jc w:val="both"/>
        <w:rPr>
          <w:rFonts w:ascii="Palatino Linotype" w:eastAsia="MS Mincho" w:hAnsi="Palatino Linotype" w:cs="Times New Roman"/>
        </w:rPr>
      </w:pPr>
      <w:r w:rsidRPr="00BA513A">
        <w:rPr>
          <w:rFonts w:ascii="Palatino Linotype" w:hAnsi="Palatino Linotype"/>
          <w:b/>
        </w:rPr>
        <w:t>Artículo 92.</w:t>
      </w:r>
      <w:r w:rsidRPr="00BA513A">
        <w:rPr>
          <w:rFonts w:ascii="Palatino Linotype" w:hAnsi="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5E3ABD" w14:textId="77777777" w:rsidR="00A33ECD" w:rsidRPr="00BA513A" w:rsidRDefault="00A33ECD" w:rsidP="007105DF">
      <w:pPr>
        <w:pStyle w:val="Prrafodelista"/>
        <w:tabs>
          <w:tab w:val="left" w:pos="426"/>
        </w:tabs>
        <w:spacing w:before="240" w:after="240" w:line="276" w:lineRule="auto"/>
        <w:jc w:val="both"/>
        <w:rPr>
          <w:rFonts w:ascii="Palatino Linotype" w:eastAsia="MS Mincho" w:hAnsi="Palatino Linotype" w:cs="Times New Roman"/>
        </w:rPr>
      </w:pPr>
    </w:p>
    <w:p w14:paraId="75F34749" w14:textId="64055A18" w:rsidR="00A33ECD" w:rsidRPr="00BA513A" w:rsidRDefault="00A33ECD" w:rsidP="007105DF">
      <w:pPr>
        <w:pStyle w:val="Prrafodelista"/>
        <w:tabs>
          <w:tab w:val="left" w:pos="426"/>
        </w:tabs>
        <w:spacing w:before="240" w:after="240" w:line="276" w:lineRule="auto"/>
        <w:jc w:val="both"/>
        <w:rPr>
          <w:rFonts w:ascii="Palatino Linotype" w:hAnsi="Palatino Linotype"/>
        </w:rPr>
      </w:pPr>
      <w:r w:rsidRPr="00BA513A">
        <w:rPr>
          <w:rFonts w:ascii="Palatino Linotype" w:hAnsi="Palatino Linotype"/>
          <w:b/>
        </w:rPr>
        <w:t>XX.</w:t>
      </w:r>
      <w:r w:rsidRPr="00BA513A">
        <w:rPr>
          <w:rFonts w:ascii="Palatino Linotype" w:hAnsi="Palatino Linotype"/>
        </w:rPr>
        <w:t xml:space="preserve"> Las condiciones generales de trabajo, </w:t>
      </w:r>
      <w:r w:rsidRPr="00BA513A">
        <w:rPr>
          <w:rFonts w:ascii="Palatino Linotype" w:hAnsi="Palatino Linotype"/>
          <w:b/>
        </w:rPr>
        <w:t>contratos</w:t>
      </w:r>
      <w:r w:rsidRPr="00BA513A">
        <w:rPr>
          <w:rFonts w:ascii="Palatino Linotype" w:hAnsi="Palatino Linotype"/>
        </w:rPr>
        <w:t xml:space="preserve"> o convenios que regulen las relaciones laborales del personal de base o de confianza, así como los recursos públicos económicos, en especie o donativos, que sean entregados a los Sindicatos y ejerzan como recursos públicos;</w:t>
      </w:r>
    </w:p>
    <w:p w14:paraId="45EDBFB7" w14:textId="77777777" w:rsidR="00A33ECD" w:rsidRPr="00BA513A" w:rsidRDefault="00A33ECD" w:rsidP="007105DF">
      <w:pPr>
        <w:pStyle w:val="Prrafodelista"/>
        <w:tabs>
          <w:tab w:val="left" w:pos="426"/>
        </w:tabs>
        <w:spacing w:before="240" w:after="240" w:line="276" w:lineRule="auto"/>
        <w:jc w:val="both"/>
        <w:rPr>
          <w:rFonts w:ascii="Palatino Linotype" w:hAnsi="Palatino Linotype"/>
        </w:rPr>
      </w:pPr>
    </w:p>
    <w:p w14:paraId="06002D58" w14:textId="1FE2413F" w:rsidR="00A33ECD" w:rsidRPr="00BA513A" w:rsidRDefault="00A33ECD" w:rsidP="007105DF">
      <w:pPr>
        <w:pStyle w:val="Prrafodelista"/>
        <w:tabs>
          <w:tab w:val="left" w:pos="426"/>
        </w:tabs>
        <w:spacing w:before="240" w:after="240" w:line="276" w:lineRule="auto"/>
        <w:jc w:val="both"/>
        <w:rPr>
          <w:rFonts w:ascii="Palatino Linotype" w:hAnsi="Palatino Linotype"/>
        </w:rPr>
      </w:pPr>
      <w:r w:rsidRPr="00BA513A">
        <w:rPr>
          <w:rFonts w:ascii="Palatino Linotype" w:hAnsi="Palatino Linotype"/>
          <w:b/>
        </w:rPr>
        <w:t>XXIX.</w:t>
      </w:r>
      <w:r w:rsidRPr="00BA513A">
        <w:rPr>
          <w:rFonts w:ascii="Palatino Linotype" w:hAnsi="Palatino Linotype"/>
        </w:rPr>
        <w:t xml:space="preserve"> La información sobre los procesos y resultados sobre procedimientos de adjudicación directa, invitación restringida y licitación de cualquier naturaleza, incluyendo la versión pública del expediente respectivo y de los </w:t>
      </w:r>
      <w:r w:rsidRPr="00BA513A">
        <w:rPr>
          <w:rFonts w:ascii="Palatino Linotype" w:hAnsi="Palatino Linotype"/>
          <w:b/>
        </w:rPr>
        <w:t xml:space="preserve">contratos </w:t>
      </w:r>
      <w:r w:rsidRPr="00BA513A">
        <w:rPr>
          <w:rFonts w:ascii="Palatino Linotype" w:hAnsi="Palatino Linotype"/>
        </w:rPr>
        <w:t>celebrados, que deberán contener, por los menos, lo siguiente:</w:t>
      </w:r>
    </w:p>
    <w:p w14:paraId="7C1837E5" w14:textId="77777777" w:rsidR="001103E4" w:rsidRPr="00BA513A" w:rsidRDefault="001103E4" w:rsidP="007105DF">
      <w:pPr>
        <w:pStyle w:val="Prrafodelista"/>
        <w:tabs>
          <w:tab w:val="left" w:pos="426"/>
        </w:tabs>
        <w:spacing w:before="240" w:after="240" w:line="276" w:lineRule="auto"/>
        <w:jc w:val="both"/>
        <w:rPr>
          <w:rFonts w:ascii="Palatino Linotype" w:hAnsi="Palatino Linotype"/>
        </w:rPr>
      </w:pPr>
    </w:p>
    <w:p w14:paraId="21B674EC" w14:textId="77777777" w:rsidR="001103E4" w:rsidRPr="00BA513A" w:rsidRDefault="001103E4" w:rsidP="007105DF">
      <w:pPr>
        <w:pStyle w:val="Prrafodelista"/>
        <w:tabs>
          <w:tab w:val="left" w:pos="426"/>
        </w:tabs>
        <w:spacing w:before="240" w:after="240" w:line="276" w:lineRule="auto"/>
        <w:ind w:left="1418"/>
        <w:jc w:val="both"/>
        <w:rPr>
          <w:rFonts w:ascii="Palatino Linotype" w:eastAsia="MS Mincho" w:hAnsi="Palatino Linotype" w:cs="Times New Roman"/>
        </w:rPr>
      </w:pPr>
    </w:p>
    <w:p w14:paraId="1064613E" w14:textId="6E35D197" w:rsidR="00A33ECD" w:rsidRPr="00BA513A" w:rsidRDefault="001103E4" w:rsidP="007105DF">
      <w:pPr>
        <w:pStyle w:val="Prrafodelista"/>
        <w:tabs>
          <w:tab w:val="left" w:pos="426"/>
        </w:tabs>
        <w:spacing w:before="240" w:after="240" w:line="276" w:lineRule="auto"/>
        <w:jc w:val="both"/>
        <w:rPr>
          <w:rFonts w:ascii="Palatino Linotype" w:hAnsi="Palatino Linotype"/>
        </w:rPr>
      </w:pPr>
      <w:r w:rsidRPr="00BA513A">
        <w:rPr>
          <w:rFonts w:ascii="Palatino Linotype" w:hAnsi="Palatino Linotype"/>
          <w:b/>
        </w:rPr>
        <w:t>XXXII.</w:t>
      </w:r>
      <w:r w:rsidRPr="00BA513A">
        <w:rPr>
          <w:rFonts w:ascii="Palatino Linotype" w:hAnsi="Palatino Linotype"/>
        </w:rPr>
        <w:t xml:space="preserve"> Las concesiones, </w:t>
      </w:r>
      <w:r w:rsidRPr="00BA513A">
        <w:rPr>
          <w:rFonts w:ascii="Palatino Linotype" w:hAnsi="Palatino Linotype"/>
          <w:b/>
        </w:rPr>
        <w:t>contratos</w:t>
      </w:r>
      <w:r w:rsidRPr="00BA513A">
        <w:rPr>
          <w:rFonts w:ascii="Palatino Linotype" w:hAnsi="Palatino Linotype"/>
        </w:rPr>
        <w:t xml:space="preserve">, convenios, permisos, licencias o autorizaciones otorgados, especificando los titulares de aquéllos, debiendo </w:t>
      </w:r>
      <w:r w:rsidRPr="00BA513A">
        <w:rPr>
          <w:rFonts w:ascii="Palatino Linotype" w:hAnsi="Palatino Linotype"/>
        </w:rPr>
        <w:lastRenderedPageBreak/>
        <w:t>publicarse su objeto, nombre o razón social del titular, vigencia, tipo, términos, condiciones, monto y modificaciones, así como si el procedimiento involucra el aprovechamiento de bienes, servicios y/o recursos públicos;</w:t>
      </w:r>
    </w:p>
    <w:p w14:paraId="77106DFF" w14:textId="77777777" w:rsidR="001103E4" w:rsidRPr="00BA513A" w:rsidRDefault="001103E4" w:rsidP="007105DF">
      <w:pPr>
        <w:pStyle w:val="Prrafodelista"/>
        <w:tabs>
          <w:tab w:val="left" w:pos="426"/>
        </w:tabs>
        <w:spacing w:before="240" w:after="240" w:line="276" w:lineRule="auto"/>
        <w:jc w:val="both"/>
        <w:rPr>
          <w:rFonts w:ascii="Palatino Linotype" w:eastAsia="MS Mincho" w:hAnsi="Palatino Linotype" w:cs="Times New Roman"/>
        </w:rPr>
      </w:pPr>
    </w:p>
    <w:p w14:paraId="61E5D621" w14:textId="7B1CAF25" w:rsidR="00AA171B" w:rsidRPr="00BA513A" w:rsidRDefault="001A76DA"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t>Por lo tanto</w:t>
      </w:r>
      <w:r w:rsidR="00781A67" w:rsidRPr="00BA513A">
        <w:rPr>
          <w:rFonts w:ascii="Palatino Linotype" w:eastAsia="MS Mincho" w:hAnsi="Palatino Linotype" w:cs="Times New Roman"/>
        </w:rPr>
        <w:t>,</w:t>
      </w:r>
      <w:r w:rsidRPr="00BA513A">
        <w:rPr>
          <w:rFonts w:ascii="Palatino Linotype" w:eastAsia="MS Mincho" w:hAnsi="Palatino Linotype" w:cs="Times New Roman"/>
        </w:rPr>
        <w:t xml:space="preserve"> es importante mencionar </w:t>
      </w:r>
      <w:r w:rsidR="00CB49F3" w:rsidRPr="00BA513A">
        <w:rPr>
          <w:rFonts w:ascii="Palatino Linotype" w:eastAsia="MS Mincho" w:hAnsi="Palatino Linotype" w:cs="Times New Roman"/>
        </w:rPr>
        <w:t xml:space="preserve">que </w:t>
      </w:r>
      <w:r w:rsidR="001103E4" w:rsidRPr="00BA513A">
        <w:rPr>
          <w:rFonts w:ascii="Palatino Linotype" w:eastAsia="MS Mincho" w:hAnsi="Palatino Linotype" w:cs="Times New Roman"/>
        </w:rPr>
        <w:t xml:space="preserve">la información referente a   contratos, forman parte de las obligaciones de transparencia común del </w:t>
      </w:r>
      <w:r w:rsidR="001103E4" w:rsidRPr="00BA513A">
        <w:rPr>
          <w:rFonts w:ascii="Palatino Linotype" w:eastAsia="MS Mincho" w:hAnsi="Palatino Linotype" w:cs="Times New Roman"/>
          <w:b/>
        </w:rPr>
        <w:t xml:space="preserve">SUJETO OBLIGADO </w:t>
      </w:r>
      <w:r w:rsidR="001103E4" w:rsidRPr="00BA513A">
        <w:rPr>
          <w:rFonts w:ascii="Palatino Linotype" w:eastAsia="MS Mincho" w:hAnsi="Palatino Linotype" w:cs="Times New Roman"/>
        </w:rPr>
        <w:t xml:space="preserve">establecido en la </w:t>
      </w:r>
      <w:r w:rsidR="001103E4" w:rsidRPr="00BA513A">
        <w:rPr>
          <w:rFonts w:ascii="Palatino Linotype" w:eastAsia="MS Mincho" w:hAnsi="Palatino Linotype" w:cs="Times New Roman"/>
          <w:b/>
        </w:rPr>
        <w:t>Ley de Transparencia y Acceso a la Información Pública del Estado de México y Municipios</w:t>
      </w:r>
      <w:r w:rsidR="001103E4" w:rsidRPr="00BA513A">
        <w:rPr>
          <w:rFonts w:ascii="Palatino Linotype" w:eastAsia="MS Mincho" w:hAnsi="Palatino Linotype" w:cs="Times New Roman"/>
        </w:rPr>
        <w:t xml:space="preserve"> en el Título Quinto ya antes referido, así mismo </w:t>
      </w:r>
      <w:r w:rsidRPr="00BA513A">
        <w:rPr>
          <w:rFonts w:ascii="Palatino Linotype" w:eastAsia="MS Mincho" w:hAnsi="Palatino Linotype" w:cs="Times New Roman"/>
        </w:rPr>
        <w:t xml:space="preserve">la Comisión de Conciliación y Arbitraje Médico del Estado de México,  si posee la facultad de celebrar contratos, mismo que </w:t>
      </w:r>
      <w:r w:rsidR="00AA171B" w:rsidRPr="00BA513A">
        <w:rPr>
          <w:rFonts w:ascii="Palatino Linotype" w:eastAsia="MS Mincho" w:hAnsi="Palatino Linotype" w:cs="Times New Roman"/>
        </w:rPr>
        <w:t>corresponde a las atribuciones del comisionado y refiriere también dentro de las atribuciones específicas de la Unidad de Apoyo Administrativo</w:t>
      </w:r>
      <w:r w:rsidR="00CB49F3" w:rsidRPr="00BA513A">
        <w:rPr>
          <w:rFonts w:ascii="Palatino Linotype" w:eastAsia="MS Mincho" w:hAnsi="Palatino Linotype" w:cs="Times New Roman"/>
        </w:rPr>
        <w:t xml:space="preserve"> decretado en el Reglamento Interno de la Comisión de Conciliación y Arbitraje Médico del Estado de México en  el capítulo III  y V</w:t>
      </w:r>
      <w:r w:rsidR="00AA171B" w:rsidRPr="00BA513A">
        <w:rPr>
          <w:rFonts w:ascii="Palatino Linotype" w:eastAsia="MS Mincho" w:hAnsi="Palatino Linotype" w:cs="Times New Roman"/>
        </w:rPr>
        <w:t xml:space="preserve">. </w:t>
      </w:r>
    </w:p>
    <w:p w14:paraId="3643FEBD" w14:textId="77777777" w:rsidR="006654ED" w:rsidRPr="00BA513A" w:rsidRDefault="006654ED" w:rsidP="006654ED">
      <w:pPr>
        <w:pStyle w:val="Prrafodelista"/>
        <w:tabs>
          <w:tab w:val="left" w:pos="426"/>
        </w:tabs>
        <w:spacing w:before="240" w:after="240" w:line="276" w:lineRule="auto"/>
        <w:ind w:left="0"/>
        <w:jc w:val="both"/>
        <w:rPr>
          <w:rFonts w:ascii="Palatino Linotype" w:eastAsia="MS Mincho" w:hAnsi="Palatino Linotype" w:cs="Times New Roman"/>
        </w:rPr>
      </w:pPr>
    </w:p>
    <w:p w14:paraId="2180D901" w14:textId="782716E5" w:rsidR="006654ED" w:rsidRPr="00BA513A" w:rsidRDefault="006654ED" w:rsidP="006654ED">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t>Por otro lado, si derivado de la búsqueda de la información, no se localizara en los archivos del SUJETO OBLIGADO, este deberá atender las formalidades que establece el fundamento jurídico plasmado en el artículo 19 de la ley de la materia y que es del tenor literal siguiente:</w:t>
      </w:r>
    </w:p>
    <w:p w14:paraId="699074BF" w14:textId="77777777" w:rsidR="006654ED" w:rsidRPr="00BA513A" w:rsidRDefault="006654ED" w:rsidP="006654ED">
      <w:pPr>
        <w:pStyle w:val="Prrafodelista"/>
        <w:tabs>
          <w:tab w:val="left" w:pos="426"/>
        </w:tabs>
        <w:spacing w:before="240" w:after="240" w:line="276" w:lineRule="auto"/>
        <w:ind w:left="0"/>
        <w:jc w:val="both"/>
        <w:rPr>
          <w:rFonts w:ascii="Palatino Linotype" w:eastAsia="MS Mincho" w:hAnsi="Palatino Linotype" w:cs="Times New Roman"/>
        </w:rPr>
      </w:pPr>
    </w:p>
    <w:p w14:paraId="75F3C6D8" w14:textId="105C4810" w:rsidR="006654ED" w:rsidRPr="00BA513A" w:rsidRDefault="006654ED" w:rsidP="006654ED">
      <w:pPr>
        <w:spacing w:line="276" w:lineRule="auto"/>
        <w:ind w:left="567" w:right="567"/>
        <w:jc w:val="both"/>
        <w:rPr>
          <w:rFonts w:ascii="Palatino Linotype" w:hAnsi="Palatino Linotype"/>
          <w:sz w:val="22"/>
          <w:lang w:val="es-ES"/>
        </w:rPr>
      </w:pPr>
      <w:r w:rsidRPr="00BA513A">
        <w:rPr>
          <w:rFonts w:ascii="Palatino Linotype" w:hAnsi="Palatino Linotype"/>
          <w:b/>
          <w:i/>
          <w:sz w:val="22"/>
          <w:lang w:val="es-ES"/>
        </w:rPr>
        <w:t>“Artículo 19.</w:t>
      </w:r>
      <w:r w:rsidRPr="00BA513A">
        <w:rPr>
          <w:rFonts w:ascii="Palatino Linotype" w:hAnsi="Palatino Linotype"/>
          <w:i/>
          <w:sz w:val="22"/>
          <w:lang w:val="es-ES"/>
        </w:rPr>
        <w:t xml:space="preserve"> Se presume que la información debe existir si se refiere a las facultades, competencias y funciones que los ordenamientos jurídicos aplicables otorgan a los sujetos obligados.</w:t>
      </w:r>
    </w:p>
    <w:p w14:paraId="2420400C" w14:textId="77777777" w:rsidR="006654ED" w:rsidRPr="00BA513A" w:rsidRDefault="006654ED" w:rsidP="006654ED">
      <w:pPr>
        <w:spacing w:line="276" w:lineRule="auto"/>
        <w:ind w:left="567" w:right="567"/>
        <w:jc w:val="both"/>
        <w:rPr>
          <w:rFonts w:ascii="Palatino Linotype" w:hAnsi="Palatino Linotype"/>
          <w:b/>
          <w:i/>
          <w:sz w:val="22"/>
          <w:lang w:val="es-ES"/>
        </w:rPr>
      </w:pPr>
      <w:r w:rsidRPr="00BA513A">
        <w:rPr>
          <w:rFonts w:ascii="Palatino Linotype" w:hAnsi="Palatino Linotype"/>
          <w:b/>
          <w:i/>
          <w:sz w:val="22"/>
          <w:lang w:val="es-ES"/>
        </w:rPr>
        <w:t>En los casos en que ciertas facultades, competencias o funciones no se hayan ejercido, se debe motivar la respuesta en función de las causas que motiven tal circunstancia.</w:t>
      </w:r>
    </w:p>
    <w:p w14:paraId="3F454782" w14:textId="69CED54A" w:rsidR="006654ED" w:rsidRPr="00BA513A" w:rsidRDefault="006654ED" w:rsidP="006654ED">
      <w:pPr>
        <w:spacing w:line="276" w:lineRule="auto"/>
        <w:ind w:left="567" w:right="567"/>
        <w:jc w:val="both"/>
        <w:rPr>
          <w:rFonts w:ascii="Palatino Linotype" w:hAnsi="Palatino Linotype"/>
          <w:i/>
          <w:sz w:val="22"/>
          <w:lang w:val="es-ES"/>
        </w:rPr>
      </w:pPr>
      <w:r w:rsidRPr="00BA513A">
        <w:rPr>
          <w:rFonts w:ascii="Palatino Linotype" w:hAnsi="Palatino Linotype"/>
          <w:i/>
          <w:sz w:val="22"/>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445DA10" w14:textId="5FD51AD2" w:rsidR="006654ED" w:rsidRPr="00BA513A" w:rsidRDefault="006654ED" w:rsidP="006654ED">
      <w:pPr>
        <w:spacing w:line="276" w:lineRule="auto"/>
        <w:ind w:left="567" w:right="567"/>
        <w:jc w:val="both"/>
        <w:rPr>
          <w:rFonts w:ascii="Palatino Linotype" w:hAnsi="Palatino Linotype"/>
          <w:sz w:val="22"/>
          <w:lang w:val="es-ES"/>
        </w:rPr>
      </w:pPr>
      <w:r w:rsidRPr="00BA513A">
        <w:rPr>
          <w:rFonts w:ascii="Palatino Linotype" w:hAnsi="Palatino Linotype"/>
          <w:sz w:val="22"/>
          <w:lang w:val="es-ES"/>
        </w:rPr>
        <w:t>(Énfasis añadido)</w:t>
      </w:r>
    </w:p>
    <w:p w14:paraId="5636A20C" w14:textId="77777777" w:rsidR="006654ED" w:rsidRPr="00BA513A" w:rsidRDefault="006654ED" w:rsidP="006654ED">
      <w:pPr>
        <w:pStyle w:val="Prrafodelista"/>
        <w:tabs>
          <w:tab w:val="left" w:pos="426"/>
        </w:tabs>
        <w:spacing w:before="240" w:after="240" w:line="276" w:lineRule="auto"/>
        <w:ind w:left="0"/>
        <w:jc w:val="both"/>
        <w:rPr>
          <w:rFonts w:ascii="Palatino Linotype" w:eastAsia="MS Mincho" w:hAnsi="Palatino Linotype" w:cs="Times New Roman"/>
        </w:rPr>
      </w:pPr>
    </w:p>
    <w:p w14:paraId="6711D01B" w14:textId="0E82BF6A" w:rsidR="006654ED" w:rsidRPr="00BA513A" w:rsidRDefault="006654ED"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rPr>
      </w:pPr>
      <w:r w:rsidRPr="00BA513A">
        <w:rPr>
          <w:rFonts w:ascii="Palatino Linotype" w:eastAsia="MS Mincho" w:hAnsi="Palatino Linotype" w:cs="Times New Roman"/>
        </w:rPr>
        <w:lastRenderedPageBreak/>
        <w:t xml:space="preserve">Por lo que de ser el caso que dicha información no haya sido generada el </w:t>
      </w:r>
      <w:r w:rsidRPr="00BA513A">
        <w:rPr>
          <w:rFonts w:ascii="Palatino Linotype" w:eastAsia="MS Mincho" w:hAnsi="Palatino Linotype" w:cs="Times New Roman"/>
          <w:b/>
        </w:rPr>
        <w:t xml:space="preserve">SUJETO OBLIGADO </w:t>
      </w:r>
      <w:r w:rsidRPr="00BA513A">
        <w:rPr>
          <w:rFonts w:ascii="Palatino Linotype" w:eastAsia="MS Mincho" w:hAnsi="Palatino Linotype" w:cs="Times New Roman"/>
        </w:rPr>
        <w:t>deberá de manifestar, de manera precisa y clara</w:t>
      </w:r>
      <w:r w:rsidRPr="00BA513A">
        <w:rPr>
          <w:rFonts w:ascii="Palatino Linotype" w:eastAsia="MS Mincho" w:hAnsi="Palatino Linotype" w:cs="Times New Roman"/>
          <w:b/>
        </w:rPr>
        <w:t>, las razones que expliquen las causas por las que no se haya generado</w:t>
      </w:r>
      <w:r w:rsidRPr="00BA513A">
        <w:rPr>
          <w:rFonts w:ascii="Palatino Linotype" w:eastAsia="MS Mincho" w:hAnsi="Palatino Linotype" w:cs="Times New Roman"/>
        </w:rPr>
        <w:t xml:space="preserve"> la información requerida en el presente asunto.</w:t>
      </w:r>
    </w:p>
    <w:p w14:paraId="13F0E898" w14:textId="77777777" w:rsidR="00781A67" w:rsidRPr="00BA513A" w:rsidRDefault="00781A67"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57707E71" w14:textId="77777777" w:rsidR="00434367" w:rsidRPr="00BA513A" w:rsidRDefault="00434367" w:rsidP="007105DF">
      <w:pPr>
        <w:pStyle w:val="Prrafodelista"/>
        <w:tabs>
          <w:tab w:val="left" w:pos="426"/>
        </w:tabs>
        <w:spacing w:before="240" w:after="240" w:line="276" w:lineRule="auto"/>
        <w:ind w:left="0"/>
        <w:jc w:val="both"/>
        <w:rPr>
          <w:rFonts w:ascii="Palatino Linotype" w:eastAsia="MS Mincho" w:hAnsi="Palatino Linotype" w:cs="Times New Roman"/>
        </w:rPr>
      </w:pPr>
    </w:p>
    <w:p w14:paraId="5794ED4B" w14:textId="35494889" w:rsidR="00434367" w:rsidRPr="00BA513A" w:rsidRDefault="00434367" w:rsidP="007105DF">
      <w:pPr>
        <w:pStyle w:val="Prrafodelista"/>
        <w:tabs>
          <w:tab w:val="left" w:pos="426"/>
        </w:tabs>
        <w:spacing w:before="240" w:after="240" w:line="276" w:lineRule="auto"/>
        <w:ind w:left="0"/>
        <w:jc w:val="both"/>
        <w:rPr>
          <w:rFonts w:ascii="Palatino Linotype" w:eastAsia="MS Mincho" w:hAnsi="Palatino Linotype" w:cs="Times New Roman"/>
          <w:b/>
        </w:rPr>
      </w:pPr>
      <w:r w:rsidRPr="00BA513A">
        <w:rPr>
          <w:rFonts w:ascii="Palatino Linotype" w:eastAsia="MS Mincho" w:hAnsi="Palatino Linotype" w:cs="Times New Roman"/>
          <w:b/>
        </w:rPr>
        <w:t>•</w:t>
      </w:r>
      <w:r w:rsidRPr="00BA513A">
        <w:rPr>
          <w:rFonts w:ascii="Palatino Linotype" w:eastAsia="MS Mincho" w:hAnsi="Palatino Linotype" w:cs="Times New Roman"/>
          <w:b/>
        </w:rPr>
        <w:tab/>
        <w:t>De la obligación de documentar.</w:t>
      </w:r>
    </w:p>
    <w:p w14:paraId="1C17D128" w14:textId="77777777" w:rsidR="00781A67" w:rsidRPr="00BA513A" w:rsidRDefault="00781A67" w:rsidP="007105DF">
      <w:pPr>
        <w:pStyle w:val="Prrafodelista"/>
        <w:tabs>
          <w:tab w:val="left" w:pos="426"/>
        </w:tabs>
        <w:spacing w:before="240" w:after="240" w:line="276" w:lineRule="auto"/>
        <w:ind w:left="0"/>
        <w:jc w:val="both"/>
        <w:rPr>
          <w:rFonts w:ascii="Palatino Linotype" w:eastAsia="MS Mincho" w:hAnsi="Palatino Linotype" w:cs="Times New Roman"/>
          <w:b/>
        </w:rPr>
      </w:pPr>
    </w:p>
    <w:p w14:paraId="4C0A447B" w14:textId="77777777" w:rsidR="00434367" w:rsidRPr="00BA513A" w:rsidRDefault="00434367"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i/>
        </w:rPr>
      </w:pPr>
      <w:r w:rsidRPr="00BA513A">
        <w:rPr>
          <w:rFonts w:ascii="Palatino Linotype" w:eastAsia="MS Mincho" w:hAnsi="Palatino Linotype" w:cs="Times New Roman"/>
        </w:rPr>
        <w:t xml:space="preserve">Derivado de la manifestación del Sujeto Obligado, debemos mencionar que, el derecho de acceso a la información </w:t>
      </w:r>
      <w:r w:rsidRPr="00BA513A">
        <w:rPr>
          <w:rFonts w:ascii="Palatino Linotype" w:eastAsia="MS Mincho" w:hAnsi="Palatino Linotype" w:cs="Times New Roman"/>
          <w:i/>
        </w:rPr>
        <w:t xml:space="preserve">es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control democrático de las gestiones estatales, de forma tal que puedan cuestionar, indagar y considerar si se está dando un adecuado cumplimiento de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 </w:t>
      </w:r>
      <w:r w:rsidRPr="00BA513A">
        <w:rPr>
          <w:rStyle w:val="Refdenotaalpie"/>
          <w:rFonts w:ascii="Palatino Linotype" w:eastAsia="MS Mincho" w:hAnsi="Palatino Linotype" w:cs="Times New Roman"/>
          <w:i/>
        </w:rPr>
        <w:footnoteReference w:id="4"/>
      </w:r>
      <w:r w:rsidRPr="00BA513A">
        <w:rPr>
          <w:rFonts w:ascii="Palatino Linotype" w:eastAsia="MS Mincho" w:hAnsi="Palatino Linotype" w:cs="Times New Roman"/>
          <w:i/>
        </w:rPr>
        <w:t>”</w:t>
      </w:r>
    </w:p>
    <w:p w14:paraId="20E9D5E7" w14:textId="77777777" w:rsidR="00434367" w:rsidRPr="00BA513A" w:rsidRDefault="00434367" w:rsidP="007105DF">
      <w:pPr>
        <w:pStyle w:val="Prrafodelista"/>
        <w:tabs>
          <w:tab w:val="left" w:pos="426"/>
        </w:tabs>
        <w:spacing w:before="240" w:after="240" w:line="276" w:lineRule="auto"/>
        <w:ind w:left="0"/>
        <w:jc w:val="both"/>
        <w:rPr>
          <w:rFonts w:ascii="Palatino Linotype" w:eastAsia="MS Mincho" w:hAnsi="Palatino Linotype" w:cs="Times New Roman"/>
          <w:i/>
        </w:rPr>
      </w:pPr>
    </w:p>
    <w:p w14:paraId="0587202C" w14:textId="77777777" w:rsidR="00434367" w:rsidRPr="00BA513A" w:rsidRDefault="00434367"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i/>
        </w:rPr>
      </w:pPr>
      <w:r w:rsidRPr="00BA513A">
        <w:rPr>
          <w:rFonts w:ascii="Palatino Linotype" w:eastAsia="MS Mincho" w:hAnsi="Palatino Linotype" w:cs="Times New Roman"/>
        </w:rPr>
        <w:t xml:space="preserve">El acceso a la información es un derecho humano constitucional y convencionalmente reconocido y para tal efecto el párrafo tercero del artículo primero de la Constitución Política de los Estados Unidos Mexicanos establece el deber de todas las autoridades, en el ámbito de sus atribuciones, de promover, respetar, proteger y garantizar los derechos humanos. En cuanto al derecho de acceso a la información, la Ley de Transparencia y Acceso a la Información Pública </w:t>
      </w:r>
      <w:r w:rsidRPr="00BA513A">
        <w:rPr>
          <w:rFonts w:ascii="Palatino Linotype" w:eastAsia="MS Mincho" w:hAnsi="Palatino Linotype" w:cs="Times New Roman"/>
        </w:rPr>
        <w:lastRenderedPageBreak/>
        <w:t>del Estado de México y Municipios prevé establece que el procedimiento de acceso a la información es la garantía primaria del derecho en cuestión y se rige por los principios de simplicidad, rapidez y gratuidad del procedimiento, auxilio y orientación a los particulares , asimismo establece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C0948AC" w14:textId="77777777" w:rsidR="00434367" w:rsidRPr="00BA513A" w:rsidRDefault="00434367" w:rsidP="007105DF">
      <w:pPr>
        <w:pStyle w:val="Prrafodelista"/>
        <w:tabs>
          <w:tab w:val="left" w:pos="426"/>
        </w:tabs>
        <w:spacing w:before="240" w:after="240" w:line="276" w:lineRule="auto"/>
        <w:ind w:left="0"/>
        <w:jc w:val="both"/>
        <w:rPr>
          <w:rFonts w:ascii="Palatino Linotype" w:eastAsia="MS Mincho" w:hAnsi="Palatino Linotype" w:cs="Times New Roman"/>
          <w:i/>
        </w:rPr>
      </w:pPr>
    </w:p>
    <w:p w14:paraId="28E85D85" w14:textId="77777777" w:rsidR="00C772B6" w:rsidRPr="00BA513A" w:rsidRDefault="00434367"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i/>
        </w:rPr>
      </w:pPr>
      <w:r w:rsidRPr="00BA513A">
        <w:rPr>
          <w:rFonts w:ascii="Palatino Linotype" w:eastAsia="MS Mincho" w:hAnsi="Palatino Linotype" w:cs="Times New Roman"/>
        </w:rPr>
        <w:t>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5F305AF2" w14:textId="77777777" w:rsidR="00C772B6" w:rsidRPr="00BA513A" w:rsidRDefault="00C772B6" w:rsidP="007105DF">
      <w:pPr>
        <w:pStyle w:val="Prrafodelista"/>
        <w:tabs>
          <w:tab w:val="left" w:pos="426"/>
        </w:tabs>
        <w:spacing w:before="240" w:after="240" w:line="276" w:lineRule="auto"/>
        <w:ind w:left="0"/>
        <w:jc w:val="both"/>
        <w:rPr>
          <w:rFonts w:ascii="Palatino Linotype" w:eastAsia="MS Mincho" w:hAnsi="Palatino Linotype" w:cs="Times New Roman"/>
          <w:i/>
        </w:rPr>
      </w:pPr>
    </w:p>
    <w:p w14:paraId="31927AB5" w14:textId="77777777" w:rsidR="00C772B6" w:rsidRPr="00BA513A" w:rsidRDefault="00434367"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i/>
        </w:rPr>
      </w:pPr>
      <w:r w:rsidRPr="00BA513A">
        <w:rPr>
          <w:rFonts w:ascii="Palatino Linotype" w:eastAsia="MS Mincho" w:hAnsi="Palatino Linotype" w:cs="Times New Roman"/>
        </w:rPr>
        <w:t>Además, debemos tomar en cuenta los artículos 4 y 12, de la Ley de Transparencia y Acceso a la Información Pública del Estado de México y Municipios, los cuales establecen lo siguiente:</w:t>
      </w:r>
    </w:p>
    <w:p w14:paraId="45BA06B5" w14:textId="77777777" w:rsidR="00C772B6" w:rsidRPr="00BA513A" w:rsidRDefault="00C772B6" w:rsidP="007105DF">
      <w:pPr>
        <w:pStyle w:val="Prrafodelista"/>
        <w:tabs>
          <w:tab w:val="left" w:pos="426"/>
        </w:tabs>
        <w:spacing w:before="240" w:after="240" w:line="276" w:lineRule="auto"/>
        <w:ind w:left="0"/>
        <w:jc w:val="both"/>
        <w:rPr>
          <w:rFonts w:ascii="Palatino Linotype" w:eastAsia="MS Mincho" w:hAnsi="Palatino Linotype" w:cs="Times New Roman"/>
          <w:i/>
        </w:rPr>
      </w:pPr>
    </w:p>
    <w:p w14:paraId="6B0A2AD9" w14:textId="77777777" w:rsidR="00C772B6" w:rsidRPr="00BA513A" w:rsidRDefault="00C772B6" w:rsidP="007105DF">
      <w:pPr>
        <w:pStyle w:val="Prrafodelista"/>
        <w:tabs>
          <w:tab w:val="left" w:pos="426"/>
        </w:tabs>
        <w:spacing w:before="240" w:after="240" w:line="276" w:lineRule="auto"/>
        <w:jc w:val="both"/>
        <w:rPr>
          <w:rFonts w:ascii="Palatino Linotype" w:eastAsia="MS Mincho" w:hAnsi="Palatino Linotype" w:cs="Times New Roman"/>
          <w:i/>
        </w:rPr>
      </w:pPr>
      <w:r w:rsidRPr="00BA513A">
        <w:rPr>
          <w:rFonts w:ascii="Palatino Linotype" w:eastAsia="MS Mincho" w:hAnsi="Palatino Linotype" w:cs="Times New Roman"/>
          <w:i/>
        </w:rPr>
        <w:t>Artículo 4. El derecho humano de acceso a la información pública es la prerrogativa de las personas para buscar, difundir, investigar, recabar, recibir y solicitar información pública, sin necesidad de acreditar personalidad ni interés jurídico.</w:t>
      </w:r>
    </w:p>
    <w:p w14:paraId="001AB2CF" w14:textId="77777777" w:rsidR="00C772B6" w:rsidRPr="00BA513A" w:rsidRDefault="00C772B6" w:rsidP="007105DF">
      <w:pPr>
        <w:pStyle w:val="Prrafodelista"/>
        <w:tabs>
          <w:tab w:val="left" w:pos="426"/>
        </w:tabs>
        <w:spacing w:before="240" w:after="240" w:line="276" w:lineRule="auto"/>
        <w:jc w:val="both"/>
        <w:rPr>
          <w:rFonts w:ascii="Palatino Linotype" w:eastAsia="MS Mincho" w:hAnsi="Palatino Linotype" w:cs="Times New Roman"/>
          <w:i/>
        </w:rPr>
      </w:pPr>
    </w:p>
    <w:p w14:paraId="1B4A58F0" w14:textId="77777777" w:rsidR="00C772B6" w:rsidRPr="00BA513A" w:rsidRDefault="00C772B6" w:rsidP="007105DF">
      <w:pPr>
        <w:pStyle w:val="Prrafodelista"/>
        <w:tabs>
          <w:tab w:val="left" w:pos="426"/>
        </w:tabs>
        <w:spacing w:before="240" w:after="240" w:line="276" w:lineRule="auto"/>
        <w:jc w:val="both"/>
        <w:rPr>
          <w:rFonts w:ascii="Palatino Linotype" w:eastAsia="MS Mincho" w:hAnsi="Palatino Linotype" w:cs="Times New Roman"/>
          <w:i/>
        </w:rPr>
      </w:pPr>
      <w:r w:rsidRPr="00BA513A">
        <w:rPr>
          <w:rFonts w:ascii="Palatino Linotype" w:eastAsia="MS Mincho" w:hAnsi="Palatino Linotype" w:cs="Times New Roman"/>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BA513A">
        <w:rPr>
          <w:rFonts w:ascii="Palatino Linotype" w:eastAsia="MS Mincho" w:hAnsi="Palatino Linotype" w:cs="Times New Roman"/>
          <w:i/>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0E42A956" w14:textId="77777777" w:rsidR="00C772B6" w:rsidRPr="00BA513A" w:rsidRDefault="00C772B6" w:rsidP="007105DF">
      <w:pPr>
        <w:pStyle w:val="Prrafodelista"/>
        <w:tabs>
          <w:tab w:val="left" w:pos="426"/>
        </w:tabs>
        <w:spacing w:before="240" w:after="240" w:line="276" w:lineRule="auto"/>
        <w:jc w:val="both"/>
        <w:rPr>
          <w:rFonts w:ascii="Palatino Linotype" w:eastAsia="MS Mincho" w:hAnsi="Palatino Linotype" w:cs="Times New Roman"/>
          <w:i/>
        </w:rPr>
      </w:pPr>
    </w:p>
    <w:p w14:paraId="2E67084F" w14:textId="77777777" w:rsidR="00C772B6" w:rsidRPr="00BA513A" w:rsidRDefault="00C772B6" w:rsidP="007105DF">
      <w:pPr>
        <w:pStyle w:val="Prrafodelista"/>
        <w:tabs>
          <w:tab w:val="left" w:pos="426"/>
        </w:tabs>
        <w:spacing w:before="240" w:after="240" w:line="276" w:lineRule="auto"/>
        <w:jc w:val="both"/>
        <w:rPr>
          <w:rFonts w:ascii="Palatino Linotype" w:eastAsia="MS Mincho" w:hAnsi="Palatino Linotype" w:cs="Times New Roman"/>
          <w:i/>
        </w:rPr>
      </w:pPr>
      <w:r w:rsidRPr="00BA513A">
        <w:rPr>
          <w:rFonts w:ascii="Palatino Linotype" w:eastAsia="MS Mincho" w:hAnsi="Palatino Linotype" w:cs="Times New Roman"/>
          <w:i/>
        </w:rPr>
        <w:t>Los sujetos obligados deben poner en práctica, políticas y programas de acceso a la información que se apeguen a criterios de publicidad, veracidad, oportunidad, precisión y suficiencia en beneficio de los solicitantes.</w:t>
      </w:r>
    </w:p>
    <w:p w14:paraId="41B67DCA" w14:textId="77777777" w:rsidR="00C772B6" w:rsidRPr="00BA513A" w:rsidRDefault="00C772B6" w:rsidP="007105DF">
      <w:pPr>
        <w:pStyle w:val="Prrafodelista"/>
        <w:tabs>
          <w:tab w:val="left" w:pos="426"/>
        </w:tabs>
        <w:spacing w:before="240" w:after="240" w:line="276" w:lineRule="auto"/>
        <w:jc w:val="both"/>
        <w:rPr>
          <w:rFonts w:ascii="Palatino Linotype" w:eastAsia="MS Mincho" w:hAnsi="Palatino Linotype" w:cs="Times New Roman"/>
          <w:i/>
        </w:rPr>
      </w:pPr>
    </w:p>
    <w:p w14:paraId="110485FA" w14:textId="77777777" w:rsidR="00C772B6" w:rsidRPr="00BA513A" w:rsidRDefault="00C772B6" w:rsidP="007105DF">
      <w:pPr>
        <w:pStyle w:val="Prrafodelista"/>
        <w:tabs>
          <w:tab w:val="left" w:pos="426"/>
        </w:tabs>
        <w:spacing w:before="240" w:after="240" w:line="276" w:lineRule="auto"/>
        <w:jc w:val="both"/>
        <w:rPr>
          <w:rFonts w:ascii="Palatino Linotype" w:eastAsia="MS Mincho" w:hAnsi="Palatino Linotype" w:cs="Times New Roman"/>
          <w:i/>
        </w:rPr>
      </w:pPr>
      <w:r w:rsidRPr="00BA513A">
        <w:rPr>
          <w:rFonts w:ascii="Palatino Linotype" w:eastAsia="MS Mincho" w:hAnsi="Palatino Linotype" w:cs="Times New Roman"/>
          <w:i/>
        </w:rPr>
        <w:t xml:space="preserve">Artículo 12. Quienes generen, recopilen, administren, manejen, procesen, archiven o conserven información pública serán responsables de la misma en los términos de las disposiciones jurídicas aplicables. </w:t>
      </w:r>
    </w:p>
    <w:p w14:paraId="75948841" w14:textId="77777777" w:rsidR="00C772B6" w:rsidRPr="00BA513A" w:rsidRDefault="00C772B6" w:rsidP="007105DF">
      <w:pPr>
        <w:pStyle w:val="Prrafodelista"/>
        <w:tabs>
          <w:tab w:val="left" w:pos="426"/>
        </w:tabs>
        <w:spacing w:before="240" w:after="240" w:line="276" w:lineRule="auto"/>
        <w:jc w:val="both"/>
        <w:rPr>
          <w:rFonts w:ascii="Palatino Linotype" w:eastAsia="MS Mincho" w:hAnsi="Palatino Linotype" w:cs="Times New Roman"/>
          <w:i/>
        </w:rPr>
      </w:pPr>
    </w:p>
    <w:p w14:paraId="5E3C2DE8" w14:textId="77777777" w:rsidR="00C772B6" w:rsidRPr="00BA513A" w:rsidRDefault="00C772B6" w:rsidP="007105DF">
      <w:pPr>
        <w:pStyle w:val="Prrafodelista"/>
        <w:tabs>
          <w:tab w:val="left" w:pos="426"/>
        </w:tabs>
        <w:spacing w:before="240" w:after="240" w:line="276" w:lineRule="auto"/>
        <w:jc w:val="both"/>
        <w:rPr>
          <w:rFonts w:ascii="Palatino Linotype" w:eastAsia="MS Mincho" w:hAnsi="Palatino Linotype" w:cs="Times New Roman"/>
          <w:i/>
        </w:rPr>
      </w:pPr>
      <w:r w:rsidRPr="00BA513A">
        <w:rPr>
          <w:rFonts w:ascii="Palatino Linotype" w:eastAsia="MS Mincho" w:hAnsi="Palatino Linotype" w:cs="Times New Roman"/>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BE2BDC" w14:textId="77777777" w:rsidR="00C772B6" w:rsidRPr="00BA513A" w:rsidRDefault="00C772B6" w:rsidP="007105DF">
      <w:pPr>
        <w:pStyle w:val="Prrafodelista"/>
        <w:tabs>
          <w:tab w:val="left" w:pos="426"/>
        </w:tabs>
        <w:spacing w:before="240" w:after="240" w:line="276" w:lineRule="auto"/>
        <w:ind w:left="0"/>
        <w:jc w:val="both"/>
        <w:rPr>
          <w:rFonts w:ascii="Palatino Linotype" w:eastAsia="MS Mincho" w:hAnsi="Palatino Linotype" w:cs="Times New Roman"/>
          <w:i/>
        </w:rPr>
      </w:pPr>
    </w:p>
    <w:p w14:paraId="16562DBF" w14:textId="77777777" w:rsidR="00C772B6" w:rsidRPr="00BA513A" w:rsidRDefault="00434367"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i/>
        </w:rPr>
      </w:pPr>
      <w:r w:rsidRPr="00BA513A">
        <w:rPr>
          <w:rFonts w:ascii="Palatino Linotype" w:eastAsia="MS Mincho" w:hAnsi="Palatino Linotype" w:cs="Times New Roman"/>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71F7061" w14:textId="77777777" w:rsidR="00C772B6" w:rsidRPr="00BA513A" w:rsidRDefault="00C772B6" w:rsidP="007105DF">
      <w:pPr>
        <w:pStyle w:val="Prrafodelista"/>
        <w:tabs>
          <w:tab w:val="left" w:pos="426"/>
        </w:tabs>
        <w:spacing w:before="240" w:after="240" w:line="276" w:lineRule="auto"/>
        <w:ind w:left="0"/>
        <w:jc w:val="both"/>
        <w:rPr>
          <w:rFonts w:ascii="Palatino Linotype" w:eastAsia="MS Mincho" w:hAnsi="Palatino Linotype" w:cs="Times New Roman"/>
          <w:i/>
        </w:rPr>
      </w:pPr>
    </w:p>
    <w:p w14:paraId="0417653F" w14:textId="77777777" w:rsidR="00C772B6" w:rsidRPr="00BA513A" w:rsidRDefault="00434367"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i/>
        </w:rPr>
      </w:pPr>
      <w:r w:rsidRPr="00BA513A">
        <w:rPr>
          <w:rFonts w:ascii="Palatino Linotype" w:eastAsia="MS Mincho" w:hAnsi="Palatino Linotype" w:cs="Times New Roman"/>
        </w:rPr>
        <w:t>Robustece lo anterior la Tesis aislada identificada con la clave I.4º. A.40 A del Cuarto Tribunal colegiado en Materia Administrativa del Primer Circuito, publicada en el Seminario Judicial de la Federación y su Gaceta en el libro XVIII, Marzo 2013, Página 1899.</w:t>
      </w:r>
    </w:p>
    <w:p w14:paraId="27FDA0A3" w14:textId="77777777" w:rsidR="009C6A1C" w:rsidRPr="00BA513A" w:rsidRDefault="009C6A1C" w:rsidP="007105DF">
      <w:pPr>
        <w:pStyle w:val="Prrafodelista"/>
        <w:tabs>
          <w:tab w:val="left" w:pos="426"/>
        </w:tabs>
        <w:spacing w:before="240" w:after="240" w:line="276" w:lineRule="auto"/>
        <w:ind w:left="0" w:right="616"/>
        <w:jc w:val="both"/>
        <w:rPr>
          <w:rFonts w:ascii="Palatino Linotype" w:eastAsia="MS Mincho" w:hAnsi="Palatino Linotype" w:cs="Times New Roman"/>
          <w:i/>
        </w:rPr>
      </w:pPr>
    </w:p>
    <w:p w14:paraId="6F389E9A" w14:textId="77777777" w:rsidR="00C772B6" w:rsidRPr="00BA513A" w:rsidRDefault="00C772B6" w:rsidP="007105DF">
      <w:pPr>
        <w:pStyle w:val="Prrafodelista"/>
        <w:tabs>
          <w:tab w:val="left" w:pos="426"/>
        </w:tabs>
        <w:spacing w:before="240" w:after="240" w:line="276" w:lineRule="auto"/>
        <w:ind w:right="616"/>
        <w:jc w:val="both"/>
        <w:rPr>
          <w:rFonts w:ascii="Palatino Linotype" w:eastAsia="MS Mincho" w:hAnsi="Palatino Linotype" w:cs="Times New Roman"/>
          <w:i/>
        </w:rPr>
      </w:pPr>
      <w:r w:rsidRPr="00BA513A">
        <w:rPr>
          <w:rFonts w:ascii="Palatino Linotype" w:eastAsia="MS Mincho" w:hAnsi="Palatino Linotype" w:cs="Times New Roman"/>
          <w:b/>
          <w:i/>
        </w:rPr>
        <w:lastRenderedPageBreak/>
        <w:t>ACCESO A LA INFORMACIÓN. IMPLICACIÓN DEL PRINCIPIO DE MÁXIMA PUBLICIDAD EN EL DERECHO FUNDAMENTAL RELATIVO.</w:t>
      </w:r>
      <w:r w:rsidRPr="00BA513A">
        <w:rPr>
          <w:rFonts w:ascii="Palatino Linotype" w:eastAsia="MS Mincho" w:hAnsi="Palatino Linotype" w:cs="Times New Roman"/>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A296E4F" w14:textId="77777777" w:rsidR="00C772B6" w:rsidRPr="00BA513A" w:rsidRDefault="00C772B6" w:rsidP="007105DF">
      <w:pPr>
        <w:pStyle w:val="Prrafodelista"/>
        <w:tabs>
          <w:tab w:val="left" w:pos="426"/>
        </w:tabs>
        <w:spacing w:before="240" w:after="240" w:line="276" w:lineRule="auto"/>
        <w:ind w:right="616"/>
        <w:jc w:val="both"/>
        <w:rPr>
          <w:rFonts w:ascii="Palatino Linotype" w:eastAsia="MS Mincho" w:hAnsi="Palatino Linotype" w:cs="Times New Roman"/>
          <w:i/>
        </w:rPr>
      </w:pPr>
    </w:p>
    <w:p w14:paraId="5279A9FC" w14:textId="77777777" w:rsidR="00C772B6" w:rsidRPr="00BA513A" w:rsidRDefault="00C772B6" w:rsidP="007105DF">
      <w:pPr>
        <w:pStyle w:val="Prrafodelista"/>
        <w:tabs>
          <w:tab w:val="left" w:pos="426"/>
        </w:tabs>
        <w:spacing w:before="240" w:after="240" w:line="276" w:lineRule="auto"/>
        <w:ind w:right="616"/>
        <w:jc w:val="both"/>
        <w:rPr>
          <w:rFonts w:ascii="Palatino Linotype" w:eastAsia="MS Mincho" w:hAnsi="Palatino Linotype" w:cs="Times New Roman"/>
          <w:i/>
        </w:rPr>
      </w:pPr>
      <w:r w:rsidRPr="00BA513A">
        <w:rPr>
          <w:rFonts w:ascii="Palatino Linotype" w:eastAsia="MS Mincho" w:hAnsi="Palatino Linotype" w:cs="Times New Roman"/>
          <w:i/>
        </w:rPr>
        <w:t xml:space="preserve">CUARTO TRIBUNAL COLEGIADO EN MATERIA ADMINISTRATIVA DEL PRIMER CIRCUITO. </w:t>
      </w:r>
    </w:p>
    <w:p w14:paraId="207B07DC" w14:textId="77777777" w:rsidR="00C772B6" w:rsidRPr="00BA513A" w:rsidRDefault="00C772B6" w:rsidP="007105DF">
      <w:pPr>
        <w:pStyle w:val="Prrafodelista"/>
        <w:tabs>
          <w:tab w:val="left" w:pos="426"/>
        </w:tabs>
        <w:spacing w:before="240" w:after="240" w:line="276" w:lineRule="auto"/>
        <w:ind w:left="851" w:right="616"/>
        <w:jc w:val="both"/>
        <w:rPr>
          <w:rFonts w:ascii="Palatino Linotype" w:eastAsia="MS Mincho" w:hAnsi="Palatino Linotype" w:cs="Times New Roman"/>
          <w:i/>
        </w:rPr>
      </w:pPr>
    </w:p>
    <w:p w14:paraId="501DB59F" w14:textId="1ECD7E57" w:rsidR="00C772B6" w:rsidRPr="00BA513A" w:rsidRDefault="00C772B6" w:rsidP="007105DF">
      <w:pPr>
        <w:pStyle w:val="Prrafodelista"/>
        <w:tabs>
          <w:tab w:val="left" w:pos="426"/>
        </w:tabs>
        <w:spacing w:before="240" w:after="240" w:line="276" w:lineRule="auto"/>
        <w:ind w:left="851" w:right="616"/>
        <w:jc w:val="both"/>
        <w:rPr>
          <w:rFonts w:ascii="Palatino Linotype" w:eastAsia="MS Mincho" w:hAnsi="Palatino Linotype" w:cs="Times New Roman"/>
          <w:i/>
        </w:rPr>
      </w:pPr>
      <w:r w:rsidRPr="00BA513A">
        <w:rPr>
          <w:rFonts w:ascii="Palatino Linotype" w:eastAsia="MS Mincho" w:hAnsi="Palatino Linotype" w:cs="Times New Roman"/>
          <w:i/>
        </w:rPr>
        <w:lastRenderedPageBreak/>
        <w:t>Amparo en revisión 257/2012. Ruth Corona Muñoz. 6 de diciembre de 2012. Unanimidad de votos. Ponente: Jean Claude Tron Petit. Secretaria: Mayra Susana Martínez López.</w:t>
      </w:r>
    </w:p>
    <w:p w14:paraId="4C748075" w14:textId="77777777" w:rsidR="00C772B6" w:rsidRPr="00BA513A" w:rsidRDefault="00C772B6" w:rsidP="007105DF">
      <w:pPr>
        <w:pStyle w:val="Prrafodelista"/>
        <w:tabs>
          <w:tab w:val="left" w:pos="426"/>
        </w:tabs>
        <w:spacing w:before="240" w:after="240" w:line="276" w:lineRule="auto"/>
        <w:ind w:left="0"/>
        <w:jc w:val="both"/>
        <w:rPr>
          <w:rFonts w:ascii="Palatino Linotype" w:eastAsia="MS Mincho" w:hAnsi="Palatino Linotype" w:cs="Times New Roman"/>
          <w:i/>
        </w:rPr>
      </w:pPr>
    </w:p>
    <w:p w14:paraId="3D871F19" w14:textId="77777777" w:rsidR="00C772B6" w:rsidRPr="00BA513A" w:rsidRDefault="00434367"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i/>
        </w:rPr>
      </w:pPr>
      <w:r w:rsidRPr="00BA513A">
        <w:rPr>
          <w:rFonts w:ascii="Palatino Linotype" w:eastAsia="MS Mincho" w:hAnsi="Palatino Linotype" w:cs="Times New Roman"/>
        </w:rPr>
        <w:t>El derecho de acceso a la información encuentra su materia elemental en los documentos, y la Ley de Transparencia local nos brinda el siguiente concepto, para darnos un mejor panorama:</w:t>
      </w:r>
    </w:p>
    <w:p w14:paraId="269FC266" w14:textId="77777777" w:rsidR="00C772B6" w:rsidRPr="00BA513A" w:rsidRDefault="00C772B6" w:rsidP="007105DF">
      <w:pPr>
        <w:pStyle w:val="Prrafodelista"/>
        <w:tabs>
          <w:tab w:val="left" w:pos="426"/>
        </w:tabs>
        <w:spacing w:before="240" w:after="240" w:line="276" w:lineRule="auto"/>
        <w:ind w:left="0" w:right="616"/>
        <w:jc w:val="both"/>
        <w:rPr>
          <w:rFonts w:ascii="Palatino Linotype" w:eastAsia="MS Mincho" w:hAnsi="Palatino Linotype" w:cs="Times New Roman"/>
          <w:i/>
        </w:rPr>
      </w:pPr>
    </w:p>
    <w:p w14:paraId="6851D686" w14:textId="77777777" w:rsidR="00C772B6" w:rsidRPr="00BA513A" w:rsidRDefault="00C772B6" w:rsidP="007105DF">
      <w:pPr>
        <w:pStyle w:val="Prrafodelista"/>
        <w:tabs>
          <w:tab w:val="left" w:pos="426"/>
        </w:tabs>
        <w:spacing w:before="240" w:after="240" w:line="276" w:lineRule="auto"/>
        <w:ind w:right="616"/>
        <w:jc w:val="both"/>
        <w:rPr>
          <w:rFonts w:ascii="Palatino Linotype" w:eastAsia="MS Mincho" w:hAnsi="Palatino Linotype" w:cs="Times New Roman"/>
          <w:i/>
        </w:rPr>
      </w:pPr>
      <w:r w:rsidRPr="00BA513A">
        <w:rPr>
          <w:rFonts w:ascii="Palatino Linotype" w:eastAsia="MS Mincho" w:hAnsi="Palatino Linotype" w:cs="Times New Roman"/>
          <w:i/>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9B8F349" w14:textId="77777777" w:rsidR="00C772B6" w:rsidRPr="00BA513A" w:rsidRDefault="00C772B6" w:rsidP="007105DF">
      <w:pPr>
        <w:pStyle w:val="Prrafodelista"/>
        <w:tabs>
          <w:tab w:val="left" w:pos="426"/>
        </w:tabs>
        <w:spacing w:before="240" w:after="240" w:line="276" w:lineRule="auto"/>
        <w:ind w:left="0"/>
        <w:jc w:val="both"/>
        <w:rPr>
          <w:rFonts w:ascii="Palatino Linotype" w:eastAsia="MS Mincho" w:hAnsi="Palatino Linotype" w:cs="Times New Roman"/>
          <w:i/>
        </w:rPr>
      </w:pPr>
    </w:p>
    <w:p w14:paraId="7141A9CE" w14:textId="3011AC84" w:rsidR="009602CE" w:rsidRPr="00BA513A" w:rsidRDefault="00434367"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i/>
        </w:rPr>
      </w:pPr>
      <w:r w:rsidRPr="00BA513A">
        <w:rPr>
          <w:rFonts w:ascii="Palatino Linotype" w:eastAsia="MS Mincho" w:hAnsi="Palatino Linotype" w:cs="Times New Roman"/>
        </w:rPr>
        <w:t>Es así como, todos los actos de autoridad que realicen los Sujetos Obligados deben estar documentados y, bajo el más alto estándar de transparencia deberán poner toda la información que se encuentre en su posesión, a disposición de los particulares que la soliciten.</w:t>
      </w:r>
    </w:p>
    <w:p w14:paraId="31140538" w14:textId="504CA11D" w:rsidR="007D6247" w:rsidRPr="00BA513A" w:rsidRDefault="008B3AF4" w:rsidP="007105DF">
      <w:pPr>
        <w:pStyle w:val="Prrafodelista"/>
        <w:tabs>
          <w:tab w:val="left" w:pos="426"/>
        </w:tabs>
        <w:spacing w:before="240" w:after="240" w:line="276" w:lineRule="auto"/>
        <w:ind w:left="0"/>
        <w:jc w:val="both"/>
        <w:rPr>
          <w:rFonts w:ascii="Palatino Linotype" w:eastAsia="MS Mincho" w:hAnsi="Palatino Linotype" w:cs="Times New Roman"/>
          <w:i/>
        </w:rPr>
      </w:pPr>
      <w:r w:rsidRPr="00BA513A">
        <w:rPr>
          <w:rFonts w:ascii="Palatino Linotype" w:eastAsia="MS Mincho" w:hAnsi="Palatino Linotype" w:cs="Times New Roman"/>
          <w:i/>
        </w:rPr>
        <w:t xml:space="preserve">  </w:t>
      </w:r>
    </w:p>
    <w:p w14:paraId="21E9B910" w14:textId="3DEE1252" w:rsidR="00434367" w:rsidRPr="00BA513A" w:rsidRDefault="00434367" w:rsidP="007105DF">
      <w:pPr>
        <w:pStyle w:val="Prrafodelista"/>
        <w:numPr>
          <w:ilvl w:val="0"/>
          <w:numId w:val="15"/>
        </w:numPr>
        <w:tabs>
          <w:tab w:val="left" w:pos="426"/>
        </w:tabs>
        <w:spacing w:before="240" w:after="240" w:line="276" w:lineRule="auto"/>
        <w:ind w:left="0" w:firstLine="0"/>
        <w:jc w:val="both"/>
        <w:rPr>
          <w:rFonts w:ascii="Palatino Linotype" w:eastAsia="MS Mincho" w:hAnsi="Palatino Linotype" w:cs="Times New Roman"/>
          <w:i/>
        </w:rPr>
      </w:pPr>
      <w:r w:rsidRPr="00BA513A">
        <w:rPr>
          <w:rFonts w:ascii="Palatino Linotype" w:eastAsia="MS Mincho" w:hAnsi="Palatino Linotype" w:cs="Times New Roman"/>
        </w:rPr>
        <w:t>Ahora bien, de ser el caso de que la información contenga datos personales susceptibles de clasificarse como confidenciales, el SUJETO OBLIGADO deberá estar a lo dispuesto en el considerando que a continuación de enuncia.</w:t>
      </w:r>
    </w:p>
    <w:p w14:paraId="5EF22719" w14:textId="5E6BE16B" w:rsidR="00902DD4" w:rsidRPr="00BA513A" w:rsidRDefault="00902DD4" w:rsidP="007105DF">
      <w:pPr>
        <w:pStyle w:val="Ttulo2"/>
        <w:spacing w:line="276" w:lineRule="auto"/>
        <w:rPr>
          <w:rFonts w:ascii="Palatino Linotype" w:hAnsi="Palatino Linotype"/>
          <w:b/>
          <w:color w:val="auto"/>
          <w:sz w:val="24"/>
          <w:szCs w:val="24"/>
        </w:rPr>
      </w:pPr>
      <w:bookmarkStart w:id="15" w:name="_Toc83128590"/>
      <w:r w:rsidRPr="00BA513A">
        <w:rPr>
          <w:rFonts w:ascii="Palatino Linotype" w:hAnsi="Palatino Linotype"/>
          <w:b/>
          <w:color w:val="auto"/>
          <w:sz w:val="24"/>
          <w:szCs w:val="24"/>
        </w:rPr>
        <w:t>QUINTO. De la versión pública</w:t>
      </w:r>
      <w:bookmarkEnd w:id="15"/>
    </w:p>
    <w:p w14:paraId="0AD2E412"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57842EED"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hAnsi="Palatino Linotype"/>
        </w:rPr>
        <w:t xml:space="preserve">Debe destacarse que la información que se ha tenido a bien ordenar, dada su propia y especial naturaleza, puede contener datos personales susceptibles de ser protegidos mediante una versión pública, la cual deberá estar soportada por el Acta del Comité de Transparencia que se emita para tal efecto, debiéndola poner a disposición del hoy </w:t>
      </w:r>
      <w:r w:rsidRPr="00BA513A">
        <w:rPr>
          <w:rFonts w:ascii="Palatino Linotype" w:hAnsi="Palatino Linotype"/>
          <w:b/>
        </w:rPr>
        <w:t>RECURRENTE</w:t>
      </w:r>
      <w:r w:rsidRPr="00BA513A">
        <w:rPr>
          <w:rFonts w:ascii="Palatino Linotype" w:hAnsi="Palatino Linotype"/>
        </w:rPr>
        <w:t xml:space="preserve">, por lo que pudiera actualizar la hipótesis </w:t>
      </w:r>
      <w:r w:rsidRPr="00BA513A">
        <w:rPr>
          <w:rFonts w:ascii="Palatino Linotype" w:hAnsi="Palatino Linotype"/>
        </w:rPr>
        <w:lastRenderedPageBreak/>
        <w:t>jurídica contenida en el artículo 140 fracción I de la Ley de Transparencia y Accesos a la Información Pública del Estado de México y Municipios, por comprometer la seguridad pública.</w:t>
      </w:r>
    </w:p>
    <w:p w14:paraId="05091045"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47C1D632"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A513A">
        <w:rPr>
          <w:rFonts w:ascii="Palatino Linotype" w:eastAsia="MS Gothic" w:hAnsi="Palatino Linotype" w:cs="Times New Roman"/>
          <w:vertAlign w:val="superscript"/>
        </w:rPr>
        <w:footnoteReference w:id="5"/>
      </w:r>
      <w:r w:rsidRPr="00BA513A">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A513A">
        <w:rPr>
          <w:rFonts w:ascii="Palatino Linotype" w:eastAsia="MS Gothic" w:hAnsi="Palatino Linotype" w:cs="Times New Roman"/>
          <w:vertAlign w:val="superscript"/>
        </w:rPr>
        <w:footnoteReference w:id="6"/>
      </w:r>
      <w:r w:rsidRPr="00BA513A">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2431FAB"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1422C55B"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4F9ECA2" w14:textId="77777777" w:rsidR="00902DD4" w:rsidRPr="00BA513A" w:rsidRDefault="001F75E8" w:rsidP="007105DF">
      <w:pPr>
        <w:tabs>
          <w:tab w:val="left" w:pos="568"/>
        </w:tabs>
        <w:spacing w:before="240" w:after="240" w:line="276" w:lineRule="auto"/>
        <w:ind w:left="568" w:right="51" w:hanging="142"/>
        <w:jc w:val="both"/>
        <w:rPr>
          <w:rFonts w:ascii="Palatino Linotype" w:hAnsi="Palatino Linotype"/>
          <w:b/>
          <w:color w:val="000000" w:themeColor="text1"/>
        </w:rPr>
      </w:pPr>
      <w:r w:rsidRPr="00BA513A">
        <w:rPr>
          <w:rFonts w:ascii="Palatino Linotype" w:hAnsi="Palatino Linotype"/>
          <w:b/>
          <w:color w:val="000000" w:themeColor="text1"/>
        </w:rPr>
        <w:t xml:space="preserve">I, </w:t>
      </w:r>
      <w:r w:rsidR="00902DD4" w:rsidRPr="00BA513A">
        <w:rPr>
          <w:rFonts w:ascii="Palatino Linotype" w:hAnsi="Palatino Linotype"/>
          <w:b/>
          <w:color w:val="000000" w:themeColor="text1"/>
        </w:rPr>
        <w:t>Requisitos previos.</w:t>
      </w:r>
    </w:p>
    <w:p w14:paraId="52F7BBA5"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9D02"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1E221711"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CDBA9A4"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3207B07A"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w:t>
      </w:r>
      <w:r w:rsidRPr="00BA513A">
        <w:rPr>
          <w:rFonts w:ascii="Palatino Linotype" w:eastAsia="MS Gothic" w:hAnsi="Palatino Linotype" w:cs="Times New Roman"/>
          <w:b/>
          <w:u w:val="single"/>
        </w:rPr>
        <w:t>no se puede hacer un acuerdo para clasificar de manera general todos los documentos de un expediente o área</w:t>
      </w:r>
      <w:r w:rsidRPr="00BA513A">
        <w:rPr>
          <w:rFonts w:ascii="Palatino Linotype" w:eastAsia="MS Gothic" w:hAnsi="Palatino Linotype" w:cs="Times New Roman"/>
          <w:b/>
        </w:rPr>
        <w:t xml:space="preserve">,  </w:t>
      </w:r>
      <w:r w:rsidRPr="00BA513A">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6C09FF20" w14:textId="77777777" w:rsidR="00902DD4" w:rsidRPr="00BA513A" w:rsidRDefault="00902DD4" w:rsidP="007105DF">
      <w:pPr>
        <w:tabs>
          <w:tab w:val="left" w:pos="142"/>
          <w:tab w:val="left" w:pos="426"/>
        </w:tabs>
        <w:spacing w:line="276" w:lineRule="auto"/>
        <w:ind w:left="567" w:hanging="283"/>
        <w:jc w:val="both"/>
        <w:outlineLvl w:val="2"/>
        <w:rPr>
          <w:rFonts w:ascii="Palatino Linotype" w:hAnsi="Palatino Linotype" w:cs="Arial"/>
          <w:b/>
        </w:rPr>
      </w:pPr>
      <w:bookmarkStart w:id="16" w:name="_Toc51863316"/>
      <w:bookmarkStart w:id="17" w:name="_Toc52444650"/>
      <w:bookmarkStart w:id="18" w:name="_Toc57154369"/>
      <w:bookmarkStart w:id="19" w:name="_Toc65170175"/>
      <w:bookmarkStart w:id="20" w:name="_Toc66371801"/>
      <w:bookmarkStart w:id="21" w:name="_Toc67584836"/>
      <w:bookmarkStart w:id="22" w:name="_Toc70070912"/>
      <w:bookmarkStart w:id="23" w:name="_Toc70593359"/>
      <w:bookmarkStart w:id="24" w:name="_Toc71290718"/>
      <w:bookmarkStart w:id="25" w:name="_Toc71291224"/>
      <w:bookmarkStart w:id="26" w:name="_Toc71674123"/>
      <w:bookmarkStart w:id="27" w:name="_Toc83128592"/>
      <w:r w:rsidRPr="00BA513A">
        <w:rPr>
          <w:rFonts w:ascii="Palatino Linotype" w:hAnsi="Palatino Linotype" w:cs="Arial"/>
          <w:b/>
        </w:rPr>
        <w:t>II. Supuestos de clasificación.</w:t>
      </w:r>
      <w:bookmarkEnd w:id="16"/>
      <w:bookmarkEnd w:id="17"/>
      <w:bookmarkEnd w:id="18"/>
      <w:bookmarkEnd w:id="19"/>
      <w:bookmarkEnd w:id="20"/>
      <w:bookmarkEnd w:id="21"/>
      <w:bookmarkEnd w:id="22"/>
      <w:bookmarkEnd w:id="23"/>
      <w:bookmarkEnd w:id="24"/>
      <w:bookmarkEnd w:id="25"/>
      <w:bookmarkEnd w:id="26"/>
      <w:bookmarkEnd w:id="27"/>
    </w:p>
    <w:p w14:paraId="568D616A"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lastRenderedPageBreak/>
        <w:t>Las disposiciones constitucionales y legales en la materia establecen los dos supuestos generales para clasificar la información: por reserva y por confidencialidad.</w:t>
      </w:r>
    </w:p>
    <w:p w14:paraId="08DF03D7"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14:paraId="6EA30AE5" w14:textId="77777777" w:rsidR="00902DD4" w:rsidRPr="00BA513A" w:rsidRDefault="00902DD4" w:rsidP="007105D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A513A">
        <w:rPr>
          <w:rFonts w:ascii="Palatino Linotype" w:hAnsi="Palatino Linotype" w:cs="Bookman Old Style"/>
          <w:bCs/>
          <w:i/>
          <w:color w:val="000000"/>
        </w:rPr>
        <w:t xml:space="preserve">“I. </w:t>
      </w:r>
      <w:r w:rsidRPr="00BA513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FE5F171" w14:textId="77777777" w:rsidR="00902DD4" w:rsidRPr="00BA513A" w:rsidRDefault="00902DD4" w:rsidP="007105D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A513A">
        <w:rPr>
          <w:rFonts w:ascii="Palatino Linotype" w:hAnsi="Palatino Linotype" w:cs="Bookman Old Style"/>
          <w:bCs/>
          <w:i/>
          <w:color w:val="000000"/>
        </w:rPr>
        <w:t xml:space="preserve">II. </w:t>
      </w:r>
      <w:r w:rsidRPr="00BA513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36C7ECD" w14:textId="77777777" w:rsidR="00902DD4" w:rsidRPr="00BA513A" w:rsidRDefault="00902DD4" w:rsidP="007105D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A513A">
        <w:rPr>
          <w:rFonts w:ascii="Palatino Linotype" w:hAnsi="Palatino Linotype" w:cs="Bookman Old Style"/>
          <w:bCs/>
          <w:i/>
          <w:color w:val="000000"/>
        </w:rPr>
        <w:t xml:space="preserve">III. </w:t>
      </w:r>
      <w:r w:rsidRPr="00BA513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644956F6" w14:textId="77777777" w:rsidR="00902DD4" w:rsidRPr="00BA513A" w:rsidRDefault="00902DD4" w:rsidP="007105D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A513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C9A090F" w14:textId="77777777" w:rsidR="00902DD4" w:rsidRPr="00BA513A" w:rsidRDefault="00902DD4" w:rsidP="007105DF">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BA513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C5A81A7"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672CD196"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715351"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 xml:space="preserve">Como consecuencia de lo anterior, el </w:t>
      </w:r>
      <w:r w:rsidRPr="00BA513A">
        <w:rPr>
          <w:rFonts w:ascii="Palatino Linotype" w:eastAsia="MS Gothic" w:hAnsi="Palatino Linotype" w:cs="Times New Roman"/>
          <w:b/>
        </w:rPr>
        <w:t>SUJETO OBLIGADO</w:t>
      </w:r>
      <w:r w:rsidRPr="00BA513A">
        <w:rPr>
          <w:rFonts w:ascii="Palatino Linotype" w:eastAsia="MS Gothic" w:hAnsi="Palatino Linotype" w:cs="Times New Roman"/>
        </w:rPr>
        <w:t xml:space="preserve"> debe identificar claramente el tipo de información y hacer un juicio de subsunción o encaje</w:t>
      </w:r>
      <w:r w:rsidRPr="00BA513A">
        <w:rPr>
          <w:rFonts w:ascii="Palatino Linotype" w:eastAsia="MS Gothic" w:hAnsi="Palatino Linotype" w:cs="Times New Roman"/>
          <w:vertAlign w:val="superscript"/>
        </w:rPr>
        <w:footnoteReference w:id="7"/>
      </w:r>
      <w:r w:rsidRPr="00BA513A">
        <w:rPr>
          <w:rFonts w:ascii="Palatino Linotype" w:eastAsia="MS Gothic" w:hAnsi="Palatino Linotype" w:cs="Times New Roman"/>
        </w:rPr>
        <w:t xml:space="preserve"> para </w:t>
      </w:r>
      <w:r w:rsidRPr="00BA513A">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14:paraId="3F960C83"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7A6ADF5E"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71081AEC"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5EFDC0A6"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i/>
        </w:rPr>
        <w:t>“</w:t>
      </w:r>
      <w:r w:rsidRPr="00BA513A">
        <w:rPr>
          <w:rFonts w:ascii="Palatino Linotype" w:hAnsi="Palatino Linotype" w:cs="Arial"/>
          <w:b/>
          <w:i/>
        </w:rPr>
        <w:t>Quincuagésimo.</w:t>
      </w:r>
      <w:r w:rsidRPr="00BA513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7D49651"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p>
    <w:p w14:paraId="41977E7D"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b/>
          <w:i/>
        </w:rPr>
        <w:t>Quincuagésimo primero.</w:t>
      </w:r>
      <w:r w:rsidRPr="00BA513A">
        <w:rPr>
          <w:rFonts w:ascii="Palatino Linotype" w:hAnsi="Palatino Linotype" w:cs="Arial"/>
          <w:i/>
        </w:rPr>
        <w:t xml:space="preserve"> La leyenda en los documentos clasificados indicará:</w:t>
      </w:r>
    </w:p>
    <w:p w14:paraId="6BDC4BD0"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i/>
        </w:rPr>
        <w:t>I. La fecha de sesión del Comité de Transparencia en donde se confirmó la clasificación, en su caso;</w:t>
      </w:r>
    </w:p>
    <w:p w14:paraId="7D55528F"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i/>
        </w:rPr>
        <w:t>II. El nombre del área;</w:t>
      </w:r>
    </w:p>
    <w:p w14:paraId="4D4D3CA6"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i/>
        </w:rPr>
        <w:t>III. La palabra reservado o confidencial;</w:t>
      </w:r>
    </w:p>
    <w:p w14:paraId="271C7A28"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i/>
        </w:rPr>
        <w:t>IV. Las partes o secciones reservadas o confidenciales, en su caso;</w:t>
      </w:r>
    </w:p>
    <w:p w14:paraId="0A871FCF"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i/>
        </w:rPr>
        <w:t>V. El fundamento legal;</w:t>
      </w:r>
    </w:p>
    <w:p w14:paraId="7CDC026A"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i/>
        </w:rPr>
        <w:t>VI. El periodo de reserva, y</w:t>
      </w:r>
    </w:p>
    <w:p w14:paraId="1F55A1E2"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i/>
        </w:rPr>
        <w:t>VII. La rúbrica del titular del área.</w:t>
      </w:r>
    </w:p>
    <w:p w14:paraId="33301ADE"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p>
    <w:p w14:paraId="5783803A"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b/>
          <w:i/>
        </w:rPr>
        <w:lastRenderedPageBreak/>
        <w:t>Quincuagésimo segundo.</w:t>
      </w:r>
      <w:r w:rsidRPr="00BA513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ADB1925"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26085BE" w14:textId="77777777" w:rsidR="00902DD4" w:rsidRPr="00BA513A" w:rsidRDefault="00902DD4" w:rsidP="007105DF">
      <w:pPr>
        <w:pStyle w:val="Prrafodelista"/>
        <w:tabs>
          <w:tab w:val="left" w:pos="142"/>
          <w:tab w:val="left" w:pos="284"/>
          <w:tab w:val="left" w:pos="426"/>
        </w:tabs>
        <w:spacing w:line="276" w:lineRule="auto"/>
        <w:ind w:left="567" w:right="567"/>
        <w:jc w:val="both"/>
        <w:rPr>
          <w:rFonts w:ascii="Palatino Linotype" w:hAnsi="Palatino Linotype" w:cs="Arial"/>
          <w:i/>
        </w:rPr>
      </w:pPr>
      <w:r w:rsidRPr="00BA513A">
        <w:rPr>
          <w:rFonts w:ascii="Palatino Linotype" w:hAnsi="Palatino Linotype" w:cs="Arial"/>
          <w:b/>
          <w:i/>
        </w:rPr>
        <w:t>Quincuagésimo tercero.</w:t>
      </w:r>
      <w:r w:rsidRPr="00BA513A">
        <w:rPr>
          <w:rFonts w:ascii="Palatino Linotype" w:hAnsi="Palatino Linotype" w:cs="Arial"/>
          <w:i/>
        </w:rPr>
        <w:t xml:space="preserve"> El formato para señalar la clasificación parcial de un documento, es el siguiente:</w:t>
      </w:r>
    </w:p>
    <w:p w14:paraId="7BF7BA0A" w14:textId="77777777" w:rsidR="00902DD4" w:rsidRPr="00BA513A" w:rsidRDefault="00902DD4" w:rsidP="007105DF">
      <w:pPr>
        <w:pStyle w:val="Prrafodelista"/>
        <w:tabs>
          <w:tab w:val="left" w:pos="142"/>
          <w:tab w:val="left" w:pos="284"/>
          <w:tab w:val="left" w:pos="426"/>
        </w:tabs>
        <w:spacing w:line="276" w:lineRule="auto"/>
        <w:ind w:left="0"/>
        <w:jc w:val="center"/>
        <w:rPr>
          <w:rFonts w:ascii="Palatino Linotype" w:hAnsi="Palatino Linotype" w:cs="Arial"/>
        </w:rPr>
      </w:pPr>
      <w:r w:rsidRPr="00BA513A">
        <w:rPr>
          <w:rFonts w:ascii="Palatino Linotype" w:hAnsi="Palatino Linotype" w:cs="Arial"/>
          <w:i/>
          <w:noProof/>
          <w:lang w:val="es-MX" w:eastAsia="es-MX"/>
        </w:rPr>
        <w:drawing>
          <wp:inline distT="0" distB="0" distL="0" distR="0" wp14:anchorId="36549570" wp14:editId="65F5C805">
            <wp:extent cx="4905202" cy="4442346"/>
            <wp:effectExtent l="57150" t="57150" r="105410" b="1111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436" cy="43592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A900C0"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138EADFA" w14:textId="77777777" w:rsidR="00902DD4"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14:paraId="63B51CB2" w14:textId="77777777" w:rsidR="00D54285" w:rsidRPr="00BA513A" w:rsidRDefault="00D54285"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361AC071" w14:textId="77777777" w:rsidR="00D54285" w:rsidRPr="00BA513A" w:rsidRDefault="00902DD4" w:rsidP="007105DF">
      <w:pPr>
        <w:pStyle w:val="Prrafodelista"/>
        <w:tabs>
          <w:tab w:val="left" w:pos="426"/>
        </w:tabs>
        <w:spacing w:before="240" w:after="240" w:line="276" w:lineRule="auto"/>
        <w:ind w:left="567" w:right="51" w:hanging="141"/>
        <w:jc w:val="both"/>
        <w:rPr>
          <w:rFonts w:ascii="Palatino Linotype" w:hAnsi="Palatino Linotype"/>
          <w:b/>
          <w:color w:val="000000" w:themeColor="text1"/>
        </w:rPr>
      </w:pPr>
      <w:r w:rsidRPr="00BA513A">
        <w:rPr>
          <w:rFonts w:ascii="Palatino Linotype" w:hAnsi="Palatino Linotype"/>
          <w:b/>
          <w:color w:val="000000" w:themeColor="text1"/>
        </w:rPr>
        <w:t>III. La intervención del Comité de Transparencia.</w:t>
      </w:r>
    </w:p>
    <w:p w14:paraId="3B55787B" w14:textId="77777777" w:rsidR="00902DD4" w:rsidRPr="00BA513A" w:rsidRDefault="00902DD4" w:rsidP="007105DF">
      <w:pPr>
        <w:pStyle w:val="Prrafodelista"/>
        <w:tabs>
          <w:tab w:val="left" w:pos="426"/>
        </w:tabs>
        <w:spacing w:before="240" w:after="240" w:line="276" w:lineRule="auto"/>
        <w:ind w:left="0" w:right="51"/>
        <w:jc w:val="both"/>
        <w:rPr>
          <w:rFonts w:ascii="Palatino Linotype" w:hAnsi="Palatino Linotype"/>
          <w:b/>
          <w:color w:val="000000" w:themeColor="text1"/>
        </w:rPr>
      </w:pPr>
      <w:r w:rsidRPr="00BA513A">
        <w:rPr>
          <w:rFonts w:ascii="Palatino Linotype" w:hAnsi="Palatino Linotype"/>
          <w:b/>
          <w:color w:val="000000" w:themeColor="text1"/>
        </w:rPr>
        <w:t>a) Formalidades para emitir el Acuerdo de Clasificación</w:t>
      </w:r>
    </w:p>
    <w:p w14:paraId="58FBE0D2"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51ECC5D5"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A513A">
        <w:rPr>
          <w:rFonts w:ascii="Palatino Linotype" w:eastAsia="MS Gothic" w:hAnsi="Palatino Linotype" w:cs="Times New Roman"/>
          <w:b/>
          <w:u w:val="single"/>
        </w:rPr>
        <w:t>confirmar, modificar o revocar</w:t>
      </w:r>
      <w:r w:rsidRPr="00BA513A">
        <w:rPr>
          <w:rFonts w:ascii="Palatino Linotype" w:eastAsia="MS Gothic" w:hAnsi="Palatino Linotype" w:cs="Times New Roman"/>
        </w:rPr>
        <w:t xml:space="preserve"> la clasificación de la información que ha hecho el titular del área que administra la información. Por lo tanto, el Comité </w:t>
      </w:r>
      <w:r w:rsidRPr="00BA513A">
        <w:rPr>
          <w:rFonts w:ascii="Palatino Linotype" w:eastAsia="MS Gothic" w:hAnsi="Palatino Linotype" w:cs="Times New Roman"/>
          <w:b/>
          <w:u w:val="single"/>
        </w:rPr>
        <w:t>no aprueba</w:t>
      </w:r>
      <w:r w:rsidRPr="00BA513A">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036E6BA7"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3E248F07"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 xml:space="preserve">Evidentemente, esta decisión implica una restricción a un derecho humano, por lo tanto, puede generar un agravio al </w:t>
      </w:r>
      <w:r w:rsidR="003E73D9" w:rsidRPr="00BA513A">
        <w:rPr>
          <w:rFonts w:ascii="Palatino Linotype" w:eastAsia="MS Gothic" w:hAnsi="Palatino Linotype" w:cs="Times New Roman"/>
          <w:b/>
        </w:rPr>
        <w:t>PARTICULAR</w:t>
      </w:r>
      <w:r w:rsidRPr="00BA513A">
        <w:rPr>
          <w:rFonts w:ascii="Palatino Linotype" w:eastAsia="MS Gothic" w:hAnsi="Palatino Linotype" w:cs="Times New Roman"/>
        </w:rPr>
        <w:t xml:space="preserve"> y, en consecuencia, es necesario que </w:t>
      </w:r>
      <w:r w:rsidRPr="00BA513A">
        <w:rPr>
          <w:rFonts w:ascii="Palatino Linotype" w:eastAsia="MS Gothic" w:hAnsi="Palatino Linotype" w:cs="Times New Roman"/>
          <w:b/>
          <w:u w:val="single"/>
        </w:rPr>
        <w:t>el acto reúna con los requisitos elementales</w:t>
      </w:r>
      <w:r w:rsidRPr="00BA513A">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B8FE393"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7A1A44AF"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BA513A">
        <w:rPr>
          <w:rFonts w:ascii="Palatino Linotype" w:eastAsia="MS Gothic" w:hAnsi="Palatino Linotype" w:cs="Times New Roman"/>
        </w:rPr>
        <w:lastRenderedPageBreak/>
        <w:t>por los titulares de áreas y que son sujetas a control, en primera instancia, por el Comité de Transparencia.</w:t>
      </w:r>
    </w:p>
    <w:p w14:paraId="5CC9D5F3" w14:textId="77777777" w:rsidR="001F75E8" w:rsidRPr="00BA513A" w:rsidRDefault="001F75E8" w:rsidP="007105DF">
      <w:pPr>
        <w:tabs>
          <w:tab w:val="left" w:pos="142"/>
          <w:tab w:val="left" w:pos="284"/>
          <w:tab w:val="left" w:pos="426"/>
        </w:tabs>
        <w:spacing w:line="276" w:lineRule="auto"/>
        <w:ind w:left="360"/>
        <w:jc w:val="both"/>
        <w:rPr>
          <w:rFonts w:ascii="Palatino Linotype" w:hAnsi="Palatino Linotype" w:cs="Arial"/>
          <w:b/>
        </w:rPr>
      </w:pPr>
      <w:r w:rsidRPr="00BA513A">
        <w:rPr>
          <w:rFonts w:ascii="Palatino Linotype" w:hAnsi="Palatino Linotype" w:cs="Arial"/>
          <w:b/>
        </w:rPr>
        <w:t>b) Requisitos de fondo del Acuerdo de Clasificación.</w:t>
      </w:r>
    </w:p>
    <w:p w14:paraId="4621A62A"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3F07FC3"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0C6221E7"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BB4807"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4AC6F55B"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BA513A">
        <w:rPr>
          <w:rFonts w:ascii="Palatino Linotype" w:eastAsia="MS Gothic" w:hAnsi="Palatino Linotype" w:cs="Times New Roman"/>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BA513A">
        <w:rPr>
          <w:rFonts w:ascii="Palatino Linotype" w:eastAsia="MS Gothic" w:hAnsi="Palatino Linotype" w:cs="Times New Roman"/>
          <w:i/>
        </w:rPr>
        <w:lastRenderedPageBreak/>
        <w:t>ciertos, normalmente a partir del análisis de las pruebas, lo cual se debe exteriorizar en una argumentación o juicio de hecho</w:t>
      </w:r>
      <w:r w:rsidRPr="00BA513A">
        <w:rPr>
          <w:rFonts w:ascii="Palatino Linotype" w:eastAsia="MS Gothic" w:hAnsi="Palatino Linotype" w:cs="Times New Roman"/>
        </w:rPr>
        <w:t>....”</w:t>
      </w:r>
      <w:r w:rsidRPr="00BA513A">
        <w:rPr>
          <w:rFonts w:ascii="Palatino Linotype" w:eastAsia="MS Gothic" w:hAnsi="Palatino Linotype" w:cs="Times New Roman"/>
          <w:vertAlign w:val="superscript"/>
        </w:rPr>
        <w:footnoteReference w:id="8"/>
      </w:r>
    </w:p>
    <w:p w14:paraId="4DBF8278"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46FD0A56"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74826FCA" w14:textId="77777777" w:rsidR="001F75E8" w:rsidRPr="00BA513A" w:rsidRDefault="001F75E8" w:rsidP="007105DF">
      <w:pPr>
        <w:spacing w:line="276" w:lineRule="auto"/>
        <w:ind w:left="851" w:right="618"/>
        <w:contextualSpacing/>
        <w:jc w:val="both"/>
        <w:rPr>
          <w:rFonts w:ascii="Palatino Linotype" w:hAnsi="Palatino Linotype" w:cs="Arial"/>
          <w:i/>
          <w:color w:val="000000"/>
        </w:rPr>
      </w:pPr>
      <w:r w:rsidRPr="00BA513A">
        <w:rPr>
          <w:rFonts w:ascii="Palatino Linotype" w:hAnsi="Palatino Linotype" w:cs="Arial"/>
          <w:b/>
          <w:i/>
          <w:color w:val="000000"/>
        </w:rPr>
        <w:t>FUNDAMENTACIÓN Y MOTIVACIÓN.</w:t>
      </w:r>
      <w:r w:rsidRPr="00BA513A">
        <w:rPr>
          <w:rFonts w:ascii="Palatino Linotype" w:hAnsi="Palatino Linotype" w:cs="Arial"/>
          <w:i/>
          <w:color w:val="000000"/>
        </w:rPr>
        <w:t xml:space="preserve"> “La </w:t>
      </w:r>
      <w:r w:rsidRPr="00BA513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A513A">
        <w:rPr>
          <w:rFonts w:ascii="Palatino Linotype" w:hAnsi="Palatino Linotype" w:cs="Arial"/>
          <w:i/>
          <w:color w:val="000000"/>
        </w:rPr>
        <w:t>.”</w:t>
      </w:r>
    </w:p>
    <w:p w14:paraId="4B077D76" w14:textId="77777777" w:rsidR="001F75E8" w:rsidRPr="00BA513A" w:rsidRDefault="001F75E8" w:rsidP="007105DF">
      <w:pPr>
        <w:spacing w:line="276" w:lineRule="auto"/>
        <w:ind w:left="851" w:right="618"/>
        <w:contextualSpacing/>
        <w:jc w:val="both"/>
        <w:rPr>
          <w:rFonts w:ascii="Palatino Linotype" w:hAnsi="Palatino Linotype" w:cs="Arial"/>
          <w:i/>
          <w:color w:val="000000"/>
        </w:rPr>
      </w:pPr>
      <w:r w:rsidRPr="00BA513A">
        <w:rPr>
          <w:rFonts w:ascii="Palatino Linotype" w:hAnsi="Palatino Linotype" w:cs="Arial"/>
          <w:i/>
          <w:color w:val="000000"/>
        </w:rPr>
        <w:t>SEGUNDO TRIBUNAL COLEGIADO DEL SEXTO CIRCUITO.</w:t>
      </w:r>
    </w:p>
    <w:p w14:paraId="7964F30D" w14:textId="77777777" w:rsidR="001F75E8" w:rsidRPr="00BA513A" w:rsidRDefault="001F75E8" w:rsidP="007105DF">
      <w:pPr>
        <w:spacing w:line="276" w:lineRule="auto"/>
        <w:ind w:left="851" w:right="618"/>
        <w:contextualSpacing/>
        <w:jc w:val="both"/>
        <w:rPr>
          <w:rFonts w:ascii="Palatino Linotype" w:hAnsi="Palatino Linotype" w:cs="Arial"/>
          <w:i/>
          <w:color w:val="000000"/>
        </w:rPr>
      </w:pPr>
      <w:r w:rsidRPr="00BA513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0CD3C19" w14:textId="77777777" w:rsidR="001F75E8" w:rsidRPr="00BA513A" w:rsidRDefault="001F75E8" w:rsidP="007105DF">
      <w:pPr>
        <w:spacing w:line="276" w:lineRule="auto"/>
        <w:ind w:left="851" w:right="618"/>
        <w:contextualSpacing/>
        <w:jc w:val="both"/>
        <w:rPr>
          <w:rFonts w:ascii="Palatino Linotype" w:hAnsi="Palatino Linotype" w:cs="Arial"/>
          <w:i/>
          <w:color w:val="000000"/>
        </w:rPr>
      </w:pPr>
      <w:r w:rsidRPr="00BA513A">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C876705" w14:textId="77777777" w:rsidR="001F75E8" w:rsidRPr="00BA513A" w:rsidRDefault="001F75E8" w:rsidP="007105DF">
      <w:pPr>
        <w:spacing w:line="276" w:lineRule="auto"/>
        <w:ind w:left="851" w:right="618"/>
        <w:contextualSpacing/>
        <w:jc w:val="both"/>
        <w:rPr>
          <w:rFonts w:ascii="Palatino Linotype" w:hAnsi="Palatino Linotype" w:cs="Arial"/>
          <w:i/>
          <w:color w:val="000000"/>
        </w:rPr>
      </w:pPr>
      <w:r w:rsidRPr="00BA513A">
        <w:rPr>
          <w:rFonts w:ascii="Palatino Linotype" w:hAnsi="Palatino Linotype" w:cs="Arial"/>
          <w:i/>
          <w:color w:val="000000"/>
        </w:rPr>
        <w:t>Amparo en revisión 333/88. Adilia Romero. 26 de octubre de 1988. Unanimidad de votos. Ponente: Arnoldo Nájera Virgen. Secretario: Enrique Crispín Campos Ramírez.</w:t>
      </w:r>
    </w:p>
    <w:p w14:paraId="0187FFCA" w14:textId="77777777" w:rsidR="001F75E8" w:rsidRPr="00BA513A" w:rsidRDefault="001F75E8" w:rsidP="007105DF">
      <w:pPr>
        <w:spacing w:line="276" w:lineRule="auto"/>
        <w:ind w:left="851" w:right="618"/>
        <w:contextualSpacing/>
        <w:jc w:val="both"/>
        <w:rPr>
          <w:rFonts w:ascii="Palatino Linotype" w:hAnsi="Palatino Linotype" w:cs="Arial"/>
          <w:i/>
          <w:color w:val="000000"/>
        </w:rPr>
      </w:pPr>
      <w:r w:rsidRPr="00BA513A">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96C9B1C" w14:textId="77777777" w:rsidR="001F75E8" w:rsidRPr="00BA513A" w:rsidRDefault="001F75E8" w:rsidP="007105DF">
      <w:pPr>
        <w:spacing w:line="276" w:lineRule="auto"/>
        <w:ind w:left="851" w:right="618"/>
        <w:contextualSpacing/>
        <w:jc w:val="both"/>
        <w:rPr>
          <w:rFonts w:ascii="Palatino Linotype" w:hAnsi="Palatino Linotype" w:cs="Arial"/>
          <w:i/>
          <w:color w:val="000000"/>
        </w:rPr>
      </w:pPr>
      <w:r w:rsidRPr="00BA513A">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368759E4"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190412B"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1620D116"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401F0E5"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59832D23"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186772CB"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53AB9416" w14:textId="77777777" w:rsidR="001F75E8"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 xml:space="preserve">Ahora bien, </w:t>
      </w:r>
      <w:r w:rsidRPr="00BA513A">
        <w:rPr>
          <w:rFonts w:ascii="Palatino Linotype" w:eastAsia="MS Gothic" w:hAnsi="Palatino Linotype" w:cs="Times New Roman"/>
          <w:b/>
          <w:u w:val="single"/>
        </w:rPr>
        <w:t>para cada caso además de fundar y motivar</w:t>
      </w:r>
      <w:r w:rsidRPr="00BA513A">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A513A">
        <w:rPr>
          <w:rFonts w:ascii="Palatino Linotype" w:eastAsia="MS Gothic" w:hAnsi="Palatino Linotype" w:cs="Times New Roman"/>
          <w:vertAlign w:val="superscript"/>
        </w:rPr>
        <w:footnoteReference w:id="9"/>
      </w:r>
      <w:r w:rsidRPr="00BA513A">
        <w:rPr>
          <w:rFonts w:ascii="Palatino Linotype" w:eastAsia="MS Gothic" w:hAnsi="Palatino Linotype" w:cs="Times New Roman"/>
        </w:rPr>
        <w:t xml:space="preserve"> del servidor público que no tienen ninguna injerencia en el tema de la transparencia y la rendición de cuentas, por ejemplo, </w:t>
      </w:r>
      <w:r w:rsidRPr="00BA513A">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85CEEA0"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203B59C7" w14:textId="77777777" w:rsidR="00587DFE"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eastAsia="MS Gothic" w:hAnsi="Palatino Linotype" w:cs="Times New Roman"/>
        </w:rPr>
        <w:t xml:space="preserve">Otro </w:t>
      </w:r>
      <w:r w:rsidRPr="00BA513A">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w:t>
      </w:r>
      <w:r w:rsidRPr="00BA513A">
        <w:rPr>
          <w:rFonts w:ascii="Palatino Linotype" w:eastAsia="MS Gothic" w:hAnsi="Palatino Linotype" w:cs="Times New Roman"/>
          <w:lang w:val="es-ES"/>
        </w:rPr>
        <w:lastRenderedPageBreak/>
        <w:t>corresponda a particulares, sujetos de derecho internacional o a sujetos obligados cuando no involucren el ejercicio de recursos públicos, así lo define la fracción XXI del artículo 3 de la Ley Estatal.</w:t>
      </w:r>
    </w:p>
    <w:p w14:paraId="682693FD"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2B08359E" w14:textId="77777777" w:rsidR="001F75E8" w:rsidRPr="00BA513A" w:rsidRDefault="001F75E8" w:rsidP="007105DF">
      <w:pPr>
        <w:pStyle w:val="Prrafodelista"/>
        <w:tabs>
          <w:tab w:val="left" w:pos="426"/>
        </w:tabs>
        <w:spacing w:before="240" w:after="240" w:line="276" w:lineRule="auto"/>
        <w:ind w:left="0" w:right="51"/>
        <w:jc w:val="both"/>
        <w:rPr>
          <w:rFonts w:ascii="Palatino Linotype" w:hAnsi="Palatino Linotype"/>
          <w:b/>
          <w:color w:val="000000" w:themeColor="text1"/>
        </w:rPr>
      </w:pPr>
      <w:r w:rsidRPr="00BA513A">
        <w:rPr>
          <w:rFonts w:ascii="Palatino Linotype" w:hAnsi="Palatino Linotype"/>
          <w:b/>
          <w:color w:val="000000" w:themeColor="text1"/>
        </w:rPr>
        <w:t>SEXTO. Decisión</w:t>
      </w:r>
    </w:p>
    <w:p w14:paraId="688E0703" w14:textId="77777777" w:rsidR="009602CE" w:rsidRPr="00BA513A" w:rsidRDefault="009602CE" w:rsidP="007105DF">
      <w:pPr>
        <w:pStyle w:val="Prrafodelista"/>
        <w:tabs>
          <w:tab w:val="left" w:pos="426"/>
        </w:tabs>
        <w:spacing w:before="240" w:after="240" w:line="276" w:lineRule="auto"/>
        <w:ind w:left="0" w:right="51"/>
        <w:jc w:val="both"/>
        <w:rPr>
          <w:rFonts w:ascii="Palatino Linotype" w:hAnsi="Palatino Linotype"/>
          <w:b/>
          <w:color w:val="000000" w:themeColor="text1"/>
        </w:rPr>
      </w:pPr>
    </w:p>
    <w:p w14:paraId="74FDA6AB" w14:textId="3FFD9036" w:rsidR="009F09BC" w:rsidRPr="00BA513A" w:rsidRDefault="009F09BC" w:rsidP="007105DF">
      <w:pPr>
        <w:pStyle w:val="Prrafodelista"/>
        <w:numPr>
          <w:ilvl w:val="0"/>
          <w:numId w:val="15"/>
        </w:numPr>
        <w:tabs>
          <w:tab w:val="left" w:pos="426"/>
        </w:tabs>
        <w:spacing w:before="240" w:after="240" w:line="276" w:lineRule="auto"/>
        <w:ind w:left="0" w:right="51" w:firstLine="0"/>
        <w:jc w:val="both"/>
        <w:rPr>
          <w:rFonts w:ascii="Palatino Linotype" w:hAnsi="Palatino Linotype"/>
          <w:b/>
          <w:color w:val="000000" w:themeColor="text1"/>
        </w:rPr>
      </w:pPr>
      <w:r w:rsidRPr="00BA513A">
        <w:rPr>
          <w:rFonts w:ascii="Palatino Linotype" w:hAnsi="Palatino Linotype"/>
        </w:rPr>
        <w:t>Por lo anteriormente expuesto, este Órgano Garante considera parcialmente fundadas las razones o motivos</w:t>
      </w:r>
      <w:r w:rsidR="009602CE" w:rsidRPr="00BA513A">
        <w:rPr>
          <w:rFonts w:ascii="Palatino Linotype" w:hAnsi="Palatino Linotype"/>
        </w:rPr>
        <w:t xml:space="preserve"> de inconformidad que plantea el</w:t>
      </w:r>
      <w:r w:rsidRPr="00BA513A">
        <w:rPr>
          <w:rFonts w:ascii="Palatino Linotype" w:hAnsi="Palatino Linotype"/>
          <w:b/>
        </w:rPr>
        <w:t xml:space="preserve"> RECURRENTE</w:t>
      </w:r>
      <w:r w:rsidRPr="00BA513A">
        <w:rPr>
          <w:rFonts w:ascii="Palatino Linotype" w:hAnsi="Palatino Linotype"/>
        </w:rPr>
        <w:t xml:space="preserve">, determinando </w:t>
      </w:r>
      <w:r w:rsidRPr="00BA513A">
        <w:rPr>
          <w:rFonts w:ascii="Palatino Linotype" w:hAnsi="Palatino Linotype"/>
          <w:b/>
        </w:rPr>
        <w:t>REVOCAR</w:t>
      </w:r>
      <w:r w:rsidRPr="00BA513A">
        <w:rPr>
          <w:rFonts w:ascii="Palatino Linotype" w:hAnsi="Palatino Linotype"/>
        </w:rPr>
        <w:t xml:space="preserve"> la respuesta del </w:t>
      </w:r>
      <w:r w:rsidRPr="00BA513A">
        <w:rPr>
          <w:rFonts w:ascii="Palatino Linotype" w:hAnsi="Palatino Linotype"/>
          <w:b/>
        </w:rPr>
        <w:t>SUJETO OBLIGADO</w:t>
      </w:r>
      <w:r w:rsidR="007D6247" w:rsidRPr="00BA513A">
        <w:rPr>
          <w:rFonts w:ascii="Palatino Linotype" w:hAnsi="Palatino Linotype"/>
          <w:b/>
        </w:rPr>
        <w:t xml:space="preserve"> y Ordenar la entrega de los contratos subrogados del primero de enero, al trece d</w:t>
      </w:r>
      <w:r w:rsidR="00781A67" w:rsidRPr="00BA513A">
        <w:rPr>
          <w:rFonts w:ascii="Palatino Linotype" w:hAnsi="Palatino Linotype"/>
          <w:b/>
        </w:rPr>
        <w:t>e diciembre de dos mil veintiuno,</w:t>
      </w:r>
      <w:r w:rsidR="007D6247" w:rsidRPr="00BA513A">
        <w:rPr>
          <w:rFonts w:ascii="Palatino Linotype" w:hAnsi="Palatino Linotype"/>
          <w:b/>
        </w:rPr>
        <w:t xml:space="preserve"> en una correcta versión publica y en formato pdf, </w:t>
      </w:r>
      <w:r w:rsidR="009602CE" w:rsidRPr="00BA513A">
        <w:rPr>
          <w:rFonts w:ascii="Palatino Linotype" w:hAnsi="Palatino Linotype"/>
          <w:b/>
        </w:rPr>
        <w:t xml:space="preserve"> </w:t>
      </w:r>
      <w:r w:rsidRPr="00BA513A">
        <w:rPr>
          <w:rFonts w:ascii="Palatino Linotype" w:hAnsi="Palatino Linotype"/>
        </w:rPr>
        <w:t xml:space="preserve">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BA513A">
        <w:rPr>
          <w:rFonts w:ascii="Palatino Linotype" w:hAnsi="Palatino Linotype"/>
          <w:color w:val="000000" w:themeColor="text1"/>
          <w:lang w:val="es-ES" w:eastAsia="es-MX"/>
        </w:rPr>
        <w:t xml:space="preserve">este </w:t>
      </w:r>
      <w:r w:rsidRPr="00BA513A">
        <w:rPr>
          <w:rFonts w:ascii="Palatino Linotype" w:hAnsi="Palatino Linotype"/>
          <w:b/>
          <w:bCs/>
          <w:color w:val="000000" w:themeColor="text1"/>
          <w:lang w:val="es-ES" w:eastAsia="es-MX"/>
        </w:rPr>
        <w:t>ÓRGANO GARANTE</w:t>
      </w:r>
      <w:r w:rsidRPr="00BA513A">
        <w:rPr>
          <w:rFonts w:ascii="Palatino Linotype" w:hAnsi="Palatino Linotype"/>
          <w:color w:val="000000" w:themeColor="text1"/>
          <w:lang w:val="es-ES" w:eastAsia="es-MX"/>
        </w:rPr>
        <w:t xml:space="preserve"> emite los siguientes</w:t>
      </w:r>
      <w:r w:rsidRPr="00BA513A">
        <w:rPr>
          <w:rFonts w:ascii="Palatino Linotype" w:hAnsi="Palatino Linotype"/>
          <w:color w:val="000000" w:themeColor="text1"/>
        </w:rPr>
        <w:t>.</w:t>
      </w:r>
    </w:p>
    <w:p w14:paraId="045231B3" w14:textId="77777777" w:rsidR="009F09BC" w:rsidRPr="00BA513A" w:rsidRDefault="009F09BC" w:rsidP="007105DF">
      <w:pPr>
        <w:spacing w:line="276" w:lineRule="auto"/>
        <w:contextualSpacing/>
        <w:jc w:val="both"/>
        <w:rPr>
          <w:rFonts w:ascii="Palatino Linotype" w:eastAsia="Calibri" w:hAnsi="Palatino Linotype" w:cs="Times New Roman"/>
        </w:rPr>
      </w:pPr>
    </w:p>
    <w:p w14:paraId="604941F8" w14:textId="77777777" w:rsidR="009F09BC" w:rsidRPr="00BA513A" w:rsidRDefault="009F09BC" w:rsidP="007105DF">
      <w:pPr>
        <w:pStyle w:val="Ttulo1"/>
        <w:spacing w:before="0" w:line="276" w:lineRule="auto"/>
        <w:jc w:val="center"/>
        <w:rPr>
          <w:rFonts w:ascii="Palatino Linotype" w:eastAsia="Calibri" w:hAnsi="Palatino Linotype"/>
          <w:b/>
          <w:color w:val="000000" w:themeColor="text1"/>
          <w:sz w:val="24"/>
          <w:szCs w:val="24"/>
          <w:lang w:val="es-ES"/>
        </w:rPr>
      </w:pPr>
      <w:bookmarkStart w:id="28" w:name="_Toc504500693"/>
      <w:bookmarkStart w:id="29" w:name="_Toc534742545"/>
      <w:bookmarkStart w:id="30" w:name="_Toc2248738"/>
      <w:bookmarkStart w:id="31" w:name="_Toc34819440"/>
      <w:bookmarkStart w:id="32" w:name="_Toc51259595"/>
      <w:bookmarkStart w:id="33" w:name="_Toc83128595"/>
      <w:r w:rsidRPr="00BA513A">
        <w:rPr>
          <w:rFonts w:ascii="Palatino Linotype" w:eastAsia="Calibri" w:hAnsi="Palatino Linotype"/>
          <w:b/>
          <w:color w:val="000000" w:themeColor="text1"/>
          <w:sz w:val="24"/>
          <w:szCs w:val="24"/>
          <w:lang w:val="es-ES"/>
        </w:rPr>
        <w:t>R E S O L U T I V O S</w:t>
      </w:r>
      <w:bookmarkEnd w:id="28"/>
      <w:bookmarkEnd w:id="29"/>
      <w:bookmarkEnd w:id="30"/>
      <w:bookmarkEnd w:id="31"/>
      <w:bookmarkEnd w:id="32"/>
      <w:bookmarkEnd w:id="33"/>
      <w:r w:rsidRPr="00BA513A">
        <w:rPr>
          <w:rFonts w:ascii="Palatino Linotype" w:eastAsia="Calibri" w:hAnsi="Palatino Linotype"/>
          <w:b/>
          <w:color w:val="000000" w:themeColor="text1"/>
          <w:sz w:val="24"/>
          <w:szCs w:val="24"/>
          <w:lang w:val="es-ES"/>
        </w:rPr>
        <w:t xml:space="preserve"> </w:t>
      </w:r>
    </w:p>
    <w:p w14:paraId="7574ABCB" w14:textId="42D4A2F9" w:rsidR="009F09BC" w:rsidRPr="00BA513A" w:rsidRDefault="009F09BC" w:rsidP="007105DF">
      <w:pPr>
        <w:spacing w:before="240" w:after="360" w:line="276" w:lineRule="auto"/>
        <w:jc w:val="both"/>
        <w:rPr>
          <w:rFonts w:ascii="Palatino Linotype" w:eastAsia="Times New Roman" w:hAnsi="Palatino Linotype" w:cs="Arial"/>
          <w:lang w:val="es-ES"/>
        </w:rPr>
      </w:pPr>
      <w:r w:rsidRPr="00BA513A">
        <w:rPr>
          <w:rFonts w:ascii="Palatino Linotype" w:eastAsia="Times New Roman" w:hAnsi="Palatino Linotype" w:cs="Arial"/>
          <w:b/>
        </w:rPr>
        <w:t>PRIMERO</w:t>
      </w:r>
      <w:r w:rsidRPr="00BA513A">
        <w:rPr>
          <w:rFonts w:ascii="Palatino Linotype" w:eastAsia="Times New Roman" w:hAnsi="Palatino Linotype" w:cs="Arial"/>
          <w:lang w:val="es-ES"/>
        </w:rPr>
        <w:t xml:space="preserve">. </w:t>
      </w:r>
      <w:r w:rsidR="001F75E8" w:rsidRPr="00BA513A">
        <w:rPr>
          <w:rFonts w:ascii="Palatino Linotype" w:eastAsia="Times New Roman" w:hAnsi="Palatino Linotype" w:cs="Arial"/>
        </w:rPr>
        <w:t>Resultan fundadas las</w:t>
      </w:r>
      <w:r w:rsidR="001F75E8" w:rsidRPr="00BA513A">
        <w:rPr>
          <w:rFonts w:ascii="Palatino Linotype" w:eastAsia="Times New Roman" w:hAnsi="Palatino Linotype" w:cs="Arial"/>
          <w:b/>
        </w:rPr>
        <w:t xml:space="preserve"> </w:t>
      </w:r>
      <w:r w:rsidR="001F75E8" w:rsidRPr="00BA513A">
        <w:rPr>
          <w:rFonts w:ascii="Palatino Linotype" w:eastAsia="Times New Roman" w:hAnsi="Palatino Linotype" w:cs="Arial"/>
          <w:lang w:val="es-ES"/>
        </w:rPr>
        <w:t xml:space="preserve">razones o motivos de inconformidad hechos valer </w:t>
      </w:r>
      <w:r w:rsidR="001F75E8" w:rsidRPr="00BA513A">
        <w:rPr>
          <w:rFonts w:ascii="Palatino Linotype" w:eastAsia="Calibri" w:hAnsi="Palatino Linotype" w:cs="Arial"/>
          <w:lang w:val="es-ES"/>
        </w:rPr>
        <w:t xml:space="preserve">en el recurso de revisión </w:t>
      </w:r>
      <w:bookmarkStart w:id="34" w:name="_GoBack"/>
      <w:r w:rsidR="009602CE" w:rsidRPr="00BA513A">
        <w:rPr>
          <w:rFonts w:ascii="Palatino Linotype" w:eastAsia="Calibri" w:hAnsi="Palatino Linotype" w:cs="Arial"/>
          <w:b/>
          <w:bCs/>
        </w:rPr>
        <w:t>00258/INFOEM/IP/RR/2022</w:t>
      </w:r>
      <w:r w:rsidR="001F75E8" w:rsidRPr="00BA513A">
        <w:rPr>
          <w:rFonts w:ascii="Palatino Linotype" w:eastAsia="Calibri" w:hAnsi="Palatino Linotype" w:cs="Arial"/>
          <w:b/>
          <w:bCs/>
        </w:rPr>
        <w:t xml:space="preserve"> </w:t>
      </w:r>
      <w:bookmarkEnd w:id="34"/>
      <w:r w:rsidR="001F75E8" w:rsidRPr="00BA513A">
        <w:rPr>
          <w:rFonts w:ascii="Palatino Linotype" w:eastAsia="Times New Roman" w:hAnsi="Palatino Linotype" w:cs="Times New Roman"/>
        </w:rPr>
        <w:t>en términos de los</w:t>
      </w:r>
      <w:r w:rsidR="001F75E8" w:rsidRPr="00BA513A">
        <w:rPr>
          <w:rFonts w:ascii="Palatino Linotype" w:eastAsia="Times New Roman" w:hAnsi="Palatino Linotype" w:cs="Times New Roman"/>
          <w:b/>
          <w:bCs/>
        </w:rPr>
        <w:t xml:space="preserve"> Considerandos</w:t>
      </w:r>
      <w:r w:rsidR="001F75E8" w:rsidRPr="00BA513A">
        <w:rPr>
          <w:rFonts w:ascii="Palatino Linotype" w:eastAsia="Times New Roman" w:hAnsi="Palatino Linotype" w:cs="Times New Roman"/>
        </w:rPr>
        <w:t xml:space="preserve"> </w:t>
      </w:r>
      <w:r w:rsidR="009602CE" w:rsidRPr="00BA513A">
        <w:rPr>
          <w:rFonts w:ascii="Palatino Linotype" w:eastAsia="Times New Roman" w:hAnsi="Palatino Linotype" w:cs="Times New Roman"/>
          <w:b/>
        </w:rPr>
        <w:t xml:space="preserve">CUARTO </w:t>
      </w:r>
      <w:r w:rsidR="001F75E8" w:rsidRPr="00BA513A">
        <w:rPr>
          <w:rFonts w:ascii="Palatino Linotype" w:eastAsia="Times New Roman" w:hAnsi="Palatino Linotype" w:cs="Times New Roman"/>
        </w:rPr>
        <w:t>de la presente resolución.</w:t>
      </w:r>
    </w:p>
    <w:p w14:paraId="50607248" w14:textId="137CD873" w:rsidR="00A82252" w:rsidRPr="00BA513A" w:rsidRDefault="009F09BC" w:rsidP="007105DF">
      <w:pPr>
        <w:spacing w:before="240" w:after="360" w:line="276" w:lineRule="auto"/>
        <w:jc w:val="both"/>
        <w:rPr>
          <w:rFonts w:ascii="Palatino Linotype" w:eastAsia="MS Mincho" w:hAnsi="Palatino Linotype" w:cs="Times New Roman"/>
          <w:color w:val="000000" w:themeColor="text1"/>
        </w:rPr>
      </w:pPr>
      <w:bookmarkStart w:id="35" w:name="_Toc503891607"/>
      <w:bookmarkStart w:id="36" w:name="_Toc511647757"/>
      <w:bookmarkStart w:id="37" w:name="_Toc511647818"/>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BA513A">
        <w:rPr>
          <w:rFonts w:ascii="Palatino Linotype" w:eastAsia="Times New Roman" w:hAnsi="Palatino Linotype" w:cs="Times New Roman"/>
          <w:b/>
        </w:rPr>
        <w:t>SEGUNDO.</w:t>
      </w:r>
      <w:bookmarkEnd w:id="35"/>
      <w:bookmarkEnd w:id="36"/>
      <w:bookmarkEnd w:id="37"/>
      <w:r w:rsidRPr="00BA513A">
        <w:rPr>
          <w:rFonts w:ascii="Palatino Linotype" w:eastAsia="Times New Roman" w:hAnsi="Palatino Linotype" w:cs="Times New Roman"/>
          <w:b/>
        </w:rPr>
        <w:t xml:space="preserve"> </w:t>
      </w:r>
      <w:bookmarkEnd w:id="38"/>
      <w:bookmarkEnd w:id="39"/>
      <w:bookmarkEnd w:id="40"/>
      <w:bookmarkEnd w:id="41"/>
      <w:bookmarkEnd w:id="42"/>
      <w:bookmarkEnd w:id="43"/>
      <w:bookmarkEnd w:id="44"/>
      <w:r w:rsidRPr="00BA513A">
        <w:rPr>
          <w:rFonts w:ascii="Palatino Linotype" w:eastAsia="MS Mincho" w:hAnsi="Palatino Linotype" w:cs="Times New Roman"/>
          <w:color w:val="000000" w:themeColor="text1"/>
        </w:rPr>
        <w:t xml:space="preserve">Se </w:t>
      </w:r>
      <w:r w:rsidR="00114A5C" w:rsidRPr="00BA513A">
        <w:rPr>
          <w:rFonts w:ascii="Palatino Linotype" w:eastAsia="MS Mincho" w:hAnsi="Palatino Linotype" w:cs="Times New Roman"/>
          <w:b/>
          <w:color w:val="000000" w:themeColor="text1"/>
        </w:rPr>
        <w:t xml:space="preserve">REVOCA </w:t>
      </w:r>
      <w:r w:rsidR="0037796D" w:rsidRPr="00BA513A">
        <w:rPr>
          <w:rFonts w:ascii="Palatino Linotype" w:eastAsia="MS Mincho" w:hAnsi="Palatino Linotype" w:cs="Times New Roman"/>
          <w:color w:val="000000" w:themeColor="text1"/>
        </w:rPr>
        <w:t>la respuesta emitida por</w:t>
      </w:r>
      <w:r w:rsidR="00A82252" w:rsidRPr="00BA513A">
        <w:rPr>
          <w:rFonts w:ascii="Palatino Linotype" w:eastAsia="MS Mincho" w:hAnsi="Palatino Linotype" w:cs="Times New Roman"/>
          <w:color w:val="000000" w:themeColor="text1"/>
        </w:rPr>
        <w:t xml:space="preserve"> la</w:t>
      </w:r>
      <w:r w:rsidR="0037796D" w:rsidRPr="00BA513A">
        <w:rPr>
          <w:rFonts w:ascii="Palatino Linotype" w:eastAsia="MS Mincho" w:hAnsi="Palatino Linotype" w:cs="Times New Roman"/>
          <w:color w:val="000000" w:themeColor="text1"/>
        </w:rPr>
        <w:t xml:space="preserve"> </w:t>
      </w:r>
      <w:r w:rsidR="004A4893" w:rsidRPr="00BA513A">
        <w:rPr>
          <w:rFonts w:ascii="Palatino Linotype" w:hAnsi="Palatino Linotype"/>
          <w:b/>
          <w:bCs/>
          <w:color w:val="000000"/>
        </w:rPr>
        <w:t>Comisión de Conciliación y Arbitraje Médico del Estado de México</w:t>
      </w:r>
      <w:r w:rsidR="001F75E8" w:rsidRPr="00BA513A">
        <w:rPr>
          <w:rFonts w:ascii="Palatino Linotype" w:hAnsi="Palatino Linotype"/>
          <w:b/>
          <w:bCs/>
          <w:color w:val="000000"/>
        </w:rPr>
        <w:t xml:space="preserve"> </w:t>
      </w:r>
      <w:r w:rsidRPr="00BA513A">
        <w:rPr>
          <w:rFonts w:ascii="Palatino Linotype" w:eastAsia="MS Mincho" w:hAnsi="Palatino Linotype" w:cs="Times New Roman"/>
          <w:color w:val="000000" w:themeColor="text1"/>
        </w:rPr>
        <w:t xml:space="preserve">y se </w:t>
      </w:r>
      <w:r w:rsidRPr="00BA513A">
        <w:rPr>
          <w:rFonts w:ascii="Palatino Linotype" w:eastAsia="MS Mincho" w:hAnsi="Palatino Linotype" w:cs="Times New Roman"/>
          <w:b/>
          <w:color w:val="000000" w:themeColor="text1"/>
        </w:rPr>
        <w:t>ORDENA</w:t>
      </w:r>
      <w:r w:rsidRPr="00BA513A">
        <w:rPr>
          <w:rFonts w:ascii="Palatino Linotype" w:eastAsia="MS Mincho" w:hAnsi="Palatino Linotype" w:cs="Times New Roman"/>
          <w:color w:val="000000" w:themeColor="text1"/>
        </w:rPr>
        <w:t xml:space="preserve"> entregar vía Sistema de Acceso a la Información Mexiquense </w:t>
      </w:r>
      <w:r w:rsidRPr="00BA513A">
        <w:rPr>
          <w:rFonts w:ascii="Palatino Linotype" w:eastAsia="MS Mincho" w:hAnsi="Palatino Linotype" w:cs="Times New Roman"/>
          <w:b/>
          <w:color w:val="000000" w:themeColor="text1"/>
        </w:rPr>
        <w:t>(SAIMEX)</w:t>
      </w:r>
      <w:r w:rsidRPr="00BA513A">
        <w:rPr>
          <w:rFonts w:ascii="Palatino Linotype" w:eastAsia="MS Mincho" w:hAnsi="Palatino Linotype" w:cs="Times New Roman"/>
          <w:color w:val="000000" w:themeColor="text1"/>
        </w:rPr>
        <w:t>,</w:t>
      </w:r>
      <w:r w:rsidR="00A82252" w:rsidRPr="00BA513A">
        <w:rPr>
          <w:rFonts w:ascii="Palatino Linotype" w:eastAsia="MS Mincho" w:hAnsi="Palatino Linotype" w:cs="Times New Roman"/>
          <w:color w:val="000000" w:themeColor="text1"/>
        </w:rPr>
        <w:t xml:space="preserve"> previa búsqueda exhaustiva y razonable,</w:t>
      </w:r>
      <w:r w:rsidR="001F75E8" w:rsidRPr="00BA513A">
        <w:rPr>
          <w:rFonts w:ascii="Palatino Linotype" w:eastAsia="MS Mincho" w:hAnsi="Palatino Linotype" w:cs="Times New Roman"/>
          <w:color w:val="000000" w:themeColor="text1"/>
        </w:rPr>
        <w:t xml:space="preserve"> de ser procedente en versión pública,</w:t>
      </w:r>
      <w:r w:rsidR="00A0465E" w:rsidRPr="00BA513A">
        <w:rPr>
          <w:rFonts w:ascii="Palatino Linotype" w:eastAsia="MS Mincho" w:hAnsi="Palatino Linotype" w:cs="Times New Roman"/>
          <w:color w:val="000000" w:themeColor="text1"/>
        </w:rPr>
        <w:t xml:space="preserve"> preferentemente en formato “</w:t>
      </w:r>
      <w:r w:rsidR="00A0465E" w:rsidRPr="00BA513A">
        <w:rPr>
          <w:rFonts w:ascii="Palatino Linotype" w:eastAsia="MS Mincho" w:hAnsi="Palatino Linotype" w:cs="Times New Roman"/>
          <w:i/>
          <w:color w:val="000000" w:themeColor="text1"/>
        </w:rPr>
        <w:t>.pdf”</w:t>
      </w:r>
      <w:r w:rsidR="00A0465E" w:rsidRPr="00BA513A">
        <w:rPr>
          <w:rFonts w:ascii="Palatino Linotype" w:eastAsia="MS Mincho" w:hAnsi="Palatino Linotype" w:cs="Times New Roman"/>
          <w:color w:val="000000" w:themeColor="text1"/>
        </w:rPr>
        <w:t>, o en el que se genere, posea o administre,</w:t>
      </w:r>
      <w:r w:rsidR="001F75E8" w:rsidRPr="00BA513A">
        <w:rPr>
          <w:rFonts w:ascii="Palatino Linotype" w:eastAsia="MS Mincho" w:hAnsi="Palatino Linotype" w:cs="Times New Roman"/>
          <w:color w:val="000000" w:themeColor="text1"/>
        </w:rPr>
        <w:t xml:space="preserve"> la siguiente información</w:t>
      </w:r>
      <w:r w:rsidRPr="00BA513A">
        <w:rPr>
          <w:rFonts w:ascii="Palatino Linotype" w:eastAsia="MS Mincho" w:hAnsi="Palatino Linotype" w:cs="Times New Roman"/>
          <w:color w:val="000000" w:themeColor="text1"/>
        </w:rPr>
        <w:t xml:space="preserve">:  </w:t>
      </w:r>
    </w:p>
    <w:p w14:paraId="53D03672" w14:textId="02E56FA5" w:rsidR="00A82252" w:rsidRPr="00BA513A" w:rsidRDefault="00A82252" w:rsidP="007105DF">
      <w:pPr>
        <w:pStyle w:val="Prrafodelista"/>
        <w:numPr>
          <w:ilvl w:val="0"/>
          <w:numId w:val="40"/>
        </w:numPr>
        <w:spacing w:before="240" w:after="360" w:line="276" w:lineRule="auto"/>
        <w:jc w:val="both"/>
        <w:rPr>
          <w:rFonts w:ascii="Palatino Linotype" w:eastAsia="MS Mincho" w:hAnsi="Palatino Linotype" w:cs="Times New Roman"/>
          <w:b/>
          <w:color w:val="000000" w:themeColor="text1"/>
        </w:rPr>
      </w:pPr>
      <w:r w:rsidRPr="00BA513A">
        <w:rPr>
          <w:rFonts w:ascii="Palatino Linotype" w:eastAsia="MS Mincho" w:hAnsi="Palatino Linotype" w:cs="Times New Roman"/>
          <w:b/>
          <w:color w:val="000000" w:themeColor="text1"/>
        </w:rPr>
        <w:t>Contratos subrogad</w:t>
      </w:r>
      <w:r w:rsidR="004C7418" w:rsidRPr="00BA513A">
        <w:rPr>
          <w:rFonts w:ascii="Palatino Linotype" w:eastAsia="MS Mincho" w:hAnsi="Palatino Linotype" w:cs="Times New Roman"/>
          <w:b/>
          <w:color w:val="000000" w:themeColor="text1"/>
        </w:rPr>
        <w:t xml:space="preserve">os del uno (01) de enero, al trece (13) de diciembre de dos mil veintiuno, </w:t>
      </w:r>
      <w:r w:rsidR="007D6247" w:rsidRPr="00BA513A">
        <w:rPr>
          <w:rFonts w:ascii="Palatino Linotype" w:eastAsia="MS Mincho" w:hAnsi="Palatino Linotype" w:cs="Times New Roman"/>
          <w:b/>
          <w:color w:val="000000" w:themeColor="text1"/>
        </w:rPr>
        <w:t>en</w:t>
      </w:r>
      <w:r w:rsidRPr="00BA513A">
        <w:rPr>
          <w:rFonts w:ascii="Palatino Linotype" w:eastAsia="MS Mincho" w:hAnsi="Palatino Linotype" w:cs="Times New Roman"/>
          <w:b/>
          <w:color w:val="000000" w:themeColor="text1"/>
        </w:rPr>
        <w:t xml:space="preserve"> formato pdf.</w:t>
      </w:r>
    </w:p>
    <w:p w14:paraId="544E6594" w14:textId="6051494A" w:rsidR="00A82252" w:rsidRPr="00BA513A" w:rsidRDefault="009F09BC" w:rsidP="007105DF">
      <w:pPr>
        <w:spacing w:before="240" w:after="240" w:line="276" w:lineRule="auto"/>
        <w:jc w:val="both"/>
        <w:rPr>
          <w:rFonts w:ascii="Palatino Linotype" w:eastAsia="Calibri" w:hAnsi="Palatino Linotype" w:cs="Arial"/>
        </w:rPr>
      </w:pPr>
      <w:bookmarkStart w:id="45" w:name="_Toc453696503"/>
      <w:bookmarkStart w:id="46" w:name="_Toc454301156"/>
      <w:bookmarkStart w:id="47" w:name="_Toc462653938"/>
      <w:bookmarkStart w:id="48" w:name="_Toc477891769"/>
      <w:bookmarkStart w:id="49" w:name="_Toc477891859"/>
      <w:bookmarkStart w:id="50" w:name="_Toc481576260"/>
      <w:bookmarkStart w:id="51" w:name="_Toc492590392"/>
      <w:r w:rsidRPr="00BA513A">
        <w:rPr>
          <w:rFonts w:ascii="Palatino Linotype" w:eastAsia="Calibri" w:hAnsi="Palatino Linotype" w:cs="Arial"/>
        </w:rPr>
        <w:lastRenderedPageBreak/>
        <w:t xml:space="preserve">Para </w:t>
      </w:r>
      <w:r w:rsidR="006654ED" w:rsidRPr="00BA513A">
        <w:rPr>
          <w:rFonts w:ascii="Palatino Linotype" w:eastAsia="Calibri" w:hAnsi="Palatino Linotype" w:cs="Arial"/>
        </w:rPr>
        <w:t xml:space="preserve">el caso de que parte de la información no haya sido generada, el </w:t>
      </w:r>
      <w:r w:rsidR="006654ED" w:rsidRPr="00BA513A">
        <w:rPr>
          <w:rFonts w:ascii="Palatino Linotype" w:eastAsia="Calibri" w:hAnsi="Palatino Linotype" w:cs="Arial"/>
          <w:b/>
        </w:rPr>
        <w:t>SUJETO OBLIGADO</w:t>
      </w:r>
      <w:r w:rsidR="006654ED" w:rsidRPr="00BA513A">
        <w:rPr>
          <w:rFonts w:ascii="Palatino Linotype" w:eastAsia="Calibri" w:hAnsi="Palatino Linotype" w:cs="Arial"/>
        </w:rPr>
        <w:t>, deberá manifestar de manera precisa y clara las razones que expliquen las causas por la que no se haya generado la información requerida.</w:t>
      </w:r>
    </w:p>
    <w:p w14:paraId="572EABFA" w14:textId="4FFBFC69" w:rsidR="009F09BC" w:rsidRPr="00BA513A" w:rsidRDefault="009F09BC" w:rsidP="007105DF">
      <w:pPr>
        <w:tabs>
          <w:tab w:val="left" w:pos="8080"/>
        </w:tabs>
        <w:spacing w:before="240" w:line="276" w:lineRule="auto"/>
        <w:ind w:right="49"/>
        <w:jc w:val="both"/>
        <w:rPr>
          <w:rFonts w:ascii="Palatino Linotype" w:eastAsia="Times New Roman" w:hAnsi="Palatino Linotype" w:cs="Times New Roman"/>
          <w:shd w:val="clear" w:color="auto" w:fill="FFFFFF"/>
        </w:rPr>
      </w:pPr>
      <w:bookmarkStart w:id="52" w:name="_Toc511647758"/>
      <w:bookmarkStart w:id="53" w:name="_Toc511647819"/>
      <w:r w:rsidRPr="00BA513A">
        <w:rPr>
          <w:rFonts w:ascii="Palatino Linotype" w:eastAsia="Times New Roman" w:hAnsi="Palatino Linotype" w:cs="Times New Roman"/>
          <w:b/>
        </w:rPr>
        <w:t>TERCERO.</w:t>
      </w:r>
      <w:bookmarkEnd w:id="52"/>
      <w:bookmarkEnd w:id="53"/>
      <w:r w:rsidRPr="00BA513A">
        <w:rPr>
          <w:rFonts w:ascii="Palatino Linotype" w:eastAsia="Times New Roman" w:hAnsi="Palatino Linotype" w:cs="Times New Roman"/>
          <w:b/>
        </w:rPr>
        <w:t xml:space="preserve"> </w:t>
      </w:r>
      <w:bookmarkEnd w:id="45"/>
      <w:bookmarkEnd w:id="46"/>
      <w:bookmarkEnd w:id="47"/>
      <w:bookmarkEnd w:id="48"/>
      <w:bookmarkEnd w:id="49"/>
      <w:bookmarkEnd w:id="50"/>
      <w:bookmarkEnd w:id="51"/>
      <w:r w:rsidRPr="00BA513A">
        <w:rPr>
          <w:rFonts w:ascii="Palatino Linotype" w:eastAsia="Palatino Linotype" w:hAnsi="Palatino Linotype" w:cs="Palatino Linotype"/>
          <w:b/>
        </w:rPr>
        <w:t xml:space="preserve">Notifíquese </w:t>
      </w:r>
      <w:r w:rsidRPr="00BA513A">
        <w:rPr>
          <w:rFonts w:ascii="Palatino Linotype" w:eastAsia="Palatino Linotype" w:hAnsi="Palatino Linotype" w:cs="Palatino Linotype"/>
        </w:rPr>
        <w:t xml:space="preserve">al Titular de la Unidad de Transparencia del </w:t>
      </w:r>
      <w:r w:rsidRPr="00BA513A">
        <w:rPr>
          <w:rFonts w:ascii="Palatino Linotype" w:eastAsia="Palatino Linotype" w:hAnsi="Palatino Linotype" w:cs="Palatino Linotype"/>
          <w:b/>
        </w:rPr>
        <w:t>SUJETO OBLIGADO</w:t>
      </w:r>
      <w:r w:rsidRPr="00BA513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A513A">
        <w:rPr>
          <w:rFonts w:ascii="Palatino Linotype" w:eastAsia="Times New Roman" w:hAnsi="Palatino Linotype" w:cs="Times New Roman"/>
          <w:shd w:val="clear" w:color="auto" w:fill="FFFFFF"/>
        </w:rPr>
        <w:t xml:space="preserve">vigente, dé cumplimiento a lo ordenado dentro del plazo de </w:t>
      </w:r>
      <w:r w:rsidR="009602CE" w:rsidRPr="00BA513A">
        <w:rPr>
          <w:rFonts w:ascii="Palatino Linotype" w:eastAsia="Times New Roman" w:hAnsi="Palatino Linotype" w:cs="Times New Roman"/>
          <w:b/>
          <w:shd w:val="clear" w:color="auto" w:fill="FFFFFF"/>
        </w:rPr>
        <w:t>diez</w:t>
      </w:r>
      <w:r w:rsidRPr="00BA513A">
        <w:rPr>
          <w:rFonts w:ascii="Palatino Linotype" w:eastAsia="Times New Roman" w:hAnsi="Palatino Linotype" w:cs="Times New Roman"/>
          <w:b/>
          <w:shd w:val="clear" w:color="auto" w:fill="FFFFFF"/>
        </w:rPr>
        <w:t xml:space="preserve"> días hábiles</w:t>
      </w:r>
      <w:r w:rsidRPr="00BA513A">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34887D39" w14:textId="77777777" w:rsidR="0057514F" w:rsidRPr="00BA513A" w:rsidRDefault="0057514F" w:rsidP="007105DF">
      <w:pPr>
        <w:spacing w:line="276" w:lineRule="auto"/>
        <w:jc w:val="both"/>
        <w:rPr>
          <w:rFonts w:ascii="Palatino Linotype" w:hAnsi="Palatino Linotype" w:cs="Arial"/>
          <w:b/>
        </w:rPr>
      </w:pPr>
    </w:p>
    <w:p w14:paraId="7338C0A8" w14:textId="77777777" w:rsidR="0057514F" w:rsidRPr="00BA513A" w:rsidRDefault="0057514F" w:rsidP="007105DF">
      <w:pPr>
        <w:spacing w:line="276" w:lineRule="auto"/>
        <w:jc w:val="both"/>
        <w:rPr>
          <w:rFonts w:ascii="Palatino Linotype" w:eastAsia="Calibri" w:hAnsi="Palatino Linotype" w:cs="Arial"/>
          <w:bCs/>
        </w:rPr>
      </w:pPr>
      <w:r w:rsidRPr="00BA513A">
        <w:rPr>
          <w:rFonts w:ascii="Palatino Linotype" w:hAnsi="Palatino Linotype" w:cs="Arial"/>
          <w:b/>
        </w:rPr>
        <w:t xml:space="preserve">CUARTO. </w:t>
      </w:r>
      <w:r w:rsidRPr="00BA513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A513A">
        <w:rPr>
          <w:rFonts w:ascii="Palatino Linotype" w:eastAsia="Calibri" w:hAnsi="Palatino Linotype" w:cs="Arial"/>
          <w:b/>
          <w:bCs/>
        </w:rPr>
        <w:t>SUJETO OBLIGADO</w:t>
      </w:r>
      <w:r w:rsidRPr="00BA513A">
        <w:rPr>
          <w:rFonts w:ascii="Palatino Linotype" w:eastAsia="Calibri" w:hAnsi="Palatino Linotype" w:cs="Arial"/>
          <w:bCs/>
        </w:rPr>
        <w:t xml:space="preserve"> de manera fundada y motivada, podrá solicitar una ampliación de plazo para el cumplimiento de la presente resolución.</w:t>
      </w:r>
    </w:p>
    <w:p w14:paraId="6343DBC6" w14:textId="77777777" w:rsidR="009F09BC" w:rsidRPr="00BA513A" w:rsidRDefault="0057514F" w:rsidP="007105DF">
      <w:pPr>
        <w:tabs>
          <w:tab w:val="left" w:pos="8080"/>
        </w:tabs>
        <w:spacing w:before="240" w:line="276" w:lineRule="auto"/>
        <w:ind w:right="49"/>
        <w:jc w:val="both"/>
        <w:rPr>
          <w:rFonts w:ascii="Palatino Linotype" w:eastAsia="Times New Roman" w:hAnsi="Palatino Linotype" w:cs="Arial"/>
          <w:b/>
          <w:lang w:val="es-ES"/>
        </w:rPr>
      </w:pPr>
      <w:bookmarkStart w:id="54" w:name="_Toc492590393"/>
      <w:bookmarkStart w:id="55" w:name="_Toc503891611"/>
      <w:bookmarkStart w:id="56" w:name="_Toc511647759"/>
      <w:bookmarkStart w:id="57" w:name="_Toc511647820"/>
      <w:r w:rsidRPr="00BA513A">
        <w:rPr>
          <w:rFonts w:ascii="Palatino Linotype" w:eastAsia="Times New Roman" w:hAnsi="Palatino Linotype" w:cs="Times New Roman"/>
          <w:b/>
        </w:rPr>
        <w:t>QUIN</w:t>
      </w:r>
      <w:r w:rsidR="009F09BC" w:rsidRPr="00BA513A">
        <w:rPr>
          <w:rFonts w:ascii="Palatino Linotype" w:eastAsia="Times New Roman" w:hAnsi="Palatino Linotype" w:cs="Times New Roman"/>
          <w:b/>
        </w:rPr>
        <w:t xml:space="preserve">TO. </w:t>
      </w:r>
      <w:r w:rsidR="009F09BC" w:rsidRPr="00BA513A">
        <w:rPr>
          <w:rFonts w:ascii="Palatino Linotype" w:eastAsia="Times New Roman" w:hAnsi="Palatino Linotype" w:cs="Times New Roman"/>
        </w:rPr>
        <w:t>Notifíquese</w:t>
      </w:r>
      <w:bookmarkEnd w:id="54"/>
      <w:bookmarkEnd w:id="55"/>
      <w:bookmarkEnd w:id="56"/>
      <w:bookmarkEnd w:id="57"/>
      <w:r w:rsidR="009F09BC" w:rsidRPr="00BA513A">
        <w:rPr>
          <w:rFonts w:ascii="Palatino Linotype" w:eastAsia="Times New Roman" w:hAnsi="Palatino Linotype" w:cs="Times New Roman"/>
        </w:rPr>
        <w:t xml:space="preserve"> a </w:t>
      </w:r>
      <w:r w:rsidR="009F09BC" w:rsidRPr="00BA513A">
        <w:rPr>
          <w:rFonts w:ascii="Palatino Linotype" w:eastAsia="Times New Roman" w:hAnsi="Palatino Linotype" w:cs="Times New Roman"/>
          <w:b/>
        </w:rPr>
        <w:t>EL RECURRENTE</w:t>
      </w:r>
      <w:r w:rsidR="009F09BC" w:rsidRPr="00BA513A">
        <w:rPr>
          <w:rFonts w:ascii="Palatino Linotype" w:eastAsia="Times New Roman" w:hAnsi="Palatino Linotype" w:cs="Times New Roman"/>
        </w:rPr>
        <w:t xml:space="preserve"> la presente</w:t>
      </w:r>
      <w:r w:rsidR="009F09BC" w:rsidRPr="00BA513A">
        <w:rPr>
          <w:rFonts w:ascii="Palatino Linotype" w:eastAsia="Times New Roman" w:hAnsi="Palatino Linotype" w:cs="Times New Roman"/>
          <w:lang w:val="es-ES" w:eastAsia="es-MX"/>
        </w:rPr>
        <w:t xml:space="preserve"> resolución</w:t>
      </w:r>
      <w:r w:rsidR="006D15D0" w:rsidRPr="00BA513A">
        <w:rPr>
          <w:rFonts w:ascii="Palatino Linotype" w:eastAsia="Times New Roman" w:hAnsi="Palatino Linotype" w:cs="Times New Roman"/>
          <w:lang w:val="es-ES" w:eastAsia="es-MX"/>
        </w:rPr>
        <w:t>.</w:t>
      </w:r>
    </w:p>
    <w:p w14:paraId="3D5326C1" w14:textId="77777777" w:rsidR="009F09BC" w:rsidRPr="00BA513A" w:rsidRDefault="0057514F" w:rsidP="007105DF">
      <w:pPr>
        <w:shd w:val="clear" w:color="auto" w:fill="FFFFFF"/>
        <w:spacing w:before="240" w:after="360" w:line="276" w:lineRule="auto"/>
        <w:jc w:val="both"/>
        <w:rPr>
          <w:rFonts w:ascii="Palatino Linotype" w:eastAsia="Times New Roman" w:hAnsi="Palatino Linotype" w:cs="Times New Roman"/>
          <w:lang w:val="es-ES" w:eastAsia="es-MX"/>
        </w:rPr>
      </w:pPr>
      <w:r w:rsidRPr="00BA513A">
        <w:rPr>
          <w:rFonts w:ascii="Palatino Linotype" w:eastAsia="Calibri" w:hAnsi="Palatino Linotype" w:cs="Times New Roman"/>
          <w:b/>
          <w:lang w:val="es-MX" w:eastAsia="en-US"/>
        </w:rPr>
        <w:t>SEX</w:t>
      </w:r>
      <w:r w:rsidR="009F09BC" w:rsidRPr="00BA513A">
        <w:rPr>
          <w:rFonts w:ascii="Palatino Linotype" w:eastAsia="Calibri" w:hAnsi="Palatino Linotype" w:cs="Times New Roman"/>
          <w:b/>
          <w:lang w:val="es-MX" w:eastAsia="en-US"/>
        </w:rPr>
        <w:t>TO.</w:t>
      </w:r>
      <w:r w:rsidR="009F09BC" w:rsidRPr="00BA513A">
        <w:rPr>
          <w:rFonts w:ascii="Palatino Linotype" w:eastAsia="Calibri" w:hAnsi="Palatino Linotype" w:cs="Times New Roman"/>
          <w:lang w:val="es-MX" w:eastAsia="en-US"/>
        </w:rPr>
        <w:t xml:space="preserve"> </w:t>
      </w:r>
      <w:r w:rsidR="009F09BC" w:rsidRPr="00BA513A">
        <w:rPr>
          <w:rFonts w:ascii="Palatino Linotype" w:eastAsia="Times New Roman" w:hAnsi="Palatino Linotype" w:cs="Times New Roman"/>
          <w:lang w:val="es-ES" w:eastAsia="es-MX"/>
        </w:rPr>
        <w:t xml:space="preserve">Se hace del conocimiento de </w:t>
      </w:r>
      <w:r w:rsidR="009F09BC" w:rsidRPr="00BA513A">
        <w:rPr>
          <w:rFonts w:ascii="Palatino Linotype" w:eastAsia="Times New Roman" w:hAnsi="Palatino Linotype" w:cs="Times New Roman"/>
          <w:b/>
          <w:lang w:val="es-ES" w:eastAsia="es-MX"/>
        </w:rPr>
        <w:t>EL RECURRENTE</w:t>
      </w:r>
      <w:r w:rsidR="009F09BC" w:rsidRPr="00BA513A">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BA513A">
        <w:rPr>
          <w:rFonts w:ascii="Palatino Linotype" w:eastAsia="Times New Roman" w:hAnsi="Palatino Linotype" w:cs="Times New Roman"/>
          <w:bCs/>
          <w:lang w:val="es-ES" w:eastAsia="es-MX"/>
        </w:rPr>
        <w:t>vía juicio de amparo</w:t>
      </w:r>
      <w:r w:rsidR="009F09BC" w:rsidRPr="00BA513A">
        <w:rPr>
          <w:rFonts w:ascii="Palatino Linotype" w:eastAsia="Times New Roman" w:hAnsi="Palatino Linotype" w:cs="Times New Roman"/>
          <w:lang w:val="es-ES" w:eastAsia="es-MX"/>
        </w:rPr>
        <w:t> en los términos de las leyes aplicables.</w:t>
      </w:r>
    </w:p>
    <w:p w14:paraId="656BFC53" w14:textId="77777777" w:rsidR="005448DA" w:rsidRPr="00624AAD" w:rsidRDefault="005448DA" w:rsidP="005448DA">
      <w:pPr>
        <w:spacing w:before="240" w:after="240" w:line="360" w:lineRule="auto"/>
        <w:ind w:firstLine="1"/>
        <w:jc w:val="both"/>
        <w:rPr>
          <w:rFonts w:ascii="Palatino Linotype" w:hAnsi="Palatino Linotype"/>
        </w:rPr>
      </w:pPr>
      <w:bookmarkStart w:id="58" w:name="_Hlk99014733"/>
      <w:r w:rsidRPr="00BA513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w:t>
      </w:r>
      <w:r w:rsidRPr="00BA513A">
        <w:rPr>
          <w:rFonts w:ascii="Palatino Linotype" w:hAnsi="Palatino Linotype"/>
        </w:rPr>
        <w:lastRenderedPageBreak/>
        <w:t>EL TREINTA DE MARZO DE DOS MIL VEINTIDÓS, ANTE EL SECRETARIO TÉCNICO DEL PLENO ALEXIS TAPIA RAMÍREZ.</w:t>
      </w:r>
      <w:r w:rsidRPr="00624AAD">
        <w:rPr>
          <w:rFonts w:ascii="Palatino Linotype" w:hAnsi="Palatino Linotype"/>
        </w:rPr>
        <w:t xml:space="preserve"> </w:t>
      </w:r>
    </w:p>
    <w:bookmarkEnd w:id="58"/>
    <w:p w14:paraId="62F0BC1C" w14:textId="77777777" w:rsidR="009F09BC" w:rsidRPr="007105DF" w:rsidRDefault="009F09BC" w:rsidP="007105DF">
      <w:pPr>
        <w:spacing w:line="276" w:lineRule="auto"/>
        <w:jc w:val="both"/>
        <w:rPr>
          <w:rFonts w:ascii="Palatino Linotype" w:hAnsi="Palatino Linotype"/>
        </w:rPr>
      </w:pPr>
    </w:p>
    <w:p w14:paraId="486D6F17" w14:textId="77777777" w:rsidR="009F09BC" w:rsidRPr="007105DF" w:rsidRDefault="009F09BC" w:rsidP="007105DF">
      <w:pPr>
        <w:spacing w:line="276" w:lineRule="auto"/>
        <w:jc w:val="both"/>
        <w:rPr>
          <w:rFonts w:ascii="Palatino Linotype" w:hAnsi="Palatino Linotype"/>
        </w:rPr>
      </w:pPr>
    </w:p>
    <w:p w14:paraId="294B94EE" w14:textId="77777777" w:rsidR="009F09BC" w:rsidRPr="007105DF" w:rsidRDefault="009F09BC" w:rsidP="007105DF">
      <w:pPr>
        <w:spacing w:line="276" w:lineRule="auto"/>
        <w:jc w:val="both"/>
        <w:rPr>
          <w:rFonts w:ascii="Palatino Linotype" w:hAnsi="Palatino Linotype"/>
        </w:rPr>
      </w:pPr>
    </w:p>
    <w:p w14:paraId="539D448D" w14:textId="77777777" w:rsidR="009F09BC" w:rsidRPr="007105DF" w:rsidRDefault="009F09BC" w:rsidP="007105DF">
      <w:pPr>
        <w:spacing w:line="276" w:lineRule="auto"/>
        <w:jc w:val="both"/>
        <w:rPr>
          <w:rFonts w:ascii="Palatino Linotype" w:hAnsi="Palatino Linotype"/>
        </w:rPr>
      </w:pPr>
    </w:p>
    <w:p w14:paraId="535BCA1C" w14:textId="77777777" w:rsidR="009F09BC" w:rsidRPr="007105DF" w:rsidRDefault="009F09BC" w:rsidP="007105DF">
      <w:pPr>
        <w:spacing w:line="276" w:lineRule="auto"/>
        <w:jc w:val="both"/>
        <w:rPr>
          <w:rFonts w:ascii="Palatino Linotype" w:hAnsi="Palatino Linotype"/>
        </w:rPr>
      </w:pPr>
    </w:p>
    <w:p w14:paraId="03657BCD" w14:textId="77777777" w:rsidR="009F09BC" w:rsidRPr="007105DF" w:rsidRDefault="009F09BC" w:rsidP="007105DF">
      <w:pPr>
        <w:spacing w:line="276" w:lineRule="auto"/>
        <w:jc w:val="both"/>
        <w:rPr>
          <w:rFonts w:ascii="Palatino Linotype" w:hAnsi="Palatino Linotype"/>
        </w:rPr>
      </w:pPr>
    </w:p>
    <w:p w14:paraId="674B22F7" w14:textId="77777777" w:rsidR="009F09BC" w:rsidRPr="007105DF" w:rsidRDefault="009F09BC" w:rsidP="007105DF">
      <w:pPr>
        <w:spacing w:line="276" w:lineRule="auto"/>
        <w:jc w:val="both"/>
        <w:rPr>
          <w:rFonts w:ascii="Palatino Linotype" w:hAnsi="Palatino Linotype"/>
        </w:rPr>
      </w:pPr>
    </w:p>
    <w:p w14:paraId="4889401C" w14:textId="77777777" w:rsidR="009F09BC" w:rsidRPr="007105DF" w:rsidRDefault="009F09BC" w:rsidP="007105DF">
      <w:pPr>
        <w:spacing w:line="276" w:lineRule="auto"/>
        <w:jc w:val="both"/>
        <w:rPr>
          <w:rFonts w:ascii="Palatino Linotype" w:hAnsi="Palatino Linotype"/>
        </w:rPr>
      </w:pPr>
    </w:p>
    <w:p w14:paraId="546D5EF8" w14:textId="77777777" w:rsidR="009F09BC" w:rsidRPr="007105DF" w:rsidRDefault="009F09BC" w:rsidP="007105DF">
      <w:pPr>
        <w:spacing w:line="276" w:lineRule="auto"/>
        <w:rPr>
          <w:rFonts w:ascii="Palatino Linotype" w:hAnsi="Palatino Linotype"/>
        </w:rPr>
      </w:pPr>
    </w:p>
    <w:p w14:paraId="02E1200C" w14:textId="77777777" w:rsidR="009F09BC" w:rsidRPr="007105DF" w:rsidRDefault="009F09BC" w:rsidP="007105DF">
      <w:pPr>
        <w:spacing w:line="276" w:lineRule="auto"/>
        <w:rPr>
          <w:rFonts w:ascii="Palatino Linotype" w:hAnsi="Palatino Linotype"/>
        </w:rPr>
      </w:pPr>
    </w:p>
    <w:p w14:paraId="11971892" w14:textId="77777777" w:rsidR="009F09BC" w:rsidRPr="007105DF" w:rsidRDefault="009F09BC" w:rsidP="007105DF">
      <w:pPr>
        <w:spacing w:line="276" w:lineRule="auto"/>
        <w:rPr>
          <w:rFonts w:ascii="Palatino Linotype" w:hAnsi="Palatino Linotype"/>
        </w:rPr>
      </w:pPr>
    </w:p>
    <w:p w14:paraId="6C9652F5" w14:textId="77777777" w:rsidR="009F09BC" w:rsidRPr="007105DF" w:rsidRDefault="009F09BC" w:rsidP="007105DF">
      <w:pPr>
        <w:spacing w:line="276" w:lineRule="auto"/>
        <w:rPr>
          <w:rFonts w:ascii="Palatino Linotype" w:hAnsi="Palatino Linotype"/>
        </w:rPr>
      </w:pPr>
    </w:p>
    <w:p w14:paraId="5DF98181" w14:textId="77777777" w:rsidR="009F09BC" w:rsidRPr="007105DF" w:rsidRDefault="009F09BC" w:rsidP="007105DF">
      <w:pPr>
        <w:spacing w:line="276" w:lineRule="auto"/>
        <w:rPr>
          <w:rFonts w:ascii="Palatino Linotype" w:hAnsi="Palatino Linotype"/>
        </w:rPr>
      </w:pPr>
    </w:p>
    <w:p w14:paraId="47EA1F7C" w14:textId="77777777" w:rsidR="009F09BC" w:rsidRPr="007105DF" w:rsidRDefault="009F09BC" w:rsidP="007105DF">
      <w:pPr>
        <w:spacing w:line="276" w:lineRule="auto"/>
        <w:rPr>
          <w:rFonts w:ascii="Palatino Linotype" w:hAnsi="Palatino Linotype"/>
        </w:rPr>
      </w:pPr>
    </w:p>
    <w:p w14:paraId="7BC6A7EB" w14:textId="77777777" w:rsidR="009F09BC" w:rsidRPr="007105DF" w:rsidRDefault="009F09BC" w:rsidP="007105DF">
      <w:pPr>
        <w:tabs>
          <w:tab w:val="left" w:pos="3374"/>
        </w:tabs>
        <w:spacing w:line="276" w:lineRule="auto"/>
        <w:rPr>
          <w:rFonts w:ascii="Palatino Linotype" w:hAnsi="Palatino Linotype"/>
        </w:rPr>
      </w:pPr>
    </w:p>
    <w:sectPr w:rsidR="009F09BC" w:rsidRPr="007105DF" w:rsidSect="00ED6E75">
      <w:headerReference w:type="even" r:id="rId10"/>
      <w:headerReference w:type="default" r:id="rId11"/>
      <w:footerReference w:type="default" r:id="rId12"/>
      <w:headerReference w:type="first" r:id="rId13"/>
      <w:footerReference w:type="first" r:id="rId14"/>
      <w:pgSz w:w="12240" w:h="15840"/>
      <w:pgMar w:top="958" w:right="170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758BB" w14:textId="77777777" w:rsidR="00A70E05" w:rsidRDefault="00A70E05" w:rsidP="003B7751">
      <w:r>
        <w:separator/>
      </w:r>
    </w:p>
  </w:endnote>
  <w:endnote w:type="continuationSeparator" w:id="0">
    <w:p w14:paraId="78C8B065" w14:textId="77777777" w:rsidR="00A70E05" w:rsidRDefault="00A70E0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97570"/>
      <w:docPartObj>
        <w:docPartGallery w:val="Page Numbers (Bottom of Page)"/>
        <w:docPartUnique/>
      </w:docPartObj>
    </w:sdtPr>
    <w:sdtEndPr/>
    <w:sdtContent>
      <w:sdt>
        <w:sdtPr>
          <w:id w:val="855304135"/>
          <w:docPartObj>
            <w:docPartGallery w:val="Page Numbers (Top of Page)"/>
            <w:docPartUnique/>
          </w:docPartObj>
        </w:sdtPr>
        <w:sdtEndPr/>
        <w:sdtContent>
          <w:p w14:paraId="1ADB0615" w14:textId="77777777" w:rsidR="00C81F02" w:rsidRPr="002D6DD8" w:rsidRDefault="00C81F0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0321">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10321">
              <w:rPr>
                <w:rFonts w:ascii="Palatino Linotype" w:hAnsi="Palatino Linotype"/>
                <w:bCs/>
                <w:noProof/>
                <w:sz w:val="20"/>
              </w:rPr>
              <w:t>28</w:t>
            </w:r>
            <w:r>
              <w:rPr>
                <w:rFonts w:ascii="Palatino Linotype" w:hAnsi="Palatino Linotype"/>
                <w:bCs/>
                <w:noProof/>
                <w:sz w:val="20"/>
              </w:rPr>
              <w:fldChar w:fldCharType="end"/>
            </w:r>
          </w:p>
        </w:sdtContent>
      </w:sdt>
    </w:sdtContent>
  </w:sdt>
  <w:p w14:paraId="5F85077A" w14:textId="77777777" w:rsidR="00C81F02" w:rsidRDefault="00C81F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9002E" w14:textId="77777777" w:rsidR="00C81F02" w:rsidRPr="000B69FA" w:rsidRDefault="00C81F0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03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10321">
      <w:rPr>
        <w:rFonts w:ascii="Palatino Linotype" w:hAnsi="Palatino Linotype"/>
        <w:bCs/>
        <w:noProof/>
        <w:sz w:val="20"/>
      </w:rPr>
      <w:t>28</w:t>
    </w:r>
    <w:r>
      <w:rPr>
        <w:rFonts w:ascii="Palatino Linotype" w:hAnsi="Palatino Linotype"/>
        <w:bCs/>
        <w:noProof/>
        <w:sz w:val="20"/>
      </w:rPr>
      <w:fldChar w:fldCharType="end"/>
    </w:r>
  </w:p>
  <w:p w14:paraId="60B898DC" w14:textId="77777777" w:rsidR="00C81F02" w:rsidRDefault="00C81F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5646A" w14:textId="77777777" w:rsidR="00A70E05" w:rsidRDefault="00A70E05" w:rsidP="003B7751">
      <w:r>
        <w:separator/>
      </w:r>
    </w:p>
  </w:footnote>
  <w:footnote w:type="continuationSeparator" w:id="0">
    <w:p w14:paraId="6A201D31" w14:textId="77777777" w:rsidR="00A70E05" w:rsidRDefault="00A70E05" w:rsidP="003B7751">
      <w:r>
        <w:continuationSeparator/>
      </w:r>
    </w:p>
  </w:footnote>
  <w:footnote w:id="1">
    <w:p w14:paraId="0456E310" w14:textId="7688AC03" w:rsidR="004F24D1" w:rsidRPr="004F24D1" w:rsidRDefault="004F24D1">
      <w:pPr>
        <w:pStyle w:val="Textonotapie"/>
        <w:rPr>
          <w:lang w:val="es-MX"/>
        </w:rPr>
      </w:pPr>
      <w:r>
        <w:rPr>
          <w:rStyle w:val="Refdenotaalpie"/>
        </w:rPr>
        <w:footnoteRef/>
      </w:r>
      <w:hyperlink r:id="rId1" w:history="1">
        <w:r w:rsidRPr="00F25F55">
          <w:rPr>
            <w:rStyle w:val="Hipervnculo"/>
          </w:rPr>
          <w:t>http://www.pjedomex.gob.mx/DocumentosGenerales/transparencia/MarcoJurNor/10_Codigo_Civil_Estado_Mexico.pdf</w:t>
        </w:r>
      </w:hyperlink>
      <w:r>
        <w:t xml:space="preserve"> </w:t>
      </w:r>
    </w:p>
  </w:footnote>
  <w:footnote w:id="2">
    <w:p w14:paraId="38AFD276" w14:textId="7C5CD7CE" w:rsidR="003D08E5" w:rsidRPr="003D08E5" w:rsidRDefault="003D08E5">
      <w:pPr>
        <w:pStyle w:val="Textonotapie"/>
        <w:rPr>
          <w:lang w:val="es-MX"/>
        </w:rPr>
      </w:pPr>
      <w:r>
        <w:rPr>
          <w:rStyle w:val="Refdenotaalpie"/>
        </w:rPr>
        <w:footnoteRef/>
      </w:r>
      <w:r>
        <w:t xml:space="preserve"> </w:t>
      </w:r>
      <w:hyperlink r:id="rId2" w:history="1">
        <w:r w:rsidRPr="00F25F55">
          <w:rPr>
            <w:rStyle w:val="Hipervnculo"/>
          </w:rPr>
          <w:t>https://archivos.juridicas.unam.mx/www/bjv/libros/8/3861/21.pdf</w:t>
        </w:r>
      </w:hyperlink>
      <w:r>
        <w:t xml:space="preserve"> </w:t>
      </w:r>
    </w:p>
  </w:footnote>
  <w:footnote w:id="3">
    <w:p w14:paraId="2F30F35F" w14:textId="67D3A87E" w:rsidR="004575E6" w:rsidRPr="004575E6" w:rsidRDefault="004575E6">
      <w:pPr>
        <w:pStyle w:val="Textonotapie"/>
        <w:rPr>
          <w:lang w:val="es-MX"/>
        </w:rPr>
      </w:pPr>
      <w:r>
        <w:rPr>
          <w:rStyle w:val="Refdenotaalpie"/>
        </w:rPr>
        <w:footnoteRef/>
      </w:r>
      <w:r>
        <w:t xml:space="preserve"> </w:t>
      </w:r>
      <w:hyperlink r:id="rId3" w:history="1">
        <w:r w:rsidRPr="00F25F55">
          <w:rPr>
            <w:rStyle w:val="Hipervnculo"/>
          </w:rPr>
          <w:t>https://www.conceptosjuridicos.com/mx/subrogacion/</w:t>
        </w:r>
      </w:hyperlink>
      <w:r>
        <w:t xml:space="preserve"> </w:t>
      </w:r>
    </w:p>
  </w:footnote>
  <w:footnote w:id="4">
    <w:p w14:paraId="2D8C2303" w14:textId="201F1159" w:rsidR="00434367" w:rsidRPr="00434367" w:rsidRDefault="00434367">
      <w:pPr>
        <w:pStyle w:val="Textonotapie"/>
        <w:rPr>
          <w:lang w:val="es-MX"/>
        </w:rPr>
      </w:pPr>
      <w:r>
        <w:rPr>
          <w:rStyle w:val="Refdenotaalpie"/>
        </w:rPr>
        <w:footnoteRef/>
      </w:r>
      <w:r>
        <w:t xml:space="preserve"> </w:t>
      </w:r>
      <w:r w:rsidRPr="00434367">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4" w:history="1">
        <w:r w:rsidRPr="00F25F55">
          <w:rPr>
            <w:rStyle w:val="Hipervnculo"/>
          </w:rPr>
          <w:t>http://www.oas.org/es/cidh/expresion/documentos_basicos/declaraciones.asp</w:t>
        </w:r>
      </w:hyperlink>
      <w:r w:rsidRPr="00434367">
        <w:t>.</w:t>
      </w:r>
      <w:r>
        <w:t xml:space="preserve"> </w:t>
      </w:r>
    </w:p>
  </w:footnote>
  <w:footnote w:id="5">
    <w:p w14:paraId="6BCD974C" w14:textId="77777777" w:rsidR="00C81F02" w:rsidRDefault="00C81F02"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93227BC" w14:textId="77777777" w:rsidR="00C81F02" w:rsidRDefault="00C81F02" w:rsidP="009F09B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242B2B25" w14:textId="77777777" w:rsidR="00C81F02" w:rsidRDefault="00C81F02"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2722E7BC" w14:textId="77777777" w:rsidR="00C81F02" w:rsidRDefault="00C81F02"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120E11B" w14:textId="77777777" w:rsidR="00C81F02" w:rsidRDefault="00C81F02"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68790F" w14:textId="77777777" w:rsidR="00C81F02" w:rsidRDefault="00C81F02"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73F933C0" w14:textId="77777777" w:rsidR="00C81F02" w:rsidRDefault="00C81F02"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14:paraId="3A43495B" w14:textId="77777777" w:rsidR="00C81F02" w:rsidRDefault="00C81F02"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2620498" w14:textId="77777777" w:rsidR="00C81F02" w:rsidRDefault="00C81F02" w:rsidP="009F09BC">
      <w:pPr>
        <w:pStyle w:val="Textonotapie"/>
        <w:jc w:val="both"/>
        <w:rPr>
          <w:rFonts w:ascii="Palatino Linotype" w:hAnsi="Palatino Linotype"/>
          <w:sz w:val="18"/>
        </w:rPr>
      </w:pPr>
      <w:r>
        <w:rPr>
          <w:rFonts w:ascii="Palatino Linotype" w:hAnsi="Palatino Linotype"/>
          <w:sz w:val="18"/>
        </w:rPr>
        <w:t xml:space="preserve"> (…)</w:t>
      </w:r>
    </w:p>
    <w:p w14:paraId="45572192" w14:textId="77777777" w:rsidR="00C81F02" w:rsidRDefault="00C81F02"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7E21E" w14:textId="77777777" w:rsidR="00C81F02" w:rsidRDefault="00A70E05">
    <w:pPr>
      <w:pStyle w:val="Encabezado"/>
    </w:pPr>
    <w:r>
      <w:rPr>
        <w:noProof/>
        <w:lang w:eastAsia="es-MX"/>
      </w:rPr>
      <w:pict w14:anchorId="3DEC8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81F02" w14:paraId="3E6E41BC" w14:textId="77777777" w:rsidTr="006A04B6">
      <w:trPr>
        <w:trHeight w:val="227"/>
      </w:trPr>
      <w:tc>
        <w:tcPr>
          <w:tcW w:w="2976" w:type="dxa"/>
          <w:vAlign w:val="center"/>
          <w:hideMark/>
        </w:tcPr>
        <w:p w14:paraId="1F1C79A4" w14:textId="77777777" w:rsidR="00C81F02" w:rsidRPr="00674A46" w:rsidRDefault="00C81F0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22735AC7" w14:textId="3CEEC143" w:rsidR="00C81F02" w:rsidRPr="00485ED8" w:rsidRDefault="004A4893" w:rsidP="004D5311">
          <w:pPr>
            <w:pStyle w:val="Encabezado"/>
            <w:rPr>
              <w:rFonts w:ascii="Palatino Linotype" w:hAnsi="Palatino Linotype"/>
              <w:b/>
              <w:sz w:val="22"/>
              <w:szCs w:val="22"/>
            </w:rPr>
          </w:pPr>
          <w:r w:rsidRPr="004A4893">
            <w:rPr>
              <w:rFonts w:ascii="Palatino Linotype" w:hAnsi="Palatino Linotype"/>
              <w:b/>
              <w:sz w:val="22"/>
              <w:szCs w:val="22"/>
            </w:rPr>
            <w:t>00258/INFOEM/IP/RR/2022</w:t>
          </w:r>
        </w:p>
      </w:tc>
    </w:tr>
    <w:tr w:rsidR="00C81F02" w14:paraId="13EAE56B" w14:textId="77777777" w:rsidTr="006A04B6">
      <w:trPr>
        <w:trHeight w:val="242"/>
      </w:trPr>
      <w:tc>
        <w:tcPr>
          <w:tcW w:w="2976" w:type="dxa"/>
          <w:vAlign w:val="center"/>
          <w:hideMark/>
        </w:tcPr>
        <w:p w14:paraId="26DCA10A" w14:textId="77777777" w:rsidR="00C81F02" w:rsidRPr="00674A46" w:rsidRDefault="00C81F0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91ACB01" w14:textId="6A38CE96" w:rsidR="00C81F02" w:rsidRPr="00485ED8" w:rsidRDefault="004A4893" w:rsidP="009F09BC">
          <w:pPr>
            <w:pStyle w:val="Encabezado"/>
            <w:jc w:val="both"/>
            <w:rPr>
              <w:rFonts w:ascii="Palatino Linotype" w:hAnsi="Palatino Linotype"/>
              <w:b/>
              <w:sz w:val="22"/>
              <w:szCs w:val="22"/>
            </w:rPr>
          </w:pPr>
          <w:r w:rsidRPr="004A4893">
            <w:rPr>
              <w:rFonts w:ascii="Palatino Linotype" w:hAnsi="Palatino Linotype"/>
              <w:b/>
              <w:sz w:val="22"/>
              <w:szCs w:val="22"/>
            </w:rPr>
            <w:t>Comisión de Conciliación y Arbitraje Médico del Estado de México</w:t>
          </w:r>
        </w:p>
      </w:tc>
    </w:tr>
    <w:tr w:rsidR="00C81F02" w14:paraId="274DC8EB" w14:textId="77777777" w:rsidTr="006A04B6">
      <w:trPr>
        <w:trHeight w:val="342"/>
      </w:trPr>
      <w:tc>
        <w:tcPr>
          <w:tcW w:w="2976" w:type="dxa"/>
          <w:vAlign w:val="center"/>
          <w:hideMark/>
        </w:tcPr>
        <w:p w14:paraId="356FFDAF" w14:textId="77777777" w:rsidR="00C81F02" w:rsidRPr="00674A46" w:rsidRDefault="00C81F02"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2463E4D0" w14:textId="77777777" w:rsidR="00C81F02" w:rsidRPr="00485ED8" w:rsidRDefault="00C81F02"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6E21B28A" w14:textId="77777777" w:rsidR="00C81F02" w:rsidRPr="00AE046A" w:rsidRDefault="00A70E05" w:rsidP="003B7751">
    <w:pPr>
      <w:pStyle w:val="Encabezado"/>
      <w:tabs>
        <w:tab w:val="clear" w:pos="4419"/>
        <w:tab w:val="clear" w:pos="8838"/>
        <w:tab w:val="left" w:pos="6005"/>
      </w:tabs>
      <w:rPr>
        <w:sz w:val="14"/>
      </w:rPr>
    </w:pPr>
    <w:r>
      <w:rPr>
        <w:noProof/>
        <w:sz w:val="14"/>
        <w:lang w:eastAsia="es-MX"/>
      </w:rPr>
      <w:pict w14:anchorId="35EB7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81F02" w14:paraId="3BCF2D96" w14:textId="77777777" w:rsidTr="006A04B6">
      <w:trPr>
        <w:trHeight w:val="227"/>
      </w:trPr>
      <w:tc>
        <w:tcPr>
          <w:tcW w:w="2977" w:type="dxa"/>
          <w:vAlign w:val="center"/>
          <w:hideMark/>
        </w:tcPr>
        <w:p w14:paraId="070B2188" w14:textId="77777777" w:rsidR="00C81F02" w:rsidRPr="00674A46" w:rsidRDefault="00C81F02"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51120824" w14:textId="5153909B" w:rsidR="00C81F02" w:rsidRPr="00485ED8" w:rsidRDefault="004A4893" w:rsidP="006A04B6">
          <w:pPr>
            <w:pStyle w:val="Encabezado"/>
            <w:rPr>
              <w:rFonts w:ascii="Palatino Linotype" w:hAnsi="Palatino Linotype"/>
              <w:b/>
              <w:sz w:val="22"/>
              <w:szCs w:val="22"/>
            </w:rPr>
          </w:pPr>
          <w:r w:rsidRPr="004A4893">
            <w:rPr>
              <w:rFonts w:ascii="Palatino Linotype" w:hAnsi="Palatino Linotype"/>
              <w:b/>
              <w:sz w:val="22"/>
              <w:szCs w:val="22"/>
            </w:rPr>
            <w:t>00258/INFOEM/IP/RR/2022</w:t>
          </w:r>
        </w:p>
      </w:tc>
    </w:tr>
    <w:tr w:rsidR="00C81F02" w14:paraId="14D9783D" w14:textId="77777777" w:rsidTr="006A04B6">
      <w:trPr>
        <w:trHeight w:val="242"/>
      </w:trPr>
      <w:tc>
        <w:tcPr>
          <w:tcW w:w="2977" w:type="dxa"/>
          <w:vAlign w:val="center"/>
          <w:hideMark/>
        </w:tcPr>
        <w:p w14:paraId="1614AB89" w14:textId="77777777" w:rsidR="00C81F02" w:rsidRPr="00674A46" w:rsidRDefault="00C81F02"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32056AA8" w14:textId="77777777" w:rsidR="00C81F02" w:rsidRPr="00B75F20" w:rsidRDefault="00C81F02" w:rsidP="009F09BC">
          <w:pPr>
            <w:pStyle w:val="Encabezado"/>
            <w:tabs>
              <w:tab w:val="left" w:pos="521"/>
            </w:tabs>
            <w:rPr>
              <w:rFonts w:ascii="Palatino Linotype" w:hAnsi="Palatino Linotype"/>
              <w:b/>
              <w:sz w:val="22"/>
              <w:szCs w:val="22"/>
            </w:rPr>
          </w:pPr>
          <w:r>
            <w:rPr>
              <w:rFonts w:ascii="Palatino Linotype" w:hAnsi="Palatino Linotype"/>
              <w:b/>
              <w:sz w:val="22"/>
              <w:szCs w:val="22"/>
            </w:rPr>
            <w:t>RECURRENTE</w:t>
          </w:r>
        </w:p>
      </w:tc>
    </w:tr>
    <w:tr w:rsidR="00C81F02" w14:paraId="18FA9305" w14:textId="77777777" w:rsidTr="006A04B6">
      <w:trPr>
        <w:trHeight w:val="342"/>
      </w:trPr>
      <w:tc>
        <w:tcPr>
          <w:tcW w:w="2977" w:type="dxa"/>
          <w:vAlign w:val="center"/>
        </w:tcPr>
        <w:p w14:paraId="75E68164" w14:textId="77777777" w:rsidR="00C81F02" w:rsidRPr="00674A46" w:rsidRDefault="00C81F02"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26FED33D" w14:textId="517658A5" w:rsidR="00C81F02" w:rsidRPr="00674A46" w:rsidRDefault="004A4893" w:rsidP="009F09BC">
          <w:pPr>
            <w:pStyle w:val="Encabezado"/>
            <w:jc w:val="both"/>
            <w:rPr>
              <w:rFonts w:ascii="Palatino Linotype" w:hAnsi="Palatino Linotype"/>
              <w:b/>
              <w:sz w:val="22"/>
              <w:szCs w:val="22"/>
            </w:rPr>
          </w:pPr>
          <w:r w:rsidRPr="004A4893">
            <w:rPr>
              <w:rFonts w:ascii="Palatino Linotype" w:hAnsi="Palatino Linotype"/>
              <w:b/>
              <w:sz w:val="22"/>
              <w:szCs w:val="22"/>
            </w:rPr>
            <w:t>Comisión de Conciliación y Arbitraje Médico del Estado de México</w:t>
          </w:r>
        </w:p>
      </w:tc>
    </w:tr>
    <w:tr w:rsidR="00C81F02" w14:paraId="0B6F43F1" w14:textId="77777777" w:rsidTr="006A04B6">
      <w:trPr>
        <w:trHeight w:val="342"/>
      </w:trPr>
      <w:tc>
        <w:tcPr>
          <w:tcW w:w="2977" w:type="dxa"/>
          <w:vAlign w:val="center"/>
        </w:tcPr>
        <w:p w14:paraId="5FE6E1B5" w14:textId="77777777" w:rsidR="00C81F02" w:rsidRPr="00674A46" w:rsidRDefault="00C81F02"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376DD41E" w14:textId="77777777" w:rsidR="00C81F02" w:rsidRPr="00674A46" w:rsidRDefault="00C81F02"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468E1B24" w14:textId="77777777" w:rsidR="00C81F02" w:rsidRPr="00C222C0" w:rsidRDefault="00A70E05">
    <w:pPr>
      <w:pStyle w:val="Encabezado"/>
      <w:rPr>
        <w:sz w:val="16"/>
      </w:rPr>
    </w:pPr>
    <w:r>
      <w:rPr>
        <w:noProof/>
        <w:sz w:val="16"/>
        <w:lang w:eastAsia="es-MX"/>
      </w:rPr>
      <w:pict w14:anchorId="243F5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8.4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2A90D19"/>
    <w:multiLevelType w:val="hybridMultilevel"/>
    <w:tmpl w:val="C2C21FD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D5446B"/>
    <w:multiLevelType w:val="hybridMultilevel"/>
    <w:tmpl w:val="F89AE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D72C93"/>
    <w:multiLevelType w:val="hybridMultilevel"/>
    <w:tmpl w:val="098A68EC"/>
    <w:lvl w:ilvl="0" w:tplc="080A0005">
      <w:start w:val="1"/>
      <w:numFmt w:val="bullet"/>
      <w:lvlText w:val=""/>
      <w:lvlJc w:val="left"/>
      <w:pPr>
        <w:ind w:left="720" w:hanging="360"/>
      </w:pPr>
      <w:rPr>
        <w:rFonts w:ascii="Wingdings" w:hAnsi="Wingdings" w:hint="default"/>
      </w:rPr>
    </w:lvl>
    <w:lvl w:ilvl="1" w:tplc="366C3F7E">
      <w:numFmt w:val="bullet"/>
      <w:lvlText w:val="•"/>
      <w:lvlJc w:val="left"/>
      <w:pPr>
        <w:ind w:left="1440" w:hanging="360"/>
      </w:pPr>
      <w:rPr>
        <w:rFonts w:ascii="Palatino Linotype" w:eastAsia="MS Mincho"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76B0DDCA"/>
    <w:lvl w:ilvl="0" w:tplc="F5C4018E">
      <w:start w:val="1"/>
      <w:numFmt w:val="decimal"/>
      <w:lvlText w:val="%1."/>
      <w:lvlJc w:val="left"/>
      <w:pPr>
        <w:ind w:left="928"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8A41FD"/>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B306102"/>
    <w:multiLevelType w:val="hybridMultilevel"/>
    <w:tmpl w:val="A028A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630577A"/>
    <w:multiLevelType w:val="hybridMultilevel"/>
    <w:tmpl w:val="C2C21FD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0"/>
  </w:num>
  <w:num w:numId="9">
    <w:abstractNumId w:val="32"/>
  </w:num>
  <w:num w:numId="10">
    <w:abstractNumId w:val="21"/>
  </w:num>
  <w:num w:numId="11">
    <w:abstractNumId w:val="14"/>
  </w:num>
  <w:num w:numId="12">
    <w:abstractNumId w:val="25"/>
  </w:num>
  <w:num w:numId="13">
    <w:abstractNumId w:val="34"/>
  </w:num>
  <w:num w:numId="14">
    <w:abstractNumId w:val="5"/>
  </w:num>
  <w:num w:numId="15">
    <w:abstractNumId w:val="18"/>
  </w:num>
  <w:num w:numId="16">
    <w:abstractNumId w:val="29"/>
  </w:num>
  <w:num w:numId="17">
    <w:abstractNumId w:val="10"/>
  </w:num>
  <w:num w:numId="18">
    <w:abstractNumId w:val="27"/>
  </w:num>
  <w:num w:numId="19">
    <w:abstractNumId w:val="35"/>
  </w:num>
  <w:num w:numId="20">
    <w:abstractNumId w:val="19"/>
  </w:num>
  <w:num w:numId="21">
    <w:abstractNumId w:val="23"/>
  </w:num>
  <w:num w:numId="22">
    <w:abstractNumId w:val="16"/>
  </w:num>
  <w:num w:numId="23">
    <w:abstractNumId w:val="38"/>
  </w:num>
  <w:num w:numId="24">
    <w:abstractNumId w:val="8"/>
  </w:num>
  <w:num w:numId="25">
    <w:abstractNumId w:val="30"/>
  </w:num>
  <w:num w:numId="26">
    <w:abstractNumId w:val="22"/>
  </w:num>
  <w:num w:numId="27">
    <w:abstractNumId w:val="7"/>
  </w:num>
  <w:num w:numId="28">
    <w:abstractNumId w:val="31"/>
  </w:num>
  <w:num w:numId="29">
    <w:abstractNumId w:val="28"/>
  </w:num>
  <w:num w:numId="30">
    <w:abstractNumId w:val="26"/>
  </w:num>
  <w:num w:numId="31">
    <w:abstractNumId w:val="36"/>
  </w:num>
  <w:num w:numId="32">
    <w:abstractNumId w:val="20"/>
  </w:num>
  <w:num w:numId="33">
    <w:abstractNumId w:val="9"/>
  </w:num>
  <w:num w:numId="34">
    <w:abstractNumId w:val="24"/>
  </w:num>
  <w:num w:numId="35">
    <w:abstractNumId w:val="1"/>
  </w:num>
  <w:num w:numId="36">
    <w:abstractNumId w:val="6"/>
  </w:num>
  <w:num w:numId="37">
    <w:abstractNumId w:val="2"/>
  </w:num>
  <w:num w:numId="38">
    <w:abstractNumId w:val="15"/>
  </w:num>
  <w:num w:numId="39">
    <w:abstractNumId w:val="3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7681"/>
    <w:rsid w:val="00010C43"/>
    <w:rsid w:val="0001674C"/>
    <w:rsid w:val="00020780"/>
    <w:rsid w:val="00030FBC"/>
    <w:rsid w:val="000373F6"/>
    <w:rsid w:val="0008243D"/>
    <w:rsid w:val="000E1A02"/>
    <w:rsid w:val="001103E4"/>
    <w:rsid w:val="00114502"/>
    <w:rsid w:val="00114A5C"/>
    <w:rsid w:val="001232BE"/>
    <w:rsid w:val="001352F5"/>
    <w:rsid w:val="001423BE"/>
    <w:rsid w:val="00150AED"/>
    <w:rsid w:val="00186C5B"/>
    <w:rsid w:val="001A18E7"/>
    <w:rsid w:val="001A76DA"/>
    <w:rsid w:val="001C4290"/>
    <w:rsid w:val="001D23C1"/>
    <w:rsid w:val="001D373F"/>
    <w:rsid w:val="001D5404"/>
    <w:rsid w:val="001E3956"/>
    <w:rsid w:val="001F75E8"/>
    <w:rsid w:val="00220532"/>
    <w:rsid w:val="00223C06"/>
    <w:rsid w:val="002478CA"/>
    <w:rsid w:val="00277FAC"/>
    <w:rsid w:val="002901F4"/>
    <w:rsid w:val="00291500"/>
    <w:rsid w:val="002C0D3C"/>
    <w:rsid w:val="002E45BD"/>
    <w:rsid w:val="002F7926"/>
    <w:rsid w:val="0030094A"/>
    <w:rsid w:val="00312281"/>
    <w:rsid w:val="00314517"/>
    <w:rsid w:val="00320056"/>
    <w:rsid w:val="00323FFD"/>
    <w:rsid w:val="0033357C"/>
    <w:rsid w:val="00343137"/>
    <w:rsid w:val="003437D9"/>
    <w:rsid w:val="00353F1D"/>
    <w:rsid w:val="0037796D"/>
    <w:rsid w:val="003833B3"/>
    <w:rsid w:val="003A15C8"/>
    <w:rsid w:val="003B7751"/>
    <w:rsid w:val="003C13F1"/>
    <w:rsid w:val="003D08E5"/>
    <w:rsid w:val="003D72D3"/>
    <w:rsid w:val="003E73D9"/>
    <w:rsid w:val="00407FDA"/>
    <w:rsid w:val="004118FA"/>
    <w:rsid w:val="00434367"/>
    <w:rsid w:val="00435E46"/>
    <w:rsid w:val="00437672"/>
    <w:rsid w:val="00456CFF"/>
    <w:rsid w:val="004575E6"/>
    <w:rsid w:val="00473FD2"/>
    <w:rsid w:val="004818D1"/>
    <w:rsid w:val="004A4893"/>
    <w:rsid w:val="004A69D8"/>
    <w:rsid w:val="004B61DC"/>
    <w:rsid w:val="004C40DE"/>
    <w:rsid w:val="004C7418"/>
    <w:rsid w:val="004D5311"/>
    <w:rsid w:val="004E4EE6"/>
    <w:rsid w:val="004E6CE4"/>
    <w:rsid w:val="004F24D1"/>
    <w:rsid w:val="004F34D1"/>
    <w:rsid w:val="00512565"/>
    <w:rsid w:val="00530E72"/>
    <w:rsid w:val="005448DA"/>
    <w:rsid w:val="00546076"/>
    <w:rsid w:val="00547ACE"/>
    <w:rsid w:val="005507B0"/>
    <w:rsid w:val="00554A21"/>
    <w:rsid w:val="00556E0A"/>
    <w:rsid w:val="00563F2E"/>
    <w:rsid w:val="0057514F"/>
    <w:rsid w:val="00587DFE"/>
    <w:rsid w:val="005A2B94"/>
    <w:rsid w:val="005B076D"/>
    <w:rsid w:val="005B1A7D"/>
    <w:rsid w:val="005C5021"/>
    <w:rsid w:val="005D1930"/>
    <w:rsid w:val="005D4C57"/>
    <w:rsid w:val="00632E19"/>
    <w:rsid w:val="0063319C"/>
    <w:rsid w:val="00647F7C"/>
    <w:rsid w:val="00657639"/>
    <w:rsid w:val="006600B7"/>
    <w:rsid w:val="006654ED"/>
    <w:rsid w:val="00667F28"/>
    <w:rsid w:val="00682DFE"/>
    <w:rsid w:val="006A04B6"/>
    <w:rsid w:val="006A6390"/>
    <w:rsid w:val="006D15D0"/>
    <w:rsid w:val="006D6CC1"/>
    <w:rsid w:val="006E7397"/>
    <w:rsid w:val="007105DF"/>
    <w:rsid w:val="00711062"/>
    <w:rsid w:val="00716BCA"/>
    <w:rsid w:val="00720371"/>
    <w:rsid w:val="00781A67"/>
    <w:rsid w:val="007851DB"/>
    <w:rsid w:val="007A6A1A"/>
    <w:rsid w:val="007D6247"/>
    <w:rsid w:val="007D627B"/>
    <w:rsid w:val="008526F4"/>
    <w:rsid w:val="00852D2B"/>
    <w:rsid w:val="008563C8"/>
    <w:rsid w:val="008573BF"/>
    <w:rsid w:val="00873EB6"/>
    <w:rsid w:val="008756E8"/>
    <w:rsid w:val="008B0637"/>
    <w:rsid w:val="008B3AF4"/>
    <w:rsid w:val="008E330F"/>
    <w:rsid w:val="008E6574"/>
    <w:rsid w:val="008F6D18"/>
    <w:rsid w:val="00902DD4"/>
    <w:rsid w:val="00903871"/>
    <w:rsid w:val="0090390E"/>
    <w:rsid w:val="009047A2"/>
    <w:rsid w:val="00911A75"/>
    <w:rsid w:val="009126F1"/>
    <w:rsid w:val="009335F9"/>
    <w:rsid w:val="00945135"/>
    <w:rsid w:val="009602CE"/>
    <w:rsid w:val="009A7331"/>
    <w:rsid w:val="009C6A1C"/>
    <w:rsid w:val="009C7E34"/>
    <w:rsid w:val="009D5A32"/>
    <w:rsid w:val="009E75CE"/>
    <w:rsid w:val="009F09BC"/>
    <w:rsid w:val="009F2A79"/>
    <w:rsid w:val="00A0465E"/>
    <w:rsid w:val="00A076D2"/>
    <w:rsid w:val="00A23E82"/>
    <w:rsid w:val="00A33ECD"/>
    <w:rsid w:val="00A626EB"/>
    <w:rsid w:val="00A70E05"/>
    <w:rsid w:val="00A71BED"/>
    <w:rsid w:val="00A82252"/>
    <w:rsid w:val="00AA171B"/>
    <w:rsid w:val="00AD316E"/>
    <w:rsid w:val="00AD63B4"/>
    <w:rsid w:val="00B045A5"/>
    <w:rsid w:val="00B21BA8"/>
    <w:rsid w:val="00B246E5"/>
    <w:rsid w:val="00B9167F"/>
    <w:rsid w:val="00BA513A"/>
    <w:rsid w:val="00BC6A3D"/>
    <w:rsid w:val="00BF3FB5"/>
    <w:rsid w:val="00BF7CFB"/>
    <w:rsid w:val="00C0715F"/>
    <w:rsid w:val="00C105CC"/>
    <w:rsid w:val="00C14F2A"/>
    <w:rsid w:val="00C31BAE"/>
    <w:rsid w:val="00C54D99"/>
    <w:rsid w:val="00C772B6"/>
    <w:rsid w:val="00C801DF"/>
    <w:rsid w:val="00C80988"/>
    <w:rsid w:val="00C81F02"/>
    <w:rsid w:val="00C85E64"/>
    <w:rsid w:val="00C87396"/>
    <w:rsid w:val="00C90814"/>
    <w:rsid w:val="00C91F0F"/>
    <w:rsid w:val="00CA1063"/>
    <w:rsid w:val="00CB49F3"/>
    <w:rsid w:val="00CC5B2F"/>
    <w:rsid w:val="00D021A5"/>
    <w:rsid w:val="00D10321"/>
    <w:rsid w:val="00D16FC7"/>
    <w:rsid w:val="00D47231"/>
    <w:rsid w:val="00D51020"/>
    <w:rsid w:val="00D54285"/>
    <w:rsid w:val="00D6224B"/>
    <w:rsid w:val="00D81329"/>
    <w:rsid w:val="00D87216"/>
    <w:rsid w:val="00DA6D37"/>
    <w:rsid w:val="00DB753F"/>
    <w:rsid w:val="00DC460B"/>
    <w:rsid w:val="00DC7FDC"/>
    <w:rsid w:val="00DF4CA7"/>
    <w:rsid w:val="00E118BA"/>
    <w:rsid w:val="00E17429"/>
    <w:rsid w:val="00E21CFA"/>
    <w:rsid w:val="00E43C39"/>
    <w:rsid w:val="00E56172"/>
    <w:rsid w:val="00E5636B"/>
    <w:rsid w:val="00E566C9"/>
    <w:rsid w:val="00E61DA9"/>
    <w:rsid w:val="00E727B6"/>
    <w:rsid w:val="00E84FAC"/>
    <w:rsid w:val="00E92E04"/>
    <w:rsid w:val="00ED1D6B"/>
    <w:rsid w:val="00ED3A35"/>
    <w:rsid w:val="00ED6E75"/>
    <w:rsid w:val="00F03F27"/>
    <w:rsid w:val="00F043BC"/>
    <w:rsid w:val="00F12F1E"/>
    <w:rsid w:val="00F24A04"/>
    <w:rsid w:val="00F24AD2"/>
    <w:rsid w:val="00F262CA"/>
    <w:rsid w:val="00F30462"/>
    <w:rsid w:val="00F35B0C"/>
    <w:rsid w:val="00F42ADB"/>
    <w:rsid w:val="00F7371C"/>
    <w:rsid w:val="00F946B5"/>
    <w:rsid w:val="00FC39C0"/>
    <w:rsid w:val="00FD2FA4"/>
    <w:rsid w:val="00FE3FBE"/>
    <w:rsid w:val="00FE6761"/>
    <w:rsid w:val="00FF45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79AEC1"/>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462"/>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061834097">
      <w:bodyDiv w:val="1"/>
      <w:marLeft w:val="0"/>
      <w:marRight w:val="0"/>
      <w:marTop w:val="0"/>
      <w:marBottom w:val="0"/>
      <w:divBdr>
        <w:top w:val="none" w:sz="0" w:space="0" w:color="auto"/>
        <w:left w:val="none" w:sz="0" w:space="0" w:color="auto"/>
        <w:bottom w:val="none" w:sz="0" w:space="0" w:color="auto"/>
        <w:right w:val="none" w:sz="0" w:space="0" w:color="auto"/>
      </w:divBdr>
    </w:div>
    <w:div w:id="154541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onceptosjuridicos.com/mx/subrogacion/" TargetMode="External"/><Relationship Id="rId2" Type="http://schemas.openxmlformats.org/officeDocument/2006/relationships/hyperlink" Target="https://archivos.juridicas.unam.mx/www/bjv/libros/8/3861/21.pdf" TargetMode="External"/><Relationship Id="rId1" Type="http://schemas.openxmlformats.org/officeDocument/2006/relationships/hyperlink" Target="http://www.pjedomex.gob.mx/DocumentosGenerales/transparencia/MarcoJurNor/10_Codigo_Civil_Estado_Mexico.pdf" TargetMode="External"/><Relationship Id="rId4"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230EE-5EE8-4B27-BFD7-42C8B9C1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7119</Words>
  <Characters>39157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cp:revision>
  <dcterms:created xsi:type="dcterms:W3CDTF">2022-04-22T15:26:00Z</dcterms:created>
  <dcterms:modified xsi:type="dcterms:W3CDTF">2022-04-22T15:26:00Z</dcterms:modified>
</cp:coreProperties>
</file>