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7917015D" w:rsidR="00662C69" w:rsidRPr="00553FE2" w:rsidRDefault="009B11D6" w:rsidP="007E78E8">
      <w:pPr>
        <w:spacing w:line="360" w:lineRule="auto"/>
        <w:jc w:val="both"/>
        <w:rPr>
          <w:rFonts w:ascii="Palatino Linotype" w:hAnsi="Palatino Linotype"/>
          <w:b/>
          <w:bCs/>
        </w:rPr>
      </w:pPr>
      <w:r w:rsidRPr="00553FE2">
        <w:rPr>
          <w:rFonts w:ascii="Palatino Linotype" w:hAnsi="Palatino Linotype"/>
          <w:color w:val="000000" w:themeColor="text1"/>
        </w:rPr>
        <w:t>R</w:t>
      </w:r>
      <w:r w:rsidR="00662C69" w:rsidRPr="00553FE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53FE2">
        <w:rPr>
          <w:rFonts w:ascii="Palatino Linotype" w:hAnsi="Palatino Linotype"/>
          <w:color w:val="000000" w:themeColor="text1"/>
        </w:rPr>
        <w:t>icipios, con</w:t>
      </w:r>
      <w:r w:rsidR="00662C69" w:rsidRPr="00553FE2">
        <w:rPr>
          <w:rFonts w:ascii="Palatino Linotype" w:hAnsi="Palatino Linotype"/>
          <w:color w:val="000000" w:themeColor="text1"/>
        </w:rPr>
        <w:t xml:space="preserve"> </w:t>
      </w:r>
      <w:r w:rsidR="00485DB6" w:rsidRPr="00553FE2">
        <w:rPr>
          <w:rFonts w:ascii="Palatino Linotype" w:hAnsi="Palatino Linotype"/>
          <w:color w:val="000000" w:themeColor="text1"/>
        </w:rPr>
        <w:t xml:space="preserve">domicilio </w:t>
      </w:r>
      <w:r w:rsidR="00662C69" w:rsidRPr="00553FE2">
        <w:rPr>
          <w:rFonts w:ascii="Palatino Linotype" w:hAnsi="Palatino Linotype"/>
          <w:color w:val="000000" w:themeColor="text1"/>
        </w:rPr>
        <w:t xml:space="preserve">en Metepec, Estado de México; de </w:t>
      </w:r>
      <w:r w:rsidR="00CC280B" w:rsidRPr="00553FE2">
        <w:rPr>
          <w:rFonts w:ascii="Palatino Linotype" w:hAnsi="Palatino Linotype"/>
          <w:color w:val="000000" w:themeColor="text1"/>
        </w:rPr>
        <w:t>veinticuatro (24) de marzo</w:t>
      </w:r>
      <w:r w:rsidR="00270A67" w:rsidRPr="00553FE2">
        <w:rPr>
          <w:rFonts w:ascii="Palatino Linotype" w:hAnsi="Palatino Linotype"/>
          <w:color w:val="000000" w:themeColor="text1"/>
        </w:rPr>
        <w:t xml:space="preserve"> de dos mil veintidós</w:t>
      </w:r>
      <w:r w:rsidR="00662C69" w:rsidRPr="00553FE2">
        <w:rPr>
          <w:rFonts w:ascii="Palatino Linotype" w:hAnsi="Palatino Linotype"/>
          <w:color w:val="000000" w:themeColor="text1"/>
        </w:rPr>
        <w:t>.</w:t>
      </w:r>
    </w:p>
    <w:p w14:paraId="1181C59D" w14:textId="77777777" w:rsidR="00B31E90" w:rsidRPr="00553FE2" w:rsidRDefault="00B31E90" w:rsidP="007E78E8">
      <w:pPr>
        <w:tabs>
          <w:tab w:val="left" w:pos="3465"/>
        </w:tabs>
        <w:spacing w:line="360" w:lineRule="auto"/>
        <w:jc w:val="both"/>
        <w:rPr>
          <w:rFonts w:ascii="Palatino Linotype" w:hAnsi="Palatino Linotype"/>
          <w:color w:val="000000" w:themeColor="text1"/>
        </w:rPr>
      </w:pPr>
    </w:p>
    <w:p w14:paraId="04F87235" w14:textId="17A1B7EA" w:rsidR="005F0007" w:rsidRPr="00553FE2" w:rsidRDefault="00662C69" w:rsidP="007E78E8">
      <w:pPr>
        <w:spacing w:line="360" w:lineRule="auto"/>
        <w:jc w:val="both"/>
        <w:rPr>
          <w:rFonts w:ascii="Palatino Linotype" w:eastAsia="Times New Roman" w:hAnsi="Palatino Linotype" w:cs="Times New Roman"/>
          <w:color w:val="000000" w:themeColor="text1"/>
        </w:rPr>
      </w:pPr>
      <w:r w:rsidRPr="00553FE2">
        <w:rPr>
          <w:rFonts w:ascii="Palatino Linotype" w:hAnsi="Palatino Linotype"/>
          <w:b/>
          <w:color w:val="000000" w:themeColor="text1"/>
        </w:rPr>
        <w:t>VISTO</w:t>
      </w:r>
      <w:r w:rsidRPr="00553FE2">
        <w:rPr>
          <w:rFonts w:ascii="Palatino Linotype" w:hAnsi="Palatino Linotype"/>
          <w:color w:val="000000" w:themeColor="text1"/>
        </w:rPr>
        <w:t xml:space="preserve"> el expediente electrónico for</w:t>
      </w:r>
      <w:r w:rsidR="00D37494" w:rsidRPr="00553FE2">
        <w:rPr>
          <w:rFonts w:ascii="Palatino Linotype" w:hAnsi="Palatino Linotype"/>
          <w:color w:val="000000" w:themeColor="text1"/>
        </w:rPr>
        <w:t>mado con motivo del</w:t>
      </w:r>
      <w:r w:rsidRPr="00553FE2">
        <w:rPr>
          <w:rFonts w:ascii="Palatino Linotype" w:hAnsi="Palatino Linotype"/>
          <w:color w:val="000000" w:themeColor="text1"/>
        </w:rPr>
        <w:t xml:space="preserve"> recurso de revisión </w:t>
      </w:r>
      <w:r w:rsidR="00CC280B" w:rsidRPr="00553FE2">
        <w:rPr>
          <w:rFonts w:ascii="Palatino Linotype" w:hAnsi="Palatino Linotype"/>
          <w:b/>
          <w:bCs/>
          <w:color w:val="000000" w:themeColor="text1"/>
        </w:rPr>
        <w:t>00323/INFOEM/IP/RR/2022</w:t>
      </w:r>
      <w:r w:rsidR="005F1362" w:rsidRPr="00553FE2">
        <w:rPr>
          <w:rFonts w:ascii="Palatino Linotype" w:eastAsia="Times New Roman" w:hAnsi="Palatino Linotype" w:cs="Arial"/>
          <w:bCs/>
          <w:color w:val="000000" w:themeColor="text1"/>
        </w:rPr>
        <w:t xml:space="preserve">, </w:t>
      </w:r>
      <w:r w:rsidR="006B31E7" w:rsidRPr="00553FE2">
        <w:rPr>
          <w:rFonts w:ascii="Palatino Linotype" w:eastAsia="Times New Roman" w:hAnsi="Palatino Linotype" w:cs="Times New Roman"/>
          <w:color w:val="000000" w:themeColor="text1"/>
        </w:rPr>
        <w:t>interpuesto por</w:t>
      </w:r>
      <w:r w:rsidR="0078249C" w:rsidRPr="00553FE2">
        <w:rPr>
          <w:rFonts w:ascii="Palatino Linotype" w:eastAsia="Times New Roman" w:hAnsi="Palatino Linotype" w:cs="Times New Roman"/>
          <w:color w:val="000000" w:themeColor="text1"/>
        </w:rPr>
        <w:t xml:space="preserve"> </w:t>
      </w:r>
      <w:r w:rsidR="00CC280B" w:rsidRPr="00553FE2">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identificarse, por lo en lo sucesivo se le denominará como</w:t>
      </w:r>
      <w:r w:rsidR="00C45AB9" w:rsidRPr="00553FE2">
        <w:rPr>
          <w:rFonts w:ascii="Palatino Linotype" w:eastAsia="Times New Roman" w:hAnsi="Palatino Linotype" w:cs="Times New Roman"/>
          <w:color w:val="000000" w:themeColor="text1"/>
        </w:rPr>
        <w:t xml:space="preserve"> </w:t>
      </w:r>
      <w:r w:rsidR="00E647FF" w:rsidRPr="00553FE2">
        <w:rPr>
          <w:rFonts w:ascii="Palatino Linotype" w:eastAsia="Times New Roman" w:hAnsi="Palatino Linotype" w:cs="Times New Roman"/>
          <w:color w:val="000000" w:themeColor="text1"/>
        </w:rPr>
        <w:t>el</w:t>
      </w:r>
      <w:r w:rsidR="006B31E7" w:rsidRPr="00553FE2">
        <w:rPr>
          <w:rFonts w:ascii="Palatino Linotype" w:eastAsia="Times New Roman" w:hAnsi="Palatino Linotype" w:cs="Times New Roman"/>
          <w:color w:val="000000" w:themeColor="text1"/>
        </w:rPr>
        <w:t xml:space="preserve"> </w:t>
      </w:r>
      <w:r w:rsidR="006B31E7" w:rsidRPr="00553FE2">
        <w:rPr>
          <w:rFonts w:ascii="Palatino Linotype" w:eastAsia="Times New Roman" w:hAnsi="Palatino Linotype" w:cs="Times New Roman"/>
          <w:b/>
          <w:bCs/>
          <w:color w:val="000000" w:themeColor="text1"/>
        </w:rPr>
        <w:t>RECURRENTE</w:t>
      </w:r>
      <w:r w:rsidR="00E647FF" w:rsidRPr="00553FE2">
        <w:rPr>
          <w:rFonts w:ascii="Palatino Linotype" w:eastAsia="Times New Roman" w:hAnsi="Palatino Linotype" w:cs="Arial"/>
          <w:color w:val="000000" w:themeColor="text1"/>
        </w:rPr>
        <w:t>;</w:t>
      </w:r>
      <w:r w:rsidR="005F1362" w:rsidRPr="00553FE2">
        <w:rPr>
          <w:rFonts w:ascii="Palatino Linotype" w:eastAsia="Times New Roman" w:hAnsi="Palatino Linotype" w:cs="Arial"/>
          <w:color w:val="000000" w:themeColor="text1"/>
        </w:rPr>
        <w:t xml:space="preserve"> en contra de la respuesta del</w:t>
      </w:r>
      <w:r w:rsidR="002C1007" w:rsidRPr="00553FE2">
        <w:rPr>
          <w:rFonts w:ascii="Palatino Linotype" w:eastAsia="Times New Roman" w:hAnsi="Palatino Linotype" w:cs="Arial"/>
          <w:color w:val="000000" w:themeColor="text1"/>
        </w:rPr>
        <w:t xml:space="preserve"> </w:t>
      </w:r>
      <w:r w:rsidR="00C45AB9" w:rsidRPr="00553FE2">
        <w:rPr>
          <w:rFonts w:ascii="Palatino Linotype" w:eastAsia="Times New Roman" w:hAnsi="Palatino Linotype" w:cs="Arial"/>
          <w:b/>
          <w:color w:val="000000" w:themeColor="text1"/>
        </w:rPr>
        <w:t>Partido Acción Nacional</w:t>
      </w:r>
      <w:r w:rsidR="009572EE" w:rsidRPr="00553FE2">
        <w:rPr>
          <w:rFonts w:ascii="Palatino Linotype" w:eastAsia="Calibri" w:hAnsi="Palatino Linotype" w:cs="Arial"/>
          <w:color w:val="000000" w:themeColor="text1"/>
          <w:lang w:val="es-ES"/>
        </w:rPr>
        <w:t>,</w:t>
      </w:r>
      <w:r w:rsidR="005F1362" w:rsidRPr="00553FE2">
        <w:rPr>
          <w:rFonts w:ascii="Palatino Linotype" w:eastAsia="Calibri" w:hAnsi="Palatino Linotype" w:cs="Arial"/>
          <w:color w:val="000000" w:themeColor="text1"/>
          <w:lang w:val="es-ES"/>
        </w:rPr>
        <w:t xml:space="preserve"> </w:t>
      </w:r>
      <w:r w:rsidR="005F1362" w:rsidRPr="00553FE2">
        <w:rPr>
          <w:rFonts w:ascii="Palatino Linotype" w:eastAsia="Times New Roman" w:hAnsi="Palatino Linotype" w:cs="Times New Roman"/>
          <w:color w:val="000000" w:themeColor="text1"/>
        </w:rPr>
        <w:t xml:space="preserve">en </w:t>
      </w:r>
      <w:r w:rsidR="00C31E8F" w:rsidRPr="00553FE2">
        <w:rPr>
          <w:rFonts w:ascii="Palatino Linotype" w:eastAsia="Times New Roman" w:hAnsi="Palatino Linotype" w:cs="Times New Roman"/>
          <w:color w:val="000000" w:themeColor="text1"/>
        </w:rPr>
        <w:t>adelante</w:t>
      </w:r>
      <w:r w:rsidR="00B837C7" w:rsidRPr="00553FE2">
        <w:rPr>
          <w:rFonts w:ascii="Palatino Linotype" w:eastAsia="Times New Roman" w:hAnsi="Palatino Linotype" w:cs="Times New Roman"/>
          <w:color w:val="000000" w:themeColor="text1"/>
        </w:rPr>
        <w:t>,</w:t>
      </w:r>
      <w:r w:rsidR="005F1362" w:rsidRPr="00553FE2">
        <w:rPr>
          <w:rFonts w:ascii="Palatino Linotype" w:eastAsia="Times New Roman" w:hAnsi="Palatino Linotype" w:cs="Times New Roman"/>
          <w:color w:val="000000" w:themeColor="text1"/>
        </w:rPr>
        <w:t xml:space="preserve"> el</w:t>
      </w:r>
      <w:r w:rsidR="005F1362" w:rsidRPr="00553FE2">
        <w:rPr>
          <w:rFonts w:ascii="Palatino Linotype" w:eastAsia="Times New Roman" w:hAnsi="Palatino Linotype" w:cs="Times New Roman"/>
          <w:b/>
          <w:color w:val="000000" w:themeColor="text1"/>
        </w:rPr>
        <w:t xml:space="preserve"> SUJETO OBLIGADO, </w:t>
      </w:r>
      <w:r w:rsidR="005F1362" w:rsidRPr="00553FE2">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53FE2" w:rsidRDefault="009A593A" w:rsidP="00B31E90">
      <w:pPr>
        <w:spacing w:line="360" w:lineRule="auto"/>
        <w:jc w:val="both"/>
        <w:rPr>
          <w:rFonts w:ascii="Palatino Linotype" w:hAnsi="Palatino Linotype"/>
          <w:b/>
          <w:color w:val="000000" w:themeColor="text1"/>
        </w:rPr>
      </w:pPr>
    </w:p>
    <w:p w14:paraId="769E1410" w14:textId="5740327F" w:rsidR="00587366" w:rsidRPr="00553FE2" w:rsidRDefault="00662C69" w:rsidP="00B31E90">
      <w:pPr>
        <w:pStyle w:val="Ttulo1"/>
        <w:spacing w:before="0" w:line="360" w:lineRule="auto"/>
        <w:jc w:val="center"/>
        <w:rPr>
          <w:b/>
          <w:color w:val="000000" w:themeColor="text1"/>
        </w:rPr>
      </w:pPr>
      <w:bookmarkStart w:id="0" w:name="_Toc461555884"/>
      <w:bookmarkStart w:id="1" w:name="_Toc466371847"/>
      <w:bookmarkStart w:id="2" w:name="_Toc95402612"/>
      <w:bookmarkStart w:id="3" w:name="_Toc98445255"/>
      <w:r w:rsidRPr="00553FE2">
        <w:rPr>
          <w:b/>
          <w:color w:val="000000" w:themeColor="text1"/>
        </w:rPr>
        <w:t>ANTECEDENTES</w:t>
      </w:r>
      <w:bookmarkEnd w:id="0"/>
      <w:bookmarkEnd w:id="1"/>
      <w:bookmarkEnd w:id="2"/>
      <w:bookmarkEnd w:id="3"/>
    </w:p>
    <w:p w14:paraId="5672105D" w14:textId="77777777" w:rsidR="00B31E90" w:rsidRPr="00553FE2"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8CF94D4" w:rsidR="00D9392E" w:rsidRPr="00553FE2"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53FE2">
        <w:rPr>
          <w:rFonts w:ascii="Palatino Linotype" w:eastAsia="Calibri" w:hAnsi="Palatino Linotype" w:cs="Arial"/>
          <w:color w:val="000000" w:themeColor="text1"/>
          <w:lang w:val="es-ES"/>
        </w:rPr>
        <w:t>El</w:t>
      </w:r>
      <w:r w:rsidR="00D9392E" w:rsidRPr="00553FE2">
        <w:rPr>
          <w:rFonts w:ascii="Palatino Linotype" w:eastAsia="Calibri" w:hAnsi="Palatino Linotype" w:cs="Arial"/>
          <w:color w:val="000000" w:themeColor="text1"/>
          <w:lang w:val="es-ES"/>
        </w:rPr>
        <w:t xml:space="preserve"> </w:t>
      </w:r>
      <w:r w:rsidR="00CC280B" w:rsidRPr="00553FE2">
        <w:rPr>
          <w:rFonts w:ascii="Palatino Linotype" w:eastAsia="Calibri" w:hAnsi="Palatino Linotype" w:cs="Arial"/>
          <w:color w:val="000000" w:themeColor="text1"/>
          <w:lang w:val="es-ES"/>
        </w:rPr>
        <w:t>veinte (20) de diciembre</w:t>
      </w:r>
      <w:r w:rsidR="00B31E90" w:rsidRPr="00553FE2">
        <w:rPr>
          <w:rFonts w:ascii="Palatino Linotype" w:eastAsia="Calibri" w:hAnsi="Palatino Linotype" w:cs="Arial"/>
          <w:color w:val="000000" w:themeColor="text1"/>
          <w:lang w:val="es-ES"/>
        </w:rPr>
        <w:t xml:space="preserve"> de dos mil veintiuno</w:t>
      </w:r>
      <w:r w:rsidR="005F1362" w:rsidRPr="00553FE2">
        <w:rPr>
          <w:rFonts w:ascii="Palatino Linotype" w:eastAsia="Calibri" w:hAnsi="Palatino Linotype" w:cs="Arial"/>
          <w:color w:val="000000" w:themeColor="text1"/>
          <w:lang w:val="es-ES"/>
        </w:rPr>
        <w:t xml:space="preserve">, </w:t>
      </w:r>
      <w:r w:rsidR="00396F5D" w:rsidRPr="00553FE2">
        <w:rPr>
          <w:rFonts w:ascii="Palatino Linotype" w:hAnsi="Palatino Linotype"/>
          <w:color w:val="000000" w:themeColor="text1"/>
        </w:rPr>
        <w:t>se</w:t>
      </w:r>
      <w:r w:rsidR="005F1362" w:rsidRPr="00553FE2">
        <w:rPr>
          <w:rFonts w:ascii="Palatino Linotype" w:hAnsi="Palatino Linotype"/>
          <w:color w:val="000000" w:themeColor="text1"/>
        </w:rPr>
        <w:t xml:space="preserve"> presentó</w:t>
      </w:r>
      <w:r w:rsidR="00C45AB9" w:rsidRPr="00553FE2">
        <w:rPr>
          <w:rFonts w:ascii="Palatino Linotype" w:hAnsi="Palatino Linotype"/>
          <w:color w:val="000000" w:themeColor="text1"/>
        </w:rPr>
        <w:t xml:space="preserve"> a través </w:t>
      </w:r>
      <w:r w:rsidR="00CC280B" w:rsidRPr="00553FE2">
        <w:rPr>
          <w:rFonts w:ascii="Palatino Linotype" w:hAnsi="Palatino Linotype"/>
          <w:color w:val="000000" w:themeColor="text1"/>
        </w:rPr>
        <w:t>del SAIMEX</w:t>
      </w:r>
      <w:r w:rsidR="00C45AB9" w:rsidRPr="00553FE2">
        <w:rPr>
          <w:rFonts w:ascii="Palatino Linotype" w:hAnsi="Palatino Linotype"/>
          <w:bCs/>
          <w:color w:val="000000" w:themeColor="text1"/>
        </w:rPr>
        <w:t>,</w:t>
      </w:r>
      <w:r w:rsidR="005F1362" w:rsidRPr="00553FE2">
        <w:rPr>
          <w:rFonts w:ascii="Palatino Linotype" w:eastAsia="Calibri" w:hAnsi="Palatino Linotype" w:cs="Arial"/>
          <w:color w:val="000000" w:themeColor="text1"/>
          <w:lang w:val="es-ES"/>
        </w:rPr>
        <w:t xml:space="preserve"> la solicitud de información pública registrada con el número</w:t>
      </w:r>
      <w:r w:rsidR="005F1362" w:rsidRPr="00553FE2">
        <w:rPr>
          <w:rFonts w:ascii="Palatino Linotype" w:hAnsi="Palatino Linotype"/>
          <w:b/>
          <w:bCs/>
          <w:color w:val="000000" w:themeColor="text1"/>
        </w:rPr>
        <w:t xml:space="preserve"> </w:t>
      </w:r>
      <w:r w:rsidR="00CC280B" w:rsidRPr="00553FE2">
        <w:rPr>
          <w:rFonts w:ascii="Palatino Linotype" w:hAnsi="Palatino Linotype"/>
          <w:b/>
          <w:bCs/>
          <w:color w:val="000000" w:themeColor="text1"/>
        </w:rPr>
        <w:t>00085/PAN/IP/2021</w:t>
      </w:r>
      <w:r w:rsidR="005F1362" w:rsidRPr="00553FE2">
        <w:rPr>
          <w:rFonts w:ascii="Palatino Linotype" w:hAnsi="Palatino Linotype"/>
          <w:b/>
          <w:bCs/>
          <w:color w:val="000000" w:themeColor="text1"/>
        </w:rPr>
        <w:t>,</w:t>
      </w:r>
      <w:r w:rsidR="005F1362" w:rsidRPr="00553FE2">
        <w:rPr>
          <w:rFonts w:ascii="Palatino Linotype" w:eastAsia="Calibri" w:hAnsi="Palatino Linotype" w:cs="Arial"/>
          <w:color w:val="000000" w:themeColor="text1"/>
          <w:lang w:val="es-ES"/>
        </w:rPr>
        <w:t xml:space="preserve"> mediante la cual </w:t>
      </w:r>
      <w:r w:rsidR="00396F5D" w:rsidRPr="00553FE2">
        <w:rPr>
          <w:rFonts w:ascii="Palatino Linotype" w:eastAsia="Calibri" w:hAnsi="Palatino Linotype" w:cs="Arial"/>
          <w:color w:val="000000" w:themeColor="text1"/>
          <w:lang w:val="es-ES"/>
        </w:rPr>
        <w:t xml:space="preserve">se </w:t>
      </w:r>
      <w:r w:rsidR="005F1362" w:rsidRPr="00553FE2">
        <w:rPr>
          <w:rFonts w:ascii="Palatino Linotype" w:eastAsia="Calibri" w:hAnsi="Palatino Linotype" w:cs="Arial"/>
          <w:color w:val="000000" w:themeColor="text1"/>
          <w:lang w:val="es-ES"/>
        </w:rPr>
        <w:t>requirió</w:t>
      </w:r>
      <w:r w:rsidR="00022D89" w:rsidRPr="00553FE2">
        <w:rPr>
          <w:rFonts w:ascii="Palatino Linotype" w:eastAsia="Calibri" w:hAnsi="Palatino Linotype" w:cs="Arial"/>
          <w:color w:val="000000" w:themeColor="text1"/>
          <w:lang w:val="es-ES"/>
        </w:rPr>
        <w:t xml:space="preserve"> lo siguiente</w:t>
      </w:r>
      <w:r w:rsidR="005F1362" w:rsidRPr="00553FE2">
        <w:rPr>
          <w:rFonts w:ascii="Palatino Linotype" w:eastAsia="Calibri" w:hAnsi="Palatino Linotype" w:cs="Arial"/>
          <w:color w:val="000000" w:themeColor="text1"/>
          <w:lang w:val="es-ES"/>
        </w:rPr>
        <w:t>:</w:t>
      </w:r>
    </w:p>
    <w:p w14:paraId="76EB7490" w14:textId="77777777" w:rsidR="00B31E90" w:rsidRPr="00553FE2"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0B892C2" w:rsidR="0097210F" w:rsidRPr="00553FE2" w:rsidRDefault="005F1362" w:rsidP="00960758">
      <w:pPr>
        <w:pStyle w:val="Prrafodelista"/>
        <w:spacing w:after="240" w:line="276" w:lineRule="auto"/>
        <w:ind w:left="567" w:right="567"/>
        <w:jc w:val="both"/>
        <w:rPr>
          <w:rFonts w:ascii="Palatino Linotype" w:hAnsi="Palatino Linotype"/>
          <w:i/>
          <w:color w:val="000000" w:themeColor="text1"/>
          <w:szCs w:val="22"/>
        </w:rPr>
      </w:pPr>
      <w:r w:rsidRPr="00553FE2">
        <w:rPr>
          <w:rFonts w:ascii="Palatino Linotype" w:hAnsi="Palatino Linotype"/>
          <w:i/>
          <w:color w:val="000000" w:themeColor="text1"/>
          <w:sz w:val="22"/>
          <w:szCs w:val="22"/>
        </w:rPr>
        <w:t>“</w:t>
      </w:r>
      <w:r w:rsidR="00960758" w:rsidRPr="00553FE2">
        <w:rPr>
          <w:rFonts w:ascii="Palatino Linotype" w:hAnsi="Palatino Linotype"/>
          <w:i/>
          <w:color w:val="000000" w:themeColor="text1"/>
          <w:sz w:val="22"/>
          <w:szCs w:val="22"/>
        </w:rPr>
        <w:t>SOLICITO EL DESGLOSE DE TODOS LOS GASTOS, QUE HA TENIDO DEL COMITÉ MUNICIPAL DEL PARTIDO ACCIÓN NACIONAL DE TOLUCA, CORRESPONDIENTE A LOS AÑOS 2020 Y 2021, ADJUNTAR LAS FACTURAS DIGITALIZADAS.</w:t>
      </w:r>
      <w:r w:rsidRPr="00553FE2">
        <w:rPr>
          <w:rFonts w:ascii="Palatino Linotype" w:hAnsi="Palatino Linotype"/>
          <w:i/>
          <w:color w:val="000000" w:themeColor="text1"/>
          <w:sz w:val="22"/>
          <w:szCs w:val="22"/>
        </w:rPr>
        <w:t xml:space="preserve">” </w:t>
      </w:r>
      <w:r w:rsidRPr="00553FE2">
        <w:rPr>
          <w:rFonts w:ascii="Palatino Linotype" w:hAnsi="Palatino Linotype"/>
          <w:color w:val="000000" w:themeColor="text1"/>
          <w:sz w:val="22"/>
          <w:szCs w:val="22"/>
        </w:rPr>
        <w:t>(Sic).</w:t>
      </w:r>
    </w:p>
    <w:p w14:paraId="65A03C8D" w14:textId="77777777" w:rsidR="005F1362" w:rsidRPr="00553FE2" w:rsidRDefault="005F1362" w:rsidP="00B31E90">
      <w:pPr>
        <w:spacing w:line="360" w:lineRule="auto"/>
        <w:ind w:right="333"/>
        <w:jc w:val="both"/>
        <w:rPr>
          <w:rFonts w:ascii="Palatino Linotype" w:hAnsi="Palatino Linotype"/>
          <w:color w:val="000000" w:themeColor="text1"/>
        </w:rPr>
      </w:pPr>
    </w:p>
    <w:p w14:paraId="49C21E77" w14:textId="13E2E695" w:rsidR="0039142B" w:rsidRPr="00553FE2"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53FE2">
        <w:rPr>
          <w:rFonts w:ascii="Palatino Linotype" w:hAnsi="Palatino Linotype" w:cs="Arial"/>
          <w:color w:val="000000" w:themeColor="text1"/>
        </w:rPr>
        <w:t xml:space="preserve">Se hace constar que </w:t>
      </w:r>
      <w:r w:rsidR="00025127" w:rsidRPr="00553FE2">
        <w:rPr>
          <w:rFonts w:ascii="Palatino Linotype" w:eastAsia="Times New Roman" w:hAnsi="Palatino Linotype" w:cs="Arial"/>
          <w:color w:val="000000" w:themeColor="text1"/>
          <w:lang w:val="es-ES"/>
        </w:rPr>
        <w:t>el entonces</w:t>
      </w:r>
      <w:r w:rsidR="00FD7996" w:rsidRPr="00553FE2">
        <w:rPr>
          <w:rFonts w:ascii="Palatino Linotype" w:eastAsia="Times New Roman" w:hAnsi="Palatino Linotype" w:cs="Arial"/>
          <w:color w:val="000000" w:themeColor="text1"/>
          <w:lang w:val="es-ES"/>
        </w:rPr>
        <w:t xml:space="preserve"> </w:t>
      </w:r>
      <w:r w:rsidR="00FD7996" w:rsidRPr="00553FE2">
        <w:rPr>
          <w:rFonts w:ascii="Palatino Linotype" w:eastAsia="Times New Roman" w:hAnsi="Palatino Linotype" w:cs="Arial"/>
          <w:b/>
          <w:color w:val="000000" w:themeColor="text1"/>
          <w:lang w:val="es-ES"/>
        </w:rPr>
        <w:t>SOLICITANTE</w:t>
      </w:r>
      <w:r w:rsidRPr="00553FE2">
        <w:rPr>
          <w:rFonts w:ascii="Palatino Linotype" w:eastAsia="Times New Roman" w:hAnsi="Palatino Linotype" w:cs="Arial"/>
          <w:color w:val="000000" w:themeColor="text1"/>
          <w:lang w:val="es-ES"/>
        </w:rPr>
        <w:t xml:space="preserve"> señaló como modalidad de entrega de la información</w:t>
      </w:r>
      <w:r w:rsidRPr="00553FE2">
        <w:rPr>
          <w:rFonts w:ascii="Palatino Linotype" w:eastAsia="Times New Roman" w:hAnsi="Palatino Linotype" w:cs="Arial"/>
          <w:b/>
          <w:color w:val="000000" w:themeColor="text1"/>
          <w:lang w:val="es-ES"/>
        </w:rPr>
        <w:t>:</w:t>
      </w:r>
      <w:r w:rsidR="001E4152" w:rsidRPr="00553FE2">
        <w:rPr>
          <w:rFonts w:ascii="Palatino Linotype" w:eastAsia="Times New Roman" w:hAnsi="Palatino Linotype" w:cs="Arial"/>
          <w:b/>
          <w:color w:val="000000" w:themeColor="text1"/>
          <w:lang w:val="es-ES"/>
        </w:rPr>
        <w:t xml:space="preserve"> </w:t>
      </w:r>
      <w:r w:rsidR="001E4152" w:rsidRPr="00553FE2">
        <w:rPr>
          <w:rFonts w:ascii="Palatino Linotype" w:eastAsia="Times New Roman" w:hAnsi="Palatino Linotype" w:cs="Arial"/>
          <w:b/>
          <w:i/>
          <w:iCs/>
          <w:color w:val="000000" w:themeColor="text1"/>
          <w:lang w:val="es-ES"/>
        </w:rPr>
        <w:t>A través del SAIMEX</w:t>
      </w:r>
      <w:r w:rsidR="0039142B" w:rsidRPr="00553FE2">
        <w:rPr>
          <w:rFonts w:ascii="Palatino Linotype" w:eastAsia="Calibri" w:hAnsi="Palatino Linotype" w:cs="Arial"/>
          <w:i/>
          <w:color w:val="000000" w:themeColor="text1"/>
          <w:lang w:val="es-AR"/>
        </w:rPr>
        <w:t>.</w:t>
      </w:r>
    </w:p>
    <w:p w14:paraId="35BA18A9" w14:textId="77777777" w:rsidR="0039142B" w:rsidRPr="00553FE2"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0DEB1DC" w:rsidR="0022448D" w:rsidRPr="00553FE2"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53FE2">
        <w:rPr>
          <w:rFonts w:ascii="Palatino Linotype" w:eastAsia="MS Mincho" w:hAnsi="Palatino Linotype" w:cs="Times New Roman"/>
          <w:color w:val="000000" w:themeColor="text1"/>
        </w:rPr>
        <w:t xml:space="preserve">El </w:t>
      </w:r>
      <w:r w:rsidR="00960758" w:rsidRPr="00553FE2">
        <w:rPr>
          <w:rFonts w:ascii="Palatino Linotype" w:eastAsia="MS Mincho" w:hAnsi="Palatino Linotype" w:cs="Times New Roman"/>
          <w:color w:val="000000" w:themeColor="text1"/>
        </w:rPr>
        <w:t>veinticinco (25) de enero de dos mil veintidós</w:t>
      </w:r>
      <w:r w:rsidR="00762697" w:rsidRPr="00553FE2">
        <w:rPr>
          <w:rFonts w:ascii="Palatino Linotype" w:eastAsia="MS Mincho" w:hAnsi="Palatino Linotype" w:cs="Times New Roman"/>
          <w:color w:val="000000" w:themeColor="text1"/>
        </w:rPr>
        <w:t xml:space="preserve">, </w:t>
      </w:r>
      <w:r w:rsidR="005F1362" w:rsidRPr="00553FE2">
        <w:rPr>
          <w:rFonts w:ascii="Palatino Linotype" w:hAnsi="Palatino Linotype"/>
          <w:color w:val="000000" w:themeColor="text1"/>
          <w:szCs w:val="14"/>
        </w:rPr>
        <w:t xml:space="preserve">el </w:t>
      </w:r>
      <w:r w:rsidR="005F1362" w:rsidRPr="00553FE2">
        <w:rPr>
          <w:rFonts w:ascii="Palatino Linotype" w:hAnsi="Palatino Linotype"/>
          <w:b/>
          <w:color w:val="000000" w:themeColor="text1"/>
          <w:szCs w:val="14"/>
        </w:rPr>
        <w:t>SUJETO OBLIGADO</w:t>
      </w:r>
      <w:r w:rsidR="005F1362" w:rsidRPr="00553FE2">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553FE2" w:rsidRDefault="009A593A" w:rsidP="00B31E90">
      <w:pPr>
        <w:pStyle w:val="Sinespaciado"/>
        <w:ind w:left="567" w:right="567"/>
        <w:jc w:val="right"/>
        <w:rPr>
          <w:rFonts w:ascii="Palatino Linotype" w:hAnsi="Palatino Linotype"/>
          <w:i/>
          <w:noProof/>
          <w:color w:val="000000" w:themeColor="text1"/>
          <w:lang w:eastAsia="es-MX"/>
        </w:rPr>
      </w:pPr>
    </w:p>
    <w:p w14:paraId="339D2BED" w14:textId="77777777" w:rsidR="00960758" w:rsidRPr="00553FE2" w:rsidRDefault="005F1362" w:rsidP="0096075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53FE2">
        <w:rPr>
          <w:rFonts w:ascii="Palatino Linotype" w:hAnsi="Palatino Linotype"/>
          <w:i/>
          <w:noProof/>
          <w:color w:val="000000" w:themeColor="text1"/>
          <w:sz w:val="22"/>
          <w:szCs w:val="22"/>
          <w:lang w:val="es-MX" w:eastAsia="es-MX"/>
        </w:rPr>
        <w:t>“</w:t>
      </w:r>
      <w:r w:rsidR="00960758" w:rsidRPr="00553FE2">
        <w:rPr>
          <w:rFonts w:ascii="Palatino Linotype" w:hAnsi="Palatino Linotype"/>
          <w:i/>
          <w:noProof/>
          <w:color w:val="000000" w:themeColor="text1"/>
          <w:sz w:val="22"/>
          <w:szCs w:val="22"/>
          <w:lang w:val="es-MX" w:eastAsia="es-MX"/>
        </w:rPr>
        <w:t>Por medio del presente reciba un cordial saludo. En calidad del Titular de la Unidad de Transparencia y Protección de Datos Personales del Partido Acción Nacional en el Estado de México, damos contestación mediante Sistema de Acceso de la Información Mexiquense (SAIMEX) a la solicitud pública de información 00085/PAN/IP/2021.</w:t>
      </w:r>
    </w:p>
    <w:p w14:paraId="0191738E" w14:textId="77777777" w:rsidR="00960758" w:rsidRPr="00553FE2" w:rsidRDefault="00960758" w:rsidP="0096075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FAAF3CC" w14:textId="5953DEA6" w:rsidR="00960758" w:rsidRPr="00553FE2" w:rsidRDefault="00960758" w:rsidP="0096075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553FE2">
        <w:rPr>
          <w:rFonts w:ascii="Palatino Linotype" w:hAnsi="Palatino Linotype"/>
          <w:i/>
          <w:noProof/>
          <w:color w:val="000000" w:themeColor="text1"/>
          <w:sz w:val="22"/>
          <w:szCs w:val="22"/>
          <w:lang w:val="es-MX" w:eastAsia="es-MX"/>
        </w:rPr>
        <w:t>ATENTAMENTE</w:t>
      </w:r>
    </w:p>
    <w:p w14:paraId="35A36DE0" w14:textId="4C57A4A3" w:rsidR="0039142B" w:rsidRPr="00553FE2" w:rsidRDefault="00960758" w:rsidP="00960758">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553FE2">
        <w:rPr>
          <w:rFonts w:ascii="Palatino Linotype" w:hAnsi="Palatino Linotype"/>
          <w:i/>
          <w:noProof/>
          <w:color w:val="000000" w:themeColor="text1"/>
          <w:sz w:val="22"/>
          <w:szCs w:val="22"/>
          <w:lang w:val="es-MX" w:eastAsia="es-MX"/>
        </w:rPr>
        <w:t>.Lic. en Derecho Juan Carlos Jandette Delgado</w:t>
      </w:r>
      <w:r w:rsidR="005F1362" w:rsidRPr="00553FE2">
        <w:rPr>
          <w:rFonts w:ascii="Palatino Linotype" w:hAnsi="Palatino Linotype"/>
          <w:i/>
          <w:noProof/>
          <w:color w:val="000000" w:themeColor="text1"/>
          <w:sz w:val="22"/>
          <w:szCs w:val="22"/>
          <w:lang w:val="es-MX" w:eastAsia="es-MX"/>
        </w:rPr>
        <w:t>”</w:t>
      </w:r>
      <w:r w:rsidR="00EB3DF7" w:rsidRPr="00553FE2">
        <w:rPr>
          <w:rFonts w:ascii="Palatino Linotype" w:hAnsi="Palatino Linotype"/>
          <w:noProof/>
          <w:color w:val="000000" w:themeColor="text1"/>
          <w:sz w:val="22"/>
          <w:szCs w:val="22"/>
          <w:lang w:val="es-MX" w:eastAsia="es-MX"/>
        </w:rPr>
        <w:t xml:space="preserve"> (Sic.)</w:t>
      </w:r>
    </w:p>
    <w:p w14:paraId="2D68519B" w14:textId="77777777" w:rsidR="0097210F" w:rsidRPr="00553FE2" w:rsidRDefault="0097210F" w:rsidP="009A593A">
      <w:pPr>
        <w:pStyle w:val="Sinespaciado"/>
        <w:ind w:right="567"/>
        <w:jc w:val="both"/>
        <w:rPr>
          <w:rFonts w:ascii="Palatino Linotype" w:hAnsi="Palatino Linotype"/>
          <w:noProof/>
          <w:color w:val="000000" w:themeColor="text1"/>
          <w:lang w:val="es-MX" w:eastAsia="es-MX"/>
        </w:rPr>
      </w:pPr>
    </w:p>
    <w:p w14:paraId="170BD45E" w14:textId="2B4460B1" w:rsidR="00022D89" w:rsidRPr="00553FE2"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53FE2">
        <w:rPr>
          <w:rFonts w:ascii="Palatino Linotype" w:hAnsi="Palatino Linotype"/>
          <w:color w:val="000000" w:themeColor="text1"/>
          <w:szCs w:val="22"/>
        </w:rPr>
        <w:t xml:space="preserve">Adjunto al acuse de respuesta, el </w:t>
      </w:r>
      <w:r w:rsidRPr="00553FE2">
        <w:rPr>
          <w:rFonts w:ascii="Palatino Linotype" w:hAnsi="Palatino Linotype"/>
          <w:b/>
          <w:bCs/>
          <w:color w:val="000000" w:themeColor="text1"/>
          <w:szCs w:val="22"/>
        </w:rPr>
        <w:t>SUJETO OBLIGADO</w:t>
      </w:r>
      <w:r w:rsidRPr="00553FE2">
        <w:rPr>
          <w:rFonts w:ascii="Palatino Linotype" w:hAnsi="Palatino Linotype"/>
          <w:color w:val="000000" w:themeColor="text1"/>
          <w:szCs w:val="22"/>
        </w:rPr>
        <w:t xml:space="preserve"> entregó al particular </w:t>
      </w:r>
      <w:r w:rsidR="00960758" w:rsidRPr="00553FE2">
        <w:rPr>
          <w:rFonts w:ascii="Palatino Linotype" w:hAnsi="Palatino Linotype"/>
          <w:color w:val="000000" w:themeColor="text1"/>
          <w:szCs w:val="22"/>
        </w:rPr>
        <w:t>el</w:t>
      </w:r>
      <w:r w:rsidRPr="00553FE2">
        <w:rPr>
          <w:rFonts w:ascii="Palatino Linotype" w:hAnsi="Palatino Linotype"/>
          <w:color w:val="000000" w:themeColor="text1"/>
          <w:szCs w:val="22"/>
        </w:rPr>
        <w:t xml:space="preserve"> documento </w:t>
      </w:r>
      <w:r w:rsidR="00396F5D" w:rsidRPr="00553FE2">
        <w:rPr>
          <w:rFonts w:ascii="Palatino Linotype" w:hAnsi="Palatino Linotype"/>
          <w:color w:val="000000" w:themeColor="text1"/>
          <w:szCs w:val="22"/>
        </w:rPr>
        <w:t>cuyo contenido</w:t>
      </w:r>
      <w:r w:rsidRPr="00553FE2">
        <w:rPr>
          <w:rFonts w:ascii="Palatino Linotype" w:hAnsi="Palatino Linotype"/>
          <w:color w:val="000000" w:themeColor="text1"/>
          <w:szCs w:val="22"/>
        </w:rPr>
        <w:t xml:space="preserve"> se describe a continuación:</w:t>
      </w:r>
    </w:p>
    <w:p w14:paraId="0BD92DA9" w14:textId="28756F38" w:rsidR="004B1411" w:rsidRPr="00553FE2" w:rsidRDefault="00C31E8F" w:rsidP="00960758">
      <w:pPr>
        <w:pStyle w:val="Prrafodelista"/>
        <w:numPr>
          <w:ilvl w:val="0"/>
          <w:numId w:val="4"/>
        </w:numPr>
        <w:spacing w:line="360" w:lineRule="auto"/>
        <w:ind w:left="993"/>
        <w:contextualSpacing w:val="0"/>
        <w:jc w:val="both"/>
        <w:rPr>
          <w:rFonts w:ascii="Palatino Linotype" w:hAnsi="Palatino Linotype"/>
          <w:color w:val="000000" w:themeColor="text1"/>
          <w:szCs w:val="22"/>
        </w:rPr>
      </w:pPr>
      <w:r w:rsidRPr="00553FE2">
        <w:rPr>
          <w:rFonts w:ascii="Palatino Linotype" w:hAnsi="Palatino Linotype" w:cs="Arial"/>
          <w:b/>
          <w:i/>
        </w:rPr>
        <w:t xml:space="preserve"> </w:t>
      </w:r>
      <w:r w:rsidR="00D07816" w:rsidRPr="00553FE2">
        <w:rPr>
          <w:rFonts w:ascii="Palatino Linotype" w:hAnsi="Palatino Linotype" w:cs="Arial"/>
          <w:b/>
          <w:i/>
        </w:rPr>
        <w:t>“</w:t>
      </w:r>
      <w:r w:rsidR="00960758" w:rsidRPr="00553FE2">
        <w:rPr>
          <w:rFonts w:ascii="Palatino Linotype" w:hAnsi="Palatino Linotype" w:cs="Arial"/>
          <w:b/>
          <w:i/>
        </w:rPr>
        <w:t>TOLUCA RESPUESTA A 85 PAN IP2021</w:t>
      </w:r>
      <w:r w:rsidR="00D07816" w:rsidRPr="00553FE2">
        <w:rPr>
          <w:rFonts w:ascii="Palatino Linotype" w:hAnsi="Palatino Linotype" w:cs="Arial"/>
          <w:b/>
          <w:i/>
        </w:rPr>
        <w:t>.pdf”</w:t>
      </w:r>
      <w:r w:rsidR="00D07816" w:rsidRPr="00553FE2">
        <w:rPr>
          <w:rFonts w:ascii="Palatino Linotype" w:hAnsi="Palatino Linotype" w:cs="Arial"/>
        </w:rPr>
        <w:t xml:space="preserve">: </w:t>
      </w:r>
      <w:r w:rsidR="000F7112" w:rsidRPr="00553FE2">
        <w:rPr>
          <w:rFonts w:ascii="Palatino Linotype" w:hAnsi="Palatino Linotype" w:cs="Arial"/>
        </w:rPr>
        <w:t xml:space="preserve">Documento </w:t>
      </w:r>
      <w:r w:rsidR="00960758" w:rsidRPr="00553FE2">
        <w:rPr>
          <w:rFonts w:ascii="Palatino Linotype" w:hAnsi="Palatino Linotype" w:cs="Arial"/>
        </w:rPr>
        <w:t>de una foja consistente en el oficio número CDE/TES/006/2022, de veinticuatro (24) de enero de dos mil veintidós, emitido por el Tesorero del Comité Directivo Estatal, por medio del cual, enlista los montos de gastos</w:t>
      </w:r>
      <w:r w:rsidR="00B57B16" w:rsidRPr="00553FE2">
        <w:rPr>
          <w:rFonts w:ascii="Palatino Linotype" w:hAnsi="Palatino Linotype" w:cs="Arial"/>
        </w:rPr>
        <w:t>, por rubro, que realizó el Comité Municipal de Toluca, durante el dos mil veinte y el dos mil veintidós; e, informa poner las facturas a disposición del particular a través de Consulta Directa.</w:t>
      </w:r>
    </w:p>
    <w:p w14:paraId="02945F66" w14:textId="77777777" w:rsidR="00960758" w:rsidRPr="00553FE2" w:rsidRDefault="00960758" w:rsidP="00960758">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3AAAD6A" w:rsidR="000D5A1D" w:rsidRPr="00553FE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53FE2">
        <w:rPr>
          <w:rFonts w:ascii="Palatino Linotype" w:eastAsia="Times New Roman" w:hAnsi="Palatino Linotype" w:cs="Arial"/>
          <w:color w:val="000000" w:themeColor="text1"/>
          <w:lang w:val="es-ES"/>
        </w:rPr>
        <w:t>D</w:t>
      </w:r>
      <w:r w:rsidR="00561ED1" w:rsidRPr="00553FE2">
        <w:rPr>
          <w:rFonts w:ascii="Palatino Linotype" w:eastAsia="Times New Roman" w:hAnsi="Palatino Linotype" w:cs="Arial"/>
          <w:color w:val="000000" w:themeColor="text1"/>
          <w:lang w:val="es-ES"/>
        </w:rPr>
        <w:t xml:space="preserve">erivado de la respuesta emitida por el </w:t>
      </w:r>
      <w:r w:rsidR="00561ED1" w:rsidRPr="00553FE2">
        <w:rPr>
          <w:rFonts w:ascii="Palatino Linotype" w:eastAsia="Times New Roman" w:hAnsi="Palatino Linotype" w:cs="Arial"/>
          <w:b/>
          <w:color w:val="000000" w:themeColor="text1"/>
          <w:lang w:val="es-ES"/>
        </w:rPr>
        <w:t>SUJETO OBLIGADO</w:t>
      </w:r>
      <w:r w:rsidR="00561ED1" w:rsidRPr="00553FE2">
        <w:rPr>
          <w:rFonts w:ascii="Palatino Linotype" w:eastAsia="Times New Roman" w:hAnsi="Palatino Linotype" w:cs="Arial"/>
          <w:color w:val="000000" w:themeColor="text1"/>
          <w:lang w:val="es-ES"/>
        </w:rPr>
        <w:t>, e</w:t>
      </w:r>
      <w:r w:rsidR="00DB4BEF" w:rsidRPr="00553FE2">
        <w:rPr>
          <w:rFonts w:ascii="Palatino Linotype" w:eastAsia="Times New Roman" w:hAnsi="Palatino Linotype" w:cs="Arial"/>
          <w:color w:val="000000" w:themeColor="text1"/>
          <w:lang w:val="es-ES"/>
        </w:rPr>
        <w:t xml:space="preserve">l </w:t>
      </w:r>
      <w:r w:rsidR="00B57B16" w:rsidRPr="00553FE2">
        <w:rPr>
          <w:rFonts w:ascii="Palatino Linotype" w:eastAsia="Times New Roman" w:hAnsi="Palatino Linotype" w:cs="Arial"/>
          <w:color w:val="000000" w:themeColor="text1"/>
          <w:lang w:val="es-ES"/>
        </w:rPr>
        <w:t>veinticinco (25) de enero de dos mil veintidós</w:t>
      </w:r>
      <w:r w:rsidR="00FE49E3" w:rsidRPr="00553FE2">
        <w:rPr>
          <w:rFonts w:ascii="Palatino Linotype" w:eastAsia="Times New Roman" w:hAnsi="Palatino Linotype" w:cs="Arial"/>
          <w:color w:val="000000" w:themeColor="text1"/>
          <w:lang w:val="es-ES"/>
        </w:rPr>
        <w:t xml:space="preserve">, </w:t>
      </w:r>
      <w:r w:rsidR="001468E9" w:rsidRPr="00553FE2">
        <w:rPr>
          <w:rFonts w:ascii="Palatino Linotype" w:eastAsia="Times New Roman" w:hAnsi="Palatino Linotype" w:cs="Arial"/>
          <w:color w:val="000000" w:themeColor="text1"/>
          <w:lang w:val="es-ES"/>
        </w:rPr>
        <w:t>el</w:t>
      </w:r>
      <w:r w:rsidR="005F1362" w:rsidRPr="00553FE2">
        <w:rPr>
          <w:rFonts w:ascii="Palatino Linotype" w:eastAsia="Times New Roman" w:hAnsi="Palatino Linotype" w:cs="Arial"/>
          <w:color w:val="000000" w:themeColor="text1"/>
          <w:lang w:val="es-ES"/>
        </w:rPr>
        <w:t xml:space="preserve"> particular</w:t>
      </w:r>
      <w:r w:rsidR="00DB4BEF" w:rsidRPr="00553FE2">
        <w:rPr>
          <w:rFonts w:ascii="Palatino Linotype" w:eastAsia="Times New Roman" w:hAnsi="Palatino Linotype" w:cs="Arial"/>
          <w:color w:val="000000" w:themeColor="text1"/>
          <w:lang w:val="es-ES"/>
        </w:rPr>
        <w:t xml:space="preserve"> interpuso</w:t>
      </w:r>
      <w:r w:rsidR="009316E9" w:rsidRPr="00553FE2">
        <w:rPr>
          <w:rFonts w:ascii="Palatino Linotype" w:eastAsia="Times New Roman" w:hAnsi="Palatino Linotype" w:cs="Arial"/>
          <w:color w:val="000000" w:themeColor="text1"/>
          <w:lang w:val="es-ES"/>
        </w:rPr>
        <w:t xml:space="preserve"> </w:t>
      </w:r>
      <w:r w:rsidR="00102D65" w:rsidRPr="00553FE2">
        <w:rPr>
          <w:rFonts w:ascii="Palatino Linotype" w:eastAsia="Times New Roman" w:hAnsi="Palatino Linotype" w:cs="Arial"/>
          <w:color w:val="000000" w:themeColor="text1"/>
          <w:lang w:val="es-ES"/>
        </w:rPr>
        <w:t>el</w:t>
      </w:r>
      <w:r w:rsidR="004D68F8" w:rsidRPr="00553FE2">
        <w:rPr>
          <w:rFonts w:ascii="Palatino Linotype" w:eastAsia="Times New Roman" w:hAnsi="Palatino Linotype" w:cs="Arial"/>
          <w:color w:val="000000" w:themeColor="text1"/>
          <w:lang w:val="es-ES"/>
        </w:rPr>
        <w:t xml:space="preserve"> recurso de revisión </w:t>
      </w:r>
      <w:r w:rsidR="00CC280B" w:rsidRPr="00553FE2">
        <w:rPr>
          <w:rFonts w:ascii="Palatino Linotype" w:eastAsia="Calibri" w:hAnsi="Palatino Linotype" w:cs="Arial"/>
          <w:b/>
          <w:color w:val="000000" w:themeColor="text1"/>
          <w:lang w:val="es-ES"/>
        </w:rPr>
        <w:t>00323/INFOEM/IP/RR/2022</w:t>
      </w:r>
      <w:r w:rsidR="009A0461" w:rsidRPr="00553FE2">
        <w:rPr>
          <w:rFonts w:ascii="Palatino Linotype" w:eastAsia="Calibri" w:hAnsi="Palatino Linotype" w:cs="Arial"/>
          <w:b/>
          <w:color w:val="000000" w:themeColor="text1"/>
          <w:lang w:val="es-ES"/>
        </w:rPr>
        <w:t>;</w:t>
      </w:r>
      <w:r w:rsidR="00102D65" w:rsidRPr="00553FE2">
        <w:rPr>
          <w:rFonts w:ascii="Palatino Linotype" w:eastAsia="Times New Roman" w:hAnsi="Palatino Linotype" w:cs="Arial"/>
          <w:color w:val="000000" w:themeColor="text1"/>
          <w:lang w:val="es-ES"/>
        </w:rPr>
        <w:t xml:space="preserve"> impugnación</w:t>
      </w:r>
      <w:r w:rsidR="004D68F8" w:rsidRPr="00553FE2">
        <w:rPr>
          <w:rFonts w:ascii="Palatino Linotype" w:eastAsia="Times New Roman" w:hAnsi="Palatino Linotype" w:cs="Arial"/>
          <w:color w:val="000000" w:themeColor="text1"/>
          <w:lang w:val="es-ES"/>
        </w:rPr>
        <w:t xml:space="preserve"> </w:t>
      </w:r>
      <w:r w:rsidR="00A45546" w:rsidRPr="00553FE2">
        <w:rPr>
          <w:rFonts w:ascii="Palatino Linotype" w:eastAsia="Times New Roman" w:hAnsi="Palatino Linotype" w:cs="Arial"/>
          <w:color w:val="000000" w:themeColor="text1"/>
          <w:lang w:val="es-ES"/>
        </w:rPr>
        <w:t xml:space="preserve">en </w:t>
      </w:r>
      <w:r w:rsidR="00977D37" w:rsidRPr="00553FE2">
        <w:rPr>
          <w:rFonts w:ascii="Palatino Linotype" w:eastAsia="Times New Roman" w:hAnsi="Palatino Linotype" w:cs="Arial"/>
          <w:color w:val="000000" w:themeColor="text1"/>
          <w:lang w:val="es-ES"/>
        </w:rPr>
        <w:t>la</w:t>
      </w:r>
      <w:r w:rsidR="00A45546" w:rsidRPr="00553FE2">
        <w:rPr>
          <w:rFonts w:ascii="Palatino Linotype" w:eastAsia="Times New Roman" w:hAnsi="Palatino Linotype" w:cs="Arial"/>
          <w:color w:val="000000" w:themeColor="text1"/>
          <w:lang w:val="es-ES"/>
        </w:rPr>
        <w:t xml:space="preserve"> que refirió </w:t>
      </w:r>
      <w:r w:rsidR="004D68F8" w:rsidRPr="00553FE2">
        <w:rPr>
          <w:rFonts w:ascii="Palatino Linotype" w:eastAsia="Times New Roman" w:hAnsi="Palatino Linotype" w:cs="Arial"/>
          <w:color w:val="000000" w:themeColor="text1"/>
          <w:lang w:val="es-ES"/>
        </w:rPr>
        <w:t>lo siguiente:</w:t>
      </w:r>
    </w:p>
    <w:p w14:paraId="054906C6" w14:textId="77777777" w:rsidR="00E34622" w:rsidRPr="00553FE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E770FB7" w:rsidR="00E34622" w:rsidRPr="00553FE2"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53FE2">
        <w:rPr>
          <w:rFonts w:ascii="Palatino Linotype" w:eastAsia="Times New Roman" w:hAnsi="Palatino Linotype" w:cs="Arial"/>
          <w:b/>
          <w:color w:val="000000" w:themeColor="text1"/>
          <w:lang w:val="es-ES"/>
        </w:rPr>
        <w:t>Acto impugnado:</w:t>
      </w:r>
      <w:r w:rsidRPr="00553FE2">
        <w:rPr>
          <w:rFonts w:ascii="Palatino Linotype" w:eastAsia="Times New Roman" w:hAnsi="Palatino Linotype" w:cs="Arial"/>
          <w:color w:val="000000" w:themeColor="text1"/>
          <w:lang w:val="es-ES"/>
        </w:rPr>
        <w:t xml:space="preserve"> “</w:t>
      </w:r>
      <w:r w:rsidR="00B57B16" w:rsidRPr="00553FE2">
        <w:rPr>
          <w:rFonts w:ascii="Palatino Linotype" w:eastAsia="Times New Roman" w:hAnsi="Palatino Linotype" w:cs="Arial"/>
          <w:i/>
          <w:iCs/>
          <w:color w:val="000000" w:themeColor="text1"/>
          <w:lang w:val="es-ES"/>
        </w:rPr>
        <w:t>No me están entregando las facturas solicitadas.</w:t>
      </w:r>
      <w:r w:rsidRPr="00553FE2">
        <w:rPr>
          <w:rFonts w:ascii="Palatino Linotype" w:eastAsia="Times New Roman" w:hAnsi="Palatino Linotype" w:cs="Arial"/>
          <w:i/>
          <w:color w:val="000000" w:themeColor="text1"/>
          <w:lang w:val="es-ES"/>
        </w:rPr>
        <w:t>”</w:t>
      </w:r>
      <w:r w:rsidRPr="00553FE2">
        <w:rPr>
          <w:rFonts w:ascii="Palatino Linotype" w:eastAsia="Times New Roman" w:hAnsi="Palatino Linotype" w:cs="Arial"/>
          <w:color w:val="000000" w:themeColor="text1"/>
          <w:lang w:val="es-ES"/>
        </w:rPr>
        <w:t xml:space="preserve"> (Sic).</w:t>
      </w:r>
    </w:p>
    <w:p w14:paraId="38724B8B" w14:textId="77777777" w:rsidR="001468E9" w:rsidRPr="00553FE2"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51FFFDFB" w:rsidR="00E34622" w:rsidRPr="00553FE2"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53FE2">
        <w:rPr>
          <w:rFonts w:ascii="Palatino Linotype" w:eastAsia="Times New Roman" w:hAnsi="Palatino Linotype" w:cs="Arial"/>
          <w:b/>
          <w:color w:val="000000" w:themeColor="text1"/>
          <w:lang w:val="es-ES"/>
        </w:rPr>
        <w:lastRenderedPageBreak/>
        <w:t>Razones o motivos de inconformidad:</w:t>
      </w:r>
      <w:r w:rsidRPr="00553FE2">
        <w:rPr>
          <w:rFonts w:ascii="Palatino Linotype" w:eastAsia="Times New Roman" w:hAnsi="Palatino Linotype" w:cs="Arial"/>
          <w:color w:val="000000" w:themeColor="text1"/>
          <w:lang w:val="es-ES"/>
        </w:rPr>
        <w:t xml:space="preserve"> “</w:t>
      </w:r>
      <w:r w:rsidR="00B57B16" w:rsidRPr="00553FE2">
        <w:rPr>
          <w:rFonts w:ascii="Palatino Linotype" w:hAnsi="Palatino Linotype"/>
          <w:i/>
          <w:iCs/>
          <w:color w:val="000000"/>
        </w:rPr>
        <w:t>No me están entregando las facturas solicitadas.</w:t>
      </w:r>
      <w:r w:rsidRPr="00553FE2">
        <w:rPr>
          <w:rFonts w:ascii="Palatino Linotype" w:eastAsia="Times New Roman" w:hAnsi="Palatino Linotype" w:cs="Arial"/>
          <w:i/>
          <w:color w:val="000000" w:themeColor="text1"/>
          <w:lang w:val="es-ES"/>
        </w:rPr>
        <w:t>”</w:t>
      </w:r>
      <w:r w:rsidRPr="00553FE2">
        <w:rPr>
          <w:rFonts w:ascii="Palatino Linotype" w:eastAsia="Times New Roman" w:hAnsi="Palatino Linotype" w:cs="Arial"/>
          <w:color w:val="000000" w:themeColor="text1"/>
          <w:lang w:val="es-ES"/>
        </w:rPr>
        <w:t xml:space="preserve"> (Sic).</w:t>
      </w:r>
    </w:p>
    <w:p w14:paraId="4D16C3B0" w14:textId="77777777" w:rsidR="00E34622" w:rsidRPr="00553FE2"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1E604602" w:rsidR="005F1362" w:rsidRPr="00553FE2"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53FE2">
        <w:rPr>
          <w:rFonts w:ascii="Palatino Linotype" w:eastAsia="Times New Roman" w:hAnsi="Palatino Linotype" w:cs="Arial"/>
          <w:color w:val="000000" w:themeColor="text1"/>
          <w:lang w:val="es-ES"/>
        </w:rPr>
        <w:t xml:space="preserve">Se registró el recurso de revisión bajo el número de expediente </w:t>
      </w:r>
      <w:r w:rsidR="004F785F" w:rsidRPr="00553FE2">
        <w:rPr>
          <w:rFonts w:ascii="Palatino Linotype" w:hAnsi="Palatino Linotype" w:cs="Arial"/>
          <w:bCs/>
          <w:color w:val="000000" w:themeColor="text1"/>
        </w:rPr>
        <w:t>al rubro indicado, asi</w:t>
      </w:r>
      <w:r w:rsidRPr="00553FE2">
        <w:rPr>
          <w:rFonts w:ascii="Palatino Linotype" w:hAnsi="Palatino Linotype" w:cs="Arial"/>
          <w:bCs/>
          <w:color w:val="000000" w:themeColor="text1"/>
        </w:rPr>
        <w:t xml:space="preserve">mismo, con fundamento en lo dispuesto por el </w:t>
      </w:r>
      <w:r w:rsidRPr="00553FE2">
        <w:rPr>
          <w:rFonts w:ascii="Palatino Linotype" w:eastAsia="Calibri" w:hAnsi="Palatino Linotype" w:cs="Arial"/>
          <w:bCs/>
          <w:color w:val="000000" w:themeColor="text1"/>
          <w:lang w:val="es-ES"/>
        </w:rPr>
        <w:t>artículo 185</w:t>
      </w:r>
      <w:r w:rsidR="00B57B16" w:rsidRPr="00553FE2">
        <w:rPr>
          <w:rFonts w:ascii="Palatino Linotype" w:eastAsia="Calibri" w:hAnsi="Palatino Linotype" w:cs="Arial"/>
          <w:bCs/>
          <w:color w:val="000000" w:themeColor="text1"/>
          <w:lang w:val="es-ES"/>
        </w:rPr>
        <w:t>,</w:t>
      </w:r>
      <w:r w:rsidRPr="00553FE2">
        <w:rPr>
          <w:rFonts w:ascii="Palatino Linotype" w:eastAsia="Calibri" w:hAnsi="Palatino Linotype" w:cs="Arial"/>
          <w:bCs/>
          <w:color w:val="000000" w:themeColor="text1"/>
          <w:lang w:val="es-ES"/>
        </w:rPr>
        <w:t xml:space="preserve"> fracción I</w:t>
      </w:r>
      <w:r w:rsidR="00B57B16" w:rsidRPr="00553FE2">
        <w:rPr>
          <w:rFonts w:ascii="Palatino Linotype" w:eastAsia="Calibri" w:hAnsi="Palatino Linotype" w:cs="Arial"/>
          <w:bCs/>
          <w:color w:val="000000" w:themeColor="text1"/>
          <w:lang w:val="es-ES"/>
        </w:rPr>
        <w:t>,</w:t>
      </w:r>
      <w:r w:rsidRPr="00553FE2">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553FE2">
        <w:rPr>
          <w:rFonts w:ascii="Palatino Linotype" w:eastAsia="Times New Roman" w:hAnsi="Palatino Linotype" w:cs="Arial"/>
          <w:bCs/>
          <w:color w:val="000000" w:themeColor="text1"/>
          <w:lang w:val="es-ES"/>
        </w:rPr>
        <w:t xml:space="preserve">se turnó </w:t>
      </w:r>
      <w:r w:rsidR="0096234B" w:rsidRPr="00553FE2">
        <w:rPr>
          <w:rFonts w:ascii="Palatino Linotype" w:eastAsia="Times New Roman" w:hAnsi="Palatino Linotype" w:cs="Arial"/>
          <w:bCs/>
          <w:color w:val="000000" w:themeColor="text1"/>
          <w:lang w:val="es-ES"/>
        </w:rPr>
        <w:t xml:space="preserve">a la </w:t>
      </w:r>
      <w:r w:rsidR="0096234B" w:rsidRPr="00553FE2">
        <w:rPr>
          <w:rFonts w:ascii="Palatino Linotype" w:eastAsia="Times New Roman" w:hAnsi="Palatino Linotype" w:cs="Arial"/>
          <w:b/>
          <w:bCs/>
          <w:color w:val="000000" w:themeColor="text1"/>
          <w:lang w:val="es-ES"/>
        </w:rPr>
        <w:t xml:space="preserve">Comisionada </w:t>
      </w:r>
      <w:r w:rsidR="00C44847" w:rsidRPr="00553FE2">
        <w:rPr>
          <w:rFonts w:ascii="Palatino Linotype" w:eastAsia="Times New Roman" w:hAnsi="Palatino Linotype" w:cs="Arial"/>
          <w:b/>
          <w:bCs/>
          <w:color w:val="000000" w:themeColor="text1"/>
          <w:lang w:val="es-ES"/>
        </w:rPr>
        <w:t>María del Rosario Mejía Ayala</w:t>
      </w:r>
      <w:r w:rsidRPr="00553FE2">
        <w:rPr>
          <w:rFonts w:ascii="Palatino Linotype" w:eastAsia="Times New Roman" w:hAnsi="Palatino Linotype" w:cs="Arial"/>
          <w:bCs/>
          <w:color w:val="000000" w:themeColor="text1"/>
          <w:lang w:val="es-ES"/>
        </w:rPr>
        <w:t xml:space="preserve">, con el objeto de </w:t>
      </w:r>
      <w:r w:rsidRPr="00553FE2">
        <w:rPr>
          <w:rFonts w:ascii="Palatino Linotype" w:eastAsia="Times New Roman" w:hAnsi="Palatino Linotype" w:cs="Arial"/>
          <w:bCs/>
          <w:color w:val="000000" w:themeColor="text1"/>
        </w:rPr>
        <w:t>su análisis.</w:t>
      </w:r>
    </w:p>
    <w:p w14:paraId="2BDE682E" w14:textId="77777777" w:rsidR="005F1362" w:rsidRPr="00553FE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937BE98" w:rsidR="007446C2" w:rsidRPr="00553FE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53FE2">
        <w:rPr>
          <w:rFonts w:ascii="Palatino Linotype" w:eastAsia="Times New Roman" w:hAnsi="Palatino Linotype" w:cs="Arial"/>
          <w:color w:val="000000" w:themeColor="text1"/>
          <w:lang w:val="es-ES"/>
        </w:rPr>
        <w:t>La</w:t>
      </w:r>
      <w:r w:rsidR="00E647FF" w:rsidRPr="00553FE2">
        <w:rPr>
          <w:rFonts w:ascii="Palatino Linotype" w:eastAsia="Times New Roman" w:hAnsi="Palatino Linotype" w:cs="Arial"/>
          <w:color w:val="000000" w:themeColor="text1"/>
          <w:lang w:val="es-ES"/>
        </w:rPr>
        <w:t xml:space="preserve"> </w:t>
      </w:r>
      <w:r w:rsidR="0004686A" w:rsidRPr="00553FE2">
        <w:rPr>
          <w:rFonts w:ascii="Palatino Linotype" w:eastAsia="Calibri" w:hAnsi="Palatino Linotype" w:cs="Arial"/>
          <w:color w:val="000000" w:themeColor="text1"/>
          <w:lang w:val="es-ES"/>
        </w:rPr>
        <w:t>Comisionad</w:t>
      </w:r>
      <w:r w:rsidRPr="00553FE2">
        <w:rPr>
          <w:rFonts w:ascii="Palatino Linotype" w:eastAsia="Calibri" w:hAnsi="Palatino Linotype" w:cs="Arial"/>
          <w:color w:val="000000" w:themeColor="text1"/>
          <w:lang w:val="es-ES"/>
        </w:rPr>
        <w:t>a</w:t>
      </w:r>
      <w:r w:rsidR="0004686A" w:rsidRPr="00553FE2">
        <w:rPr>
          <w:rFonts w:ascii="Palatino Linotype" w:eastAsia="Calibri" w:hAnsi="Palatino Linotype" w:cs="Arial"/>
          <w:color w:val="000000" w:themeColor="text1"/>
          <w:lang w:val="es-ES"/>
        </w:rPr>
        <w:t xml:space="preserve"> Ponente</w:t>
      </w:r>
      <w:r w:rsidR="006B31E7" w:rsidRPr="00553FE2">
        <w:rPr>
          <w:rFonts w:ascii="Palatino Linotype" w:eastAsia="Calibri" w:hAnsi="Palatino Linotype" w:cs="Arial"/>
          <w:color w:val="000000" w:themeColor="text1"/>
          <w:lang w:val="es-ES"/>
        </w:rPr>
        <w:t>,</w:t>
      </w:r>
      <w:r w:rsidR="0004686A" w:rsidRPr="00553FE2">
        <w:rPr>
          <w:rFonts w:ascii="Palatino Linotype" w:eastAsia="Calibri" w:hAnsi="Palatino Linotype" w:cs="Arial"/>
          <w:color w:val="000000" w:themeColor="text1"/>
          <w:lang w:val="es-ES"/>
        </w:rPr>
        <w:t xml:space="preserve"> con fundamento en lo dispuesto por el artículo 185</w:t>
      </w:r>
      <w:r w:rsidR="00970450" w:rsidRPr="00553FE2">
        <w:rPr>
          <w:rFonts w:ascii="Palatino Linotype" w:eastAsia="Calibri" w:hAnsi="Palatino Linotype" w:cs="Arial"/>
          <w:color w:val="000000" w:themeColor="text1"/>
          <w:lang w:val="es-ES"/>
        </w:rPr>
        <w:t>,</w:t>
      </w:r>
      <w:r w:rsidR="0004686A" w:rsidRPr="00553FE2">
        <w:rPr>
          <w:rFonts w:ascii="Palatino Linotype" w:eastAsia="Calibri" w:hAnsi="Palatino Linotype" w:cs="Arial"/>
          <w:color w:val="000000" w:themeColor="text1"/>
          <w:lang w:val="es-ES"/>
        </w:rPr>
        <w:t xml:space="preserve"> fracción II</w:t>
      </w:r>
      <w:r w:rsidR="00970450" w:rsidRPr="00553FE2">
        <w:rPr>
          <w:rFonts w:ascii="Palatino Linotype" w:eastAsia="Calibri" w:hAnsi="Palatino Linotype" w:cs="Arial"/>
          <w:color w:val="000000" w:themeColor="text1"/>
          <w:lang w:val="es-ES"/>
        </w:rPr>
        <w:t>,</w:t>
      </w:r>
      <w:r w:rsidR="0004686A" w:rsidRPr="00553FE2">
        <w:rPr>
          <w:rFonts w:ascii="Palatino Linotype" w:eastAsia="Calibri" w:hAnsi="Palatino Linotype" w:cs="Arial"/>
          <w:color w:val="000000" w:themeColor="text1"/>
          <w:lang w:val="es-ES"/>
        </w:rPr>
        <w:t xml:space="preserve"> de la </w:t>
      </w:r>
      <w:r w:rsidR="00613655" w:rsidRPr="00553FE2">
        <w:rPr>
          <w:rFonts w:ascii="Palatino Linotype" w:eastAsia="Calibri" w:hAnsi="Palatino Linotype" w:cs="Arial"/>
          <w:color w:val="000000" w:themeColor="text1"/>
          <w:lang w:val="es-ES"/>
        </w:rPr>
        <w:t>Ley de Transparencia y Acceso a la Información Pública del Estado de México y Municipios</w:t>
      </w:r>
      <w:r w:rsidR="0004686A" w:rsidRPr="00553FE2">
        <w:rPr>
          <w:rFonts w:ascii="Palatino Linotype" w:eastAsia="Calibri" w:hAnsi="Palatino Linotype" w:cs="Arial"/>
          <w:color w:val="000000" w:themeColor="text1"/>
          <w:lang w:val="es-ES"/>
        </w:rPr>
        <w:t xml:space="preserve">, a través </w:t>
      </w:r>
      <w:r w:rsidR="006E4E2A" w:rsidRPr="00553FE2">
        <w:rPr>
          <w:rFonts w:ascii="Palatino Linotype" w:eastAsia="Calibri" w:hAnsi="Palatino Linotype" w:cs="Arial"/>
          <w:color w:val="000000" w:themeColor="text1"/>
          <w:lang w:val="es-ES"/>
        </w:rPr>
        <w:t>del</w:t>
      </w:r>
      <w:r w:rsidR="0004686A" w:rsidRPr="00553FE2">
        <w:rPr>
          <w:rFonts w:ascii="Palatino Linotype" w:eastAsia="Calibri" w:hAnsi="Palatino Linotype" w:cs="Arial"/>
          <w:color w:val="000000" w:themeColor="text1"/>
          <w:lang w:val="es-ES"/>
        </w:rPr>
        <w:t xml:space="preserve"> </w:t>
      </w:r>
      <w:r w:rsidR="00B81371" w:rsidRPr="00553FE2">
        <w:rPr>
          <w:rFonts w:ascii="Palatino Linotype" w:eastAsia="Calibri" w:hAnsi="Palatino Linotype" w:cs="Arial"/>
          <w:color w:val="000000" w:themeColor="text1"/>
          <w:lang w:val="es-ES"/>
        </w:rPr>
        <w:t xml:space="preserve">acuerdo </w:t>
      </w:r>
      <w:r w:rsidR="00F147C6" w:rsidRPr="00553FE2">
        <w:rPr>
          <w:rFonts w:ascii="Palatino Linotype" w:eastAsia="Calibri" w:hAnsi="Palatino Linotype" w:cs="Arial"/>
          <w:color w:val="000000" w:themeColor="text1"/>
          <w:lang w:val="es-ES"/>
        </w:rPr>
        <w:t xml:space="preserve">de admisión </w:t>
      </w:r>
      <w:r w:rsidR="00B81371" w:rsidRPr="00553FE2">
        <w:rPr>
          <w:rFonts w:ascii="Palatino Linotype" w:eastAsia="Calibri" w:hAnsi="Palatino Linotype" w:cs="Arial"/>
          <w:color w:val="000000" w:themeColor="text1"/>
          <w:lang w:val="es-ES"/>
        </w:rPr>
        <w:t xml:space="preserve">de </w:t>
      </w:r>
      <w:r w:rsidR="00B57B16" w:rsidRPr="00553FE2">
        <w:rPr>
          <w:rFonts w:ascii="Palatino Linotype" w:eastAsia="Calibri" w:hAnsi="Palatino Linotype" w:cs="Arial"/>
          <w:color w:val="000000" w:themeColor="text1"/>
          <w:lang w:val="es-ES"/>
        </w:rPr>
        <w:t>veintiocho (28) de enero de dos mil veintidós</w:t>
      </w:r>
      <w:r w:rsidR="006A1047" w:rsidRPr="00553FE2">
        <w:rPr>
          <w:rFonts w:ascii="Palatino Linotype" w:eastAsia="Calibri" w:hAnsi="Palatino Linotype" w:cs="Arial"/>
          <w:color w:val="000000" w:themeColor="text1"/>
          <w:lang w:val="es-ES"/>
        </w:rPr>
        <w:t xml:space="preserve">, </w:t>
      </w:r>
      <w:r w:rsidR="00B81371" w:rsidRPr="00553FE2">
        <w:rPr>
          <w:rFonts w:ascii="Palatino Linotype" w:eastAsia="Calibri" w:hAnsi="Palatino Linotype" w:cs="Arial"/>
          <w:color w:val="000000" w:themeColor="text1"/>
          <w:lang w:val="es-ES"/>
        </w:rPr>
        <w:t xml:space="preserve">puso a </w:t>
      </w:r>
      <w:r w:rsidR="00875167" w:rsidRPr="00553FE2">
        <w:rPr>
          <w:rFonts w:ascii="Palatino Linotype" w:eastAsia="Calibri" w:hAnsi="Palatino Linotype" w:cs="Arial"/>
          <w:color w:val="000000" w:themeColor="text1"/>
          <w:lang w:val="es-ES"/>
        </w:rPr>
        <w:t>disposición</w:t>
      </w:r>
      <w:r w:rsidR="00B81371" w:rsidRPr="00553FE2">
        <w:rPr>
          <w:rFonts w:ascii="Palatino Linotype" w:eastAsia="Calibri" w:hAnsi="Palatino Linotype" w:cs="Arial"/>
          <w:color w:val="000000" w:themeColor="text1"/>
          <w:lang w:val="es-ES"/>
        </w:rPr>
        <w:t xml:space="preserve"> de las partes el expediente electrónico </w:t>
      </w:r>
      <w:r w:rsidR="00B81371" w:rsidRPr="00553FE2">
        <w:rPr>
          <w:rFonts w:ascii="Palatino Linotype" w:eastAsia="Calibri" w:hAnsi="Palatino Linotype" w:cs="Arial"/>
          <w:color w:val="000000" w:themeColor="text1"/>
        </w:rPr>
        <w:t>vía</w:t>
      </w:r>
      <w:r w:rsidR="00C44847" w:rsidRPr="00553FE2">
        <w:rPr>
          <w:rFonts w:ascii="Palatino Linotype" w:eastAsia="Calibri" w:hAnsi="Palatino Linotype" w:cs="Arial"/>
          <w:color w:val="000000" w:themeColor="text1"/>
        </w:rPr>
        <w:t xml:space="preserve"> SAIMEX</w:t>
      </w:r>
      <w:r w:rsidR="00B81371" w:rsidRPr="00553FE2">
        <w:rPr>
          <w:rFonts w:ascii="Palatino Linotype" w:eastAsia="Calibri" w:hAnsi="Palatino Linotype" w:cs="Arial"/>
          <w:b/>
          <w:color w:val="000000" w:themeColor="text1"/>
          <w:lang w:val="es-ES"/>
        </w:rPr>
        <w:t xml:space="preserve"> </w:t>
      </w:r>
      <w:r w:rsidR="00B81371" w:rsidRPr="00553FE2">
        <w:rPr>
          <w:rFonts w:ascii="Palatino Linotype" w:eastAsia="Calibri" w:hAnsi="Palatino Linotype" w:cs="Arial"/>
          <w:color w:val="000000" w:themeColor="text1"/>
          <w:lang w:val="es-ES"/>
        </w:rPr>
        <w:t xml:space="preserve">a efecto de que en un plazo máximo de siete días </w:t>
      </w:r>
      <w:r w:rsidR="00875167" w:rsidRPr="00553FE2">
        <w:rPr>
          <w:rFonts w:ascii="Palatino Linotype" w:eastAsia="Calibri" w:hAnsi="Palatino Linotype" w:cs="Arial"/>
          <w:color w:val="000000" w:themeColor="text1"/>
          <w:lang w:val="es-ES"/>
        </w:rPr>
        <w:t>manifestaran</w:t>
      </w:r>
      <w:r w:rsidR="00B81371" w:rsidRPr="00553FE2">
        <w:rPr>
          <w:rFonts w:ascii="Palatino Linotype" w:eastAsia="Calibri" w:hAnsi="Palatino Linotype" w:cs="Arial"/>
          <w:color w:val="000000" w:themeColor="text1"/>
          <w:lang w:val="es-ES"/>
        </w:rPr>
        <w:t xml:space="preserve"> lo que a</w:t>
      </w:r>
      <w:r w:rsidR="003A2029" w:rsidRPr="00553FE2">
        <w:rPr>
          <w:rFonts w:ascii="Palatino Linotype" w:eastAsia="Calibri" w:hAnsi="Palatino Linotype" w:cs="Arial"/>
          <w:color w:val="000000" w:themeColor="text1"/>
          <w:lang w:val="es-ES"/>
        </w:rPr>
        <w:t xml:space="preserve"> su</w:t>
      </w:r>
      <w:r w:rsidR="00B81371" w:rsidRPr="00553FE2">
        <w:rPr>
          <w:rFonts w:ascii="Palatino Linotype" w:eastAsia="Calibri" w:hAnsi="Palatino Linotype" w:cs="Arial"/>
          <w:color w:val="000000" w:themeColor="text1"/>
          <w:lang w:val="es-ES"/>
        </w:rPr>
        <w:t xml:space="preserve"> derecho conviniera</w:t>
      </w:r>
      <w:r w:rsidR="00875167" w:rsidRPr="00553FE2">
        <w:rPr>
          <w:rFonts w:ascii="Palatino Linotype" w:eastAsia="Calibri" w:hAnsi="Palatino Linotype" w:cs="Arial"/>
          <w:color w:val="000000" w:themeColor="text1"/>
          <w:lang w:val="es-ES"/>
        </w:rPr>
        <w:t>n</w:t>
      </w:r>
      <w:r w:rsidR="00032493" w:rsidRPr="00553FE2">
        <w:rPr>
          <w:rFonts w:ascii="Palatino Linotype" w:eastAsia="Calibri" w:hAnsi="Palatino Linotype" w:cs="Arial"/>
          <w:color w:val="000000" w:themeColor="text1"/>
          <w:lang w:val="es-ES"/>
        </w:rPr>
        <w:t>,</w:t>
      </w:r>
      <w:r w:rsidR="00B81371" w:rsidRPr="00553FE2">
        <w:rPr>
          <w:rFonts w:ascii="Palatino Linotype" w:eastAsia="Calibri" w:hAnsi="Palatino Linotype" w:cs="Arial"/>
          <w:color w:val="000000" w:themeColor="text1"/>
          <w:lang w:val="es-ES"/>
        </w:rPr>
        <w:t xml:space="preserve"> </w:t>
      </w:r>
      <w:r w:rsidR="00875167" w:rsidRPr="00553FE2">
        <w:rPr>
          <w:rFonts w:ascii="Palatino Linotype" w:eastAsia="Calibri" w:hAnsi="Palatino Linotype" w:cs="Arial"/>
          <w:color w:val="000000" w:themeColor="text1"/>
          <w:lang w:val="es-ES"/>
        </w:rPr>
        <w:t>ofrecieran pruebas y</w:t>
      </w:r>
      <w:r w:rsidR="00132C06" w:rsidRPr="00553FE2">
        <w:rPr>
          <w:rFonts w:ascii="Palatino Linotype" w:eastAsia="Calibri" w:hAnsi="Palatino Linotype" w:cs="Arial"/>
          <w:color w:val="000000" w:themeColor="text1"/>
          <w:lang w:val="es-ES"/>
        </w:rPr>
        <w:t xml:space="preserve"> </w:t>
      </w:r>
      <w:r w:rsidR="00875167" w:rsidRPr="00553FE2">
        <w:rPr>
          <w:rFonts w:ascii="Palatino Linotype" w:eastAsia="Calibri" w:hAnsi="Palatino Linotype" w:cs="Arial"/>
          <w:color w:val="000000" w:themeColor="text1"/>
          <w:lang w:val="es-ES"/>
        </w:rPr>
        <w:t>alegatos según corresponda a</w:t>
      </w:r>
      <w:r w:rsidR="004C20F2" w:rsidRPr="00553FE2">
        <w:rPr>
          <w:rFonts w:ascii="Palatino Linotype" w:eastAsia="Calibri" w:hAnsi="Palatino Linotype" w:cs="Arial"/>
          <w:color w:val="000000" w:themeColor="text1"/>
          <w:lang w:val="es-ES"/>
        </w:rPr>
        <w:t xml:space="preserve"> </w:t>
      </w:r>
      <w:r w:rsidR="00875167" w:rsidRPr="00553FE2">
        <w:rPr>
          <w:rFonts w:ascii="Palatino Linotype" w:eastAsia="Calibri" w:hAnsi="Palatino Linotype" w:cs="Arial"/>
          <w:color w:val="000000" w:themeColor="text1"/>
          <w:lang w:val="es-ES"/>
        </w:rPr>
        <w:t>l</w:t>
      </w:r>
      <w:r w:rsidR="004C20F2" w:rsidRPr="00553FE2">
        <w:rPr>
          <w:rFonts w:ascii="Palatino Linotype" w:eastAsia="Calibri" w:hAnsi="Palatino Linotype" w:cs="Arial"/>
          <w:color w:val="000000" w:themeColor="text1"/>
          <w:lang w:val="es-ES"/>
        </w:rPr>
        <w:t>os</w:t>
      </w:r>
      <w:r w:rsidR="00875167" w:rsidRPr="00553FE2">
        <w:rPr>
          <w:rFonts w:ascii="Palatino Linotype" w:eastAsia="Calibri" w:hAnsi="Palatino Linotype" w:cs="Arial"/>
          <w:color w:val="000000" w:themeColor="text1"/>
          <w:lang w:val="es-ES"/>
        </w:rPr>
        <w:t xml:space="preserve"> caso</w:t>
      </w:r>
      <w:r w:rsidR="004C20F2" w:rsidRPr="00553FE2">
        <w:rPr>
          <w:rFonts w:ascii="Palatino Linotype" w:eastAsia="Calibri" w:hAnsi="Palatino Linotype" w:cs="Arial"/>
          <w:color w:val="000000" w:themeColor="text1"/>
          <w:lang w:val="es-ES"/>
        </w:rPr>
        <w:t>s</w:t>
      </w:r>
      <w:r w:rsidR="00875167" w:rsidRPr="00553FE2">
        <w:rPr>
          <w:rFonts w:ascii="Palatino Linotype" w:eastAsia="Calibri" w:hAnsi="Palatino Linotype" w:cs="Arial"/>
          <w:color w:val="000000" w:themeColor="text1"/>
          <w:lang w:val="es-ES"/>
        </w:rPr>
        <w:t xml:space="preserve"> concreto</w:t>
      </w:r>
      <w:r w:rsidR="004C20F2" w:rsidRPr="00553FE2">
        <w:rPr>
          <w:rFonts w:ascii="Palatino Linotype" w:eastAsia="Calibri" w:hAnsi="Palatino Linotype" w:cs="Arial"/>
          <w:color w:val="000000" w:themeColor="text1"/>
          <w:lang w:val="es-ES"/>
        </w:rPr>
        <w:t>s</w:t>
      </w:r>
      <w:r w:rsidR="00875167" w:rsidRPr="00553FE2">
        <w:rPr>
          <w:rFonts w:ascii="Palatino Linotype" w:eastAsia="Calibri" w:hAnsi="Palatino Linotype" w:cs="Arial"/>
          <w:color w:val="000000" w:themeColor="text1"/>
          <w:lang w:val="es-ES"/>
        </w:rPr>
        <w:t xml:space="preserve">, </w:t>
      </w:r>
      <w:r w:rsidR="00F147C6" w:rsidRPr="00553FE2">
        <w:rPr>
          <w:rFonts w:ascii="Palatino Linotype" w:eastAsia="Calibri" w:hAnsi="Palatino Linotype" w:cs="Arial"/>
          <w:color w:val="000000" w:themeColor="text1"/>
          <w:lang w:val="es-ES"/>
        </w:rPr>
        <w:t>de esta forma</w:t>
      </w:r>
      <w:r w:rsidR="00875167" w:rsidRPr="00553FE2">
        <w:rPr>
          <w:rFonts w:ascii="Palatino Linotype" w:eastAsia="Calibri" w:hAnsi="Palatino Linotype" w:cs="Arial"/>
          <w:color w:val="000000" w:themeColor="text1"/>
          <w:lang w:val="es-ES"/>
        </w:rPr>
        <w:t xml:space="preserve"> para que el </w:t>
      </w:r>
      <w:r w:rsidR="00875167" w:rsidRPr="00553FE2">
        <w:rPr>
          <w:rFonts w:ascii="Palatino Linotype" w:eastAsia="Calibri" w:hAnsi="Palatino Linotype" w:cs="Arial"/>
          <w:b/>
          <w:color w:val="000000" w:themeColor="text1"/>
          <w:lang w:val="es-ES"/>
        </w:rPr>
        <w:t>SUJETO OBLIGADO</w:t>
      </w:r>
      <w:r w:rsidR="00875167" w:rsidRPr="00553FE2">
        <w:rPr>
          <w:rFonts w:ascii="Palatino Linotype" w:eastAsia="Calibri" w:hAnsi="Palatino Linotype" w:cs="Arial"/>
          <w:color w:val="000000" w:themeColor="text1"/>
          <w:lang w:val="es-ES"/>
        </w:rPr>
        <w:t xml:space="preserve"> </w:t>
      </w:r>
      <w:r w:rsidR="00B81371" w:rsidRPr="00553FE2">
        <w:rPr>
          <w:rFonts w:ascii="Palatino Linotype" w:eastAsia="Calibri" w:hAnsi="Palatino Linotype" w:cs="Arial"/>
          <w:color w:val="000000" w:themeColor="text1"/>
          <w:lang w:val="es-ES"/>
        </w:rPr>
        <w:t>presentar</w:t>
      </w:r>
      <w:r w:rsidR="003A03D0" w:rsidRPr="00553FE2">
        <w:rPr>
          <w:rFonts w:ascii="Palatino Linotype" w:eastAsia="Calibri" w:hAnsi="Palatino Linotype" w:cs="Arial"/>
          <w:color w:val="000000" w:themeColor="text1"/>
          <w:lang w:val="es-ES"/>
        </w:rPr>
        <w:t>a</w:t>
      </w:r>
      <w:r w:rsidR="00B81371" w:rsidRPr="00553FE2">
        <w:rPr>
          <w:rFonts w:ascii="Palatino Linotype" w:eastAsia="Calibri" w:hAnsi="Palatino Linotype" w:cs="Arial"/>
          <w:color w:val="000000" w:themeColor="text1"/>
          <w:lang w:val="es-ES"/>
        </w:rPr>
        <w:t xml:space="preserve"> el </w:t>
      </w:r>
      <w:r w:rsidR="00556F72" w:rsidRPr="00553FE2">
        <w:rPr>
          <w:rFonts w:ascii="Palatino Linotype" w:eastAsia="Calibri" w:hAnsi="Palatino Linotype" w:cs="Arial"/>
          <w:color w:val="000000" w:themeColor="text1"/>
          <w:lang w:val="es-ES"/>
        </w:rPr>
        <w:t xml:space="preserve">informe justificado </w:t>
      </w:r>
      <w:r w:rsidR="00875167" w:rsidRPr="00553FE2">
        <w:rPr>
          <w:rFonts w:ascii="Palatino Linotype" w:eastAsia="Calibri" w:hAnsi="Palatino Linotype" w:cs="Arial"/>
          <w:color w:val="000000" w:themeColor="text1"/>
          <w:lang w:val="es-ES"/>
        </w:rPr>
        <w:t>procedente</w:t>
      </w:r>
      <w:r w:rsidR="00787184" w:rsidRPr="00553FE2">
        <w:rPr>
          <w:rFonts w:ascii="Palatino Linotype" w:eastAsia="Calibri" w:hAnsi="Palatino Linotype" w:cs="Arial"/>
          <w:color w:val="000000" w:themeColor="text1"/>
          <w:lang w:val="es-ES"/>
        </w:rPr>
        <w:t>.</w:t>
      </w:r>
    </w:p>
    <w:p w14:paraId="455C196B" w14:textId="77777777" w:rsidR="003F0DDA" w:rsidRPr="00553FE2"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1014445" w14:textId="1D78CCA9" w:rsidR="006B408A" w:rsidRPr="009E27F8" w:rsidRDefault="006B408A" w:rsidP="006B408A">
      <w:pPr>
        <w:pStyle w:val="Prrafodelista"/>
        <w:numPr>
          <w:ilvl w:val="0"/>
          <w:numId w:val="1"/>
        </w:numPr>
        <w:tabs>
          <w:tab w:val="left" w:pos="426"/>
        </w:tabs>
        <w:spacing w:line="360" w:lineRule="auto"/>
        <w:jc w:val="both"/>
        <w:rPr>
          <w:rFonts w:ascii="Palatino Linotype" w:hAnsi="Palatino Linotype"/>
          <w:color w:val="000000" w:themeColor="text1"/>
        </w:rPr>
      </w:pPr>
      <w:r w:rsidRPr="00553FE2">
        <w:rPr>
          <w:rFonts w:ascii="Palatino Linotype" w:eastAsia="Calibri" w:hAnsi="Palatino Linotype" w:cs="Arial"/>
          <w:color w:val="000000" w:themeColor="text1"/>
          <w:lang w:val="es-ES"/>
        </w:rPr>
        <w:t xml:space="preserve">De </w:t>
      </w:r>
      <w:r w:rsidRPr="00553FE2">
        <w:rPr>
          <w:rFonts w:ascii="Palatino Linotype" w:hAnsi="Palatino Linotype"/>
          <w:color w:val="000000"/>
          <w:lang w:val="es-ES"/>
        </w:rPr>
        <w:t xml:space="preserve">las </w:t>
      </w:r>
      <w:r w:rsidRPr="00553FE2">
        <w:rPr>
          <w:rFonts w:ascii="Palatino Linotype" w:hAnsi="Palatino Linotype"/>
          <w:color w:val="000000"/>
          <w:lang w:val="es-ES_tradnl"/>
        </w:rPr>
        <w:t xml:space="preserve">constancias que obran en el expediente digital del recurso de revisión que hoy se resuelve, se aprecia que el </w:t>
      </w:r>
      <w:r w:rsidRPr="00553FE2">
        <w:rPr>
          <w:rFonts w:ascii="Palatino Linotype" w:hAnsi="Palatino Linotype"/>
          <w:b/>
          <w:color w:val="000000"/>
          <w:lang w:val="es-ES_tradnl"/>
        </w:rPr>
        <w:t xml:space="preserve">SUJETO OBLIGADO </w:t>
      </w:r>
      <w:r w:rsidRPr="00553FE2">
        <w:rPr>
          <w:rFonts w:ascii="Palatino Linotype" w:hAnsi="Palatino Linotype"/>
          <w:color w:val="000000"/>
          <w:lang w:val="es-ES_tradnl"/>
        </w:rPr>
        <w:t xml:space="preserve">no rindió su informe justificado para manifestar lo que a su derecho conviniera; por su parte, el </w:t>
      </w:r>
      <w:r w:rsidRPr="00553FE2">
        <w:rPr>
          <w:rFonts w:ascii="Palatino Linotype" w:hAnsi="Palatino Linotype"/>
          <w:b/>
          <w:color w:val="000000"/>
          <w:lang w:val="es-ES_tradnl"/>
        </w:rPr>
        <w:t xml:space="preserve">RECURRENTE </w:t>
      </w:r>
      <w:r w:rsidRPr="00553FE2">
        <w:rPr>
          <w:rFonts w:ascii="Palatino Linotype" w:hAnsi="Palatino Linotype"/>
          <w:color w:val="000000"/>
          <w:lang w:val="es-ES_tradnl"/>
        </w:rPr>
        <w:t xml:space="preserve">no presentó alegatos ni ofreció medios de prueba. Se adjunta capturas del apartado de </w:t>
      </w:r>
      <w:r w:rsidRPr="00553FE2">
        <w:rPr>
          <w:rFonts w:ascii="Palatino Linotype" w:hAnsi="Palatino Linotype"/>
          <w:i/>
          <w:iCs/>
          <w:color w:val="000000"/>
          <w:lang w:val="es-ES_tradnl"/>
        </w:rPr>
        <w:t>Manifestaciones</w:t>
      </w:r>
      <w:r w:rsidRPr="00553FE2">
        <w:rPr>
          <w:rFonts w:ascii="Palatino Linotype" w:hAnsi="Palatino Linotype"/>
          <w:color w:val="000000"/>
          <w:lang w:val="es-ES_tradnl"/>
        </w:rPr>
        <w:t xml:space="preserve"> del </w:t>
      </w:r>
      <w:r w:rsidRPr="00553FE2">
        <w:rPr>
          <w:rFonts w:ascii="Palatino Linotype" w:hAnsi="Palatino Linotype"/>
          <w:i/>
          <w:iCs/>
          <w:color w:val="000000"/>
          <w:lang w:val="es-ES_tradnl"/>
        </w:rPr>
        <w:t>SAIMEX</w:t>
      </w:r>
      <w:r w:rsidRPr="00553FE2">
        <w:rPr>
          <w:rFonts w:ascii="Palatino Linotype" w:hAnsi="Palatino Linotype"/>
          <w:color w:val="000000"/>
          <w:lang w:val="es-ES_tradnl"/>
        </w:rPr>
        <w:t xml:space="preserve"> del expediente a modo de referencia:</w:t>
      </w:r>
    </w:p>
    <w:p w14:paraId="4CB92E14" w14:textId="2EF80E17" w:rsidR="006B408A" w:rsidRPr="00553FE2" w:rsidRDefault="000D5494" w:rsidP="006B408A">
      <w:pPr>
        <w:pStyle w:val="Prrafodelista"/>
        <w:tabs>
          <w:tab w:val="left" w:pos="426"/>
        </w:tabs>
        <w:spacing w:line="360" w:lineRule="auto"/>
        <w:ind w:left="0"/>
        <w:jc w:val="center"/>
        <w:rPr>
          <w:rFonts w:ascii="Palatino Linotype" w:hAnsi="Palatino Linotype"/>
          <w:color w:val="000000" w:themeColor="text1"/>
        </w:rPr>
      </w:pPr>
      <w:r w:rsidRPr="00553FE2">
        <w:rPr>
          <w:noProof/>
        </w:rPr>
        <w:object w:dxaOrig="13080" w:dyaOrig="3210" w14:anchorId="31E10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45pt;height:93.7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705039" r:id="rId9"/>
        </w:object>
      </w:r>
    </w:p>
    <w:p w14:paraId="0F725B59" w14:textId="77777777" w:rsidR="006B408A" w:rsidRPr="00553FE2" w:rsidRDefault="006B408A" w:rsidP="006B408A">
      <w:pPr>
        <w:pStyle w:val="Prrafodelista"/>
        <w:tabs>
          <w:tab w:val="left" w:pos="426"/>
        </w:tabs>
        <w:spacing w:line="360" w:lineRule="auto"/>
        <w:ind w:left="0"/>
        <w:jc w:val="both"/>
        <w:rPr>
          <w:rFonts w:ascii="Palatino Linotype" w:hAnsi="Palatino Linotype"/>
          <w:color w:val="000000" w:themeColor="text1"/>
        </w:rPr>
      </w:pPr>
    </w:p>
    <w:p w14:paraId="2367C266" w14:textId="2F8148F9" w:rsidR="006B19AD" w:rsidRPr="00553FE2" w:rsidRDefault="00861622" w:rsidP="00407351">
      <w:pPr>
        <w:pStyle w:val="Prrafodelista"/>
        <w:numPr>
          <w:ilvl w:val="0"/>
          <w:numId w:val="1"/>
        </w:numPr>
        <w:tabs>
          <w:tab w:val="left" w:pos="426"/>
        </w:tabs>
        <w:spacing w:line="360" w:lineRule="auto"/>
        <w:jc w:val="both"/>
        <w:rPr>
          <w:rFonts w:ascii="Palatino Linotype" w:hAnsi="Palatino Linotype"/>
          <w:color w:val="000000" w:themeColor="text1"/>
        </w:rPr>
      </w:pPr>
      <w:r w:rsidRPr="00553FE2">
        <w:rPr>
          <w:rFonts w:ascii="Palatino Linotype" w:eastAsia="Calibri" w:hAnsi="Palatino Linotype" w:cs="Arial"/>
          <w:color w:val="000000" w:themeColor="text1"/>
          <w:lang w:val="es-ES"/>
        </w:rPr>
        <w:t>El</w:t>
      </w:r>
      <w:bookmarkStart w:id="4" w:name="_Toc461555889"/>
      <w:bookmarkStart w:id="5" w:name="_Toc466371858"/>
      <w:r w:rsidR="00B855AA" w:rsidRPr="00553FE2">
        <w:rPr>
          <w:rFonts w:ascii="Palatino Linotype" w:eastAsia="Calibri" w:hAnsi="Palatino Linotype" w:cs="Arial"/>
          <w:color w:val="000000" w:themeColor="text1"/>
          <w:lang w:val="es-ES"/>
        </w:rPr>
        <w:t xml:space="preserve"> </w:t>
      </w:r>
      <w:r w:rsidR="00B57B16" w:rsidRPr="00553FE2">
        <w:rPr>
          <w:rFonts w:ascii="Palatino Linotype" w:eastAsia="Calibri" w:hAnsi="Palatino Linotype" w:cs="Arial"/>
          <w:color w:val="000000" w:themeColor="text1"/>
          <w:lang w:val="es-ES"/>
        </w:rPr>
        <w:t>catorce (14) de marzo</w:t>
      </w:r>
      <w:r w:rsidR="00B23EFA" w:rsidRPr="00553FE2">
        <w:rPr>
          <w:rFonts w:ascii="Palatino Linotype" w:eastAsia="Calibri" w:hAnsi="Palatino Linotype" w:cs="Arial"/>
          <w:color w:val="000000" w:themeColor="text1"/>
          <w:lang w:val="es-ES"/>
        </w:rPr>
        <w:t xml:space="preserve"> de dos mil veintidós</w:t>
      </w:r>
      <w:r w:rsidR="00AD6AC5" w:rsidRPr="00553FE2">
        <w:rPr>
          <w:rFonts w:ascii="Palatino Linotype" w:hAnsi="Palatino Linotype" w:cs="Arial"/>
          <w:color w:val="000000" w:themeColor="text1"/>
        </w:rPr>
        <w:t xml:space="preserve">, </w:t>
      </w:r>
      <w:r w:rsidR="0096234B" w:rsidRPr="00553FE2">
        <w:rPr>
          <w:rFonts w:ascii="Palatino Linotype" w:hAnsi="Palatino Linotype" w:cs="Arial"/>
          <w:color w:val="000000" w:themeColor="text1"/>
        </w:rPr>
        <w:t xml:space="preserve">la </w:t>
      </w:r>
      <w:r w:rsidR="00AD6AC5" w:rsidRPr="00553FE2">
        <w:rPr>
          <w:rFonts w:ascii="Palatino Linotype" w:hAnsi="Palatino Linotype" w:cs="Arial"/>
          <w:color w:val="000000" w:themeColor="text1"/>
        </w:rPr>
        <w:t>Comisionad</w:t>
      </w:r>
      <w:r w:rsidR="0096234B" w:rsidRPr="00553FE2">
        <w:rPr>
          <w:rFonts w:ascii="Palatino Linotype" w:hAnsi="Palatino Linotype" w:cs="Arial"/>
          <w:color w:val="000000" w:themeColor="text1"/>
        </w:rPr>
        <w:t>a</w:t>
      </w:r>
      <w:r w:rsidR="00AD6AC5" w:rsidRPr="00553FE2">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6B19AD" w:rsidRPr="00553FE2">
        <w:rPr>
          <w:rFonts w:ascii="Palatino Linotype" w:hAnsi="Palatino Linotype" w:cs="Arial"/>
          <w:color w:val="000000" w:themeColor="text1"/>
        </w:rPr>
        <w:t>.</w:t>
      </w:r>
    </w:p>
    <w:p w14:paraId="41EEDF5C" w14:textId="77777777" w:rsidR="006B19AD" w:rsidRPr="00553FE2" w:rsidRDefault="006B19AD" w:rsidP="006B19AD">
      <w:pPr>
        <w:pStyle w:val="Prrafodelista"/>
        <w:tabs>
          <w:tab w:val="left" w:pos="426"/>
        </w:tabs>
        <w:spacing w:line="360" w:lineRule="auto"/>
        <w:ind w:left="0"/>
        <w:jc w:val="both"/>
        <w:rPr>
          <w:rFonts w:ascii="Palatino Linotype" w:hAnsi="Palatino Linotype"/>
          <w:color w:val="000000" w:themeColor="text1"/>
        </w:rPr>
      </w:pPr>
    </w:p>
    <w:p w14:paraId="3001AA57" w14:textId="5B7C0FA4" w:rsidR="008965EF" w:rsidRPr="00553FE2" w:rsidRDefault="006B19AD" w:rsidP="00407351">
      <w:pPr>
        <w:pStyle w:val="Prrafodelista"/>
        <w:numPr>
          <w:ilvl w:val="0"/>
          <w:numId w:val="1"/>
        </w:numPr>
        <w:tabs>
          <w:tab w:val="left" w:pos="426"/>
        </w:tabs>
        <w:spacing w:line="360" w:lineRule="auto"/>
        <w:jc w:val="both"/>
        <w:rPr>
          <w:rFonts w:ascii="Palatino Linotype" w:hAnsi="Palatino Linotype"/>
          <w:color w:val="000000" w:themeColor="text1"/>
        </w:rPr>
      </w:pPr>
      <w:r w:rsidRPr="00553FE2">
        <w:rPr>
          <w:rFonts w:ascii="Palatino Linotype" w:hAnsi="Palatino Linotype" w:cs="Arial"/>
          <w:color w:val="000000" w:themeColor="text1"/>
        </w:rPr>
        <w:t xml:space="preserve">Posteriormente, el diecisiete (17) de marzo de dos mil veintidós, </w:t>
      </w:r>
      <w:r w:rsidRPr="00553FE2">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553FE2">
        <w:rPr>
          <w:rFonts w:ascii="Palatino Linotype" w:hAnsi="Palatino Linotype" w:cs="Arial"/>
          <w:bCs/>
          <w:color w:val="000000" w:themeColor="text1"/>
          <w:lang w:val="es-ES"/>
        </w:rPr>
        <w:t xml:space="preserve"> </w:t>
      </w:r>
      <w:r w:rsidRPr="00553FE2">
        <w:rPr>
          <w:rFonts w:ascii="Palatino Linotype" w:hAnsi="Palatino Linotype" w:cs="Arial"/>
          <w:color w:val="000000" w:themeColor="text1"/>
          <w:lang w:val="es-ES"/>
        </w:rPr>
        <w:t xml:space="preserve">se notificó que el plazo de treinta (30) días para resolver el recurso de revisión sería ampliado por un periodo de quince (15) días hábiles adicionales; </w:t>
      </w:r>
      <w:r w:rsidR="00B23EFA" w:rsidRPr="00553FE2">
        <w:rPr>
          <w:rFonts w:ascii="Palatino Linotype" w:hAnsi="Palatino Linotype" w:cs="Arial"/>
          <w:color w:val="000000" w:themeColor="text1"/>
        </w:rPr>
        <w:t>y</w:t>
      </w:r>
      <w:r w:rsidR="006B408A" w:rsidRPr="00553FE2">
        <w:rPr>
          <w:rFonts w:ascii="Palatino Linotype" w:hAnsi="Palatino Linotype" w:cs="Arial"/>
          <w:color w:val="000000" w:themeColor="text1"/>
        </w:rPr>
        <w:t xml:space="preserve"> </w:t>
      </w:r>
      <w:r w:rsidR="003522BF" w:rsidRPr="00553FE2">
        <w:rPr>
          <w:rFonts w:ascii="Palatino Linotype" w:hAnsi="Palatino Linotype" w:cs="Arial"/>
          <w:color w:val="000000" w:themeColor="text1"/>
          <w:lang w:val="es-ES"/>
        </w:rPr>
        <w:t>--------------------------------------------------</w:t>
      </w:r>
      <w:r w:rsidRPr="00553FE2">
        <w:rPr>
          <w:rFonts w:ascii="Palatino Linotype" w:hAnsi="Palatino Linotype" w:cs="Arial"/>
          <w:color w:val="000000" w:themeColor="text1"/>
          <w:lang w:val="es-ES"/>
        </w:rPr>
        <w:t>------</w:t>
      </w:r>
    </w:p>
    <w:p w14:paraId="76723CF0" w14:textId="1E451BB4" w:rsidR="009917E9" w:rsidRPr="00553FE2"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553FE2"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53FE2" w:rsidRDefault="007C0013" w:rsidP="00B31E90">
      <w:pPr>
        <w:pStyle w:val="Ttulo1"/>
        <w:spacing w:before="0"/>
        <w:jc w:val="center"/>
        <w:rPr>
          <w:b/>
          <w:color w:val="000000" w:themeColor="text1"/>
        </w:rPr>
      </w:pPr>
      <w:bookmarkStart w:id="6" w:name="_Toc95402613"/>
      <w:bookmarkStart w:id="7" w:name="_Toc98445256"/>
      <w:r w:rsidRPr="00553FE2">
        <w:rPr>
          <w:b/>
          <w:color w:val="000000" w:themeColor="text1"/>
        </w:rPr>
        <w:t>CONSIDERANDO</w:t>
      </w:r>
      <w:bookmarkEnd w:id="4"/>
      <w:bookmarkEnd w:id="5"/>
      <w:bookmarkEnd w:id="6"/>
      <w:bookmarkEnd w:id="7"/>
    </w:p>
    <w:p w14:paraId="435CF9A4" w14:textId="77777777" w:rsidR="00FC1DA7" w:rsidRPr="00553FE2" w:rsidRDefault="00FC1DA7" w:rsidP="00B31E90">
      <w:pPr>
        <w:rPr>
          <w:color w:val="000000" w:themeColor="text1"/>
          <w:lang w:eastAsia="en-US"/>
        </w:rPr>
      </w:pPr>
    </w:p>
    <w:p w14:paraId="629A5BE2" w14:textId="56C3E7D5" w:rsidR="007C0013" w:rsidRPr="00553FE2" w:rsidRDefault="007C0013" w:rsidP="00B31E90">
      <w:pPr>
        <w:pStyle w:val="Ttulo2"/>
        <w:spacing w:before="0"/>
        <w:rPr>
          <w:rFonts w:ascii="Palatino Linotype" w:hAnsi="Palatino Linotype"/>
          <w:b/>
          <w:color w:val="000000" w:themeColor="text1"/>
          <w:sz w:val="24"/>
        </w:rPr>
      </w:pPr>
      <w:bookmarkStart w:id="8" w:name="_Toc461555890"/>
      <w:bookmarkStart w:id="9" w:name="_Toc466371859"/>
      <w:bookmarkStart w:id="10" w:name="_Toc95402614"/>
      <w:bookmarkStart w:id="11" w:name="_Toc98445257"/>
      <w:r w:rsidRPr="00553FE2">
        <w:rPr>
          <w:rFonts w:ascii="Palatino Linotype" w:hAnsi="Palatino Linotype"/>
          <w:b/>
          <w:color w:val="000000" w:themeColor="text1"/>
          <w:sz w:val="24"/>
        </w:rPr>
        <w:t>PRIMERO. De la competencia</w:t>
      </w:r>
      <w:bookmarkEnd w:id="8"/>
      <w:bookmarkEnd w:id="9"/>
      <w:bookmarkEnd w:id="10"/>
      <w:bookmarkEnd w:id="11"/>
    </w:p>
    <w:p w14:paraId="60FBD8C7" w14:textId="77777777" w:rsidR="00FC1DA7" w:rsidRPr="00553FE2" w:rsidRDefault="00FC1DA7" w:rsidP="00B31E90">
      <w:pPr>
        <w:rPr>
          <w:rFonts w:ascii="Palatino Linotype" w:hAnsi="Palatino Linotype"/>
          <w:color w:val="000000" w:themeColor="text1"/>
          <w:lang w:eastAsia="en-US"/>
        </w:rPr>
      </w:pPr>
    </w:p>
    <w:p w14:paraId="0BF52B18" w14:textId="515C3AEB" w:rsidR="005A228F" w:rsidRPr="00553FE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53FE2">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53FE2">
        <w:rPr>
          <w:rFonts w:ascii="Palatino Linotype" w:eastAsia="Calibri" w:hAnsi="Palatino Linotype" w:cs="Times New Roman"/>
          <w:color w:val="000000" w:themeColor="text1"/>
          <w:lang w:val="es-ES"/>
        </w:rPr>
        <w:t xml:space="preserve">etente para conocer y resolver </w:t>
      </w:r>
      <w:r w:rsidRPr="00553FE2">
        <w:rPr>
          <w:rFonts w:ascii="Palatino Linotype" w:eastAsia="Calibri" w:hAnsi="Palatino Linotype" w:cs="Times New Roman"/>
          <w:color w:val="000000" w:themeColor="text1"/>
          <w:lang w:val="es-ES"/>
        </w:rPr>
        <w:t xml:space="preserve">el presente recurso de conformidad con el artículo: 6, apartado A, fracción IV de la </w:t>
      </w:r>
      <w:r w:rsidRPr="00553FE2">
        <w:rPr>
          <w:rFonts w:ascii="Palatino Linotype" w:eastAsia="Calibri" w:hAnsi="Palatino Linotype" w:cs="Times New Roman"/>
          <w:b/>
          <w:color w:val="000000" w:themeColor="text1"/>
          <w:lang w:val="es-ES"/>
        </w:rPr>
        <w:t>Constitución Política de los Estados Unidos Mexicanos</w:t>
      </w:r>
      <w:r w:rsidRPr="00553FE2">
        <w:rPr>
          <w:rFonts w:ascii="Palatino Linotype" w:eastAsia="Calibri" w:hAnsi="Palatino Linotype" w:cs="Times New Roman"/>
          <w:color w:val="000000" w:themeColor="text1"/>
          <w:lang w:val="es-ES"/>
        </w:rPr>
        <w:t xml:space="preserve">; 5, párrafos </w:t>
      </w:r>
      <w:r w:rsidR="000B7C4F" w:rsidRPr="00553FE2">
        <w:rPr>
          <w:rFonts w:ascii="Palatino Linotype" w:eastAsia="Calibri" w:hAnsi="Palatino Linotype" w:cs="Times New Roman"/>
          <w:color w:val="000000" w:themeColor="text1"/>
          <w:lang w:val="es-ES"/>
        </w:rPr>
        <w:t>trigésimo, trigésimo primero y trigésimo segundo</w:t>
      </w:r>
      <w:r w:rsidR="004F785F" w:rsidRPr="00553FE2">
        <w:rPr>
          <w:rFonts w:ascii="Palatino Linotype" w:eastAsia="Calibri" w:hAnsi="Palatino Linotype" w:cs="Times New Roman"/>
          <w:color w:val="000000" w:themeColor="text1"/>
          <w:lang w:val="es-ES"/>
        </w:rPr>
        <w:t>,</w:t>
      </w:r>
      <w:r w:rsidRPr="00553FE2">
        <w:rPr>
          <w:rFonts w:ascii="Palatino Linotype" w:eastAsia="Calibri" w:hAnsi="Palatino Linotype" w:cs="Times New Roman"/>
          <w:color w:val="000000" w:themeColor="text1"/>
          <w:lang w:val="es-ES"/>
        </w:rPr>
        <w:t xml:space="preserve"> fracciones IV y V</w:t>
      </w:r>
      <w:r w:rsidR="004F785F" w:rsidRPr="00553FE2">
        <w:rPr>
          <w:rFonts w:ascii="Palatino Linotype" w:eastAsia="Calibri" w:hAnsi="Palatino Linotype" w:cs="Times New Roman"/>
          <w:color w:val="000000" w:themeColor="text1"/>
          <w:lang w:val="es-ES"/>
        </w:rPr>
        <w:t>,</w:t>
      </w:r>
      <w:r w:rsidRPr="00553FE2">
        <w:rPr>
          <w:rFonts w:ascii="Palatino Linotype" w:eastAsia="Calibri" w:hAnsi="Palatino Linotype" w:cs="Times New Roman"/>
          <w:color w:val="000000" w:themeColor="text1"/>
          <w:lang w:val="es-ES"/>
        </w:rPr>
        <w:t xml:space="preserve"> de la </w:t>
      </w:r>
      <w:r w:rsidRPr="00553FE2">
        <w:rPr>
          <w:rFonts w:ascii="Palatino Linotype" w:eastAsia="Calibri" w:hAnsi="Palatino Linotype" w:cs="Times New Roman"/>
          <w:b/>
          <w:color w:val="000000" w:themeColor="text1"/>
          <w:lang w:val="es-ES"/>
        </w:rPr>
        <w:t>Constitución Política del Estado Libre y Soberano de México</w:t>
      </w:r>
      <w:r w:rsidRPr="00553FE2">
        <w:rPr>
          <w:rFonts w:ascii="Palatino Linotype" w:eastAsia="Calibri" w:hAnsi="Palatino Linotype" w:cs="Times New Roman"/>
          <w:color w:val="000000" w:themeColor="text1"/>
          <w:lang w:val="es-ES"/>
        </w:rPr>
        <w:t xml:space="preserve">; artículos 1, 2 fracción </w:t>
      </w:r>
      <w:r w:rsidRPr="00553FE2">
        <w:rPr>
          <w:rFonts w:ascii="Palatino Linotype" w:eastAsia="Calibri" w:hAnsi="Palatino Linotype" w:cs="Times New Roman"/>
          <w:color w:val="000000" w:themeColor="text1"/>
          <w:lang w:val="es-ES"/>
        </w:rPr>
        <w:lastRenderedPageBreak/>
        <w:t xml:space="preserve">II, 13, 29, 36 fracciones I y II, 176, 178, 179, 181 párrafo tercero y 185 </w:t>
      </w:r>
      <w:r w:rsidRPr="00553FE2">
        <w:rPr>
          <w:rFonts w:ascii="Palatino Linotype" w:eastAsia="Calibri" w:hAnsi="Palatino Linotype" w:cs="Arial"/>
          <w:color w:val="000000" w:themeColor="text1"/>
          <w:lang w:val="es-ES"/>
        </w:rPr>
        <w:t xml:space="preserve">de la </w:t>
      </w:r>
      <w:r w:rsidRPr="00553FE2">
        <w:rPr>
          <w:rFonts w:ascii="Palatino Linotype" w:eastAsia="Calibri" w:hAnsi="Palatino Linotype" w:cs="Arial"/>
          <w:b/>
          <w:color w:val="000000" w:themeColor="text1"/>
          <w:lang w:val="es-ES"/>
        </w:rPr>
        <w:t>Ley de Transparencia y Acceso a la Información Pública del Estado de México y Municipios</w:t>
      </w:r>
      <w:r w:rsidRPr="00553FE2">
        <w:rPr>
          <w:rFonts w:ascii="Palatino Linotype" w:eastAsia="Calibri" w:hAnsi="Palatino Linotype" w:cs="Arial"/>
          <w:color w:val="000000" w:themeColor="text1"/>
          <w:lang w:val="es-ES"/>
        </w:rPr>
        <w:t xml:space="preserve">; y 10, 7, 9 fracciones I y XXIV, y 11 del </w:t>
      </w:r>
      <w:r w:rsidRPr="00553FE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553FE2"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53FE2" w:rsidRDefault="007C0013" w:rsidP="00B31E90">
      <w:pPr>
        <w:pStyle w:val="Ttulo2"/>
        <w:tabs>
          <w:tab w:val="left" w:pos="426"/>
        </w:tabs>
        <w:spacing w:before="0"/>
        <w:rPr>
          <w:rFonts w:ascii="Palatino Linotype" w:hAnsi="Palatino Linotype"/>
          <w:b/>
          <w:color w:val="000000" w:themeColor="text1"/>
          <w:sz w:val="24"/>
        </w:rPr>
      </w:pPr>
      <w:bookmarkStart w:id="12" w:name="_Toc461555891"/>
      <w:bookmarkStart w:id="13" w:name="_Toc466371860"/>
      <w:bookmarkStart w:id="14" w:name="_Toc95402615"/>
      <w:bookmarkStart w:id="15" w:name="_Toc98445258"/>
      <w:r w:rsidRPr="00553FE2">
        <w:rPr>
          <w:rFonts w:ascii="Palatino Linotype" w:hAnsi="Palatino Linotype"/>
          <w:b/>
          <w:color w:val="000000" w:themeColor="text1"/>
          <w:sz w:val="24"/>
        </w:rPr>
        <w:t>SEGUNDO. De la oportunidad y proced</w:t>
      </w:r>
      <w:r w:rsidR="00F35C44" w:rsidRPr="00553FE2">
        <w:rPr>
          <w:rFonts w:ascii="Palatino Linotype" w:hAnsi="Palatino Linotype"/>
          <w:b/>
          <w:color w:val="000000" w:themeColor="text1"/>
          <w:sz w:val="24"/>
        </w:rPr>
        <w:t>encia</w:t>
      </w:r>
      <w:r w:rsidRPr="00553FE2">
        <w:rPr>
          <w:rFonts w:ascii="Palatino Linotype" w:hAnsi="Palatino Linotype"/>
          <w:b/>
          <w:color w:val="000000" w:themeColor="text1"/>
          <w:sz w:val="24"/>
        </w:rPr>
        <w:t>.</w:t>
      </w:r>
      <w:bookmarkEnd w:id="12"/>
      <w:bookmarkEnd w:id="13"/>
      <w:bookmarkEnd w:id="14"/>
      <w:bookmarkEnd w:id="15"/>
    </w:p>
    <w:p w14:paraId="18E22450" w14:textId="77777777" w:rsidR="00C6440A" w:rsidRPr="00553FE2" w:rsidRDefault="00C6440A" w:rsidP="00B31E90">
      <w:pPr>
        <w:rPr>
          <w:color w:val="000000" w:themeColor="text1"/>
          <w:lang w:eastAsia="en-US"/>
        </w:rPr>
      </w:pPr>
    </w:p>
    <w:p w14:paraId="63E5A495" w14:textId="1EC12609" w:rsidR="009E360A" w:rsidRPr="00553FE2"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El </w:t>
      </w:r>
      <w:r w:rsidR="00740BA4" w:rsidRPr="00553FE2">
        <w:rPr>
          <w:rFonts w:ascii="Palatino Linotype" w:eastAsia="Calibri" w:hAnsi="Palatino Linotype" w:cs="Arial"/>
          <w:color w:val="000000" w:themeColor="text1"/>
        </w:rPr>
        <w:t xml:space="preserve">medio de impugnación fue presentado a través del </w:t>
      </w:r>
      <w:r w:rsidR="00740BA4" w:rsidRPr="00553FE2">
        <w:rPr>
          <w:rFonts w:ascii="Palatino Linotype" w:eastAsia="Calibri" w:hAnsi="Palatino Linotype" w:cs="Arial"/>
          <w:bCs/>
          <w:iCs/>
          <w:color w:val="000000" w:themeColor="text1"/>
        </w:rPr>
        <w:t>SAIMEX</w:t>
      </w:r>
      <w:r w:rsidR="00740BA4" w:rsidRPr="00553FE2">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53FE2">
        <w:rPr>
          <w:rFonts w:ascii="Palatino Linotype" w:eastAsia="Calibri" w:hAnsi="Palatino Linotype" w:cs="Arial"/>
          <w:b/>
          <w:color w:val="000000" w:themeColor="text1"/>
        </w:rPr>
        <w:t>SUJETO OBLIGADO</w:t>
      </w:r>
      <w:r w:rsidR="00740BA4" w:rsidRPr="00553FE2">
        <w:rPr>
          <w:rFonts w:ascii="Palatino Linotype" w:eastAsia="Calibri" w:hAnsi="Palatino Linotype" w:cs="Arial"/>
          <w:color w:val="000000" w:themeColor="text1"/>
        </w:rPr>
        <w:t xml:space="preserve"> entregó respuesta el </w:t>
      </w:r>
      <w:r w:rsidR="007370A3" w:rsidRPr="00553FE2">
        <w:rPr>
          <w:rFonts w:ascii="Palatino Linotype" w:eastAsia="Calibri" w:hAnsi="Palatino Linotype" w:cs="Arial"/>
          <w:color w:val="000000" w:themeColor="text1"/>
        </w:rPr>
        <w:t>veinticinco (25) de enero de dos mil veintidós</w:t>
      </w:r>
      <w:r w:rsidR="00740BA4" w:rsidRPr="00553FE2">
        <w:rPr>
          <w:rFonts w:ascii="Palatino Linotype" w:eastAsia="Calibri" w:hAnsi="Palatino Linotype" w:cs="Arial"/>
          <w:color w:val="000000" w:themeColor="text1"/>
        </w:rPr>
        <w:t xml:space="preserve">, </w:t>
      </w:r>
      <w:r w:rsidR="007370A3" w:rsidRPr="00553FE2">
        <w:rPr>
          <w:rFonts w:ascii="Palatino Linotype" w:eastAsia="Calibri" w:hAnsi="Palatino Linotype" w:cs="Arial"/>
          <w:color w:val="000000" w:themeColor="text1"/>
        </w:rPr>
        <w:t xml:space="preserve">de tal manera que el plazo para interponer el recurso de revisión transcurrió, del veintiséis (26) de enero al </w:t>
      </w:r>
      <w:r w:rsidR="00850E65" w:rsidRPr="00553FE2">
        <w:rPr>
          <w:rFonts w:ascii="Palatino Linotype" w:eastAsia="Calibri" w:hAnsi="Palatino Linotype" w:cs="Arial"/>
          <w:color w:val="000000" w:themeColor="text1"/>
        </w:rPr>
        <w:t>dieciséis (16) de febrero de dos mil veintidós</w:t>
      </w:r>
      <w:r w:rsidR="00740BA4" w:rsidRPr="00553FE2">
        <w:rPr>
          <w:rFonts w:ascii="Palatino Linotype" w:eastAsia="Calibri" w:hAnsi="Palatino Linotype" w:cs="Arial"/>
          <w:color w:val="000000" w:themeColor="text1"/>
        </w:rPr>
        <w:t xml:space="preserve">, sin contemplar en el cómputo </w:t>
      </w:r>
      <w:r w:rsidR="00850E65" w:rsidRPr="00553FE2">
        <w:rPr>
          <w:rFonts w:ascii="Palatino Linotype" w:eastAsia="Calibri" w:hAnsi="Palatino Linotype" w:cs="Arial"/>
          <w:color w:val="000000" w:themeColor="text1"/>
        </w:rPr>
        <w:t>los días veintinueve (29) y treinta (30) de enero, así como el cinco (05), seis (06), siete (07), doce (12) y trece (13) de febrero</w:t>
      </w:r>
      <w:r w:rsidR="00265376" w:rsidRPr="00553FE2">
        <w:rPr>
          <w:rFonts w:ascii="Palatino Linotype" w:eastAsia="Calibri" w:hAnsi="Palatino Linotype" w:cs="Arial"/>
          <w:color w:val="000000" w:themeColor="text1"/>
        </w:rPr>
        <w:t>,</w:t>
      </w:r>
      <w:r w:rsidR="00740BA4" w:rsidRPr="00553FE2">
        <w:rPr>
          <w:rFonts w:ascii="Palatino Linotype" w:eastAsia="Calibri" w:hAnsi="Palatino Linotype" w:cs="Arial"/>
          <w:color w:val="000000" w:themeColor="text1"/>
        </w:rPr>
        <w:t xml:space="preserve"> por corresponder a sábados</w:t>
      </w:r>
      <w:r w:rsidR="00265376" w:rsidRPr="00553FE2">
        <w:rPr>
          <w:rFonts w:ascii="Palatino Linotype" w:eastAsia="Calibri" w:hAnsi="Palatino Linotype" w:cs="Arial"/>
          <w:color w:val="000000" w:themeColor="text1"/>
        </w:rPr>
        <w:t>,</w:t>
      </w:r>
      <w:r w:rsidR="00740BA4" w:rsidRPr="00553FE2">
        <w:rPr>
          <w:rFonts w:ascii="Palatino Linotype" w:eastAsia="Calibri" w:hAnsi="Palatino Linotype" w:cs="Arial"/>
          <w:color w:val="000000" w:themeColor="text1"/>
        </w:rPr>
        <w:t xml:space="preserve"> domingos</w:t>
      </w:r>
      <w:r w:rsidR="00265376" w:rsidRPr="00553FE2">
        <w:rPr>
          <w:rFonts w:ascii="Palatino Linotype" w:eastAsia="Calibri" w:hAnsi="Palatino Linotype" w:cs="Arial"/>
          <w:color w:val="000000" w:themeColor="text1"/>
        </w:rPr>
        <w:t xml:space="preserve"> e inhábiles,</w:t>
      </w:r>
      <w:r w:rsidR="00740BA4" w:rsidRPr="00553FE2">
        <w:rPr>
          <w:rFonts w:ascii="Palatino Linotype" w:eastAsia="Calibri" w:hAnsi="Palatino Linotype" w:cs="Arial"/>
          <w:color w:val="000000" w:themeColor="text1"/>
        </w:rPr>
        <w:t xml:space="preserve"> en términos del artículo 3</w:t>
      </w:r>
      <w:r w:rsidR="00D641DC" w:rsidRPr="00553FE2">
        <w:rPr>
          <w:rFonts w:ascii="Palatino Linotype" w:eastAsia="Calibri" w:hAnsi="Palatino Linotype" w:cs="Arial"/>
          <w:color w:val="000000" w:themeColor="text1"/>
        </w:rPr>
        <w:t>,</w:t>
      </w:r>
      <w:r w:rsidR="00740BA4" w:rsidRPr="00553FE2">
        <w:rPr>
          <w:rFonts w:ascii="Palatino Linotype" w:eastAsia="Calibri" w:hAnsi="Palatino Linotype" w:cs="Arial"/>
          <w:color w:val="000000" w:themeColor="text1"/>
        </w:rPr>
        <w:t xml:space="preserve"> fracción X</w:t>
      </w:r>
      <w:r w:rsidR="00D641DC" w:rsidRPr="00553FE2">
        <w:rPr>
          <w:rFonts w:ascii="Palatino Linotype" w:eastAsia="Calibri" w:hAnsi="Palatino Linotype" w:cs="Arial"/>
          <w:color w:val="000000" w:themeColor="text1"/>
        </w:rPr>
        <w:t>,</w:t>
      </w:r>
      <w:r w:rsidR="00740BA4" w:rsidRPr="00553FE2">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553FE2"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756A768A" w:rsidR="00740BA4"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De </w:t>
      </w:r>
      <w:r w:rsidRPr="00553FE2">
        <w:rPr>
          <w:rFonts w:ascii="Palatino Linotype" w:eastAsia="Calibri" w:hAnsi="Palatino Linotype" w:cs="Arial"/>
          <w:color w:val="000000" w:themeColor="text1"/>
          <w:lang w:val="es-ES_tradnl"/>
        </w:rPr>
        <w:t xml:space="preserve">las constancias que obran en el expediente digital que se revisa, se aprecia que el hoy </w:t>
      </w:r>
      <w:r w:rsidRPr="00553FE2">
        <w:rPr>
          <w:rFonts w:ascii="Palatino Linotype" w:eastAsia="Calibri" w:hAnsi="Palatino Linotype" w:cs="Arial"/>
          <w:b/>
          <w:color w:val="000000" w:themeColor="text1"/>
          <w:lang w:val="es-ES_tradnl"/>
        </w:rPr>
        <w:t xml:space="preserve">RECURRENTE </w:t>
      </w:r>
      <w:r w:rsidRPr="00553FE2">
        <w:rPr>
          <w:rFonts w:ascii="Palatino Linotype" w:eastAsia="Calibri" w:hAnsi="Palatino Linotype" w:cs="Arial"/>
          <w:color w:val="000000" w:themeColor="text1"/>
          <w:lang w:val="es-ES_tradnl"/>
        </w:rPr>
        <w:t>presentó su inconformidad el veinticinco (25) de enero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46DC2A2F" w14:textId="77777777"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82A9C9C" w14:textId="641C4327" w:rsidR="00850E65"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553FE2">
        <w:rPr>
          <w:rStyle w:val="Refdenotaalpie"/>
          <w:rFonts w:ascii="Palatino Linotype" w:eastAsia="Calibri" w:hAnsi="Palatino Linotype" w:cs="Arial"/>
          <w:color w:val="000000" w:themeColor="text1"/>
        </w:rPr>
        <w:footnoteReference w:id="1"/>
      </w:r>
      <w:r w:rsidRPr="00553FE2">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66F5F51A" w14:textId="77777777"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E10E81" w14:textId="38644AC5" w:rsidR="00850E65"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Discernimiento </w:t>
      </w:r>
      <w:r w:rsidRPr="00553FE2">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2776A04F" w14:textId="07271841"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3949132" w14:textId="77777777" w:rsidR="00850E65" w:rsidRPr="00553FE2" w:rsidRDefault="00850E65" w:rsidP="00850E65">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553FE2">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553FE2">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w:t>
      </w:r>
      <w:r w:rsidRPr="00553FE2">
        <w:rPr>
          <w:rFonts w:ascii="Palatino Linotype" w:eastAsia="Times New Roman" w:hAnsi="Palatino Linotype" w:cs="Arial"/>
          <w:bCs/>
          <w:i/>
          <w:color w:val="000000" w:themeColor="text1"/>
          <w:sz w:val="22"/>
          <w:szCs w:val="22"/>
          <w:lang w:eastAsia="es-MX"/>
        </w:rPr>
        <w:lastRenderedPageBreak/>
        <w:t>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E3DB97B" w14:textId="77777777"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6891FEA" w14:textId="1D112C41" w:rsidR="00850E65"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Esto </w:t>
      </w:r>
      <w:r w:rsidRPr="00553FE2">
        <w:rPr>
          <w:rFonts w:ascii="Palatino Linotype" w:hAnsi="Palatino Linotype" w:cs="Arial"/>
        </w:rPr>
        <w:t xml:space="preserve">es así porque, en primer lugar, es necesario que el </w:t>
      </w:r>
      <w:r w:rsidRPr="00553FE2">
        <w:rPr>
          <w:rFonts w:ascii="Palatino Linotype" w:hAnsi="Palatino Linotype" w:cs="Arial"/>
          <w:b/>
        </w:rPr>
        <w:t>RECURRENTE</w:t>
      </w:r>
      <w:r w:rsidRPr="00553FE2">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553FE2">
        <w:rPr>
          <w:rFonts w:ascii="Palatino Linotype" w:hAnsi="Palatino Linotype" w:cs="Arial"/>
          <w:b/>
        </w:rPr>
        <w:t>RECURRENTE</w:t>
      </w:r>
      <w:r w:rsidRPr="00553FE2">
        <w:rPr>
          <w:rFonts w:ascii="Palatino Linotype" w:hAnsi="Palatino Linotype" w:cs="Arial"/>
        </w:rPr>
        <w:t xml:space="preserve"> actúe, ya que, por el contrario, lo que demuestra es el interés de éste para ejercer su derecho bajo el principio constitucional de justicia expedita.</w:t>
      </w:r>
    </w:p>
    <w:p w14:paraId="0C971A27" w14:textId="77777777"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BDA9C73" w14:textId="3B9AC2BA" w:rsidR="00850E65"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Por </w:t>
      </w:r>
      <w:r w:rsidRPr="00553FE2">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BB20E14" w14:textId="77777777" w:rsidR="00850E65" w:rsidRPr="00553FE2" w:rsidRDefault="00850E65" w:rsidP="00850E6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D0FEC26" w14:textId="74C3E4AB" w:rsidR="00850E65" w:rsidRPr="00553FE2" w:rsidRDefault="00850E65"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eastAsia="Calibri" w:hAnsi="Palatino Linotype" w:cs="Arial"/>
          <w:color w:val="000000" w:themeColor="text1"/>
        </w:rPr>
        <w:t xml:space="preserve">Así, </w:t>
      </w:r>
      <w:r w:rsidRPr="00553FE2">
        <w:rPr>
          <w:rFonts w:ascii="Palatino Linotype" w:hAnsi="Palatino Linotype" w:cs="Arial"/>
        </w:rPr>
        <w:t>la interposición del recurso de revisión antes de que inicie el plazo para su presentación no es determinante para declararlo extemporáneo</w:t>
      </w:r>
      <w:r w:rsidRPr="00553FE2">
        <w:rPr>
          <w:rFonts w:ascii="Palatino Linotype" w:hAnsi="Palatino Linotype" w:cs="Arial"/>
          <w:lang w:val="es-ES"/>
        </w:rPr>
        <w:t xml:space="preserve">, siempre y cuando ello ocurra de manera posterior a que se haya notificado la respuesta del </w:t>
      </w:r>
      <w:r w:rsidRPr="00553FE2">
        <w:rPr>
          <w:rFonts w:ascii="Palatino Linotype" w:hAnsi="Palatino Linotype" w:cs="Arial"/>
          <w:b/>
          <w:lang w:val="es-ES"/>
        </w:rPr>
        <w:t>SUJETO OBLIGADO</w:t>
      </w:r>
      <w:r w:rsidRPr="00553FE2">
        <w:rPr>
          <w:rFonts w:ascii="Palatino Linotype" w:hAnsi="Palatino Linotype" w:cs="Arial"/>
          <w:bCs/>
          <w:lang w:val="es-ES"/>
        </w:rPr>
        <w:t xml:space="preserve"> -tal como ocurre en el presente asunto-.</w:t>
      </w:r>
    </w:p>
    <w:p w14:paraId="0EFC8C2A"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D13635" w14:textId="2CBCA2A2"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Por otro </w:t>
      </w:r>
      <w:r w:rsidRPr="00553FE2">
        <w:rPr>
          <w:rFonts w:ascii="Palatino Linotype" w:hAnsi="Palatino Linotype" w:cs="Arial"/>
          <w:color w:val="000000" w:themeColor="text1"/>
          <w:lang w:val="es-ES"/>
        </w:rPr>
        <w:t>lado, de las constancias que obran en el expediente digital formado en el SAIMEX</w:t>
      </w:r>
      <w:r w:rsidRPr="00553FE2">
        <w:rPr>
          <w:rFonts w:ascii="Palatino Linotype" w:hAnsi="Palatino Linotype" w:cs="Arial"/>
          <w:b/>
          <w:color w:val="000000" w:themeColor="text1"/>
          <w:lang w:val="es-ES"/>
        </w:rPr>
        <w:t>,</w:t>
      </w:r>
      <w:r w:rsidRPr="00553FE2">
        <w:rPr>
          <w:rFonts w:ascii="Palatino Linotype" w:hAnsi="Palatino Linotype" w:cs="Arial"/>
          <w:color w:val="000000" w:themeColor="text1"/>
          <w:lang w:val="es-ES"/>
        </w:rPr>
        <w:t xml:space="preserve"> se desprende que la parte solicitante, tanto en la solicitud de </w:t>
      </w:r>
      <w:r w:rsidRPr="00553FE2">
        <w:rPr>
          <w:rFonts w:ascii="Palatino Linotype" w:hAnsi="Palatino Linotype" w:cs="Arial"/>
          <w:color w:val="000000" w:themeColor="text1"/>
          <w:lang w:val="es-ES"/>
        </w:rPr>
        <w:lastRenderedPageBreak/>
        <w:t xml:space="preserve">información como en el posterior recurso de revisión, </w:t>
      </w:r>
      <w:r w:rsidRPr="00553FE2">
        <w:rPr>
          <w:rFonts w:ascii="Palatino Linotype" w:hAnsi="Palatino Linotype" w:cs="Arial"/>
          <w:b/>
          <w:color w:val="000000" w:themeColor="text1"/>
          <w:lang w:val="es-ES"/>
        </w:rPr>
        <w:t xml:space="preserve">no señaló </w:t>
      </w:r>
      <w:r w:rsidR="00850E65" w:rsidRPr="00553FE2">
        <w:rPr>
          <w:rFonts w:ascii="Palatino Linotype" w:hAnsi="Palatino Linotype" w:cs="Arial"/>
          <w:b/>
          <w:color w:val="000000" w:themeColor="text1"/>
          <w:lang w:val="es-ES"/>
        </w:rPr>
        <w:t>ningún nombre, seudónimo o carácter</w:t>
      </w:r>
      <w:r w:rsidR="00BC2D16" w:rsidRPr="00553FE2">
        <w:rPr>
          <w:rFonts w:ascii="Palatino Linotype" w:hAnsi="Palatino Linotype" w:cs="Arial"/>
          <w:b/>
          <w:color w:val="000000" w:themeColor="text1"/>
          <w:lang w:val="es-ES"/>
        </w:rPr>
        <w:t xml:space="preserve"> para identificarse</w:t>
      </w:r>
      <w:r w:rsidRPr="00553FE2">
        <w:rPr>
          <w:rFonts w:ascii="Palatino Linotype" w:hAnsi="Palatino Linotype" w:cs="Arial"/>
          <w:b/>
          <w:color w:val="000000" w:themeColor="text1"/>
          <w:lang w:val="es-ES"/>
        </w:rPr>
        <w:t>, ni se tiene certeza sobre su identidad.</w:t>
      </w:r>
      <w:r w:rsidRPr="00553FE2">
        <w:rPr>
          <w:rFonts w:ascii="Palatino Linotype" w:hAnsi="Palatino Linotype" w:cs="Arial"/>
          <w:color w:val="000000" w:themeColor="text1"/>
          <w:lang w:val="es-ES"/>
        </w:rPr>
        <w:t xml:space="preserve"> Sin embargo, es importante señalar que </w:t>
      </w:r>
      <w:r w:rsidRPr="00553FE2">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B511E9E"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D0369C8" w14:textId="20569B28"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Esto </w:t>
      </w:r>
      <w:r w:rsidRPr="00553FE2">
        <w:rPr>
          <w:rFonts w:ascii="Palatino Linotype" w:hAnsi="Palatino Linotype" w:cs="Arial"/>
          <w:color w:val="000000" w:themeColor="text1"/>
          <w:lang w:val="es-ES"/>
        </w:rPr>
        <w:t xml:space="preserve">es así, ya que de conformidad con los artículos 6, apartado A, fracciones III y IV de la </w:t>
      </w:r>
      <w:r w:rsidRPr="00553FE2">
        <w:rPr>
          <w:rFonts w:ascii="Palatino Linotype" w:hAnsi="Palatino Linotype" w:cs="Arial"/>
          <w:b/>
          <w:color w:val="000000" w:themeColor="text1"/>
          <w:lang w:val="es-ES"/>
        </w:rPr>
        <w:t>Constitución Política de los Estados Unidos Mexicanos</w:t>
      </w:r>
      <w:r w:rsidRPr="00553FE2">
        <w:rPr>
          <w:rFonts w:ascii="Palatino Linotype" w:hAnsi="Palatino Linotype" w:cs="Arial"/>
          <w:color w:val="000000" w:themeColor="text1"/>
          <w:lang w:val="es-ES"/>
        </w:rPr>
        <w:t xml:space="preserve">; 5, párrafos vigésimo segundo, vigésimo tercero y vigésimo cuarto, fracciones III, IV y V, de la </w:t>
      </w:r>
      <w:r w:rsidRPr="00553FE2">
        <w:rPr>
          <w:rFonts w:ascii="Palatino Linotype" w:hAnsi="Palatino Linotype" w:cs="Arial"/>
          <w:b/>
          <w:color w:val="000000" w:themeColor="text1"/>
          <w:lang w:val="es-ES"/>
        </w:rPr>
        <w:t>Constitución Política del Estado Libre y Soberano de México</w:t>
      </w:r>
      <w:r w:rsidRPr="00553FE2">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210885C"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FDF3BF" w14:textId="2BED0765"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Por </w:t>
      </w:r>
      <w:r w:rsidRPr="00553FE2">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553FE2">
        <w:rPr>
          <w:rFonts w:ascii="Palatino Linotype" w:eastAsia="Times New Roman" w:hAnsi="Palatino Linotype" w:cs="Arial"/>
          <w:color w:val="000000" w:themeColor="text1"/>
          <w:lang w:val="es-ES" w:eastAsia="es-MX"/>
        </w:rPr>
        <w:lastRenderedPageBreak/>
        <w:t>pueda ser anónima o no contener un nombre que identifique al Solicitante o que permita tener certeza sobre su identidad.</w:t>
      </w:r>
    </w:p>
    <w:p w14:paraId="5F4C2004"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03565EF" w14:textId="48FF0AD8"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Asimismo, </w:t>
      </w:r>
      <w:r w:rsidRPr="00553FE2">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6751731"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98B168" w14:textId="2B97E904"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De </w:t>
      </w:r>
      <w:r w:rsidRPr="00553FE2">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5076F31" w14:textId="77777777" w:rsidR="00525348" w:rsidRPr="00553FE2" w:rsidRDefault="00525348" w:rsidP="0052534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893545" w14:textId="0EA40D6C" w:rsidR="00525348" w:rsidRPr="00553FE2" w:rsidRDefault="00525348"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53FE2">
        <w:rPr>
          <w:rFonts w:ascii="Palatino Linotype" w:hAnsi="Palatino Linotype" w:cs="Arial"/>
          <w:color w:val="000000" w:themeColor="text1"/>
        </w:rPr>
        <w:t xml:space="preserve">Por </w:t>
      </w:r>
      <w:r w:rsidRPr="00553FE2">
        <w:rPr>
          <w:rFonts w:ascii="Palatino Linotype" w:eastAsia="Calibri" w:hAnsi="Palatino Linotype" w:cs="Arial"/>
        </w:rPr>
        <w:t xml:space="preserve">lo tanto, </w:t>
      </w:r>
      <w:r w:rsidRPr="00553FE2">
        <w:rPr>
          <w:rFonts w:ascii="Palatino Linotype" w:eastAsia="Times New Roman" w:hAnsi="Palatino Linotype" w:cs="Arial"/>
          <w:color w:val="000000" w:themeColor="text1"/>
          <w:lang w:val="es-ES" w:eastAsia="es-MX"/>
        </w:rPr>
        <w:t xml:space="preserve">el nombre del </w:t>
      </w:r>
      <w:r w:rsidRPr="00553FE2">
        <w:rPr>
          <w:rFonts w:ascii="Palatino Linotype" w:eastAsia="Times New Roman" w:hAnsi="Palatino Linotype" w:cs="Arial"/>
          <w:b/>
          <w:color w:val="000000" w:themeColor="text1"/>
          <w:lang w:val="es-ES" w:eastAsia="es-MX"/>
        </w:rPr>
        <w:t>SOLICITANTE</w:t>
      </w:r>
      <w:r w:rsidRPr="00553FE2">
        <w:rPr>
          <w:rFonts w:ascii="Palatino Linotype" w:eastAsia="Times New Roman" w:hAnsi="Palatino Linotype" w:cs="Arial"/>
          <w:color w:val="000000" w:themeColor="text1"/>
          <w:lang w:val="es-ES" w:eastAsia="es-MX"/>
        </w:rPr>
        <w:t xml:space="preserve"> y subsecuente </w:t>
      </w:r>
      <w:r w:rsidRPr="00553FE2">
        <w:rPr>
          <w:rFonts w:ascii="Palatino Linotype" w:eastAsia="Times New Roman" w:hAnsi="Palatino Linotype" w:cs="Arial"/>
          <w:b/>
          <w:color w:val="000000" w:themeColor="text1"/>
          <w:lang w:val="es-ES" w:eastAsia="es-MX"/>
        </w:rPr>
        <w:t>RECURRENTE</w:t>
      </w:r>
      <w:r w:rsidRPr="00553FE2">
        <w:rPr>
          <w:rFonts w:ascii="Palatino Linotype" w:eastAsia="Times New Roman" w:hAnsi="Palatino Linotype" w:cs="Arial"/>
          <w:color w:val="000000" w:themeColor="text1"/>
          <w:lang w:val="es-ES" w:eastAsia="es-MX"/>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511F63E" w14:textId="77777777" w:rsidR="00855985" w:rsidRPr="00553FE2"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553FE2"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53FE2">
        <w:rPr>
          <w:rFonts w:ascii="Palatino Linotype" w:eastAsia="Calibri" w:hAnsi="Palatino Linotype" w:cs="Arial"/>
          <w:color w:val="000000" w:themeColor="text1"/>
        </w:rPr>
        <w:t xml:space="preserve">Consecuencia de lo anterior, esta Ponencia Resolutora advierte que </w:t>
      </w:r>
      <w:r w:rsidR="00540208" w:rsidRPr="00553FE2">
        <w:rPr>
          <w:rFonts w:ascii="Palatino Linotype" w:eastAsia="Calibri" w:hAnsi="Palatino Linotype" w:cs="Arial"/>
          <w:color w:val="000000" w:themeColor="text1"/>
        </w:rPr>
        <w:t xml:space="preserve">el escrito contiene las formalidades previstas por el artículo 180 último párrafo de la Ley </w:t>
      </w:r>
      <w:r w:rsidR="004911B6" w:rsidRPr="00553FE2">
        <w:rPr>
          <w:rFonts w:ascii="Palatino Linotype" w:eastAsia="Calibri" w:hAnsi="Palatino Linotype" w:cs="Arial"/>
          <w:color w:val="000000" w:themeColor="text1"/>
        </w:rPr>
        <w:t>de Transparencia y Acceso a la Información Pública del Estado de México y Municipios</w:t>
      </w:r>
      <w:r w:rsidR="00540208" w:rsidRPr="00553FE2">
        <w:rPr>
          <w:rFonts w:ascii="Palatino Linotype" w:eastAsia="Calibri" w:hAnsi="Palatino Linotype" w:cs="Arial"/>
          <w:color w:val="000000" w:themeColor="text1"/>
        </w:rPr>
        <w:t xml:space="preserve">, por lo que es procedente que </w:t>
      </w:r>
      <w:r w:rsidR="004911B6" w:rsidRPr="00553FE2">
        <w:rPr>
          <w:rFonts w:ascii="Palatino Linotype" w:eastAsia="Calibri" w:hAnsi="Palatino Linotype" w:cs="Arial"/>
          <w:color w:val="000000" w:themeColor="text1"/>
        </w:rPr>
        <w:t>e</w:t>
      </w:r>
      <w:r w:rsidR="00540208" w:rsidRPr="00553FE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Pr="00553FE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30EC732F" w:rsidR="00540208" w:rsidRPr="00553FE2" w:rsidRDefault="00BC2D16" w:rsidP="00B31E90">
      <w:pPr>
        <w:pStyle w:val="Ttulo2"/>
        <w:spacing w:before="0"/>
        <w:rPr>
          <w:rFonts w:ascii="Palatino Linotype" w:hAnsi="Palatino Linotype"/>
          <w:b/>
          <w:color w:val="000000" w:themeColor="text1"/>
          <w:sz w:val="24"/>
          <w:szCs w:val="24"/>
        </w:rPr>
      </w:pPr>
      <w:bookmarkStart w:id="16" w:name="_Toc500360400"/>
      <w:bookmarkStart w:id="17" w:name="_Toc500786931"/>
      <w:bookmarkStart w:id="18" w:name="_Toc95402616"/>
      <w:bookmarkStart w:id="19" w:name="_Toc98445259"/>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553FE2">
        <w:rPr>
          <w:rFonts w:ascii="Palatino Linotype" w:hAnsi="Palatino Linotype"/>
          <w:b/>
          <w:color w:val="000000" w:themeColor="text1"/>
          <w:sz w:val="24"/>
          <w:szCs w:val="24"/>
        </w:rPr>
        <w:lastRenderedPageBreak/>
        <w:t>TERCERO</w:t>
      </w:r>
      <w:r w:rsidR="00C50A2B" w:rsidRPr="00553FE2">
        <w:rPr>
          <w:rFonts w:ascii="Palatino Linotype" w:hAnsi="Palatino Linotype"/>
          <w:b/>
          <w:color w:val="000000" w:themeColor="text1"/>
          <w:sz w:val="24"/>
          <w:szCs w:val="24"/>
        </w:rPr>
        <w:t>. De</w:t>
      </w:r>
      <w:r w:rsidR="00AD76A1" w:rsidRPr="00553FE2">
        <w:rPr>
          <w:rFonts w:ascii="Palatino Linotype" w:hAnsi="Palatino Linotype"/>
          <w:b/>
          <w:color w:val="000000" w:themeColor="text1"/>
          <w:sz w:val="24"/>
          <w:szCs w:val="24"/>
        </w:rPr>
        <w:t xml:space="preserve">l planteamiento de la </w:t>
      </w:r>
      <w:r w:rsidR="00AD76A1" w:rsidRPr="00553FE2">
        <w:rPr>
          <w:rFonts w:ascii="Palatino Linotype" w:hAnsi="Palatino Linotype"/>
          <w:b/>
          <w:i/>
          <w:color w:val="000000" w:themeColor="text1"/>
          <w:sz w:val="24"/>
          <w:szCs w:val="24"/>
        </w:rPr>
        <w:t>Litis</w:t>
      </w:r>
      <w:r w:rsidR="00C50A2B" w:rsidRPr="00553FE2">
        <w:rPr>
          <w:rFonts w:ascii="Palatino Linotype" w:hAnsi="Palatino Linotype"/>
          <w:b/>
          <w:color w:val="000000" w:themeColor="text1"/>
          <w:sz w:val="24"/>
          <w:szCs w:val="24"/>
        </w:rPr>
        <w:t>.</w:t>
      </w:r>
      <w:bookmarkEnd w:id="16"/>
      <w:bookmarkEnd w:id="17"/>
      <w:bookmarkEnd w:id="18"/>
      <w:bookmarkEnd w:id="19"/>
    </w:p>
    <w:p w14:paraId="4231B8D5" w14:textId="77777777" w:rsidR="00540208" w:rsidRPr="00553FE2" w:rsidRDefault="00540208" w:rsidP="00B31E90">
      <w:pPr>
        <w:rPr>
          <w:rFonts w:ascii="Palatino Linotype" w:hAnsi="Palatino Linotype"/>
          <w:color w:val="000000" w:themeColor="text1"/>
          <w:lang w:eastAsia="en-US"/>
        </w:rPr>
      </w:pPr>
    </w:p>
    <w:bookmarkEnd w:id="20"/>
    <w:bookmarkEnd w:id="21"/>
    <w:p w14:paraId="26137E4C" w14:textId="7DA665DF" w:rsidR="0056788F" w:rsidRPr="00553FE2"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53FE2">
        <w:rPr>
          <w:rFonts w:ascii="Palatino Linotype" w:hAnsi="Palatino Linotype" w:cs="Arial"/>
          <w:color w:val="000000" w:themeColor="text1"/>
        </w:rPr>
        <w:t xml:space="preserve">Se </w:t>
      </w:r>
      <w:r w:rsidR="00C11821" w:rsidRPr="00553FE2">
        <w:rPr>
          <w:rFonts w:ascii="Palatino Linotype" w:hAnsi="Palatino Linotype" w:cs="Arial"/>
          <w:color w:val="000000" w:themeColor="text1"/>
        </w:rPr>
        <w:t>requirió el desglose de los gastos realizados por el Comité Municipal de Toluca, por el periodo comprendido del uno (01) de enero de dos mil veinte al veinte (20) de diciembre de dos mil veintiuno, junto con las facturas que los acrediten</w:t>
      </w:r>
      <w:r w:rsidR="007E64B6" w:rsidRPr="00553FE2">
        <w:rPr>
          <w:rFonts w:ascii="Palatino Linotype" w:hAnsi="Palatino Linotype" w:cs="Arial"/>
          <w:color w:val="000000" w:themeColor="text1"/>
        </w:rPr>
        <w:t>.</w:t>
      </w:r>
      <w:r w:rsidR="00910076" w:rsidRPr="00553FE2">
        <w:rPr>
          <w:rFonts w:ascii="Palatino Linotype" w:hAnsi="Palatino Linotype" w:cs="Arial"/>
          <w:color w:val="000000" w:themeColor="text1"/>
        </w:rPr>
        <w:t xml:space="preserve"> El </w:t>
      </w:r>
      <w:r w:rsidR="00910076" w:rsidRPr="00553FE2">
        <w:rPr>
          <w:rFonts w:ascii="Palatino Linotype" w:hAnsi="Palatino Linotype" w:cs="Arial"/>
          <w:b/>
          <w:bCs/>
          <w:color w:val="000000" w:themeColor="text1"/>
        </w:rPr>
        <w:t>SUJETO OBLIGADO</w:t>
      </w:r>
      <w:r w:rsidRPr="00553FE2">
        <w:rPr>
          <w:rFonts w:ascii="Palatino Linotype" w:hAnsi="Palatino Linotype" w:cs="Arial"/>
          <w:bCs/>
          <w:color w:val="000000" w:themeColor="text1"/>
        </w:rPr>
        <w:t xml:space="preserve"> entregó </w:t>
      </w:r>
      <w:r w:rsidR="00C11821" w:rsidRPr="00553FE2">
        <w:rPr>
          <w:rFonts w:ascii="Palatino Linotype" w:hAnsi="Palatino Linotype" w:cs="Arial"/>
          <w:bCs/>
          <w:color w:val="000000" w:themeColor="text1"/>
        </w:rPr>
        <w:t>una tabla con el desglose de gastos; sin embargo, por cuanto hace a las facturas solicitadas, cambió la modalidad de entrega de la información a Consulta Directa en las instalaciones de la Tesorería del Consejo Directivo Estatal</w:t>
      </w:r>
      <w:r w:rsidR="00033B7D" w:rsidRPr="00553FE2">
        <w:rPr>
          <w:rFonts w:ascii="Palatino Linotype" w:hAnsi="Palatino Linotype" w:cs="Arial"/>
          <w:color w:val="000000" w:themeColor="text1"/>
        </w:rPr>
        <w:t>.</w:t>
      </w:r>
    </w:p>
    <w:p w14:paraId="52493E42" w14:textId="77777777" w:rsidR="0056788F" w:rsidRPr="00553FE2"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234735A5" w14:textId="6AD2F011" w:rsidR="00F46B41" w:rsidRPr="00553FE2" w:rsidRDefault="00826F3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53FE2">
        <w:rPr>
          <w:rFonts w:ascii="Palatino Linotype" w:hAnsi="Palatino Linotype" w:cs="Arial"/>
          <w:color w:val="000000" w:themeColor="text1"/>
        </w:rPr>
        <w:t xml:space="preserve">El particular impugnó </w:t>
      </w:r>
      <w:r w:rsidR="006A2EFB" w:rsidRPr="00553FE2">
        <w:rPr>
          <w:rFonts w:ascii="Palatino Linotype" w:hAnsi="Palatino Linotype" w:cs="Arial"/>
          <w:color w:val="000000" w:themeColor="text1"/>
        </w:rPr>
        <w:t>la respuesta</w:t>
      </w:r>
      <w:r w:rsidRPr="00553FE2">
        <w:rPr>
          <w:rFonts w:ascii="Palatino Linotype" w:hAnsi="Palatino Linotype" w:cs="Arial"/>
          <w:color w:val="000000" w:themeColor="text1"/>
        </w:rPr>
        <w:t xml:space="preserve"> mediante recurso de revisión, </w:t>
      </w:r>
      <w:r w:rsidR="006A2EFB" w:rsidRPr="00553FE2">
        <w:rPr>
          <w:rFonts w:ascii="Palatino Linotype" w:hAnsi="Palatino Linotype" w:cs="Arial"/>
          <w:color w:val="000000" w:themeColor="text1"/>
        </w:rPr>
        <w:t>en el que señaló</w:t>
      </w:r>
      <w:r w:rsidRPr="00553FE2">
        <w:rPr>
          <w:rFonts w:ascii="Palatino Linotype" w:hAnsi="Palatino Linotype" w:cs="Arial"/>
          <w:color w:val="000000" w:themeColor="text1"/>
        </w:rPr>
        <w:t xml:space="preserve"> por agravios</w:t>
      </w:r>
      <w:r w:rsidR="00C11821" w:rsidRPr="00553FE2">
        <w:rPr>
          <w:rFonts w:ascii="Palatino Linotype" w:hAnsi="Palatino Linotype" w:cs="Arial"/>
          <w:color w:val="000000" w:themeColor="text1"/>
        </w:rPr>
        <w:t>,</w:t>
      </w:r>
      <w:r w:rsidR="00910076" w:rsidRPr="00553FE2">
        <w:rPr>
          <w:rFonts w:ascii="Palatino Linotype" w:hAnsi="Palatino Linotype" w:cs="Arial"/>
          <w:color w:val="000000" w:themeColor="text1"/>
        </w:rPr>
        <w:t xml:space="preserve"> que</w:t>
      </w:r>
      <w:r w:rsidRPr="00553FE2">
        <w:rPr>
          <w:rFonts w:ascii="Palatino Linotype" w:hAnsi="Palatino Linotype" w:cs="Arial"/>
          <w:color w:val="000000" w:themeColor="text1"/>
        </w:rPr>
        <w:t xml:space="preserve"> </w:t>
      </w:r>
      <w:r w:rsidR="00097504" w:rsidRPr="00553FE2">
        <w:rPr>
          <w:rFonts w:ascii="Palatino Linotype" w:hAnsi="Palatino Linotype" w:cs="Arial"/>
          <w:color w:val="000000" w:themeColor="text1"/>
        </w:rPr>
        <w:t xml:space="preserve">no </w:t>
      </w:r>
      <w:r w:rsidR="00C11821" w:rsidRPr="00553FE2">
        <w:rPr>
          <w:rFonts w:ascii="Palatino Linotype" w:hAnsi="Palatino Linotype" w:cs="Arial"/>
          <w:color w:val="000000" w:themeColor="text1"/>
        </w:rPr>
        <w:t>se le habían entregado las facturas</w:t>
      </w:r>
      <w:r w:rsidR="00F46B41" w:rsidRPr="00553FE2">
        <w:rPr>
          <w:rFonts w:ascii="Palatino Linotype" w:hAnsi="Palatino Linotype" w:cs="Arial"/>
          <w:color w:val="000000" w:themeColor="text1"/>
        </w:rPr>
        <w:t>.</w:t>
      </w:r>
    </w:p>
    <w:p w14:paraId="5A315F66" w14:textId="77777777" w:rsidR="00F46B41" w:rsidRPr="00553FE2" w:rsidRDefault="00F46B41" w:rsidP="00F46B41">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DE1CAE3" w:rsidR="001A032D" w:rsidRPr="00553FE2"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53FE2">
        <w:rPr>
          <w:rFonts w:ascii="Palatino Linotype" w:hAnsi="Palatino Linotype" w:cs="Arial"/>
          <w:color w:val="000000" w:themeColor="text1"/>
        </w:rPr>
        <w:t xml:space="preserve">En ese sentido, </w:t>
      </w:r>
      <w:r w:rsidR="002E160F" w:rsidRPr="00553FE2">
        <w:rPr>
          <w:rFonts w:ascii="Palatino Linotype" w:hAnsi="Palatino Linotype" w:cs="Arial"/>
          <w:color w:val="000000" w:themeColor="text1"/>
        </w:rPr>
        <w:t xml:space="preserve">esta Ponencia Resolutora advierte que las razones o motivos de inconformidad manifestados por el </w:t>
      </w:r>
      <w:r w:rsidRPr="00553FE2">
        <w:rPr>
          <w:rFonts w:ascii="Palatino Linotype" w:hAnsi="Palatino Linotype" w:cs="Arial"/>
          <w:b/>
          <w:bCs/>
          <w:color w:val="000000" w:themeColor="text1"/>
        </w:rPr>
        <w:t>RECURRENTE</w:t>
      </w:r>
      <w:r w:rsidRPr="00553FE2">
        <w:rPr>
          <w:rFonts w:ascii="Palatino Linotype" w:hAnsi="Palatino Linotype" w:cs="Arial"/>
          <w:color w:val="000000" w:themeColor="text1"/>
        </w:rPr>
        <w:t xml:space="preserve"> </w:t>
      </w:r>
      <w:r w:rsidR="002E160F" w:rsidRPr="00553FE2">
        <w:rPr>
          <w:rFonts w:ascii="Palatino Linotype" w:hAnsi="Palatino Linotype" w:cs="Arial"/>
          <w:color w:val="000000" w:themeColor="text1"/>
        </w:rPr>
        <w:t>sugieren que la respuesta proporcionada</w:t>
      </w:r>
      <w:r w:rsidR="00B855AA" w:rsidRPr="00553FE2">
        <w:rPr>
          <w:rFonts w:ascii="Palatino Linotype" w:hAnsi="Palatino Linotype" w:cs="Arial"/>
          <w:color w:val="000000" w:themeColor="text1"/>
        </w:rPr>
        <w:t xml:space="preserve"> por el </w:t>
      </w:r>
      <w:r w:rsidR="00B855AA" w:rsidRPr="00553FE2">
        <w:rPr>
          <w:rFonts w:ascii="Palatino Linotype" w:hAnsi="Palatino Linotype" w:cs="Arial"/>
          <w:b/>
          <w:bCs/>
          <w:color w:val="000000" w:themeColor="text1"/>
        </w:rPr>
        <w:t>SUJETO OBLIGADO</w:t>
      </w:r>
      <w:r w:rsidR="00B855AA" w:rsidRPr="00553FE2">
        <w:rPr>
          <w:rFonts w:ascii="Palatino Linotype" w:hAnsi="Palatino Linotype" w:cs="Arial"/>
          <w:color w:val="000000" w:themeColor="text1"/>
        </w:rPr>
        <w:t xml:space="preserve"> no cumplió con </w:t>
      </w:r>
      <w:r w:rsidR="008F7752" w:rsidRPr="00553FE2">
        <w:rPr>
          <w:rFonts w:ascii="Palatino Linotype" w:hAnsi="Palatino Linotype" w:cs="Arial"/>
          <w:color w:val="000000" w:themeColor="text1"/>
        </w:rPr>
        <w:t>los</w:t>
      </w:r>
      <w:r w:rsidR="00B855AA" w:rsidRPr="00553FE2">
        <w:rPr>
          <w:rFonts w:ascii="Palatino Linotype" w:hAnsi="Palatino Linotype" w:cs="Arial"/>
          <w:color w:val="000000" w:themeColor="text1"/>
        </w:rPr>
        <w:t xml:space="preserve"> principio</w:t>
      </w:r>
      <w:r w:rsidR="008F7752" w:rsidRPr="00553FE2">
        <w:rPr>
          <w:rFonts w:ascii="Palatino Linotype" w:hAnsi="Palatino Linotype" w:cs="Arial"/>
          <w:color w:val="000000" w:themeColor="text1"/>
        </w:rPr>
        <w:t>s</w:t>
      </w:r>
      <w:r w:rsidR="00B855AA" w:rsidRPr="00553FE2">
        <w:rPr>
          <w:rFonts w:ascii="Palatino Linotype" w:hAnsi="Palatino Linotype" w:cs="Arial"/>
          <w:color w:val="000000" w:themeColor="text1"/>
        </w:rPr>
        <w:t xml:space="preserve"> contendido</w:t>
      </w:r>
      <w:r w:rsidR="008F7752" w:rsidRPr="00553FE2">
        <w:rPr>
          <w:rFonts w:ascii="Palatino Linotype" w:hAnsi="Palatino Linotype" w:cs="Arial"/>
          <w:color w:val="000000" w:themeColor="text1"/>
        </w:rPr>
        <w:t>s</w:t>
      </w:r>
      <w:r w:rsidR="00B855AA" w:rsidRPr="00553FE2">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553FE2">
        <w:rPr>
          <w:rFonts w:ascii="Palatino Linotype" w:hAnsi="Palatino Linotype" w:cs="Arial"/>
          <w:color w:val="000000" w:themeColor="text1"/>
        </w:rPr>
        <w:t>os</w:t>
      </w:r>
      <w:r w:rsidR="00B855AA" w:rsidRPr="00553FE2">
        <w:rPr>
          <w:rFonts w:ascii="Palatino Linotype" w:hAnsi="Palatino Linotype" w:cs="Arial"/>
          <w:color w:val="000000" w:themeColor="text1"/>
        </w:rPr>
        <w:t xml:space="preserve"> cual</w:t>
      </w:r>
      <w:r w:rsidR="008F7752" w:rsidRPr="00553FE2">
        <w:rPr>
          <w:rFonts w:ascii="Palatino Linotype" w:hAnsi="Palatino Linotype" w:cs="Arial"/>
          <w:color w:val="000000" w:themeColor="text1"/>
        </w:rPr>
        <w:t>es</w:t>
      </w:r>
      <w:r w:rsidR="00B855AA" w:rsidRPr="00553FE2">
        <w:rPr>
          <w:rFonts w:ascii="Palatino Linotype" w:hAnsi="Palatino Linotype" w:cs="Arial"/>
          <w:color w:val="000000" w:themeColor="text1"/>
        </w:rPr>
        <w:t xml:space="preserve"> señala</w:t>
      </w:r>
      <w:r w:rsidR="008F7752" w:rsidRPr="00553FE2">
        <w:rPr>
          <w:rFonts w:ascii="Palatino Linotype" w:hAnsi="Palatino Linotype" w:cs="Arial"/>
          <w:color w:val="000000" w:themeColor="text1"/>
        </w:rPr>
        <w:t>n</w:t>
      </w:r>
      <w:r w:rsidR="00B855AA" w:rsidRPr="00553FE2">
        <w:rPr>
          <w:rFonts w:ascii="Palatino Linotype" w:hAnsi="Palatino Linotype" w:cs="Arial"/>
          <w:color w:val="000000" w:themeColor="text1"/>
        </w:rPr>
        <w:t xml:space="preserve"> que en la generación, publicación y entrega de información se deberá garantizar que ésta </w:t>
      </w:r>
      <w:r w:rsidR="00C51671" w:rsidRPr="00553FE2">
        <w:rPr>
          <w:rFonts w:ascii="Palatino Linotype" w:hAnsi="Palatino Linotype" w:cs="Arial"/>
          <w:color w:val="000000" w:themeColor="text1"/>
        </w:rPr>
        <w:t>sea</w:t>
      </w:r>
      <w:r w:rsidR="00B855AA" w:rsidRPr="00553FE2">
        <w:rPr>
          <w:rFonts w:ascii="Palatino Linotype" w:hAnsi="Palatino Linotype" w:cs="Arial"/>
          <w:color w:val="000000" w:themeColor="text1"/>
        </w:rPr>
        <w:t xml:space="preserve"> </w:t>
      </w:r>
      <w:r w:rsidR="00E51A57" w:rsidRPr="00553FE2">
        <w:rPr>
          <w:rFonts w:ascii="Palatino Linotype" w:hAnsi="Palatino Linotype" w:cs="Arial"/>
          <w:b/>
          <w:bCs/>
          <w:color w:val="000000" w:themeColor="text1"/>
        </w:rPr>
        <w:t>completa</w:t>
      </w:r>
      <w:r w:rsidR="00B855AA" w:rsidRPr="00553FE2">
        <w:rPr>
          <w:rFonts w:ascii="Palatino Linotype" w:hAnsi="Palatino Linotype" w:cs="Arial"/>
          <w:color w:val="000000" w:themeColor="text1"/>
        </w:rPr>
        <w:t>.</w:t>
      </w:r>
    </w:p>
    <w:p w14:paraId="026A3A70" w14:textId="77777777" w:rsidR="00197091" w:rsidRPr="00553FE2"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950B9AE" w:rsidR="00AD76A1" w:rsidRPr="00553FE2"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53FE2">
        <w:rPr>
          <w:rFonts w:ascii="Palatino Linotype" w:hAnsi="Palatino Linotype" w:cs="Arial"/>
          <w:color w:val="000000" w:themeColor="text1"/>
          <w:szCs w:val="23"/>
        </w:rPr>
        <w:t xml:space="preserve">Por lo anterior, la </w:t>
      </w:r>
      <w:r w:rsidRPr="00553FE2">
        <w:rPr>
          <w:rFonts w:ascii="Palatino Linotype" w:hAnsi="Palatino Linotype" w:cs="Arial"/>
          <w:i/>
          <w:color w:val="000000" w:themeColor="text1"/>
          <w:szCs w:val="23"/>
        </w:rPr>
        <w:t>Litis</w:t>
      </w:r>
      <w:r w:rsidRPr="00553FE2">
        <w:rPr>
          <w:rFonts w:ascii="Palatino Linotype" w:hAnsi="Palatino Linotype" w:cs="Arial"/>
          <w:color w:val="000000" w:themeColor="text1"/>
          <w:szCs w:val="23"/>
        </w:rPr>
        <w:t xml:space="preserve"> a resolver en el presente recurso se circunscribe en determinar si</w:t>
      </w:r>
      <w:r w:rsidR="002C6561" w:rsidRPr="00553FE2">
        <w:rPr>
          <w:rFonts w:ascii="Palatino Linotype" w:hAnsi="Palatino Linotype" w:cs="Arial"/>
          <w:color w:val="000000" w:themeColor="text1"/>
          <w:szCs w:val="23"/>
        </w:rPr>
        <w:t xml:space="preserve"> </w:t>
      </w:r>
      <w:r w:rsidR="00F2227E" w:rsidRPr="00553FE2">
        <w:rPr>
          <w:rFonts w:ascii="Palatino Linotype" w:hAnsi="Palatino Linotype" w:cs="Arial"/>
          <w:color w:val="000000" w:themeColor="text1"/>
          <w:szCs w:val="23"/>
        </w:rPr>
        <w:t xml:space="preserve">la respuesta </w:t>
      </w:r>
      <w:r w:rsidR="004B0EB6" w:rsidRPr="00553FE2">
        <w:rPr>
          <w:rFonts w:ascii="Palatino Linotype" w:hAnsi="Palatino Linotype" w:cs="Arial"/>
          <w:color w:val="000000" w:themeColor="text1"/>
          <w:szCs w:val="23"/>
        </w:rPr>
        <w:t>del</w:t>
      </w:r>
      <w:r w:rsidR="002C6561" w:rsidRPr="00553FE2">
        <w:rPr>
          <w:rFonts w:ascii="Palatino Linotype" w:hAnsi="Palatino Linotype" w:cs="Arial"/>
          <w:color w:val="000000" w:themeColor="text1"/>
          <w:szCs w:val="23"/>
        </w:rPr>
        <w:t xml:space="preserve"> </w:t>
      </w:r>
      <w:r w:rsidR="002C6561" w:rsidRPr="00553FE2">
        <w:rPr>
          <w:rFonts w:ascii="Palatino Linotype" w:hAnsi="Palatino Linotype" w:cs="Arial"/>
          <w:b/>
          <w:bCs/>
          <w:color w:val="000000" w:themeColor="text1"/>
          <w:szCs w:val="23"/>
        </w:rPr>
        <w:t>SUJETO OBLIGADO</w:t>
      </w:r>
      <w:r w:rsidR="00F2227E" w:rsidRPr="00553FE2">
        <w:rPr>
          <w:rFonts w:ascii="Palatino Linotype" w:hAnsi="Palatino Linotype" w:cs="Arial"/>
          <w:bCs/>
          <w:color w:val="000000" w:themeColor="text1"/>
          <w:szCs w:val="23"/>
        </w:rPr>
        <w:t xml:space="preserve"> </w:t>
      </w:r>
      <w:r w:rsidR="004B0EB6" w:rsidRPr="00553FE2">
        <w:rPr>
          <w:rFonts w:ascii="Palatino Linotype" w:hAnsi="Palatino Linotype" w:cs="Arial"/>
          <w:color w:val="000000" w:themeColor="text1"/>
          <w:szCs w:val="23"/>
        </w:rPr>
        <w:t xml:space="preserve">colma el derecho de acceso a la información ejercido por el </w:t>
      </w:r>
      <w:r w:rsidR="004B0EB6" w:rsidRPr="00553FE2">
        <w:rPr>
          <w:rFonts w:ascii="Palatino Linotype" w:hAnsi="Palatino Linotype" w:cs="Arial"/>
          <w:b/>
          <w:bCs/>
          <w:color w:val="000000" w:themeColor="text1"/>
          <w:szCs w:val="23"/>
        </w:rPr>
        <w:t>RECURRENTE</w:t>
      </w:r>
      <w:r w:rsidR="002C6561" w:rsidRPr="00553FE2">
        <w:rPr>
          <w:rFonts w:ascii="Palatino Linotype" w:hAnsi="Palatino Linotype" w:cs="Arial"/>
          <w:color w:val="000000" w:themeColor="text1"/>
          <w:szCs w:val="23"/>
        </w:rPr>
        <w:t>; o</w:t>
      </w:r>
      <w:r w:rsidR="00F2227E" w:rsidRPr="00553FE2">
        <w:rPr>
          <w:rFonts w:ascii="Palatino Linotype" w:hAnsi="Palatino Linotype" w:cs="Arial"/>
          <w:color w:val="000000" w:themeColor="text1"/>
          <w:szCs w:val="23"/>
        </w:rPr>
        <w:t>,</w:t>
      </w:r>
      <w:r w:rsidR="002C6561" w:rsidRPr="00553FE2">
        <w:rPr>
          <w:rFonts w:ascii="Palatino Linotype" w:hAnsi="Palatino Linotype" w:cs="Arial"/>
          <w:color w:val="000000" w:themeColor="text1"/>
          <w:szCs w:val="23"/>
        </w:rPr>
        <w:t xml:space="preserve"> si por el contrario, se</w:t>
      </w:r>
      <w:r w:rsidR="00E32652" w:rsidRPr="00553FE2">
        <w:rPr>
          <w:rFonts w:ascii="Palatino Linotype" w:hAnsi="Palatino Linotype" w:cs="Arial"/>
          <w:color w:val="000000" w:themeColor="text1"/>
          <w:szCs w:val="23"/>
        </w:rPr>
        <w:t xml:space="preserve"> </w:t>
      </w:r>
      <w:r w:rsidR="0028248C" w:rsidRPr="00553FE2">
        <w:rPr>
          <w:rFonts w:ascii="Palatino Linotype" w:hAnsi="Palatino Linotype"/>
          <w:color w:val="000000" w:themeColor="text1"/>
        </w:rPr>
        <w:t>actualiza</w:t>
      </w:r>
      <w:r w:rsidR="00C51671" w:rsidRPr="00553FE2">
        <w:rPr>
          <w:rFonts w:ascii="Palatino Linotype" w:hAnsi="Palatino Linotype"/>
          <w:color w:val="000000" w:themeColor="text1"/>
        </w:rPr>
        <w:t>n</w:t>
      </w:r>
      <w:r w:rsidR="0028248C" w:rsidRPr="00553FE2">
        <w:rPr>
          <w:rFonts w:ascii="Palatino Linotype" w:hAnsi="Palatino Linotype"/>
          <w:color w:val="000000" w:themeColor="text1"/>
        </w:rPr>
        <w:t xml:space="preserve"> la</w:t>
      </w:r>
      <w:r w:rsidR="00C51671" w:rsidRPr="00553FE2">
        <w:rPr>
          <w:rFonts w:ascii="Palatino Linotype" w:hAnsi="Palatino Linotype"/>
          <w:color w:val="000000" w:themeColor="text1"/>
        </w:rPr>
        <w:t>s</w:t>
      </w:r>
      <w:r w:rsidR="0028248C" w:rsidRPr="00553FE2">
        <w:rPr>
          <w:rFonts w:ascii="Palatino Linotype" w:hAnsi="Palatino Linotype"/>
          <w:color w:val="000000" w:themeColor="text1"/>
        </w:rPr>
        <w:t xml:space="preserve"> causal</w:t>
      </w:r>
      <w:r w:rsidR="00C51671" w:rsidRPr="00553FE2">
        <w:rPr>
          <w:rFonts w:ascii="Palatino Linotype" w:hAnsi="Palatino Linotype"/>
          <w:color w:val="000000" w:themeColor="text1"/>
        </w:rPr>
        <w:t>es</w:t>
      </w:r>
      <w:r w:rsidR="0028248C" w:rsidRPr="00553FE2">
        <w:rPr>
          <w:rFonts w:ascii="Palatino Linotype" w:hAnsi="Palatino Linotype"/>
          <w:color w:val="000000" w:themeColor="text1"/>
        </w:rPr>
        <w:t xml:space="preserve"> de procedencia</w:t>
      </w:r>
      <w:r w:rsidR="00E66A80" w:rsidRPr="00553FE2">
        <w:rPr>
          <w:rFonts w:ascii="Palatino Linotype" w:hAnsi="Palatino Linotype" w:cs="Arial"/>
          <w:color w:val="000000" w:themeColor="text1"/>
          <w:szCs w:val="23"/>
        </w:rPr>
        <w:t xml:space="preserve"> del recurso de revisión establecida</w:t>
      </w:r>
      <w:r w:rsidR="00C51671" w:rsidRPr="00553FE2">
        <w:rPr>
          <w:rFonts w:ascii="Palatino Linotype" w:hAnsi="Palatino Linotype" w:cs="Arial"/>
          <w:color w:val="000000" w:themeColor="text1"/>
          <w:szCs w:val="23"/>
        </w:rPr>
        <w:t>s</w:t>
      </w:r>
      <w:r w:rsidR="00E66A80" w:rsidRPr="00553FE2">
        <w:rPr>
          <w:rFonts w:ascii="Palatino Linotype" w:hAnsi="Palatino Linotype" w:cs="Arial"/>
          <w:color w:val="000000" w:themeColor="text1"/>
          <w:szCs w:val="23"/>
        </w:rPr>
        <w:t xml:space="preserve"> en el artículo 179 </w:t>
      </w:r>
      <w:r w:rsidR="00C51671" w:rsidRPr="00553FE2">
        <w:rPr>
          <w:rFonts w:ascii="Palatino Linotype" w:hAnsi="Palatino Linotype" w:cs="Arial"/>
          <w:color w:val="000000" w:themeColor="text1"/>
          <w:szCs w:val="23"/>
        </w:rPr>
        <w:t>fracciones</w:t>
      </w:r>
      <w:r w:rsidR="00E66A80" w:rsidRPr="00553FE2">
        <w:rPr>
          <w:rFonts w:ascii="Palatino Linotype" w:hAnsi="Palatino Linotype" w:cs="Arial"/>
          <w:color w:val="000000" w:themeColor="text1"/>
          <w:szCs w:val="23"/>
        </w:rPr>
        <w:t xml:space="preserve"> </w:t>
      </w:r>
      <w:r w:rsidR="002C6561" w:rsidRPr="00553FE2">
        <w:rPr>
          <w:rFonts w:ascii="Palatino Linotype" w:hAnsi="Palatino Linotype" w:cs="Arial"/>
          <w:color w:val="000000" w:themeColor="text1"/>
          <w:szCs w:val="23"/>
        </w:rPr>
        <w:t>I</w:t>
      </w:r>
      <w:r w:rsidR="00390D23" w:rsidRPr="00553FE2">
        <w:rPr>
          <w:rFonts w:ascii="Palatino Linotype" w:hAnsi="Palatino Linotype" w:cs="Arial"/>
          <w:color w:val="000000" w:themeColor="text1"/>
          <w:szCs w:val="23"/>
        </w:rPr>
        <w:t xml:space="preserve"> </w:t>
      </w:r>
      <w:r w:rsidR="00C51671" w:rsidRPr="00553FE2">
        <w:rPr>
          <w:rFonts w:ascii="Palatino Linotype" w:hAnsi="Palatino Linotype" w:cs="Arial"/>
          <w:color w:val="000000" w:themeColor="text1"/>
          <w:szCs w:val="23"/>
        </w:rPr>
        <w:t xml:space="preserve">y </w:t>
      </w:r>
      <w:r w:rsidR="008F7752" w:rsidRPr="00553FE2">
        <w:rPr>
          <w:rFonts w:ascii="Palatino Linotype" w:hAnsi="Palatino Linotype" w:cs="Arial"/>
          <w:color w:val="000000" w:themeColor="text1"/>
          <w:szCs w:val="23"/>
        </w:rPr>
        <w:t>V</w:t>
      </w:r>
      <w:r w:rsidR="00C15F97" w:rsidRPr="00553FE2">
        <w:rPr>
          <w:rFonts w:ascii="Palatino Linotype" w:hAnsi="Palatino Linotype" w:cs="Arial"/>
          <w:color w:val="000000" w:themeColor="text1"/>
          <w:szCs w:val="23"/>
        </w:rPr>
        <w:t xml:space="preserve"> </w:t>
      </w:r>
      <w:r w:rsidR="00E66A80" w:rsidRPr="00553FE2">
        <w:rPr>
          <w:rFonts w:ascii="Palatino Linotype" w:hAnsi="Palatino Linotype" w:cs="Arial"/>
          <w:color w:val="000000" w:themeColor="text1"/>
          <w:szCs w:val="23"/>
        </w:rPr>
        <w:t xml:space="preserve">de la Ley de Transparencia y Acceso a la Información Pública del Estado de México y Municipios, </w:t>
      </w:r>
      <w:r w:rsidR="00C51671" w:rsidRPr="00553FE2">
        <w:rPr>
          <w:rFonts w:ascii="Palatino Linotype" w:hAnsi="Palatino Linotype" w:cs="Arial"/>
          <w:color w:val="000000" w:themeColor="text1"/>
          <w:szCs w:val="23"/>
        </w:rPr>
        <w:t xml:space="preserve">y </w:t>
      </w:r>
      <w:r w:rsidR="00E66A80" w:rsidRPr="00553FE2">
        <w:rPr>
          <w:rFonts w:ascii="Palatino Linotype" w:hAnsi="Palatino Linotype" w:cs="Arial"/>
          <w:color w:val="000000" w:themeColor="text1"/>
          <w:szCs w:val="23"/>
        </w:rPr>
        <w:t>que se transcribe</w:t>
      </w:r>
      <w:r w:rsidR="00C51671" w:rsidRPr="00553FE2">
        <w:rPr>
          <w:rFonts w:ascii="Palatino Linotype" w:hAnsi="Palatino Linotype" w:cs="Arial"/>
          <w:color w:val="000000" w:themeColor="text1"/>
          <w:szCs w:val="23"/>
        </w:rPr>
        <w:t>n</w:t>
      </w:r>
      <w:r w:rsidR="00E66A80" w:rsidRPr="00553FE2">
        <w:rPr>
          <w:rFonts w:ascii="Palatino Linotype" w:hAnsi="Palatino Linotype" w:cs="Arial"/>
          <w:color w:val="000000" w:themeColor="text1"/>
          <w:szCs w:val="23"/>
        </w:rPr>
        <w:t xml:space="preserve"> a continuación:</w:t>
      </w:r>
    </w:p>
    <w:p w14:paraId="74369366" w14:textId="77777777" w:rsidR="00B8600A" w:rsidRPr="00553FE2"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553FE2" w:rsidRDefault="00E66A80" w:rsidP="00B31E90">
      <w:pPr>
        <w:pStyle w:val="Sinespaciado"/>
        <w:tabs>
          <w:tab w:val="left" w:pos="426"/>
        </w:tabs>
        <w:ind w:left="851" w:right="567"/>
        <w:jc w:val="both"/>
        <w:rPr>
          <w:rFonts w:ascii="Palatino Linotype" w:hAnsi="Palatino Linotype"/>
          <w:i/>
          <w:color w:val="000000" w:themeColor="text1"/>
          <w:sz w:val="22"/>
        </w:rPr>
      </w:pPr>
      <w:r w:rsidRPr="00553FE2">
        <w:rPr>
          <w:rFonts w:ascii="Palatino Linotype" w:hAnsi="Palatino Linotype"/>
          <w:i/>
          <w:color w:val="000000" w:themeColor="text1"/>
          <w:sz w:val="22"/>
        </w:rPr>
        <w:t>“</w:t>
      </w:r>
      <w:r w:rsidRPr="00553FE2">
        <w:rPr>
          <w:rFonts w:ascii="Palatino Linotype" w:hAnsi="Palatino Linotype"/>
          <w:b/>
          <w:i/>
          <w:color w:val="000000" w:themeColor="text1"/>
          <w:sz w:val="22"/>
        </w:rPr>
        <w:t>Artículo 179.</w:t>
      </w:r>
      <w:r w:rsidRPr="00553FE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553FE2" w:rsidRDefault="00C51671" w:rsidP="00B31E90">
      <w:pPr>
        <w:pStyle w:val="Sinespaciado"/>
        <w:tabs>
          <w:tab w:val="left" w:pos="426"/>
        </w:tabs>
        <w:ind w:left="851" w:right="567"/>
        <w:jc w:val="both"/>
        <w:rPr>
          <w:rFonts w:ascii="Palatino Linotype" w:hAnsi="Palatino Linotype"/>
          <w:i/>
          <w:color w:val="000000" w:themeColor="text1"/>
          <w:sz w:val="22"/>
        </w:rPr>
      </w:pPr>
      <w:r w:rsidRPr="00553FE2">
        <w:rPr>
          <w:rFonts w:ascii="Palatino Linotype" w:hAnsi="Palatino Linotype"/>
          <w:b/>
          <w:bCs/>
          <w:i/>
          <w:color w:val="000000" w:themeColor="text1"/>
          <w:sz w:val="22"/>
        </w:rPr>
        <w:t>I.</w:t>
      </w:r>
      <w:r w:rsidRPr="00553FE2">
        <w:rPr>
          <w:rFonts w:ascii="Palatino Linotype" w:hAnsi="Palatino Linotype"/>
          <w:i/>
          <w:color w:val="000000" w:themeColor="text1"/>
          <w:sz w:val="22"/>
        </w:rPr>
        <w:t xml:space="preserve"> La negativa a la información solicitada;</w:t>
      </w:r>
    </w:p>
    <w:p w14:paraId="34DC33E5" w14:textId="6743AE97" w:rsidR="008F7752" w:rsidRPr="00553FE2" w:rsidRDefault="00515DEC" w:rsidP="008F7752">
      <w:pPr>
        <w:pStyle w:val="Sinespaciado"/>
        <w:tabs>
          <w:tab w:val="left" w:pos="426"/>
        </w:tabs>
        <w:ind w:left="851" w:right="567"/>
        <w:jc w:val="both"/>
        <w:rPr>
          <w:rFonts w:ascii="Palatino Linotype" w:hAnsi="Palatino Linotype"/>
          <w:i/>
          <w:color w:val="000000" w:themeColor="text1"/>
          <w:sz w:val="22"/>
        </w:rPr>
      </w:pPr>
      <w:r w:rsidRPr="00553FE2">
        <w:rPr>
          <w:rFonts w:ascii="Palatino Linotype" w:hAnsi="Palatino Linotype"/>
          <w:i/>
          <w:color w:val="000000" w:themeColor="text1"/>
          <w:sz w:val="22"/>
        </w:rPr>
        <w:t>(…)</w:t>
      </w:r>
    </w:p>
    <w:p w14:paraId="2A8DC18E" w14:textId="64897827" w:rsidR="008F7752" w:rsidRPr="00553FE2" w:rsidRDefault="008F7752" w:rsidP="008F7752">
      <w:pPr>
        <w:pStyle w:val="Sinespaciado"/>
        <w:tabs>
          <w:tab w:val="left" w:pos="426"/>
        </w:tabs>
        <w:ind w:left="851" w:right="567"/>
        <w:jc w:val="both"/>
        <w:rPr>
          <w:rFonts w:ascii="Palatino Linotype" w:hAnsi="Palatino Linotype"/>
          <w:i/>
          <w:color w:val="000000" w:themeColor="text1"/>
          <w:sz w:val="22"/>
        </w:rPr>
      </w:pPr>
      <w:r w:rsidRPr="00553FE2">
        <w:rPr>
          <w:rFonts w:ascii="Palatino Linotype" w:hAnsi="Palatino Linotype"/>
          <w:b/>
          <w:bCs/>
          <w:i/>
          <w:color w:val="000000" w:themeColor="text1"/>
          <w:sz w:val="22"/>
        </w:rPr>
        <w:t>VI.</w:t>
      </w:r>
      <w:r w:rsidRPr="00553FE2">
        <w:rPr>
          <w:rFonts w:ascii="Palatino Linotype" w:hAnsi="Palatino Linotype"/>
          <w:i/>
          <w:color w:val="000000" w:themeColor="text1"/>
          <w:sz w:val="22"/>
        </w:rPr>
        <w:t xml:space="preserve"> La </w:t>
      </w:r>
      <w:r w:rsidR="00910076" w:rsidRPr="00553FE2">
        <w:rPr>
          <w:rFonts w:ascii="Palatino Linotype" w:hAnsi="Palatino Linotype"/>
          <w:i/>
          <w:color w:val="000000" w:themeColor="text1"/>
          <w:sz w:val="22"/>
        </w:rPr>
        <w:t xml:space="preserve">entrega de información </w:t>
      </w:r>
      <w:r w:rsidR="00E51A57" w:rsidRPr="00553FE2">
        <w:rPr>
          <w:rFonts w:ascii="Palatino Linotype" w:hAnsi="Palatino Linotype"/>
          <w:i/>
          <w:color w:val="000000" w:themeColor="text1"/>
          <w:sz w:val="22"/>
        </w:rPr>
        <w:t>incompleta</w:t>
      </w:r>
      <w:r w:rsidRPr="00553FE2">
        <w:rPr>
          <w:rFonts w:ascii="Palatino Linotype" w:hAnsi="Palatino Linotype"/>
          <w:i/>
          <w:color w:val="000000" w:themeColor="text1"/>
          <w:sz w:val="22"/>
        </w:rPr>
        <w:t>;</w:t>
      </w:r>
    </w:p>
    <w:p w14:paraId="4FCA9B3F" w14:textId="04527850" w:rsidR="00515DEC" w:rsidRPr="00553FE2" w:rsidRDefault="008F7752" w:rsidP="00390D23">
      <w:pPr>
        <w:pStyle w:val="Sinespaciado"/>
        <w:tabs>
          <w:tab w:val="left" w:pos="426"/>
        </w:tabs>
        <w:ind w:left="851" w:right="567"/>
        <w:jc w:val="both"/>
        <w:rPr>
          <w:rFonts w:ascii="Palatino Linotype" w:hAnsi="Palatino Linotype"/>
          <w:i/>
          <w:color w:val="000000" w:themeColor="text1"/>
          <w:sz w:val="22"/>
        </w:rPr>
      </w:pPr>
      <w:r w:rsidRPr="00553FE2">
        <w:rPr>
          <w:rFonts w:ascii="Palatino Linotype" w:hAnsi="Palatino Linotype"/>
          <w:i/>
          <w:color w:val="000000" w:themeColor="text1"/>
          <w:sz w:val="22"/>
        </w:rPr>
        <w:t>(…)</w:t>
      </w:r>
      <w:r w:rsidR="00A073A0" w:rsidRPr="00553FE2">
        <w:rPr>
          <w:rFonts w:ascii="Palatino Linotype" w:hAnsi="Palatino Linotype"/>
          <w:i/>
          <w:color w:val="000000" w:themeColor="text1"/>
          <w:sz w:val="22"/>
        </w:rPr>
        <w:t>”</w:t>
      </w:r>
    </w:p>
    <w:p w14:paraId="1C5AB6B5" w14:textId="46B28510" w:rsidR="009F1566" w:rsidRPr="00553FE2" w:rsidRDefault="009F1566" w:rsidP="00F96156">
      <w:pPr>
        <w:pStyle w:val="Ttulo2"/>
        <w:tabs>
          <w:tab w:val="left" w:pos="426"/>
        </w:tabs>
        <w:rPr>
          <w:rFonts w:ascii="Palatino Linotype" w:hAnsi="Palatino Linotype" w:cs="Arial"/>
          <w:b/>
          <w:color w:val="FF0000"/>
          <w:sz w:val="24"/>
        </w:rPr>
      </w:pPr>
    </w:p>
    <w:p w14:paraId="5CEC2F48" w14:textId="56734865" w:rsidR="00EF014A" w:rsidRPr="00553FE2" w:rsidRDefault="00BC2D16" w:rsidP="00F96156">
      <w:pPr>
        <w:pStyle w:val="Ttulo2"/>
        <w:tabs>
          <w:tab w:val="left" w:pos="426"/>
        </w:tabs>
        <w:rPr>
          <w:rFonts w:ascii="Palatino Linotype" w:hAnsi="Palatino Linotype" w:cs="Arial"/>
          <w:b/>
          <w:color w:val="000000" w:themeColor="text1"/>
          <w:sz w:val="24"/>
        </w:rPr>
      </w:pPr>
      <w:bookmarkStart w:id="27" w:name="_Toc95402617"/>
      <w:bookmarkStart w:id="28" w:name="_Toc98445260"/>
      <w:r w:rsidRPr="00553FE2">
        <w:rPr>
          <w:rFonts w:ascii="Palatino Linotype" w:hAnsi="Palatino Linotype" w:cs="Arial"/>
          <w:b/>
          <w:color w:val="000000" w:themeColor="text1"/>
          <w:sz w:val="24"/>
        </w:rPr>
        <w:t>CUARTO</w:t>
      </w:r>
      <w:r w:rsidR="00EF014A" w:rsidRPr="00553FE2">
        <w:rPr>
          <w:rFonts w:ascii="Palatino Linotype" w:hAnsi="Palatino Linotype" w:cs="Arial"/>
          <w:b/>
          <w:color w:val="000000" w:themeColor="text1"/>
          <w:sz w:val="24"/>
        </w:rPr>
        <w:t>. Estudio y Resolución del asunto.</w:t>
      </w:r>
      <w:bookmarkEnd w:id="27"/>
      <w:bookmarkEnd w:id="28"/>
    </w:p>
    <w:p w14:paraId="481D9FB1" w14:textId="6B443AD7" w:rsidR="00A55D2B" w:rsidRPr="00553FE2"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95402618"/>
      <w:bookmarkStart w:id="30" w:name="_Toc98445261"/>
      <w:bookmarkStart w:id="31" w:name="_Toc466371865"/>
      <w:bookmarkStart w:id="32" w:name="_Toc466377653"/>
      <w:bookmarkEnd w:id="22"/>
      <w:bookmarkEnd w:id="23"/>
      <w:bookmarkEnd w:id="24"/>
      <w:bookmarkEnd w:id="25"/>
      <w:bookmarkEnd w:id="26"/>
      <w:r w:rsidRPr="00553FE2">
        <w:rPr>
          <w:rFonts w:ascii="Palatino Linotype" w:hAnsi="Palatino Linotype"/>
          <w:b/>
          <w:bCs/>
          <w:color w:val="000000" w:themeColor="text1"/>
        </w:rPr>
        <w:t xml:space="preserve">I. Del deber de las autoridades de promover, respetar, proteger y garantizar el derecho de acceso </w:t>
      </w:r>
      <w:r w:rsidR="00DA2D95" w:rsidRPr="00553FE2">
        <w:rPr>
          <w:rFonts w:ascii="Palatino Linotype" w:hAnsi="Palatino Linotype"/>
          <w:b/>
          <w:bCs/>
          <w:color w:val="000000" w:themeColor="text1"/>
        </w:rPr>
        <w:t>a la información pública.</w:t>
      </w:r>
      <w:bookmarkEnd w:id="29"/>
      <w:bookmarkEnd w:id="30"/>
    </w:p>
    <w:p w14:paraId="6E5EF818" w14:textId="77777777" w:rsidR="00A55D2B" w:rsidRPr="00553FE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19E45090" w:rsidR="005937BC" w:rsidRPr="00553FE2"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Es </w:t>
      </w:r>
      <w:r w:rsidR="0055159A" w:rsidRPr="00553FE2">
        <w:rPr>
          <w:rFonts w:ascii="Palatino Linotype" w:hAnsi="Palatino Linotype"/>
          <w:color w:val="000000" w:themeColor="text1"/>
        </w:rPr>
        <w:t>menester precisar</w:t>
      </w:r>
      <w:r w:rsidRPr="00553FE2">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53FE2">
        <w:rPr>
          <w:rFonts w:ascii="Palatino Linotype" w:hAnsi="Palatino Linotype"/>
          <w:b/>
          <w:bCs/>
          <w:color w:val="000000" w:themeColor="text1"/>
        </w:rPr>
        <w:t>SUJETO OBLIGADO</w:t>
      </w:r>
      <w:r w:rsidRPr="00553FE2">
        <w:rPr>
          <w:rFonts w:ascii="Palatino Linotype" w:hAnsi="Palatino Linotype"/>
          <w:bCs/>
          <w:color w:val="000000" w:themeColor="text1"/>
        </w:rPr>
        <w:t xml:space="preserve"> debe ser cuidadoso del debido cumplimiento de las obligaciones con</w:t>
      </w:r>
      <w:r w:rsidR="00C928FD" w:rsidRPr="00553FE2">
        <w:rPr>
          <w:rFonts w:ascii="Palatino Linotype" w:hAnsi="Palatino Linotype"/>
          <w:bCs/>
          <w:color w:val="000000" w:themeColor="text1"/>
        </w:rPr>
        <w:t>stitucionales que se le imponen;</w:t>
      </w:r>
      <w:r w:rsidRPr="00553FE2">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553FE2">
        <w:rPr>
          <w:rFonts w:ascii="Palatino Linotype" w:hAnsi="Palatino Linotype"/>
          <w:b/>
          <w:bCs/>
          <w:color w:val="000000" w:themeColor="text1"/>
        </w:rPr>
        <w:t>Constitución Política de los Estados Unidos Mexicanos</w:t>
      </w:r>
      <w:r w:rsidR="00C928FD" w:rsidRPr="00553FE2">
        <w:rPr>
          <w:rFonts w:ascii="Palatino Linotype" w:hAnsi="Palatino Linotype"/>
          <w:bCs/>
          <w:color w:val="000000" w:themeColor="text1"/>
        </w:rPr>
        <w:t>, tienen</w:t>
      </w:r>
      <w:r w:rsidRPr="00553FE2">
        <w:rPr>
          <w:rFonts w:ascii="Palatino Linotype" w:hAnsi="Palatino Linotype"/>
          <w:b/>
          <w:bCs/>
          <w:color w:val="000000" w:themeColor="text1"/>
        </w:rPr>
        <w:t xml:space="preserve"> </w:t>
      </w:r>
      <w:r w:rsidRPr="00553FE2">
        <w:rPr>
          <w:rFonts w:ascii="Palatino Linotype" w:hAnsi="Palatino Linotype"/>
          <w:bCs/>
          <w:color w:val="000000" w:themeColor="text1"/>
        </w:rPr>
        <w:t xml:space="preserve">la obligación de “promover, </w:t>
      </w:r>
      <w:r w:rsidRPr="00553FE2">
        <w:rPr>
          <w:rFonts w:ascii="Palatino Linotype" w:hAnsi="Palatino Linotype"/>
          <w:b/>
          <w:bCs/>
          <w:color w:val="000000" w:themeColor="text1"/>
        </w:rPr>
        <w:t>respetar</w:t>
      </w:r>
      <w:r w:rsidRPr="00553FE2">
        <w:rPr>
          <w:rFonts w:ascii="Palatino Linotype" w:hAnsi="Palatino Linotype"/>
          <w:bCs/>
          <w:color w:val="000000" w:themeColor="text1"/>
        </w:rPr>
        <w:t xml:space="preserve">, proteger y </w:t>
      </w:r>
      <w:r w:rsidRPr="00553FE2">
        <w:rPr>
          <w:rFonts w:ascii="Palatino Linotype" w:hAnsi="Palatino Linotype"/>
          <w:b/>
          <w:bCs/>
          <w:color w:val="000000" w:themeColor="text1"/>
        </w:rPr>
        <w:t>garantizar</w:t>
      </w:r>
      <w:r w:rsidRPr="00553FE2">
        <w:rPr>
          <w:rFonts w:ascii="Palatino Linotype" w:hAnsi="Palatino Linotype"/>
          <w:bCs/>
          <w:color w:val="000000" w:themeColor="text1"/>
        </w:rPr>
        <w:t xml:space="preserve"> los derechos humanos”, entre los cuales se encuentra dicho derecho.</w:t>
      </w:r>
    </w:p>
    <w:p w14:paraId="30DF4DA3" w14:textId="77777777" w:rsidR="0055159A" w:rsidRPr="00553FE2"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Pr="00553FE2"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Por lo anterior, se deduce que el derecho de acceso a la información pública es un derecho humano convencional y constitucionalmente reconocido; en </w:t>
      </w:r>
      <w:r w:rsidRPr="00553FE2">
        <w:rPr>
          <w:rFonts w:ascii="Palatino Linotype" w:hAnsi="Palatino Linotype"/>
          <w:color w:val="000000" w:themeColor="text1"/>
        </w:rPr>
        <w:lastRenderedPageBreak/>
        <w:t>consecuencia, todas las autoridades en el ámbito de sus competencias, funciones y atribuciones tienen la obligación de respetarlo, protegerlo y garantizarlo.</w:t>
      </w:r>
    </w:p>
    <w:p w14:paraId="7ABCDF96" w14:textId="77777777" w:rsidR="00A55D2B" w:rsidRPr="00553FE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Pr="00553FE2"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Así las cosas</w:t>
      </w:r>
      <w:r w:rsidR="00DA2D95" w:rsidRPr="00553FE2">
        <w:rPr>
          <w:rFonts w:ascii="Palatino Linotype" w:hAnsi="Palatino Linotype"/>
          <w:color w:val="000000" w:themeColor="text1"/>
        </w:rPr>
        <w:t xml:space="preserve">, podemos definir el Derecho de Acceso a la Información Pública como: </w:t>
      </w:r>
      <w:r w:rsidR="00DA2D95" w:rsidRPr="00553FE2">
        <w:rPr>
          <w:rFonts w:ascii="Palatino Linotype" w:hAnsi="Palatino Linotype"/>
          <w:b/>
          <w:bCs/>
          <w:i/>
          <w:color w:val="000000" w:themeColor="text1"/>
        </w:rPr>
        <w:t>La igualdad de oportunidades para recibir, buscar e impartir información</w:t>
      </w:r>
      <w:r w:rsidR="00DA2D95" w:rsidRPr="00553FE2">
        <w:rPr>
          <w:rFonts w:ascii="Palatino Linotype" w:hAnsi="Palatino Linotype"/>
          <w:b/>
          <w:bCs/>
          <w:i/>
          <w:color w:val="000000" w:themeColor="text1"/>
          <w:vertAlign w:val="superscript"/>
        </w:rPr>
        <w:footnoteReference w:id="2"/>
      </w:r>
      <w:r w:rsidR="00DA2D95" w:rsidRPr="00553FE2">
        <w:rPr>
          <w:rFonts w:ascii="Palatino Linotype" w:hAnsi="Palatino Linotype"/>
          <w:b/>
          <w:bCs/>
          <w:i/>
          <w:color w:val="000000" w:themeColor="text1"/>
        </w:rPr>
        <w:t>en posesión de</w:t>
      </w:r>
      <w:r w:rsidR="00DA2D95" w:rsidRPr="00553FE2">
        <w:rPr>
          <w:rFonts w:ascii="Palatino Linotype" w:hAnsi="Palatino Linotype"/>
          <w:i/>
          <w:color w:val="000000" w:themeColor="text1"/>
        </w:rPr>
        <w:t xml:space="preserve"> cualquier autoridad, entidad, órgano y organismo de los poderes Ejecutivo, Legislativo y Judicial, órganos autónomos, </w:t>
      </w:r>
      <w:r w:rsidR="00DA2D95" w:rsidRPr="00553FE2">
        <w:rPr>
          <w:rFonts w:ascii="Palatino Linotype" w:hAnsi="Palatino Linotype"/>
          <w:b/>
          <w:bCs/>
          <w:i/>
          <w:color w:val="000000" w:themeColor="text1"/>
        </w:rPr>
        <w:t>partidos políticos</w:t>
      </w:r>
      <w:r w:rsidR="00DA2D95" w:rsidRPr="00553FE2">
        <w:rPr>
          <w:rFonts w:ascii="Palatino Linotype" w:hAnsi="Palatino Linotype"/>
          <w:i/>
          <w:color w:val="000000" w:themeColor="text1"/>
        </w:rPr>
        <w:t>, fideicomisos y fondos públicos, así como de cualquier persona física, moral o sindicato que reciba y ejerza recursos públicos o realice actos de autoridad en el ámbito federal, estatal y municipal,</w:t>
      </w:r>
      <w:r w:rsidR="00DA2D95" w:rsidRPr="00553FE2">
        <w:rPr>
          <w:rFonts w:ascii="Palatino Linotype" w:hAnsi="Palatino Linotype"/>
          <w:i/>
          <w:color w:val="000000" w:themeColor="text1"/>
          <w:vertAlign w:val="superscript"/>
        </w:rPr>
        <w:footnoteReference w:id="3"/>
      </w:r>
      <w:r w:rsidR="00DA2D95" w:rsidRPr="00553FE2">
        <w:rPr>
          <w:rFonts w:ascii="Palatino Linotype" w:hAnsi="Palatino Linotype"/>
          <w:color w:val="000000" w:themeColor="text1"/>
        </w:rPr>
        <w:t>que se constituye como una herramienta fundamental para ejercer</w:t>
      </w:r>
      <w:r w:rsidR="00DA2D95" w:rsidRPr="00553FE2">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553FE2">
        <w:rPr>
          <w:rFonts w:ascii="Palatino Linotype" w:hAnsi="Palatino Linotype"/>
          <w:i/>
          <w:color w:val="000000" w:themeColor="text1"/>
          <w:vertAlign w:val="superscript"/>
        </w:rPr>
        <w:footnoteReference w:id="4"/>
      </w:r>
      <w:r w:rsidR="00DA2D95" w:rsidRPr="00553FE2">
        <w:rPr>
          <w:rFonts w:ascii="Palatino Linotype" w:hAnsi="Palatino Linotype"/>
          <w:i/>
          <w:color w:val="000000" w:themeColor="text1"/>
        </w:rPr>
        <w:t xml:space="preserve"> </w:t>
      </w:r>
      <w:r w:rsidR="00DA2D95" w:rsidRPr="00553FE2">
        <w:rPr>
          <w:rFonts w:ascii="Palatino Linotype" w:hAnsi="Palatino Linotype"/>
          <w:color w:val="000000" w:themeColor="text1"/>
        </w:rPr>
        <w:t>fomentando</w:t>
      </w:r>
      <w:r w:rsidR="00DA2D95" w:rsidRPr="00553FE2">
        <w:rPr>
          <w:rFonts w:ascii="Palatino Linotype" w:hAnsi="Palatino Linotype"/>
          <w:i/>
          <w:color w:val="000000" w:themeColor="text1"/>
        </w:rPr>
        <w:t xml:space="preserve"> la transparencia de las actividades estatales y </w:t>
      </w:r>
      <w:r w:rsidR="00DA2D95" w:rsidRPr="00553FE2">
        <w:rPr>
          <w:rFonts w:ascii="Palatino Linotype" w:hAnsi="Palatino Linotype"/>
          <w:color w:val="000000" w:themeColor="text1"/>
        </w:rPr>
        <w:t>promoviendo</w:t>
      </w:r>
      <w:r w:rsidR="00DA2D95" w:rsidRPr="00553FE2">
        <w:rPr>
          <w:rFonts w:ascii="Palatino Linotype" w:hAnsi="Palatino Linotype"/>
          <w:i/>
          <w:color w:val="000000" w:themeColor="text1"/>
        </w:rPr>
        <w:t xml:space="preserve"> la responsabilidad de los funcionarios sobre su gestión pública,</w:t>
      </w:r>
      <w:r w:rsidR="00DA2D95" w:rsidRPr="00553FE2">
        <w:rPr>
          <w:rFonts w:ascii="Palatino Linotype" w:hAnsi="Palatino Linotype"/>
          <w:i/>
          <w:color w:val="000000" w:themeColor="text1"/>
          <w:vertAlign w:val="superscript"/>
        </w:rPr>
        <w:footnoteReference w:id="5"/>
      </w:r>
      <w:r w:rsidR="00DA2D95" w:rsidRPr="00553FE2">
        <w:rPr>
          <w:rFonts w:ascii="Palatino Linotype" w:hAnsi="Palatino Linotype"/>
          <w:color w:val="000000" w:themeColor="text1"/>
        </w:rPr>
        <w:t>que permite</w:t>
      </w:r>
      <w:r w:rsidR="00DA2D95" w:rsidRPr="00553FE2">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Pr="00553FE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Pr="00553FE2"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Por otro lado</w:t>
      </w:r>
      <w:r w:rsidR="0055159A" w:rsidRPr="00553FE2">
        <w:rPr>
          <w:rFonts w:ascii="Palatino Linotype" w:hAnsi="Palatino Linotype"/>
          <w:color w:val="000000" w:themeColor="text1"/>
        </w:rPr>
        <w:t xml:space="preserv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0055159A" w:rsidRPr="00553FE2">
        <w:rPr>
          <w:rFonts w:ascii="Palatino Linotype" w:hAnsi="Palatino Linotype"/>
          <w:color w:val="000000" w:themeColor="text1"/>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Pr="00553FE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51030BD9" w:rsidR="00DA2D95" w:rsidRPr="00553FE2"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95402619"/>
      <w:bookmarkStart w:id="34" w:name="_Toc98445262"/>
      <w:r w:rsidRPr="00553FE2">
        <w:rPr>
          <w:rFonts w:ascii="Palatino Linotype" w:hAnsi="Palatino Linotype"/>
          <w:b/>
          <w:bCs/>
          <w:color w:val="000000" w:themeColor="text1"/>
        </w:rPr>
        <w:t xml:space="preserve">II. De la </w:t>
      </w:r>
      <w:r w:rsidR="00AE0699" w:rsidRPr="00553FE2">
        <w:rPr>
          <w:rFonts w:ascii="Palatino Linotype" w:hAnsi="Palatino Linotype"/>
          <w:b/>
          <w:bCs/>
          <w:color w:val="000000" w:themeColor="text1"/>
        </w:rPr>
        <w:t xml:space="preserve">información entregada en respuesta </w:t>
      </w:r>
      <w:r w:rsidR="00097504" w:rsidRPr="00553FE2">
        <w:rPr>
          <w:rFonts w:ascii="Palatino Linotype" w:hAnsi="Palatino Linotype"/>
          <w:b/>
          <w:bCs/>
          <w:color w:val="000000" w:themeColor="text1"/>
        </w:rPr>
        <w:t>a la solicitud de información</w:t>
      </w:r>
      <w:r w:rsidRPr="00553FE2">
        <w:rPr>
          <w:rFonts w:ascii="Palatino Linotype" w:hAnsi="Palatino Linotype"/>
          <w:b/>
          <w:bCs/>
          <w:color w:val="000000" w:themeColor="text1"/>
        </w:rPr>
        <w:t>.</w:t>
      </w:r>
      <w:bookmarkEnd w:id="33"/>
      <w:bookmarkEnd w:id="34"/>
    </w:p>
    <w:p w14:paraId="47DD46B3" w14:textId="77777777" w:rsidR="00DA2D95" w:rsidRPr="00553FE2"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53BD977D" w14:textId="0A62D881" w:rsidR="002226FB"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AE657C6" w14:textId="77777777" w:rsidR="002226FB" w:rsidRPr="00553FE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3F5009E4" w14:textId="16D79B2B" w:rsidR="002226FB"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Para atender las solicitudes de información, los Sujetos Obligados contarán con un área denominada </w:t>
      </w:r>
      <w:r w:rsidRPr="00553FE2">
        <w:rPr>
          <w:rFonts w:ascii="Palatino Linotype" w:hAnsi="Palatino Linotype"/>
          <w:b/>
          <w:bCs/>
          <w:color w:val="000000" w:themeColor="text1"/>
        </w:rPr>
        <w:t>Unidad de Transparencia</w:t>
      </w:r>
      <w:r w:rsidRPr="00553FE2">
        <w:rPr>
          <w:rFonts w:ascii="Palatino Linotype" w:hAnsi="Palatino Linotype"/>
          <w:color w:val="000000" w:themeColor="text1"/>
          <w:vertAlign w:val="superscript"/>
        </w:rPr>
        <w:footnoteReference w:id="6"/>
      </w:r>
      <w:r w:rsidRPr="00553FE2">
        <w:rPr>
          <w:rFonts w:ascii="Palatino Linotype" w:hAnsi="Palatino Linotype"/>
          <w:color w:val="000000" w:themeColor="text1"/>
        </w:rPr>
        <w:t xml:space="preserve">, la cual será presidida por un Titular, quien fungirá como enlace entre éstos y los solicitantes. Dicha Unidad </w:t>
      </w:r>
      <w:r w:rsidRPr="00553FE2">
        <w:rPr>
          <w:rFonts w:ascii="Palatino Linotype" w:hAnsi="Palatino Linotype"/>
          <w:b/>
          <w:bCs/>
          <w:color w:val="000000" w:themeColor="text1"/>
        </w:rPr>
        <w:t>será la encargada de tramitar internamente la solicitud de información</w:t>
      </w:r>
      <w:r w:rsidRPr="00553FE2">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553FE2">
        <w:rPr>
          <w:rFonts w:ascii="Palatino Linotype" w:hAnsi="Palatino Linotype"/>
          <w:b/>
          <w:bCs/>
          <w:color w:val="000000" w:themeColor="text1"/>
        </w:rPr>
        <w:t xml:space="preserve">gestionar la atención a las solicitudes de información </w:t>
      </w:r>
      <w:r w:rsidRPr="00553FE2">
        <w:rPr>
          <w:rFonts w:ascii="Palatino Linotype" w:hAnsi="Palatino Linotype"/>
          <w:color w:val="000000" w:themeColor="text1"/>
        </w:rPr>
        <w:t xml:space="preserve">en los términos de la Ley General y la </w:t>
      </w:r>
      <w:r w:rsidRPr="00553FE2">
        <w:rPr>
          <w:rFonts w:ascii="Palatino Linotype" w:hAnsi="Palatino Linotype"/>
          <w:color w:val="000000" w:themeColor="text1"/>
        </w:rPr>
        <w:lastRenderedPageBreak/>
        <w:t>Ley de Transparencia y Acceso a la Información Pública del Estado de México y Municipios</w:t>
      </w:r>
      <w:r w:rsidRPr="00553FE2">
        <w:rPr>
          <w:rFonts w:ascii="Palatino Linotype" w:hAnsi="Palatino Linotype"/>
          <w:color w:val="000000" w:themeColor="text1"/>
          <w:vertAlign w:val="superscript"/>
        </w:rPr>
        <w:footnoteReference w:id="7"/>
      </w:r>
      <w:r w:rsidRPr="00553FE2">
        <w:rPr>
          <w:rFonts w:ascii="Palatino Linotype" w:hAnsi="Palatino Linotype"/>
          <w:color w:val="000000" w:themeColor="text1"/>
        </w:rPr>
        <w:t>.</w:t>
      </w:r>
    </w:p>
    <w:p w14:paraId="7C005ECF" w14:textId="77777777" w:rsidR="002226FB" w:rsidRPr="00553FE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1C0BEA" w14:textId="5E38294A" w:rsidR="002226FB"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 </w:t>
      </w:r>
      <w:r w:rsidRPr="00553FE2">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6BC126D" w14:textId="77777777" w:rsidR="002226FB" w:rsidRPr="00553FE2"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53FE2">
        <w:rPr>
          <w:rFonts w:ascii="Palatino Linotype" w:hAnsi="Palatino Linotype" w:cs="Arial"/>
          <w:color w:val="000000" w:themeColor="text1"/>
        </w:rPr>
        <w:t>Recibir, tramitar y dar respuesta a las solicitudes de acceso a la información;</w:t>
      </w:r>
    </w:p>
    <w:p w14:paraId="381BC739" w14:textId="77777777" w:rsidR="002226FB" w:rsidRPr="00553FE2"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53FE2">
        <w:rPr>
          <w:rFonts w:ascii="Palatino Linotype" w:hAnsi="Palatino Linotype" w:cs="Arial"/>
          <w:color w:val="000000" w:themeColor="text1"/>
        </w:rPr>
        <w:t xml:space="preserve">Realizar, con efectividad, los trámites internos necesarios para la atención de las solicitudes de acceso a la información; </w:t>
      </w:r>
    </w:p>
    <w:p w14:paraId="1CB6B791" w14:textId="77777777" w:rsidR="002226FB" w:rsidRPr="00553FE2"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553FE2">
        <w:rPr>
          <w:rFonts w:ascii="Palatino Linotype" w:hAnsi="Palatino Linotype" w:cs="Arial"/>
          <w:color w:val="000000" w:themeColor="text1"/>
        </w:rPr>
        <w:t xml:space="preserve">Entregar, en su caso, a los particulares la información solicitada; y </w:t>
      </w:r>
    </w:p>
    <w:p w14:paraId="2B94EBAE" w14:textId="28ACF1B2" w:rsidR="002226FB" w:rsidRPr="00553FE2" w:rsidRDefault="002226FB" w:rsidP="002226FB">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45B8E97A" w14:textId="77777777" w:rsidR="002226FB" w:rsidRPr="00553FE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AA87D6A" w14:textId="0974154D" w:rsidR="002226FB"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Otros </w:t>
      </w:r>
      <w:r w:rsidRPr="00553FE2">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553FE2">
        <w:rPr>
          <w:rStyle w:val="Refdenotaalpie"/>
          <w:rFonts w:ascii="Palatino Linotype" w:hAnsi="Palatino Linotype" w:cs="Arial"/>
          <w:color w:val="000000" w:themeColor="text1"/>
        </w:rPr>
        <w:footnoteReference w:id="8"/>
      </w:r>
      <w:r w:rsidRPr="00553FE2">
        <w:rPr>
          <w:rFonts w:ascii="Palatino Linotype" w:hAnsi="Palatino Linotype" w:cs="Arial"/>
          <w:color w:val="000000" w:themeColor="text1"/>
        </w:rPr>
        <w:t xml:space="preserve"> y tendrán, entre sus atribuciones, las siguientes</w:t>
      </w:r>
      <w:r w:rsidRPr="00553FE2">
        <w:rPr>
          <w:rStyle w:val="Refdenotaalpie"/>
          <w:rFonts w:ascii="Palatino Linotype" w:hAnsi="Palatino Linotype" w:cs="Arial"/>
          <w:color w:val="000000" w:themeColor="text1"/>
        </w:rPr>
        <w:footnoteReference w:id="9"/>
      </w:r>
      <w:r w:rsidRPr="00553FE2">
        <w:rPr>
          <w:rFonts w:ascii="Palatino Linotype" w:hAnsi="Palatino Linotype" w:cs="Arial"/>
          <w:color w:val="000000" w:themeColor="text1"/>
        </w:rPr>
        <w:t>:</w:t>
      </w:r>
    </w:p>
    <w:p w14:paraId="4561D90E" w14:textId="0A300124" w:rsidR="002226FB" w:rsidRPr="00553FE2"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s="Arial"/>
          <w:color w:val="000000" w:themeColor="text1"/>
        </w:rPr>
        <w:t>Localizar la información que le solicite la Unidad de Transparencia; y</w:t>
      </w:r>
    </w:p>
    <w:p w14:paraId="6EA869CA" w14:textId="3128C681" w:rsidR="002226FB" w:rsidRPr="00553FE2" w:rsidRDefault="002226FB" w:rsidP="002226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s="Arial"/>
          <w:color w:val="000000" w:themeColor="text1"/>
        </w:rPr>
        <w:t>Proporcionar la información que obre en sus archivos y que le sea solicitada por la Unidad de Transparencia.</w:t>
      </w:r>
    </w:p>
    <w:p w14:paraId="2D1567E8" w14:textId="77777777" w:rsidR="002226FB" w:rsidRPr="00553FE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0DB08231" w14:textId="4341EFDE" w:rsidR="002226FB"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 </w:t>
      </w:r>
      <w:r w:rsidRPr="00553FE2">
        <w:rPr>
          <w:rFonts w:ascii="Palatino Linotype" w:hAnsi="Palatino Linotype" w:cs="Arial"/>
          <w:color w:val="000000" w:themeColor="text1"/>
        </w:rPr>
        <w:t xml:space="preserve">tal manera que cada una de las áreas administrativas del </w:t>
      </w:r>
      <w:r w:rsidRPr="00553FE2">
        <w:rPr>
          <w:rFonts w:ascii="Palatino Linotype" w:hAnsi="Palatino Linotype" w:cs="Arial"/>
          <w:b/>
          <w:bCs/>
          <w:color w:val="000000" w:themeColor="text1"/>
        </w:rPr>
        <w:t>SUJETO OBLIGADO</w:t>
      </w:r>
      <w:r w:rsidRPr="00553FE2">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CF74961" w14:textId="77777777" w:rsidR="002226FB" w:rsidRPr="00553FE2"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492AD753" w14:textId="3E3E88A4" w:rsidR="00084951" w:rsidRPr="00553FE2" w:rsidRDefault="002226F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U</w:t>
      </w:r>
      <w:r w:rsidR="00910076" w:rsidRPr="00553FE2">
        <w:rPr>
          <w:rFonts w:ascii="Palatino Linotype" w:hAnsi="Palatino Linotype"/>
          <w:color w:val="000000" w:themeColor="text1"/>
        </w:rPr>
        <w:t xml:space="preserve">na </w:t>
      </w:r>
      <w:r w:rsidR="00910076" w:rsidRPr="00553FE2">
        <w:rPr>
          <w:rFonts w:ascii="Palatino Linotype" w:hAnsi="Palatino Linotype"/>
        </w:rPr>
        <w:t xml:space="preserve">vez expuesto lo anterior, de la lectura a la solicitud de información </w:t>
      </w:r>
      <w:r w:rsidR="00CC280B" w:rsidRPr="00553FE2">
        <w:rPr>
          <w:rFonts w:ascii="Palatino Linotype" w:hAnsi="Palatino Linotype"/>
          <w:b/>
          <w:bCs/>
        </w:rPr>
        <w:t>00085/PAN/IP/2021</w:t>
      </w:r>
      <w:r w:rsidR="00910076" w:rsidRPr="00553FE2">
        <w:rPr>
          <w:rFonts w:ascii="Palatino Linotype" w:hAnsi="Palatino Linotype"/>
        </w:rPr>
        <w:t xml:space="preserve">, y como fuera señalado en el </w:t>
      </w:r>
      <w:r w:rsidR="00910076" w:rsidRPr="00553FE2">
        <w:rPr>
          <w:rFonts w:ascii="Palatino Linotype" w:hAnsi="Palatino Linotype"/>
          <w:i/>
          <w:iCs/>
        </w:rPr>
        <w:t>Planteamiento de la Litis</w:t>
      </w:r>
      <w:r w:rsidR="00910076" w:rsidRPr="00553FE2">
        <w:rPr>
          <w:rFonts w:ascii="Palatino Linotype" w:hAnsi="Palatino Linotype"/>
        </w:rPr>
        <w:t xml:space="preserve"> de esta resolución, se advierte que el particular requirió al </w:t>
      </w:r>
      <w:r w:rsidR="00C45AB9" w:rsidRPr="00553FE2">
        <w:rPr>
          <w:rFonts w:ascii="Palatino Linotype" w:hAnsi="Palatino Linotype"/>
        </w:rPr>
        <w:t>Partido Acción Nacional</w:t>
      </w:r>
      <w:r w:rsidR="00910076" w:rsidRPr="00553FE2">
        <w:rPr>
          <w:rFonts w:ascii="Palatino Linotype" w:hAnsi="Palatino Linotype"/>
        </w:rPr>
        <w:t xml:space="preserve"> </w:t>
      </w:r>
      <w:r w:rsidR="00A82A2F" w:rsidRPr="00553FE2">
        <w:rPr>
          <w:rFonts w:ascii="Palatino Linotype" w:hAnsi="Palatino Linotype" w:cs="Arial"/>
          <w:color w:val="000000" w:themeColor="text1"/>
        </w:rPr>
        <w:t xml:space="preserve">la </w:t>
      </w:r>
      <w:r w:rsidR="00084951" w:rsidRPr="00553FE2">
        <w:rPr>
          <w:rFonts w:ascii="Palatino Linotype" w:hAnsi="Palatino Linotype" w:cs="Arial"/>
          <w:color w:val="000000" w:themeColor="text1"/>
        </w:rPr>
        <w:t>siguiente información</w:t>
      </w:r>
      <w:r w:rsidR="00A82A2F" w:rsidRPr="00553FE2">
        <w:rPr>
          <w:rFonts w:ascii="Palatino Linotype" w:hAnsi="Palatino Linotype" w:cs="Arial"/>
          <w:color w:val="000000" w:themeColor="text1"/>
        </w:rPr>
        <w:t>:</w:t>
      </w:r>
    </w:p>
    <w:p w14:paraId="0F8F7B4B" w14:textId="24C72477" w:rsidR="00910076" w:rsidRPr="00553FE2" w:rsidRDefault="00F978D7" w:rsidP="00084951">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553FE2">
        <w:rPr>
          <w:rFonts w:ascii="Palatino Linotype" w:hAnsi="Palatino Linotype" w:cs="Arial"/>
          <w:color w:val="000000" w:themeColor="text1"/>
        </w:rPr>
        <w:t>El desglose de gastos que ha tenido el Comité Municipal de Toluca, durante el uno (01) de enero de dos mil veinte al veinte (20) de diciembre de dos mil veintiuno.</w:t>
      </w:r>
    </w:p>
    <w:p w14:paraId="000E4D37" w14:textId="77777777" w:rsidR="00D524E2" w:rsidRPr="00553FE2"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6159A247" w14:textId="7D3AEFEE" w:rsidR="00882584" w:rsidRPr="00553FE2" w:rsidRDefault="00A82A2F" w:rsidP="004073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En</w:t>
      </w:r>
      <w:r w:rsidR="00D524E2" w:rsidRPr="00553FE2">
        <w:rPr>
          <w:rFonts w:ascii="Palatino Linotype" w:hAnsi="Palatino Linotype"/>
          <w:color w:val="000000" w:themeColor="text1"/>
        </w:rPr>
        <w:t xml:space="preserve"> respuesta a la solicitud de información,</w:t>
      </w:r>
      <w:r w:rsidRPr="00553FE2">
        <w:rPr>
          <w:rFonts w:ascii="Palatino Linotype" w:hAnsi="Palatino Linotype"/>
          <w:color w:val="000000" w:themeColor="text1"/>
        </w:rPr>
        <w:t xml:space="preserve"> y como fuera señalado en el apartado de </w:t>
      </w:r>
      <w:r w:rsidRPr="00553FE2">
        <w:rPr>
          <w:rFonts w:ascii="Palatino Linotype" w:hAnsi="Palatino Linotype"/>
          <w:i/>
          <w:iCs/>
          <w:color w:val="000000" w:themeColor="text1"/>
        </w:rPr>
        <w:t>Antecedentes</w:t>
      </w:r>
      <w:r w:rsidR="00407351" w:rsidRPr="00553FE2">
        <w:rPr>
          <w:rFonts w:ascii="Palatino Linotype" w:hAnsi="Palatino Linotype"/>
          <w:color w:val="000000" w:themeColor="text1"/>
        </w:rPr>
        <w:t xml:space="preserve"> de esta resolución, el </w:t>
      </w:r>
      <w:r w:rsidR="00407351" w:rsidRPr="00553FE2">
        <w:rPr>
          <w:rFonts w:ascii="Palatino Linotype" w:hAnsi="Palatino Linotype"/>
          <w:b/>
          <w:color w:val="000000" w:themeColor="text1"/>
        </w:rPr>
        <w:t>SUJETO OBLIGADO</w:t>
      </w:r>
      <w:r w:rsidR="00407351" w:rsidRPr="00553FE2">
        <w:rPr>
          <w:rFonts w:ascii="Palatino Linotype" w:hAnsi="Palatino Linotype"/>
          <w:color w:val="000000" w:themeColor="text1"/>
        </w:rPr>
        <w:t xml:space="preserve"> entregó el oficio número CDE/TES/</w:t>
      </w:r>
      <w:r w:rsidR="00F978D7" w:rsidRPr="00553FE2">
        <w:rPr>
          <w:rFonts w:ascii="Palatino Linotype" w:hAnsi="Palatino Linotype"/>
          <w:color w:val="000000" w:themeColor="text1"/>
        </w:rPr>
        <w:t>006</w:t>
      </w:r>
      <w:r w:rsidR="00407351" w:rsidRPr="00553FE2">
        <w:rPr>
          <w:rFonts w:ascii="Palatino Linotype" w:hAnsi="Palatino Linotype"/>
          <w:color w:val="000000" w:themeColor="text1"/>
        </w:rPr>
        <w:t>/202</w:t>
      </w:r>
      <w:r w:rsidR="00F978D7" w:rsidRPr="00553FE2">
        <w:rPr>
          <w:rFonts w:ascii="Palatino Linotype" w:hAnsi="Palatino Linotype"/>
          <w:color w:val="000000" w:themeColor="text1"/>
        </w:rPr>
        <w:t>2</w:t>
      </w:r>
      <w:r w:rsidR="00407351" w:rsidRPr="00553FE2">
        <w:rPr>
          <w:rFonts w:ascii="Palatino Linotype" w:hAnsi="Palatino Linotype"/>
          <w:color w:val="000000" w:themeColor="text1"/>
        </w:rPr>
        <w:t xml:space="preserve">, de </w:t>
      </w:r>
      <w:r w:rsidR="00F978D7" w:rsidRPr="00553FE2">
        <w:rPr>
          <w:rFonts w:ascii="Palatino Linotype" w:hAnsi="Palatino Linotype"/>
          <w:color w:val="000000" w:themeColor="text1"/>
        </w:rPr>
        <w:t>veinticuatro (24) de enero de dos mil veintidós</w:t>
      </w:r>
      <w:r w:rsidR="00407351" w:rsidRPr="00553FE2">
        <w:rPr>
          <w:rFonts w:ascii="Palatino Linotype" w:hAnsi="Palatino Linotype"/>
          <w:color w:val="000000" w:themeColor="text1"/>
        </w:rPr>
        <w:t>, emitido por el Tesorero del Comité Directivo Estatal, cuyo contenido elemental refiere lo siguiente:</w:t>
      </w:r>
    </w:p>
    <w:p w14:paraId="6946F2BF" w14:textId="35F9873E" w:rsidR="00882584" w:rsidRPr="00553FE2" w:rsidRDefault="00970450" w:rsidP="00882584">
      <w:pPr>
        <w:pStyle w:val="Prrafodelista"/>
        <w:tabs>
          <w:tab w:val="left" w:pos="426"/>
        </w:tabs>
        <w:spacing w:before="240" w:after="240" w:line="360" w:lineRule="auto"/>
        <w:ind w:left="0" w:right="51"/>
        <w:jc w:val="both"/>
        <w:rPr>
          <w:rFonts w:ascii="Palatino Linotype" w:hAnsi="Palatino Linotype"/>
          <w:color w:val="000000" w:themeColor="text1"/>
        </w:rPr>
      </w:pPr>
      <w:r w:rsidRPr="00553FE2">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40C6380E" wp14:editId="4B4562A8">
                <wp:simplePos x="0" y="0"/>
                <wp:positionH relativeFrom="margin">
                  <wp:align>right</wp:align>
                </wp:positionH>
                <wp:positionV relativeFrom="paragraph">
                  <wp:posOffset>45582</wp:posOffset>
                </wp:positionV>
                <wp:extent cx="5519862" cy="1454923"/>
                <wp:effectExtent l="38100" t="38100" r="62230" b="88265"/>
                <wp:wrapNone/>
                <wp:docPr id="3" name="Conector recto 3"/>
                <wp:cNvGraphicFramePr/>
                <a:graphic xmlns:a="http://schemas.openxmlformats.org/drawingml/2006/main">
                  <a:graphicData uri="http://schemas.microsoft.com/office/word/2010/wordprocessingShape">
                    <wps:wsp>
                      <wps:cNvCnPr/>
                      <wps:spPr>
                        <a:xfrm flipV="1">
                          <a:off x="0" y="0"/>
                          <a:ext cx="5519862" cy="145492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D2C6D"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45pt,3.6pt" to="818.1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" strokecolor="black [3200]" strokeweight="1pt">
                <v:shadow on="t" color="black" opacity="24903f" origin=",.5" offset="0,.55556mm"/>
                <w10:wrap anchorx="margin"/>
              </v:line>
            </w:pict>
          </mc:Fallback>
        </mc:AlternateContent>
      </w:r>
    </w:p>
    <w:p w14:paraId="7F815228" w14:textId="393D441F" w:rsidR="00407351" w:rsidRPr="00553FE2" w:rsidRDefault="000D5494" w:rsidP="00F978D7">
      <w:pPr>
        <w:pStyle w:val="Prrafodelista"/>
        <w:tabs>
          <w:tab w:val="left" w:pos="426"/>
        </w:tabs>
        <w:spacing w:before="240" w:after="240" w:line="360" w:lineRule="auto"/>
        <w:ind w:left="0" w:right="51"/>
        <w:jc w:val="center"/>
        <w:rPr>
          <w:rFonts w:ascii="Palatino Linotype" w:hAnsi="Palatino Linotype"/>
          <w:color w:val="000000" w:themeColor="text1"/>
        </w:rPr>
      </w:pPr>
      <w:r w:rsidRPr="00553FE2">
        <w:rPr>
          <w:noProof/>
        </w:rPr>
        <w:object w:dxaOrig="12225" w:dyaOrig="9735" w14:anchorId="02EB4A38">
          <v:shape id="_x0000_i1026" type="#_x0000_t75" style="width:376.3pt;height:299.5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705040" r:id="rId11"/>
        </w:object>
      </w:r>
    </w:p>
    <w:p w14:paraId="333780EB" w14:textId="77777777" w:rsidR="00D6094D" w:rsidRPr="00553FE2" w:rsidRDefault="00D6094D" w:rsidP="00D6094D">
      <w:pPr>
        <w:pStyle w:val="Prrafodelista"/>
        <w:tabs>
          <w:tab w:val="left" w:pos="426"/>
        </w:tabs>
        <w:spacing w:before="240" w:after="240" w:line="360" w:lineRule="auto"/>
        <w:ind w:left="0" w:right="51"/>
        <w:jc w:val="both"/>
        <w:rPr>
          <w:rFonts w:ascii="Palatino Linotype" w:hAnsi="Palatino Linotype"/>
          <w:color w:val="000000" w:themeColor="text1"/>
        </w:rPr>
      </w:pPr>
    </w:p>
    <w:p w14:paraId="73408AD8" w14:textId="3FAF0089" w:rsidR="008A3A84" w:rsidRPr="00553FE2" w:rsidRDefault="008A3A8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De la lectura al contenido del oficio anterior, podemos rescatar los siguientes pronunciamientos principales:</w:t>
      </w:r>
    </w:p>
    <w:p w14:paraId="37B44E94" w14:textId="52DD7A60" w:rsidR="008A3A84" w:rsidRPr="00553FE2" w:rsidRDefault="008A3A84" w:rsidP="008A3A84">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El </w:t>
      </w:r>
      <w:r w:rsidRPr="00553FE2">
        <w:rPr>
          <w:rFonts w:ascii="Palatino Linotype" w:hAnsi="Palatino Linotype"/>
          <w:b/>
          <w:bCs/>
          <w:color w:val="000000" w:themeColor="text1"/>
        </w:rPr>
        <w:t>SUJETO OBLIGADO</w:t>
      </w:r>
      <w:r w:rsidRPr="00553FE2">
        <w:rPr>
          <w:rFonts w:ascii="Palatino Linotype" w:hAnsi="Palatino Linotype"/>
          <w:color w:val="000000" w:themeColor="text1"/>
        </w:rPr>
        <w:t xml:space="preserve"> enlistó el monto de los gastos generados por el Comité Municipal de Toluca, por concepto de alimentos, arrendamiento, aseo y limpieza, despensa, energía eléctrica, eventos, gasolina, mantenimiento de equipo de cómputo, oficina y, equipo de transporte, oficina (nuevamente), material promocional, papelería, teléfono y, viáticos, por el periodo del dos mil veinte al dos mil veintiuno.</w:t>
      </w:r>
    </w:p>
    <w:p w14:paraId="15AC86D9" w14:textId="3D5A00C2" w:rsidR="008A3A84" w:rsidRPr="00553FE2" w:rsidRDefault="005A7B36" w:rsidP="008A3A84">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Por cuanto hace a las facturas, determinó cambiar la modalidad de entrega originalmente señalada por el particular, y las puso a disposición </w:t>
      </w:r>
      <w:r w:rsidRPr="00553FE2">
        <w:rPr>
          <w:rFonts w:ascii="Palatino Linotype" w:hAnsi="Palatino Linotype"/>
          <w:color w:val="000000" w:themeColor="text1"/>
        </w:rPr>
        <w:lastRenderedPageBreak/>
        <w:t>en Consulta Directa en las instalaciones de la Tesorería del Comité Directivo Estatal.</w:t>
      </w:r>
    </w:p>
    <w:p w14:paraId="218F20AB" w14:textId="77777777" w:rsidR="008A3A84" w:rsidRPr="00553FE2" w:rsidRDefault="008A3A84" w:rsidP="008A3A84">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7F2B7D58" w:rsidR="00565210" w:rsidRPr="00553FE2" w:rsidRDefault="0056521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El </w:t>
      </w:r>
      <w:r w:rsidRPr="00553FE2">
        <w:rPr>
          <w:rFonts w:ascii="Palatino Linotype" w:hAnsi="Palatino Linotype"/>
          <w:b/>
          <w:color w:val="000000" w:themeColor="text1"/>
        </w:rPr>
        <w:t>RECURRENTE</w:t>
      </w:r>
      <w:r w:rsidRPr="00553FE2">
        <w:rPr>
          <w:rFonts w:ascii="Palatino Linotype" w:hAnsi="Palatino Linotype"/>
          <w:color w:val="000000" w:themeColor="text1"/>
        </w:rPr>
        <w:t xml:space="preserve"> impugnó la respuesta del </w:t>
      </w:r>
      <w:r w:rsidRPr="00553FE2">
        <w:rPr>
          <w:rFonts w:ascii="Palatino Linotype" w:hAnsi="Palatino Linotype"/>
          <w:b/>
          <w:color w:val="000000" w:themeColor="text1"/>
        </w:rPr>
        <w:t>SUJETO OBLIGADO</w:t>
      </w:r>
      <w:r w:rsidRPr="00553FE2">
        <w:rPr>
          <w:rFonts w:ascii="Palatino Linotype" w:hAnsi="Palatino Linotype"/>
          <w:color w:val="000000" w:themeColor="text1"/>
        </w:rPr>
        <w:t xml:space="preserve"> mediante el recurso de revisión </w:t>
      </w:r>
      <w:r w:rsidR="00CC280B" w:rsidRPr="00553FE2">
        <w:rPr>
          <w:rFonts w:ascii="Palatino Linotype" w:hAnsi="Palatino Linotype"/>
          <w:b/>
          <w:color w:val="000000" w:themeColor="text1"/>
        </w:rPr>
        <w:t>00323/INFOEM/IP/RR/2022</w:t>
      </w:r>
      <w:r w:rsidRPr="00553FE2">
        <w:rPr>
          <w:rFonts w:ascii="Palatino Linotype" w:hAnsi="Palatino Linotype"/>
          <w:color w:val="000000" w:themeColor="text1"/>
        </w:rPr>
        <w:t xml:space="preserve">, dentro del </w:t>
      </w:r>
      <w:r w:rsidR="00B425B8" w:rsidRPr="00553FE2">
        <w:rPr>
          <w:rFonts w:ascii="Palatino Linotype" w:hAnsi="Palatino Linotype"/>
          <w:color w:val="000000" w:themeColor="text1"/>
        </w:rPr>
        <w:t>que señaló por agravios, únicamente</w:t>
      </w:r>
      <w:r w:rsidRPr="00553FE2">
        <w:rPr>
          <w:rFonts w:ascii="Palatino Linotype" w:hAnsi="Palatino Linotype"/>
          <w:color w:val="000000" w:themeColor="text1"/>
        </w:rPr>
        <w:t xml:space="preserve">, </w:t>
      </w:r>
      <w:r w:rsidR="00B425B8" w:rsidRPr="00553FE2">
        <w:rPr>
          <w:rFonts w:ascii="Palatino Linotype" w:hAnsi="Palatino Linotype"/>
          <w:color w:val="000000" w:themeColor="text1"/>
        </w:rPr>
        <w:t xml:space="preserve">que no se </w:t>
      </w:r>
      <w:r w:rsidR="005A7B36" w:rsidRPr="00553FE2">
        <w:rPr>
          <w:rFonts w:ascii="Palatino Linotype" w:hAnsi="Palatino Linotype"/>
          <w:color w:val="000000" w:themeColor="text1"/>
        </w:rPr>
        <w:t>le habían entregado las facturas</w:t>
      </w:r>
      <w:r w:rsidRPr="00553FE2">
        <w:rPr>
          <w:rFonts w:ascii="Palatino Linotype" w:hAnsi="Palatino Linotype"/>
          <w:color w:val="000000" w:themeColor="text1"/>
        </w:rPr>
        <w:t>.</w:t>
      </w:r>
    </w:p>
    <w:p w14:paraId="5BFFDB3C" w14:textId="77777777" w:rsidR="00CE0F94" w:rsidRPr="00553FE2" w:rsidRDefault="00CE0F94" w:rsidP="00CE0F94">
      <w:pPr>
        <w:pStyle w:val="Prrafodelista"/>
        <w:tabs>
          <w:tab w:val="left" w:pos="426"/>
        </w:tabs>
        <w:spacing w:before="240" w:after="240" w:line="360" w:lineRule="auto"/>
        <w:ind w:left="0" w:right="51"/>
        <w:jc w:val="both"/>
        <w:rPr>
          <w:rFonts w:ascii="Palatino Linotype" w:hAnsi="Palatino Linotype"/>
          <w:color w:val="000000" w:themeColor="text1"/>
        </w:rPr>
      </w:pPr>
    </w:p>
    <w:p w14:paraId="02E04256" w14:textId="0D7D53D7" w:rsidR="00794C2B" w:rsidRPr="00553FE2" w:rsidRDefault="00CB1EF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Así las cosas, toda vez que la inconformidad del </w:t>
      </w:r>
      <w:r w:rsidRPr="00553FE2">
        <w:rPr>
          <w:rFonts w:ascii="Palatino Linotype" w:hAnsi="Palatino Linotype"/>
          <w:b/>
          <w:bCs/>
          <w:color w:val="000000" w:themeColor="text1"/>
        </w:rPr>
        <w:t>RECURRENTE</w:t>
      </w:r>
      <w:r w:rsidRPr="00553FE2">
        <w:rPr>
          <w:rFonts w:ascii="Palatino Linotype" w:hAnsi="Palatino Linotype"/>
          <w:color w:val="000000" w:themeColor="text1"/>
        </w:rPr>
        <w:t xml:space="preserve"> radica específicamente en que el </w:t>
      </w:r>
      <w:r w:rsidRPr="00553FE2">
        <w:rPr>
          <w:rFonts w:ascii="Palatino Linotype" w:hAnsi="Palatino Linotype"/>
          <w:b/>
          <w:color w:val="000000" w:themeColor="text1"/>
        </w:rPr>
        <w:t>SUJETO OBLIGADO</w:t>
      </w:r>
      <w:r w:rsidRPr="00553FE2">
        <w:rPr>
          <w:rFonts w:ascii="Palatino Linotype" w:hAnsi="Palatino Linotype"/>
          <w:color w:val="000000" w:themeColor="text1"/>
        </w:rPr>
        <w:t xml:space="preserve"> omitió entregarle </w:t>
      </w:r>
      <w:r w:rsidR="005A7B36" w:rsidRPr="00553FE2">
        <w:rPr>
          <w:rFonts w:ascii="Palatino Linotype" w:hAnsi="Palatino Linotype"/>
          <w:color w:val="000000" w:themeColor="text1"/>
        </w:rPr>
        <w:t>las facturas</w:t>
      </w:r>
      <w:r w:rsidRPr="00553FE2">
        <w:rPr>
          <w:rFonts w:ascii="Palatino Linotype" w:hAnsi="Palatino Linotype"/>
          <w:color w:val="000000" w:themeColor="text1"/>
        </w:rPr>
        <w:t xml:space="preserve">, y no así del </w:t>
      </w:r>
      <w:r w:rsidR="005A7B36" w:rsidRPr="00553FE2">
        <w:rPr>
          <w:rFonts w:ascii="Palatino Linotype" w:hAnsi="Palatino Linotype"/>
          <w:color w:val="000000" w:themeColor="text1"/>
        </w:rPr>
        <w:t>desglose de gastos generados por el Comité Municipal de Toluca</w:t>
      </w:r>
      <w:r w:rsidRPr="00553FE2">
        <w:rPr>
          <w:rFonts w:ascii="Palatino Linotype" w:hAnsi="Palatino Linotype"/>
          <w:color w:val="000000" w:themeColor="text1"/>
        </w:rPr>
        <w:t>, se debe entender que el particular está parcialmente conforme con la respuesta emitida por el Partido Acción Nacional.</w:t>
      </w:r>
    </w:p>
    <w:p w14:paraId="6E8B3D0B"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0A340427" w14:textId="57DDE3F7" w:rsidR="00CB1EF3" w:rsidRPr="00553FE2" w:rsidRDefault="00D6094D"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En ese sentido, </w:t>
      </w:r>
      <w:r w:rsidR="00CB1EF3" w:rsidRPr="00553FE2">
        <w:rPr>
          <w:rFonts w:ascii="Palatino Linotype" w:hAnsi="Palatino Linotype"/>
          <w:color w:val="000000" w:themeColor="text1"/>
        </w:rPr>
        <w:t xml:space="preserve">por cuando hace a la respuesta proveída por el </w:t>
      </w:r>
      <w:r w:rsidR="00CB1EF3" w:rsidRPr="00553FE2">
        <w:rPr>
          <w:rFonts w:ascii="Palatino Linotype" w:hAnsi="Palatino Linotype"/>
          <w:b/>
          <w:bCs/>
          <w:color w:val="000000" w:themeColor="text1"/>
        </w:rPr>
        <w:t>SUJETO OBLIGADO</w:t>
      </w:r>
      <w:r w:rsidR="00CB1EF3" w:rsidRPr="00553FE2">
        <w:rPr>
          <w:rFonts w:ascii="Palatino Linotype" w:hAnsi="Palatino Linotype"/>
          <w:color w:val="000000" w:themeColor="text1"/>
        </w:rPr>
        <w:t xml:space="preserve"> en relación con </w:t>
      </w:r>
      <w:r w:rsidR="005A7B36" w:rsidRPr="00553FE2">
        <w:rPr>
          <w:rFonts w:ascii="Palatino Linotype" w:hAnsi="Palatino Linotype"/>
          <w:color w:val="000000" w:themeColor="text1"/>
        </w:rPr>
        <w:t>la tabla informativa con el desglose de gastos, por concepto y monto, del Comité Municipal de Toluca</w:t>
      </w:r>
      <w:r w:rsidR="00CB1EF3" w:rsidRPr="00553FE2">
        <w:rPr>
          <w:rFonts w:ascii="Palatino Linotype" w:hAnsi="Palatino Linotype"/>
          <w:color w:val="000000" w:themeColor="text1"/>
        </w:rPr>
        <w:t xml:space="preserve">, debe entenderse como consentida por el </w:t>
      </w:r>
      <w:r w:rsidR="00CB1EF3" w:rsidRPr="00553FE2">
        <w:rPr>
          <w:rFonts w:ascii="Palatino Linotype" w:hAnsi="Palatino Linotype"/>
          <w:b/>
          <w:bCs/>
          <w:color w:val="000000" w:themeColor="text1"/>
        </w:rPr>
        <w:t>RECURRENTE</w:t>
      </w:r>
      <w:r w:rsidR="00CB1EF3" w:rsidRPr="00553FE2">
        <w:rPr>
          <w:rFonts w:ascii="Palatino Linotype" w:hAnsi="Palatino Linotype"/>
          <w:color w:val="000000" w:themeColor="text1"/>
        </w:rPr>
        <w:t xml:space="preserve">. Ello es así, debido a que cuando los Solicitantes no expresan razón o motivo de inconformidad en contra de los rubros de las respuestas que pudieran ser un agravio a su derecho, </w:t>
      </w:r>
      <w:r w:rsidR="00CB1EF3" w:rsidRPr="00553FE2">
        <w:rPr>
          <w:rFonts w:ascii="Palatino Linotype" w:hAnsi="Palatino Linotype"/>
          <w:b/>
          <w:color w:val="000000" w:themeColor="text1"/>
        </w:rPr>
        <w:t>los mismos deben estimarse atendidos</w:t>
      </w:r>
      <w:r w:rsidR="00CB1EF3" w:rsidRPr="00553FE2">
        <w:rPr>
          <w:rFonts w:ascii="Palatino Linotype" w:hAnsi="Palatino Linotype"/>
          <w:color w:val="000000" w:themeColor="text1"/>
        </w:rPr>
        <w:t>.</w:t>
      </w:r>
    </w:p>
    <w:p w14:paraId="6EB1CA67"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088FF8AE" w14:textId="44F4C1A9" w:rsidR="00CB1EF3" w:rsidRPr="00553FE2" w:rsidRDefault="00CB1EF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35AEB18D" w14:textId="77777777" w:rsidR="00CB1EF3" w:rsidRPr="00553FE2" w:rsidRDefault="00CB1EF3" w:rsidP="00CB1EF3">
      <w:pPr>
        <w:pStyle w:val="Prrafodelista"/>
        <w:tabs>
          <w:tab w:val="left" w:pos="426"/>
        </w:tabs>
        <w:spacing w:before="240" w:line="360" w:lineRule="auto"/>
        <w:ind w:left="0" w:right="51"/>
        <w:jc w:val="both"/>
        <w:rPr>
          <w:rFonts w:ascii="Palatino Linotype" w:hAnsi="Palatino Linotype"/>
          <w:color w:val="000000" w:themeColor="text1"/>
        </w:rPr>
      </w:pPr>
    </w:p>
    <w:p w14:paraId="478F36DE" w14:textId="77777777" w:rsidR="00CB1EF3" w:rsidRPr="00553FE2" w:rsidRDefault="00CB1EF3" w:rsidP="00CB1EF3">
      <w:pPr>
        <w:spacing w:line="276" w:lineRule="auto"/>
        <w:ind w:left="567" w:right="567"/>
        <w:jc w:val="both"/>
        <w:rPr>
          <w:rFonts w:ascii="Palatino Linotype" w:hAnsi="Palatino Linotype" w:cs="Arial"/>
          <w:i/>
          <w:sz w:val="22"/>
          <w:szCs w:val="22"/>
          <w:lang w:eastAsia="es-MX"/>
        </w:rPr>
      </w:pPr>
      <w:r w:rsidRPr="00553FE2">
        <w:rPr>
          <w:rFonts w:ascii="Palatino Linotype" w:hAnsi="Palatino Linotype" w:cs="Arial"/>
          <w:b/>
          <w:i/>
          <w:sz w:val="22"/>
          <w:szCs w:val="22"/>
          <w:lang w:eastAsia="es-MX"/>
        </w:rPr>
        <w:lastRenderedPageBreak/>
        <w:t>REVISIÓN EN AMPARO. LOS RESOLUTIVOS NO COMBATIDOS DEBEN DECLARARSE FIRMES</w:t>
      </w:r>
      <w:r w:rsidRPr="00553FE2">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E05640"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64712A16" w14:textId="19B98E50" w:rsidR="00CB1EF3" w:rsidRPr="00553FE2" w:rsidRDefault="00CB1EF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Luego entonces, </w:t>
      </w:r>
      <w:r w:rsidRPr="00553FE2">
        <w:rPr>
          <w:rFonts w:ascii="Palatino Linotype" w:eastAsia="Times New Roman" w:hAnsi="Palatino Linotype" w:cs="Arial"/>
        </w:rPr>
        <w:t xml:space="preserve">la parte de la solicitud sobre la que no se expresó inconformidad, debe declararse consentida por el hoy </w:t>
      </w:r>
      <w:r w:rsidRPr="00553FE2">
        <w:rPr>
          <w:rFonts w:ascii="Palatino Linotype" w:eastAsia="Times New Roman" w:hAnsi="Palatino Linotype" w:cs="Arial"/>
          <w:b/>
        </w:rPr>
        <w:t>RECURRENTE</w:t>
      </w:r>
      <w:r w:rsidRPr="00553FE2">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09DE49DD" w14:textId="77777777" w:rsidR="00CB1EF3" w:rsidRPr="00553FE2" w:rsidRDefault="00CB1EF3" w:rsidP="00CB1EF3">
      <w:pPr>
        <w:pStyle w:val="Prrafodelista"/>
        <w:tabs>
          <w:tab w:val="left" w:pos="426"/>
        </w:tabs>
        <w:spacing w:before="240" w:line="360" w:lineRule="auto"/>
        <w:ind w:left="0" w:right="51"/>
        <w:jc w:val="both"/>
        <w:rPr>
          <w:rFonts w:ascii="Palatino Linotype" w:hAnsi="Palatino Linotype"/>
          <w:color w:val="000000" w:themeColor="text1"/>
        </w:rPr>
      </w:pPr>
    </w:p>
    <w:p w14:paraId="12315485" w14:textId="77777777" w:rsidR="00CB1EF3" w:rsidRPr="00553FE2" w:rsidRDefault="00CB1EF3" w:rsidP="00CB1EF3">
      <w:pPr>
        <w:spacing w:line="276" w:lineRule="auto"/>
        <w:ind w:left="567" w:right="567"/>
        <w:jc w:val="both"/>
        <w:rPr>
          <w:rFonts w:ascii="Palatino Linotype" w:hAnsi="Palatino Linotype" w:cs="Arial"/>
          <w:i/>
          <w:sz w:val="22"/>
          <w:szCs w:val="22"/>
          <w:lang w:eastAsia="es-MX"/>
        </w:rPr>
      </w:pPr>
      <w:r w:rsidRPr="00553FE2">
        <w:rPr>
          <w:rFonts w:ascii="Palatino Linotype" w:hAnsi="Palatino Linotype" w:cs="Arial"/>
          <w:b/>
          <w:i/>
          <w:sz w:val="22"/>
          <w:szCs w:val="22"/>
          <w:lang w:eastAsia="es-MX"/>
        </w:rPr>
        <w:t>ACTOS CONSENTIDOS. SON LOS QUE NO SE IMPUGNAN MEDIANTE EL RECURSO IDÓNEO</w:t>
      </w:r>
      <w:r w:rsidRPr="00553FE2">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30A27EA"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78C5E4D1" w14:textId="01FBDAFA" w:rsidR="0086276A" w:rsidRPr="00553FE2" w:rsidRDefault="0086276A" w:rsidP="008627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Por otro lado, toda vez que el </w:t>
      </w:r>
      <w:r w:rsidRPr="00553FE2">
        <w:rPr>
          <w:rFonts w:ascii="Palatino Linotype" w:hAnsi="Palatino Linotype"/>
          <w:b/>
          <w:color w:val="000000" w:themeColor="text1"/>
        </w:rPr>
        <w:t>SUJETO OBLIGADO</w:t>
      </w:r>
      <w:r w:rsidRPr="00553FE2">
        <w:rPr>
          <w:rFonts w:ascii="Palatino Linotype" w:hAnsi="Palatino Linotype"/>
          <w:color w:val="000000" w:themeColor="text1"/>
        </w:rPr>
        <w:t xml:space="preserve"> se pronunció respecto de la información solicitada, resultaría conveniente obviar el análisis de competencia </w:t>
      </w:r>
      <w:r w:rsidRPr="00553FE2">
        <w:rPr>
          <w:rFonts w:ascii="Palatino Linotype" w:hAnsi="Palatino Linotype"/>
          <w:color w:val="000000" w:themeColor="text1"/>
        </w:rPr>
        <w:lastRenderedPageBreak/>
        <w:t xml:space="preserve">del </w:t>
      </w:r>
      <w:r w:rsidRPr="00553FE2">
        <w:rPr>
          <w:rFonts w:ascii="Palatino Linotype" w:hAnsi="Palatino Linotype"/>
          <w:bCs/>
          <w:color w:val="000000" w:themeColor="text1"/>
        </w:rPr>
        <w:t>Partido Acción Nacional</w:t>
      </w:r>
      <w:r w:rsidRPr="00553FE2">
        <w:rPr>
          <w:rFonts w:ascii="Palatino Linotype" w:hAnsi="Palatino Linotype"/>
          <w:color w:val="000000" w:themeColor="text1"/>
        </w:rPr>
        <w:t xml:space="preserve"> para generar, administrar o poseer la misma, dado que éste asumió la competencia mediante su respuesta a la solicitud de información.</w:t>
      </w:r>
    </w:p>
    <w:p w14:paraId="5AE81FAF" w14:textId="77777777" w:rsidR="0086276A" w:rsidRPr="00553FE2" w:rsidRDefault="0086276A" w:rsidP="0086276A">
      <w:pPr>
        <w:pStyle w:val="Prrafodelista"/>
        <w:tabs>
          <w:tab w:val="left" w:pos="426"/>
        </w:tabs>
        <w:spacing w:before="240" w:after="240" w:line="360" w:lineRule="auto"/>
        <w:ind w:left="0" w:right="51"/>
        <w:jc w:val="both"/>
        <w:rPr>
          <w:rFonts w:ascii="Palatino Linotype" w:hAnsi="Palatino Linotype"/>
          <w:color w:val="000000" w:themeColor="text1"/>
        </w:rPr>
      </w:pPr>
    </w:p>
    <w:p w14:paraId="16145CDC" w14:textId="2874EF2C" w:rsidR="0086276A" w:rsidRPr="00553FE2" w:rsidRDefault="0086276A" w:rsidP="008627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553FE2">
        <w:rPr>
          <w:rFonts w:ascii="Palatino Linotype" w:hAnsi="Palatino Linotype"/>
          <w:b/>
          <w:color w:val="000000" w:themeColor="text1"/>
        </w:rPr>
        <w:t>SUJETO OBLIGADO</w:t>
      </w:r>
      <w:r w:rsidRPr="00553FE2">
        <w:rPr>
          <w:rFonts w:ascii="Palatino Linotype" w:hAnsi="Palatino Linotype"/>
          <w:color w:val="000000" w:themeColor="text1"/>
        </w:rPr>
        <w:t xml:space="preserve">; empero, en aquellos casos en que éste la asume, implica </w:t>
      </w:r>
      <w:r w:rsidRPr="00553FE2">
        <w:rPr>
          <w:rFonts w:ascii="Palatino Linotype" w:hAnsi="Palatino Linotype"/>
          <w:i/>
          <w:color w:val="000000" w:themeColor="text1"/>
        </w:rPr>
        <w:t>de facto</w:t>
      </w:r>
      <w:r w:rsidRPr="00553FE2">
        <w:rPr>
          <w:rFonts w:ascii="Palatino Linotype" w:hAnsi="Palatino Linotype"/>
          <w:color w:val="000000" w:themeColor="text1"/>
        </w:rPr>
        <w:t xml:space="preserve"> que la genera, posee o administra. Por consiguiente, a nada práctico nos conduciría su estudio, ya que, se insiste, la información pública solicitada, relacionada con los</w:t>
      </w:r>
      <w:r w:rsidR="005A7B36" w:rsidRPr="00553FE2">
        <w:rPr>
          <w:rFonts w:ascii="Palatino Linotype" w:hAnsi="Palatino Linotype" w:cs="Arial"/>
          <w:color w:val="000000" w:themeColor="text1"/>
        </w:rPr>
        <w:t xml:space="preserve"> gastos generados por el Comité Municipal de Toluca, así como las facturas que amparen estas erogaciones</w:t>
      </w:r>
      <w:r w:rsidRPr="00553FE2">
        <w:rPr>
          <w:rFonts w:ascii="Palatino Linotype" w:hAnsi="Palatino Linotype"/>
          <w:color w:val="000000" w:themeColor="text1"/>
        </w:rPr>
        <w:t>,</w:t>
      </w:r>
      <w:r w:rsidRPr="00553FE2">
        <w:rPr>
          <w:rFonts w:ascii="Palatino Linotype" w:hAnsi="Palatino Linotype"/>
          <w:b/>
          <w:color w:val="000000" w:themeColor="text1"/>
        </w:rPr>
        <w:t xml:space="preserve"> </w:t>
      </w:r>
      <w:r w:rsidRPr="00553FE2">
        <w:rPr>
          <w:rFonts w:ascii="Palatino Linotype" w:hAnsi="Palatino Linotype"/>
          <w:color w:val="000000" w:themeColor="text1"/>
        </w:rPr>
        <w:t xml:space="preserve">ha sido asumida por el </w:t>
      </w:r>
      <w:r w:rsidRPr="00553FE2">
        <w:rPr>
          <w:rFonts w:ascii="Palatino Linotype" w:hAnsi="Palatino Linotype"/>
          <w:b/>
          <w:color w:val="000000" w:themeColor="text1"/>
        </w:rPr>
        <w:t>SUJETO OBLIGADO</w:t>
      </w:r>
      <w:r w:rsidRPr="00553FE2">
        <w:rPr>
          <w:rFonts w:ascii="Palatino Linotype" w:hAnsi="Palatino Linotype"/>
          <w:color w:val="000000" w:themeColor="text1"/>
        </w:rPr>
        <w:t>.</w:t>
      </w:r>
    </w:p>
    <w:p w14:paraId="48CC2D79" w14:textId="77777777" w:rsidR="0086276A" w:rsidRPr="00553FE2" w:rsidRDefault="0086276A" w:rsidP="0086276A">
      <w:pPr>
        <w:pStyle w:val="Prrafodelista"/>
        <w:tabs>
          <w:tab w:val="left" w:pos="426"/>
        </w:tabs>
        <w:spacing w:before="240" w:after="240" w:line="360" w:lineRule="auto"/>
        <w:ind w:left="0" w:right="51"/>
        <w:jc w:val="both"/>
        <w:rPr>
          <w:rFonts w:ascii="Palatino Linotype" w:hAnsi="Palatino Linotype"/>
          <w:color w:val="000000" w:themeColor="text1"/>
        </w:rPr>
      </w:pPr>
    </w:p>
    <w:p w14:paraId="51EB47FF" w14:textId="23B8EB10" w:rsidR="00CB1EF3" w:rsidRPr="00553FE2" w:rsidRDefault="0086276A"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C</w:t>
      </w:r>
      <w:r w:rsidR="00CB1EF3" w:rsidRPr="00553FE2">
        <w:rPr>
          <w:rFonts w:ascii="Palatino Linotype" w:hAnsi="Palatino Linotype"/>
          <w:color w:val="000000" w:themeColor="text1"/>
        </w:rPr>
        <w:t xml:space="preserve">on base en lo anterior, se procede a analizar </w:t>
      </w:r>
      <w:r w:rsidR="005A7B36" w:rsidRPr="00553FE2">
        <w:rPr>
          <w:rFonts w:ascii="Palatino Linotype" w:hAnsi="Palatino Linotype"/>
          <w:color w:val="000000" w:themeColor="text1"/>
        </w:rPr>
        <w:t>la legalidad del cambio de modalidad en la entrega de la información, a fin de determinar si es procedente que</w:t>
      </w:r>
      <w:r w:rsidR="00764E0F" w:rsidRPr="00553FE2">
        <w:rPr>
          <w:rFonts w:ascii="Palatino Linotype" w:hAnsi="Palatino Linotype"/>
          <w:color w:val="000000" w:themeColor="text1"/>
        </w:rPr>
        <w:t xml:space="preserve"> </w:t>
      </w:r>
      <w:r w:rsidR="005A7B36" w:rsidRPr="00553FE2">
        <w:rPr>
          <w:rFonts w:ascii="Palatino Linotype" w:hAnsi="Palatino Linotype"/>
          <w:color w:val="000000" w:themeColor="text1"/>
        </w:rPr>
        <w:t xml:space="preserve">el </w:t>
      </w:r>
      <w:r w:rsidR="005A7B36" w:rsidRPr="00553FE2">
        <w:rPr>
          <w:rFonts w:ascii="Palatino Linotype" w:hAnsi="Palatino Linotype"/>
          <w:b/>
          <w:bCs/>
          <w:color w:val="000000" w:themeColor="text1"/>
        </w:rPr>
        <w:t>RECURRENTE</w:t>
      </w:r>
      <w:r w:rsidR="005A7B36" w:rsidRPr="00553FE2">
        <w:rPr>
          <w:rFonts w:ascii="Palatino Linotype" w:hAnsi="Palatino Linotype"/>
          <w:color w:val="000000" w:themeColor="text1"/>
        </w:rPr>
        <w:t xml:space="preserve"> acuda a las instalaciones </w:t>
      </w:r>
      <w:r w:rsidR="00764E0F" w:rsidRPr="00553FE2">
        <w:rPr>
          <w:rFonts w:ascii="Palatino Linotype" w:hAnsi="Palatino Linotype"/>
          <w:color w:val="000000" w:themeColor="text1"/>
        </w:rPr>
        <w:t xml:space="preserve">del </w:t>
      </w:r>
      <w:r w:rsidR="00764E0F" w:rsidRPr="00553FE2">
        <w:rPr>
          <w:rFonts w:ascii="Palatino Linotype" w:hAnsi="Palatino Linotype"/>
          <w:b/>
          <w:bCs/>
          <w:color w:val="000000" w:themeColor="text1"/>
        </w:rPr>
        <w:t>SUJETO OBLIGADO</w:t>
      </w:r>
      <w:r w:rsidR="00764E0F" w:rsidRPr="00553FE2">
        <w:rPr>
          <w:rFonts w:ascii="Palatino Linotype" w:hAnsi="Palatino Linotype"/>
          <w:color w:val="000000" w:themeColor="text1"/>
        </w:rPr>
        <w:t>;</w:t>
      </w:r>
      <w:r w:rsidR="00CB1EF3" w:rsidRPr="00553FE2">
        <w:rPr>
          <w:rFonts w:ascii="Palatino Linotype" w:hAnsi="Palatino Linotype"/>
          <w:color w:val="000000" w:themeColor="text1"/>
        </w:rPr>
        <w:t xml:space="preserve"> o, si por el contrario, procede la entrega de información</w:t>
      </w:r>
      <w:r w:rsidR="00764E0F" w:rsidRPr="00553FE2">
        <w:rPr>
          <w:rFonts w:ascii="Palatino Linotype" w:hAnsi="Palatino Linotype"/>
          <w:color w:val="000000" w:themeColor="text1"/>
        </w:rPr>
        <w:t xml:space="preserve"> en la vía originalmente señalada por el particular</w:t>
      </w:r>
      <w:r w:rsidR="00CB1EF3" w:rsidRPr="00553FE2">
        <w:rPr>
          <w:rFonts w:ascii="Palatino Linotype" w:hAnsi="Palatino Linotype"/>
          <w:color w:val="000000" w:themeColor="text1"/>
        </w:rPr>
        <w:t>.</w:t>
      </w:r>
    </w:p>
    <w:p w14:paraId="1C5B3663"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5E0A35F1" w14:textId="167DD381" w:rsidR="00F44406" w:rsidRPr="00553FE2" w:rsidRDefault="00F44406" w:rsidP="00F4440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5" w:name="_Toc95402620"/>
      <w:bookmarkStart w:id="36" w:name="_Toc98445263"/>
      <w:r w:rsidRPr="00553FE2">
        <w:rPr>
          <w:rFonts w:ascii="Palatino Linotype" w:hAnsi="Palatino Linotype"/>
          <w:b/>
          <w:color w:val="000000" w:themeColor="text1"/>
        </w:rPr>
        <w:t xml:space="preserve">III. De </w:t>
      </w:r>
      <w:r w:rsidR="00771F3A" w:rsidRPr="00553FE2">
        <w:rPr>
          <w:rFonts w:ascii="Palatino Linotype" w:hAnsi="Palatino Linotype"/>
          <w:b/>
          <w:color w:val="000000" w:themeColor="text1"/>
        </w:rPr>
        <w:t>las obligaciones de transparencia del SUJETO OBLIGADO</w:t>
      </w:r>
      <w:r w:rsidRPr="00553FE2">
        <w:rPr>
          <w:rFonts w:ascii="Palatino Linotype" w:hAnsi="Palatino Linotype"/>
          <w:b/>
          <w:color w:val="000000" w:themeColor="text1"/>
        </w:rPr>
        <w:t>.</w:t>
      </w:r>
      <w:bookmarkEnd w:id="35"/>
      <w:bookmarkEnd w:id="36"/>
    </w:p>
    <w:p w14:paraId="48C44F9E" w14:textId="77777777" w:rsidR="00F44406" w:rsidRPr="00553FE2" w:rsidRDefault="00F44406"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64A2F297" w14:textId="0816F194" w:rsidR="00821032" w:rsidRPr="00553FE2" w:rsidRDefault="00821032" w:rsidP="0082103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El artículo 4 de la Ley de Transparencia y Acceso a la Información Pública del Estado de México y Municipios, en su párrafo segundo, establece que </w:t>
      </w:r>
      <w:r w:rsidRPr="00553FE2">
        <w:rPr>
          <w:rFonts w:ascii="Palatino Linotype" w:hAnsi="Palatino Linotype"/>
          <w:b/>
          <w:color w:val="000000" w:themeColor="text1"/>
        </w:rPr>
        <w:t xml:space="preserve">toda la información </w:t>
      </w:r>
      <w:r w:rsidRPr="00553FE2">
        <w:rPr>
          <w:rFonts w:ascii="Palatino Linotype" w:hAnsi="Palatino Linotype"/>
          <w:color w:val="000000" w:themeColor="text1"/>
        </w:rPr>
        <w:t xml:space="preserve">generada, obtenida, adquirida, transformada, administrada o en posesión de los Sujetos Obligados </w:t>
      </w:r>
      <w:r w:rsidRPr="00553FE2">
        <w:rPr>
          <w:rFonts w:ascii="Palatino Linotype" w:hAnsi="Palatino Linotype"/>
          <w:b/>
          <w:color w:val="000000" w:themeColor="text1"/>
        </w:rPr>
        <w:t>es pública y accesible de manera permanente a cualquier persona</w:t>
      </w:r>
      <w:r w:rsidRPr="00553FE2">
        <w:rPr>
          <w:rFonts w:ascii="Palatino Linotype" w:hAnsi="Palatino Linotype"/>
          <w:color w:val="000000" w:themeColor="text1"/>
        </w:rPr>
        <w:t xml:space="preserve">, en los términos y condiciones que se establezcan en los tratados </w:t>
      </w:r>
      <w:r w:rsidRPr="00553FE2">
        <w:rPr>
          <w:rFonts w:ascii="Palatino Linotype" w:hAnsi="Palatino Linotype"/>
          <w:color w:val="000000" w:themeColor="text1"/>
        </w:rPr>
        <w:lastRenderedPageBreak/>
        <w:t xml:space="preserve">internacionales de los que el Estado mexicano sea parte, en la Ley General, la Ley de mérito y demás disposiciones de la materia, privilegiando el principio de máxima publicidad de la información. </w:t>
      </w:r>
    </w:p>
    <w:p w14:paraId="7D978264" w14:textId="77777777" w:rsidR="00821032" w:rsidRPr="00553FE2" w:rsidRDefault="00821032" w:rsidP="00821032">
      <w:pPr>
        <w:pStyle w:val="Prrafodelista"/>
        <w:tabs>
          <w:tab w:val="left" w:pos="426"/>
        </w:tabs>
        <w:spacing w:before="240" w:after="240" w:line="360" w:lineRule="auto"/>
        <w:ind w:left="0" w:right="51"/>
        <w:jc w:val="both"/>
        <w:rPr>
          <w:rFonts w:ascii="Palatino Linotype" w:hAnsi="Palatino Linotype"/>
          <w:color w:val="000000" w:themeColor="text1"/>
        </w:rPr>
      </w:pPr>
    </w:p>
    <w:p w14:paraId="4E12722A" w14:textId="70F0A64D" w:rsidR="00821032" w:rsidRPr="00553FE2" w:rsidRDefault="00821032"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Por su parte, el artículo 12 de la Ley de la materia refiere que quienes generen, recopilen, administren, manejen, procesen, archiven o conserven información pública </w:t>
      </w:r>
      <w:r w:rsidRPr="00553FE2">
        <w:rPr>
          <w:rFonts w:ascii="Palatino Linotype" w:hAnsi="Palatino Linotype"/>
          <w:b/>
          <w:color w:val="000000" w:themeColor="text1"/>
        </w:rPr>
        <w:t>serán responsables de la misma</w:t>
      </w:r>
      <w:r w:rsidRPr="00553FE2">
        <w:rPr>
          <w:rFonts w:ascii="Palatino Linotype" w:hAnsi="Palatino Linotype"/>
          <w:color w:val="000000" w:themeColor="text1"/>
        </w:rPr>
        <w:t xml:space="preserve"> en los términos de las disposiciones jurídicas aplicables.</w:t>
      </w:r>
    </w:p>
    <w:p w14:paraId="5A4174A7" w14:textId="77777777" w:rsidR="00821032" w:rsidRPr="00553FE2" w:rsidRDefault="00821032" w:rsidP="00821032">
      <w:pPr>
        <w:pStyle w:val="Prrafodelista"/>
        <w:tabs>
          <w:tab w:val="left" w:pos="426"/>
        </w:tabs>
        <w:spacing w:before="240" w:after="240" w:line="360" w:lineRule="auto"/>
        <w:ind w:left="0" w:right="51"/>
        <w:jc w:val="both"/>
        <w:rPr>
          <w:rFonts w:ascii="Palatino Linotype" w:hAnsi="Palatino Linotype"/>
          <w:color w:val="000000" w:themeColor="text1"/>
        </w:rPr>
      </w:pPr>
    </w:p>
    <w:p w14:paraId="34B29C83" w14:textId="54411CD1" w:rsidR="00821032" w:rsidRPr="00553FE2" w:rsidRDefault="00821032"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Más adelante, el numeral 23 de la Ley enlista y reconoce a los Sujetos Obligados a transparenta y permitir el acceso a su información </w:t>
      </w:r>
      <w:r w:rsidRPr="00553FE2">
        <w:rPr>
          <w:rFonts w:ascii="Palatino Linotype" w:hAnsi="Palatino Linotype"/>
          <w:b/>
          <w:color w:val="000000" w:themeColor="text1"/>
        </w:rPr>
        <w:t>y proteger los datos personales</w:t>
      </w:r>
      <w:r w:rsidRPr="00553FE2">
        <w:rPr>
          <w:rFonts w:ascii="Palatino Linotype" w:hAnsi="Palatino Linotype"/>
          <w:color w:val="000000" w:themeColor="text1"/>
        </w:rPr>
        <w:t xml:space="preserve"> que obren en su poder, dentro de los que destacan los </w:t>
      </w:r>
      <w:r w:rsidR="00C0513A" w:rsidRPr="00553FE2">
        <w:rPr>
          <w:rFonts w:ascii="Palatino Linotype" w:hAnsi="Palatino Linotype"/>
          <w:b/>
          <w:color w:val="000000" w:themeColor="text1"/>
        </w:rPr>
        <w:t>partidos y agrupaciones políticas</w:t>
      </w:r>
      <w:r w:rsidRPr="00553FE2">
        <w:rPr>
          <w:rFonts w:ascii="Palatino Linotype" w:hAnsi="Palatino Linotype"/>
          <w:color w:val="000000" w:themeColor="text1"/>
        </w:rPr>
        <w:t>.</w:t>
      </w:r>
    </w:p>
    <w:p w14:paraId="100FC291"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409F67EB" w14:textId="2EE25579" w:rsidR="00F44406" w:rsidRPr="00553FE2" w:rsidRDefault="00F44406" w:rsidP="005D044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Es </w:t>
      </w:r>
      <w:r w:rsidRPr="00553FE2">
        <w:rPr>
          <w:rFonts w:ascii="Palatino Linotype" w:eastAsia="MS Gothic" w:hAnsi="Palatino Linotype" w:cs="Times New Roman"/>
          <w:szCs w:val="26"/>
        </w:rPr>
        <w:t xml:space="preserve">de advertir que la información solicitada por el particular se relaciona, </w:t>
      </w:r>
      <w:r w:rsidRPr="00553FE2">
        <w:rPr>
          <w:rFonts w:ascii="Palatino Linotype" w:eastAsia="MS Gothic" w:hAnsi="Palatino Linotype" w:cs="Times New Roman"/>
          <w:i/>
          <w:szCs w:val="26"/>
        </w:rPr>
        <w:t>grosso modo</w:t>
      </w:r>
      <w:r w:rsidRPr="00553FE2">
        <w:rPr>
          <w:rFonts w:ascii="Palatino Linotype" w:eastAsia="MS Gothic" w:hAnsi="Palatino Linotype" w:cs="Times New Roman"/>
          <w:iCs/>
          <w:szCs w:val="26"/>
        </w:rPr>
        <w:t xml:space="preserve">, con </w:t>
      </w:r>
      <w:r w:rsidR="00C0513A" w:rsidRPr="00553FE2">
        <w:rPr>
          <w:rFonts w:ascii="Palatino Linotype" w:eastAsia="MS Gothic" w:hAnsi="Palatino Linotype" w:cs="Times New Roman"/>
          <w:iCs/>
          <w:szCs w:val="26"/>
        </w:rPr>
        <w:t xml:space="preserve">los estados financieros, así como las facturas y comprobantes que avalen el gasto corriente del </w:t>
      </w:r>
      <w:r w:rsidR="00C0513A" w:rsidRPr="00553FE2">
        <w:rPr>
          <w:rFonts w:ascii="Palatino Linotype" w:eastAsia="MS Gothic" w:hAnsi="Palatino Linotype" w:cs="Times New Roman"/>
          <w:b/>
          <w:bCs/>
          <w:iCs/>
          <w:szCs w:val="26"/>
        </w:rPr>
        <w:t>SUJETO OBLIGADO</w:t>
      </w:r>
      <w:r w:rsidR="00C0513A" w:rsidRPr="00553FE2">
        <w:rPr>
          <w:rFonts w:ascii="Palatino Linotype" w:eastAsia="MS Gothic" w:hAnsi="Palatino Linotype" w:cs="Times New Roman"/>
          <w:iCs/>
          <w:szCs w:val="26"/>
        </w:rPr>
        <w:t>; por ello, conviene referir que</w:t>
      </w:r>
      <w:r w:rsidRPr="00553FE2">
        <w:rPr>
          <w:rFonts w:ascii="Palatino Linotype" w:hAnsi="Palatino Linotype"/>
          <w:color w:val="000000" w:themeColor="text1"/>
        </w:rPr>
        <w:t xml:space="preserve"> la Ley de Transparencia y Acceso a la Información Pública del Estado de México y Municipios, en su artículo 92, enlista a los temas, documentos y políticas que son reconocidos como </w:t>
      </w:r>
      <w:r w:rsidR="00C0513A" w:rsidRPr="00553FE2">
        <w:rPr>
          <w:rFonts w:ascii="Palatino Linotype" w:hAnsi="Palatino Linotype"/>
          <w:b/>
          <w:color w:val="000000" w:themeColor="text1"/>
        </w:rPr>
        <w:t>obligaciones de transparencia común</w:t>
      </w:r>
      <w:r w:rsidRPr="00553FE2">
        <w:rPr>
          <w:rFonts w:ascii="Palatino Linotype" w:hAnsi="Palatino Linotype"/>
          <w:color w:val="000000" w:themeColor="text1"/>
        </w:rPr>
        <w:t xml:space="preserve">, la cual, por su naturaleza, deberá ser puesta a disposición del público de manera permanente y actualizada de forma sencilla, precisa y entendible, en los respectivos medios electrónicos, de acuerdo con las facultades, atribuciones, funciones u objeto social de los Sujetos Obligados, según corresponda, destacando lo establecido por la fracción </w:t>
      </w:r>
      <w:r w:rsidR="00C0513A" w:rsidRPr="00553FE2">
        <w:rPr>
          <w:rFonts w:ascii="Palatino Linotype" w:hAnsi="Palatino Linotype"/>
          <w:color w:val="000000" w:themeColor="text1"/>
        </w:rPr>
        <w:t>XXV</w:t>
      </w:r>
      <w:r w:rsidRPr="00553FE2">
        <w:rPr>
          <w:rFonts w:ascii="Palatino Linotype" w:hAnsi="Palatino Linotype"/>
          <w:color w:val="000000" w:themeColor="text1"/>
        </w:rPr>
        <w:t>, misma que se transcribe a continuación:</w:t>
      </w:r>
    </w:p>
    <w:p w14:paraId="1084A634"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7C424013" w14:textId="78BADC67" w:rsidR="00F44406" w:rsidRPr="00553FE2" w:rsidRDefault="00F44406" w:rsidP="00F44406">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i/>
          <w:sz w:val="22"/>
        </w:rPr>
        <w:t>“</w:t>
      </w:r>
      <w:r w:rsidRPr="00553FE2">
        <w:rPr>
          <w:rFonts w:ascii="Palatino Linotype" w:hAnsi="Palatino Linotype"/>
          <w:b/>
          <w:i/>
          <w:sz w:val="22"/>
        </w:rPr>
        <w:t>Artículo 92.</w:t>
      </w:r>
      <w:r w:rsidRPr="00553FE2">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B29D68" w14:textId="15702A36" w:rsidR="00F44406" w:rsidRPr="00553FE2" w:rsidRDefault="00F44406" w:rsidP="00F44406">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i/>
          <w:sz w:val="22"/>
        </w:rPr>
        <w:t>(…)</w:t>
      </w:r>
    </w:p>
    <w:p w14:paraId="1C4680B6" w14:textId="45BD20C6" w:rsidR="00F44406" w:rsidRPr="00553FE2" w:rsidRDefault="00C0513A" w:rsidP="00F44406">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b/>
          <w:i/>
          <w:sz w:val="22"/>
        </w:rPr>
        <w:t>XXV</w:t>
      </w:r>
      <w:r w:rsidR="00F44406" w:rsidRPr="00553FE2">
        <w:rPr>
          <w:rFonts w:ascii="Palatino Linotype" w:hAnsi="Palatino Linotype"/>
          <w:b/>
          <w:i/>
          <w:sz w:val="22"/>
        </w:rPr>
        <w:t>.</w:t>
      </w:r>
      <w:r w:rsidR="00F44406" w:rsidRPr="00553FE2">
        <w:rPr>
          <w:rFonts w:ascii="Palatino Linotype" w:hAnsi="Palatino Linotype"/>
          <w:i/>
          <w:sz w:val="22"/>
        </w:rPr>
        <w:t xml:space="preserve"> La </w:t>
      </w:r>
      <w:r w:rsidRPr="00553FE2">
        <w:rPr>
          <w:rFonts w:ascii="Palatino Linotype" w:hAnsi="Palatino Linotype"/>
          <w:i/>
          <w:sz w:val="22"/>
        </w:rPr>
        <w:t>información financiera sobre el presupuesto asignado, así como</w:t>
      </w:r>
      <w:r w:rsidRPr="00553FE2">
        <w:rPr>
          <w:rFonts w:ascii="Palatino Linotype" w:hAnsi="Palatino Linotype"/>
          <w:b/>
          <w:bCs/>
          <w:i/>
          <w:sz w:val="22"/>
        </w:rPr>
        <w:t xml:space="preserve"> los informes del ejercicio trimestral del gasto</w:t>
      </w:r>
      <w:r w:rsidRPr="00553FE2">
        <w:rPr>
          <w:rFonts w:ascii="Palatino Linotype" w:hAnsi="Palatino Linotype"/>
          <w:i/>
          <w:sz w:val="22"/>
        </w:rPr>
        <w:t>, en términos de la Ley General de Contabilidad Gubernamental y demás disposiciones jurídicas aplicables</w:t>
      </w:r>
      <w:r w:rsidR="00F44406" w:rsidRPr="00553FE2">
        <w:rPr>
          <w:rFonts w:ascii="Palatino Linotype" w:hAnsi="Palatino Linotype"/>
          <w:i/>
          <w:sz w:val="22"/>
        </w:rPr>
        <w:t>;</w:t>
      </w:r>
    </w:p>
    <w:p w14:paraId="0B1024EC" w14:textId="1C4564DD" w:rsidR="00F44406" w:rsidRPr="00553FE2" w:rsidRDefault="00F44406" w:rsidP="00F4440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53FE2">
        <w:rPr>
          <w:rFonts w:ascii="Palatino Linotype" w:hAnsi="Palatino Linotype"/>
          <w:i/>
          <w:sz w:val="22"/>
        </w:rPr>
        <w:t>(…)”</w:t>
      </w:r>
    </w:p>
    <w:p w14:paraId="14A10F71"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05F4E264" w14:textId="4A79CFE8" w:rsidR="00F44406" w:rsidRPr="00553FE2" w:rsidRDefault="00F44406"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 tal manera que </w:t>
      </w:r>
      <w:r w:rsidR="00155AC4" w:rsidRPr="00553FE2">
        <w:rPr>
          <w:rFonts w:ascii="Palatino Linotype" w:hAnsi="Palatino Linotype"/>
          <w:color w:val="000000" w:themeColor="text1"/>
        </w:rPr>
        <w:t>la información financiera y de gastos</w:t>
      </w:r>
      <w:r w:rsidRPr="00553FE2">
        <w:rPr>
          <w:rFonts w:ascii="Palatino Linotype" w:hAnsi="Palatino Linotype"/>
          <w:color w:val="000000" w:themeColor="text1"/>
        </w:rPr>
        <w:t xml:space="preserve"> será información pública que, por su naturaleza, deberá ser difundida de manera permanente a la ciudadanía, pues </w:t>
      </w:r>
      <w:proofErr w:type="gramStart"/>
      <w:r w:rsidRPr="00553FE2">
        <w:rPr>
          <w:rFonts w:ascii="Palatino Linotype" w:hAnsi="Palatino Linotype"/>
          <w:color w:val="000000" w:themeColor="text1"/>
        </w:rPr>
        <w:t>ésta presuponen</w:t>
      </w:r>
      <w:proofErr w:type="gramEnd"/>
      <w:r w:rsidR="00155AC4" w:rsidRPr="00553FE2">
        <w:rPr>
          <w:rFonts w:ascii="Palatino Linotype" w:hAnsi="Palatino Linotype"/>
          <w:color w:val="000000" w:themeColor="text1"/>
        </w:rPr>
        <w:t xml:space="preserve"> </w:t>
      </w:r>
      <w:r w:rsidRPr="00553FE2">
        <w:rPr>
          <w:rFonts w:ascii="Palatino Linotype" w:hAnsi="Palatino Linotype"/>
          <w:color w:val="000000" w:themeColor="text1"/>
        </w:rPr>
        <w:t>el uso de recursos públicos, los cuales deben estar en constante vigilancia y calificación por parte de la ciudadanía.</w:t>
      </w:r>
    </w:p>
    <w:p w14:paraId="4BE8D8A7"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32FEF53F" w14:textId="7A1335EB" w:rsidR="00970450" w:rsidRPr="00553FE2" w:rsidRDefault="00F44406" w:rsidP="00B215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Empero, debemos recordar que el Partido Acción Nacional no es un ente público, sino una agrupación política, </w:t>
      </w:r>
      <w:r w:rsidR="00970450" w:rsidRPr="00553FE2">
        <w:rPr>
          <w:rFonts w:ascii="Palatino Linotype" w:hAnsi="Palatino Linotype"/>
          <w:color w:val="000000" w:themeColor="text1"/>
        </w:rPr>
        <w:t>por lo que</w:t>
      </w:r>
      <w:r w:rsidR="00E62123" w:rsidRPr="00553FE2">
        <w:rPr>
          <w:rFonts w:ascii="Palatino Linotype" w:hAnsi="Palatino Linotype"/>
          <w:color w:val="000000" w:themeColor="text1"/>
        </w:rPr>
        <w:t xml:space="preserve"> la fracción </w:t>
      </w:r>
      <w:r w:rsidR="00155AC4" w:rsidRPr="00553FE2">
        <w:rPr>
          <w:rFonts w:ascii="Palatino Linotype" w:hAnsi="Palatino Linotype"/>
          <w:color w:val="000000" w:themeColor="text1"/>
        </w:rPr>
        <w:t>XXV</w:t>
      </w:r>
      <w:r w:rsidR="00E62123" w:rsidRPr="00553FE2">
        <w:rPr>
          <w:rFonts w:ascii="Palatino Linotype" w:hAnsi="Palatino Linotype"/>
          <w:color w:val="000000" w:themeColor="text1"/>
        </w:rPr>
        <w:t xml:space="preserve"> del artículo 92 de la Ley de la materia no le resulta aplicable al </w:t>
      </w:r>
      <w:r w:rsidR="00E62123" w:rsidRPr="00553FE2">
        <w:rPr>
          <w:rFonts w:ascii="Palatino Linotype" w:hAnsi="Palatino Linotype"/>
          <w:b/>
          <w:color w:val="000000" w:themeColor="text1"/>
        </w:rPr>
        <w:t>SUJETO OBLIGADO</w:t>
      </w:r>
      <w:r w:rsidR="00E62123" w:rsidRPr="00553FE2">
        <w:rPr>
          <w:rFonts w:ascii="Palatino Linotype" w:hAnsi="Palatino Linotype"/>
          <w:color w:val="000000" w:themeColor="text1"/>
        </w:rPr>
        <w:t xml:space="preserve"> pues, se insiste, éste no consiste en un </w:t>
      </w:r>
      <w:r w:rsidR="00E62123" w:rsidRPr="00553FE2">
        <w:rPr>
          <w:rFonts w:ascii="Palatino Linotype" w:hAnsi="Palatino Linotype"/>
          <w:b/>
          <w:bCs/>
          <w:color w:val="000000" w:themeColor="text1"/>
        </w:rPr>
        <w:t>ente gubernamental</w:t>
      </w:r>
      <w:r w:rsidR="00E62123" w:rsidRPr="00553FE2">
        <w:rPr>
          <w:rFonts w:ascii="Palatino Linotype" w:hAnsi="Palatino Linotype"/>
          <w:color w:val="000000" w:themeColor="text1"/>
        </w:rPr>
        <w:t xml:space="preserve"> sujeto a la rendición de cuentas públicas.</w:t>
      </w:r>
    </w:p>
    <w:p w14:paraId="4E0875E0" w14:textId="77777777" w:rsidR="00970450" w:rsidRPr="00553FE2" w:rsidRDefault="00970450" w:rsidP="00970450">
      <w:pPr>
        <w:pStyle w:val="Prrafodelista"/>
        <w:tabs>
          <w:tab w:val="left" w:pos="426"/>
        </w:tabs>
        <w:spacing w:before="240" w:after="240" w:line="360" w:lineRule="auto"/>
        <w:ind w:left="0" w:right="51"/>
        <w:jc w:val="both"/>
        <w:rPr>
          <w:rFonts w:ascii="Palatino Linotype" w:hAnsi="Palatino Linotype"/>
          <w:color w:val="000000" w:themeColor="text1"/>
        </w:rPr>
      </w:pPr>
    </w:p>
    <w:p w14:paraId="7642A862" w14:textId="3AF3B8A2" w:rsidR="00F44406" w:rsidRPr="00553FE2" w:rsidRDefault="00E62123" w:rsidP="00B215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 Lo anterior se demuestra a través de un fragmento de su Tabla de Aplicabilidad de las fracciones del artículo 92 de la Ley de Transparencia y Acceso a la Información Pública del Estado de México y Municipios, mismo que se comparte a continuación:</w:t>
      </w:r>
    </w:p>
    <w:p w14:paraId="43BC3EBF"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4D0A6815" w14:textId="233BB9A2" w:rsidR="00E62123" w:rsidRPr="00553FE2" w:rsidRDefault="000D5494" w:rsidP="00E62123">
      <w:pPr>
        <w:pStyle w:val="Prrafodelista"/>
        <w:tabs>
          <w:tab w:val="left" w:pos="426"/>
        </w:tabs>
        <w:spacing w:before="240" w:after="240" w:line="360" w:lineRule="auto"/>
        <w:ind w:left="0" w:right="51"/>
        <w:jc w:val="center"/>
      </w:pPr>
      <w:r w:rsidRPr="00553FE2">
        <w:rPr>
          <w:noProof/>
        </w:rPr>
        <w:object w:dxaOrig="11745" w:dyaOrig="2310" w14:anchorId="6A85F6E9">
          <v:shape id="_x0000_i1027" type="#_x0000_t75" style="width:383.75pt;height:74.7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0705041" r:id="rId13"/>
        </w:object>
      </w:r>
    </w:p>
    <w:p w14:paraId="13E07B00" w14:textId="1F519AE6" w:rsidR="00155AC4" w:rsidRPr="00553FE2" w:rsidRDefault="000D5494" w:rsidP="00E62123">
      <w:pPr>
        <w:pStyle w:val="Prrafodelista"/>
        <w:tabs>
          <w:tab w:val="left" w:pos="426"/>
        </w:tabs>
        <w:spacing w:before="240" w:after="240" w:line="360" w:lineRule="auto"/>
        <w:ind w:left="0" w:right="51"/>
        <w:jc w:val="center"/>
        <w:rPr>
          <w:rFonts w:ascii="Palatino Linotype" w:hAnsi="Palatino Linotype"/>
          <w:color w:val="000000" w:themeColor="text1"/>
        </w:rPr>
      </w:pPr>
      <w:r w:rsidRPr="00553FE2">
        <w:rPr>
          <w:noProof/>
        </w:rPr>
        <w:object w:dxaOrig="11760" w:dyaOrig="4515" w14:anchorId="645AFCC8">
          <v:shape id="_x0000_i1028" type="#_x0000_t75" style="width:383.1pt;height:146.7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0705042" r:id="rId15"/>
        </w:object>
      </w:r>
    </w:p>
    <w:p w14:paraId="2347C7EB" w14:textId="77777777" w:rsidR="00E62123" w:rsidRPr="00553FE2" w:rsidRDefault="00E62123"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2D918AC4" w14:textId="41347D4E" w:rsidR="00F44406" w:rsidRPr="00553FE2" w:rsidRDefault="00E6212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No obstante lo anterior, la Ley de Transparencia y Acceso a la Información Pública del Estado de México y Municipios considera un artículo específico en donde se reconoce la información que los partidos políticos deberán publicar y difundir </w:t>
      </w:r>
      <w:r w:rsidRPr="00553FE2">
        <w:rPr>
          <w:rFonts w:ascii="Palatino Linotype" w:hAnsi="Palatino Linotype"/>
          <w:i/>
          <w:color w:val="000000" w:themeColor="text1"/>
        </w:rPr>
        <w:t>a fortiori</w:t>
      </w:r>
      <w:r w:rsidRPr="00553FE2">
        <w:rPr>
          <w:rFonts w:ascii="Palatino Linotype" w:hAnsi="Palatino Linotype"/>
          <w:color w:val="000000" w:themeColor="text1"/>
        </w:rPr>
        <w:t xml:space="preserve"> de manera permanente y actualizada; siendo éste el dispositivo 100, cuyo contenido establece lo siguiente:</w:t>
      </w:r>
    </w:p>
    <w:p w14:paraId="27C00AB1" w14:textId="77777777" w:rsidR="00F44406" w:rsidRPr="00553FE2" w:rsidRDefault="00F44406"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15B7E9F6" w14:textId="74E9326E" w:rsidR="00E62123" w:rsidRPr="00553FE2" w:rsidRDefault="00E62123" w:rsidP="00E62123">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i/>
          <w:sz w:val="22"/>
        </w:rPr>
        <w:t>“</w:t>
      </w:r>
      <w:r w:rsidRPr="00553FE2">
        <w:rPr>
          <w:rFonts w:ascii="Palatino Linotype" w:hAnsi="Palatino Linotype"/>
          <w:b/>
          <w:i/>
          <w:sz w:val="22"/>
        </w:rPr>
        <w:t>Artículo 100.</w:t>
      </w:r>
      <w:r w:rsidRPr="00553FE2">
        <w:rPr>
          <w:rFonts w:ascii="Palatino Linotype" w:hAnsi="Palatino Linotype"/>
          <w:i/>
          <w:sz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7CF35EF3" w14:textId="0ADA77A7" w:rsidR="00E62123" w:rsidRPr="00553FE2" w:rsidRDefault="00E62123" w:rsidP="00E62123">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i/>
          <w:sz w:val="22"/>
        </w:rPr>
        <w:t>(…)</w:t>
      </w:r>
    </w:p>
    <w:p w14:paraId="1C47D864" w14:textId="77777777" w:rsidR="001A7780" w:rsidRPr="00553FE2" w:rsidRDefault="001A7780" w:rsidP="00E62123">
      <w:pPr>
        <w:pStyle w:val="Prrafodelista"/>
        <w:tabs>
          <w:tab w:val="left" w:pos="426"/>
        </w:tabs>
        <w:spacing w:before="240" w:after="240" w:line="276" w:lineRule="auto"/>
        <w:ind w:left="567" w:right="567"/>
        <w:jc w:val="both"/>
        <w:rPr>
          <w:rFonts w:ascii="Palatino Linotype" w:hAnsi="Palatino Linotype"/>
          <w:b/>
          <w:i/>
          <w:sz w:val="22"/>
        </w:rPr>
      </w:pPr>
      <w:r w:rsidRPr="00553FE2">
        <w:rPr>
          <w:rFonts w:ascii="Palatino Linotype" w:hAnsi="Palatino Linotype"/>
          <w:b/>
          <w:i/>
          <w:sz w:val="22"/>
        </w:rPr>
        <w:t>XXV. El estado de situación financiera</w:t>
      </w:r>
      <w:r w:rsidRPr="00553FE2">
        <w:rPr>
          <w:rFonts w:ascii="Palatino Linotype" w:hAnsi="Palatino Linotype"/>
          <w:bCs/>
          <w:i/>
          <w:sz w:val="22"/>
        </w:rPr>
        <w:t xml:space="preserve"> y patrimonial; el inventario de los bienes inmuebles de los que sean propietarios, </w:t>
      </w:r>
      <w:r w:rsidRPr="00553FE2">
        <w:rPr>
          <w:rFonts w:ascii="Palatino Linotype" w:hAnsi="Palatino Linotype"/>
          <w:b/>
          <w:i/>
          <w:sz w:val="22"/>
        </w:rPr>
        <w:t>así como los anexos que formen parte integrante de los documentos anteriores</w:t>
      </w:r>
      <w:r w:rsidRPr="00553FE2">
        <w:rPr>
          <w:rFonts w:ascii="Palatino Linotype" w:hAnsi="Palatino Linotype"/>
          <w:bCs/>
          <w:i/>
          <w:sz w:val="22"/>
        </w:rPr>
        <w:t>;</w:t>
      </w:r>
      <w:r w:rsidRPr="00553FE2">
        <w:rPr>
          <w:rFonts w:ascii="Palatino Linotype" w:hAnsi="Palatino Linotype"/>
          <w:b/>
          <w:i/>
          <w:sz w:val="22"/>
        </w:rPr>
        <w:t xml:space="preserve"> </w:t>
      </w:r>
    </w:p>
    <w:p w14:paraId="27B755C8" w14:textId="1FD728E0" w:rsidR="00E62123" w:rsidRPr="00553FE2" w:rsidRDefault="00E62123" w:rsidP="00E62123">
      <w:pPr>
        <w:pStyle w:val="Prrafodelista"/>
        <w:tabs>
          <w:tab w:val="left" w:pos="426"/>
        </w:tabs>
        <w:spacing w:before="240" w:after="240" w:line="276" w:lineRule="auto"/>
        <w:ind w:left="567" w:right="567"/>
        <w:jc w:val="both"/>
        <w:rPr>
          <w:rFonts w:ascii="Palatino Linotype" w:hAnsi="Palatino Linotype"/>
          <w:i/>
          <w:sz w:val="22"/>
        </w:rPr>
      </w:pPr>
      <w:r w:rsidRPr="00553FE2">
        <w:rPr>
          <w:rFonts w:ascii="Palatino Linotype" w:hAnsi="Palatino Linotype"/>
          <w:i/>
          <w:sz w:val="22"/>
        </w:rPr>
        <w:t>(…)”</w:t>
      </w:r>
    </w:p>
    <w:p w14:paraId="2770C42B" w14:textId="744C3D1B" w:rsidR="0026770B" w:rsidRPr="00553FE2" w:rsidRDefault="0026770B" w:rsidP="00E62123">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553FE2">
        <w:rPr>
          <w:rFonts w:ascii="Palatino Linotype" w:hAnsi="Palatino Linotype"/>
          <w:sz w:val="22"/>
        </w:rPr>
        <w:lastRenderedPageBreak/>
        <w:t>(Énfasis añadido)</w:t>
      </w:r>
    </w:p>
    <w:p w14:paraId="4B9746ED" w14:textId="77777777" w:rsidR="00E62123" w:rsidRPr="00553FE2" w:rsidRDefault="00E62123" w:rsidP="00F44406">
      <w:pPr>
        <w:pStyle w:val="Prrafodelista"/>
        <w:tabs>
          <w:tab w:val="left" w:pos="426"/>
        </w:tabs>
        <w:spacing w:before="240" w:after="240" w:line="360" w:lineRule="auto"/>
        <w:ind w:left="0" w:right="51"/>
        <w:jc w:val="both"/>
        <w:rPr>
          <w:rFonts w:ascii="Palatino Linotype" w:hAnsi="Palatino Linotype"/>
          <w:color w:val="000000" w:themeColor="text1"/>
        </w:rPr>
      </w:pPr>
    </w:p>
    <w:p w14:paraId="5366D2A6" w14:textId="4634E192" w:rsidR="00F44406" w:rsidRPr="00553FE2" w:rsidRDefault="0026770B"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Así las cosas, si bien la Ley de la materia no reconoce textualmente el deber de publicar </w:t>
      </w:r>
      <w:r w:rsidR="001A7780" w:rsidRPr="00553FE2">
        <w:rPr>
          <w:rFonts w:ascii="Palatino Linotype" w:hAnsi="Palatino Linotype"/>
          <w:color w:val="000000" w:themeColor="text1"/>
        </w:rPr>
        <w:t>las facturas que comprueben el gasto corriente de los partidos políticos</w:t>
      </w:r>
      <w:r w:rsidRPr="00553FE2">
        <w:rPr>
          <w:rFonts w:ascii="Palatino Linotype" w:hAnsi="Palatino Linotype"/>
          <w:color w:val="000000" w:themeColor="text1"/>
        </w:rPr>
        <w:t xml:space="preserve">, sí reconoce la obligación de publicar </w:t>
      </w:r>
      <w:r w:rsidR="001A7780" w:rsidRPr="00553FE2">
        <w:rPr>
          <w:rFonts w:ascii="Palatino Linotype" w:hAnsi="Palatino Linotype"/>
          <w:color w:val="000000" w:themeColor="text1"/>
        </w:rPr>
        <w:t>su estado de situación financiera, así como los anexos que formen parte de éste</w:t>
      </w:r>
      <w:r w:rsidRPr="00553FE2">
        <w:rPr>
          <w:rFonts w:ascii="Palatino Linotype" w:hAnsi="Palatino Linotype"/>
          <w:color w:val="000000" w:themeColor="text1"/>
        </w:rPr>
        <w:t>, mism</w:t>
      </w:r>
      <w:r w:rsidR="001A7780" w:rsidRPr="00553FE2">
        <w:rPr>
          <w:rFonts w:ascii="Palatino Linotype" w:hAnsi="Palatino Linotype"/>
          <w:color w:val="000000" w:themeColor="text1"/>
        </w:rPr>
        <w:t>o</w:t>
      </w:r>
      <w:r w:rsidRPr="00553FE2">
        <w:rPr>
          <w:rFonts w:ascii="Palatino Linotype" w:hAnsi="Palatino Linotype"/>
          <w:color w:val="000000" w:themeColor="text1"/>
        </w:rPr>
        <w:t xml:space="preserve">s que pueden </w:t>
      </w:r>
      <w:r w:rsidR="001A7780" w:rsidRPr="00553FE2">
        <w:rPr>
          <w:rFonts w:ascii="Palatino Linotype" w:hAnsi="Palatino Linotype"/>
          <w:color w:val="000000" w:themeColor="text1"/>
        </w:rPr>
        <w:t>considerarse</w:t>
      </w:r>
      <w:r w:rsidRPr="00553FE2">
        <w:rPr>
          <w:rFonts w:ascii="Palatino Linotype" w:hAnsi="Palatino Linotype"/>
          <w:color w:val="000000" w:themeColor="text1"/>
        </w:rPr>
        <w:t xml:space="preserve">, de manera enunciativa mas no limitativa, </w:t>
      </w:r>
      <w:r w:rsidR="001A7780" w:rsidRPr="00553FE2">
        <w:rPr>
          <w:rFonts w:ascii="Palatino Linotype" w:hAnsi="Palatino Linotype"/>
          <w:color w:val="000000" w:themeColor="text1"/>
        </w:rPr>
        <w:t>como</w:t>
      </w:r>
      <w:r w:rsidRPr="00553FE2">
        <w:rPr>
          <w:rFonts w:ascii="Palatino Linotype" w:hAnsi="Palatino Linotype"/>
          <w:color w:val="000000" w:themeColor="text1"/>
        </w:rPr>
        <w:t xml:space="preserve"> l</w:t>
      </w:r>
      <w:r w:rsidR="001A7780" w:rsidRPr="00553FE2">
        <w:rPr>
          <w:rFonts w:ascii="Palatino Linotype" w:hAnsi="Palatino Linotype"/>
          <w:color w:val="000000" w:themeColor="text1"/>
        </w:rPr>
        <w:t>a</w:t>
      </w:r>
      <w:r w:rsidRPr="00553FE2">
        <w:rPr>
          <w:rFonts w:ascii="Palatino Linotype" w:hAnsi="Palatino Linotype"/>
          <w:color w:val="000000" w:themeColor="text1"/>
        </w:rPr>
        <w:t xml:space="preserve">s </w:t>
      </w:r>
      <w:r w:rsidR="00707055" w:rsidRPr="00553FE2">
        <w:rPr>
          <w:rFonts w:ascii="Palatino Linotype" w:hAnsi="Palatino Linotype"/>
          <w:b/>
          <w:color w:val="000000" w:themeColor="text1"/>
        </w:rPr>
        <w:t>facturas emitidas por el pago de bienes, servicios y/o arrendamientos</w:t>
      </w:r>
      <w:r w:rsidRPr="00553FE2">
        <w:rPr>
          <w:rFonts w:ascii="Palatino Linotype" w:hAnsi="Palatino Linotype"/>
          <w:color w:val="000000" w:themeColor="text1"/>
        </w:rPr>
        <w:t>; razón de lo anterior, los documentos son susceptibles de ser difundidos y entregados a la ciudadanía, siempre y cuando pasen por un filtro previo y se realicen las versiones públicas pertinentes.</w:t>
      </w:r>
    </w:p>
    <w:p w14:paraId="51EA90DD" w14:textId="77777777" w:rsidR="00821032" w:rsidRPr="00553FE2" w:rsidRDefault="00821032" w:rsidP="00821032">
      <w:pPr>
        <w:pStyle w:val="Prrafodelista"/>
        <w:tabs>
          <w:tab w:val="left" w:pos="426"/>
        </w:tabs>
        <w:spacing w:before="240" w:after="240" w:line="360" w:lineRule="auto"/>
        <w:ind w:left="0" w:right="51"/>
        <w:jc w:val="both"/>
        <w:rPr>
          <w:rFonts w:ascii="Palatino Linotype" w:hAnsi="Palatino Linotype"/>
          <w:color w:val="000000" w:themeColor="text1"/>
        </w:rPr>
      </w:pPr>
    </w:p>
    <w:p w14:paraId="437AEE06" w14:textId="6645CA4D" w:rsidR="00F44406" w:rsidRPr="00553FE2" w:rsidRDefault="00F44406" w:rsidP="00F4440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7" w:name="_Toc95402621"/>
      <w:bookmarkStart w:id="38" w:name="_Toc98445264"/>
      <w:r w:rsidRPr="00553FE2">
        <w:rPr>
          <w:rFonts w:ascii="Palatino Linotype" w:hAnsi="Palatino Linotype"/>
          <w:b/>
          <w:color w:val="000000" w:themeColor="text1"/>
        </w:rPr>
        <w:t xml:space="preserve">IV. De </w:t>
      </w:r>
      <w:r w:rsidR="00771F3A" w:rsidRPr="00553FE2">
        <w:rPr>
          <w:rFonts w:ascii="Palatino Linotype" w:hAnsi="Palatino Linotype"/>
          <w:b/>
          <w:color w:val="000000" w:themeColor="text1"/>
        </w:rPr>
        <w:t>la naturaleza de la información solicitada</w:t>
      </w:r>
      <w:r w:rsidRPr="00553FE2">
        <w:rPr>
          <w:rFonts w:ascii="Palatino Linotype" w:hAnsi="Palatino Linotype"/>
          <w:b/>
          <w:color w:val="000000" w:themeColor="text1"/>
        </w:rPr>
        <w:t>.</w:t>
      </w:r>
      <w:bookmarkEnd w:id="37"/>
      <w:bookmarkEnd w:id="38"/>
    </w:p>
    <w:p w14:paraId="2023F311" w14:textId="77777777" w:rsidR="00F44406" w:rsidRPr="00553FE2" w:rsidRDefault="00F44406" w:rsidP="00821032">
      <w:pPr>
        <w:pStyle w:val="Prrafodelista"/>
        <w:tabs>
          <w:tab w:val="left" w:pos="426"/>
        </w:tabs>
        <w:spacing w:before="240" w:after="240" w:line="360" w:lineRule="auto"/>
        <w:ind w:left="0" w:right="51"/>
        <w:jc w:val="both"/>
        <w:rPr>
          <w:rFonts w:ascii="Palatino Linotype" w:hAnsi="Palatino Linotype"/>
          <w:color w:val="000000" w:themeColor="text1"/>
        </w:rPr>
      </w:pPr>
    </w:p>
    <w:p w14:paraId="6BCF7A36" w14:textId="5E0C6D72" w:rsidR="00CB1EF3" w:rsidRPr="00553FE2" w:rsidRDefault="00EB592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Una vez establecido lo anterior</w:t>
      </w:r>
      <w:r w:rsidR="00F73AFB" w:rsidRPr="00553FE2">
        <w:rPr>
          <w:rFonts w:ascii="Palatino Linotype" w:hAnsi="Palatino Linotype"/>
          <w:color w:val="000000" w:themeColor="text1"/>
        </w:rPr>
        <w:t>, de</w:t>
      </w:r>
      <w:r w:rsidR="00995B90" w:rsidRPr="00553FE2">
        <w:rPr>
          <w:rFonts w:ascii="Palatino Linotype" w:hAnsi="Palatino Linotype"/>
          <w:color w:val="000000" w:themeColor="text1"/>
        </w:rPr>
        <w:t xml:space="preserve"> acuerdo con los Estatutos Generales del </w:t>
      </w:r>
      <w:r w:rsidR="00995B90" w:rsidRPr="00553FE2">
        <w:rPr>
          <w:rFonts w:ascii="Palatino Linotype" w:hAnsi="Palatino Linotype"/>
          <w:b/>
          <w:color w:val="000000" w:themeColor="text1"/>
        </w:rPr>
        <w:t>SUJETO OBLIGADO</w:t>
      </w:r>
      <w:r w:rsidR="00995B90" w:rsidRPr="00553FE2">
        <w:rPr>
          <w:rFonts w:ascii="Palatino Linotype" w:hAnsi="Palatino Linotype"/>
          <w:color w:val="000000" w:themeColor="text1"/>
        </w:rPr>
        <w:t>, el Partido Acción Nacional es una asociación de ciudadanos mexicanos en pleno ejercicio de sus derechos cívicos, constituida en partido político nacional, con el fin de intervenir orgánicamente en todos los aspectos de la vida pública de México, tener acceso al ejercicio democrático del poder y lograr</w:t>
      </w:r>
      <w:r w:rsidR="00995B90" w:rsidRPr="00553FE2">
        <w:rPr>
          <w:rStyle w:val="Refdenotaalpie"/>
          <w:rFonts w:ascii="Palatino Linotype" w:hAnsi="Palatino Linotype"/>
          <w:color w:val="000000" w:themeColor="text1"/>
        </w:rPr>
        <w:footnoteReference w:id="10"/>
      </w:r>
      <w:r w:rsidR="00995B90" w:rsidRPr="00553FE2">
        <w:rPr>
          <w:rFonts w:ascii="Palatino Linotype" w:hAnsi="Palatino Linotype"/>
          <w:color w:val="000000" w:themeColor="text1"/>
        </w:rPr>
        <w:t>:</w:t>
      </w:r>
    </w:p>
    <w:p w14:paraId="12CE09EC" w14:textId="77777777" w:rsidR="00995B90" w:rsidRPr="00553FE2" w:rsidRDefault="00995B90" w:rsidP="00995B90">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El reconocimiento de la eminente dignidad de la persona humana y, por tanto, el respeto de sus derechos fundamentales y la garantía de los derechos y condiciones sociales requeridos por esa dignidad;</w:t>
      </w:r>
    </w:p>
    <w:p w14:paraId="577B08A0" w14:textId="77777777" w:rsidR="00995B90" w:rsidRPr="00553FE2" w:rsidRDefault="00995B90" w:rsidP="00995B90">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La subordinación, en lo político, de la actividad individual, social y del Estado a la realización del Bien Común;</w:t>
      </w:r>
    </w:p>
    <w:p w14:paraId="4D7DCC0B" w14:textId="77777777" w:rsidR="00995B90" w:rsidRPr="00553FE2" w:rsidRDefault="00995B90" w:rsidP="00995B90">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lastRenderedPageBreak/>
        <w:t>El reconocimiento de la preeminencia del interés nacional sobre los intereses parciales y la ordenación y jerarquización de éstos en el interés de la Nación, y</w:t>
      </w:r>
    </w:p>
    <w:p w14:paraId="784E1792" w14:textId="36813710" w:rsidR="00995B90" w:rsidRPr="00553FE2" w:rsidRDefault="00995B90" w:rsidP="00995B90">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La instauración de la democracia como forma de gobierno y como sistema de convivencia.</w:t>
      </w:r>
    </w:p>
    <w:p w14:paraId="72422EEF" w14:textId="77777777" w:rsidR="00CB1EF3" w:rsidRPr="00553FE2" w:rsidRDefault="00CB1EF3" w:rsidP="00CB1EF3">
      <w:pPr>
        <w:pStyle w:val="Prrafodelista"/>
        <w:tabs>
          <w:tab w:val="left" w:pos="426"/>
        </w:tabs>
        <w:spacing w:before="240" w:after="240" w:line="360" w:lineRule="auto"/>
        <w:ind w:left="0" w:right="51"/>
        <w:jc w:val="both"/>
        <w:rPr>
          <w:rFonts w:ascii="Palatino Linotype" w:hAnsi="Palatino Linotype"/>
          <w:color w:val="000000" w:themeColor="text1"/>
        </w:rPr>
      </w:pPr>
    </w:p>
    <w:p w14:paraId="11905E49" w14:textId="5B562F9B" w:rsidR="00CB1EF3" w:rsidRPr="00553FE2" w:rsidRDefault="00995B90"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En cada entidad federativa el Partido Acción Nacional tendrá representación a través de un Consejo Estatal, un Comité Directivo Estatal, los correspondientes </w:t>
      </w:r>
      <w:r w:rsidRPr="00553FE2">
        <w:rPr>
          <w:rFonts w:ascii="Palatino Linotype" w:hAnsi="Palatino Linotype"/>
          <w:b/>
          <w:bCs/>
          <w:color w:val="000000" w:themeColor="text1"/>
        </w:rPr>
        <w:t>Comités Directivos Municipales</w:t>
      </w:r>
      <w:r w:rsidRPr="00553FE2">
        <w:rPr>
          <w:rFonts w:ascii="Palatino Linotype" w:hAnsi="Palatino Linotype"/>
          <w:color w:val="000000" w:themeColor="text1"/>
        </w:rPr>
        <w:t xml:space="preserve"> y sus respectivos subcomités</w:t>
      </w:r>
      <w:r w:rsidRPr="00553FE2">
        <w:rPr>
          <w:rStyle w:val="Refdenotaalpie"/>
          <w:rFonts w:ascii="Palatino Linotype" w:hAnsi="Palatino Linotype"/>
          <w:color w:val="000000" w:themeColor="text1"/>
        </w:rPr>
        <w:footnoteReference w:id="11"/>
      </w:r>
      <w:r w:rsidRPr="00553FE2">
        <w:rPr>
          <w:rFonts w:ascii="Palatino Linotype" w:hAnsi="Palatino Linotype"/>
          <w:color w:val="000000" w:themeColor="text1"/>
        </w:rPr>
        <w:t>; y, a su vez, fungirán como organismos de control y vigilancia del ente jerárquico inferior, por lo tanto, los Comités Directivos Estatales organizarán y vigilarán el funcionamiento de los Comités Directivos Municipales, y éstos, a su vez, el de los subcomités municipales, organizados en secciones electorales, necesarios o convenientes para asegurar la eficacia del Partido en sus respectivas jurisdicciones</w:t>
      </w:r>
      <w:r w:rsidRPr="00553FE2">
        <w:rPr>
          <w:rStyle w:val="Refdenotaalpie"/>
          <w:rFonts w:ascii="Palatino Linotype" w:hAnsi="Palatino Linotype"/>
          <w:color w:val="000000" w:themeColor="text1"/>
        </w:rPr>
        <w:footnoteReference w:id="12"/>
      </w:r>
      <w:r w:rsidRPr="00553FE2">
        <w:rPr>
          <w:rFonts w:ascii="Palatino Linotype" w:hAnsi="Palatino Linotype"/>
          <w:color w:val="000000" w:themeColor="text1"/>
        </w:rPr>
        <w:t>.</w:t>
      </w:r>
    </w:p>
    <w:p w14:paraId="146D3264"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1CB9F537" w14:textId="76313FEE" w:rsidR="00707055" w:rsidRPr="00553FE2" w:rsidRDefault="00EA6D57"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Por cuanto hace a los Comités Directivos Municipales, éstos se integrarán por:</w:t>
      </w:r>
    </w:p>
    <w:p w14:paraId="259BCD43" w14:textId="77777777" w:rsidR="00EA6D57" w:rsidRPr="00553FE2" w:rsidRDefault="00EA6D57" w:rsidP="00EA6D57">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El Presidente del Comité; </w:t>
      </w:r>
    </w:p>
    <w:p w14:paraId="32050D0A" w14:textId="77777777" w:rsidR="00EA6D57" w:rsidRPr="00553FE2" w:rsidRDefault="00EA6D57" w:rsidP="00EA6D57">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El Coordinador de Regidores si es miembro del Partido; </w:t>
      </w:r>
    </w:p>
    <w:p w14:paraId="52B87335" w14:textId="77777777" w:rsidR="00EA6D57" w:rsidRPr="00553FE2" w:rsidRDefault="00EA6D57" w:rsidP="00EA6D57">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La titular de Promoción Política de la Mujer; </w:t>
      </w:r>
    </w:p>
    <w:p w14:paraId="417540C6" w14:textId="77777777" w:rsidR="00EA6D57" w:rsidRPr="00553FE2" w:rsidRDefault="00EA6D57" w:rsidP="00EA6D57">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El o la titular de Acción Juvenil, y </w:t>
      </w:r>
    </w:p>
    <w:p w14:paraId="5A6E88C1" w14:textId="62E6D825" w:rsidR="00EA6D57" w:rsidRPr="00553FE2" w:rsidRDefault="00EA6D57" w:rsidP="00EA6D57">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No menos de cinco ni más de veinte miembros activos electos por la Asamblea Municipal.</w:t>
      </w:r>
    </w:p>
    <w:p w14:paraId="060B6350"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2E9C3EDC" w14:textId="6B6A9485" w:rsidR="00707055" w:rsidRPr="00553FE2" w:rsidRDefault="00EA6D57"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lastRenderedPageBreak/>
        <w:t>Por su parte, de conformidad con lo establecido por el dispositivo 92 de los Estatutos Generales del Partido Acción Nacional, los Comités Directivos Municipales tendrán las siguientes atribuciones:</w:t>
      </w:r>
    </w:p>
    <w:p w14:paraId="222FC013" w14:textId="72D0AB8C"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4A52162A" w14:textId="2E674311" w:rsidR="00EA6D57" w:rsidRPr="00553FE2" w:rsidRDefault="00EA6D5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i/>
          <w:iCs/>
          <w:color w:val="000000" w:themeColor="text1"/>
          <w:sz w:val="22"/>
          <w:szCs w:val="22"/>
        </w:rPr>
        <w:t>“</w:t>
      </w:r>
      <w:r w:rsidRPr="00553FE2">
        <w:rPr>
          <w:rFonts w:ascii="Palatino Linotype" w:hAnsi="Palatino Linotype"/>
          <w:b/>
          <w:bCs/>
          <w:i/>
          <w:iCs/>
          <w:color w:val="000000" w:themeColor="text1"/>
          <w:sz w:val="22"/>
          <w:szCs w:val="22"/>
        </w:rPr>
        <w:t>ARTÍCULO 92.</w:t>
      </w:r>
      <w:r w:rsidRPr="00553FE2">
        <w:rPr>
          <w:rFonts w:ascii="Palatino Linotype" w:hAnsi="Palatino Linotype"/>
          <w:i/>
          <w:iCs/>
          <w:color w:val="000000" w:themeColor="text1"/>
          <w:sz w:val="22"/>
          <w:szCs w:val="22"/>
        </w:rPr>
        <w:t xml:space="preserve"> Los Comités Directivos Municipales son los responsables directos de coordinar y promover las actividades del Partido dentro de su jurisdicción y tendrán las siguientes atribuciones:</w:t>
      </w:r>
    </w:p>
    <w:p w14:paraId="1A26B25F" w14:textId="77777777"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I.</w:t>
      </w:r>
      <w:r w:rsidRPr="00553FE2">
        <w:rPr>
          <w:rFonts w:ascii="Palatino Linotype" w:hAnsi="Palatino Linotype"/>
          <w:i/>
          <w:iCs/>
          <w:color w:val="000000" w:themeColor="text1"/>
          <w:sz w:val="22"/>
          <w:szCs w:val="22"/>
        </w:rPr>
        <w:t xml:space="preserve"> Vigilar la observancia dentro de su jurisdicción, por parte de los subcomités y miembros del Partido de estos Estatutos, de los reglamentos y acuerdos que dicten los órganos competentes del Partido; </w:t>
      </w:r>
    </w:p>
    <w:p w14:paraId="5C32C5B8" w14:textId="77777777"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II.</w:t>
      </w:r>
      <w:r w:rsidRPr="00553FE2">
        <w:rPr>
          <w:rFonts w:ascii="Palatino Linotype" w:hAnsi="Palatino Linotype"/>
          <w:i/>
          <w:iCs/>
          <w:color w:val="000000" w:themeColor="text1"/>
          <w:sz w:val="22"/>
          <w:szCs w:val="22"/>
        </w:rPr>
        <w:t xml:space="preserve"> Promover el cumplimiento de los acuerdos de las Asambleas y Convenciones Nacionales, Estatales y Municipales, dentro del territorio de su respectivo municipio; </w:t>
      </w:r>
    </w:p>
    <w:p w14:paraId="11F5C035" w14:textId="22D7FC56"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III.</w:t>
      </w:r>
      <w:r w:rsidRPr="00553FE2">
        <w:rPr>
          <w:rFonts w:ascii="Palatino Linotype" w:hAnsi="Palatino Linotype"/>
          <w:i/>
          <w:iCs/>
          <w:color w:val="000000" w:themeColor="text1"/>
          <w:sz w:val="22"/>
          <w:szCs w:val="22"/>
        </w:rPr>
        <w:t xml:space="preserve"> Convocar cada año a la Asamblea Municipal Ordinaria, en donde deberá presentar su informe de actividades, así como a las extraordinarias que considere convenientes;</w:t>
      </w:r>
    </w:p>
    <w:p w14:paraId="52F83693" w14:textId="0EF832DE"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i/>
          <w:iCs/>
          <w:color w:val="000000" w:themeColor="text1"/>
          <w:sz w:val="22"/>
          <w:szCs w:val="22"/>
        </w:rPr>
        <w:t>(…)</w:t>
      </w:r>
    </w:p>
    <w:p w14:paraId="62C42EEF" w14:textId="2296605E"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VI.</w:t>
      </w:r>
      <w:r w:rsidRPr="00553FE2">
        <w:rPr>
          <w:rFonts w:ascii="Palatino Linotype" w:hAnsi="Palatino Linotype"/>
          <w:i/>
          <w:iCs/>
          <w:color w:val="000000" w:themeColor="text1"/>
          <w:sz w:val="22"/>
          <w:szCs w:val="22"/>
        </w:rPr>
        <w:t xml:space="preserve"> Aprobar los programas de actividades específicas de Acción Nacional dentro de su jurisdicción;</w:t>
      </w:r>
    </w:p>
    <w:p w14:paraId="7DFBB2FD" w14:textId="0BA62A8D"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VII.</w:t>
      </w:r>
      <w:r w:rsidRPr="00553FE2">
        <w:rPr>
          <w:rFonts w:ascii="Palatino Linotype" w:hAnsi="Palatino Linotype"/>
          <w:i/>
          <w:iCs/>
          <w:color w:val="000000" w:themeColor="text1"/>
          <w:sz w:val="22"/>
          <w:szCs w:val="22"/>
        </w:rPr>
        <w:t xml:space="preserve"> </w:t>
      </w:r>
      <w:r w:rsidRPr="00553FE2">
        <w:rPr>
          <w:rFonts w:ascii="Palatino Linotype" w:hAnsi="Palatino Linotype"/>
          <w:b/>
          <w:bCs/>
          <w:i/>
          <w:iCs/>
          <w:color w:val="000000" w:themeColor="text1"/>
          <w:sz w:val="22"/>
          <w:szCs w:val="22"/>
        </w:rPr>
        <w:t>Enviar al Comité Directivo Estatal informes semestrales de las actividades de dichos Comités, que comprenderán</w:t>
      </w:r>
      <w:r w:rsidRPr="00553FE2">
        <w:rPr>
          <w:rFonts w:ascii="Palatino Linotype" w:hAnsi="Palatino Linotype"/>
          <w:i/>
          <w:iCs/>
          <w:color w:val="000000" w:themeColor="text1"/>
          <w:sz w:val="22"/>
          <w:szCs w:val="22"/>
        </w:rPr>
        <w:t xml:space="preserve"> el estado que guarde la organización de su jurisdicción, </w:t>
      </w:r>
      <w:r w:rsidRPr="00553FE2">
        <w:rPr>
          <w:rFonts w:ascii="Palatino Linotype" w:hAnsi="Palatino Linotype"/>
          <w:b/>
          <w:bCs/>
          <w:i/>
          <w:iCs/>
          <w:color w:val="000000" w:themeColor="text1"/>
          <w:sz w:val="22"/>
          <w:szCs w:val="22"/>
        </w:rPr>
        <w:t xml:space="preserve">las cuentas de </w:t>
      </w:r>
      <w:r w:rsidRPr="00553FE2">
        <w:rPr>
          <w:rFonts w:ascii="Palatino Linotype" w:hAnsi="Palatino Linotype"/>
          <w:i/>
          <w:iCs/>
          <w:color w:val="000000" w:themeColor="text1"/>
          <w:sz w:val="22"/>
          <w:szCs w:val="22"/>
        </w:rPr>
        <w:t>ingresos</w:t>
      </w:r>
      <w:r w:rsidRPr="00553FE2">
        <w:rPr>
          <w:rFonts w:ascii="Palatino Linotype" w:hAnsi="Palatino Linotype"/>
          <w:b/>
          <w:bCs/>
          <w:i/>
          <w:iCs/>
          <w:color w:val="000000" w:themeColor="text1"/>
          <w:sz w:val="22"/>
          <w:szCs w:val="22"/>
        </w:rPr>
        <w:t xml:space="preserve"> </w:t>
      </w:r>
      <w:r w:rsidRPr="00553FE2">
        <w:rPr>
          <w:rFonts w:ascii="Palatino Linotype" w:hAnsi="Palatino Linotype"/>
          <w:i/>
          <w:iCs/>
          <w:color w:val="000000" w:themeColor="text1"/>
          <w:sz w:val="22"/>
          <w:szCs w:val="22"/>
        </w:rPr>
        <w:t>y</w:t>
      </w:r>
      <w:r w:rsidRPr="00553FE2">
        <w:rPr>
          <w:rFonts w:ascii="Palatino Linotype" w:hAnsi="Palatino Linotype"/>
          <w:b/>
          <w:bCs/>
          <w:i/>
          <w:iCs/>
          <w:color w:val="000000" w:themeColor="text1"/>
          <w:sz w:val="22"/>
          <w:szCs w:val="22"/>
        </w:rPr>
        <w:t xml:space="preserve"> egresos</w:t>
      </w:r>
      <w:r w:rsidRPr="00553FE2">
        <w:rPr>
          <w:rFonts w:ascii="Palatino Linotype" w:hAnsi="Palatino Linotype"/>
          <w:i/>
          <w:iCs/>
          <w:color w:val="000000" w:themeColor="text1"/>
          <w:sz w:val="22"/>
          <w:szCs w:val="22"/>
        </w:rPr>
        <w:t>, el padrón de miembros activos identificando a quienes ya no formen parte del mismo;</w:t>
      </w:r>
    </w:p>
    <w:p w14:paraId="00BB0C83" w14:textId="3305FAB6"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i/>
          <w:iCs/>
          <w:color w:val="000000" w:themeColor="text1"/>
          <w:sz w:val="22"/>
          <w:szCs w:val="22"/>
        </w:rPr>
        <w:t>(…)</w:t>
      </w:r>
    </w:p>
    <w:p w14:paraId="1E8EB9AF" w14:textId="77777777"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XII.</w:t>
      </w:r>
      <w:r w:rsidRPr="00553FE2">
        <w:rPr>
          <w:rFonts w:ascii="Palatino Linotype" w:hAnsi="Palatino Linotype"/>
          <w:i/>
          <w:iCs/>
          <w:color w:val="000000" w:themeColor="text1"/>
          <w:sz w:val="22"/>
          <w:szCs w:val="22"/>
        </w:rPr>
        <w:t xml:space="preserve"> Impulsar permanentemente, en el ámbito municipal, acciones afirmativas para garantizar la equidad de género en todos lo ámbitos del partido; </w:t>
      </w:r>
    </w:p>
    <w:p w14:paraId="076FE1C7" w14:textId="647629EA"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color w:val="000000" w:themeColor="text1"/>
          <w:sz w:val="22"/>
          <w:szCs w:val="22"/>
        </w:rPr>
        <w:t>XIII.</w:t>
      </w:r>
      <w:r w:rsidRPr="00553FE2">
        <w:rPr>
          <w:rFonts w:ascii="Palatino Linotype" w:hAnsi="Palatino Linotype"/>
          <w:i/>
          <w:iCs/>
          <w:color w:val="000000" w:themeColor="text1"/>
          <w:sz w:val="22"/>
          <w:szCs w:val="22"/>
        </w:rPr>
        <w:t xml:space="preserve"> Desarrollar mecanismos que orienten la acción del Partido en el ejercicio del gobierno municipal;</w:t>
      </w:r>
    </w:p>
    <w:p w14:paraId="2432F0D1" w14:textId="3DDC46E8" w:rsidR="000E1397" w:rsidRPr="00553FE2" w:rsidRDefault="000E1397" w:rsidP="00EA6D5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53FE2">
        <w:rPr>
          <w:rFonts w:ascii="Palatino Linotype" w:hAnsi="Palatino Linotype"/>
          <w:i/>
          <w:iCs/>
          <w:color w:val="000000" w:themeColor="text1"/>
          <w:sz w:val="22"/>
          <w:szCs w:val="22"/>
        </w:rPr>
        <w:t>(…)”</w:t>
      </w:r>
    </w:p>
    <w:p w14:paraId="469906A7" w14:textId="7C86AD0B" w:rsidR="007B14B0" w:rsidRPr="00553FE2" w:rsidRDefault="007B14B0" w:rsidP="00EA6D5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53FE2">
        <w:rPr>
          <w:rFonts w:ascii="Palatino Linotype" w:hAnsi="Palatino Linotype"/>
          <w:color w:val="000000" w:themeColor="text1"/>
          <w:sz w:val="22"/>
          <w:szCs w:val="22"/>
        </w:rPr>
        <w:t>(Énfasis añadido)</w:t>
      </w:r>
    </w:p>
    <w:p w14:paraId="292E30FF" w14:textId="77777777" w:rsidR="00EA6D57" w:rsidRPr="00553FE2" w:rsidRDefault="00EA6D57"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2DE18658" w14:textId="79B8DD20" w:rsidR="00707055" w:rsidRPr="00553FE2" w:rsidRDefault="007B14B0"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Correlativo a lo anterior, el Reglamento de los Órganos Estatales y Municipales del Partido Acción Nacional, en su artículo 106, reconoce, también, las siguientes atribuciones de los Comités Directivos Municipales:</w:t>
      </w:r>
    </w:p>
    <w:p w14:paraId="440820D1" w14:textId="0F389D5B" w:rsidR="007B14B0" w:rsidRPr="00553FE2" w:rsidRDefault="007B14B0" w:rsidP="007B14B0">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b/>
          <w:bCs/>
          <w:color w:val="000000" w:themeColor="text1"/>
        </w:rPr>
        <w:lastRenderedPageBreak/>
        <w:t>Aprobar las cuentas de</w:t>
      </w:r>
      <w:r w:rsidRPr="00553FE2">
        <w:rPr>
          <w:rFonts w:ascii="Palatino Linotype" w:hAnsi="Palatino Linotype"/>
          <w:color w:val="000000" w:themeColor="text1"/>
        </w:rPr>
        <w:t xml:space="preserve"> ingresos y </w:t>
      </w:r>
      <w:r w:rsidRPr="00553FE2">
        <w:rPr>
          <w:rFonts w:ascii="Palatino Linotype" w:hAnsi="Palatino Linotype"/>
          <w:b/>
          <w:bCs/>
          <w:color w:val="000000" w:themeColor="text1"/>
        </w:rPr>
        <w:t>egresos</w:t>
      </w:r>
      <w:r w:rsidRPr="00553FE2">
        <w:rPr>
          <w:rFonts w:ascii="Palatino Linotype" w:hAnsi="Palatino Linotype"/>
          <w:color w:val="000000" w:themeColor="text1"/>
        </w:rPr>
        <w:t>;</w:t>
      </w:r>
    </w:p>
    <w:p w14:paraId="09F9720C" w14:textId="07280D44" w:rsidR="007B14B0" w:rsidRPr="00553FE2" w:rsidRDefault="007B14B0" w:rsidP="007B14B0">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Coordinar y promover las actividades del Partido dentro de su jurisdicción y las medidas que los órganos superiores implementen para su cumplimiento; y</w:t>
      </w:r>
    </w:p>
    <w:p w14:paraId="26919490" w14:textId="67A1C45D" w:rsidR="007B14B0" w:rsidRPr="00553FE2" w:rsidRDefault="007B14B0" w:rsidP="007B14B0">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color w:val="000000" w:themeColor="text1"/>
        </w:rPr>
        <w:t xml:space="preserve">Reunirse por lo menos una vez al mes, con las estructuras </w:t>
      </w:r>
      <w:proofErr w:type="spellStart"/>
      <w:r w:rsidRPr="00553FE2">
        <w:rPr>
          <w:rFonts w:ascii="Palatino Linotype" w:hAnsi="Palatino Linotype"/>
          <w:color w:val="000000" w:themeColor="text1"/>
        </w:rPr>
        <w:t>submunicipales</w:t>
      </w:r>
      <w:proofErr w:type="spellEnd"/>
      <w:r w:rsidRPr="00553FE2">
        <w:rPr>
          <w:rFonts w:ascii="Palatino Linotype" w:hAnsi="Palatino Linotype"/>
          <w:color w:val="000000" w:themeColor="text1"/>
        </w:rPr>
        <w:t xml:space="preserve"> establecidas por el Comité Directivo Estatal</w:t>
      </w:r>
      <w:r w:rsidR="006F0090" w:rsidRPr="00553FE2">
        <w:rPr>
          <w:rFonts w:ascii="Palatino Linotype" w:hAnsi="Palatino Linotype"/>
          <w:color w:val="000000" w:themeColor="text1"/>
        </w:rPr>
        <w:t>.</w:t>
      </w:r>
    </w:p>
    <w:p w14:paraId="17343200"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2E420968" w14:textId="68F67130" w:rsidR="00707055" w:rsidRPr="00553FE2" w:rsidRDefault="006F0090"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Ahora bien, la Ley General de Partidos Políticos, en su artículo primero, establece que es de orden público y de </w:t>
      </w:r>
      <w:r w:rsidRPr="00553FE2">
        <w:rPr>
          <w:rFonts w:ascii="Palatino Linotype" w:hAnsi="Palatino Linotype"/>
          <w:b/>
          <w:bCs/>
          <w:color w:val="000000" w:themeColor="text1"/>
        </w:rPr>
        <w:t>observancia general en el territorio nacional</w:t>
      </w:r>
      <w:r w:rsidRPr="00553FE2">
        <w:rPr>
          <w:rFonts w:ascii="Palatino Linotype" w:hAnsi="Palatino Linotype"/>
          <w:color w:val="000000" w:themeColor="text1"/>
        </w:rPr>
        <w:t xml:space="preserve">, y tiene por objeto regular las disposiciones constitucionales aplicables a los partidos políticos nacionales y locales, así como distribuir competencias entre la Federación y las entidades federativas en diversas materias, entre las que destaca el </w:t>
      </w:r>
      <w:r w:rsidRPr="00553FE2">
        <w:rPr>
          <w:rFonts w:ascii="Palatino Linotype" w:hAnsi="Palatino Linotype"/>
          <w:b/>
          <w:bCs/>
          <w:color w:val="000000" w:themeColor="text1"/>
        </w:rPr>
        <w:t>sistema de fiscalización de los ingresos y egresos de los recursos</w:t>
      </w:r>
      <w:r w:rsidRPr="00553FE2">
        <w:rPr>
          <w:rFonts w:ascii="Palatino Linotype" w:hAnsi="Palatino Linotype"/>
          <w:color w:val="000000" w:themeColor="text1"/>
        </w:rPr>
        <w:t>.</w:t>
      </w:r>
    </w:p>
    <w:p w14:paraId="08D0E702"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6AB553A4" w14:textId="023F2364" w:rsidR="00707055" w:rsidRPr="00553FE2" w:rsidRDefault="00AD1756"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Por su parte, el artículo 59 de la Ley General señala que cada partido político será responsable de su contabilidad y de la operación del sistema de contabilidad, así como del cumplimiento de lo dispuesto en esta Ley y las decisiones que en la materia emita el Consejo General del Instituto Nacional Electoral y la Comisión de Fiscalización.</w:t>
      </w:r>
    </w:p>
    <w:p w14:paraId="5BDCA161"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45B5E284" w14:textId="07404E44" w:rsidR="00707055" w:rsidRPr="00553FE2" w:rsidRDefault="00AD1756"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Por su parte, el artículo 60 de la Ley General en estudio establece lo siguiente:</w:t>
      </w:r>
    </w:p>
    <w:p w14:paraId="2B865A7E" w14:textId="490745A5"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28BE7182" w14:textId="77777777" w:rsidR="00AD1756" w:rsidRPr="00553FE2" w:rsidRDefault="00AD1756" w:rsidP="00AD1756">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553FE2">
        <w:rPr>
          <w:rFonts w:ascii="Palatino Linotype" w:hAnsi="Palatino Linotype"/>
          <w:i/>
          <w:iCs/>
          <w:sz w:val="22"/>
          <w:szCs w:val="22"/>
        </w:rPr>
        <w:t>“</w:t>
      </w:r>
      <w:r w:rsidRPr="00553FE2">
        <w:rPr>
          <w:rFonts w:ascii="Palatino Linotype" w:hAnsi="Palatino Linotype"/>
          <w:b/>
          <w:bCs/>
          <w:i/>
          <w:iCs/>
          <w:sz w:val="22"/>
          <w:szCs w:val="22"/>
        </w:rPr>
        <w:t>Artículo 60.</w:t>
      </w:r>
    </w:p>
    <w:p w14:paraId="27C4BED5" w14:textId="77777777" w:rsidR="00AD1756" w:rsidRPr="00553FE2" w:rsidRDefault="00AD1756" w:rsidP="00AD1756">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1.</w:t>
      </w:r>
      <w:r w:rsidRPr="00553FE2">
        <w:rPr>
          <w:rFonts w:ascii="Palatino Linotype" w:hAnsi="Palatino Linotype"/>
          <w:i/>
          <w:iCs/>
          <w:sz w:val="22"/>
          <w:szCs w:val="22"/>
        </w:rPr>
        <w:t xml:space="preserve"> El sistema de contabilidad al que los partidos políticos se sujetarán, deberá tener las características siguientes: </w:t>
      </w:r>
    </w:p>
    <w:p w14:paraId="5A1F82FB" w14:textId="77777777"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lastRenderedPageBreak/>
        <w:t>a)</w:t>
      </w:r>
      <w:r w:rsidRPr="00553FE2">
        <w:rPr>
          <w:rFonts w:ascii="Palatino Linotype" w:hAnsi="Palatino Linotype"/>
          <w:i/>
          <w:iCs/>
          <w:sz w:val="22"/>
          <w:szCs w:val="22"/>
        </w:rPr>
        <w:t xml:space="preserve"> </w:t>
      </w:r>
      <w:r w:rsidRPr="00553FE2">
        <w:rPr>
          <w:rFonts w:ascii="Palatino Linotype" w:hAnsi="Palatino Linotype"/>
          <w:b/>
          <w:bCs/>
          <w:i/>
          <w:iCs/>
          <w:sz w:val="22"/>
          <w:szCs w:val="22"/>
        </w:rPr>
        <w:t>Estar conformado por el conjunto de registros</w:t>
      </w:r>
      <w:r w:rsidRPr="00553FE2">
        <w:rPr>
          <w:rFonts w:ascii="Palatino Linotype" w:hAnsi="Palatino Linotype"/>
          <w:i/>
          <w:iCs/>
          <w:sz w:val="22"/>
          <w:szCs w:val="22"/>
        </w:rPr>
        <w:t xml:space="preserve">, procedimientos, </w:t>
      </w:r>
      <w:r w:rsidRPr="00553FE2">
        <w:rPr>
          <w:rFonts w:ascii="Palatino Linotype" w:hAnsi="Palatino Linotype"/>
          <w:b/>
          <w:bCs/>
          <w:i/>
          <w:iCs/>
          <w:sz w:val="22"/>
          <w:szCs w:val="22"/>
        </w:rPr>
        <w:t>criterios e informes, estructurados sobre la base de principios técnicos comunes destinados a captar,</w:t>
      </w:r>
      <w:r w:rsidRPr="00553FE2">
        <w:rPr>
          <w:rFonts w:ascii="Palatino Linotype" w:hAnsi="Palatino Linotype"/>
          <w:i/>
          <w:iCs/>
          <w:sz w:val="22"/>
          <w:szCs w:val="22"/>
        </w:rPr>
        <w:t xml:space="preserve"> valuar, </w:t>
      </w:r>
      <w:r w:rsidRPr="00553FE2">
        <w:rPr>
          <w:rFonts w:ascii="Palatino Linotype" w:hAnsi="Palatino Linotype"/>
          <w:b/>
          <w:bCs/>
          <w:i/>
          <w:iCs/>
          <w:sz w:val="22"/>
          <w:szCs w:val="22"/>
        </w:rPr>
        <w:t xml:space="preserve">registrar, clasificar, </w:t>
      </w:r>
      <w:r w:rsidRPr="00553FE2">
        <w:rPr>
          <w:rFonts w:ascii="Palatino Linotype" w:hAnsi="Palatino Linotype"/>
          <w:b/>
          <w:bCs/>
          <w:i/>
          <w:iCs/>
          <w:sz w:val="22"/>
          <w:szCs w:val="22"/>
          <w:u w:val="single"/>
        </w:rPr>
        <w:t>informar</w:t>
      </w:r>
      <w:r w:rsidRPr="00553FE2">
        <w:rPr>
          <w:rFonts w:ascii="Palatino Linotype" w:hAnsi="Palatino Linotype"/>
          <w:i/>
          <w:iCs/>
          <w:sz w:val="22"/>
          <w:szCs w:val="22"/>
        </w:rPr>
        <w:t xml:space="preserve"> e interpretar, </w:t>
      </w:r>
      <w:r w:rsidRPr="00553FE2">
        <w:rPr>
          <w:rFonts w:ascii="Palatino Linotype" w:hAnsi="Palatino Linotype"/>
          <w:b/>
          <w:bCs/>
          <w:i/>
          <w:iCs/>
          <w:sz w:val="22"/>
          <w:szCs w:val="22"/>
        </w:rPr>
        <w:t>las transacciones</w:t>
      </w:r>
      <w:r w:rsidRPr="00553FE2">
        <w:rPr>
          <w:rFonts w:ascii="Palatino Linotype" w:hAnsi="Palatino Linotype"/>
          <w:i/>
          <w:iCs/>
          <w:sz w:val="22"/>
          <w:szCs w:val="22"/>
        </w:rPr>
        <w:t xml:space="preserve">, transformaciones y eventos que, derivados de la actividad financiera, modifican la situación patrimonial del partido político; </w:t>
      </w:r>
    </w:p>
    <w:p w14:paraId="01281DCD" w14:textId="3721E85F"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i/>
          <w:iCs/>
          <w:sz w:val="22"/>
          <w:szCs w:val="22"/>
        </w:rPr>
        <w:t>(…)</w:t>
      </w:r>
    </w:p>
    <w:p w14:paraId="61A1D963" w14:textId="77777777"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d)</w:t>
      </w:r>
      <w:r w:rsidRPr="00553FE2">
        <w:rPr>
          <w:rFonts w:ascii="Palatino Linotype" w:hAnsi="Palatino Linotype"/>
          <w:i/>
          <w:iCs/>
          <w:sz w:val="22"/>
          <w:szCs w:val="22"/>
        </w:rPr>
        <w:t xml:space="preserve"> </w:t>
      </w:r>
      <w:r w:rsidRPr="00553FE2">
        <w:rPr>
          <w:rFonts w:ascii="Palatino Linotype" w:hAnsi="Palatino Linotype"/>
          <w:b/>
          <w:bCs/>
          <w:i/>
          <w:iCs/>
          <w:sz w:val="22"/>
          <w:szCs w:val="22"/>
        </w:rPr>
        <w:t>Registrar</w:t>
      </w:r>
      <w:r w:rsidRPr="00553FE2">
        <w:rPr>
          <w:rFonts w:ascii="Palatino Linotype" w:hAnsi="Palatino Linotype"/>
          <w:i/>
          <w:iCs/>
          <w:sz w:val="22"/>
          <w:szCs w:val="22"/>
        </w:rPr>
        <w:t xml:space="preserve"> de manera armónica, delimitada y específica </w:t>
      </w:r>
      <w:r w:rsidRPr="00553FE2">
        <w:rPr>
          <w:rFonts w:ascii="Palatino Linotype" w:hAnsi="Palatino Linotype"/>
          <w:b/>
          <w:bCs/>
          <w:i/>
          <w:iCs/>
          <w:sz w:val="22"/>
          <w:szCs w:val="22"/>
        </w:rPr>
        <w:t>sus operaciones presupuestarias y contables, así como otros flujos económicos</w:t>
      </w:r>
      <w:r w:rsidRPr="00553FE2">
        <w:rPr>
          <w:rFonts w:ascii="Palatino Linotype" w:hAnsi="Palatino Linotype"/>
          <w:i/>
          <w:iCs/>
          <w:sz w:val="22"/>
          <w:szCs w:val="22"/>
        </w:rPr>
        <w:t xml:space="preserve">; </w:t>
      </w:r>
    </w:p>
    <w:p w14:paraId="1EB5CAE7" w14:textId="2C9F318F"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i/>
          <w:iCs/>
          <w:sz w:val="22"/>
          <w:szCs w:val="22"/>
        </w:rPr>
        <w:t>(…)</w:t>
      </w:r>
    </w:p>
    <w:p w14:paraId="0E51CBC6" w14:textId="77777777"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f)</w:t>
      </w:r>
      <w:r w:rsidRPr="00553FE2">
        <w:rPr>
          <w:rFonts w:ascii="Palatino Linotype" w:hAnsi="Palatino Linotype"/>
          <w:i/>
          <w:iCs/>
          <w:sz w:val="22"/>
          <w:szCs w:val="22"/>
        </w:rPr>
        <w:t xml:space="preserve"> </w:t>
      </w:r>
      <w:r w:rsidRPr="00553FE2">
        <w:rPr>
          <w:rFonts w:ascii="Palatino Linotype" w:hAnsi="Palatino Linotype"/>
          <w:b/>
          <w:bCs/>
          <w:i/>
          <w:iCs/>
          <w:sz w:val="22"/>
          <w:szCs w:val="22"/>
        </w:rPr>
        <w:t>Facilitar el reconocimiento de las operaciones de</w:t>
      </w:r>
      <w:r w:rsidRPr="00553FE2">
        <w:rPr>
          <w:rFonts w:ascii="Palatino Linotype" w:hAnsi="Palatino Linotype"/>
          <w:i/>
          <w:iCs/>
          <w:sz w:val="22"/>
          <w:szCs w:val="22"/>
        </w:rPr>
        <w:t xml:space="preserve"> ingresos, </w:t>
      </w:r>
      <w:r w:rsidRPr="00553FE2">
        <w:rPr>
          <w:rFonts w:ascii="Palatino Linotype" w:hAnsi="Palatino Linotype"/>
          <w:b/>
          <w:bCs/>
          <w:i/>
          <w:iCs/>
          <w:sz w:val="22"/>
          <w:szCs w:val="22"/>
        </w:rPr>
        <w:t>gastos</w:t>
      </w:r>
      <w:r w:rsidRPr="00553FE2">
        <w:rPr>
          <w:rFonts w:ascii="Palatino Linotype" w:hAnsi="Palatino Linotype"/>
          <w:i/>
          <w:iCs/>
          <w:sz w:val="22"/>
          <w:szCs w:val="22"/>
        </w:rPr>
        <w:t xml:space="preserve">, activos, pasivos y patrimoniales; </w:t>
      </w:r>
    </w:p>
    <w:p w14:paraId="5C52EF30" w14:textId="77777777"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g)</w:t>
      </w:r>
      <w:r w:rsidRPr="00553FE2">
        <w:rPr>
          <w:rFonts w:ascii="Palatino Linotype" w:hAnsi="Palatino Linotype"/>
          <w:i/>
          <w:iCs/>
          <w:sz w:val="22"/>
          <w:szCs w:val="22"/>
        </w:rPr>
        <w:t xml:space="preserve"> </w:t>
      </w:r>
      <w:r w:rsidRPr="00553FE2">
        <w:rPr>
          <w:rFonts w:ascii="Palatino Linotype" w:hAnsi="Palatino Linotype"/>
          <w:b/>
          <w:bCs/>
          <w:i/>
          <w:iCs/>
          <w:sz w:val="22"/>
          <w:szCs w:val="22"/>
        </w:rPr>
        <w:t>Integrar en forma automática el ejercicio presupuestario con la operación contable</w:t>
      </w:r>
      <w:r w:rsidRPr="00553FE2">
        <w:rPr>
          <w:rFonts w:ascii="Palatino Linotype" w:hAnsi="Palatino Linotype"/>
          <w:i/>
          <w:iCs/>
          <w:sz w:val="22"/>
          <w:szCs w:val="22"/>
        </w:rPr>
        <w:t xml:space="preserve">, a partir de la utilización del gasto devengado; </w:t>
      </w:r>
    </w:p>
    <w:p w14:paraId="78776313" w14:textId="17456405"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i/>
          <w:iCs/>
          <w:sz w:val="22"/>
          <w:szCs w:val="22"/>
        </w:rPr>
        <w:t>(…)</w:t>
      </w:r>
    </w:p>
    <w:p w14:paraId="61C26335" w14:textId="77777777"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i)</w:t>
      </w:r>
      <w:r w:rsidRPr="00553FE2">
        <w:rPr>
          <w:rFonts w:ascii="Palatino Linotype" w:hAnsi="Palatino Linotype"/>
          <w:i/>
          <w:iCs/>
          <w:sz w:val="22"/>
          <w:szCs w:val="22"/>
        </w:rPr>
        <w:t xml:space="preserve"> </w:t>
      </w:r>
      <w:r w:rsidRPr="00553FE2">
        <w:rPr>
          <w:rFonts w:ascii="Palatino Linotype" w:hAnsi="Palatino Linotype"/>
          <w:b/>
          <w:bCs/>
          <w:i/>
          <w:iCs/>
          <w:sz w:val="22"/>
          <w:szCs w:val="22"/>
        </w:rPr>
        <w:t>Reflejar un registro congruente y ordenado de cada operación</w:t>
      </w:r>
      <w:r w:rsidRPr="00553FE2">
        <w:rPr>
          <w:rFonts w:ascii="Palatino Linotype" w:hAnsi="Palatino Linotype"/>
          <w:i/>
          <w:iCs/>
          <w:sz w:val="22"/>
          <w:szCs w:val="22"/>
        </w:rPr>
        <w:t xml:space="preserve"> que genere derechos y obligaciones derivados de la gestión financiera; </w:t>
      </w:r>
    </w:p>
    <w:p w14:paraId="37079499" w14:textId="7964D832" w:rsidR="00AD1756" w:rsidRPr="00553FE2" w:rsidRDefault="00AD1756" w:rsidP="00AD1756">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j)</w:t>
      </w:r>
      <w:r w:rsidRPr="00553FE2">
        <w:rPr>
          <w:rFonts w:ascii="Palatino Linotype" w:hAnsi="Palatino Linotype"/>
          <w:i/>
          <w:iCs/>
          <w:sz w:val="22"/>
          <w:szCs w:val="22"/>
        </w:rPr>
        <w:t xml:space="preserve"> </w:t>
      </w:r>
      <w:r w:rsidRPr="00553FE2">
        <w:rPr>
          <w:rFonts w:ascii="Palatino Linotype" w:hAnsi="Palatino Linotype"/>
          <w:b/>
          <w:bCs/>
          <w:i/>
          <w:iCs/>
          <w:sz w:val="22"/>
          <w:szCs w:val="22"/>
        </w:rPr>
        <w:t>Generar, en tiempo real</w:t>
      </w:r>
      <w:r w:rsidRPr="00553FE2">
        <w:rPr>
          <w:rFonts w:ascii="Palatino Linotype" w:hAnsi="Palatino Linotype"/>
          <w:i/>
          <w:iCs/>
          <w:sz w:val="22"/>
          <w:szCs w:val="22"/>
        </w:rPr>
        <w:t xml:space="preserve">, estados financieros, de ejecución presupuestaria y otra </w:t>
      </w:r>
      <w:r w:rsidRPr="00553FE2">
        <w:rPr>
          <w:rFonts w:ascii="Palatino Linotype" w:hAnsi="Palatino Linotype"/>
          <w:b/>
          <w:bCs/>
          <w:i/>
          <w:iCs/>
          <w:sz w:val="22"/>
          <w:szCs w:val="22"/>
        </w:rPr>
        <w:t>información que coadyuve</w:t>
      </w:r>
      <w:r w:rsidRPr="00553FE2">
        <w:rPr>
          <w:rFonts w:ascii="Palatino Linotype" w:hAnsi="Palatino Linotype"/>
          <w:i/>
          <w:iCs/>
          <w:sz w:val="22"/>
          <w:szCs w:val="22"/>
        </w:rPr>
        <w:t xml:space="preserve"> a la toma de decisiones, </w:t>
      </w:r>
      <w:r w:rsidRPr="00553FE2">
        <w:rPr>
          <w:rFonts w:ascii="Palatino Linotype" w:hAnsi="Palatino Linotype"/>
          <w:b/>
          <w:bCs/>
          <w:i/>
          <w:iCs/>
          <w:sz w:val="22"/>
          <w:szCs w:val="22"/>
        </w:rPr>
        <w:t>a la transparencia</w:t>
      </w:r>
      <w:r w:rsidRPr="00553FE2">
        <w:rPr>
          <w:rFonts w:ascii="Palatino Linotype" w:hAnsi="Palatino Linotype"/>
          <w:i/>
          <w:iCs/>
          <w:sz w:val="22"/>
          <w:szCs w:val="22"/>
        </w:rPr>
        <w:t>, a la programación con base en resultados, a la evaluación y a la rendición de cuentas”</w:t>
      </w:r>
    </w:p>
    <w:p w14:paraId="2CC6DE3E" w14:textId="6636723B" w:rsidR="00AD1756" w:rsidRPr="00553FE2" w:rsidRDefault="00AD1756" w:rsidP="00AD175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53FE2">
        <w:rPr>
          <w:rFonts w:ascii="Palatino Linotype" w:hAnsi="Palatino Linotype"/>
          <w:sz w:val="22"/>
          <w:szCs w:val="22"/>
        </w:rPr>
        <w:t>(Énfasis añadido)</w:t>
      </w:r>
    </w:p>
    <w:p w14:paraId="7D4B3D85" w14:textId="77777777" w:rsidR="00AD1756" w:rsidRPr="00553FE2" w:rsidRDefault="00AD1756"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3ADA2369" w14:textId="400459F4" w:rsidR="00707055" w:rsidRPr="00553FE2" w:rsidRDefault="004479F3"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 lo anterior se coligue que los partidos políticos deberán mantener un control continuo y eficiente de su sistema de contabilidad, mismo que se conformará por los </w:t>
      </w:r>
      <w:r w:rsidRPr="00553FE2">
        <w:rPr>
          <w:rFonts w:ascii="Palatino Linotype" w:hAnsi="Palatino Linotype"/>
          <w:b/>
          <w:bCs/>
          <w:color w:val="000000" w:themeColor="text1"/>
        </w:rPr>
        <w:t>registros</w:t>
      </w:r>
      <w:r w:rsidRPr="00553FE2">
        <w:rPr>
          <w:rFonts w:ascii="Palatino Linotype" w:hAnsi="Palatino Linotype"/>
          <w:color w:val="000000" w:themeColor="text1"/>
        </w:rPr>
        <w:t xml:space="preserve"> e informes financieros y contables, generados sobre principios técnicos comunes destinados a captar, registrar, clasificar </w:t>
      </w:r>
      <w:r w:rsidRPr="00553FE2">
        <w:rPr>
          <w:rFonts w:ascii="Palatino Linotype" w:hAnsi="Palatino Linotype"/>
          <w:b/>
          <w:bCs/>
          <w:color w:val="000000" w:themeColor="text1"/>
        </w:rPr>
        <w:t>e informar</w:t>
      </w:r>
      <w:r w:rsidRPr="00553FE2">
        <w:rPr>
          <w:rFonts w:ascii="Palatino Linotype" w:hAnsi="Palatino Linotype"/>
          <w:color w:val="000000" w:themeColor="text1"/>
        </w:rPr>
        <w:t xml:space="preserve"> las transacciones</w:t>
      </w:r>
      <w:r w:rsidR="00CD719C" w:rsidRPr="00553FE2">
        <w:rPr>
          <w:rFonts w:ascii="Palatino Linotype" w:hAnsi="Palatino Linotype"/>
          <w:color w:val="000000" w:themeColor="text1"/>
        </w:rPr>
        <w:t xml:space="preserve"> que deriven del ejercicio de su presupuesto asignado, teniendo como uno de sus fines </w:t>
      </w:r>
      <w:r w:rsidR="00CD719C" w:rsidRPr="00553FE2">
        <w:rPr>
          <w:rFonts w:ascii="Palatino Linotype" w:hAnsi="Palatino Linotype"/>
          <w:b/>
          <w:bCs/>
          <w:color w:val="000000" w:themeColor="text1"/>
        </w:rPr>
        <w:t>la transparencia</w:t>
      </w:r>
      <w:r w:rsidR="00CD719C" w:rsidRPr="00553FE2">
        <w:rPr>
          <w:rFonts w:ascii="Palatino Linotype" w:hAnsi="Palatino Linotype"/>
          <w:color w:val="000000" w:themeColor="text1"/>
        </w:rPr>
        <w:t>.</w:t>
      </w:r>
    </w:p>
    <w:p w14:paraId="2D00215B"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02F4A420" w14:textId="5A8EE9C5" w:rsidR="00707055" w:rsidRPr="00553FE2" w:rsidRDefault="00CD719C"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Por lo tanto, en cuanto hace a su régimen financiero, los partidos políticos deberán realizar, entre otras, las siguientes actividades</w:t>
      </w:r>
      <w:r w:rsidR="00060CC9" w:rsidRPr="00553FE2">
        <w:rPr>
          <w:rStyle w:val="Refdenotaalpie"/>
          <w:rFonts w:ascii="Palatino Linotype" w:hAnsi="Palatino Linotype"/>
          <w:color w:val="000000" w:themeColor="text1"/>
        </w:rPr>
        <w:footnoteReference w:id="13"/>
      </w:r>
      <w:r w:rsidRPr="00553FE2">
        <w:rPr>
          <w:rFonts w:ascii="Palatino Linotype" w:hAnsi="Palatino Linotype"/>
          <w:color w:val="000000" w:themeColor="text1"/>
        </w:rPr>
        <w:t>:</w:t>
      </w:r>
    </w:p>
    <w:p w14:paraId="3711015B" w14:textId="77777777" w:rsidR="00CD719C" w:rsidRPr="00553FE2" w:rsidRDefault="00CD719C" w:rsidP="00CD719C">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b/>
          <w:bCs/>
          <w:color w:val="000000" w:themeColor="text1"/>
        </w:rPr>
        <w:lastRenderedPageBreak/>
        <w:t>Llevar su contabilidad mediante</w:t>
      </w:r>
      <w:r w:rsidRPr="00553FE2">
        <w:rPr>
          <w:rFonts w:ascii="Palatino Linotype" w:hAnsi="Palatino Linotype"/>
          <w:color w:val="000000" w:themeColor="text1"/>
        </w:rPr>
        <w:t xml:space="preserve"> libros, sistemas, registros contables, estados de cuenta, cuentas especiales, papeles de trabajo, discos o </w:t>
      </w:r>
      <w:r w:rsidRPr="00553FE2">
        <w:rPr>
          <w:rFonts w:ascii="Palatino Linotype" w:hAnsi="Palatino Linotype"/>
          <w:b/>
          <w:bCs/>
          <w:color w:val="000000" w:themeColor="text1"/>
        </w:rPr>
        <w:t xml:space="preserve">cualquier medio procesable de almacenamiento de datos que les permitan facilitar el registro y la fiscalización de sus </w:t>
      </w:r>
      <w:r w:rsidRPr="00553FE2">
        <w:rPr>
          <w:rFonts w:ascii="Palatino Linotype" w:hAnsi="Palatino Linotype"/>
          <w:color w:val="000000" w:themeColor="text1"/>
        </w:rPr>
        <w:t xml:space="preserve">activos, </w:t>
      </w:r>
      <w:r w:rsidRPr="00553FE2">
        <w:rPr>
          <w:rFonts w:ascii="Palatino Linotype" w:hAnsi="Palatino Linotype"/>
          <w:b/>
          <w:bCs/>
          <w:color w:val="000000" w:themeColor="text1"/>
        </w:rPr>
        <w:t>pasivos</w:t>
      </w:r>
      <w:r w:rsidRPr="00553FE2">
        <w:rPr>
          <w:rFonts w:ascii="Palatino Linotype" w:hAnsi="Palatino Linotype"/>
          <w:color w:val="000000" w:themeColor="text1"/>
        </w:rPr>
        <w:t xml:space="preserve">, ingresos </w:t>
      </w:r>
      <w:r w:rsidRPr="00553FE2">
        <w:rPr>
          <w:rFonts w:ascii="Palatino Linotype" w:hAnsi="Palatino Linotype"/>
          <w:b/>
          <w:bCs/>
          <w:color w:val="000000" w:themeColor="text1"/>
        </w:rPr>
        <w:t>y gastos</w:t>
      </w:r>
      <w:r w:rsidRPr="00553FE2">
        <w:rPr>
          <w:rFonts w:ascii="Palatino Linotype" w:hAnsi="Palatino Linotype"/>
          <w:color w:val="000000" w:themeColor="text1"/>
        </w:rPr>
        <w:t xml:space="preserve"> y, en general, contribuir a medir la eficacia, economía y eficiencia del gasto e ingresos y la administración de la deuda; </w:t>
      </w:r>
    </w:p>
    <w:p w14:paraId="6E4523E6" w14:textId="046B465A" w:rsidR="00CD719C" w:rsidRPr="00553FE2" w:rsidRDefault="00CD719C" w:rsidP="00CD719C">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b/>
          <w:bCs/>
          <w:color w:val="000000" w:themeColor="text1"/>
        </w:rPr>
        <w:t>Generar estados financieros confiables</w:t>
      </w:r>
      <w:r w:rsidRPr="00553FE2">
        <w:rPr>
          <w:rFonts w:ascii="Palatino Linotype" w:hAnsi="Palatino Linotype"/>
          <w:color w:val="000000" w:themeColor="text1"/>
        </w:rPr>
        <w:t>, oportunos, comprensibles, periódicos, comparables y homogéneos, los cuales serán expresados en términos monetarios; y</w:t>
      </w:r>
    </w:p>
    <w:p w14:paraId="22769136" w14:textId="64CF82C5" w:rsidR="00CD719C" w:rsidRPr="00553FE2" w:rsidRDefault="00CD719C" w:rsidP="00CD719C">
      <w:pPr>
        <w:pStyle w:val="Prrafodelista"/>
        <w:numPr>
          <w:ilvl w:val="1"/>
          <w:numId w:val="26"/>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hAnsi="Palatino Linotype"/>
          <w:b/>
          <w:bCs/>
          <w:color w:val="000000" w:themeColor="text1"/>
        </w:rPr>
        <w:t>Conservar la información contable por un término mínimo de cinco años</w:t>
      </w:r>
      <w:r w:rsidRPr="00553FE2">
        <w:rPr>
          <w:rFonts w:ascii="Palatino Linotype" w:hAnsi="Palatino Linotype"/>
          <w:color w:val="000000" w:themeColor="text1"/>
        </w:rPr>
        <w:t>.</w:t>
      </w:r>
    </w:p>
    <w:p w14:paraId="6E991F21"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4B6591E6" w14:textId="3A808853" w:rsidR="00707055" w:rsidRPr="00553FE2" w:rsidRDefault="003741C5"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No se omite mencionar el Instituto Nacional Electoral</w:t>
      </w:r>
      <w:r w:rsidR="00771F3A" w:rsidRPr="00553FE2">
        <w:rPr>
          <w:rFonts w:ascii="Palatino Linotype" w:hAnsi="Palatino Linotype"/>
          <w:color w:val="000000" w:themeColor="text1"/>
        </w:rPr>
        <w:t xml:space="preserve"> se encarga de</w:t>
      </w:r>
      <w:r w:rsidRPr="00553FE2">
        <w:rPr>
          <w:rFonts w:ascii="Palatino Linotype" w:hAnsi="Palatino Linotype"/>
          <w:color w:val="000000" w:themeColor="text1"/>
        </w:rPr>
        <w:t xml:space="preserve"> audita</w:t>
      </w:r>
      <w:r w:rsidR="00771F3A" w:rsidRPr="00553FE2">
        <w:rPr>
          <w:rFonts w:ascii="Palatino Linotype" w:hAnsi="Palatino Linotype"/>
          <w:color w:val="000000" w:themeColor="text1"/>
        </w:rPr>
        <w:t>r</w:t>
      </w:r>
      <w:r w:rsidRPr="00553FE2">
        <w:rPr>
          <w:rFonts w:ascii="Palatino Linotype" w:hAnsi="Palatino Linotype"/>
          <w:color w:val="000000" w:themeColor="text1"/>
        </w:rPr>
        <w:t xml:space="preserve"> y fiscaliza</w:t>
      </w:r>
      <w:r w:rsidR="00771F3A" w:rsidRPr="00553FE2">
        <w:rPr>
          <w:rFonts w:ascii="Palatino Linotype" w:hAnsi="Palatino Linotype"/>
          <w:color w:val="000000" w:themeColor="text1"/>
        </w:rPr>
        <w:t>r</w:t>
      </w:r>
      <w:r w:rsidRPr="00553FE2">
        <w:rPr>
          <w:rFonts w:ascii="Palatino Linotype" w:hAnsi="Palatino Linotype"/>
          <w:color w:val="000000" w:themeColor="text1"/>
        </w:rPr>
        <w:t xml:space="preserve"> a los partidos políticos</w:t>
      </w:r>
      <w:r w:rsidR="00771F3A" w:rsidRPr="00553FE2">
        <w:rPr>
          <w:rFonts w:ascii="Palatino Linotype" w:hAnsi="Palatino Linotype"/>
          <w:color w:val="000000" w:themeColor="text1"/>
        </w:rPr>
        <w:t>,</w:t>
      </w:r>
      <w:r w:rsidRPr="00553FE2">
        <w:rPr>
          <w:rFonts w:ascii="Palatino Linotype" w:hAnsi="Palatino Linotype"/>
          <w:color w:val="000000" w:themeColor="text1"/>
        </w:rPr>
        <w:t xml:space="preserve"> a través del Sistema Integral de Fiscalización, el cual, periódicamente</w:t>
      </w:r>
      <w:r w:rsidR="00771F3A" w:rsidRPr="00553FE2">
        <w:rPr>
          <w:rFonts w:ascii="Palatino Linotype" w:hAnsi="Palatino Linotype"/>
          <w:color w:val="000000" w:themeColor="text1"/>
        </w:rPr>
        <w:t>,</w:t>
      </w:r>
      <w:r w:rsidRPr="00553FE2">
        <w:rPr>
          <w:rFonts w:ascii="Palatino Linotype" w:hAnsi="Palatino Linotype"/>
          <w:color w:val="000000" w:themeColor="text1"/>
        </w:rPr>
        <w:t xml:space="preserve"> emite publicaciones e infografías de interés para los proveedores y contratistas de los partidos políticos; siendo de especial interés la publicación relativa a las </w:t>
      </w:r>
      <w:r w:rsidRPr="00553FE2">
        <w:rPr>
          <w:rFonts w:ascii="Palatino Linotype" w:hAnsi="Palatino Linotype"/>
          <w:i/>
          <w:iCs/>
          <w:color w:val="000000" w:themeColor="text1"/>
        </w:rPr>
        <w:t>Indicaciones para la emisión de facturas electrónicas</w:t>
      </w:r>
      <w:r w:rsidRPr="00553FE2">
        <w:rPr>
          <w:rStyle w:val="Refdenotaalpie"/>
          <w:rFonts w:ascii="Palatino Linotype" w:hAnsi="Palatino Linotype"/>
          <w:i/>
          <w:iCs/>
          <w:color w:val="000000" w:themeColor="text1"/>
        </w:rPr>
        <w:footnoteReference w:id="14"/>
      </w:r>
      <w:r w:rsidRPr="00553FE2">
        <w:rPr>
          <w:rFonts w:ascii="Palatino Linotype" w:hAnsi="Palatino Linotype"/>
          <w:color w:val="000000" w:themeColor="text1"/>
        </w:rPr>
        <w:t xml:space="preserve">, el cual establece que las facturas electrónicas que emitan los proveedores a los partidos políticos y asociaciones civiles (aspirantes y candidatos independientes), por la adquisición o uso o goce temporal de bienes o por la prestación de servicios, además de contener los requisitos señalados en el artículo 29 y 29-A del Código Fiscal de la Federación, deberán incorporar al comprobante el </w:t>
      </w:r>
      <w:r w:rsidR="002D1E27" w:rsidRPr="00553FE2">
        <w:rPr>
          <w:rFonts w:ascii="Palatino Linotype" w:hAnsi="Palatino Linotype"/>
          <w:color w:val="000000" w:themeColor="text1"/>
        </w:rPr>
        <w:t>‘</w:t>
      </w:r>
      <w:r w:rsidRPr="00553FE2">
        <w:rPr>
          <w:rFonts w:ascii="Palatino Linotype" w:hAnsi="Palatino Linotype"/>
          <w:color w:val="000000" w:themeColor="text1"/>
        </w:rPr>
        <w:t>Complemento INE</w:t>
      </w:r>
      <w:r w:rsidR="002D1E27" w:rsidRPr="00553FE2">
        <w:rPr>
          <w:rFonts w:ascii="Palatino Linotype" w:hAnsi="Palatino Linotype"/>
          <w:color w:val="000000" w:themeColor="text1"/>
        </w:rPr>
        <w:t>’</w:t>
      </w:r>
      <w:r w:rsidRPr="00553FE2">
        <w:rPr>
          <w:rFonts w:ascii="Palatino Linotype" w:hAnsi="Palatino Linotype"/>
          <w:color w:val="000000" w:themeColor="text1"/>
        </w:rPr>
        <w:t xml:space="preserve"> que publique el Servicio de Administración Tributaria en su Portal de Internet.</w:t>
      </w:r>
      <w:r w:rsidR="002D1E27" w:rsidRPr="00553FE2">
        <w:rPr>
          <w:rFonts w:ascii="Palatino Linotype" w:hAnsi="Palatino Linotype"/>
          <w:color w:val="000000" w:themeColor="text1"/>
        </w:rPr>
        <w:t xml:space="preserve"> Por lo </w:t>
      </w:r>
      <w:r w:rsidR="002D1E27" w:rsidRPr="00553FE2">
        <w:rPr>
          <w:rFonts w:ascii="Palatino Linotype" w:hAnsi="Palatino Linotype"/>
          <w:color w:val="000000" w:themeColor="text1"/>
        </w:rPr>
        <w:lastRenderedPageBreak/>
        <w:t>tanto, al expedir Comprobantes Fiscales Digitales por Internet (CFDI), los proveedores de bienes y/o prestadores de servicios deberán solicitar a los partidos políticos y asociaciones civiles (aspirantes y candidatos independientes) los siguientes datos para incorporar en el ‘Complemento INE’</w:t>
      </w:r>
      <w:r w:rsidR="002D1E27" w:rsidRPr="00553FE2">
        <w:rPr>
          <w:rStyle w:val="Refdenotaalpie"/>
          <w:rFonts w:ascii="Palatino Linotype" w:hAnsi="Palatino Linotype"/>
          <w:color w:val="000000" w:themeColor="text1"/>
        </w:rPr>
        <w:footnoteReference w:id="15"/>
      </w:r>
      <w:r w:rsidR="002D1E27" w:rsidRPr="00553FE2">
        <w:rPr>
          <w:rFonts w:ascii="Palatino Linotype" w:hAnsi="Palatino Linotype"/>
          <w:color w:val="000000" w:themeColor="text1"/>
        </w:rPr>
        <w:t>:</w:t>
      </w:r>
    </w:p>
    <w:p w14:paraId="1C25FB9F" w14:textId="7777777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7D752CBE" w14:textId="09CCEA8E" w:rsidR="00707055" w:rsidRPr="00553FE2" w:rsidRDefault="003741C5" w:rsidP="007D587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El Complemento INE deberá incluirse en todos los comprobantes que se emitan a los partidos políticos y asociaciones civiles, sin excepción, de conformidad con el artículo 46 del Reglamento de Fiscalización.</w:t>
      </w:r>
    </w:p>
    <w:p w14:paraId="4E88B3AF" w14:textId="4BEB4BC7" w:rsidR="00707055" w:rsidRPr="00553FE2" w:rsidRDefault="00707055"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1CC6ED9B" w14:textId="4DF1D107" w:rsidR="002D1E27" w:rsidRPr="00553FE2" w:rsidRDefault="000D5494" w:rsidP="002D1E27">
      <w:pPr>
        <w:pStyle w:val="Prrafodelista"/>
        <w:tabs>
          <w:tab w:val="left" w:pos="426"/>
        </w:tabs>
        <w:spacing w:before="240" w:after="240" w:line="360" w:lineRule="auto"/>
        <w:ind w:left="0" w:right="51"/>
        <w:jc w:val="center"/>
        <w:rPr>
          <w:rFonts w:ascii="Palatino Linotype" w:hAnsi="Palatino Linotype"/>
          <w:color w:val="000000" w:themeColor="text1"/>
        </w:rPr>
      </w:pPr>
      <w:r w:rsidRPr="00553FE2">
        <w:rPr>
          <w:noProof/>
        </w:rPr>
        <w:object w:dxaOrig="16245" w:dyaOrig="2910" w14:anchorId="3D93BE5D">
          <v:shape id="_x0000_i1029" type="#_x0000_t75" style="width:380.4pt;height:69.3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0705043" r:id="rId17"/>
        </w:object>
      </w:r>
    </w:p>
    <w:p w14:paraId="190CEAF7" w14:textId="77777777" w:rsidR="002D1E27" w:rsidRPr="00553FE2" w:rsidRDefault="002D1E27" w:rsidP="00707055">
      <w:pPr>
        <w:pStyle w:val="Prrafodelista"/>
        <w:tabs>
          <w:tab w:val="left" w:pos="426"/>
        </w:tabs>
        <w:spacing w:before="240" w:after="240" w:line="360" w:lineRule="auto"/>
        <w:ind w:left="0" w:right="51"/>
        <w:jc w:val="both"/>
        <w:rPr>
          <w:rFonts w:ascii="Palatino Linotype" w:hAnsi="Palatino Linotype"/>
          <w:color w:val="000000" w:themeColor="text1"/>
        </w:rPr>
      </w:pPr>
    </w:p>
    <w:p w14:paraId="6A672007" w14:textId="7578F782" w:rsidR="00707055" w:rsidRPr="00553FE2" w:rsidRDefault="002D1E27"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Correlativo a lo anterior, dentro de las </w:t>
      </w:r>
      <w:r w:rsidRPr="00553FE2">
        <w:rPr>
          <w:rFonts w:ascii="Palatino Linotype" w:hAnsi="Palatino Linotype"/>
          <w:i/>
          <w:iCs/>
          <w:color w:val="000000" w:themeColor="text1"/>
        </w:rPr>
        <w:t>Indicaciones para la emisión de facturas electrónicas</w:t>
      </w:r>
      <w:r w:rsidRPr="00553FE2">
        <w:rPr>
          <w:rFonts w:ascii="Palatino Linotype" w:hAnsi="Palatino Linotype"/>
          <w:color w:val="000000" w:themeColor="text1"/>
        </w:rPr>
        <w:t>, emitido por el Sistema Integral de Fiscalización, se aprecia una línea del proceso que sigue la generación de facturas en adhesión al ‘Complemento INE’, a saber:</w:t>
      </w:r>
    </w:p>
    <w:p w14:paraId="2B153DC6" w14:textId="3CBC2A84"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19B7E033" w14:textId="58523CBD" w:rsidR="002D1E27" w:rsidRPr="00553FE2" w:rsidRDefault="000D5494" w:rsidP="002D1E27">
      <w:pPr>
        <w:pStyle w:val="Prrafodelista"/>
        <w:tabs>
          <w:tab w:val="left" w:pos="426"/>
        </w:tabs>
        <w:spacing w:before="240" w:after="240" w:line="360" w:lineRule="auto"/>
        <w:ind w:left="0" w:right="51"/>
        <w:jc w:val="center"/>
        <w:rPr>
          <w:rFonts w:ascii="Palatino Linotype" w:hAnsi="Palatino Linotype"/>
          <w:color w:val="000000" w:themeColor="text1"/>
        </w:rPr>
      </w:pPr>
      <w:r w:rsidRPr="00553FE2">
        <w:rPr>
          <w:noProof/>
        </w:rPr>
        <w:object w:dxaOrig="16185" w:dyaOrig="3645" w14:anchorId="34D3D80D">
          <v:shape id="_x0000_i1030" type="#_x0000_t75" style="width:379.7pt;height:86.2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0705044" r:id="rId19"/>
        </w:object>
      </w:r>
    </w:p>
    <w:p w14:paraId="08A46B83" w14:textId="77777777"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0012855E" w14:textId="410E4DB5" w:rsidR="002D1E27" w:rsidRPr="00553FE2" w:rsidRDefault="00D03FA7"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lastRenderedPageBreak/>
        <w:t xml:space="preserve">Por lo anterior, </w:t>
      </w:r>
      <w:r w:rsidR="00771F3A" w:rsidRPr="00553FE2">
        <w:rPr>
          <w:rFonts w:ascii="Palatino Linotype" w:hAnsi="Palatino Linotype"/>
          <w:color w:val="000000" w:themeColor="text1"/>
        </w:rPr>
        <w:t>se insiste</w:t>
      </w:r>
      <w:r w:rsidRPr="00553FE2">
        <w:rPr>
          <w:rFonts w:ascii="Palatino Linotype" w:hAnsi="Palatino Linotype"/>
          <w:color w:val="000000" w:themeColor="text1"/>
        </w:rPr>
        <w:t xml:space="preserve"> que si bien las facturas que comprueben los gastos realizados por los Comités Directivos Municipales no son documentos que, de forma literal, se encuentren reconocidos como una obligación de transparencia común o específica, lo cierto es que su contenido es elemental para comprobar el uso adecuado de los recursos públicos que los partidos públicos reciban para el ejercicio de sus funciones y su plan de trabajo, </w:t>
      </w:r>
      <w:r w:rsidRPr="00553FE2">
        <w:rPr>
          <w:rFonts w:ascii="Palatino Linotype" w:hAnsi="Palatino Linotype"/>
          <w:b/>
          <w:bCs/>
          <w:color w:val="000000" w:themeColor="text1"/>
        </w:rPr>
        <w:t>por lo que su difusión y publicidad a la ciudadanía es de toral importancia</w:t>
      </w:r>
      <w:r w:rsidR="000B0C04" w:rsidRPr="00553FE2">
        <w:rPr>
          <w:rFonts w:ascii="Palatino Linotype" w:hAnsi="Palatino Linotype"/>
          <w:color w:val="000000" w:themeColor="text1"/>
        </w:rPr>
        <w:t>, al ser instrumentos que otorgan una transparencia contable y financiera, y abonan a la rendición de cuentas públicas.</w:t>
      </w:r>
    </w:p>
    <w:p w14:paraId="4ADD5219" w14:textId="0571EC78"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7E897A0D" w14:textId="4C896388" w:rsidR="000B0C04" w:rsidRPr="00553FE2" w:rsidRDefault="000B0C04" w:rsidP="000B0C0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9" w:name="_Toc98445265"/>
      <w:r w:rsidRPr="00553FE2">
        <w:rPr>
          <w:rFonts w:ascii="Palatino Linotype" w:hAnsi="Palatino Linotype"/>
          <w:b/>
          <w:bCs/>
          <w:color w:val="000000" w:themeColor="text1"/>
        </w:rPr>
        <w:t>V. Del cambio de la modalidad de entrega de la información.</w:t>
      </w:r>
      <w:bookmarkEnd w:id="39"/>
    </w:p>
    <w:p w14:paraId="0736A24B" w14:textId="77777777" w:rsidR="000B0C04" w:rsidRPr="00553FE2" w:rsidRDefault="000B0C04"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7CDEB295" w14:textId="0C9FA2C8" w:rsidR="002D1E27" w:rsidRPr="00553FE2" w:rsidRDefault="000B0C0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Ahora bien, la </w:t>
      </w:r>
      <w:r w:rsidRPr="00553FE2">
        <w:rPr>
          <w:rFonts w:ascii="Palatino Linotype" w:hAnsi="Palatino Linotype"/>
          <w:bCs/>
          <w:iCs/>
          <w:color w:val="000000" w:themeColor="text1"/>
          <w:lang w:val="es-ES_tradnl"/>
        </w:rPr>
        <w:t xml:space="preserve">Ley de Transparencia y Acceso a la Información Pública del Estado de México y Municipios establece que el </w:t>
      </w:r>
      <w:r w:rsidRPr="00553FE2">
        <w:rPr>
          <w:rFonts w:ascii="Palatino Linotype" w:hAnsi="Palatino Linotype"/>
          <w:b/>
          <w:bCs/>
          <w:iCs/>
          <w:color w:val="000000" w:themeColor="text1"/>
        </w:rPr>
        <w:t>recurso de revisión</w:t>
      </w:r>
      <w:r w:rsidRPr="00553FE2">
        <w:rPr>
          <w:rFonts w:ascii="Palatino Linotype" w:hAnsi="Palatino Linotype"/>
          <w:bCs/>
          <w:iCs/>
          <w:color w:val="000000" w:themeColor="text1"/>
        </w:rPr>
        <w:t xml:space="preserve"> es la garantía secundaria mediante la cual se pretende reparar cualquier posible afectación al derecho de acceso a la información pública</w:t>
      </w:r>
      <w:r w:rsidRPr="00553FE2">
        <w:rPr>
          <w:rFonts w:ascii="Palatino Linotype" w:hAnsi="Palatino Linotype"/>
          <w:bCs/>
          <w:iCs/>
          <w:color w:val="000000" w:themeColor="text1"/>
          <w:vertAlign w:val="superscript"/>
        </w:rPr>
        <w:footnoteReference w:id="16"/>
      </w:r>
      <w:r w:rsidRPr="00553FE2">
        <w:rPr>
          <w:rFonts w:ascii="Palatino Linotype" w:hAnsi="Palatino Linotype"/>
          <w:bCs/>
          <w:iCs/>
          <w:color w:val="000000" w:themeColor="text1"/>
        </w:rPr>
        <w:t xml:space="preserve">; y </w:t>
      </w:r>
      <w:r w:rsidRPr="00553FE2">
        <w:rPr>
          <w:rFonts w:ascii="Palatino Linotype" w:hAnsi="Palatino Linotype"/>
          <w:b/>
          <w:bCs/>
          <w:iCs/>
          <w:color w:val="000000" w:themeColor="text1"/>
        </w:rPr>
        <w:t>procederá</w:t>
      </w:r>
      <w:r w:rsidRPr="00553FE2">
        <w:rPr>
          <w:rFonts w:ascii="Palatino Linotype" w:hAnsi="Palatino Linotype"/>
          <w:bCs/>
          <w:iCs/>
          <w:color w:val="000000" w:themeColor="text1"/>
        </w:rPr>
        <w:t xml:space="preserve">, entre otras, </w:t>
      </w:r>
      <w:r w:rsidRPr="00553FE2">
        <w:rPr>
          <w:rFonts w:ascii="Palatino Linotype" w:hAnsi="Palatino Linotype"/>
          <w:b/>
          <w:bCs/>
          <w:iCs/>
          <w:color w:val="000000" w:themeColor="text1"/>
        </w:rPr>
        <w:t>en contra de la</w:t>
      </w:r>
      <w:r w:rsidRPr="00553FE2">
        <w:rPr>
          <w:rFonts w:ascii="Palatino Linotype" w:hAnsi="Palatino Linotype"/>
          <w:bCs/>
          <w:iCs/>
          <w:color w:val="000000" w:themeColor="text1"/>
        </w:rPr>
        <w:t xml:space="preserve"> notificación, </w:t>
      </w:r>
      <w:r w:rsidRPr="00553FE2">
        <w:rPr>
          <w:rFonts w:ascii="Palatino Linotype" w:hAnsi="Palatino Linotype"/>
          <w:b/>
          <w:bCs/>
          <w:iCs/>
          <w:color w:val="000000" w:themeColor="text1"/>
        </w:rPr>
        <w:t>entrega o puesta a disposición de información en una modalidad o formato distinto al solicitado</w:t>
      </w:r>
      <w:r w:rsidRPr="00553FE2">
        <w:rPr>
          <w:rFonts w:ascii="Palatino Linotype" w:hAnsi="Palatino Linotype"/>
          <w:bCs/>
          <w:iCs/>
          <w:color w:val="000000" w:themeColor="text1"/>
          <w:vertAlign w:val="superscript"/>
        </w:rPr>
        <w:footnoteReference w:id="17"/>
      </w:r>
      <w:r w:rsidRPr="00553FE2">
        <w:rPr>
          <w:rFonts w:ascii="Palatino Linotype" w:hAnsi="Palatino Linotype"/>
          <w:bCs/>
          <w:iCs/>
          <w:color w:val="000000" w:themeColor="text1"/>
        </w:rPr>
        <w:t>.</w:t>
      </w:r>
    </w:p>
    <w:p w14:paraId="3FCF43A9" w14:textId="77777777"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0FD3E2F7" w14:textId="6C018A57" w:rsidR="002D1E27" w:rsidRPr="00553FE2" w:rsidRDefault="000B0C0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Al respecto, el </w:t>
      </w:r>
      <w:r w:rsidRPr="00553FE2">
        <w:rPr>
          <w:rFonts w:ascii="Palatino Linotype" w:eastAsia="Times New Roman" w:hAnsi="Palatino Linotype" w:cs="Arial"/>
          <w:bCs/>
          <w:iCs/>
        </w:rPr>
        <w:t>artículo 164 de la Ley de Transparencia y Acceso a la Información Pública del Estado de México y Municipios establece lo siguiente:</w:t>
      </w:r>
    </w:p>
    <w:p w14:paraId="3CA6F10C" w14:textId="6C3E98EF"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378AAB85" w14:textId="77777777" w:rsidR="000B0C04" w:rsidRPr="00553FE2" w:rsidRDefault="000B0C04" w:rsidP="000B0C04">
      <w:pPr>
        <w:pStyle w:val="Prrafodelista"/>
        <w:tabs>
          <w:tab w:val="left" w:pos="426"/>
        </w:tabs>
        <w:spacing w:before="240" w:after="240" w:line="276" w:lineRule="auto"/>
        <w:ind w:left="567" w:right="567"/>
        <w:jc w:val="both"/>
        <w:rPr>
          <w:rFonts w:ascii="Palatino Linotype" w:hAnsi="Palatino Linotype"/>
          <w:bCs/>
          <w:i/>
          <w:iCs/>
          <w:color w:val="000000" w:themeColor="text1"/>
          <w:sz w:val="22"/>
          <w:szCs w:val="22"/>
        </w:rPr>
      </w:pPr>
      <w:r w:rsidRPr="00553FE2">
        <w:rPr>
          <w:rFonts w:ascii="Palatino Linotype" w:hAnsi="Palatino Linotype"/>
          <w:bCs/>
          <w:i/>
          <w:iCs/>
          <w:color w:val="000000" w:themeColor="text1"/>
          <w:sz w:val="22"/>
          <w:szCs w:val="22"/>
        </w:rPr>
        <w:t>“</w:t>
      </w:r>
      <w:r w:rsidRPr="00553FE2">
        <w:rPr>
          <w:rFonts w:ascii="Palatino Linotype" w:hAnsi="Palatino Linotype"/>
          <w:b/>
          <w:bCs/>
          <w:i/>
          <w:iCs/>
          <w:color w:val="000000" w:themeColor="text1"/>
          <w:sz w:val="22"/>
          <w:szCs w:val="22"/>
        </w:rPr>
        <w:t>Artículo 164.</w:t>
      </w:r>
      <w:r w:rsidRPr="00553FE2">
        <w:rPr>
          <w:rFonts w:ascii="Palatino Linotype" w:hAnsi="Palatino Linotype"/>
          <w:bCs/>
          <w:i/>
          <w:iCs/>
          <w:color w:val="000000" w:themeColor="text1"/>
          <w:sz w:val="22"/>
          <w:szCs w:val="22"/>
        </w:rPr>
        <w:t xml:space="preserve"> El acceso se dará en la modalidad de entrega y, en su caso, de envío elegidos por el solicitante. Cuando la información no pueda entregarse o enviarse en la </w:t>
      </w:r>
      <w:r w:rsidRPr="00553FE2">
        <w:rPr>
          <w:rFonts w:ascii="Palatino Linotype" w:hAnsi="Palatino Linotype"/>
          <w:bCs/>
          <w:i/>
          <w:iCs/>
          <w:color w:val="000000" w:themeColor="text1"/>
          <w:sz w:val="22"/>
          <w:szCs w:val="22"/>
        </w:rPr>
        <w:lastRenderedPageBreak/>
        <w:t xml:space="preserve">modalidad solicitada, el sujeto obligado deberá ofrecer otra u otras modalidades de entrega. </w:t>
      </w:r>
    </w:p>
    <w:p w14:paraId="5DE2DE76" w14:textId="77777777" w:rsidR="000B0C04" w:rsidRPr="00553FE2" w:rsidRDefault="000B0C04" w:rsidP="000B0C04">
      <w:pPr>
        <w:pStyle w:val="Prrafodelista"/>
        <w:tabs>
          <w:tab w:val="left" w:pos="426"/>
        </w:tabs>
        <w:spacing w:before="240" w:after="240" w:line="276" w:lineRule="auto"/>
        <w:ind w:left="567" w:right="567"/>
        <w:jc w:val="both"/>
        <w:rPr>
          <w:rFonts w:ascii="Palatino Linotype" w:hAnsi="Palatino Linotype"/>
          <w:bCs/>
          <w:iCs/>
          <w:color w:val="000000" w:themeColor="text1"/>
          <w:sz w:val="22"/>
          <w:szCs w:val="22"/>
        </w:rPr>
      </w:pPr>
      <w:r w:rsidRPr="00553FE2">
        <w:rPr>
          <w:rFonts w:ascii="Palatino Linotype" w:hAnsi="Palatino Linotype"/>
          <w:bCs/>
          <w:i/>
          <w:iCs/>
          <w:color w:val="000000" w:themeColor="text1"/>
          <w:sz w:val="22"/>
          <w:szCs w:val="22"/>
        </w:rPr>
        <w:t xml:space="preserve">En cualquier caso, </w:t>
      </w:r>
      <w:r w:rsidRPr="00553FE2">
        <w:rPr>
          <w:rFonts w:ascii="Palatino Linotype" w:hAnsi="Palatino Linotype"/>
          <w:b/>
          <w:bCs/>
          <w:i/>
          <w:iCs/>
          <w:color w:val="000000" w:themeColor="text1"/>
          <w:sz w:val="22"/>
          <w:szCs w:val="22"/>
        </w:rPr>
        <w:t>se deberá fundar y motivar la necesidad de ofrecer otras modalidades</w:t>
      </w:r>
      <w:r w:rsidRPr="00553FE2">
        <w:rPr>
          <w:rFonts w:ascii="Palatino Linotype" w:hAnsi="Palatino Linotype"/>
          <w:bCs/>
          <w:i/>
          <w:iCs/>
          <w:color w:val="000000" w:themeColor="text1"/>
          <w:sz w:val="22"/>
          <w:szCs w:val="22"/>
        </w:rPr>
        <w:t>.”</w:t>
      </w:r>
    </w:p>
    <w:p w14:paraId="637D4A34" w14:textId="77777777" w:rsidR="000B0C04" w:rsidRPr="00553FE2" w:rsidRDefault="000B0C04" w:rsidP="000B0C0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53FE2">
        <w:rPr>
          <w:rFonts w:ascii="Palatino Linotype" w:hAnsi="Palatino Linotype"/>
          <w:bCs/>
          <w:iCs/>
          <w:color w:val="000000" w:themeColor="text1"/>
          <w:sz w:val="22"/>
          <w:szCs w:val="22"/>
        </w:rPr>
        <w:t>(Énfasis añadido)</w:t>
      </w:r>
    </w:p>
    <w:p w14:paraId="5BBC3C35" w14:textId="77777777" w:rsidR="000B0C04" w:rsidRPr="00553FE2" w:rsidRDefault="000B0C04"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15D07AAD" w14:textId="119C05F4" w:rsidR="002D1E27" w:rsidRPr="00553FE2" w:rsidRDefault="000B0C0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Del </w:t>
      </w:r>
      <w:r w:rsidRPr="00553FE2">
        <w:rPr>
          <w:rFonts w:ascii="Palatino Linotype" w:hAnsi="Palatino Linotype"/>
          <w:bCs/>
          <w:iCs/>
          <w:color w:val="000000" w:themeColor="text1"/>
        </w:rPr>
        <w:t xml:space="preserve">numeral previamente citado se desprende que el </w:t>
      </w:r>
      <w:r w:rsidRPr="00553FE2">
        <w:rPr>
          <w:rFonts w:ascii="Palatino Linotype" w:hAnsi="Palatino Linotype"/>
          <w:b/>
          <w:bCs/>
          <w:iCs/>
          <w:color w:val="000000" w:themeColor="text1"/>
        </w:rPr>
        <w:t>SUJETO OBLIGADO</w:t>
      </w:r>
      <w:r w:rsidRPr="00553FE2">
        <w:rPr>
          <w:rFonts w:ascii="Palatino Linotype" w:hAnsi="Palatino Linotype"/>
          <w:bCs/>
          <w:iCs/>
          <w:color w:val="000000" w:themeColor="text1"/>
        </w:rPr>
        <w:t xml:space="preserve"> sí puede ofrecer cambiar la modalidad de entrega de la información cuando, por cualquier motivo, no pueda entregarse en la originalmente señalada; sin embargo, </w:t>
      </w:r>
      <w:r w:rsidRPr="00553FE2">
        <w:rPr>
          <w:rFonts w:ascii="Palatino Linotype" w:hAnsi="Palatino Linotype"/>
          <w:b/>
          <w:bCs/>
          <w:iCs/>
          <w:color w:val="000000" w:themeColor="text1"/>
        </w:rPr>
        <w:t>deberá fundar y motivar las razones por las que no sea posible entregar la misma en el medio elegido por el particular</w:t>
      </w:r>
      <w:r w:rsidRPr="00553FE2">
        <w:rPr>
          <w:rFonts w:ascii="Palatino Linotype" w:hAnsi="Palatino Linotype"/>
          <w:bCs/>
          <w:iCs/>
          <w:color w:val="000000" w:themeColor="text1"/>
        </w:rPr>
        <w:t>.</w:t>
      </w:r>
    </w:p>
    <w:p w14:paraId="4B94CB7B" w14:textId="77777777"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473CCC33" w14:textId="0C135A16" w:rsidR="002D1E27" w:rsidRPr="00553FE2" w:rsidRDefault="000B0C0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Aunado </w:t>
      </w:r>
      <w:r w:rsidRPr="00553FE2">
        <w:rPr>
          <w:rFonts w:ascii="Palatino Linotype" w:eastAsia="Times New Roman" w:hAnsi="Palatino Linotype" w:cs="Arial"/>
          <w:bCs/>
          <w:iCs/>
        </w:rPr>
        <w:t xml:space="preserve">a lo anterior, </w:t>
      </w:r>
      <w:r w:rsidRPr="00553FE2">
        <w:rPr>
          <w:rFonts w:ascii="Palatino Linotype" w:eastAsia="Times New Roman" w:hAnsi="Palatino Linotype" w:cs="Arial"/>
          <w:b/>
          <w:bCs/>
          <w:iCs/>
        </w:rPr>
        <w:t>el Instituto Nacional de Transparencia, Acceso a la Información y Protección de Datos Personales ha establecido que</w:t>
      </w:r>
      <w:r w:rsidRPr="00553FE2">
        <w:rPr>
          <w:rFonts w:ascii="Palatino Linotype" w:eastAsia="Times New Roman" w:hAnsi="Palatino Linotype" w:cs="Arial"/>
          <w:bCs/>
          <w:iCs/>
        </w:rPr>
        <w:t xml:space="preserve"> </w:t>
      </w:r>
      <w:r w:rsidRPr="00553FE2">
        <w:rPr>
          <w:rFonts w:ascii="Palatino Linotype" w:eastAsia="Times New Roman" w:hAnsi="Palatino Linotype" w:cs="Arial"/>
          <w:b/>
          <w:bCs/>
          <w:iCs/>
        </w:rPr>
        <w:t xml:space="preserve">para justificar un cambio en la modalidad de entrega de la información </w:t>
      </w:r>
      <w:r w:rsidRPr="00553FE2">
        <w:rPr>
          <w:rFonts w:ascii="Palatino Linotype" w:eastAsia="Times New Roman" w:hAnsi="Palatino Linotype" w:cs="Arial"/>
          <w:b/>
          <w:bCs/>
          <w:iCs/>
          <w:u w:val="single"/>
        </w:rPr>
        <w:t>debe existir un obstáculo infranqueable o de difícil superación para atenderla</w:t>
      </w:r>
      <w:r w:rsidRPr="00553FE2">
        <w:rPr>
          <w:rFonts w:ascii="Palatino Linotype" w:eastAsia="Times New Roman" w:hAnsi="Palatino Linotype" w:cs="Arial"/>
          <w:b/>
          <w:bCs/>
          <w:iCs/>
          <w:vertAlign w:val="superscript"/>
        </w:rPr>
        <w:footnoteReference w:id="18"/>
      </w:r>
      <w:r w:rsidRPr="00553FE2">
        <w:rPr>
          <w:rFonts w:ascii="Palatino Linotype" w:eastAsia="Times New Roman" w:hAnsi="Palatino Linotype" w:cs="Arial"/>
          <w:bCs/>
          <w:iCs/>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14:paraId="4272DF3F" w14:textId="77777777" w:rsidR="002D1E27" w:rsidRPr="00553FE2" w:rsidRDefault="002D1E27" w:rsidP="002D1E27">
      <w:pPr>
        <w:pStyle w:val="Prrafodelista"/>
        <w:tabs>
          <w:tab w:val="left" w:pos="426"/>
        </w:tabs>
        <w:spacing w:before="240" w:after="240" w:line="360" w:lineRule="auto"/>
        <w:ind w:left="0" w:right="51"/>
        <w:jc w:val="both"/>
        <w:rPr>
          <w:rFonts w:ascii="Palatino Linotype" w:hAnsi="Palatino Linotype"/>
          <w:color w:val="000000" w:themeColor="text1"/>
        </w:rPr>
      </w:pPr>
    </w:p>
    <w:p w14:paraId="27369E9A" w14:textId="1E6EE0B7" w:rsidR="002D1E27" w:rsidRPr="00553FE2" w:rsidRDefault="000B0C0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En </w:t>
      </w:r>
      <w:r w:rsidRPr="00553FE2">
        <w:rPr>
          <w:rFonts w:ascii="Palatino Linotype" w:eastAsia="Times New Roman" w:hAnsi="Palatino Linotype" w:cs="Arial"/>
          <w:bCs/>
          <w:iCs/>
        </w:rPr>
        <w:t xml:space="preserve">el presente caso, no se advierte que el </w:t>
      </w:r>
      <w:r w:rsidRPr="00553FE2">
        <w:rPr>
          <w:rFonts w:ascii="Palatino Linotype" w:eastAsia="Times New Roman" w:hAnsi="Palatino Linotype" w:cs="Arial"/>
          <w:b/>
          <w:bCs/>
          <w:iCs/>
        </w:rPr>
        <w:t>SUJETO OBLIGADO</w:t>
      </w:r>
      <w:r w:rsidRPr="00553FE2">
        <w:rPr>
          <w:rFonts w:ascii="Palatino Linotype" w:eastAsia="Times New Roman" w:hAnsi="Palatino Linotype" w:cs="Arial"/>
          <w:bCs/>
          <w:iCs/>
        </w:rPr>
        <w:t xml:space="preserve"> haya fundado ni motivado las razones que lo orillaron a determinar el cambio de modalidad de entrega de la información, toda vez que como se señaló previamente, </w:t>
      </w:r>
      <w:r w:rsidRPr="00553FE2">
        <w:rPr>
          <w:rFonts w:ascii="Palatino Linotype" w:eastAsia="Times New Roman" w:hAnsi="Palatino Linotype" w:cs="Arial"/>
          <w:b/>
          <w:bCs/>
          <w:iCs/>
        </w:rPr>
        <w:t xml:space="preserve">el Tesorero del Comité Directivo Estatal se limitó a referir que </w:t>
      </w:r>
      <w:r w:rsidRPr="00553FE2">
        <w:rPr>
          <w:rFonts w:ascii="Palatino Linotype" w:eastAsia="Times New Roman" w:hAnsi="Palatino Linotype" w:cs="Arial"/>
          <w:b/>
          <w:bCs/>
          <w:i/>
        </w:rPr>
        <w:t xml:space="preserve">los montos que comprueban los </w:t>
      </w:r>
      <w:r w:rsidRPr="00553FE2">
        <w:rPr>
          <w:rFonts w:ascii="Palatino Linotype" w:eastAsia="Times New Roman" w:hAnsi="Palatino Linotype" w:cs="Arial"/>
          <w:b/>
          <w:bCs/>
          <w:i/>
        </w:rPr>
        <w:lastRenderedPageBreak/>
        <w:t>gastos del Comité Municipal de Toluca se conforman por más de 1,300 factura</w:t>
      </w:r>
      <w:r w:rsidR="00771F3A" w:rsidRPr="00553FE2">
        <w:rPr>
          <w:rFonts w:ascii="Palatino Linotype" w:eastAsia="Times New Roman" w:hAnsi="Palatino Linotype" w:cs="Arial"/>
          <w:b/>
          <w:bCs/>
          <w:i/>
        </w:rPr>
        <w:t>s</w:t>
      </w:r>
      <w:r w:rsidRPr="00553FE2">
        <w:rPr>
          <w:rFonts w:ascii="Palatino Linotype" w:eastAsia="Times New Roman" w:hAnsi="Palatino Linotype" w:cs="Arial"/>
          <w:bCs/>
          <w:iCs/>
        </w:rPr>
        <w:t xml:space="preserve">; y, a partir de ese pronunciamiento, puso a disposición la información </w:t>
      </w:r>
      <w:r w:rsidRPr="00553FE2">
        <w:rPr>
          <w:rFonts w:ascii="Palatino Linotype" w:eastAsia="Times New Roman" w:hAnsi="Palatino Linotype" w:cs="Arial"/>
          <w:bCs/>
          <w:i/>
        </w:rPr>
        <w:t>in situ</w:t>
      </w:r>
      <w:r w:rsidR="008C611E" w:rsidRPr="00553FE2">
        <w:rPr>
          <w:rFonts w:ascii="Palatino Linotype" w:eastAsia="Times New Roman" w:hAnsi="Palatino Linotype" w:cs="Arial"/>
          <w:bCs/>
          <w:iCs/>
        </w:rPr>
        <w:t>.</w:t>
      </w:r>
    </w:p>
    <w:p w14:paraId="18D34B86" w14:textId="77777777"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5927EF3B" w14:textId="18F5B883" w:rsidR="008C611E" w:rsidRPr="00553FE2" w:rsidRDefault="008C611E"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Derivado de lo anterior, y para mejor proveer, la Ponencia que resuelve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553FE2">
        <w:rPr>
          <w:rFonts w:ascii="Palatino Linotype" w:eastAsia="Times New Roman" w:hAnsi="Palatino Linotype" w:cs="Arial"/>
          <w:b/>
          <w:bCs/>
          <w:iCs/>
        </w:rPr>
        <w:t>SUJETO OBLIGADO</w:t>
      </w:r>
      <w:r w:rsidRPr="00553FE2">
        <w:rPr>
          <w:rFonts w:ascii="Palatino Linotype" w:eastAsia="Times New Roman" w:hAnsi="Palatino Linotype" w:cs="Arial"/>
          <w:bCs/>
          <w:iCs/>
        </w:rPr>
        <w:t xml:space="preserve"> que comunicara alguna dificultad o imposibilidad para entregar los archivos al particular vía SAIMEX; empero, el área en comento refirió que </w:t>
      </w:r>
      <w:r w:rsidRPr="00553FE2">
        <w:rPr>
          <w:rFonts w:ascii="Palatino Linotype" w:eastAsia="Times New Roman" w:hAnsi="Palatino Linotype" w:cs="Arial"/>
          <w:b/>
          <w:iCs/>
        </w:rPr>
        <w:t>no se cuenta con ningún reporte, oficio de comunicación o soporte del Partido Acción Nacional que acrediten las razones por las que no puede entregar la información vía digital</w:t>
      </w:r>
      <w:r w:rsidRPr="00553FE2">
        <w:rPr>
          <w:rFonts w:ascii="Palatino Linotype" w:eastAsia="Times New Roman" w:hAnsi="Palatino Linotype" w:cs="Arial"/>
          <w:bCs/>
          <w:iCs/>
        </w:rPr>
        <w:t>.</w:t>
      </w:r>
    </w:p>
    <w:p w14:paraId="47FB5828" w14:textId="77777777"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196DE273" w14:textId="1EAF7FCF" w:rsidR="008C611E" w:rsidRPr="00553FE2" w:rsidRDefault="008C611E"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No se ignora que el </w:t>
      </w:r>
      <w:r w:rsidRPr="00553FE2">
        <w:rPr>
          <w:rFonts w:ascii="Palatino Linotype" w:eastAsia="Times New Roman" w:hAnsi="Palatino Linotype" w:cs="Arial"/>
          <w:b/>
          <w:iCs/>
        </w:rPr>
        <w:t>SUJETO OBLIGADO</w:t>
      </w:r>
      <w:r w:rsidR="00771F3A" w:rsidRPr="00553FE2">
        <w:rPr>
          <w:rFonts w:ascii="Palatino Linotype" w:eastAsia="Times New Roman" w:hAnsi="Palatino Linotype" w:cs="Arial"/>
          <w:b/>
          <w:iCs/>
        </w:rPr>
        <w:t>,</w:t>
      </w:r>
      <w:r w:rsidRPr="00553FE2">
        <w:rPr>
          <w:rFonts w:ascii="Palatino Linotype" w:eastAsia="Times New Roman" w:hAnsi="Palatino Linotype" w:cs="Arial"/>
          <w:bCs/>
          <w:iCs/>
        </w:rPr>
        <w:t xml:space="preserve"> dentro del oficio número CDE/TES/006/2022, emitido por el Tesorero del Comité Directivo Estatal, pretendió fundar su imposibilidad de proporcionar la información en la modalidad de entrega originalmente </w:t>
      </w:r>
      <w:r w:rsidR="002F4547" w:rsidRPr="00553FE2">
        <w:rPr>
          <w:rFonts w:ascii="Palatino Linotype" w:eastAsia="Times New Roman" w:hAnsi="Palatino Linotype" w:cs="Arial"/>
          <w:bCs/>
          <w:iCs/>
        </w:rPr>
        <w:t xml:space="preserve">elegida por el </w:t>
      </w:r>
      <w:r w:rsidR="002F4547" w:rsidRPr="00553FE2">
        <w:rPr>
          <w:rFonts w:ascii="Palatino Linotype" w:eastAsia="Times New Roman" w:hAnsi="Palatino Linotype" w:cs="Arial"/>
          <w:b/>
          <w:iCs/>
        </w:rPr>
        <w:t>RECURRENTE</w:t>
      </w:r>
      <w:r w:rsidR="002F4547" w:rsidRPr="00553FE2">
        <w:rPr>
          <w:rFonts w:ascii="Palatino Linotype" w:eastAsia="Times New Roman" w:hAnsi="Palatino Linotype" w:cs="Arial"/>
          <w:bCs/>
          <w:iCs/>
        </w:rPr>
        <w:t>, con base en lo dispuesto en el artículo 158 de la Ley de Transparencia y Acceso a la Información Pública del Estado de México y Municipios, el cual refiere lo siguiente:</w:t>
      </w:r>
    </w:p>
    <w:p w14:paraId="55AE8084" w14:textId="5FD61401"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5CF682DA" w14:textId="77777777" w:rsidR="002F4547" w:rsidRPr="00553FE2" w:rsidRDefault="002F4547" w:rsidP="002F4547">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i/>
          <w:iCs/>
          <w:sz w:val="22"/>
          <w:szCs w:val="22"/>
        </w:rPr>
        <w:t>“</w:t>
      </w:r>
      <w:r w:rsidRPr="00553FE2">
        <w:rPr>
          <w:rFonts w:ascii="Palatino Linotype" w:hAnsi="Palatino Linotype"/>
          <w:b/>
          <w:bCs/>
          <w:i/>
          <w:iCs/>
          <w:sz w:val="22"/>
          <w:szCs w:val="22"/>
        </w:rPr>
        <w:t>Artículo 158. De manera excepcional, cuando de forma fundada y motivada</w:t>
      </w:r>
      <w:r w:rsidRPr="00553FE2">
        <w:rPr>
          <w:rFonts w:ascii="Palatino Linotype" w:hAnsi="Palatino Linotype"/>
          <w:i/>
          <w:iCs/>
          <w:sz w:val="22"/>
          <w:szCs w:val="22"/>
        </w:rPr>
        <w:t xml:space="preserve"> así lo determine el sujeto obligado, </w:t>
      </w:r>
      <w:r w:rsidRPr="00553FE2">
        <w:rPr>
          <w:rFonts w:ascii="Palatino Linotype" w:hAnsi="Palatino Linotype"/>
          <w:b/>
          <w:bCs/>
          <w:i/>
          <w:iCs/>
          <w:sz w:val="22"/>
          <w:szCs w:val="22"/>
        </w:rPr>
        <w:t>en aquellos casos en que la información</w:t>
      </w:r>
      <w:r w:rsidRPr="00553FE2">
        <w:rPr>
          <w:rFonts w:ascii="Palatino Linotype" w:hAnsi="Palatino Linotype"/>
          <w:i/>
          <w:iCs/>
          <w:sz w:val="22"/>
          <w:szCs w:val="22"/>
        </w:rPr>
        <w:t xml:space="preserve"> </w:t>
      </w:r>
      <w:r w:rsidRPr="00553FE2">
        <w:rPr>
          <w:rFonts w:ascii="Palatino Linotype" w:hAnsi="Palatino Linotype"/>
          <w:b/>
          <w:bCs/>
          <w:i/>
          <w:iCs/>
          <w:sz w:val="22"/>
          <w:szCs w:val="22"/>
        </w:rPr>
        <w:t>solicitada</w:t>
      </w:r>
      <w:r w:rsidRPr="00553FE2">
        <w:rPr>
          <w:rFonts w:ascii="Palatino Linotype" w:hAnsi="Palatino Linotype"/>
          <w:i/>
          <w:iCs/>
          <w:sz w:val="22"/>
          <w:szCs w:val="22"/>
        </w:rPr>
        <w:t xml:space="preserve"> que ya se encuentre en su posesión </w:t>
      </w:r>
      <w:r w:rsidRPr="00553FE2">
        <w:rPr>
          <w:rFonts w:ascii="Palatino Linotype" w:hAnsi="Palatino Linotype"/>
          <w:b/>
          <w:bCs/>
          <w:i/>
          <w:iCs/>
          <w:sz w:val="22"/>
          <w:szCs w:val="22"/>
        </w:rPr>
        <w:t xml:space="preserve">implique análisis, estudio o procesamiento de documentos </w:t>
      </w:r>
      <w:r w:rsidRPr="00553FE2">
        <w:rPr>
          <w:rFonts w:ascii="Palatino Linotype" w:hAnsi="Palatino Linotype"/>
          <w:b/>
          <w:bCs/>
          <w:i/>
          <w:iCs/>
          <w:sz w:val="22"/>
          <w:szCs w:val="22"/>
          <w:u w:val="single"/>
        </w:rPr>
        <w:t>cuya entrega o reproducción sobrepase las capacidades técnicas administrativas y humanas del sujeto obligado</w:t>
      </w:r>
      <w:r w:rsidRPr="00553FE2">
        <w:rPr>
          <w:rFonts w:ascii="Palatino Linotype" w:hAnsi="Palatino Linotype"/>
          <w:b/>
          <w:bCs/>
          <w:i/>
          <w:iCs/>
          <w:sz w:val="22"/>
          <w:szCs w:val="22"/>
        </w:rPr>
        <w:t xml:space="preserve"> para cumplir con la solicitud</w:t>
      </w:r>
      <w:r w:rsidRPr="00553FE2">
        <w:rPr>
          <w:rFonts w:ascii="Palatino Linotype" w:hAnsi="Palatino Linotype"/>
          <w:i/>
          <w:iCs/>
          <w:sz w:val="22"/>
          <w:szCs w:val="22"/>
        </w:rPr>
        <w:t xml:space="preserve">, en los plazos establecidos para dichos efectos, </w:t>
      </w:r>
      <w:r w:rsidRPr="00553FE2">
        <w:rPr>
          <w:rFonts w:ascii="Palatino Linotype" w:hAnsi="Palatino Linotype"/>
          <w:b/>
          <w:bCs/>
          <w:i/>
          <w:iCs/>
          <w:sz w:val="22"/>
          <w:szCs w:val="22"/>
        </w:rPr>
        <w:t>se podrá poner a disposición del solicitante los documentos en consulta directa</w:t>
      </w:r>
      <w:r w:rsidRPr="00553FE2">
        <w:rPr>
          <w:rFonts w:ascii="Palatino Linotype" w:hAnsi="Palatino Linotype"/>
          <w:i/>
          <w:iCs/>
          <w:sz w:val="22"/>
          <w:szCs w:val="22"/>
        </w:rPr>
        <w:t xml:space="preserve">, salvo la información clasificada. </w:t>
      </w:r>
    </w:p>
    <w:p w14:paraId="32CA5058" w14:textId="3B9C2A7C" w:rsidR="002F4547" w:rsidRPr="00553FE2" w:rsidRDefault="002F4547" w:rsidP="002F4547">
      <w:pPr>
        <w:pStyle w:val="Prrafodelista"/>
        <w:tabs>
          <w:tab w:val="left" w:pos="426"/>
        </w:tabs>
        <w:spacing w:before="240" w:after="240" w:line="276" w:lineRule="auto"/>
        <w:ind w:left="567" w:right="567"/>
        <w:jc w:val="both"/>
        <w:rPr>
          <w:rFonts w:ascii="Palatino Linotype" w:hAnsi="Palatino Linotype"/>
          <w:sz w:val="22"/>
          <w:szCs w:val="22"/>
        </w:rPr>
      </w:pPr>
      <w:r w:rsidRPr="00553FE2">
        <w:rPr>
          <w:rFonts w:ascii="Palatino Linotype" w:hAnsi="Palatino Linotype"/>
          <w:i/>
          <w:iCs/>
          <w:sz w:val="22"/>
          <w:szCs w:val="22"/>
        </w:rPr>
        <w:lastRenderedPageBreak/>
        <w:t>En todo caso, se facilitará su copia simple o certificada, así como su reproducción por cualquier medio disponible en las instalaciones del sujeto obligado o que, en su caso, aporte el solicitante.”</w:t>
      </w:r>
    </w:p>
    <w:p w14:paraId="711697C8" w14:textId="577523B2" w:rsidR="002F4547" w:rsidRPr="00553FE2" w:rsidRDefault="002F4547" w:rsidP="002F454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553FE2">
        <w:rPr>
          <w:rFonts w:ascii="Palatino Linotype" w:hAnsi="Palatino Linotype"/>
          <w:sz w:val="22"/>
          <w:szCs w:val="22"/>
        </w:rPr>
        <w:t>(Énfasis añadido)</w:t>
      </w:r>
    </w:p>
    <w:p w14:paraId="3DCBF849" w14:textId="77777777" w:rsidR="002F4547" w:rsidRPr="00553FE2" w:rsidRDefault="002F4547"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49A232B3" w14:textId="175FD18E" w:rsidR="008C611E" w:rsidRPr="00553FE2" w:rsidRDefault="002F4547"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Del dispositivo normativo inserto </w:t>
      </w:r>
      <w:r w:rsidRPr="00553FE2">
        <w:rPr>
          <w:rFonts w:ascii="Palatino Linotype" w:eastAsia="Times New Roman" w:hAnsi="Palatino Linotype" w:cs="Arial"/>
          <w:bCs/>
          <w:i/>
        </w:rPr>
        <w:t>supra</w:t>
      </w:r>
      <w:r w:rsidRPr="00553FE2">
        <w:rPr>
          <w:rFonts w:ascii="Palatino Linotype" w:eastAsia="Times New Roman" w:hAnsi="Palatino Linotype" w:cs="Arial"/>
          <w:bCs/>
          <w:iCs/>
        </w:rPr>
        <w:t xml:space="preserve">, se advierte que los Sujetos Obligados podrán poner la información solicitada a disposición de los particulares en Consulta Directa, </w:t>
      </w:r>
      <w:r w:rsidR="00BA59D9" w:rsidRPr="00553FE2">
        <w:rPr>
          <w:rFonts w:ascii="Palatino Linotype" w:eastAsia="Times New Roman" w:hAnsi="Palatino Linotype" w:cs="Arial"/>
          <w:b/>
          <w:iCs/>
        </w:rPr>
        <w:t>siempre y cuando se demuestre, de manera fundada y motivada,</w:t>
      </w:r>
      <w:r w:rsidRPr="00553FE2">
        <w:rPr>
          <w:rFonts w:ascii="Palatino Linotype" w:eastAsia="Times New Roman" w:hAnsi="Palatino Linotype" w:cs="Arial"/>
          <w:b/>
          <w:iCs/>
        </w:rPr>
        <w:t xml:space="preserve"> que la información</w:t>
      </w:r>
      <w:r w:rsidRPr="00553FE2">
        <w:rPr>
          <w:rFonts w:ascii="Palatino Linotype" w:eastAsia="Times New Roman" w:hAnsi="Palatino Linotype" w:cs="Arial"/>
          <w:bCs/>
          <w:iCs/>
        </w:rPr>
        <w:t xml:space="preserve"> solicitada impli</w:t>
      </w:r>
      <w:r w:rsidR="00BA59D9" w:rsidRPr="00553FE2">
        <w:rPr>
          <w:rFonts w:ascii="Palatino Linotype" w:eastAsia="Times New Roman" w:hAnsi="Palatino Linotype" w:cs="Arial"/>
          <w:bCs/>
          <w:iCs/>
        </w:rPr>
        <w:t>ca</w:t>
      </w:r>
      <w:r w:rsidRPr="00553FE2">
        <w:rPr>
          <w:rFonts w:ascii="Palatino Linotype" w:eastAsia="Times New Roman" w:hAnsi="Palatino Linotype" w:cs="Arial"/>
          <w:bCs/>
          <w:iCs/>
        </w:rPr>
        <w:t xml:space="preserve"> un análisis, estudio o procesamiento de documentos que </w:t>
      </w:r>
      <w:r w:rsidRPr="00553FE2">
        <w:rPr>
          <w:rFonts w:ascii="Palatino Linotype" w:eastAsia="Times New Roman" w:hAnsi="Palatino Linotype" w:cs="Arial"/>
          <w:b/>
          <w:iCs/>
        </w:rPr>
        <w:t xml:space="preserve">sobrepasen </w:t>
      </w:r>
      <w:r w:rsidR="00BA59D9" w:rsidRPr="00553FE2">
        <w:rPr>
          <w:rFonts w:ascii="Palatino Linotype" w:eastAsia="Times New Roman" w:hAnsi="Palatino Linotype" w:cs="Arial"/>
          <w:b/>
          <w:iCs/>
        </w:rPr>
        <w:t>sus capacidades técnicas, administrativas y humanas</w:t>
      </w:r>
      <w:r w:rsidR="00BA59D9" w:rsidRPr="00553FE2">
        <w:rPr>
          <w:rFonts w:ascii="Palatino Linotype" w:eastAsia="Times New Roman" w:hAnsi="Palatino Linotype" w:cs="Arial"/>
          <w:bCs/>
          <w:iCs/>
        </w:rPr>
        <w:t>.</w:t>
      </w:r>
    </w:p>
    <w:p w14:paraId="6B9E95B0" w14:textId="77777777"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23650C7D" w14:textId="54C6C3BD" w:rsidR="008C611E" w:rsidRPr="00553FE2" w:rsidRDefault="00BA59D9"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De lo anterior se tiene que, para acreditarse el cambio de la modalidad de entrega de la información, deberán estar imposibilitadas </w:t>
      </w:r>
      <w:r w:rsidRPr="00553FE2">
        <w:rPr>
          <w:rFonts w:ascii="Palatino Linotype" w:eastAsia="Times New Roman" w:hAnsi="Palatino Linotype" w:cs="Arial"/>
          <w:b/>
          <w:iCs/>
        </w:rPr>
        <w:t>al mismo tiempo</w:t>
      </w:r>
      <w:r w:rsidRPr="00553FE2">
        <w:rPr>
          <w:rFonts w:ascii="Palatino Linotype" w:eastAsia="Times New Roman" w:hAnsi="Palatino Linotype" w:cs="Arial"/>
          <w:bCs/>
          <w:iCs/>
        </w:rPr>
        <w:t xml:space="preserve"> las capacidades técnicas, administrativas y humanas del </w:t>
      </w:r>
      <w:r w:rsidRPr="00553FE2">
        <w:rPr>
          <w:rFonts w:ascii="Palatino Linotype" w:eastAsia="Times New Roman" w:hAnsi="Palatino Linotype" w:cs="Arial"/>
          <w:b/>
          <w:iCs/>
        </w:rPr>
        <w:t>SUJETO OBLIGADO</w:t>
      </w:r>
      <w:r w:rsidRPr="00553FE2">
        <w:rPr>
          <w:rFonts w:ascii="Palatino Linotype" w:eastAsia="Times New Roman" w:hAnsi="Palatino Linotype" w:cs="Arial"/>
          <w:bCs/>
          <w:iCs/>
        </w:rPr>
        <w:t>, las cuales podemos identificar de la siguiente manera:</w:t>
      </w:r>
    </w:p>
    <w:p w14:paraId="684FFA22" w14:textId="2EA61732" w:rsidR="00BA59D9" w:rsidRPr="00553FE2" w:rsidRDefault="00BA59D9" w:rsidP="00BA59D9">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eastAsia="Times New Roman" w:hAnsi="Palatino Linotype" w:cs="Arial"/>
          <w:b/>
          <w:iCs/>
        </w:rPr>
        <w:t>Capacidades técnicas:</w:t>
      </w:r>
      <w:r w:rsidRPr="00553FE2">
        <w:rPr>
          <w:rFonts w:ascii="Palatino Linotype" w:eastAsia="Times New Roman" w:hAnsi="Palatino Linotype" w:cs="Arial"/>
          <w:bCs/>
          <w:iCs/>
        </w:rPr>
        <w:t xml:space="preserve"> </w:t>
      </w:r>
      <w:r w:rsidR="003101DE" w:rsidRPr="00553FE2">
        <w:rPr>
          <w:rFonts w:ascii="Palatino Linotype" w:eastAsia="Times New Roman" w:hAnsi="Palatino Linotype" w:cs="Arial"/>
          <w:bCs/>
          <w:iCs/>
        </w:rPr>
        <w:t>El c</w:t>
      </w:r>
      <w:r w:rsidRPr="00553FE2">
        <w:rPr>
          <w:rFonts w:ascii="Palatino Linotype" w:eastAsia="Times New Roman" w:hAnsi="Palatino Linotype" w:cs="Arial"/>
          <w:bCs/>
          <w:iCs/>
        </w:rPr>
        <w:t xml:space="preserve">onjunto </w:t>
      </w:r>
      <w:r w:rsidR="003101DE" w:rsidRPr="00553FE2">
        <w:rPr>
          <w:rFonts w:ascii="Palatino Linotype" w:eastAsia="Times New Roman" w:hAnsi="Palatino Linotype" w:cs="Arial"/>
          <w:bCs/>
          <w:iCs/>
        </w:rPr>
        <w:t xml:space="preserve">tecnológico que posee el </w:t>
      </w:r>
      <w:r w:rsidR="003101DE" w:rsidRPr="00553FE2">
        <w:rPr>
          <w:rFonts w:ascii="Palatino Linotype" w:eastAsia="Times New Roman" w:hAnsi="Palatino Linotype" w:cs="Arial"/>
          <w:b/>
          <w:iCs/>
        </w:rPr>
        <w:t>SUJETO OBLIGADO</w:t>
      </w:r>
      <w:r w:rsidR="003101DE" w:rsidRPr="00553FE2">
        <w:rPr>
          <w:rFonts w:ascii="Palatino Linotype" w:eastAsia="Times New Roman" w:hAnsi="Palatino Linotype" w:cs="Arial"/>
          <w:bCs/>
          <w:iCs/>
        </w:rPr>
        <w:t>, tales como computadoras, impresoras y escáneres, del cual hará uso para atender la solicitud de información.</w:t>
      </w:r>
    </w:p>
    <w:p w14:paraId="76C1206E" w14:textId="79826261" w:rsidR="00BA59D9" w:rsidRPr="00553FE2" w:rsidRDefault="00BA59D9" w:rsidP="00BA59D9">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eastAsia="Times New Roman" w:hAnsi="Palatino Linotype" w:cs="Arial"/>
          <w:b/>
          <w:iCs/>
        </w:rPr>
        <w:t>Capacidades administrativas:</w:t>
      </w:r>
      <w:r w:rsidRPr="00553FE2">
        <w:rPr>
          <w:rFonts w:ascii="Palatino Linotype" w:eastAsia="Times New Roman" w:hAnsi="Palatino Linotype" w:cs="Arial"/>
          <w:bCs/>
          <w:iCs/>
        </w:rPr>
        <w:t xml:space="preserve"> </w:t>
      </w:r>
      <w:r w:rsidR="004E72D4" w:rsidRPr="00553FE2">
        <w:rPr>
          <w:rFonts w:ascii="Palatino Linotype" w:eastAsia="Times New Roman" w:hAnsi="Palatino Linotype" w:cs="Arial"/>
          <w:bCs/>
          <w:iCs/>
        </w:rPr>
        <w:t xml:space="preserve">La habilidad del </w:t>
      </w:r>
      <w:r w:rsidR="004E72D4" w:rsidRPr="00553FE2">
        <w:rPr>
          <w:rFonts w:ascii="Palatino Linotype" w:eastAsia="Times New Roman" w:hAnsi="Palatino Linotype" w:cs="Arial"/>
          <w:b/>
          <w:iCs/>
        </w:rPr>
        <w:t>SUJETO OBLIGADO</w:t>
      </w:r>
      <w:r w:rsidR="004E72D4" w:rsidRPr="00553FE2">
        <w:rPr>
          <w:rFonts w:ascii="Palatino Linotype" w:eastAsia="Times New Roman" w:hAnsi="Palatino Linotype" w:cs="Arial"/>
          <w:bCs/>
          <w:iCs/>
        </w:rPr>
        <w:t xml:space="preserve"> y las áreas administrativas competentes de generar, poseer o administrar la información, de llevar a cabo las funciones y atribuciones propias de su objeto orgánico, en conjunto con sus obligaciones de transparencia.</w:t>
      </w:r>
    </w:p>
    <w:p w14:paraId="6811323C" w14:textId="20D00EB3" w:rsidR="00BA59D9" w:rsidRPr="00553FE2" w:rsidRDefault="00BA59D9" w:rsidP="00BA59D9">
      <w:pPr>
        <w:pStyle w:val="Prrafodelista"/>
        <w:numPr>
          <w:ilvl w:val="1"/>
          <w:numId w:val="27"/>
        </w:numPr>
        <w:tabs>
          <w:tab w:val="left" w:pos="426"/>
        </w:tabs>
        <w:spacing w:before="240" w:after="240" w:line="360" w:lineRule="auto"/>
        <w:ind w:left="1134" w:right="51"/>
        <w:jc w:val="both"/>
        <w:rPr>
          <w:rFonts w:ascii="Palatino Linotype" w:hAnsi="Palatino Linotype"/>
          <w:color w:val="000000" w:themeColor="text1"/>
        </w:rPr>
      </w:pPr>
      <w:r w:rsidRPr="00553FE2">
        <w:rPr>
          <w:rFonts w:ascii="Palatino Linotype" w:eastAsia="Times New Roman" w:hAnsi="Palatino Linotype" w:cs="Arial"/>
          <w:b/>
          <w:iCs/>
        </w:rPr>
        <w:t>Capacidades humanas:</w:t>
      </w:r>
      <w:r w:rsidRPr="00553FE2">
        <w:rPr>
          <w:rFonts w:ascii="Palatino Linotype" w:eastAsia="Times New Roman" w:hAnsi="Palatino Linotype" w:cs="Arial"/>
          <w:bCs/>
          <w:iCs/>
        </w:rPr>
        <w:t xml:space="preserve"> </w:t>
      </w:r>
      <w:r w:rsidR="003101DE" w:rsidRPr="00553FE2">
        <w:rPr>
          <w:rFonts w:ascii="Palatino Linotype" w:eastAsia="Times New Roman" w:hAnsi="Palatino Linotype" w:cs="Arial"/>
          <w:bCs/>
          <w:iCs/>
        </w:rPr>
        <w:t>Se refiere al número de personas, distribuido entre el personal de la Unidad de Transparencia, Servidores Públicos Habilitados, y personal auxiliar, que coadyuvarán en la búsqueda, localización y entrega de la información.</w:t>
      </w:r>
    </w:p>
    <w:p w14:paraId="0C27763B" w14:textId="77777777"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1ED896D3" w14:textId="26937F46" w:rsidR="008C611E" w:rsidRPr="00553FE2" w:rsidRDefault="004E72D4"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En el presente asunto, y como ha sido reiterado a lo largo del presente estudio, el </w:t>
      </w:r>
      <w:r w:rsidRPr="00553FE2">
        <w:rPr>
          <w:rFonts w:ascii="Palatino Linotype" w:eastAsia="Times New Roman" w:hAnsi="Palatino Linotype" w:cs="Arial"/>
          <w:b/>
          <w:iCs/>
        </w:rPr>
        <w:t>SUJETO OBLIGADO</w:t>
      </w:r>
      <w:r w:rsidRPr="00553FE2">
        <w:rPr>
          <w:rFonts w:ascii="Palatino Linotype" w:eastAsia="Times New Roman" w:hAnsi="Palatino Linotype" w:cs="Arial"/>
          <w:bCs/>
          <w:iCs/>
        </w:rPr>
        <w:t xml:space="preserve"> no demostró en ningún momento </w:t>
      </w:r>
      <w:r w:rsidR="00C831BA" w:rsidRPr="00553FE2">
        <w:rPr>
          <w:rFonts w:ascii="Palatino Linotype" w:eastAsia="Times New Roman" w:hAnsi="Palatino Linotype" w:cs="Arial"/>
          <w:bCs/>
          <w:iCs/>
        </w:rPr>
        <w:t>las circunstancias por</w:t>
      </w:r>
      <w:r w:rsidRPr="00553FE2">
        <w:rPr>
          <w:rFonts w:ascii="Palatino Linotype" w:eastAsia="Times New Roman" w:hAnsi="Palatino Linotype" w:cs="Arial"/>
          <w:bCs/>
          <w:iCs/>
        </w:rPr>
        <w:t xml:space="preserve"> la</w:t>
      </w:r>
      <w:r w:rsidR="00C831BA" w:rsidRPr="00553FE2">
        <w:rPr>
          <w:rFonts w:ascii="Palatino Linotype" w:eastAsia="Times New Roman" w:hAnsi="Palatino Linotype" w:cs="Arial"/>
          <w:bCs/>
          <w:iCs/>
        </w:rPr>
        <w:t>s que la</w:t>
      </w:r>
      <w:r w:rsidRPr="00553FE2">
        <w:rPr>
          <w:rFonts w:ascii="Palatino Linotype" w:eastAsia="Times New Roman" w:hAnsi="Palatino Linotype" w:cs="Arial"/>
          <w:bCs/>
          <w:iCs/>
        </w:rPr>
        <w:t xml:space="preserve"> entrega de las facturas que demuestren los gastos generados por el Comité Municipal de Toluca</w:t>
      </w:r>
      <w:r w:rsidR="00C831BA" w:rsidRPr="00553FE2">
        <w:rPr>
          <w:rFonts w:ascii="Palatino Linotype" w:eastAsia="Times New Roman" w:hAnsi="Palatino Linotype" w:cs="Arial"/>
          <w:bCs/>
          <w:iCs/>
        </w:rPr>
        <w:t xml:space="preserve"> superaba sus capacidades técnicas, administrativas y humanas; sino que únicamente se limitó a informar sobre el promedio de facturas en las que consistía lo solicitado, situación que deja al particular en un total </w:t>
      </w:r>
      <w:r w:rsidR="00C831BA" w:rsidRPr="00553FE2">
        <w:rPr>
          <w:rFonts w:ascii="Palatino Linotype" w:eastAsia="Times New Roman" w:hAnsi="Palatino Linotype" w:cs="Arial"/>
          <w:b/>
          <w:iCs/>
        </w:rPr>
        <w:t>estado de incertidumbre</w:t>
      </w:r>
      <w:r w:rsidR="00C831BA" w:rsidRPr="00553FE2">
        <w:rPr>
          <w:rFonts w:ascii="Palatino Linotype" w:eastAsia="Times New Roman" w:hAnsi="Palatino Linotype" w:cs="Arial"/>
          <w:bCs/>
          <w:iCs/>
        </w:rPr>
        <w:t>.</w:t>
      </w:r>
    </w:p>
    <w:p w14:paraId="03866152" w14:textId="77777777" w:rsidR="00C831BA" w:rsidRPr="00553FE2" w:rsidRDefault="00C831BA" w:rsidP="00C831BA">
      <w:pPr>
        <w:pStyle w:val="Prrafodelista"/>
        <w:tabs>
          <w:tab w:val="left" w:pos="426"/>
        </w:tabs>
        <w:spacing w:before="240" w:after="240" w:line="360" w:lineRule="auto"/>
        <w:ind w:left="0" w:right="51"/>
        <w:jc w:val="both"/>
        <w:rPr>
          <w:rFonts w:ascii="Palatino Linotype" w:hAnsi="Palatino Linotype"/>
          <w:color w:val="000000" w:themeColor="text1"/>
        </w:rPr>
      </w:pPr>
    </w:p>
    <w:p w14:paraId="4BA0057F" w14:textId="0A8B120B" w:rsidR="008C611E" w:rsidRPr="00553FE2" w:rsidRDefault="008C611E"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En </w:t>
      </w:r>
      <w:r w:rsidRPr="00553FE2">
        <w:rPr>
          <w:rFonts w:ascii="Palatino Linotype" w:hAnsi="Palatino Linotype"/>
          <w:color w:val="000000" w:themeColor="text1"/>
        </w:rPr>
        <w:t xml:space="preserve">razón de lo anterior, </w:t>
      </w:r>
      <w:r w:rsidRPr="00553FE2">
        <w:rPr>
          <w:rFonts w:ascii="Palatino Linotype" w:hAnsi="Palatino Linotype"/>
          <w:bCs/>
          <w:iCs/>
          <w:color w:val="000000" w:themeColor="text1"/>
          <w:lang w:val="es-ES_tradnl"/>
        </w:rPr>
        <w:t xml:space="preserve">toda vez que el </w:t>
      </w:r>
      <w:r w:rsidRPr="00553FE2">
        <w:rPr>
          <w:rFonts w:ascii="Palatino Linotype" w:hAnsi="Palatino Linotype"/>
          <w:b/>
          <w:bCs/>
          <w:iCs/>
          <w:color w:val="000000" w:themeColor="text1"/>
          <w:lang w:val="es-ES_tradnl"/>
        </w:rPr>
        <w:t>SUJETO OBLIGADO</w:t>
      </w:r>
      <w:r w:rsidRPr="00553FE2">
        <w:rPr>
          <w:rFonts w:ascii="Palatino Linotype" w:hAnsi="Palatino Linotype"/>
          <w:bCs/>
          <w:iCs/>
          <w:color w:val="000000" w:themeColor="text1"/>
          <w:lang w:val="es-ES_tradnl"/>
        </w:rPr>
        <w:t xml:space="preserve"> fue omiso en señalar de manera puntual, detallada y precisa las razones por las que no puede entregar la información solicitada vía SAIMEX, </w:t>
      </w:r>
      <w:r w:rsidR="00C831BA" w:rsidRPr="00553FE2">
        <w:rPr>
          <w:rFonts w:ascii="Palatino Linotype" w:hAnsi="Palatino Linotype"/>
          <w:b/>
          <w:iCs/>
          <w:color w:val="000000" w:themeColor="text1"/>
          <w:lang w:val="es-ES_tradnl"/>
        </w:rPr>
        <w:t>se advierte</w:t>
      </w:r>
      <w:r w:rsidRPr="00553FE2">
        <w:rPr>
          <w:rFonts w:ascii="Palatino Linotype" w:hAnsi="Palatino Linotype"/>
          <w:b/>
          <w:iCs/>
          <w:color w:val="000000" w:themeColor="text1"/>
          <w:lang w:val="es-ES_tradnl"/>
        </w:rPr>
        <w:t xml:space="preserve"> ajeno a toda legalidad la pretensión del Partido Acción Nacional de cambiar la modalidad de entrega a vía </w:t>
      </w:r>
      <w:r w:rsidRPr="00553FE2">
        <w:rPr>
          <w:rFonts w:ascii="Palatino Linotype" w:hAnsi="Palatino Linotype"/>
          <w:b/>
          <w:i/>
          <w:iCs/>
          <w:color w:val="000000" w:themeColor="text1"/>
          <w:lang w:val="es-ES_tradnl"/>
        </w:rPr>
        <w:t>in situ</w:t>
      </w:r>
      <w:r w:rsidRPr="00553FE2">
        <w:rPr>
          <w:rFonts w:ascii="Palatino Linotype" w:hAnsi="Palatino Linotype"/>
          <w:b/>
          <w:iCs/>
          <w:color w:val="000000" w:themeColor="text1"/>
          <w:lang w:val="es-ES_tradnl"/>
        </w:rPr>
        <w:t xml:space="preserve"> o Consulta Directa</w:t>
      </w:r>
      <w:r w:rsidRPr="00553FE2">
        <w:rPr>
          <w:rFonts w:ascii="Palatino Linotype" w:hAnsi="Palatino Linotype"/>
          <w:bCs/>
          <w:iCs/>
          <w:color w:val="000000" w:themeColor="text1"/>
          <w:lang w:val="es-ES_tradnl"/>
        </w:rPr>
        <w:t>.</w:t>
      </w:r>
    </w:p>
    <w:p w14:paraId="78A16633" w14:textId="77777777" w:rsidR="008C611E" w:rsidRPr="00553FE2" w:rsidRDefault="008C611E" w:rsidP="008C611E">
      <w:pPr>
        <w:pStyle w:val="Prrafodelista"/>
        <w:tabs>
          <w:tab w:val="left" w:pos="426"/>
        </w:tabs>
        <w:spacing w:before="240" w:after="240" w:line="360" w:lineRule="auto"/>
        <w:ind w:left="0" w:right="51"/>
        <w:jc w:val="both"/>
        <w:rPr>
          <w:rFonts w:ascii="Palatino Linotype" w:hAnsi="Palatino Linotype"/>
          <w:color w:val="000000" w:themeColor="text1"/>
        </w:rPr>
      </w:pPr>
    </w:p>
    <w:p w14:paraId="0838FC2A" w14:textId="7A525223" w:rsidR="008C611E" w:rsidRPr="00553FE2" w:rsidRDefault="008C611E" w:rsidP="00CB1E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eastAsia="Times New Roman" w:hAnsi="Palatino Linotype" w:cs="Arial"/>
          <w:bCs/>
          <w:iCs/>
        </w:rPr>
        <w:t xml:space="preserve">Por lo tanto, </w:t>
      </w:r>
      <w:r w:rsidR="00C831BA" w:rsidRPr="00553FE2">
        <w:rPr>
          <w:rFonts w:ascii="Palatino Linotype" w:eastAsia="Times New Roman" w:hAnsi="Palatino Linotype" w:cs="Arial"/>
          <w:bCs/>
          <w:iCs/>
        </w:rPr>
        <w:t xml:space="preserve">este Organismo Garante determina conforme a derecho el </w:t>
      </w:r>
      <w:r w:rsidR="00C831BA" w:rsidRPr="00553FE2">
        <w:rPr>
          <w:rFonts w:ascii="Palatino Linotype" w:eastAsia="Times New Roman" w:hAnsi="Palatino Linotype" w:cs="Arial"/>
          <w:b/>
          <w:iCs/>
        </w:rPr>
        <w:t>modificar</w:t>
      </w:r>
      <w:r w:rsidR="00C831BA" w:rsidRPr="00553FE2">
        <w:rPr>
          <w:rFonts w:ascii="Palatino Linotype" w:eastAsia="Times New Roman" w:hAnsi="Palatino Linotype" w:cs="Arial"/>
          <w:bCs/>
          <w:iCs/>
        </w:rPr>
        <w:t xml:space="preserve"> la respuesta del </w:t>
      </w:r>
      <w:r w:rsidR="00C831BA" w:rsidRPr="00553FE2">
        <w:rPr>
          <w:rFonts w:ascii="Palatino Linotype" w:eastAsia="Times New Roman" w:hAnsi="Palatino Linotype" w:cs="Arial"/>
          <w:b/>
          <w:iCs/>
        </w:rPr>
        <w:t>SUJETO OBLIGADO</w:t>
      </w:r>
      <w:r w:rsidR="00C831BA" w:rsidRPr="00553FE2">
        <w:rPr>
          <w:rFonts w:ascii="Palatino Linotype" w:eastAsia="Times New Roman" w:hAnsi="Palatino Linotype" w:cs="Arial"/>
          <w:bCs/>
          <w:iCs/>
        </w:rPr>
        <w:t xml:space="preserve">, y se </w:t>
      </w:r>
      <w:r w:rsidR="00C831BA" w:rsidRPr="00553FE2">
        <w:rPr>
          <w:rFonts w:ascii="Palatino Linotype" w:eastAsia="Times New Roman" w:hAnsi="Palatino Linotype" w:cs="Arial"/>
          <w:b/>
          <w:iCs/>
        </w:rPr>
        <w:t>ordena</w:t>
      </w:r>
      <w:r w:rsidR="00C831BA" w:rsidRPr="00553FE2">
        <w:rPr>
          <w:rFonts w:ascii="Palatino Linotype" w:eastAsia="Times New Roman" w:hAnsi="Palatino Linotype" w:cs="Arial"/>
          <w:bCs/>
          <w:iCs/>
        </w:rPr>
        <w:t xml:space="preserve"> entregar en la modalidad originalmente elegida por el </w:t>
      </w:r>
      <w:r w:rsidR="00C831BA" w:rsidRPr="00553FE2">
        <w:rPr>
          <w:rFonts w:ascii="Palatino Linotype" w:eastAsia="Times New Roman" w:hAnsi="Palatino Linotype" w:cs="Arial"/>
          <w:b/>
          <w:iCs/>
        </w:rPr>
        <w:t>RECURRENTE</w:t>
      </w:r>
      <w:r w:rsidR="00C831BA" w:rsidRPr="00553FE2">
        <w:rPr>
          <w:rFonts w:ascii="Palatino Linotype" w:eastAsia="Times New Roman" w:hAnsi="Palatino Linotype" w:cs="Arial"/>
          <w:bCs/>
          <w:iCs/>
        </w:rPr>
        <w:t>, en versión pública, las facturas que comprueben los gastos realizados por el Comité Municipal de Toluca, por el periodo comprendido del uno (01) de enero de dos mil veinte al veinte (20) de diciembre de dos mil veintiuno.</w:t>
      </w:r>
    </w:p>
    <w:p w14:paraId="169ED937" w14:textId="77777777" w:rsidR="00C71FE6" w:rsidRPr="00553FE2" w:rsidRDefault="00C71FE6" w:rsidP="00C71FE6">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47CBF1C7" w:rsidR="00F01443" w:rsidRPr="00553FE2" w:rsidRDefault="00BC2D16"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40" w:name="_Toc95402623"/>
      <w:bookmarkStart w:id="41" w:name="_Toc98445266"/>
      <w:r w:rsidRPr="00553FE2">
        <w:rPr>
          <w:rFonts w:ascii="Palatino Linotype" w:hAnsi="Palatino Linotype"/>
          <w:b/>
          <w:bCs/>
          <w:color w:val="000000" w:themeColor="text1"/>
        </w:rPr>
        <w:t>QUINTO</w:t>
      </w:r>
      <w:r w:rsidR="00F01443" w:rsidRPr="00553FE2">
        <w:rPr>
          <w:rFonts w:ascii="Palatino Linotype" w:hAnsi="Palatino Linotype"/>
          <w:b/>
          <w:bCs/>
          <w:color w:val="000000" w:themeColor="text1"/>
        </w:rPr>
        <w:t>. De la versión pública.</w:t>
      </w:r>
      <w:bookmarkEnd w:id="40"/>
      <w:bookmarkEnd w:id="41"/>
    </w:p>
    <w:p w14:paraId="294C3AEA" w14:textId="77777777" w:rsidR="00F01443" w:rsidRPr="00553FE2"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1B0C35AD" w14:textId="4856151F" w:rsidR="00CA7A78" w:rsidRPr="00553FE2" w:rsidRDefault="00F01443" w:rsidP="0086276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lastRenderedPageBreak/>
        <w:t xml:space="preserve">Debe destacarse que, </w:t>
      </w:r>
      <w:r w:rsidR="0086276A" w:rsidRPr="00553FE2">
        <w:rPr>
          <w:rFonts w:ascii="Palatino Linotype" w:eastAsia="Times New Roman" w:hAnsi="Palatino Linotype" w:cs="Arial"/>
          <w:color w:val="000000"/>
        </w:rPr>
        <w:t>debido a la naturaleza de la información solicitada</w:t>
      </w:r>
      <w:r w:rsidR="0086276A" w:rsidRPr="00553FE2">
        <w:rPr>
          <w:rFonts w:ascii="Palatino Linotype" w:eastAsia="Times New Roman" w:hAnsi="Palatino Linotype" w:cs="Arial"/>
          <w:b/>
          <w:color w:val="000000"/>
        </w:rPr>
        <w:t xml:space="preserve">, </w:t>
      </w:r>
      <w:r w:rsidR="0086276A" w:rsidRPr="00553FE2">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86276A" w:rsidRPr="00553FE2">
        <w:rPr>
          <w:rFonts w:ascii="Palatino Linotype" w:eastAsia="Times New Roman" w:hAnsi="Palatino Linotype" w:cs="Arial"/>
          <w:b/>
          <w:color w:val="000000"/>
          <w:u w:val="single"/>
        </w:rPr>
        <w:t>versión pública</w:t>
      </w:r>
      <w:r w:rsidR="0086276A" w:rsidRPr="00553FE2">
        <w:rPr>
          <w:rFonts w:ascii="Palatino Linotype" w:eastAsia="Times New Roman" w:hAnsi="Palatino Linotype" w:cs="Arial"/>
          <w:color w:val="000000"/>
        </w:rPr>
        <w:t xml:space="preserve"> de los documentos por las consideraciones que se estimen pertinentes.</w:t>
      </w:r>
    </w:p>
    <w:p w14:paraId="754E6CE9" w14:textId="77777777" w:rsidR="0086276A" w:rsidRPr="00553FE2" w:rsidRDefault="0086276A" w:rsidP="0086276A">
      <w:pPr>
        <w:pStyle w:val="Prrafodelista"/>
        <w:tabs>
          <w:tab w:val="left" w:pos="426"/>
        </w:tabs>
        <w:spacing w:before="240" w:after="240" w:line="360" w:lineRule="auto"/>
        <w:ind w:left="0" w:right="51"/>
        <w:jc w:val="both"/>
        <w:rPr>
          <w:rFonts w:ascii="Palatino Linotype" w:hAnsi="Palatino Linotype"/>
          <w:color w:val="000000" w:themeColor="text1"/>
        </w:rPr>
      </w:pPr>
    </w:p>
    <w:p w14:paraId="01B393B6" w14:textId="15105DF0" w:rsidR="0086276A" w:rsidRPr="00553FE2" w:rsidRDefault="0086276A"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La</w:t>
      </w:r>
      <w:r w:rsidR="00D574C0" w:rsidRPr="00553FE2">
        <w:rPr>
          <w:rFonts w:ascii="Palatino Linotype" w:hAnsi="Palatino Linotype"/>
          <w:color w:val="000000" w:themeColor="text1"/>
        </w:rPr>
        <w:t xml:space="preserve"> clasificación de la información,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57C5923"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2D8FB915" w14:textId="617CE344"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El </w:t>
      </w:r>
      <w:r w:rsidRPr="00553FE2">
        <w:rPr>
          <w:rFonts w:ascii="Palatino Linotype" w:eastAsia="MS Mincho" w:hAnsi="Palatino Linotype" w:cs="Times New Roman"/>
        </w:rPr>
        <w:t xml:space="preserve">grave problema que enfrentamos en general, los acuerdos de clasificación de la información que emiten los Sujetos Obligados siguen sin observar los requisitos, </w:t>
      </w:r>
      <w:r w:rsidRPr="00553FE2">
        <w:rPr>
          <w:rFonts w:ascii="Palatino Linotype" w:eastAsia="MS Mincho" w:hAnsi="Palatino Linotype" w:cs="Times New Roman"/>
        </w:rPr>
        <w:lastRenderedPageBreak/>
        <w:t>tanto por la complejidad del procedimiento como por la falta de atención de los operadores jurídicos.</w:t>
      </w:r>
    </w:p>
    <w:p w14:paraId="52C41BF5" w14:textId="6D97F4A2"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7990D685" w14:textId="2047782E" w:rsidR="00D574C0" w:rsidRPr="00553FE2" w:rsidRDefault="00D574C0" w:rsidP="00D574C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2" w:name="_Toc98445267"/>
      <w:r w:rsidRPr="00553FE2">
        <w:rPr>
          <w:rFonts w:ascii="Palatino Linotype" w:hAnsi="Palatino Linotype"/>
          <w:b/>
          <w:bCs/>
          <w:color w:val="000000" w:themeColor="text1"/>
        </w:rPr>
        <w:t>I. Requisitos previos.</w:t>
      </w:r>
      <w:bookmarkEnd w:id="42"/>
    </w:p>
    <w:p w14:paraId="643DFAC5"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184E1265" w14:textId="58B8D7BF"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Los </w:t>
      </w:r>
      <w:r w:rsidRPr="00553FE2">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0BBB009"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315DC456" w14:textId="3A951597"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Además, </w:t>
      </w:r>
      <w:r w:rsidRPr="00553FE2">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1745FAF"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4B4302B4" w14:textId="295481BB"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El </w:t>
      </w:r>
      <w:r w:rsidRPr="00553FE2">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w:t>
      </w:r>
      <w:r w:rsidRPr="00553FE2">
        <w:rPr>
          <w:rFonts w:ascii="Palatino Linotype" w:eastAsia="MS Mincho" w:hAnsi="Palatino Linotype" w:cs="Times New Roman"/>
        </w:rPr>
        <w:lastRenderedPageBreak/>
        <w:t>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71A95BA" w14:textId="12DEF713"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0EB95757" w14:textId="31D21B31" w:rsidR="00D574C0" w:rsidRPr="00553FE2" w:rsidRDefault="00D574C0" w:rsidP="00D574C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3" w:name="_Toc98445268"/>
      <w:r w:rsidRPr="00553FE2">
        <w:rPr>
          <w:rFonts w:ascii="Palatino Linotype" w:hAnsi="Palatino Linotype"/>
          <w:b/>
          <w:bCs/>
          <w:color w:val="000000" w:themeColor="text1"/>
        </w:rPr>
        <w:t>II. Supuestos de clasificación.</w:t>
      </w:r>
      <w:bookmarkEnd w:id="43"/>
    </w:p>
    <w:p w14:paraId="15F54FC0"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0E1AC407" w14:textId="1A56A59F"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Las </w:t>
      </w:r>
      <w:r w:rsidRPr="00553FE2">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5548E85A"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1AC3F147" w14:textId="547DD474" w:rsidR="00D574C0" w:rsidRPr="00553FE2" w:rsidRDefault="00D574C0"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Los </w:t>
      </w:r>
      <w:r w:rsidRPr="00553FE2">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418BF672" w14:textId="0553C0C3" w:rsidR="00D574C0" w:rsidRPr="00553FE2" w:rsidRDefault="00D574C0" w:rsidP="00D574C0">
      <w:pPr>
        <w:pStyle w:val="Prrafodelista"/>
        <w:tabs>
          <w:tab w:val="left" w:pos="426"/>
        </w:tabs>
        <w:spacing w:before="240" w:line="276" w:lineRule="auto"/>
        <w:ind w:left="0" w:right="51"/>
        <w:jc w:val="both"/>
        <w:rPr>
          <w:rFonts w:ascii="Palatino Linotype" w:hAnsi="Palatino Linotype"/>
          <w:color w:val="000000" w:themeColor="text1"/>
        </w:rPr>
      </w:pPr>
    </w:p>
    <w:p w14:paraId="099DF09C" w14:textId="77777777" w:rsidR="00D574C0" w:rsidRPr="00553FE2" w:rsidRDefault="00D574C0" w:rsidP="00D574C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53FE2">
        <w:rPr>
          <w:rFonts w:ascii="Palatino Linotype" w:hAnsi="Palatino Linotype" w:cs="Bookman Old Style"/>
          <w:bCs/>
          <w:i/>
          <w:color w:val="000000"/>
          <w:sz w:val="22"/>
          <w:szCs w:val="22"/>
        </w:rPr>
        <w:t>“</w:t>
      </w:r>
      <w:r w:rsidRPr="00553FE2">
        <w:rPr>
          <w:rFonts w:ascii="Palatino Linotype" w:hAnsi="Palatino Linotype" w:cs="Bookman Old Style"/>
          <w:b/>
          <w:i/>
          <w:color w:val="000000"/>
          <w:sz w:val="22"/>
          <w:szCs w:val="22"/>
        </w:rPr>
        <w:t>I.</w:t>
      </w:r>
      <w:r w:rsidRPr="00553FE2">
        <w:rPr>
          <w:rFonts w:ascii="Palatino Linotype" w:hAnsi="Palatino Linotype" w:cs="Bookman Old Style"/>
          <w:bCs/>
          <w:i/>
          <w:color w:val="000000"/>
          <w:sz w:val="22"/>
          <w:szCs w:val="22"/>
        </w:rPr>
        <w:t xml:space="preserve"> </w:t>
      </w:r>
      <w:r w:rsidRPr="00553FE2">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0B244101" w14:textId="77777777" w:rsidR="00D574C0" w:rsidRPr="00553FE2" w:rsidRDefault="00D574C0" w:rsidP="00D574C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53FE2">
        <w:rPr>
          <w:rFonts w:ascii="Palatino Linotype" w:hAnsi="Palatino Linotype" w:cs="Bookman Old Style"/>
          <w:b/>
          <w:i/>
          <w:color w:val="000000"/>
          <w:sz w:val="22"/>
          <w:szCs w:val="22"/>
        </w:rPr>
        <w:t>II.</w:t>
      </w:r>
      <w:r w:rsidRPr="00553FE2">
        <w:rPr>
          <w:rFonts w:ascii="Palatino Linotype" w:hAnsi="Palatino Linotype" w:cs="Bookman Old Style"/>
          <w:bCs/>
          <w:i/>
          <w:color w:val="000000"/>
          <w:sz w:val="22"/>
          <w:szCs w:val="22"/>
        </w:rPr>
        <w:t xml:space="preserve"> </w:t>
      </w:r>
      <w:r w:rsidRPr="00553FE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8DE7CE9" w14:textId="77777777" w:rsidR="00D574C0" w:rsidRPr="00553FE2" w:rsidRDefault="00D574C0" w:rsidP="00D574C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53FE2">
        <w:rPr>
          <w:rFonts w:ascii="Palatino Linotype" w:hAnsi="Palatino Linotype" w:cs="Bookman Old Style"/>
          <w:b/>
          <w:i/>
          <w:color w:val="000000"/>
          <w:sz w:val="22"/>
          <w:szCs w:val="22"/>
        </w:rPr>
        <w:t>III.</w:t>
      </w:r>
      <w:r w:rsidRPr="00553FE2">
        <w:rPr>
          <w:rFonts w:ascii="Palatino Linotype" w:hAnsi="Palatino Linotype" w:cs="Bookman Old Style"/>
          <w:bCs/>
          <w:i/>
          <w:color w:val="000000"/>
          <w:sz w:val="22"/>
          <w:szCs w:val="22"/>
        </w:rPr>
        <w:t xml:space="preserve"> </w:t>
      </w:r>
      <w:r w:rsidRPr="00553FE2">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5A6ABD4D" w14:textId="77777777" w:rsidR="00D574C0" w:rsidRPr="00553FE2" w:rsidRDefault="00D574C0" w:rsidP="00D574C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53FE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BED17D3" w14:textId="77777777" w:rsidR="00D574C0" w:rsidRPr="00553FE2" w:rsidRDefault="00D574C0" w:rsidP="00D574C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553FE2">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DD94BFE"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03DBCA9B" w14:textId="033BBB9E" w:rsidR="00D574C0" w:rsidRPr="00553FE2" w:rsidRDefault="00102AFD"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lastRenderedPageBreak/>
        <w:t xml:space="preserve">Por su parte, los artículos 140 y 113 de la Ley Estatal y de la Ley General, respectivamente, </w:t>
      </w:r>
      <w:r w:rsidRPr="00553FE2">
        <w:rPr>
          <w:rFonts w:ascii="Palatino Linotype" w:eastAsia="MS Mincho" w:hAnsi="Palatino Linotype" w:cs="Times New Roman"/>
        </w:rPr>
        <w:t>enlistan los supuestos para que la información pueda ser clasificada como reservada, a saber:</w:t>
      </w:r>
    </w:p>
    <w:p w14:paraId="3B93AC8E" w14:textId="25993E31"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45A02CD9"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i/>
          <w:iCs/>
          <w:sz w:val="22"/>
          <w:szCs w:val="22"/>
        </w:rPr>
        <w:t>“</w:t>
      </w:r>
      <w:r w:rsidRPr="00553FE2">
        <w:rPr>
          <w:rFonts w:ascii="Palatino Linotype" w:hAnsi="Palatino Linotype"/>
          <w:b/>
          <w:bCs/>
          <w:i/>
          <w:iCs/>
          <w:sz w:val="22"/>
          <w:szCs w:val="22"/>
        </w:rPr>
        <w:t>I.</w:t>
      </w:r>
      <w:r w:rsidRPr="00553FE2">
        <w:rPr>
          <w:rFonts w:ascii="Palatino Linotype" w:hAnsi="Palatino Linotype"/>
          <w:i/>
          <w:iCs/>
          <w:sz w:val="22"/>
          <w:szCs w:val="22"/>
        </w:rPr>
        <w:t xml:space="preserve"> Comprometa la seguridad pública y cuente con un propósito genuino y un efecto demostrable; </w:t>
      </w:r>
    </w:p>
    <w:p w14:paraId="75E2A982"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II.</w:t>
      </w:r>
      <w:r w:rsidRPr="00553FE2">
        <w:rPr>
          <w:rFonts w:ascii="Palatino Linotype" w:hAnsi="Palatino Linotype"/>
          <w:i/>
          <w:iCs/>
          <w:sz w:val="22"/>
          <w:szCs w:val="22"/>
        </w:rPr>
        <w:t xml:space="preserve"> Pueda menoscabar la conducción de las negociaciones y relaciones internacionales; </w:t>
      </w:r>
    </w:p>
    <w:p w14:paraId="41BFF220"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III.</w:t>
      </w:r>
      <w:r w:rsidRPr="00553FE2">
        <w:rPr>
          <w:rFonts w:ascii="Palatino Linotype" w:hAnsi="Palatino Linotype"/>
          <w:i/>
          <w:iCs/>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FBB588D"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IV.</w:t>
      </w:r>
      <w:r w:rsidRPr="00553FE2">
        <w:rPr>
          <w:rFonts w:ascii="Palatino Linotype" w:hAnsi="Palatino Linotype"/>
          <w:i/>
          <w:iCs/>
          <w:sz w:val="22"/>
          <w:szCs w:val="22"/>
        </w:rPr>
        <w:t xml:space="preserve"> Ponga en riesgo la vida, la seguridad o la salud de una persona física; </w:t>
      </w:r>
    </w:p>
    <w:p w14:paraId="3A03577A"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V.</w:t>
      </w:r>
      <w:r w:rsidRPr="00553FE2">
        <w:rPr>
          <w:rFonts w:ascii="Palatino Linotype" w:hAnsi="Palatino Linotype"/>
          <w:i/>
          <w:iCs/>
          <w:sz w:val="22"/>
          <w:szCs w:val="22"/>
        </w:rPr>
        <w:t xml:space="preserve"> Aquella cuya divulgación obstruya o pueda causar un serio perjuicio a: </w:t>
      </w:r>
    </w:p>
    <w:p w14:paraId="7E40827B" w14:textId="77777777" w:rsidR="00102AFD" w:rsidRPr="00553FE2" w:rsidRDefault="00102AFD" w:rsidP="00102AFD">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1.</w:t>
      </w:r>
      <w:r w:rsidRPr="00553FE2">
        <w:rPr>
          <w:rFonts w:ascii="Palatino Linotype" w:hAnsi="Palatino Linotype"/>
          <w:i/>
          <w:iCs/>
          <w:sz w:val="22"/>
          <w:szCs w:val="22"/>
        </w:rPr>
        <w:t xml:space="preserve"> Las actividades de fiscalización, verificación, inspección, comprobación y auditoría sobre el cumplimiento de las Leyes; o </w:t>
      </w:r>
    </w:p>
    <w:p w14:paraId="364EA0D1" w14:textId="2D3FA8EE" w:rsidR="00102AFD" w:rsidRPr="00553FE2" w:rsidRDefault="00102AFD" w:rsidP="00102AFD">
      <w:pPr>
        <w:pStyle w:val="Prrafodelista"/>
        <w:tabs>
          <w:tab w:val="left" w:pos="426"/>
        </w:tabs>
        <w:spacing w:before="240" w:after="240" w:line="276" w:lineRule="auto"/>
        <w:ind w:left="851" w:right="567"/>
        <w:jc w:val="both"/>
        <w:rPr>
          <w:rFonts w:ascii="Palatino Linotype" w:hAnsi="Palatino Linotype"/>
          <w:i/>
          <w:iCs/>
          <w:sz w:val="22"/>
          <w:szCs w:val="22"/>
        </w:rPr>
      </w:pPr>
      <w:r w:rsidRPr="00553FE2">
        <w:rPr>
          <w:rFonts w:ascii="Palatino Linotype" w:hAnsi="Palatino Linotype"/>
          <w:b/>
          <w:bCs/>
          <w:i/>
          <w:iCs/>
          <w:sz w:val="22"/>
          <w:szCs w:val="22"/>
        </w:rPr>
        <w:t>2.</w:t>
      </w:r>
      <w:r w:rsidRPr="00553FE2">
        <w:rPr>
          <w:rFonts w:ascii="Palatino Linotype" w:hAnsi="Palatino Linotype"/>
          <w:i/>
          <w:iCs/>
          <w:sz w:val="22"/>
          <w:szCs w:val="22"/>
        </w:rPr>
        <w:t xml:space="preserve"> La recaudación de las contribuciones. </w:t>
      </w:r>
    </w:p>
    <w:p w14:paraId="155CFEE8"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VI.</w:t>
      </w:r>
      <w:r w:rsidRPr="00553FE2">
        <w:rPr>
          <w:rFonts w:ascii="Palatino Linotype" w:hAnsi="Palatino Linotype"/>
          <w:i/>
          <w:iCs/>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78730370"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VII.</w:t>
      </w:r>
      <w:r w:rsidRPr="00553FE2">
        <w:rPr>
          <w:rFonts w:ascii="Palatino Linotype" w:hAnsi="Palatino Linotype"/>
          <w:i/>
          <w:iCs/>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17C95FFA"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VIII.</w:t>
      </w:r>
      <w:r w:rsidRPr="00553FE2">
        <w:rPr>
          <w:rFonts w:ascii="Palatino Linotype" w:hAnsi="Palatino Linotype"/>
          <w:i/>
          <w:iCs/>
          <w:sz w:val="22"/>
          <w:szCs w:val="22"/>
        </w:rPr>
        <w:t xml:space="preserve"> Vulnere la conducción de los expedientes judiciales o de los procedimientos administrativos seguidos en forma de juicio, en tanto no hayan quedado firmes; </w:t>
      </w:r>
    </w:p>
    <w:p w14:paraId="26F1981D"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IX.</w:t>
      </w:r>
      <w:r w:rsidRPr="00553FE2">
        <w:rPr>
          <w:rFonts w:ascii="Palatino Linotype" w:hAnsi="Palatino Linotype"/>
          <w:i/>
          <w:iCs/>
          <w:sz w:val="22"/>
          <w:szCs w:val="22"/>
        </w:rPr>
        <w:t xml:space="preserve"> Se encuentre contenida dentro de las investigaciones de hechos que la Ley señale como delitos y se tramiten ante el Ministerio Público; </w:t>
      </w:r>
    </w:p>
    <w:p w14:paraId="3D22CEE7" w14:textId="77777777"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b/>
          <w:bCs/>
          <w:i/>
          <w:iCs/>
          <w:sz w:val="22"/>
          <w:szCs w:val="22"/>
        </w:rPr>
        <w:t>X.</w:t>
      </w:r>
      <w:r w:rsidRPr="00553FE2">
        <w:rPr>
          <w:rFonts w:ascii="Palatino Linotype" w:hAnsi="Palatino Linotype"/>
          <w:i/>
          <w:iCs/>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1CF2EAC" w14:textId="067477C1"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sz w:val="22"/>
          <w:szCs w:val="22"/>
        </w:rPr>
      </w:pPr>
      <w:r w:rsidRPr="00553FE2">
        <w:rPr>
          <w:rFonts w:ascii="Palatino Linotype" w:hAnsi="Palatino Linotype"/>
          <w:i/>
          <w:iCs/>
          <w:sz w:val="22"/>
          <w:szCs w:val="22"/>
        </w:rPr>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2F3B493" w14:textId="1D6549DC" w:rsidR="00102AFD" w:rsidRPr="00553FE2" w:rsidRDefault="00102AFD" w:rsidP="00102AF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553FE2">
        <w:rPr>
          <w:rFonts w:ascii="Palatino Linotype" w:hAnsi="Palatino Linotype"/>
          <w:b/>
          <w:bCs/>
          <w:i/>
          <w:iCs/>
          <w:sz w:val="22"/>
          <w:szCs w:val="22"/>
        </w:rPr>
        <w:t>XI.</w:t>
      </w:r>
      <w:r w:rsidRPr="00553FE2">
        <w:rPr>
          <w:rFonts w:ascii="Palatino Linotype" w:hAnsi="Palatino Linotype"/>
          <w:i/>
          <w:iCs/>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74B536C" w14:textId="77777777" w:rsidR="00102AFD" w:rsidRPr="00553FE2" w:rsidRDefault="00102AFD"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08C6CEAC" w14:textId="4C6D73FB" w:rsidR="00D574C0" w:rsidRPr="00553FE2" w:rsidRDefault="00102AFD"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Mientras </w:t>
      </w:r>
      <w:r w:rsidRPr="00553FE2">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5A82F2E"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666A93F1"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Como </w:t>
      </w:r>
      <w:r w:rsidRPr="00553FE2">
        <w:rPr>
          <w:rFonts w:ascii="Palatino Linotype" w:eastAsia="MS Mincho" w:hAnsi="Palatino Linotype" w:cs="Times New Roman"/>
        </w:rPr>
        <w:t xml:space="preserve">consecuencia de lo anterior, el </w:t>
      </w:r>
      <w:r w:rsidRPr="00553FE2">
        <w:rPr>
          <w:rFonts w:ascii="Palatino Linotype" w:eastAsia="MS Mincho" w:hAnsi="Palatino Linotype" w:cs="Times New Roman"/>
          <w:b/>
          <w:bCs/>
        </w:rPr>
        <w:t>SUJETO OBLIGADO</w:t>
      </w:r>
      <w:r w:rsidRPr="00553FE2">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21BA6CEE"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69D0F559" w14:textId="07F19AEA" w:rsidR="00D574C0"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Al </w:t>
      </w:r>
      <w:r w:rsidRPr="00553FE2">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A509645" w14:textId="63651DF9"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0C00DC04"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w:t>
      </w:r>
      <w:r w:rsidRPr="00553FE2">
        <w:rPr>
          <w:rFonts w:ascii="Palatino Linotype" w:hAnsi="Palatino Linotype" w:cs="Arial"/>
          <w:b/>
          <w:i/>
          <w:sz w:val="22"/>
          <w:szCs w:val="22"/>
        </w:rPr>
        <w:t>Quincuagésimo.</w:t>
      </w:r>
      <w:r w:rsidRPr="00553FE2">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8054B5D"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E28F452"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b/>
          <w:i/>
          <w:sz w:val="22"/>
          <w:szCs w:val="22"/>
        </w:rPr>
        <w:lastRenderedPageBreak/>
        <w:t>Quincuagésimo primero.</w:t>
      </w:r>
      <w:r w:rsidRPr="00553FE2">
        <w:rPr>
          <w:rFonts w:ascii="Palatino Linotype" w:hAnsi="Palatino Linotype" w:cs="Arial"/>
          <w:i/>
          <w:sz w:val="22"/>
          <w:szCs w:val="22"/>
        </w:rPr>
        <w:t xml:space="preserve"> La leyenda en los documentos clasificados indicará:</w:t>
      </w:r>
    </w:p>
    <w:p w14:paraId="2431B6D9"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I. La fecha de sesión del Comité de Transparencia en donde se confirmó la clasificación, en su caso;</w:t>
      </w:r>
    </w:p>
    <w:p w14:paraId="22405A22"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II. El nombre del área;</w:t>
      </w:r>
    </w:p>
    <w:p w14:paraId="19CE7FC7"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III. La palabra reservado o confidencial;</w:t>
      </w:r>
    </w:p>
    <w:p w14:paraId="2208BC54"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IV. Las partes o secciones reservadas o confidenciales, en su caso;</w:t>
      </w:r>
    </w:p>
    <w:p w14:paraId="442D9D7C"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V. El fundamento legal;</w:t>
      </w:r>
    </w:p>
    <w:p w14:paraId="24FF7604"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VI. El periodo de reserva, y</w:t>
      </w:r>
    </w:p>
    <w:p w14:paraId="775F345E"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VII. La rúbrica del titular del área.</w:t>
      </w:r>
    </w:p>
    <w:p w14:paraId="1A68EDD7"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67915F7"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b/>
          <w:i/>
          <w:sz w:val="22"/>
          <w:szCs w:val="22"/>
        </w:rPr>
        <w:t>Quincuagésimo segundo.</w:t>
      </w:r>
      <w:r w:rsidRPr="00553FE2">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2E4C7BCC"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53FE2">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7361D7F" w14:textId="77777777" w:rsidR="00102AFD" w:rsidRPr="00553FE2" w:rsidRDefault="00102AFD"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216698E" w14:textId="254AC02F" w:rsidR="00102AFD" w:rsidRPr="00553FE2" w:rsidRDefault="009E27F8" w:rsidP="00102AFD">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Pr>
          <w:rFonts w:ascii="Palatino Linotype" w:hAnsi="Palatino Linotype" w:cs="Arial"/>
          <w:b/>
          <w:i/>
          <w:noProof/>
          <w:sz w:val="22"/>
          <w:szCs w:val="22"/>
        </w:rPr>
        <mc:AlternateContent>
          <mc:Choice Requires="wps">
            <w:drawing>
              <wp:anchor distT="0" distB="0" distL="114300" distR="114300" simplePos="0" relativeHeight="251660288" behindDoc="0" locked="0" layoutInCell="1" allowOverlap="1" wp14:anchorId="3FBB89F0" wp14:editId="6C36C1D9">
                <wp:simplePos x="0" y="0"/>
                <wp:positionH relativeFrom="column">
                  <wp:posOffset>434340</wp:posOffset>
                </wp:positionH>
                <wp:positionV relativeFrom="paragraph">
                  <wp:posOffset>521335</wp:posOffset>
                </wp:positionV>
                <wp:extent cx="5067300" cy="33147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067300" cy="331470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8666D"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2pt,41.05pt" to="433.2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" strokecolor="#b8cce4 [1300]"/>
            </w:pict>
          </mc:Fallback>
        </mc:AlternateContent>
      </w:r>
      <w:r w:rsidR="00102AFD" w:rsidRPr="00553FE2">
        <w:rPr>
          <w:rFonts w:ascii="Palatino Linotype" w:hAnsi="Palatino Linotype" w:cs="Arial"/>
          <w:b/>
          <w:i/>
          <w:sz w:val="22"/>
          <w:szCs w:val="22"/>
        </w:rPr>
        <w:t>Quincuagésimo tercero.</w:t>
      </w:r>
      <w:r w:rsidR="00102AFD" w:rsidRPr="00553FE2">
        <w:rPr>
          <w:rFonts w:ascii="Palatino Linotype" w:hAnsi="Palatino Linotype" w:cs="Arial"/>
          <w:i/>
          <w:sz w:val="22"/>
          <w:szCs w:val="22"/>
        </w:rPr>
        <w:t xml:space="preserve"> El formato para señalar la clasificación parcial de un documento, es el siguiente:</w:t>
      </w:r>
    </w:p>
    <w:p w14:paraId="2B6EB716" w14:textId="34425E0E" w:rsidR="00102AFD" w:rsidRPr="00553FE2" w:rsidRDefault="00102AFD" w:rsidP="00102AFD">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553FE2">
        <w:rPr>
          <w:rFonts w:ascii="Palatino Linotype" w:hAnsi="Palatino Linotype" w:cs="Arial"/>
          <w:i/>
          <w:noProof/>
          <w:lang w:eastAsia="es-MX"/>
        </w:rPr>
        <w:lastRenderedPageBreak/>
        <w:drawing>
          <wp:inline distT="0" distB="0" distL="0" distR="0" wp14:anchorId="711F1C38" wp14:editId="518A8814">
            <wp:extent cx="4784089" cy="3926871"/>
            <wp:effectExtent l="57150" t="57150" r="112395" b="11176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06BFBC" w14:textId="77777777" w:rsidR="00102AFD" w:rsidRPr="00553FE2" w:rsidRDefault="00102AFD"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40E0F515" w14:textId="1CEA0F9E" w:rsidR="00D574C0" w:rsidRPr="00553FE2" w:rsidRDefault="00102AFD" w:rsidP="00D574C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Una </w:t>
      </w:r>
      <w:r w:rsidRPr="00553FE2">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034A4848" w14:textId="1FF29224"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37DD24BA" w14:textId="652557E1" w:rsidR="00102AFD" w:rsidRPr="00553FE2" w:rsidRDefault="00102AFD" w:rsidP="00102A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4" w:name="_Toc98445269"/>
      <w:r w:rsidRPr="00553FE2">
        <w:rPr>
          <w:rFonts w:ascii="Palatino Linotype" w:hAnsi="Palatino Linotype"/>
          <w:b/>
          <w:bCs/>
          <w:color w:val="000000" w:themeColor="text1"/>
        </w:rPr>
        <w:t>III. La intervención del Comité de Transparencia.</w:t>
      </w:r>
      <w:bookmarkEnd w:id="44"/>
    </w:p>
    <w:p w14:paraId="64A93E2F" w14:textId="11701008" w:rsidR="00102AFD" w:rsidRPr="00553FE2" w:rsidRDefault="00102AFD" w:rsidP="00102A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5" w:name="_Toc98445270"/>
      <w:r w:rsidRPr="00553FE2">
        <w:rPr>
          <w:rFonts w:ascii="Palatino Linotype" w:hAnsi="Palatino Linotype"/>
          <w:b/>
          <w:bCs/>
          <w:color w:val="000000" w:themeColor="text1"/>
        </w:rPr>
        <w:t>a) Formalidades para emitir el Acuerdo de Clasificación.</w:t>
      </w:r>
      <w:bookmarkEnd w:id="45"/>
    </w:p>
    <w:p w14:paraId="00E38333" w14:textId="77777777" w:rsidR="00102AFD" w:rsidRPr="00553FE2" w:rsidRDefault="00102AFD"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27E6A8FF"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El </w:t>
      </w:r>
      <w:r w:rsidRPr="00553FE2">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553FE2">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EDFC4D"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02F5029F"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Evidentemente, </w:t>
      </w:r>
      <w:r w:rsidRPr="00553FE2">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724FC7"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29DAE9B8" w14:textId="186B39BF" w:rsidR="00D574C0"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La </w:t>
      </w:r>
      <w:r w:rsidRPr="00553FE2">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553FE2">
        <w:rPr>
          <w:rFonts w:ascii="Palatino Linotype" w:eastAsia="MS Mincho" w:hAnsi="Palatino Linotype" w:cs="Times New Roman"/>
        </w:rPr>
        <w:lastRenderedPageBreak/>
        <w:t>por los titulares de áreas y que son sujetas a control, en primera instancia, por el Comité de Transparencia.</w:t>
      </w:r>
    </w:p>
    <w:p w14:paraId="10ED299A" w14:textId="7686DD39"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2EE1DC01" w14:textId="1EC58192" w:rsidR="00102AFD" w:rsidRPr="00553FE2" w:rsidRDefault="00102AFD" w:rsidP="00102AF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46" w:name="_Toc98445271"/>
      <w:r w:rsidRPr="00553FE2">
        <w:rPr>
          <w:rFonts w:ascii="Palatino Linotype" w:hAnsi="Palatino Linotype"/>
          <w:b/>
          <w:bCs/>
          <w:color w:val="000000" w:themeColor="text1"/>
        </w:rPr>
        <w:t>b) Requisitos de fondo del Acuerdo de Clasificación.</w:t>
      </w:r>
      <w:bookmarkEnd w:id="46"/>
    </w:p>
    <w:p w14:paraId="0C257FE2" w14:textId="77777777" w:rsidR="00102AFD" w:rsidRPr="00553FE2" w:rsidRDefault="00102AFD"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7B5909D6"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Como </w:t>
      </w:r>
      <w:r w:rsidRPr="00553FE2">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1DB4929"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74926B74"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De </w:t>
      </w:r>
      <w:r w:rsidRPr="00553FE2">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313EDF"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6C45C30E"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Han </w:t>
      </w:r>
      <w:r w:rsidRPr="00553FE2">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553FE2">
        <w:rPr>
          <w:rFonts w:ascii="Palatino Linotype" w:eastAsia="MS Mincho" w:hAnsi="Palatino Linotype" w:cs="Times New Roman"/>
        </w:rPr>
        <w:lastRenderedPageBreak/>
        <w:t xml:space="preserve">Proceso”, refiere que </w:t>
      </w:r>
      <w:r w:rsidRPr="00553FE2">
        <w:rPr>
          <w:rFonts w:ascii="Palatino Linotype" w:eastAsia="MS Mincho" w:hAnsi="Palatino Linotype" w:cs="Times New Roman"/>
          <w:i/>
          <w:iCs/>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proofErr w:type="gramStart"/>
      <w:r w:rsidRPr="00553FE2">
        <w:rPr>
          <w:rFonts w:ascii="Palatino Linotype" w:eastAsia="MS Mincho" w:hAnsi="Palatino Linotype" w:cs="Times New Roman"/>
          <w:i/>
          <w:iCs/>
        </w:rPr>
        <w:t>(....</w:t>
      </w:r>
      <w:proofErr w:type="gramEnd"/>
      <w:r w:rsidRPr="00553FE2">
        <w:rPr>
          <w:rFonts w:ascii="Palatino Linotype" w:eastAsia="MS Mincho" w:hAnsi="Palatino Linotype" w:cs="Times New Roman"/>
          <w:i/>
          <w:iCs/>
        </w:rPr>
        <w:t>)”</w:t>
      </w:r>
      <w:r w:rsidRPr="00553FE2">
        <w:rPr>
          <w:rFonts w:ascii="Palatino Linotype" w:eastAsia="MS Mincho" w:hAnsi="Palatino Linotype" w:cs="Times New Roman"/>
        </w:rPr>
        <w:t>.</w:t>
      </w:r>
    </w:p>
    <w:p w14:paraId="4B58EC51"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399C8DA6" w14:textId="2D6EBF8F" w:rsidR="00D574C0"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Por </w:t>
      </w:r>
      <w:r w:rsidRPr="00553FE2">
        <w:rPr>
          <w:rFonts w:ascii="Palatino Linotype" w:eastAsia="MS Mincho" w:hAnsi="Palatino Linotype" w:cs="Times New Roman"/>
        </w:rPr>
        <w:t>su parte, el intérprete judicial del país ha establecido una jurisprudencia</w:t>
      </w:r>
      <w:r w:rsidRPr="00553FE2">
        <w:rPr>
          <w:rStyle w:val="Refdenotaalpie"/>
          <w:rFonts w:ascii="Palatino Linotype" w:eastAsia="MS Mincho" w:hAnsi="Palatino Linotype" w:cs="Times New Roman"/>
        </w:rPr>
        <w:footnoteReference w:id="19"/>
      </w:r>
      <w:r w:rsidRPr="00553FE2">
        <w:rPr>
          <w:rFonts w:ascii="Palatino Linotype" w:eastAsia="MS Mincho" w:hAnsi="Palatino Linotype" w:cs="Times New Roman"/>
        </w:rPr>
        <w:t xml:space="preserve"> respecto a qué debe entenderse por fundamentación y motivación, en los siguientes términos:</w:t>
      </w:r>
    </w:p>
    <w:p w14:paraId="4070CDC7" w14:textId="1B8A9636" w:rsidR="00D574C0" w:rsidRPr="00553FE2" w:rsidRDefault="00D574C0" w:rsidP="00102AFD">
      <w:pPr>
        <w:pStyle w:val="Prrafodelista"/>
        <w:tabs>
          <w:tab w:val="left" w:pos="426"/>
        </w:tabs>
        <w:spacing w:before="240" w:line="360" w:lineRule="auto"/>
        <w:ind w:left="0" w:right="51"/>
        <w:jc w:val="both"/>
        <w:rPr>
          <w:rFonts w:ascii="Palatino Linotype" w:hAnsi="Palatino Linotype"/>
          <w:color w:val="000000" w:themeColor="text1"/>
        </w:rPr>
      </w:pPr>
    </w:p>
    <w:p w14:paraId="1222083F" w14:textId="77777777" w:rsidR="00102AFD" w:rsidRPr="00553FE2" w:rsidRDefault="00102AFD" w:rsidP="00102AFD">
      <w:pPr>
        <w:spacing w:line="276" w:lineRule="auto"/>
        <w:ind w:left="567" w:right="567"/>
        <w:contextualSpacing/>
        <w:jc w:val="both"/>
        <w:rPr>
          <w:rFonts w:ascii="Palatino Linotype" w:hAnsi="Palatino Linotype" w:cs="Arial"/>
          <w:i/>
          <w:color w:val="000000"/>
          <w:sz w:val="22"/>
          <w:szCs w:val="22"/>
        </w:rPr>
      </w:pPr>
      <w:r w:rsidRPr="00553FE2">
        <w:rPr>
          <w:rFonts w:ascii="Palatino Linotype" w:hAnsi="Palatino Linotype" w:cs="Arial"/>
          <w:b/>
          <w:i/>
          <w:color w:val="000000"/>
          <w:sz w:val="22"/>
          <w:szCs w:val="22"/>
        </w:rPr>
        <w:t>FUNDAMENTACIÓN Y MOTIVACIÓN.</w:t>
      </w:r>
      <w:r w:rsidRPr="00553FE2">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561986" w14:textId="77777777" w:rsidR="00102AFD" w:rsidRPr="00553FE2" w:rsidRDefault="00102AFD"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34FDDF53"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Así, </w:t>
      </w:r>
      <w:r w:rsidRPr="00553FE2">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6D540A"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1F3DB1CA"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lastRenderedPageBreak/>
        <w:t xml:space="preserve">En </w:t>
      </w:r>
      <w:r w:rsidRPr="00553FE2">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DA6807"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01D59FA0" w14:textId="77777777" w:rsidR="00102AFD"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En </w:t>
      </w:r>
      <w:r w:rsidRPr="00553FE2">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7B5970BF" w14:textId="77777777" w:rsidR="00102AFD" w:rsidRPr="00553FE2" w:rsidRDefault="00102AFD" w:rsidP="00102AFD">
      <w:pPr>
        <w:pStyle w:val="Prrafodelista"/>
        <w:tabs>
          <w:tab w:val="left" w:pos="426"/>
        </w:tabs>
        <w:spacing w:before="240" w:after="240" w:line="360" w:lineRule="auto"/>
        <w:ind w:left="0" w:right="51"/>
        <w:jc w:val="both"/>
        <w:rPr>
          <w:rFonts w:ascii="Palatino Linotype" w:hAnsi="Palatino Linotype"/>
          <w:color w:val="000000" w:themeColor="text1"/>
        </w:rPr>
      </w:pPr>
    </w:p>
    <w:p w14:paraId="1613BD4F" w14:textId="3147555D" w:rsidR="00D574C0" w:rsidRPr="00553FE2" w:rsidRDefault="00102AFD" w:rsidP="00102A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Otro </w:t>
      </w:r>
      <w:r w:rsidRPr="00553FE2">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54C88B2" w14:textId="77777777" w:rsidR="00D574C0" w:rsidRPr="00553FE2" w:rsidRDefault="00D574C0" w:rsidP="00D574C0">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64FB0CAB" w:rsidR="00953B03" w:rsidRPr="00553FE2" w:rsidRDefault="00102AF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47" w:name="_Toc95402630"/>
      <w:bookmarkStart w:id="48" w:name="_Toc98445272"/>
      <w:r w:rsidRPr="00553FE2">
        <w:rPr>
          <w:rFonts w:ascii="Palatino Linotype" w:hAnsi="Palatino Linotype"/>
          <w:b/>
          <w:bCs/>
          <w:color w:val="000000" w:themeColor="text1"/>
        </w:rPr>
        <w:t>SEXTO</w:t>
      </w:r>
      <w:r w:rsidR="00953B03" w:rsidRPr="00553FE2">
        <w:rPr>
          <w:rFonts w:ascii="Palatino Linotype" w:hAnsi="Palatino Linotype"/>
          <w:b/>
          <w:bCs/>
          <w:color w:val="000000" w:themeColor="text1"/>
        </w:rPr>
        <w:t>. Decisión</w:t>
      </w:r>
      <w:bookmarkEnd w:id="47"/>
      <w:bookmarkEnd w:id="48"/>
    </w:p>
    <w:p w14:paraId="2B8DED45" w14:textId="77777777" w:rsidR="00953B03" w:rsidRPr="00553FE2"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0294EF87" w:rsidR="00F6300E" w:rsidRPr="00553FE2" w:rsidRDefault="002D7A78"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Luego </w:t>
      </w:r>
      <w:r w:rsidR="001C3D26" w:rsidRPr="00553FE2">
        <w:rPr>
          <w:rFonts w:ascii="Palatino Linotype" w:hAnsi="Palatino Linotype"/>
          <w:color w:val="000000" w:themeColor="text1"/>
        </w:rPr>
        <w:t xml:space="preserve">analizar la justificación del </w:t>
      </w:r>
      <w:r w:rsidR="001C3D26" w:rsidRPr="00553FE2">
        <w:rPr>
          <w:rFonts w:ascii="Palatino Linotype" w:hAnsi="Palatino Linotype"/>
          <w:b/>
          <w:bCs/>
          <w:color w:val="000000" w:themeColor="text1"/>
        </w:rPr>
        <w:t>SUJETO OBLIGADO</w:t>
      </w:r>
      <w:r w:rsidR="001C3D26" w:rsidRPr="00553FE2">
        <w:rPr>
          <w:rFonts w:ascii="Palatino Linotype" w:hAnsi="Palatino Linotype"/>
          <w:color w:val="000000" w:themeColor="text1"/>
        </w:rPr>
        <w:t xml:space="preserve"> para cambiar la modalidad de entrega de la información, se determinó que ésta carecía de toda fundamentación y motivación; por lo que determinó improcedente y se ordenó entregar las facturas que acrediten los gastos realizados por el Comité Municipal de Toluca, por el periodo comprendido del (01) de enero de dos mil veinte al veinte (20) de diciembre de dos mil veintiuno, a través de la vía originalmente requerida por el particular, esto es, vía SAIMEX.</w:t>
      </w:r>
    </w:p>
    <w:p w14:paraId="27DCD1E9" w14:textId="77777777" w:rsidR="002C5542" w:rsidRPr="00553FE2"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6B5BBAD" w:rsidR="00F01443" w:rsidRPr="00553FE2"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rPr>
        <w:t xml:space="preserve">Por </w:t>
      </w:r>
      <w:r w:rsidRPr="00553FE2">
        <w:rPr>
          <w:rFonts w:ascii="Palatino Linotype" w:eastAsia="MS Mincho" w:hAnsi="Palatino Linotype" w:cstheme="majorBidi"/>
        </w:rPr>
        <w:t>lo tanto,</w:t>
      </w:r>
      <w:r w:rsidRPr="00553FE2">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553FE2">
        <w:rPr>
          <w:rFonts w:ascii="Palatino Linotype" w:eastAsia="MS Mincho" w:hAnsi="Palatino Linotype" w:cstheme="majorBidi"/>
          <w:b/>
          <w:lang w:val="es-ES"/>
        </w:rPr>
        <w:t>RECURRENTE</w:t>
      </w:r>
      <w:r w:rsidRPr="00553FE2">
        <w:rPr>
          <w:rFonts w:ascii="Palatino Linotype" w:eastAsia="MS Mincho" w:hAnsi="Palatino Linotype" w:cstheme="majorBidi"/>
          <w:lang w:val="es-ES"/>
        </w:rPr>
        <w:t xml:space="preserve"> dentro del recurso de revisión </w:t>
      </w:r>
      <w:r w:rsidR="00CC280B" w:rsidRPr="00553FE2">
        <w:rPr>
          <w:rFonts w:ascii="Palatino Linotype" w:eastAsia="MS Mincho" w:hAnsi="Palatino Linotype" w:cstheme="majorBidi"/>
          <w:b/>
          <w:lang w:val="es-ES"/>
        </w:rPr>
        <w:t>00323/INFOEM/IP/RR/2022</w:t>
      </w:r>
      <w:r w:rsidRPr="00553FE2">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266588" w:rsidRPr="00553FE2">
        <w:rPr>
          <w:rFonts w:ascii="Palatino Linotype" w:eastAsia="MS Mincho" w:hAnsi="Palatino Linotype" w:cstheme="majorBidi"/>
          <w:b/>
          <w:lang w:val="es-ES"/>
        </w:rPr>
        <w:t>MODIFICA</w:t>
      </w:r>
      <w:r w:rsidRPr="00553FE2">
        <w:rPr>
          <w:rFonts w:ascii="Palatino Linotype" w:eastAsia="MS Mincho" w:hAnsi="Palatino Linotype" w:cstheme="majorBidi"/>
          <w:lang w:val="es-ES"/>
        </w:rPr>
        <w:t xml:space="preserve"> la respuesta a la solicitud de información número </w:t>
      </w:r>
      <w:r w:rsidR="00CC280B" w:rsidRPr="00553FE2">
        <w:rPr>
          <w:rFonts w:ascii="Palatino Linotype" w:eastAsia="MS Mincho" w:hAnsi="Palatino Linotype" w:cstheme="majorBidi"/>
          <w:b/>
          <w:lang w:val="es-ES"/>
        </w:rPr>
        <w:t>00085/PAN/IP/2021</w:t>
      </w:r>
      <w:r w:rsidRPr="00553FE2">
        <w:rPr>
          <w:rFonts w:ascii="Palatino Linotype" w:eastAsia="MS Mincho" w:hAnsi="Palatino Linotype" w:cstheme="majorBidi"/>
          <w:lang w:val="es-ES"/>
        </w:rPr>
        <w:t>.</w:t>
      </w:r>
    </w:p>
    <w:p w14:paraId="370E910A" w14:textId="77777777" w:rsidR="00F01443" w:rsidRPr="00553FE2"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4C2F82D5" w:rsidR="00266588" w:rsidRPr="00553FE2"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53FE2">
        <w:rPr>
          <w:rFonts w:ascii="Palatino Linotype" w:hAnsi="Palatino Linotype"/>
          <w:color w:val="000000" w:themeColor="text1"/>
          <w:lang w:val="es-ES"/>
        </w:rPr>
        <w:t xml:space="preserve">Por </w:t>
      </w:r>
      <w:r w:rsidR="00B41516" w:rsidRPr="00553FE2">
        <w:rPr>
          <w:rFonts w:ascii="Palatino Linotype" w:hAnsi="Palatino Linotype"/>
          <w:color w:val="000000" w:themeColor="text1"/>
        </w:rPr>
        <w:t xml:space="preserve">lo anteriormente expuesto y fundado, </w:t>
      </w:r>
      <w:r w:rsidR="003E6079" w:rsidRPr="00553FE2">
        <w:rPr>
          <w:rFonts w:ascii="Palatino Linotype" w:hAnsi="Palatino Linotype"/>
          <w:color w:val="000000" w:themeColor="text1"/>
        </w:rPr>
        <w:t>e</w:t>
      </w:r>
      <w:r w:rsidR="00B41516" w:rsidRPr="00553FE2">
        <w:rPr>
          <w:rFonts w:ascii="Palatino Linotype" w:hAnsi="Palatino Linotype"/>
          <w:color w:val="000000" w:themeColor="text1"/>
        </w:rPr>
        <w:t xml:space="preserve">ste </w:t>
      </w:r>
      <w:r w:rsidR="00B41516" w:rsidRPr="00553FE2">
        <w:rPr>
          <w:rFonts w:ascii="Palatino Linotype" w:hAnsi="Palatino Linotype"/>
          <w:b/>
          <w:color w:val="000000" w:themeColor="text1"/>
        </w:rPr>
        <w:t>ÓRGANO GARANTE</w:t>
      </w:r>
      <w:r w:rsidR="00B41516" w:rsidRPr="00553FE2">
        <w:rPr>
          <w:rFonts w:ascii="Palatino Linotype" w:hAnsi="Palatino Linotype"/>
          <w:color w:val="000000" w:themeColor="text1"/>
        </w:rPr>
        <w:t xml:space="preserve"> emite los siguientes:</w:t>
      </w:r>
      <w:r w:rsidR="003E6079" w:rsidRPr="00553FE2">
        <w:rPr>
          <w:rFonts w:ascii="Palatino Linotype" w:hAnsi="Palatino Linotype"/>
          <w:color w:val="000000" w:themeColor="text1"/>
        </w:rPr>
        <w:t xml:space="preserve"> </w:t>
      </w:r>
      <w:r w:rsidR="00D71057" w:rsidRPr="00553FE2">
        <w:rPr>
          <w:rFonts w:ascii="Palatino Linotype" w:hAnsi="Palatino Linotype"/>
          <w:color w:val="000000" w:themeColor="text1"/>
        </w:rPr>
        <w:t>--------------------------------------------------------------------------</w:t>
      </w:r>
      <w:r w:rsidR="00E10AC3" w:rsidRPr="00553FE2">
        <w:rPr>
          <w:rFonts w:ascii="Palatino Linotype" w:hAnsi="Palatino Linotype"/>
          <w:color w:val="000000" w:themeColor="text1"/>
        </w:rPr>
        <w:t>-----------------</w:t>
      </w:r>
      <w:r w:rsidR="00895335" w:rsidRPr="00553FE2">
        <w:rPr>
          <w:rFonts w:ascii="Palatino Linotype" w:hAnsi="Palatino Linotype"/>
          <w:color w:val="000000" w:themeColor="text1"/>
        </w:rPr>
        <w:t>--</w:t>
      </w:r>
      <w:r w:rsidR="003E6079" w:rsidRPr="00553FE2">
        <w:rPr>
          <w:rFonts w:ascii="Palatino Linotype" w:hAnsi="Palatino Linotype"/>
          <w:color w:val="000000" w:themeColor="text1"/>
        </w:rPr>
        <w:t>-------------------------------------------------------------------------------------------------------------</w:t>
      </w:r>
      <w:r w:rsidR="00895335" w:rsidRPr="00553FE2">
        <w:rPr>
          <w:rFonts w:ascii="Palatino Linotype" w:hAnsi="Palatino Linotype"/>
          <w:color w:val="000000" w:themeColor="text1"/>
        </w:rPr>
        <w:t>--</w:t>
      </w:r>
    </w:p>
    <w:p w14:paraId="19A111DC" w14:textId="0BB79526" w:rsidR="00266588" w:rsidRPr="00553FE2" w:rsidRDefault="00266588">
      <w:pPr>
        <w:rPr>
          <w:rFonts w:ascii="Palatino Linotype" w:hAnsi="Palatino Linotype"/>
          <w:color w:val="000000" w:themeColor="text1"/>
        </w:rPr>
      </w:pPr>
    </w:p>
    <w:p w14:paraId="18C7D92B" w14:textId="77777777" w:rsidR="009959DB" w:rsidRPr="00553FE2" w:rsidRDefault="009959DB" w:rsidP="009959DB">
      <w:pPr>
        <w:pStyle w:val="Ttulo1"/>
        <w:spacing w:line="360" w:lineRule="auto"/>
        <w:jc w:val="center"/>
        <w:rPr>
          <w:b/>
          <w:color w:val="000000" w:themeColor="text1"/>
          <w:szCs w:val="24"/>
        </w:rPr>
      </w:pPr>
      <w:bookmarkStart w:id="49" w:name="_Toc495427547"/>
      <w:bookmarkStart w:id="50" w:name="_Toc497905366"/>
      <w:bookmarkStart w:id="51" w:name="_Toc95402631"/>
      <w:bookmarkStart w:id="52" w:name="_Toc98445273"/>
      <w:r w:rsidRPr="00553FE2">
        <w:rPr>
          <w:b/>
          <w:color w:val="000000" w:themeColor="text1"/>
          <w:szCs w:val="24"/>
        </w:rPr>
        <w:t>R E S O L U T I V O S</w:t>
      </w:r>
      <w:bookmarkEnd w:id="31"/>
      <w:bookmarkEnd w:id="32"/>
      <w:bookmarkEnd w:id="49"/>
      <w:bookmarkEnd w:id="50"/>
      <w:bookmarkEnd w:id="51"/>
      <w:bookmarkEnd w:id="52"/>
    </w:p>
    <w:p w14:paraId="67A78F7D" w14:textId="55BAF3AE" w:rsidR="00CA0640" w:rsidRPr="00553FE2" w:rsidRDefault="00CA0640" w:rsidP="00CA0640">
      <w:pPr>
        <w:spacing w:line="360" w:lineRule="auto"/>
        <w:jc w:val="both"/>
        <w:rPr>
          <w:rFonts w:ascii="Palatino Linotype" w:eastAsia="Times New Roman" w:hAnsi="Palatino Linotype" w:cs="Times New Roman"/>
        </w:rPr>
      </w:pPr>
      <w:r w:rsidRPr="00553FE2">
        <w:rPr>
          <w:rFonts w:ascii="Palatino Linotype" w:eastAsia="Times New Roman" w:hAnsi="Palatino Linotype" w:cs="Arial"/>
          <w:b/>
          <w:sz w:val="28"/>
          <w:szCs w:val="28"/>
        </w:rPr>
        <w:t>PRIMERO</w:t>
      </w:r>
      <w:r w:rsidRPr="00553FE2">
        <w:rPr>
          <w:rFonts w:ascii="Palatino Linotype" w:eastAsia="Times New Roman" w:hAnsi="Palatino Linotype" w:cs="Arial"/>
          <w:b/>
        </w:rPr>
        <w:t xml:space="preserve">. </w:t>
      </w:r>
      <w:r w:rsidRPr="00553FE2">
        <w:rPr>
          <w:rFonts w:ascii="Palatino Linotype" w:eastAsia="Times New Roman" w:hAnsi="Palatino Linotype" w:cs="Arial"/>
        </w:rPr>
        <w:t>Resultan</w:t>
      </w:r>
      <w:r w:rsidR="00892AB9" w:rsidRPr="00553FE2">
        <w:rPr>
          <w:rFonts w:ascii="Palatino Linotype" w:eastAsia="Times New Roman" w:hAnsi="Palatino Linotype" w:cs="Arial"/>
        </w:rPr>
        <w:t xml:space="preserve"> </w:t>
      </w:r>
      <w:r w:rsidRPr="00553FE2">
        <w:rPr>
          <w:rFonts w:ascii="Palatino Linotype" w:eastAsia="Times New Roman" w:hAnsi="Palatino Linotype" w:cs="Arial"/>
        </w:rPr>
        <w:t>fundadas las</w:t>
      </w:r>
      <w:r w:rsidRPr="00553FE2">
        <w:rPr>
          <w:rFonts w:ascii="Palatino Linotype" w:eastAsia="Times New Roman" w:hAnsi="Palatino Linotype" w:cs="Arial"/>
          <w:b/>
        </w:rPr>
        <w:t xml:space="preserve"> </w:t>
      </w:r>
      <w:r w:rsidRPr="00553FE2">
        <w:rPr>
          <w:rFonts w:ascii="Palatino Linotype" w:eastAsia="Times New Roman" w:hAnsi="Palatino Linotype" w:cs="Arial"/>
          <w:lang w:val="es-ES"/>
        </w:rPr>
        <w:t xml:space="preserve">razones o motivos de inconformidad hechos valer </w:t>
      </w:r>
      <w:r w:rsidRPr="00553FE2">
        <w:rPr>
          <w:rFonts w:ascii="Palatino Linotype" w:eastAsia="Calibri" w:hAnsi="Palatino Linotype" w:cs="Arial"/>
          <w:lang w:val="es-ES"/>
        </w:rPr>
        <w:t xml:space="preserve">en el recurso de revisión </w:t>
      </w:r>
      <w:r w:rsidR="00CC280B" w:rsidRPr="00553FE2">
        <w:rPr>
          <w:rFonts w:ascii="Palatino Linotype" w:eastAsia="Times New Roman" w:hAnsi="Palatino Linotype" w:cs="Times New Roman"/>
          <w:b/>
        </w:rPr>
        <w:t>00323/INFOEM/IP/RR/2022</w:t>
      </w:r>
      <w:r w:rsidRPr="00553FE2">
        <w:rPr>
          <w:rFonts w:ascii="Palatino Linotype" w:eastAsia="Times New Roman" w:hAnsi="Palatino Linotype" w:cs="Times New Roman"/>
          <w:b/>
        </w:rPr>
        <w:t xml:space="preserve"> </w:t>
      </w:r>
      <w:r w:rsidRPr="00553FE2">
        <w:rPr>
          <w:rFonts w:ascii="Palatino Linotype" w:eastAsia="Times New Roman" w:hAnsi="Palatino Linotype" w:cs="Times New Roman"/>
        </w:rPr>
        <w:t>en términos de los</w:t>
      </w:r>
      <w:r w:rsidRPr="00553FE2">
        <w:rPr>
          <w:rFonts w:ascii="Palatino Linotype" w:eastAsia="Times New Roman" w:hAnsi="Palatino Linotype" w:cs="Times New Roman"/>
          <w:b/>
          <w:bCs/>
        </w:rPr>
        <w:t xml:space="preserve"> Considerandos</w:t>
      </w:r>
      <w:r w:rsidRPr="00553FE2">
        <w:rPr>
          <w:rFonts w:ascii="Palatino Linotype" w:eastAsia="Times New Roman" w:hAnsi="Palatino Linotype" w:cs="Times New Roman"/>
        </w:rPr>
        <w:t xml:space="preserve"> </w:t>
      </w:r>
      <w:r w:rsidR="00BC2D16" w:rsidRPr="00553FE2">
        <w:rPr>
          <w:rFonts w:ascii="Palatino Linotype" w:eastAsia="Times New Roman" w:hAnsi="Palatino Linotype" w:cs="Times New Roman"/>
          <w:b/>
        </w:rPr>
        <w:t>CUARTO</w:t>
      </w:r>
      <w:r w:rsidRPr="00553FE2">
        <w:rPr>
          <w:rFonts w:ascii="Palatino Linotype" w:eastAsia="Times New Roman" w:hAnsi="Palatino Linotype" w:cs="Times New Roman"/>
          <w:b/>
        </w:rPr>
        <w:t xml:space="preserve"> </w:t>
      </w:r>
      <w:r w:rsidR="00800BEA" w:rsidRPr="00553FE2">
        <w:rPr>
          <w:rFonts w:ascii="Palatino Linotype" w:eastAsia="Times New Roman" w:hAnsi="Palatino Linotype" w:cs="Times New Roman"/>
          <w:bCs/>
        </w:rPr>
        <w:t xml:space="preserve">y </w:t>
      </w:r>
      <w:r w:rsidR="00BC2D16" w:rsidRPr="00553FE2">
        <w:rPr>
          <w:rFonts w:ascii="Palatino Linotype" w:eastAsia="Times New Roman" w:hAnsi="Palatino Linotype" w:cs="Times New Roman"/>
          <w:b/>
        </w:rPr>
        <w:t>QUINTO</w:t>
      </w:r>
      <w:r w:rsidR="00800BEA" w:rsidRPr="00553FE2">
        <w:rPr>
          <w:rFonts w:ascii="Palatino Linotype" w:eastAsia="Times New Roman" w:hAnsi="Palatino Linotype" w:cs="Times New Roman"/>
          <w:bCs/>
        </w:rPr>
        <w:t xml:space="preserve"> </w:t>
      </w:r>
      <w:r w:rsidRPr="00553FE2">
        <w:rPr>
          <w:rFonts w:ascii="Palatino Linotype" w:eastAsia="Times New Roman" w:hAnsi="Palatino Linotype" w:cs="Times New Roman"/>
        </w:rPr>
        <w:t>de la presente resolución.</w:t>
      </w:r>
    </w:p>
    <w:p w14:paraId="223895AA" w14:textId="77777777" w:rsidR="00CA0640" w:rsidRPr="00553FE2" w:rsidRDefault="00CA0640" w:rsidP="00CA0640">
      <w:pPr>
        <w:spacing w:line="360" w:lineRule="auto"/>
        <w:contextualSpacing/>
        <w:jc w:val="both"/>
        <w:rPr>
          <w:rFonts w:ascii="Palatino Linotype" w:eastAsia="Calibri" w:hAnsi="Palatino Linotype" w:cs="Arial"/>
          <w:b/>
          <w:bCs/>
          <w:lang w:val="es-ES"/>
        </w:rPr>
      </w:pPr>
    </w:p>
    <w:p w14:paraId="6FD259C5" w14:textId="643F8AD6" w:rsidR="00CA0640" w:rsidRPr="00553FE2" w:rsidRDefault="00CA0640" w:rsidP="00CA0640">
      <w:pPr>
        <w:spacing w:line="360" w:lineRule="auto"/>
        <w:contextualSpacing/>
        <w:jc w:val="both"/>
        <w:rPr>
          <w:rFonts w:ascii="Palatino Linotype" w:eastAsia="Times New Roman" w:hAnsi="Palatino Linotype" w:cs="Arial"/>
          <w:color w:val="000000"/>
        </w:rPr>
      </w:pPr>
      <w:r w:rsidRPr="00553FE2">
        <w:rPr>
          <w:rFonts w:ascii="Palatino Linotype" w:eastAsia="Calibri" w:hAnsi="Palatino Linotype" w:cs="Arial"/>
          <w:b/>
          <w:bCs/>
          <w:sz w:val="28"/>
          <w:szCs w:val="28"/>
          <w:lang w:val="es-ES"/>
        </w:rPr>
        <w:t>SEGUNDO</w:t>
      </w:r>
      <w:r w:rsidRPr="00553FE2">
        <w:rPr>
          <w:rFonts w:ascii="Palatino Linotype" w:eastAsia="Calibri" w:hAnsi="Palatino Linotype" w:cs="Arial"/>
          <w:b/>
          <w:bCs/>
          <w:lang w:val="es-ES"/>
        </w:rPr>
        <w:t xml:space="preserve">. </w:t>
      </w:r>
      <w:r w:rsidRPr="00553FE2">
        <w:rPr>
          <w:rFonts w:ascii="Palatino Linotype" w:eastAsia="Calibri" w:hAnsi="Palatino Linotype" w:cs="Arial"/>
          <w:lang w:val="es-ES"/>
        </w:rPr>
        <w:t xml:space="preserve">Se </w:t>
      </w:r>
      <w:r w:rsidR="00266588" w:rsidRPr="00553FE2">
        <w:rPr>
          <w:rFonts w:ascii="Palatino Linotype" w:eastAsia="Calibri" w:hAnsi="Palatino Linotype" w:cs="Arial"/>
          <w:b/>
          <w:lang w:val="es-ES"/>
        </w:rPr>
        <w:t>MODIFICA</w:t>
      </w:r>
      <w:r w:rsidRPr="00553FE2">
        <w:rPr>
          <w:rFonts w:ascii="Palatino Linotype" w:eastAsia="Calibri" w:hAnsi="Palatino Linotype" w:cs="Arial"/>
          <w:lang w:val="es-ES"/>
        </w:rPr>
        <w:t xml:space="preserve"> la respuesta emitida por el </w:t>
      </w:r>
      <w:r w:rsidR="00C45AB9" w:rsidRPr="00553FE2">
        <w:rPr>
          <w:rFonts w:ascii="Palatino Linotype" w:eastAsia="Calibri" w:hAnsi="Palatino Linotype" w:cs="Arial"/>
          <w:b/>
        </w:rPr>
        <w:t>Partido Acción Nacional</w:t>
      </w:r>
      <w:r w:rsidRPr="00553FE2">
        <w:rPr>
          <w:rFonts w:ascii="Palatino Linotype" w:eastAsia="Calibri" w:hAnsi="Palatino Linotype" w:cs="Arial"/>
          <w:bCs/>
        </w:rPr>
        <w:t xml:space="preserve"> a la solicitud </w:t>
      </w:r>
      <w:r w:rsidR="00CC280B" w:rsidRPr="00553FE2">
        <w:rPr>
          <w:rFonts w:ascii="Palatino Linotype" w:eastAsia="Calibri" w:hAnsi="Palatino Linotype" w:cs="Arial"/>
          <w:b/>
        </w:rPr>
        <w:t>00085/PAN/IP/2021</w:t>
      </w:r>
      <w:r w:rsidRPr="00553FE2">
        <w:rPr>
          <w:rFonts w:ascii="Palatino Linotype" w:eastAsia="Calibri" w:hAnsi="Palatino Linotype" w:cs="Arial"/>
          <w:b/>
        </w:rPr>
        <w:t xml:space="preserve"> </w:t>
      </w:r>
      <w:r w:rsidRPr="00553FE2">
        <w:rPr>
          <w:rFonts w:ascii="Palatino Linotype" w:eastAsia="Calibri" w:hAnsi="Palatino Linotype" w:cs="Arial"/>
        </w:rPr>
        <w:t xml:space="preserve">y se </w:t>
      </w:r>
      <w:r w:rsidRPr="00553FE2">
        <w:rPr>
          <w:rFonts w:ascii="Palatino Linotype" w:eastAsia="Calibri" w:hAnsi="Palatino Linotype" w:cs="Arial"/>
          <w:b/>
        </w:rPr>
        <w:t>ORDENA</w:t>
      </w:r>
      <w:r w:rsidRPr="00553FE2">
        <w:rPr>
          <w:rFonts w:ascii="Palatino Linotype" w:eastAsia="Calibri" w:hAnsi="Palatino Linotype" w:cs="Arial"/>
          <w:b/>
          <w:lang w:val="es-ES"/>
        </w:rPr>
        <w:t xml:space="preserve"> </w:t>
      </w:r>
      <w:r w:rsidRPr="00553FE2">
        <w:rPr>
          <w:rFonts w:ascii="Palatino Linotype" w:eastAsia="Calibri" w:hAnsi="Palatino Linotype" w:cs="Arial"/>
          <w:lang w:val="es-ES"/>
        </w:rPr>
        <w:t xml:space="preserve">entregar, </w:t>
      </w:r>
      <w:bookmarkStart w:id="53" w:name="_Toc460947013"/>
      <w:r w:rsidR="008705E1" w:rsidRPr="00553FE2">
        <w:rPr>
          <w:rFonts w:ascii="Palatino Linotype" w:eastAsia="Calibri" w:hAnsi="Palatino Linotype" w:cs="Arial"/>
          <w:lang w:val="es-ES"/>
        </w:rPr>
        <w:t>a través del Sistema de Acceso a la Información Pública Mexiquense (SAIMEX)</w:t>
      </w:r>
      <w:r w:rsidRPr="00553FE2">
        <w:rPr>
          <w:rFonts w:ascii="Palatino Linotype" w:eastAsia="Times New Roman" w:hAnsi="Palatino Linotype" w:cs="Arial"/>
          <w:color w:val="000000"/>
        </w:rPr>
        <w:t xml:space="preserve">, </w:t>
      </w:r>
      <w:r w:rsidRPr="00553FE2">
        <w:rPr>
          <w:rFonts w:ascii="Palatino Linotype" w:eastAsia="Times New Roman" w:hAnsi="Palatino Linotype" w:cs="Arial"/>
          <w:bCs/>
          <w:color w:val="000000"/>
        </w:rPr>
        <w:t>en versión pública</w:t>
      </w:r>
      <w:r w:rsidRPr="00553FE2">
        <w:rPr>
          <w:rFonts w:ascii="Palatino Linotype" w:eastAsia="Times New Roman" w:hAnsi="Palatino Linotype" w:cs="Arial"/>
          <w:color w:val="000000"/>
        </w:rPr>
        <w:t xml:space="preserve">, </w:t>
      </w:r>
      <w:r w:rsidR="006167AB" w:rsidRPr="00553FE2">
        <w:rPr>
          <w:rFonts w:ascii="Palatino Linotype" w:eastAsia="Times New Roman" w:hAnsi="Palatino Linotype" w:cs="Arial"/>
          <w:color w:val="000000"/>
        </w:rPr>
        <w:t>la siguiente información</w:t>
      </w:r>
      <w:r w:rsidRPr="00553FE2">
        <w:rPr>
          <w:rFonts w:ascii="Palatino Linotype" w:eastAsia="Times New Roman" w:hAnsi="Palatino Linotype" w:cs="Arial"/>
          <w:color w:val="000000"/>
        </w:rPr>
        <w:t xml:space="preserve">: </w:t>
      </w:r>
    </w:p>
    <w:p w14:paraId="251AF35D" w14:textId="77777777" w:rsidR="00C60AF2" w:rsidRPr="00553FE2" w:rsidRDefault="00C60AF2" w:rsidP="00CA0640">
      <w:pPr>
        <w:spacing w:line="360" w:lineRule="auto"/>
        <w:contextualSpacing/>
        <w:jc w:val="both"/>
        <w:rPr>
          <w:rFonts w:ascii="Palatino Linotype" w:eastAsia="Times New Roman" w:hAnsi="Palatino Linotype" w:cs="Arial"/>
          <w:color w:val="000000"/>
        </w:rPr>
      </w:pPr>
    </w:p>
    <w:p w14:paraId="0CAA43F1" w14:textId="16FF0689" w:rsidR="00F6387F" w:rsidRPr="00553FE2" w:rsidRDefault="001C3D26" w:rsidP="00C60AF2">
      <w:pPr>
        <w:pStyle w:val="Prrafodelista"/>
        <w:numPr>
          <w:ilvl w:val="0"/>
          <w:numId w:val="9"/>
        </w:numPr>
        <w:spacing w:after="240" w:line="360" w:lineRule="auto"/>
        <w:ind w:left="993" w:right="567"/>
        <w:jc w:val="both"/>
        <w:rPr>
          <w:rFonts w:ascii="Palatino Linotype" w:hAnsi="Palatino Linotype"/>
          <w:b/>
          <w:bCs/>
          <w:color w:val="000000"/>
        </w:rPr>
      </w:pPr>
      <w:r w:rsidRPr="00553FE2">
        <w:rPr>
          <w:rFonts w:ascii="Palatino Linotype" w:hAnsi="Palatino Linotype"/>
          <w:b/>
          <w:bCs/>
          <w:color w:val="000000"/>
        </w:rPr>
        <w:t xml:space="preserve">Facturas que acrediten los gastos realizados por el Comité Municipal de Toluca, por el periodo comprendido del uno (01) de </w:t>
      </w:r>
      <w:r w:rsidRPr="00553FE2">
        <w:rPr>
          <w:rFonts w:ascii="Palatino Linotype" w:hAnsi="Palatino Linotype"/>
          <w:b/>
          <w:bCs/>
          <w:color w:val="000000"/>
        </w:rPr>
        <w:lastRenderedPageBreak/>
        <w:t>enero de dos mil veinte al veinte (20) de diciembre de dos mil veintiuno</w:t>
      </w:r>
      <w:r w:rsidR="00F6387F" w:rsidRPr="00553FE2">
        <w:rPr>
          <w:rFonts w:ascii="Palatino Linotype" w:hAnsi="Palatino Linotype"/>
          <w:b/>
          <w:bCs/>
          <w:color w:val="000000"/>
        </w:rPr>
        <w:t>.</w:t>
      </w:r>
    </w:p>
    <w:p w14:paraId="19C3E213" w14:textId="1EB3F71B" w:rsidR="00CA0640" w:rsidRPr="00553FE2" w:rsidRDefault="00CA0640" w:rsidP="0046340E">
      <w:pPr>
        <w:tabs>
          <w:tab w:val="left" w:pos="993"/>
        </w:tabs>
        <w:spacing w:line="360" w:lineRule="auto"/>
        <w:jc w:val="both"/>
        <w:rPr>
          <w:rFonts w:ascii="Palatino Linotype" w:eastAsia="Calibri" w:hAnsi="Palatino Linotype" w:cs="Arial"/>
        </w:rPr>
      </w:pPr>
      <w:r w:rsidRPr="00553FE2">
        <w:rPr>
          <w:rFonts w:ascii="Palatino Linotype" w:hAnsi="Palatino Linotype"/>
          <w:color w:val="000000"/>
        </w:rPr>
        <w:t xml:space="preserve">Para </w:t>
      </w:r>
      <w:r w:rsidRPr="00553FE2">
        <w:rPr>
          <w:rFonts w:ascii="Palatino Linotype" w:eastAsia="Calibri" w:hAnsi="Palatino Linotype" w:cs="Arial"/>
        </w:rPr>
        <w:t>efectos de lo anterior se deberá emitir el Acuerdo del Comité de Transparencia en términos de los artículos 49</w:t>
      </w:r>
      <w:r w:rsidR="00F6387F" w:rsidRPr="00553FE2">
        <w:rPr>
          <w:rFonts w:ascii="Palatino Linotype" w:eastAsia="Calibri" w:hAnsi="Palatino Linotype" w:cs="Arial"/>
        </w:rPr>
        <w:t>,</w:t>
      </w:r>
      <w:r w:rsidRPr="00553FE2">
        <w:rPr>
          <w:rFonts w:ascii="Palatino Linotype" w:eastAsia="Calibri" w:hAnsi="Palatino Linotype" w:cs="Arial"/>
        </w:rPr>
        <w:t xml:space="preserve"> fracción VIII</w:t>
      </w:r>
      <w:r w:rsidR="00F6387F" w:rsidRPr="00553FE2">
        <w:rPr>
          <w:rFonts w:ascii="Palatino Linotype" w:eastAsia="Calibri" w:hAnsi="Palatino Linotype" w:cs="Arial"/>
        </w:rPr>
        <w:t>,</w:t>
      </w:r>
      <w:r w:rsidRPr="00553FE2">
        <w:rPr>
          <w:rFonts w:ascii="Palatino Linotype" w:eastAsia="Calibri" w:hAnsi="Palatino Linotype" w:cs="Arial"/>
        </w:rPr>
        <w:t xml:space="preserve"> y 132</w:t>
      </w:r>
      <w:r w:rsidR="00F6387F" w:rsidRPr="00553FE2">
        <w:rPr>
          <w:rFonts w:ascii="Palatino Linotype" w:eastAsia="Calibri" w:hAnsi="Palatino Linotype" w:cs="Arial"/>
        </w:rPr>
        <w:t>,</w:t>
      </w:r>
      <w:r w:rsidRPr="00553FE2">
        <w:rPr>
          <w:rFonts w:ascii="Palatino Linotype" w:eastAsia="Calibri" w:hAnsi="Palatino Linotype" w:cs="Arial"/>
        </w:rPr>
        <w:t xml:space="preserve"> fracción II</w:t>
      </w:r>
      <w:r w:rsidR="00F6387F" w:rsidRPr="00553FE2">
        <w:rPr>
          <w:rFonts w:ascii="Palatino Linotype" w:eastAsia="Calibri" w:hAnsi="Palatino Linotype" w:cs="Arial"/>
        </w:rPr>
        <w:t>,</w:t>
      </w:r>
      <w:r w:rsidRPr="00553FE2">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553FE2">
        <w:rPr>
          <w:rFonts w:ascii="Palatino Linotype" w:eastAsia="Calibri" w:hAnsi="Palatino Linotype" w:cs="Arial"/>
          <w:b/>
        </w:rPr>
        <w:t>RECURRENTE</w:t>
      </w:r>
      <w:r w:rsidRPr="00553FE2">
        <w:rPr>
          <w:rFonts w:ascii="Palatino Linotype" w:eastAsia="Calibri" w:hAnsi="Palatino Linotype" w:cs="Arial"/>
        </w:rPr>
        <w:t>.</w:t>
      </w:r>
    </w:p>
    <w:p w14:paraId="0AC4C062" w14:textId="77777777" w:rsidR="00CA0640" w:rsidRPr="00553FE2" w:rsidRDefault="00CA0640" w:rsidP="00CA0640">
      <w:pPr>
        <w:tabs>
          <w:tab w:val="left" w:pos="993"/>
        </w:tabs>
        <w:spacing w:line="360" w:lineRule="auto"/>
        <w:ind w:right="567"/>
        <w:jc w:val="both"/>
        <w:rPr>
          <w:rFonts w:ascii="Palatino Linotype" w:eastAsia="Calibri" w:hAnsi="Palatino Linotype" w:cs="Arial"/>
        </w:rPr>
      </w:pPr>
    </w:p>
    <w:p w14:paraId="5463F9DB" w14:textId="115FC2DC" w:rsidR="00CA0640" w:rsidRPr="00553FE2" w:rsidRDefault="00CA0640" w:rsidP="00CA0640">
      <w:pPr>
        <w:spacing w:line="360" w:lineRule="auto"/>
        <w:jc w:val="both"/>
        <w:rPr>
          <w:rFonts w:ascii="Palatino Linotype" w:eastAsia="MS Mincho" w:hAnsi="Palatino Linotype" w:cs="Times New Roman"/>
          <w:color w:val="000000"/>
        </w:rPr>
      </w:pPr>
      <w:r w:rsidRPr="00553FE2">
        <w:rPr>
          <w:rFonts w:ascii="Palatino Linotype" w:eastAsia="MS Mincho" w:hAnsi="Palatino Linotype" w:cs="Times New Roman"/>
          <w:b/>
          <w:color w:val="000000"/>
          <w:sz w:val="28"/>
          <w:szCs w:val="28"/>
        </w:rPr>
        <w:t>TERCERO</w:t>
      </w:r>
      <w:r w:rsidRPr="00553FE2">
        <w:rPr>
          <w:rFonts w:ascii="Palatino Linotype" w:eastAsia="MS Mincho" w:hAnsi="Palatino Linotype" w:cs="Times New Roman"/>
          <w:b/>
          <w:color w:val="000000"/>
        </w:rPr>
        <w:t>.</w:t>
      </w:r>
      <w:r w:rsidRPr="00553FE2">
        <w:rPr>
          <w:rFonts w:ascii="Palatino Linotype" w:eastAsia="MS Mincho" w:hAnsi="Palatino Linotype" w:cs="Times New Roman"/>
          <w:color w:val="000000"/>
        </w:rPr>
        <w:t xml:space="preserve"> Notifíquese al Titular de la Unidad de Transparencia del</w:t>
      </w:r>
      <w:r w:rsidRPr="00553FE2">
        <w:rPr>
          <w:rFonts w:ascii="Palatino Linotype" w:eastAsia="MS Mincho" w:hAnsi="Palatino Linotype" w:cs="Times New Roman"/>
          <w:b/>
          <w:color w:val="000000"/>
        </w:rPr>
        <w:t xml:space="preserve"> </w:t>
      </w:r>
      <w:r w:rsidR="00EF4DE0" w:rsidRPr="00553FE2">
        <w:rPr>
          <w:rFonts w:ascii="Palatino Linotype" w:eastAsia="MS Mincho" w:hAnsi="Palatino Linotype" w:cs="Times New Roman"/>
          <w:b/>
          <w:color w:val="000000"/>
        </w:rPr>
        <w:t>SUJETO OBLIGADO</w:t>
      </w:r>
      <w:r w:rsidRPr="00553FE2">
        <w:rPr>
          <w:rFonts w:ascii="Palatino Linotype" w:eastAsia="MS Mincho" w:hAnsi="Palatino Linotype" w:cs="Times New Roman"/>
          <w:color w:val="000000"/>
        </w:rPr>
        <w:t>, para que conforme a los artículos 186</w:t>
      </w:r>
      <w:r w:rsidR="00F6387F" w:rsidRPr="00553FE2">
        <w:rPr>
          <w:rFonts w:ascii="Palatino Linotype" w:eastAsia="MS Mincho" w:hAnsi="Palatino Linotype" w:cs="Times New Roman"/>
          <w:color w:val="000000"/>
        </w:rPr>
        <w:t>,</w:t>
      </w:r>
      <w:r w:rsidRPr="00553FE2">
        <w:rPr>
          <w:rFonts w:ascii="Palatino Linotype" w:eastAsia="MS Mincho" w:hAnsi="Palatino Linotype" w:cs="Times New Roman"/>
          <w:color w:val="000000"/>
        </w:rPr>
        <w:t xml:space="preserve"> último párrafo, 189</w:t>
      </w:r>
      <w:r w:rsidR="00F6387F" w:rsidRPr="00553FE2">
        <w:rPr>
          <w:rFonts w:ascii="Palatino Linotype" w:eastAsia="MS Mincho" w:hAnsi="Palatino Linotype" w:cs="Times New Roman"/>
          <w:color w:val="000000"/>
        </w:rPr>
        <w:t>,</w:t>
      </w:r>
      <w:r w:rsidRPr="00553FE2">
        <w:rPr>
          <w:rFonts w:ascii="Palatino Linotype" w:eastAsia="MS Mincho" w:hAnsi="Palatino Linotype" w:cs="Times New Roman"/>
          <w:color w:val="000000"/>
        </w:rPr>
        <w:t xml:space="preserve"> párrafo segundo</w:t>
      </w:r>
      <w:r w:rsidR="00F6387F" w:rsidRPr="00553FE2">
        <w:rPr>
          <w:rFonts w:ascii="Palatino Linotype" w:eastAsia="MS Mincho" w:hAnsi="Palatino Linotype" w:cs="Times New Roman"/>
          <w:color w:val="000000"/>
        </w:rPr>
        <w:t>,</w:t>
      </w:r>
      <w:r w:rsidRPr="00553FE2">
        <w:rPr>
          <w:rFonts w:ascii="Palatino Linotype" w:eastAsia="MS Mincho" w:hAnsi="Palatino Linotype" w:cs="Times New Roman"/>
          <w:color w:val="000000"/>
        </w:rPr>
        <w:t xml:space="preserve"> y 199 de la Ley de Transparencia y Acceso a la Información Pública del Estado de México y Municipios, dé cumplimiento a lo ordenado dentro del plazo de </w:t>
      </w:r>
      <w:r w:rsidR="00C60AF2" w:rsidRPr="00553FE2">
        <w:rPr>
          <w:rFonts w:ascii="Palatino Linotype" w:eastAsia="MS Mincho" w:hAnsi="Palatino Linotype" w:cs="Times New Roman"/>
          <w:color w:val="000000"/>
        </w:rPr>
        <w:t>diez</w:t>
      </w:r>
      <w:r w:rsidRPr="00553FE2">
        <w:rPr>
          <w:rFonts w:ascii="Palatino Linotype" w:eastAsia="MS Mincho" w:hAnsi="Palatino Linotype" w:cs="Times New Roman"/>
          <w:color w:val="000000"/>
        </w:rPr>
        <w:t xml:space="preserve"> </w:t>
      </w:r>
      <w:r w:rsidR="00880F33" w:rsidRPr="00553FE2">
        <w:rPr>
          <w:rFonts w:ascii="Palatino Linotype" w:eastAsia="MS Mincho" w:hAnsi="Palatino Linotype" w:cs="Times New Roman"/>
          <w:color w:val="000000"/>
        </w:rPr>
        <w:t xml:space="preserve">(10) </w:t>
      </w:r>
      <w:r w:rsidRPr="00553FE2">
        <w:rPr>
          <w:rFonts w:ascii="Palatino Linotype" w:eastAsia="MS Mincho" w:hAnsi="Palatino Linotype" w:cs="Times New Roman"/>
          <w:color w:val="000000"/>
        </w:rPr>
        <w:t>días hábiles, debiendo rendir a este Instituto el informe de cumplimiento de la resolución en un plazo de tres</w:t>
      </w:r>
      <w:r w:rsidR="00880F33" w:rsidRPr="00553FE2">
        <w:rPr>
          <w:rFonts w:ascii="Palatino Linotype" w:eastAsia="MS Mincho" w:hAnsi="Palatino Linotype" w:cs="Times New Roman"/>
          <w:color w:val="000000"/>
        </w:rPr>
        <w:t xml:space="preserve"> (03)</w:t>
      </w:r>
      <w:r w:rsidRPr="00553FE2">
        <w:rPr>
          <w:rFonts w:ascii="Palatino Linotype" w:eastAsia="MS Mincho" w:hAnsi="Palatino Linotype" w:cs="Times New Roman"/>
          <w:color w:val="000000"/>
        </w:rPr>
        <w:t xml:space="preserve"> días hábiles posteriores.</w:t>
      </w:r>
    </w:p>
    <w:p w14:paraId="1A751802" w14:textId="77777777" w:rsidR="00CA0640" w:rsidRPr="00553FE2" w:rsidRDefault="00CA0640" w:rsidP="00CA0640">
      <w:pPr>
        <w:spacing w:line="360" w:lineRule="auto"/>
        <w:jc w:val="both"/>
        <w:rPr>
          <w:rFonts w:ascii="Palatino Linotype" w:eastAsia="MS Mincho" w:hAnsi="Palatino Linotype" w:cs="Times New Roman"/>
          <w:color w:val="000000"/>
        </w:rPr>
      </w:pPr>
    </w:p>
    <w:p w14:paraId="20CC8AD8" w14:textId="406D7B4E" w:rsidR="00DC5817" w:rsidRPr="00553FE2" w:rsidRDefault="00DC5817" w:rsidP="00DC5817">
      <w:pPr>
        <w:spacing w:line="360" w:lineRule="auto"/>
        <w:jc w:val="both"/>
        <w:rPr>
          <w:rFonts w:ascii="Palatino Linotype" w:eastAsia="MS Mincho" w:hAnsi="Palatino Linotype" w:cs="Times New Roman"/>
          <w:color w:val="000000"/>
        </w:rPr>
      </w:pPr>
      <w:r w:rsidRPr="00553FE2">
        <w:rPr>
          <w:rFonts w:ascii="Palatino Linotype" w:eastAsia="MS Mincho" w:hAnsi="Palatino Linotype" w:cs="Times New Roman"/>
          <w:b/>
          <w:bCs/>
          <w:color w:val="000000"/>
          <w:sz w:val="28"/>
          <w:szCs w:val="28"/>
        </w:rPr>
        <w:t>CUARTO</w:t>
      </w:r>
      <w:r w:rsidRPr="00553FE2">
        <w:rPr>
          <w:rFonts w:ascii="Palatino Linotype" w:eastAsia="MS Mincho" w:hAnsi="Palatino Linotype" w:cs="Times New Roman"/>
          <w:b/>
          <w:bCs/>
          <w:color w:val="000000"/>
        </w:rPr>
        <w:t>.</w:t>
      </w:r>
      <w:r w:rsidRPr="00553FE2">
        <w:rPr>
          <w:rFonts w:ascii="Palatino Linotype" w:eastAsia="MS Mincho" w:hAnsi="Palatino Linotype" w:cs="Times New Roman"/>
          <w:color w:val="000000"/>
        </w:rPr>
        <w:t xml:space="preserve"> De </w:t>
      </w:r>
      <w:r w:rsidRPr="00553FE2">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553FE2">
        <w:rPr>
          <w:rFonts w:ascii="Palatino Linotype" w:eastAsia="MS Mincho" w:hAnsi="Palatino Linotype" w:cs="Times New Roman"/>
          <w:b/>
          <w:color w:val="000000"/>
        </w:rPr>
        <w:t>SUJETO OBLIGADO</w:t>
      </w:r>
      <w:r w:rsidRPr="00553FE2">
        <w:rPr>
          <w:rFonts w:ascii="Palatino Linotype" w:eastAsia="MS Mincho" w:hAnsi="Palatino Linotype" w:cs="Times New Roman"/>
          <w:bCs/>
          <w:color w:val="000000"/>
        </w:rPr>
        <w:t xml:space="preserve"> podrá solicitar una ampliación de plazo para el cumplimiento de la presente resolución.</w:t>
      </w:r>
    </w:p>
    <w:p w14:paraId="51C58001" w14:textId="77777777" w:rsidR="00DC5817" w:rsidRPr="00553FE2" w:rsidRDefault="00DC5817" w:rsidP="00CA0640">
      <w:pPr>
        <w:spacing w:line="360" w:lineRule="auto"/>
        <w:jc w:val="both"/>
        <w:rPr>
          <w:rFonts w:ascii="Palatino Linotype" w:eastAsia="MS Mincho" w:hAnsi="Palatino Linotype" w:cs="Times New Roman"/>
          <w:b/>
          <w:color w:val="000000"/>
          <w:sz w:val="28"/>
          <w:szCs w:val="28"/>
        </w:rPr>
      </w:pPr>
    </w:p>
    <w:p w14:paraId="667576E1" w14:textId="50AA6739" w:rsidR="00CA0640" w:rsidRPr="00553FE2" w:rsidRDefault="00DC5817" w:rsidP="00CA0640">
      <w:pPr>
        <w:spacing w:line="360" w:lineRule="auto"/>
        <w:jc w:val="both"/>
        <w:rPr>
          <w:rFonts w:ascii="Palatino Linotype" w:eastAsia="MS Mincho" w:hAnsi="Palatino Linotype" w:cs="Times New Roman"/>
          <w:color w:val="000000"/>
        </w:rPr>
      </w:pPr>
      <w:r w:rsidRPr="00553FE2">
        <w:rPr>
          <w:rFonts w:ascii="Palatino Linotype" w:eastAsia="MS Mincho" w:hAnsi="Palatino Linotype" w:cs="Times New Roman"/>
          <w:b/>
          <w:color w:val="000000"/>
          <w:sz w:val="28"/>
          <w:szCs w:val="28"/>
        </w:rPr>
        <w:t>QUINTO</w:t>
      </w:r>
      <w:r w:rsidR="00CA0640" w:rsidRPr="00553FE2">
        <w:rPr>
          <w:rFonts w:ascii="Palatino Linotype" w:eastAsia="MS Mincho" w:hAnsi="Palatino Linotype" w:cs="Times New Roman"/>
          <w:b/>
          <w:color w:val="000000"/>
        </w:rPr>
        <w:t xml:space="preserve">. </w:t>
      </w:r>
      <w:r w:rsidR="00CA0640" w:rsidRPr="00553FE2">
        <w:rPr>
          <w:rFonts w:ascii="Palatino Linotype" w:eastAsia="MS Mincho" w:hAnsi="Palatino Linotype" w:cs="Times New Roman"/>
          <w:color w:val="000000"/>
        </w:rPr>
        <w:t xml:space="preserve">Notifíquese al </w:t>
      </w:r>
      <w:r w:rsidR="00CA0640" w:rsidRPr="00553FE2">
        <w:rPr>
          <w:rFonts w:ascii="Palatino Linotype" w:eastAsia="MS Mincho" w:hAnsi="Palatino Linotype" w:cs="Times New Roman"/>
          <w:b/>
          <w:bCs/>
          <w:color w:val="000000"/>
        </w:rPr>
        <w:t>RECURRENTE</w:t>
      </w:r>
      <w:r w:rsidR="00C60AF2" w:rsidRPr="00553FE2">
        <w:rPr>
          <w:rFonts w:ascii="Palatino Linotype" w:eastAsia="MS Mincho" w:hAnsi="Palatino Linotype" w:cs="Times New Roman"/>
          <w:bCs/>
          <w:color w:val="000000"/>
        </w:rPr>
        <w:t>, vía Sistema de Acceso a la Información Mexiquense (SAIMEX),</w:t>
      </w:r>
      <w:r w:rsidR="00CA0640" w:rsidRPr="00553FE2">
        <w:rPr>
          <w:rFonts w:ascii="Palatino Linotype" w:eastAsia="MS Mincho" w:hAnsi="Palatino Linotype" w:cs="Times New Roman"/>
          <w:color w:val="000000"/>
        </w:rPr>
        <w:t xml:space="preserve"> la presente resolución.</w:t>
      </w:r>
    </w:p>
    <w:p w14:paraId="435E92A5" w14:textId="77777777" w:rsidR="00CA0640" w:rsidRPr="00553FE2" w:rsidRDefault="00CA0640" w:rsidP="00CA0640">
      <w:pPr>
        <w:spacing w:line="360" w:lineRule="auto"/>
        <w:jc w:val="both"/>
        <w:rPr>
          <w:rFonts w:ascii="Palatino Linotype" w:hAnsi="Palatino Linotype"/>
          <w:b/>
        </w:rPr>
      </w:pPr>
    </w:p>
    <w:p w14:paraId="1E2CA3C7" w14:textId="3A91BB09" w:rsidR="00CA0640" w:rsidRPr="00553FE2" w:rsidRDefault="00DC5817" w:rsidP="00CA0640">
      <w:pPr>
        <w:spacing w:line="360" w:lineRule="auto"/>
        <w:jc w:val="both"/>
        <w:rPr>
          <w:rFonts w:ascii="Palatino Linotype" w:eastAsia="MS Mincho" w:hAnsi="Palatino Linotype" w:cs="Times New Roman"/>
          <w:color w:val="000000"/>
          <w:lang w:val="es-ES"/>
        </w:rPr>
      </w:pPr>
      <w:r w:rsidRPr="00553FE2">
        <w:rPr>
          <w:rFonts w:ascii="Palatino Linotype" w:eastAsia="MS Mincho" w:hAnsi="Palatino Linotype" w:cs="Times New Roman"/>
          <w:b/>
          <w:sz w:val="28"/>
          <w:szCs w:val="28"/>
        </w:rPr>
        <w:lastRenderedPageBreak/>
        <w:t>SEXTO</w:t>
      </w:r>
      <w:r w:rsidR="00CA0640" w:rsidRPr="00553FE2">
        <w:rPr>
          <w:rFonts w:ascii="Palatino Linotype" w:eastAsia="MS Mincho" w:hAnsi="Palatino Linotype" w:cs="Times New Roman"/>
          <w:b/>
          <w:color w:val="000000"/>
        </w:rPr>
        <w:t xml:space="preserve">. </w:t>
      </w:r>
      <w:r w:rsidR="00CA0640" w:rsidRPr="00553FE2">
        <w:rPr>
          <w:rFonts w:ascii="Palatino Linotype" w:eastAsia="MS Mincho" w:hAnsi="Palatino Linotype" w:cs="Times New Roman"/>
          <w:color w:val="000000"/>
        </w:rPr>
        <w:t xml:space="preserve">Se hace del conocimiento del </w:t>
      </w:r>
      <w:r w:rsidR="00CA0640" w:rsidRPr="00553FE2">
        <w:rPr>
          <w:rFonts w:ascii="Palatino Linotype" w:eastAsia="MS Mincho" w:hAnsi="Palatino Linotype" w:cs="Times New Roman"/>
          <w:b/>
          <w:bCs/>
          <w:color w:val="000000"/>
        </w:rPr>
        <w:t>RECURRENTE</w:t>
      </w:r>
      <w:r w:rsidR="00CA0640" w:rsidRPr="00553FE2">
        <w:rPr>
          <w:rFonts w:ascii="Palatino Linotype" w:hAnsi="Palatino Linotype"/>
          <w:b/>
        </w:rPr>
        <w:t xml:space="preserve"> </w:t>
      </w:r>
      <w:r w:rsidR="00CA0640" w:rsidRPr="00553FE2">
        <w:rPr>
          <w:rFonts w:ascii="Palatino Linotype" w:eastAsia="MS Mincho" w:hAnsi="Palatino Linotype" w:cs="Times New Roman"/>
          <w:color w:val="000000"/>
        </w:rPr>
        <w:t xml:space="preserve">que, </w:t>
      </w:r>
      <w:bookmarkEnd w:id="53"/>
      <w:r w:rsidR="00CA0640" w:rsidRPr="00553FE2">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CA0640" w:rsidRPr="00553FE2">
        <w:rPr>
          <w:rFonts w:ascii="Palatino Linotype" w:eastAsia="MS Mincho" w:hAnsi="Palatino Linotype" w:cs="Times New Roman"/>
          <w:bCs/>
          <w:color w:val="000000"/>
          <w:lang w:val="es-ES"/>
        </w:rPr>
        <w:t xml:space="preserve">juicio de amparo </w:t>
      </w:r>
      <w:r w:rsidR="00CA0640" w:rsidRPr="00553FE2">
        <w:rPr>
          <w:rFonts w:ascii="Palatino Linotype" w:eastAsia="MS Mincho" w:hAnsi="Palatino Linotype" w:cs="Times New Roman"/>
          <w:color w:val="000000"/>
          <w:lang w:val="es-ES"/>
        </w:rPr>
        <w:t>en los términos de las Leyes aplicables.</w:t>
      </w:r>
    </w:p>
    <w:p w14:paraId="21C31CA2" w14:textId="77777777" w:rsidR="00613C31" w:rsidRPr="00553FE2" w:rsidRDefault="00613C31" w:rsidP="00CA0640">
      <w:pPr>
        <w:spacing w:line="360" w:lineRule="auto"/>
        <w:jc w:val="both"/>
        <w:rPr>
          <w:rFonts w:ascii="Palatino Linotype" w:eastAsia="MS Mincho" w:hAnsi="Palatino Linotype" w:cs="Times New Roman"/>
          <w:color w:val="000000"/>
          <w:lang w:val="es-ES"/>
        </w:rPr>
      </w:pPr>
    </w:p>
    <w:bookmarkStart w:id="54" w:name="_Hlk99014733"/>
    <w:p w14:paraId="49640177" w14:textId="57F8293E" w:rsidR="00553FE2" w:rsidRPr="00624AAD" w:rsidRDefault="003E44F6" w:rsidP="00553FE2">
      <w:pPr>
        <w:spacing w:before="240" w:after="240" w:line="360" w:lineRule="auto"/>
        <w:ind w:firstLine="1"/>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61312" behindDoc="0" locked="0" layoutInCell="1" allowOverlap="1" wp14:anchorId="6653168C" wp14:editId="0CEA8781">
                <wp:simplePos x="0" y="0"/>
                <wp:positionH relativeFrom="column">
                  <wp:posOffset>53340</wp:posOffset>
                </wp:positionH>
                <wp:positionV relativeFrom="paragraph">
                  <wp:posOffset>3168649</wp:posOffset>
                </wp:positionV>
                <wp:extent cx="5486400" cy="26955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486400" cy="269557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CC890"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49.5pt" to="436.2pt,4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" strokecolor="#b8cce4 [1300]"/>
            </w:pict>
          </mc:Fallback>
        </mc:AlternateContent>
      </w:r>
      <w:r w:rsidR="00553FE2" w:rsidRPr="00553FE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27F8">
        <w:rPr>
          <w:rFonts w:ascii="Palatino Linotype" w:hAnsi="Palatino Linotype"/>
        </w:rPr>
        <w:t xml:space="preserve"> (AUSENCIA JUSTIFICADA)</w:t>
      </w:r>
      <w:r w:rsidR="00553FE2" w:rsidRPr="00553FE2">
        <w:rPr>
          <w:rFonts w:ascii="Palatino Linotype" w:hAnsi="Palatino Linotype"/>
        </w:rPr>
        <w:t xml:space="preserve">; Y GUADALUPE RAMÍREZ PEÑA EN LA DÉCIMA PRIMERA SESIÓN ORDINARIA CELEBRADA EL VEINTICUATRO </w:t>
      </w:r>
      <w:r w:rsidR="009E27F8">
        <w:rPr>
          <w:rFonts w:ascii="Palatino Linotype" w:hAnsi="Palatino Linotype"/>
        </w:rPr>
        <w:t xml:space="preserve">(24) </w:t>
      </w:r>
      <w:r w:rsidR="00553FE2" w:rsidRPr="00553FE2">
        <w:rPr>
          <w:rFonts w:ascii="Palatino Linotype" w:hAnsi="Palatino Linotype"/>
        </w:rPr>
        <w:t>DE MARZO DE DOS MIL VEINTIDÓS, ANTE EL SECRETARIO TÉCNICO DEL PLENO ALEXIS TAPIA RAMÍREZ.</w:t>
      </w:r>
      <w:r w:rsidR="00553FE2" w:rsidRPr="00624AAD">
        <w:rPr>
          <w:rFonts w:ascii="Palatino Linotype" w:hAnsi="Palatino Linotype"/>
        </w:rPr>
        <w:t xml:space="preserve"> </w:t>
      </w:r>
    </w:p>
    <w:bookmarkEnd w:id="54"/>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824E" w14:textId="77777777" w:rsidR="00E53038" w:rsidRDefault="00E53038" w:rsidP="00587366">
      <w:r>
        <w:separator/>
      </w:r>
    </w:p>
  </w:endnote>
  <w:endnote w:type="continuationSeparator" w:id="0">
    <w:p w14:paraId="419BD79F" w14:textId="77777777" w:rsidR="00E53038" w:rsidRDefault="00E5303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44406" w:rsidRPr="00883450" w:rsidRDefault="00F4440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75C8C">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75C8C">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47B193F0" w:rsidR="00F44406" w:rsidRDefault="00F444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F44406" w:rsidRPr="00883450" w:rsidRDefault="00F4440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75C8C" w:rsidRPr="00675C8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75C8C" w:rsidRPr="00675C8C">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0A9A2B26" w:rsidR="00F44406" w:rsidRPr="00883450" w:rsidRDefault="00F44406">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388BC" w14:textId="77777777" w:rsidR="00E53038" w:rsidRDefault="00E53038" w:rsidP="00587366">
      <w:r>
        <w:separator/>
      </w:r>
    </w:p>
  </w:footnote>
  <w:footnote w:type="continuationSeparator" w:id="0">
    <w:p w14:paraId="4DFE944C" w14:textId="77777777" w:rsidR="00E53038" w:rsidRDefault="00E53038" w:rsidP="00587366">
      <w:r>
        <w:continuationSeparator/>
      </w:r>
    </w:p>
  </w:footnote>
  <w:footnote w:id="1">
    <w:p w14:paraId="2B491C57" w14:textId="77777777" w:rsidR="00850E65" w:rsidRDefault="00850E65" w:rsidP="00850E65">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D10209" w14:textId="77777777" w:rsidR="00850E65" w:rsidRDefault="00850E65" w:rsidP="00850E65">
      <w:pPr>
        <w:pStyle w:val="Textonotapie"/>
        <w:jc w:val="both"/>
      </w:pPr>
      <w:r>
        <w:rPr>
          <w:lang w:val="es-ES_tradnl"/>
        </w:rPr>
        <w:t>(…)”</w:t>
      </w:r>
    </w:p>
  </w:footnote>
  <w:footnote w:id="2">
    <w:p w14:paraId="31C71B15" w14:textId="77777777" w:rsidR="00F44406" w:rsidRPr="009C43C2" w:rsidRDefault="00F44406"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E66C088" w14:textId="77777777" w:rsidR="00F44406" w:rsidRPr="009C43C2" w:rsidRDefault="00F44406"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6F4FB53" w14:textId="77777777" w:rsidR="00F44406" w:rsidRPr="009C43C2" w:rsidRDefault="00F44406"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F5A516D" w14:textId="77777777" w:rsidR="00F44406" w:rsidRDefault="00F44406"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68688627" w14:textId="77777777" w:rsidR="00F44406" w:rsidRDefault="00F44406" w:rsidP="002226FB">
      <w:pPr>
        <w:pStyle w:val="Textonotapie"/>
      </w:pPr>
      <w:r>
        <w:rPr>
          <w:rStyle w:val="Refdenotaalpie"/>
        </w:rPr>
        <w:footnoteRef/>
      </w:r>
      <w:r>
        <w:t xml:space="preserve"> Artículo 50, Ley de Transparencia y Acceso a la Información Pública del Estado de México y Municipios.</w:t>
      </w:r>
    </w:p>
  </w:footnote>
  <w:footnote w:id="7">
    <w:p w14:paraId="0CEF7597" w14:textId="77777777" w:rsidR="00F44406" w:rsidRDefault="00F44406" w:rsidP="002226FB">
      <w:pPr>
        <w:pStyle w:val="Textonotapie"/>
      </w:pPr>
      <w:r>
        <w:rPr>
          <w:rStyle w:val="Refdenotaalpie"/>
        </w:rPr>
        <w:footnoteRef/>
      </w:r>
      <w:r>
        <w:t xml:space="preserve"> Artículo 51, Ídem.</w:t>
      </w:r>
    </w:p>
  </w:footnote>
  <w:footnote w:id="8">
    <w:p w14:paraId="7F91FF25" w14:textId="77777777" w:rsidR="00F44406" w:rsidRDefault="00F44406" w:rsidP="002226FB">
      <w:pPr>
        <w:pStyle w:val="Textonotapie"/>
      </w:pPr>
      <w:r>
        <w:rPr>
          <w:rStyle w:val="Refdenotaalpie"/>
        </w:rPr>
        <w:footnoteRef/>
      </w:r>
      <w:r>
        <w:t xml:space="preserve"> Artículo 58, Ley de Transparencia y Acceso a la Información Pública del Estado de México y Municipios.</w:t>
      </w:r>
    </w:p>
  </w:footnote>
  <w:footnote w:id="9">
    <w:p w14:paraId="1EF632EB" w14:textId="77777777" w:rsidR="00F44406" w:rsidRDefault="00F44406" w:rsidP="002226FB">
      <w:pPr>
        <w:pStyle w:val="Textonotapie"/>
      </w:pPr>
      <w:r>
        <w:rPr>
          <w:rStyle w:val="Refdenotaalpie"/>
        </w:rPr>
        <w:footnoteRef/>
      </w:r>
      <w:r>
        <w:t xml:space="preserve"> Artículo 59, Ídem.</w:t>
      </w:r>
    </w:p>
  </w:footnote>
  <w:footnote w:id="10">
    <w:p w14:paraId="6902996A" w14:textId="23FD27DC" w:rsidR="00F44406" w:rsidRDefault="00F44406">
      <w:pPr>
        <w:pStyle w:val="Textonotapie"/>
      </w:pPr>
      <w:r>
        <w:rPr>
          <w:rStyle w:val="Refdenotaalpie"/>
        </w:rPr>
        <w:footnoteRef/>
      </w:r>
      <w:r>
        <w:t xml:space="preserve"> Artículo 1, Estatutos Generales del Partido Acción Nacional.</w:t>
      </w:r>
    </w:p>
  </w:footnote>
  <w:footnote w:id="11">
    <w:p w14:paraId="693D920C" w14:textId="7CA0E669" w:rsidR="00F44406" w:rsidRDefault="00F44406">
      <w:pPr>
        <w:pStyle w:val="Textonotapie"/>
      </w:pPr>
      <w:r>
        <w:rPr>
          <w:rStyle w:val="Refdenotaalpie"/>
        </w:rPr>
        <w:footnoteRef/>
      </w:r>
      <w:r>
        <w:t xml:space="preserve"> Artículo 72, </w:t>
      </w:r>
      <w:r w:rsidR="00EA6D57">
        <w:t>Estatutos Generales del Partido Acción Nacional</w:t>
      </w:r>
      <w:r>
        <w:t>.</w:t>
      </w:r>
    </w:p>
  </w:footnote>
  <w:footnote w:id="12">
    <w:p w14:paraId="12DEDB44" w14:textId="6BD5FBF8" w:rsidR="00F44406" w:rsidRDefault="00F44406">
      <w:pPr>
        <w:pStyle w:val="Textonotapie"/>
      </w:pPr>
      <w:r>
        <w:rPr>
          <w:rStyle w:val="Refdenotaalpie"/>
        </w:rPr>
        <w:footnoteRef/>
      </w:r>
      <w:r>
        <w:t xml:space="preserve"> Artículo 74, Ídem.</w:t>
      </w:r>
    </w:p>
  </w:footnote>
  <w:footnote w:id="13">
    <w:p w14:paraId="37AB242D" w14:textId="43FF008E" w:rsidR="00060CC9" w:rsidRDefault="00060CC9">
      <w:pPr>
        <w:pStyle w:val="Textonotapie"/>
      </w:pPr>
      <w:r>
        <w:rPr>
          <w:rStyle w:val="Refdenotaalpie"/>
        </w:rPr>
        <w:footnoteRef/>
      </w:r>
      <w:r>
        <w:t xml:space="preserve"> Artículo 61, Ley General de Partidos Políticos.</w:t>
      </w:r>
    </w:p>
  </w:footnote>
  <w:footnote w:id="14">
    <w:p w14:paraId="254028AB" w14:textId="4D8087F1" w:rsidR="003741C5" w:rsidRDefault="003741C5">
      <w:pPr>
        <w:pStyle w:val="Textonotapie"/>
      </w:pPr>
      <w:r>
        <w:rPr>
          <w:rStyle w:val="Refdenotaalpie"/>
        </w:rPr>
        <w:footnoteRef/>
      </w:r>
      <w:r>
        <w:t xml:space="preserve"> Consultable en </w:t>
      </w:r>
      <w:r w:rsidRPr="003741C5">
        <w:t>https://portalanterior.ine.mx/archivos2/portal/UTF/rnp/Docs/Indicaciones_facturas.pdf</w:t>
      </w:r>
    </w:p>
  </w:footnote>
  <w:footnote w:id="15">
    <w:p w14:paraId="347333C8" w14:textId="4CF4D43B" w:rsidR="002D1E27" w:rsidRPr="002D1E27" w:rsidRDefault="002D1E27">
      <w:pPr>
        <w:pStyle w:val="Textonotapie"/>
      </w:pPr>
      <w:r>
        <w:rPr>
          <w:rStyle w:val="Refdenotaalpie"/>
        </w:rPr>
        <w:footnoteRef/>
      </w:r>
      <w:r>
        <w:t xml:space="preserve"> Infografía </w:t>
      </w:r>
      <w:r>
        <w:rPr>
          <w:i/>
          <w:iCs/>
        </w:rPr>
        <w:t>Indicaciones para la emisión de facturas electrónicas</w:t>
      </w:r>
      <w:r>
        <w:t>, Sistema Integral de Fiscalización del Instituto Nacional Electoral.</w:t>
      </w:r>
    </w:p>
  </w:footnote>
  <w:footnote w:id="16">
    <w:p w14:paraId="563F1AC1" w14:textId="77777777" w:rsidR="000B0C04" w:rsidRDefault="000B0C04" w:rsidP="000B0C04">
      <w:pPr>
        <w:pStyle w:val="Textonotapie"/>
      </w:pPr>
      <w:r>
        <w:rPr>
          <w:rStyle w:val="Refdenotaalpie"/>
        </w:rPr>
        <w:footnoteRef/>
      </w:r>
      <w:r>
        <w:t xml:space="preserve"> Artículo 176, Ley de Transparencia y Acceso a la Información Pública del Estado de México y Municipios.</w:t>
      </w:r>
    </w:p>
  </w:footnote>
  <w:footnote w:id="17">
    <w:p w14:paraId="4DF253AD" w14:textId="77777777" w:rsidR="000B0C04" w:rsidRDefault="000B0C04" w:rsidP="000B0C04">
      <w:pPr>
        <w:pStyle w:val="Textonotapie"/>
      </w:pPr>
      <w:r>
        <w:rPr>
          <w:rStyle w:val="Refdenotaalpie"/>
        </w:rPr>
        <w:footnoteRef/>
      </w:r>
      <w:r>
        <w:t xml:space="preserve"> Artículo 179, fracción VIII, Ídem.</w:t>
      </w:r>
    </w:p>
  </w:footnote>
  <w:footnote w:id="18">
    <w:p w14:paraId="5D73BC2E" w14:textId="77777777" w:rsidR="000B0C04" w:rsidRDefault="000B0C04" w:rsidP="000B0C04">
      <w:pPr>
        <w:pStyle w:val="Textonotapie"/>
      </w:pPr>
      <w:r>
        <w:rPr>
          <w:rStyle w:val="Refdenotaalpie"/>
        </w:rPr>
        <w:footnoteRef/>
      </w:r>
      <w:r>
        <w:t xml:space="preserve"> RIA 155/20 y RIA 167/20</w:t>
      </w:r>
    </w:p>
  </w:footnote>
  <w:footnote w:id="19">
    <w:p w14:paraId="0CB7AC84" w14:textId="77777777" w:rsidR="00102AFD" w:rsidRDefault="00102AFD" w:rsidP="00102AFD">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1949A759" w:rsidR="00F44406" w:rsidRDefault="00F44406" w:rsidP="000A675D">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F44406" w:rsidRPr="00025127" w14:paraId="07F2896E" w14:textId="77777777" w:rsidTr="000A675D">
      <w:trPr>
        <w:trHeight w:val="138"/>
        <w:jc w:val="right"/>
      </w:trPr>
      <w:tc>
        <w:tcPr>
          <w:tcW w:w="3544" w:type="dxa"/>
          <w:vAlign w:val="center"/>
        </w:tcPr>
        <w:p w14:paraId="4A5B1974" w14:textId="3B2AB4E0" w:rsidR="00F44406" w:rsidRPr="00025127" w:rsidRDefault="00F4440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6" w:type="dxa"/>
          <w:vAlign w:val="center"/>
        </w:tcPr>
        <w:p w14:paraId="3A05B4B6" w14:textId="73412A13" w:rsidR="00F44406" w:rsidRPr="00025127" w:rsidRDefault="00CC280B" w:rsidP="005F1362">
          <w:pPr>
            <w:pStyle w:val="Encabezado"/>
            <w:jc w:val="both"/>
            <w:rPr>
              <w:rFonts w:ascii="Palatino Linotype" w:hAnsi="Palatino Linotype"/>
              <w:b/>
              <w:sz w:val="22"/>
              <w:szCs w:val="22"/>
            </w:rPr>
          </w:pPr>
          <w:r>
            <w:rPr>
              <w:rFonts w:ascii="Palatino Linotype" w:hAnsi="Palatino Linotype"/>
              <w:b/>
              <w:sz w:val="22"/>
              <w:szCs w:val="22"/>
            </w:rPr>
            <w:t>00323</w:t>
          </w:r>
          <w:r w:rsidR="00F44406" w:rsidRPr="00025127">
            <w:rPr>
              <w:rFonts w:ascii="Palatino Linotype" w:hAnsi="Palatino Linotype"/>
              <w:b/>
              <w:sz w:val="22"/>
              <w:szCs w:val="22"/>
            </w:rPr>
            <w:t>/INFOEM/IP/RR/</w:t>
          </w:r>
          <w:r w:rsidR="00F44406">
            <w:rPr>
              <w:rFonts w:ascii="Palatino Linotype" w:hAnsi="Palatino Linotype"/>
              <w:b/>
              <w:sz w:val="22"/>
              <w:szCs w:val="22"/>
            </w:rPr>
            <w:t>202</w:t>
          </w:r>
          <w:r>
            <w:rPr>
              <w:rFonts w:ascii="Palatino Linotype" w:hAnsi="Palatino Linotype"/>
              <w:b/>
              <w:sz w:val="22"/>
              <w:szCs w:val="22"/>
            </w:rPr>
            <w:t>2</w:t>
          </w:r>
        </w:p>
      </w:tc>
    </w:tr>
    <w:tr w:rsidR="00F44406" w:rsidRPr="00025127" w14:paraId="1B5D8690" w14:textId="77777777" w:rsidTr="000A675D">
      <w:trPr>
        <w:trHeight w:val="233"/>
        <w:jc w:val="right"/>
      </w:trPr>
      <w:tc>
        <w:tcPr>
          <w:tcW w:w="3544" w:type="dxa"/>
          <w:vAlign w:val="center"/>
        </w:tcPr>
        <w:p w14:paraId="3903F2C6" w14:textId="22D569F8" w:rsidR="00F44406" w:rsidRPr="00025127" w:rsidRDefault="00F44406" w:rsidP="00F964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6" w:type="dxa"/>
          <w:vAlign w:val="center"/>
        </w:tcPr>
        <w:p w14:paraId="03C799A2" w14:textId="4A8487F5" w:rsidR="00F44406" w:rsidRPr="00025127" w:rsidRDefault="00F44406" w:rsidP="000A675D">
          <w:pPr>
            <w:pStyle w:val="Encabezado"/>
            <w:rPr>
              <w:rFonts w:ascii="Palatino Linotype" w:hAnsi="Palatino Linotype"/>
              <w:b/>
              <w:sz w:val="22"/>
              <w:szCs w:val="22"/>
            </w:rPr>
          </w:pPr>
          <w:r>
            <w:rPr>
              <w:rFonts w:ascii="Palatino Linotype" w:hAnsi="Palatino Linotype"/>
              <w:b/>
              <w:bCs/>
              <w:color w:val="000000"/>
              <w:sz w:val="22"/>
              <w:szCs w:val="22"/>
            </w:rPr>
            <w:t>Partido Acción Nacional</w:t>
          </w:r>
        </w:p>
      </w:tc>
    </w:tr>
    <w:tr w:rsidR="00F44406" w:rsidRPr="00025127" w14:paraId="095EB01B" w14:textId="77777777" w:rsidTr="000A675D">
      <w:trPr>
        <w:trHeight w:val="321"/>
        <w:jc w:val="right"/>
      </w:trPr>
      <w:tc>
        <w:tcPr>
          <w:tcW w:w="3544" w:type="dxa"/>
          <w:vAlign w:val="center"/>
        </w:tcPr>
        <w:p w14:paraId="6E000A51" w14:textId="05E1861A" w:rsidR="00F44406" w:rsidRPr="00025127" w:rsidRDefault="00F4440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6" w:type="dxa"/>
          <w:vAlign w:val="center"/>
        </w:tcPr>
        <w:p w14:paraId="07560085" w14:textId="64DC8836" w:rsidR="00F44406" w:rsidRPr="00025127" w:rsidRDefault="00F4440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F44406" w:rsidRDefault="00F44406"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F44406" w:rsidRDefault="007E78E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F44406">
      <w:tab/>
    </w:r>
  </w:p>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408"/>
    </w:tblGrid>
    <w:tr w:rsidR="00F44406" w:rsidRPr="00025127" w14:paraId="0A3256F2" w14:textId="77777777" w:rsidTr="000A675D">
      <w:trPr>
        <w:trHeight w:val="138"/>
        <w:jc w:val="right"/>
      </w:trPr>
      <w:tc>
        <w:tcPr>
          <w:tcW w:w="3685" w:type="dxa"/>
          <w:vAlign w:val="center"/>
        </w:tcPr>
        <w:p w14:paraId="3D80769D" w14:textId="316F11F8" w:rsidR="00F44406" w:rsidRPr="00025127" w:rsidRDefault="00F44406"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8" w:type="dxa"/>
          <w:vAlign w:val="center"/>
        </w:tcPr>
        <w:p w14:paraId="0453495E" w14:textId="7E3D91D2" w:rsidR="00F44406" w:rsidRPr="00025127" w:rsidRDefault="00CC280B" w:rsidP="005F1362">
          <w:pPr>
            <w:pStyle w:val="Encabezado"/>
            <w:rPr>
              <w:rFonts w:ascii="Palatino Linotype" w:hAnsi="Palatino Linotype"/>
              <w:b/>
              <w:sz w:val="22"/>
              <w:szCs w:val="22"/>
            </w:rPr>
          </w:pPr>
          <w:r>
            <w:rPr>
              <w:rFonts w:ascii="Palatino Linotype" w:hAnsi="Palatino Linotype"/>
              <w:b/>
              <w:sz w:val="22"/>
              <w:szCs w:val="22"/>
            </w:rPr>
            <w:t>00323</w:t>
          </w:r>
          <w:r w:rsidR="00F44406" w:rsidRPr="00025127">
            <w:rPr>
              <w:rFonts w:ascii="Palatino Linotype" w:hAnsi="Palatino Linotype"/>
              <w:b/>
              <w:sz w:val="22"/>
              <w:szCs w:val="22"/>
            </w:rPr>
            <w:t>/INFOEM/IP/RR/</w:t>
          </w:r>
          <w:r w:rsidR="00F44406">
            <w:rPr>
              <w:rFonts w:ascii="Palatino Linotype" w:hAnsi="Palatino Linotype"/>
              <w:b/>
              <w:sz w:val="22"/>
              <w:szCs w:val="22"/>
            </w:rPr>
            <w:t>202</w:t>
          </w:r>
          <w:r>
            <w:rPr>
              <w:rFonts w:ascii="Palatino Linotype" w:hAnsi="Palatino Linotype"/>
              <w:b/>
              <w:sz w:val="22"/>
              <w:szCs w:val="22"/>
            </w:rPr>
            <w:t>2</w:t>
          </w:r>
        </w:p>
      </w:tc>
    </w:tr>
    <w:tr w:rsidR="00F44406" w:rsidRPr="00025127" w14:paraId="128C8B3C" w14:textId="77777777" w:rsidTr="000A675D">
      <w:trPr>
        <w:trHeight w:val="233"/>
        <w:jc w:val="right"/>
      </w:trPr>
      <w:tc>
        <w:tcPr>
          <w:tcW w:w="3685" w:type="dxa"/>
          <w:vAlign w:val="center"/>
        </w:tcPr>
        <w:p w14:paraId="483E3371" w14:textId="66B1BC74" w:rsidR="00F44406" w:rsidRPr="00025127" w:rsidRDefault="00F44406"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8" w:type="dxa"/>
        </w:tcPr>
        <w:p w14:paraId="1548525E" w14:textId="79EA5BDC" w:rsidR="00F44406" w:rsidRPr="00025127" w:rsidRDefault="00CC280B" w:rsidP="0058757A">
          <w:pPr>
            <w:pStyle w:val="Encabezado"/>
            <w:rPr>
              <w:rFonts w:ascii="Palatino Linotype" w:hAnsi="Palatino Linotype"/>
              <w:b/>
              <w:sz w:val="22"/>
              <w:szCs w:val="22"/>
            </w:rPr>
          </w:pPr>
          <w:r>
            <w:rPr>
              <w:rFonts w:ascii="Palatino Linotype" w:hAnsi="Palatino Linotype"/>
              <w:b/>
              <w:sz w:val="22"/>
              <w:szCs w:val="22"/>
            </w:rPr>
            <w:t>RECURRENTE</w:t>
          </w:r>
        </w:p>
      </w:tc>
    </w:tr>
    <w:tr w:rsidR="00F44406" w:rsidRPr="00025127" w14:paraId="41BE0704" w14:textId="77777777" w:rsidTr="000A675D">
      <w:trPr>
        <w:trHeight w:val="321"/>
        <w:jc w:val="right"/>
      </w:trPr>
      <w:tc>
        <w:tcPr>
          <w:tcW w:w="3685" w:type="dxa"/>
          <w:vAlign w:val="center"/>
        </w:tcPr>
        <w:p w14:paraId="34C64148" w14:textId="10C6C8A9" w:rsidR="00F44406" w:rsidRPr="00025127" w:rsidRDefault="00F44406"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8" w:type="dxa"/>
          <w:vAlign w:val="center"/>
        </w:tcPr>
        <w:p w14:paraId="34C341BF" w14:textId="6FEB3A5C" w:rsidR="00F44406" w:rsidRPr="00025127" w:rsidRDefault="00F44406" w:rsidP="000A675D">
          <w:pPr>
            <w:pStyle w:val="Encabezado"/>
            <w:rPr>
              <w:rFonts w:ascii="Palatino Linotype" w:hAnsi="Palatino Linotype"/>
              <w:b/>
              <w:sz w:val="22"/>
              <w:szCs w:val="22"/>
            </w:rPr>
          </w:pPr>
          <w:r>
            <w:rPr>
              <w:rFonts w:ascii="Palatino Linotype" w:hAnsi="Palatino Linotype"/>
              <w:b/>
              <w:bCs/>
              <w:color w:val="000000"/>
              <w:sz w:val="22"/>
              <w:szCs w:val="22"/>
            </w:rPr>
            <w:t>Partido Acción Nacional</w:t>
          </w:r>
        </w:p>
      </w:tc>
    </w:tr>
    <w:tr w:rsidR="00F44406" w:rsidRPr="00025127" w14:paraId="0C8B6193" w14:textId="77777777" w:rsidTr="000A675D">
      <w:trPr>
        <w:trHeight w:val="321"/>
        <w:jc w:val="right"/>
      </w:trPr>
      <w:tc>
        <w:tcPr>
          <w:tcW w:w="3685" w:type="dxa"/>
          <w:vAlign w:val="center"/>
        </w:tcPr>
        <w:p w14:paraId="321FFAFF" w14:textId="0E8C2CE7" w:rsidR="00F44406" w:rsidRPr="00025127" w:rsidRDefault="00F44406"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8" w:type="dxa"/>
          <w:vAlign w:val="center"/>
        </w:tcPr>
        <w:p w14:paraId="0FECDA9D" w14:textId="6D336FD0" w:rsidR="00F44406" w:rsidRPr="00025127" w:rsidRDefault="00F44406"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F44406" w:rsidRDefault="00F4440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2D5A60"/>
    <w:multiLevelType w:val="hybridMultilevel"/>
    <w:tmpl w:val="0A0489BE"/>
    <w:lvl w:ilvl="0" w:tplc="FFFFFFFF">
      <w:start w:val="1"/>
      <w:numFmt w:val="decimal"/>
      <w:lvlText w:val="%1."/>
      <w:lvlJc w:val="left"/>
      <w:pPr>
        <w:ind w:left="0" w:firstLine="0"/>
      </w:pPr>
      <w:rPr>
        <w:rFonts w:ascii="Palatino Linotype" w:hAnsi="Palatino Linotype" w:hint="default"/>
        <w:b/>
        <w:i w:val="0"/>
        <w:sz w:val="24"/>
      </w:rPr>
    </w:lvl>
    <w:lvl w:ilvl="1" w:tplc="A860E48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353660"/>
    <w:multiLevelType w:val="hybridMultilevel"/>
    <w:tmpl w:val="5BE618AE"/>
    <w:lvl w:ilvl="0" w:tplc="FFFFFFFF">
      <w:start w:val="1"/>
      <w:numFmt w:val="decimal"/>
      <w:lvlText w:val="%1."/>
      <w:lvlJc w:val="left"/>
      <w:pPr>
        <w:ind w:left="0" w:firstLine="0"/>
      </w:pPr>
      <w:rPr>
        <w:rFonts w:ascii="Palatino Linotype" w:hAnsi="Palatino Linotype" w:hint="default"/>
        <w:b/>
        <w:i w:val="0"/>
        <w:sz w:val="24"/>
      </w:rPr>
    </w:lvl>
    <w:lvl w:ilvl="1" w:tplc="1130CE9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45DBF"/>
    <w:multiLevelType w:val="hybridMultilevel"/>
    <w:tmpl w:val="57D044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5B49AC"/>
    <w:multiLevelType w:val="hybridMultilevel"/>
    <w:tmpl w:val="2C6A56F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F61F5E"/>
    <w:multiLevelType w:val="hybridMultilevel"/>
    <w:tmpl w:val="5C6AE0C4"/>
    <w:lvl w:ilvl="0" w:tplc="FFFFFFFF">
      <w:start w:val="1"/>
      <w:numFmt w:val="decimal"/>
      <w:lvlText w:val="%1."/>
      <w:lvlJc w:val="left"/>
      <w:pPr>
        <w:ind w:left="0" w:firstLine="0"/>
      </w:pPr>
      <w:rPr>
        <w:rFonts w:ascii="Palatino Linotype" w:hAnsi="Palatino Linotype" w:hint="default"/>
        <w:b/>
        <w:i w:val="0"/>
        <w:sz w:val="24"/>
      </w:rPr>
    </w:lvl>
    <w:lvl w:ilvl="1" w:tplc="53EE55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7FC3342"/>
    <w:multiLevelType w:val="hybridMultilevel"/>
    <w:tmpl w:val="6F323E2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4E72A0"/>
    <w:multiLevelType w:val="hybridMultilevel"/>
    <w:tmpl w:val="F28EEB84"/>
    <w:lvl w:ilvl="0" w:tplc="FFFFFFFF">
      <w:start w:val="1"/>
      <w:numFmt w:val="decimal"/>
      <w:lvlText w:val="%1."/>
      <w:lvlJc w:val="left"/>
      <w:pPr>
        <w:ind w:left="0" w:firstLine="0"/>
      </w:pPr>
      <w:rPr>
        <w:rFonts w:ascii="Palatino Linotype" w:hAnsi="Palatino Linotype" w:hint="default"/>
        <w:b/>
        <w:i w:val="0"/>
        <w:sz w:val="24"/>
      </w:rPr>
    </w:lvl>
    <w:lvl w:ilvl="1" w:tplc="A5423E6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C66315"/>
    <w:multiLevelType w:val="hybridMultilevel"/>
    <w:tmpl w:val="D188EDD8"/>
    <w:lvl w:ilvl="0" w:tplc="FFFFFFFF">
      <w:start w:val="1"/>
      <w:numFmt w:val="decimal"/>
      <w:lvlText w:val="%1."/>
      <w:lvlJc w:val="left"/>
      <w:pPr>
        <w:ind w:left="0" w:firstLine="0"/>
      </w:pPr>
      <w:rPr>
        <w:rFonts w:ascii="Palatino Linotype" w:hAnsi="Palatino Linotype" w:hint="default"/>
        <w:b/>
        <w:i w:val="0"/>
        <w:sz w:val="24"/>
      </w:rPr>
    </w:lvl>
    <w:lvl w:ilvl="1" w:tplc="1BA8488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5"/>
  </w:num>
  <w:num w:numId="3">
    <w:abstractNumId w:val="0"/>
  </w:num>
  <w:num w:numId="4">
    <w:abstractNumId w:val="4"/>
  </w:num>
  <w:num w:numId="5">
    <w:abstractNumId w:val="11"/>
  </w:num>
  <w:num w:numId="6">
    <w:abstractNumId w:val="22"/>
  </w:num>
  <w:num w:numId="7">
    <w:abstractNumId w:val="20"/>
  </w:num>
  <w:num w:numId="8">
    <w:abstractNumId w:val="8"/>
  </w:num>
  <w:num w:numId="9">
    <w:abstractNumId w:val="17"/>
  </w:num>
  <w:num w:numId="10">
    <w:abstractNumId w:val="24"/>
  </w:num>
  <w:num w:numId="11">
    <w:abstractNumId w:val="13"/>
  </w:num>
  <w:num w:numId="12">
    <w:abstractNumId w:val="25"/>
  </w:num>
  <w:num w:numId="13">
    <w:abstractNumId w:val="16"/>
  </w:num>
  <w:num w:numId="14">
    <w:abstractNumId w:val="26"/>
  </w:num>
  <w:num w:numId="15">
    <w:abstractNumId w:val="5"/>
  </w:num>
  <w:num w:numId="16">
    <w:abstractNumId w:val="14"/>
  </w:num>
  <w:num w:numId="17">
    <w:abstractNumId w:val="1"/>
  </w:num>
  <w:num w:numId="18">
    <w:abstractNumId w:val="6"/>
  </w:num>
  <w:num w:numId="19">
    <w:abstractNumId w:val="23"/>
  </w:num>
  <w:num w:numId="20">
    <w:abstractNumId w:val="18"/>
  </w:num>
  <w:num w:numId="21">
    <w:abstractNumId w:val="7"/>
  </w:num>
  <w:num w:numId="22">
    <w:abstractNumId w:val="10"/>
  </w:num>
  <w:num w:numId="23">
    <w:abstractNumId w:val="12"/>
  </w:num>
  <w:num w:numId="24">
    <w:abstractNumId w:val="19"/>
  </w:num>
  <w:num w:numId="25">
    <w:abstractNumId w:val="2"/>
  </w:num>
  <w:num w:numId="26">
    <w:abstractNumId w:val="21"/>
  </w:num>
  <w:num w:numId="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86A"/>
    <w:rsid w:val="000468E2"/>
    <w:rsid w:val="00046CEE"/>
    <w:rsid w:val="000478BA"/>
    <w:rsid w:val="0005237C"/>
    <w:rsid w:val="00052A3C"/>
    <w:rsid w:val="00054A03"/>
    <w:rsid w:val="00056A79"/>
    <w:rsid w:val="0005777B"/>
    <w:rsid w:val="00060CC9"/>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34FE"/>
    <w:rsid w:val="0008465D"/>
    <w:rsid w:val="00084951"/>
    <w:rsid w:val="00084E31"/>
    <w:rsid w:val="0008542A"/>
    <w:rsid w:val="00085E22"/>
    <w:rsid w:val="00090D6F"/>
    <w:rsid w:val="00091C2C"/>
    <w:rsid w:val="00093FC7"/>
    <w:rsid w:val="000953E2"/>
    <w:rsid w:val="00095BB9"/>
    <w:rsid w:val="00097504"/>
    <w:rsid w:val="000A26B8"/>
    <w:rsid w:val="000A3F90"/>
    <w:rsid w:val="000A4554"/>
    <w:rsid w:val="000A45FD"/>
    <w:rsid w:val="000A4E44"/>
    <w:rsid w:val="000A556A"/>
    <w:rsid w:val="000A675D"/>
    <w:rsid w:val="000A77ED"/>
    <w:rsid w:val="000B0370"/>
    <w:rsid w:val="000B0C04"/>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C7739"/>
    <w:rsid w:val="000D0571"/>
    <w:rsid w:val="000D0855"/>
    <w:rsid w:val="000D11CC"/>
    <w:rsid w:val="000D1E0F"/>
    <w:rsid w:val="000D2DC2"/>
    <w:rsid w:val="000D3275"/>
    <w:rsid w:val="000D5494"/>
    <w:rsid w:val="000D5A1D"/>
    <w:rsid w:val="000D62FF"/>
    <w:rsid w:val="000D69DF"/>
    <w:rsid w:val="000D7369"/>
    <w:rsid w:val="000D7394"/>
    <w:rsid w:val="000E07DC"/>
    <w:rsid w:val="000E0F9E"/>
    <w:rsid w:val="000E1389"/>
    <w:rsid w:val="000E1397"/>
    <w:rsid w:val="000E2665"/>
    <w:rsid w:val="000E2A46"/>
    <w:rsid w:val="000E44C3"/>
    <w:rsid w:val="000E5176"/>
    <w:rsid w:val="000E5D5A"/>
    <w:rsid w:val="000E67FC"/>
    <w:rsid w:val="000E77B8"/>
    <w:rsid w:val="000F1731"/>
    <w:rsid w:val="000F1B9F"/>
    <w:rsid w:val="000F2739"/>
    <w:rsid w:val="000F2EDD"/>
    <w:rsid w:val="000F3457"/>
    <w:rsid w:val="000F37A8"/>
    <w:rsid w:val="000F6D7E"/>
    <w:rsid w:val="000F7112"/>
    <w:rsid w:val="00100187"/>
    <w:rsid w:val="00100DDD"/>
    <w:rsid w:val="00102AFD"/>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AC4"/>
    <w:rsid w:val="00156A23"/>
    <w:rsid w:val="001611E5"/>
    <w:rsid w:val="00161E95"/>
    <w:rsid w:val="00163780"/>
    <w:rsid w:val="00163B1F"/>
    <w:rsid w:val="001648EE"/>
    <w:rsid w:val="00164B65"/>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A7780"/>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EF3"/>
    <w:rsid w:val="001C34D6"/>
    <w:rsid w:val="001C3D2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6770B"/>
    <w:rsid w:val="00270A67"/>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6CB"/>
    <w:rsid w:val="002B4D21"/>
    <w:rsid w:val="002C0074"/>
    <w:rsid w:val="002C0159"/>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1E27"/>
    <w:rsid w:val="002D28CB"/>
    <w:rsid w:val="002D2E16"/>
    <w:rsid w:val="002D35AE"/>
    <w:rsid w:val="002D373C"/>
    <w:rsid w:val="002D7A78"/>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4547"/>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1DE"/>
    <w:rsid w:val="003105D0"/>
    <w:rsid w:val="003105D6"/>
    <w:rsid w:val="00310B1D"/>
    <w:rsid w:val="00310D66"/>
    <w:rsid w:val="003111C5"/>
    <w:rsid w:val="00311481"/>
    <w:rsid w:val="003116A6"/>
    <w:rsid w:val="00311863"/>
    <w:rsid w:val="00312733"/>
    <w:rsid w:val="00316065"/>
    <w:rsid w:val="003161C0"/>
    <w:rsid w:val="00317883"/>
    <w:rsid w:val="00317EFF"/>
    <w:rsid w:val="00321AA3"/>
    <w:rsid w:val="00321AE9"/>
    <w:rsid w:val="00321D1B"/>
    <w:rsid w:val="00321EEE"/>
    <w:rsid w:val="00323895"/>
    <w:rsid w:val="00324D4A"/>
    <w:rsid w:val="0032586C"/>
    <w:rsid w:val="00326579"/>
    <w:rsid w:val="00327D79"/>
    <w:rsid w:val="00330DBE"/>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1C5"/>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3459"/>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4F6"/>
    <w:rsid w:val="003E4701"/>
    <w:rsid w:val="003E6079"/>
    <w:rsid w:val="003E6128"/>
    <w:rsid w:val="003E6679"/>
    <w:rsid w:val="003E6D0F"/>
    <w:rsid w:val="003E712E"/>
    <w:rsid w:val="003E7278"/>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6DC5"/>
    <w:rsid w:val="00407351"/>
    <w:rsid w:val="004078C8"/>
    <w:rsid w:val="004102DE"/>
    <w:rsid w:val="00411614"/>
    <w:rsid w:val="00412696"/>
    <w:rsid w:val="00412E24"/>
    <w:rsid w:val="004147B1"/>
    <w:rsid w:val="00416727"/>
    <w:rsid w:val="0042068A"/>
    <w:rsid w:val="00421A63"/>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9F3"/>
    <w:rsid w:val="00447F0D"/>
    <w:rsid w:val="00450A5F"/>
    <w:rsid w:val="00451514"/>
    <w:rsid w:val="00453BB4"/>
    <w:rsid w:val="00454B9D"/>
    <w:rsid w:val="00456317"/>
    <w:rsid w:val="00456348"/>
    <w:rsid w:val="004572A1"/>
    <w:rsid w:val="00457F74"/>
    <w:rsid w:val="004613B1"/>
    <w:rsid w:val="00461F2A"/>
    <w:rsid w:val="00462061"/>
    <w:rsid w:val="0046231E"/>
    <w:rsid w:val="0046340E"/>
    <w:rsid w:val="004635E2"/>
    <w:rsid w:val="00464CB6"/>
    <w:rsid w:val="0046532D"/>
    <w:rsid w:val="0046566E"/>
    <w:rsid w:val="004669D1"/>
    <w:rsid w:val="00470027"/>
    <w:rsid w:val="0047025A"/>
    <w:rsid w:val="00471B65"/>
    <w:rsid w:val="00472C41"/>
    <w:rsid w:val="00473115"/>
    <w:rsid w:val="004738D8"/>
    <w:rsid w:val="00473BD2"/>
    <w:rsid w:val="00474477"/>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411"/>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5601"/>
    <w:rsid w:val="004E69B3"/>
    <w:rsid w:val="004E6E3A"/>
    <w:rsid w:val="004E72D4"/>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3FE2"/>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456"/>
    <w:rsid w:val="00597B44"/>
    <w:rsid w:val="00597BB6"/>
    <w:rsid w:val="00597D18"/>
    <w:rsid w:val="005A1FAB"/>
    <w:rsid w:val="005A228F"/>
    <w:rsid w:val="005A2A65"/>
    <w:rsid w:val="005A2F65"/>
    <w:rsid w:val="005A3513"/>
    <w:rsid w:val="005A3581"/>
    <w:rsid w:val="005A3BD7"/>
    <w:rsid w:val="005A60E1"/>
    <w:rsid w:val="005A6788"/>
    <w:rsid w:val="005A786F"/>
    <w:rsid w:val="005A7B36"/>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DC1"/>
    <w:rsid w:val="00613655"/>
    <w:rsid w:val="00613C31"/>
    <w:rsid w:val="006144EE"/>
    <w:rsid w:val="006167AB"/>
    <w:rsid w:val="00617125"/>
    <w:rsid w:val="00617813"/>
    <w:rsid w:val="006206CC"/>
    <w:rsid w:val="00622B06"/>
    <w:rsid w:val="00624425"/>
    <w:rsid w:val="00624A5E"/>
    <w:rsid w:val="006257C2"/>
    <w:rsid w:val="00627163"/>
    <w:rsid w:val="0063034E"/>
    <w:rsid w:val="00633663"/>
    <w:rsid w:val="00634476"/>
    <w:rsid w:val="00635062"/>
    <w:rsid w:val="00637475"/>
    <w:rsid w:val="0064393B"/>
    <w:rsid w:val="006439A1"/>
    <w:rsid w:val="00644375"/>
    <w:rsid w:val="00644A5C"/>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C8C"/>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9AD"/>
    <w:rsid w:val="006B1C19"/>
    <w:rsid w:val="006B31E7"/>
    <w:rsid w:val="006B408A"/>
    <w:rsid w:val="006B4CA9"/>
    <w:rsid w:val="006B65D4"/>
    <w:rsid w:val="006B7A58"/>
    <w:rsid w:val="006C26B3"/>
    <w:rsid w:val="006C2FEE"/>
    <w:rsid w:val="006C3314"/>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0090"/>
    <w:rsid w:val="006F1E31"/>
    <w:rsid w:val="006F2C12"/>
    <w:rsid w:val="006F2F92"/>
    <w:rsid w:val="006F3266"/>
    <w:rsid w:val="006F51AA"/>
    <w:rsid w:val="006F69E5"/>
    <w:rsid w:val="007050B1"/>
    <w:rsid w:val="00705527"/>
    <w:rsid w:val="00707055"/>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370A3"/>
    <w:rsid w:val="00740BA4"/>
    <w:rsid w:val="00742486"/>
    <w:rsid w:val="0074433B"/>
    <w:rsid w:val="007446C2"/>
    <w:rsid w:val="0074573F"/>
    <w:rsid w:val="0074628D"/>
    <w:rsid w:val="007473D2"/>
    <w:rsid w:val="007479C2"/>
    <w:rsid w:val="00750A80"/>
    <w:rsid w:val="00751061"/>
    <w:rsid w:val="0075151E"/>
    <w:rsid w:val="007517A8"/>
    <w:rsid w:val="0075265E"/>
    <w:rsid w:val="0075440D"/>
    <w:rsid w:val="00754EF8"/>
    <w:rsid w:val="00755369"/>
    <w:rsid w:val="0075604A"/>
    <w:rsid w:val="0075650E"/>
    <w:rsid w:val="00757995"/>
    <w:rsid w:val="00760BAE"/>
    <w:rsid w:val="00762511"/>
    <w:rsid w:val="00762697"/>
    <w:rsid w:val="007644E6"/>
    <w:rsid w:val="00764E0F"/>
    <w:rsid w:val="007652EA"/>
    <w:rsid w:val="00766CDD"/>
    <w:rsid w:val="007674F3"/>
    <w:rsid w:val="00767CD2"/>
    <w:rsid w:val="00770859"/>
    <w:rsid w:val="00771F3A"/>
    <w:rsid w:val="007731B5"/>
    <w:rsid w:val="00774663"/>
    <w:rsid w:val="00774A5F"/>
    <w:rsid w:val="00774DFD"/>
    <w:rsid w:val="007753FA"/>
    <w:rsid w:val="0077544D"/>
    <w:rsid w:val="00775D67"/>
    <w:rsid w:val="00776C78"/>
    <w:rsid w:val="0078079A"/>
    <w:rsid w:val="00782450"/>
    <w:rsid w:val="0078249C"/>
    <w:rsid w:val="00783CCF"/>
    <w:rsid w:val="00784AA0"/>
    <w:rsid w:val="00784F3D"/>
    <w:rsid w:val="00785321"/>
    <w:rsid w:val="00785CAB"/>
    <w:rsid w:val="00785E63"/>
    <w:rsid w:val="007860B9"/>
    <w:rsid w:val="00786DD5"/>
    <w:rsid w:val="00787184"/>
    <w:rsid w:val="007914E4"/>
    <w:rsid w:val="00791E58"/>
    <w:rsid w:val="00794C2B"/>
    <w:rsid w:val="007A0692"/>
    <w:rsid w:val="007A082B"/>
    <w:rsid w:val="007A0A0E"/>
    <w:rsid w:val="007A1303"/>
    <w:rsid w:val="007A2C90"/>
    <w:rsid w:val="007A4419"/>
    <w:rsid w:val="007A65E0"/>
    <w:rsid w:val="007A70B9"/>
    <w:rsid w:val="007A729D"/>
    <w:rsid w:val="007A7602"/>
    <w:rsid w:val="007A7A58"/>
    <w:rsid w:val="007A7E06"/>
    <w:rsid w:val="007B02B9"/>
    <w:rsid w:val="007B14B0"/>
    <w:rsid w:val="007B1AED"/>
    <w:rsid w:val="007B233D"/>
    <w:rsid w:val="007B2587"/>
    <w:rsid w:val="007B26B2"/>
    <w:rsid w:val="007B30F3"/>
    <w:rsid w:val="007B53DB"/>
    <w:rsid w:val="007B5AF0"/>
    <w:rsid w:val="007B6317"/>
    <w:rsid w:val="007B694D"/>
    <w:rsid w:val="007B79A9"/>
    <w:rsid w:val="007C0013"/>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72DF"/>
    <w:rsid w:val="007E78E8"/>
    <w:rsid w:val="007F0617"/>
    <w:rsid w:val="007F0E48"/>
    <w:rsid w:val="007F313E"/>
    <w:rsid w:val="007F372C"/>
    <w:rsid w:val="007F3993"/>
    <w:rsid w:val="007F3A5A"/>
    <w:rsid w:val="007F5AD6"/>
    <w:rsid w:val="007F6F57"/>
    <w:rsid w:val="007F729E"/>
    <w:rsid w:val="00800BEA"/>
    <w:rsid w:val="00800E69"/>
    <w:rsid w:val="00800EFF"/>
    <w:rsid w:val="00802BFE"/>
    <w:rsid w:val="00803827"/>
    <w:rsid w:val="0080391F"/>
    <w:rsid w:val="008039C2"/>
    <w:rsid w:val="008046E4"/>
    <w:rsid w:val="00804992"/>
    <w:rsid w:val="008055FF"/>
    <w:rsid w:val="00806782"/>
    <w:rsid w:val="00810302"/>
    <w:rsid w:val="00810F94"/>
    <w:rsid w:val="008118AF"/>
    <w:rsid w:val="00812B45"/>
    <w:rsid w:val="00814A17"/>
    <w:rsid w:val="008167F5"/>
    <w:rsid w:val="0081794B"/>
    <w:rsid w:val="00817D8E"/>
    <w:rsid w:val="008200A3"/>
    <w:rsid w:val="00820BF2"/>
    <w:rsid w:val="00821032"/>
    <w:rsid w:val="00824C4E"/>
    <w:rsid w:val="00826125"/>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02B5"/>
    <w:rsid w:val="00850E65"/>
    <w:rsid w:val="00851A81"/>
    <w:rsid w:val="00851F4C"/>
    <w:rsid w:val="0085224B"/>
    <w:rsid w:val="008523BA"/>
    <w:rsid w:val="00852B26"/>
    <w:rsid w:val="0085480B"/>
    <w:rsid w:val="00855985"/>
    <w:rsid w:val="008560F4"/>
    <w:rsid w:val="008568B1"/>
    <w:rsid w:val="008570EB"/>
    <w:rsid w:val="0086005C"/>
    <w:rsid w:val="00860A1E"/>
    <w:rsid w:val="00861622"/>
    <w:rsid w:val="0086276A"/>
    <w:rsid w:val="00863125"/>
    <w:rsid w:val="0086416C"/>
    <w:rsid w:val="008662C0"/>
    <w:rsid w:val="008705E1"/>
    <w:rsid w:val="0087153F"/>
    <w:rsid w:val="00872938"/>
    <w:rsid w:val="00873ABF"/>
    <w:rsid w:val="0087459A"/>
    <w:rsid w:val="00875167"/>
    <w:rsid w:val="00875DF8"/>
    <w:rsid w:val="008765E3"/>
    <w:rsid w:val="00876DCE"/>
    <w:rsid w:val="00876FBF"/>
    <w:rsid w:val="00880F33"/>
    <w:rsid w:val="00881572"/>
    <w:rsid w:val="00882584"/>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7752"/>
    <w:rsid w:val="008A2811"/>
    <w:rsid w:val="008A3797"/>
    <w:rsid w:val="008A3A84"/>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11E"/>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758"/>
    <w:rsid w:val="009609D2"/>
    <w:rsid w:val="00960CFA"/>
    <w:rsid w:val="0096234B"/>
    <w:rsid w:val="00962F40"/>
    <w:rsid w:val="009632B9"/>
    <w:rsid w:val="00963968"/>
    <w:rsid w:val="009670E9"/>
    <w:rsid w:val="00970450"/>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B90"/>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1A4"/>
    <w:rsid w:val="009E0AB4"/>
    <w:rsid w:val="009E10C7"/>
    <w:rsid w:val="009E27F8"/>
    <w:rsid w:val="009E2AF1"/>
    <w:rsid w:val="009E360A"/>
    <w:rsid w:val="009E38A4"/>
    <w:rsid w:val="009E3D82"/>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5320"/>
    <w:rsid w:val="00A27A7F"/>
    <w:rsid w:val="00A27D6E"/>
    <w:rsid w:val="00A3276A"/>
    <w:rsid w:val="00A32883"/>
    <w:rsid w:val="00A346B7"/>
    <w:rsid w:val="00A349D2"/>
    <w:rsid w:val="00A34C05"/>
    <w:rsid w:val="00A35492"/>
    <w:rsid w:val="00A36F1A"/>
    <w:rsid w:val="00A4044E"/>
    <w:rsid w:val="00A42475"/>
    <w:rsid w:val="00A4264A"/>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B91"/>
    <w:rsid w:val="00AB2744"/>
    <w:rsid w:val="00AB274F"/>
    <w:rsid w:val="00AB5F30"/>
    <w:rsid w:val="00AB61E4"/>
    <w:rsid w:val="00AB6BE3"/>
    <w:rsid w:val="00AB7AAA"/>
    <w:rsid w:val="00AC2197"/>
    <w:rsid w:val="00AC37C3"/>
    <w:rsid w:val="00AC3C7B"/>
    <w:rsid w:val="00AC3E65"/>
    <w:rsid w:val="00AC535B"/>
    <w:rsid w:val="00AC5F6A"/>
    <w:rsid w:val="00AD0B3C"/>
    <w:rsid w:val="00AD0FC3"/>
    <w:rsid w:val="00AD1756"/>
    <w:rsid w:val="00AD1CC0"/>
    <w:rsid w:val="00AD22B5"/>
    <w:rsid w:val="00AD2718"/>
    <w:rsid w:val="00AD33D3"/>
    <w:rsid w:val="00AD366A"/>
    <w:rsid w:val="00AD3DB4"/>
    <w:rsid w:val="00AD5133"/>
    <w:rsid w:val="00AD5712"/>
    <w:rsid w:val="00AD6AC5"/>
    <w:rsid w:val="00AD76A1"/>
    <w:rsid w:val="00AE0699"/>
    <w:rsid w:val="00AE48E8"/>
    <w:rsid w:val="00AE7F20"/>
    <w:rsid w:val="00AF0E7C"/>
    <w:rsid w:val="00AF1F04"/>
    <w:rsid w:val="00AF3B55"/>
    <w:rsid w:val="00AF3D59"/>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7550"/>
    <w:rsid w:val="00B312C7"/>
    <w:rsid w:val="00B316B9"/>
    <w:rsid w:val="00B31E90"/>
    <w:rsid w:val="00B32E58"/>
    <w:rsid w:val="00B335A2"/>
    <w:rsid w:val="00B342D1"/>
    <w:rsid w:val="00B34371"/>
    <w:rsid w:val="00B357DD"/>
    <w:rsid w:val="00B36BEC"/>
    <w:rsid w:val="00B37104"/>
    <w:rsid w:val="00B406E3"/>
    <w:rsid w:val="00B41516"/>
    <w:rsid w:val="00B425B8"/>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B16"/>
    <w:rsid w:val="00B61981"/>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6F0"/>
    <w:rsid w:val="00B837C7"/>
    <w:rsid w:val="00B83E2E"/>
    <w:rsid w:val="00B855AA"/>
    <w:rsid w:val="00B85DB5"/>
    <w:rsid w:val="00B8600A"/>
    <w:rsid w:val="00B86ED0"/>
    <w:rsid w:val="00B8780A"/>
    <w:rsid w:val="00B902E7"/>
    <w:rsid w:val="00B90BCE"/>
    <w:rsid w:val="00B922D9"/>
    <w:rsid w:val="00B926D6"/>
    <w:rsid w:val="00B93351"/>
    <w:rsid w:val="00B945F2"/>
    <w:rsid w:val="00B95670"/>
    <w:rsid w:val="00B959FD"/>
    <w:rsid w:val="00B966BF"/>
    <w:rsid w:val="00B974B4"/>
    <w:rsid w:val="00BA0012"/>
    <w:rsid w:val="00BA0458"/>
    <w:rsid w:val="00BA120A"/>
    <w:rsid w:val="00BA1798"/>
    <w:rsid w:val="00BA4F66"/>
    <w:rsid w:val="00BA54A2"/>
    <w:rsid w:val="00BA59D9"/>
    <w:rsid w:val="00BA6D15"/>
    <w:rsid w:val="00BA7987"/>
    <w:rsid w:val="00BA7CFA"/>
    <w:rsid w:val="00BB1309"/>
    <w:rsid w:val="00BB2592"/>
    <w:rsid w:val="00BB3156"/>
    <w:rsid w:val="00BB5CA9"/>
    <w:rsid w:val="00BB6662"/>
    <w:rsid w:val="00BB7E0C"/>
    <w:rsid w:val="00BC0CE4"/>
    <w:rsid w:val="00BC22CD"/>
    <w:rsid w:val="00BC260A"/>
    <w:rsid w:val="00BC2D16"/>
    <w:rsid w:val="00BC30BF"/>
    <w:rsid w:val="00BC3150"/>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4E74"/>
    <w:rsid w:val="00C0513A"/>
    <w:rsid w:val="00C06C02"/>
    <w:rsid w:val="00C11482"/>
    <w:rsid w:val="00C11821"/>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1E8F"/>
    <w:rsid w:val="00C33279"/>
    <w:rsid w:val="00C34B8F"/>
    <w:rsid w:val="00C35332"/>
    <w:rsid w:val="00C37421"/>
    <w:rsid w:val="00C41015"/>
    <w:rsid w:val="00C41131"/>
    <w:rsid w:val="00C411C1"/>
    <w:rsid w:val="00C422BD"/>
    <w:rsid w:val="00C42ED3"/>
    <w:rsid w:val="00C43A3B"/>
    <w:rsid w:val="00C44847"/>
    <w:rsid w:val="00C45581"/>
    <w:rsid w:val="00C45AB9"/>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1BA"/>
    <w:rsid w:val="00C83579"/>
    <w:rsid w:val="00C83EA7"/>
    <w:rsid w:val="00C84559"/>
    <w:rsid w:val="00C84E31"/>
    <w:rsid w:val="00C862C4"/>
    <w:rsid w:val="00C86977"/>
    <w:rsid w:val="00C86B34"/>
    <w:rsid w:val="00C86FFF"/>
    <w:rsid w:val="00C871C7"/>
    <w:rsid w:val="00C91060"/>
    <w:rsid w:val="00C9187A"/>
    <w:rsid w:val="00C928FD"/>
    <w:rsid w:val="00C95593"/>
    <w:rsid w:val="00CA0640"/>
    <w:rsid w:val="00CA2022"/>
    <w:rsid w:val="00CA4741"/>
    <w:rsid w:val="00CA7A78"/>
    <w:rsid w:val="00CA7F49"/>
    <w:rsid w:val="00CB1EF3"/>
    <w:rsid w:val="00CB2FC0"/>
    <w:rsid w:val="00CB3C69"/>
    <w:rsid w:val="00CB57BF"/>
    <w:rsid w:val="00CB58C6"/>
    <w:rsid w:val="00CB5AEC"/>
    <w:rsid w:val="00CB7F82"/>
    <w:rsid w:val="00CC0B3A"/>
    <w:rsid w:val="00CC10A6"/>
    <w:rsid w:val="00CC10B3"/>
    <w:rsid w:val="00CC27BA"/>
    <w:rsid w:val="00CC280B"/>
    <w:rsid w:val="00CC2DE4"/>
    <w:rsid w:val="00CC360E"/>
    <w:rsid w:val="00CC3B04"/>
    <w:rsid w:val="00CC3D18"/>
    <w:rsid w:val="00CC3FC7"/>
    <w:rsid w:val="00CC48D6"/>
    <w:rsid w:val="00CD32FE"/>
    <w:rsid w:val="00CD3E7D"/>
    <w:rsid w:val="00CD5036"/>
    <w:rsid w:val="00CD6866"/>
    <w:rsid w:val="00CD719C"/>
    <w:rsid w:val="00CD76D4"/>
    <w:rsid w:val="00CD7893"/>
    <w:rsid w:val="00CE03CC"/>
    <w:rsid w:val="00CE0F94"/>
    <w:rsid w:val="00CE1668"/>
    <w:rsid w:val="00CE6D82"/>
    <w:rsid w:val="00CE7E6A"/>
    <w:rsid w:val="00CF030B"/>
    <w:rsid w:val="00CF23A2"/>
    <w:rsid w:val="00CF5D77"/>
    <w:rsid w:val="00CF6EB2"/>
    <w:rsid w:val="00D00269"/>
    <w:rsid w:val="00D02F72"/>
    <w:rsid w:val="00D03FA7"/>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24E2"/>
    <w:rsid w:val="00D574C0"/>
    <w:rsid w:val="00D60582"/>
    <w:rsid w:val="00D6094D"/>
    <w:rsid w:val="00D60C22"/>
    <w:rsid w:val="00D61222"/>
    <w:rsid w:val="00D63800"/>
    <w:rsid w:val="00D63990"/>
    <w:rsid w:val="00D641DC"/>
    <w:rsid w:val="00D65068"/>
    <w:rsid w:val="00D65243"/>
    <w:rsid w:val="00D658A1"/>
    <w:rsid w:val="00D65BBD"/>
    <w:rsid w:val="00D67E99"/>
    <w:rsid w:val="00D70BE1"/>
    <w:rsid w:val="00D71057"/>
    <w:rsid w:val="00D730F6"/>
    <w:rsid w:val="00D738F0"/>
    <w:rsid w:val="00D75E6C"/>
    <w:rsid w:val="00D82CB3"/>
    <w:rsid w:val="00D82FC0"/>
    <w:rsid w:val="00D832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9E9"/>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70B"/>
    <w:rsid w:val="00DC5188"/>
    <w:rsid w:val="00DC5817"/>
    <w:rsid w:val="00DC6294"/>
    <w:rsid w:val="00DC6AEA"/>
    <w:rsid w:val="00DC7377"/>
    <w:rsid w:val="00DD2912"/>
    <w:rsid w:val="00DD2D98"/>
    <w:rsid w:val="00DD353B"/>
    <w:rsid w:val="00DD39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3038"/>
    <w:rsid w:val="00E54E89"/>
    <w:rsid w:val="00E57E0F"/>
    <w:rsid w:val="00E601CE"/>
    <w:rsid w:val="00E602CF"/>
    <w:rsid w:val="00E60B1D"/>
    <w:rsid w:val="00E612B6"/>
    <w:rsid w:val="00E61EE8"/>
    <w:rsid w:val="00E62061"/>
    <w:rsid w:val="00E62123"/>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5534"/>
    <w:rsid w:val="00E96326"/>
    <w:rsid w:val="00E969D2"/>
    <w:rsid w:val="00E97D83"/>
    <w:rsid w:val="00EA0B80"/>
    <w:rsid w:val="00EA0CA1"/>
    <w:rsid w:val="00EA1D8B"/>
    <w:rsid w:val="00EA3249"/>
    <w:rsid w:val="00EA3C59"/>
    <w:rsid w:val="00EA4CEB"/>
    <w:rsid w:val="00EA5118"/>
    <w:rsid w:val="00EA6C56"/>
    <w:rsid w:val="00EA6D57"/>
    <w:rsid w:val="00EB02F9"/>
    <w:rsid w:val="00EB0C63"/>
    <w:rsid w:val="00EB0DF0"/>
    <w:rsid w:val="00EB1A2C"/>
    <w:rsid w:val="00EB2513"/>
    <w:rsid w:val="00EB3DF7"/>
    <w:rsid w:val="00EB40DC"/>
    <w:rsid w:val="00EB4A53"/>
    <w:rsid w:val="00EB5616"/>
    <w:rsid w:val="00EB5923"/>
    <w:rsid w:val="00EB743F"/>
    <w:rsid w:val="00EC064C"/>
    <w:rsid w:val="00EC0BFA"/>
    <w:rsid w:val="00EC0D38"/>
    <w:rsid w:val="00EC115D"/>
    <w:rsid w:val="00EC152A"/>
    <w:rsid w:val="00EC3328"/>
    <w:rsid w:val="00EC34A9"/>
    <w:rsid w:val="00EC3934"/>
    <w:rsid w:val="00EC4FE8"/>
    <w:rsid w:val="00EC6F0E"/>
    <w:rsid w:val="00EC7352"/>
    <w:rsid w:val="00ED2270"/>
    <w:rsid w:val="00ED3818"/>
    <w:rsid w:val="00ED512E"/>
    <w:rsid w:val="00EE0293"/>
    <w:rsid w:val="00EE03EC"/>
    <w:rsid w:val="00EE048D"/>
    <w:rsid w:val="00EE0568"/>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20933"/>
    <w:rsid w:val="00F21705"/>
    <w:rsid w:val="00F2227E"/>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406"/>
    <w:rsid w:val="00F44C78"/>
    <w:rsid w:val="00F44F38"/>
    <w:rsid w:val="00F452C0"/>
    <w:rsid w:val="00F459E6"/>
    <w:rsid w:val="00F46B41"/>
    <w:rsid w:val="00F46CB5"/>
    <w:rsid w:val="00F53C70"/>
    <w:rsid w:val="00F55309"/>
    <w:rsid w:val="00F562A9"/>
    <w:rsid w:val="00F56E0D"/>
    <w:rsid w:val="00F60C62"/>
    <w:rsid w:val="00F6300E"/>
    <w:rsid w:val="00F6301A"/>
    <w:rsid w:val="00F6387F"/>
    <w:rsid w:val="00F6446E"/>
    <w:rsid w:val="00F645AF"/>
    <w:rsid w:val="00F66BC9"/>
    <w:rsid w:val="00F67946"/>
    <w:rsid w:val="00F71035"/>
    <w:rsid w:val="00F72B99"/>
    <w:rsid w:val="00F72CCD"/>
    <w:rsid w:val="00F72E9F"/>
    <w:rsid w:val="00F73166"/>
    <w:rsid w:val="00F736F9"/>
    <w:rsid w:val="00F739E9"/>
    <w:rsid w:val="00F73AFB"/>
    <w:rsid w:val="00F81620"/>
    <w:rsid w:val="00F84240"/>
    <w:rsid w:val="00F85237"/>
    <w:rsid w:val="00F8564F"/>
    <w:rsid w:val="00F87DAE"/>
    <w:rsid w:val="00F9000A"/>
    <w:rsid w:val="00F9002A"/>
    <w:rsid w:val="00F906D0"/>
    <w:rsid w:val="00F90CC8"/>
    <w:rsid w:val="00F93903"/>
    <w:rsid w:val="00F93FEB"/>
    <w:rsid w:val="00F94E43"/>
    <w:rsid w:val="00F96156"/>
    <w:rsid w:val="00F96460"/>
    <w:rsid w:val="00F978D7"/>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B65"/>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593877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3483595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20620-7AC1-4272-98A8-08DC133C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10681</Words>
  <Characters>58749</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2</cp:revision>
  <cp:lastPrinted>2022-03-25T00:21:00Z</cp:lastPrinted>
  <dcterms:created xsi:type="dcterms:W3CDTF">2022-04-06T04:04:00Z</dcterms:created>
  <dcterms:modified xsi:type="dcterms:W3CDTF">2022-04-06T04:04:00Z</dcterms:modified>
</cp:coreProperties>
</file>