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de junio de dos mil veintidós.</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rPr>
        <w:t xml:space="preserve">Visto </w:t>
      </w:r>
      <w:r>
        <w:rPr>
          <w:rFonts w:ascii="Palatino Linotype" w:eastAsia="Palatino Linotype" w:hAnsi="Palatino Linotype" w:cs="Palatino Linotype"/>
          <w:color w:val="222222"/>
        </w:rPr>
        <w:t xml:space="preserve">el expediente relativo al recurso de revisión </w:t>
      </w:r>
      <w:r>
        <w:rPr>
          <w:rFonts w:ascii="Palatino Linotype" w:eastAsia="Palatino Linotype" w:hAnsi="Palatino Linotype" w:cs="Palatino Linotype"/>
          <w:b/>
          <w:color w:val="222222"/>
          <w:sz w:val="22"/>
          <w:szCs w:val="22"/>
        </w:rPr>
        <w:t xml:space="preserve">02504/INFOEM/IP/RR/2022,  </w:t>
      </w:r>
      <w:r>
        <w:rPr>
          <w:rFonts w:ascii="Palatino Linotype" w:eastAsia="Palatino Linotype" w:hAnsi="Palatino Linotype" w:cs="Palatino Linotype"/>
          <w:color w:val="222222"/>
        </w:rPr>
        <w:t xml:space="preserve">interpuestos por un particular de manera anónima, a quien en lo sucesivo se le denominará 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en contra de la respuesta emitida por parte del </w:t>
      </w:r>
      <w:r>
        <w:rPr>
          <w:rFonts w:ascii="Palatino Linotype" w:eastAsia="Palatino Linotype" w:hAnsi="Palatino Linotype" w:cs="Palatino Linotype"/>
          <w:b/>
          <w:color w:val="222222"/>
        </w:rPr>
        <w:t>Sistema Municipal para el Des</w:t>
      </w:r>
      <w:r>
        <w:rPr>
          <w:rFonts w:ascii="Palatino Linotype" w:eastAsia="Palatino Linotype" w:hAnsi="Palatino Linotype" w:cs="Palatino Linotype"/>
          <w:b/>
        </w:rPr>
        <w:t>arrollo Integral de la Familia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BD37B0" w:rsidRDefault="0020178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de veintidós de febrero de dos mil veintidós,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w:t>
      </w:r>
    </w:p>
    <w:p w:rsidR="00BD37B0" w:rsidRDefault="00201786">
      <w:pPr>
        <w:spacing w:before="240" w:after="240" w:line="276" w:lineRule="auto"/>
        <w:ind w:left="705" w:right="616"/>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 xml:space="preserve">21. Se solicita conocer el monto de las personas que hayan recibido alguna condonación por cualquier concepto del 22 de febrero de 2022. 22. Se solicita las bitácoras vehiculares y de gasolina del 22 de febrero de 2022. 23. Solicito de forma digitalizada el documento que dé cuenta de los reportes recibidos y atendidos por los grupos multidisciplinarios pertenecientes al dif el 22 de febrero de 2022. 24. Solicito de forma digitalizada la copia de la bitácora de registro que se encuentra en la entrada del edificio central del dif de Metepec del día 22 de febrero de 2022. 25. Solicito de </w:t>
      </w:r>
      <w:r>
        <w:rPr>
          <w:rFonts w:ascii="Palatino Linotype" w:eastAsia="Palatino Linotype" w:hAnsi="Palatino Linotype" w:cs="Palatino Linotype"/>
          <w:i/>
          <w:sz w:val="22"/>
          <w:szCs w:val="22"/>
        </w:rPr>
        <w:lastRenderedPageBreak/>
        <w:t xml:space="preserve">forma digitalizada la copia de la bitácora de registro que se encuentra en la recepción del edificio central del dif de Metepec del día 22 de febrero de febrero de 2022.   </w:t>
      </w:r>
    </w:p>
    <w:p w:rsidR="00BD37B0" w:rsidRDefault="00201786">
      <w:pPr>
        <w:spacing w:before="240" w:after="240" w:line="360" w:lineRule="auto"/>
        <w:jc w:val="both"/>
        <w:rPr>
          <w:rFonts w:ascii="Palatino Linotype" w:eastAsia="Palatino Linotype" w:hAnsi="Palatino Linotype" w:cs="Palatino Linotype"/>
        </w:rPr>
      </w:pPr>
      <w:bookmarkStart w:id="1" w:name="_heading=h.2et92p0" w:colFirst="0" w:colLast="0"/>
      <w:bookmarkEnd w:id="1"/>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Solicitud de Aclaración.</w:t>
      </w:r>
      <w:r>
        <w:rPr>
          <w:rFonts w:ascii="Palatino Linotype" w:eastAsia="Palatino Linotype" w:hAnsi="Palatino Linotype" w:cs="Palatino Linotype"/>
        </w:rPr>
        <w:t xml:space="preserve"> Con fecha veinticinco de febrero de dos mil veintidós el Sujeto Obligado requirió a la parte recurrente aclarara la solicitud, en los siguientes términos: </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00768/DIFMETEPEC/IP/2022</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NO ES CLARA, SE SOLICITA AL PARTICULAR HAGA ACLARACIÓN TOTAL DE LA MISMA</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al requerimiento de aclaración. </w:t>
      </w:r>
      <w:r>
        <w:rPr>
          <w:rFonts w:ascii="Palatino Linotype" w:eastAsia="Palatino Linotype" w:hAnsi="Palatino Linotype" w:cs="Palatino Linotype"/>
        </w:rPr>
        <w:t>Con fecha veintiocho de febrero de dos mil veintidós, el Recurrente desahogó la solicitud de aclaración en los siguientes términos:</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“21. Se solicita conocer el monto y nombre de las personas que hayan recibido alguna condonación por cualquier concepto del 22 de febrero de 2022. 22. Se solicitan las bitacoras vehiculares y de gasolina del 22 de febrero de 2022. 23. Solicito de forma digitalizada el documento que de cuenta de los reportes recibidos y atendidos por los grupos multidisciplinarios pertenecientes al dif el 22 de febrero de 2022. 24. Solicito de forma digitalizada la copia de la bitácora de registro que se encuentra a la entrada del edificio central del dif metepec del día 22 de febrero de 2022 25. Solicito de forma digitalizada la copia de la bitácora de registro que se encuentra en la recepción del edificio central del dif metepec del día 22 de febrero de febrero de 2022”. (Sic) </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Con fecha primero de marzo de dos mil veintidós,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envío su respuesta a la solicitud de acceso a la información a través del SAIMEX, la cual versa como sigue:</w:t>
      </w:r>
    </w:p>
    <w:p w:rsidR="00BD37B0" w:rsidRDefault="00201786">
      <w:pPr>
        <w:spacing w:before="240" w:after="240" w:line="276" w:lineRule="auto"/>
        <w:ind w:left="708"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rsidR="00BD37B0" w:rsidRDefault="00201786">
      <w:pPr>
        <w:spacing w:before="240" w:after="240" w:line="276" w:lineRule="auto"/>
        <w:ind w:left="708"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w:t>
      </w:r>
      <w:r>
        <w:rPr>
          <w:rFonts w:ascii="Palatino Linotype" w:eastAsia="Palatino Linotype" w:hAnsi="Palatino Linotype" w:cs="Palatino Linotype"/>
          <w:i/>
          <w:sz w:val="22"/>
          <w:szCs w:val="22"/>
        </w:rPr>
        <w:lastRenderedPageBreak/>
        <w:t xml:space="preserve">dentro del plazo de quince días hábiles, siguientes a la fecha de la notificación de la presente respuesta. </w:t>
      </w:r>
    </w:p>
    <w:p w:rsidR="00BD37B0" w:rsidRDefault="00201786">
      <w:pPr>
        <w:spacing w:before="240" w:after="240" w:line="276" w:lineRule="auto"/>
        <w:ind w:left="708"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D37B0" w:rsidRDefault="00201786">
      <w:pPr>
        <w:spacing w:before="240" w:after="240" w:line="276" w:lineRule="auto"/>
        <w:ind w:left="708"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Licenciado FERNANDO OSCAR ZAPATA NAVARRATE”. (Sic) </w:t>
      </w:r>
    </w:p>
    <w:p w:rsidR="00BD37B0" w:rsidRDefault="00201786">
      <w:pPr>
        <w:spacing w:before="240" w:after="240" w:line="276"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El Sujeto Obligado adjuntó el archivo electrónico </w:t>
      </w:r>
      <w:hyperlink r:id="rId8">
        <w:r>
          <w:rPr>
            <w:rFonts w:ascii="Palatino Linotype" w:eastAsia="Palatino Linotype" w:hAnsi="Palatino Linotype" w:cs="Palatino Linotype"/>
            <w:b/>
            <w:i/>
            <w:color w:val="000000"/>
            <w:u w:val="single"/>
          </w:rPr>
          <w:t>acta primer sesión extraordinaria Comité de transparencia.pdf</w:t>
        </w:r>
      </w:hyperlink>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el cual contiene el Acta de la Primer Sesión Ext5raordinaria del Comité de Transparencia del Sujeto Obligado, a través de la cual se llevó a cabo el estudio y análisis del cambio de modalidad de la entrega de la información a consulta directa, tal como se advierte a continuación: </w:t>
      </w:r>
    </w:p>
    <w:p w:rsidR="00BD37B0" w:rsidRDefault="00201786">
      <w:pPr>
        <w:spacing w:before="240" w:after="240" w:line="276" w:lineRule="auto"/>
        <w:ind w:left="708"/>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604263" cy="616768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04263" cy="6167680"/>
                    </a:xfrm>
                    <a:prstGeom prst="rect">
                      <a:avLst/>
                    </a:prstGeom>
                    <a:ln/>
                  </pic:spPr>
                </pic:pic>
              </a:graphicData>
            </a:graphic>
          </wp:inline>
        </w:drawing>
      </w:r>
    </w:p>
    <w:p w:rsidR="00BD37B0" w:rsidRDefault="00201786">
      <w:pPr>
        <w:spacing w:before="240" w:after="240" w:line="276" w:lineRule="auto"/>
        <w:ind w:left="708"/>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031521" cy="6636774"/>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31521" cy="6636774"/>
                    </a:xfrm>
                    <a:prstGeom prst="rect">
                      <a:avLst/>
                    </a:prstGeom>
                    <a:ln/>
                  </pic:spPr>
                </pic:pic>
              </a:graphicData>
            </a:graphic>
          </wp:inline>
        </w:drawing>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878514" cy="667344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78514" cy="6673440"/>
                    </a:xfrm>
                    <a:prstGeom prst="rect">
                      <a:avLst/>
                    </a:prstGeom>
                    <a:ln/>
                  </pic:spPr>
                </pic:pic>
              </a:graphicData>
            </a:graphic>
          </wp:inline>
        </w:drawing>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946510" cy="669536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946510" cy="6695363"/>
                    </a:xfrm>
                    <a:prstGeom prst="rect">
                      <a:avLst/>
                    </a:prstGeom>
                    <a:ln/>
                  </pic:spPr>
                </pic:pic>
              </a:graphicData>
            </a:graphic>
          </wp:inline>
        </w:drawing>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894302" cy="66393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894302" cy="6639300"/>
                    </a:xfrm>
                    <a:prstGeom prst="rect">
                      <a:avLst/>
                    </a:prstGeom>
                    <a:ln/>
                  </pic:spPr>
                </pic:pic>
              </a:graphicData>
            </a:graphic>
          </wp:inline>
        </w:drawing>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primero de marzo del dos mil veintidós, a través del cual expresó lo siguiente:</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Acto Impugnado:</w:t>
      </w:r>
      <w:r>
        <w:rPr>
          <w:rFonts w:ascii="Palatino Linotype" w:eastAsia="Palatino Linotype" w:hAnsi="Palatino Linotype" w:cs="Palatino Linotype"/>
        </w:rPr>
        <w:t xml:space="preserve"> </w:t>
      </w:r>
    </w:p>
    <w:p w:rsidR="00BD37B0" w:rsidRDefault="00201786">
      <w:pPr>
        <w:spacing w:before="240" w:after="24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[Sic] </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 xml:space="preserve"> </w:t>
      </w:r>
    </w:p>
    <w:p w:rsidR="00BD37B0" w:rsidRDefault="0020178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w:t>
      </w:r>
      <w:r>
        <w:rPr>
          <w:rFonts w:ascii="Palatino Linotype" w:eastAsia="Palatino Linotype" w:hAnsi="Palatino Linotype" w:cs="Palatino Linotype"/>
          <w:i/>
          <w:sz w:val="22"/>
          <w:szCs w:val="22"/>
        </w:rPr>
        <w:lastRenderedPageBreak/>
        <w:t xml:space="preserve">anterior, los sujetos obligados deben seguir el procedimiento para la atención a las solicitudes de acceso a la información, estableciendo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se aprecia que es el mismo titular de la Unidad de Transparencia quien realiza el cambio de modalidad. En la virtud, el servidor público referido quien resulta omiso en el cumplimiento de los artículos 53, fracciones II, IV, V, </w:t>
      </w:r>
      <w:r>
        <w:rPr>
          <w:rFonts w:ascii="Palatino Linotype" w:eastAsia="Palatino Linotype" w:hAnsi="Palatino Linotype" w:cs="Palatino Linotype"/>
          <w:i/>
          <w:sz w:val="22"/>
          <w:szCs w:val="22"/>
        </w:rPr>
        <w:lastRenderedPageBreak/>
        <w:t xml:space="preserve">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el acceso a la información solicitada, además de informar claramente sobre los procesos que implican la aplicación del trabajo humano que se requiere hacer accesible la información. De tal manera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de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esh1dio o la forma en que ésta debe ser procesada para poder ser accesible al particular y entregarse vía electrónica. Deben señalarse claramente los impedimentos técnicos administrativos que dificultan el permitir el acceso a la información solicitada, además de informar claramente sobre los procesos que implican la aplicación del trabajo humano que se requiere para hacer accesible la información. Bajo esta tesitura, la fundamentación y motivación de los actos o resoluciones no es exclusiva de los órganos judiciales o jurisdiccionales, si no que se extiende a todas las autoridades. En este contexto, en todo acto que la autoridad pronuncie en el ejercicio de sus atribuciones, debe expresar los fundamentos legales que le dieron origen y la razones por las que se debe aplicar al caso concreto. De este modo, la persona que se sienta afectada puede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pública solicitada, toda vez que emite una respuesta en la cual, </w:t>
      </w:r>
      <w:r>
        <w:rPr>
          <w:rFonts w:ascii="Palatino Linotype" w:eastAsia="Palatino Linotype" w:hAnsi="Palatino Linotype" w:cs="Palatino Linotype"/>
          <w:i/>
          <w:sz w:val="22"/>
          <w:szCs w:val="22"/>
        </w:rPr>
        <w:lastRenderedPageBreak/>
        <w:t xml:space="preserve">pretende sin motivación y justificación alguna cambiar la modalidad de entrega de la información. En este sentido es importante considerar que el sujeto obligado no niega en ningún momento la existencia de la información requerida, todo lo contrario, por lo que en aquellos casos en que éste al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responsabilidades administrativas por el incumplimiento a lo anteriormente </w:t>
      </w:r>
      <w:r>
        <w:rPr>
          <w:rFonts w:ascii="Palatino Linotype" w:eastAsia="Palatino Linotype" w:hAnsi="Palatino Linotype" w:cs="Palatino Linotype"/>
          <w:i/>
          <w:sz w:val="22"/>
          <w:szCs w:val="22"/>
        </w:rPr>
        <w:lastRenderedPageBreak/>
        <w:t xml:space="preserve">expuesto, aunado a lo previsto por el artículo 222 fracciones I, II, XV y XXI del mismo ordenamiento jurídico.”(Sic) </w:t>
      </w:r>
    </w:p>
    <w:p w:rsidR="00BD37B0" w:rsidRDefault="002017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rPr>
        <w:t xml:space="preserve"> Comisionada</w:t>
      </w:r>
      <w:r>
        <w:rPr>
          <w:rFonts w:ascii="Palatino Linotype" w:eastAsia="Palatino Linotype" w:hAnsi="Palatino Linotype" w:cs="Palatino Linotype"/>
        </w:rPr>
        <w:t>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 </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w:t>
      </w:r>
      <w:r>
        <w:rPr>
          <w:rFonts w:ascii="Palatino Linotype" w:eastAsia="Palatino Linotype" w:hAnsi="Palatino Linotype" w:cs="Palatino Linotype"/>
        </w:rPr>
        <w:t>El siete de marzo de dos mil veintidós, en términos de lo dispuesto en el artículo 185 fracciones I, II y IV de la Ley de Transparencia y Acceso a la Información Pública del Estado de México y Municipios, se admitió a trámite el recurso de revisión.</w:t>
      </w:r>
    </w:p>
    <w:p w:rsidR="00BD37B0" w:rsidRDefault="00201786">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 xml:space="preserve">8. Manifestaciones. </w:t>
      </w:r>
      <w:r>
        <w:rPr>
          <w:rFonts w:ascii="Palatino Linotype" w:eastAsia="Palatino Linotype" w:hAnsi="Palatino Linotype" w:cs="Palatino Linotype"/>
        </w:rPr>
        <w:t xml:space="preserve">De la constancia que obra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informe justificado para manifestar lo que a su derecho asistiera y conviniera, por su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omitió realizar manifestación, formular alegatos y ofrecer algún medio de prueba. </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2130" cy="217043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2170430"/>
                    </a:xfrm>
                    <a:prstGeom prst="rect">
                      <a:avLst/>
                    </a:prstGeom>
                    <a:ln/>
                  </pic:spPr>
                </pic:pic>
              </a:graphicData>
            </a:graphic>
          </wp:inline>
        </w:drawing>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El primero de junio del año dos mil veintidós,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 </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 Ampliación de plazo para resolver.</w:t>
      </w:r>
      <w:r>
        <w:rPr>
          <w:rFonts w:ascii="Palatino Linotype" w:eastAsia="Palatino Linotype" w:hAnsi="Palatino Linotype" w:cs="Palatino Linotype"/>
        </w:rPr>
        <w:t xml:space="preserve"> El primero de junio de dos mil veintidós, la Comisionada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 </w:t>
      </w:r>
    </w:p>
    <w:p w:rsidR="00BD37B0" w:rsidRDefault="00BD37B0">
      <w:pPr>
        <w:spacing w:before="240" w:after="240" w:line="360" w:lineRule="auto"/>
        <w:jc w:val="both"/>
        <w:rPr>
          <w:rFonts w:ascii="Palatino Linotype" w:eastAsia="Palatino Linotype" w:hAnsi="Palatino Linotype" w:cs="Palatino Linotype"/>
        </w:rPr>
      </w:pP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razón de que fue debidamente sustanciado e integrado el expediente electrónico y no existe diligencia pendiente de desahogo, se emite la resolución que conforme a Derecho proceda, de acuerdo a los siguientes:</w:t>
      </w:r>
    </w:p>
    <w:p w:rsidR="00BD37B0" w:rsidRDefault="00201786">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Pr>
          <w:rFonts w:ascii="Palatino Linotype" w:eastAsia="Palatino Linotype" w:hAnsi="Palatino Linotype" w:cs="Palatino Linotype"/>
          <w:b/>
        </w:rPr>
        <w:t>primero de marzo  de dos mil veintidós</w:t>
      </w:r>
      <w:r>
        <w:rPr>
          <w:rFonts w:ascii="Palatino Linotype" w:eastAsia="Palatino Linotype" w:hAnsi="Palatino Linotype" w:cs="Palatino Linotype"/>
        </w:rPr>
        <w:t xml:space="preserve">, 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su recurso de revisión el </w:t>
      </w:r>
      <w:r>
        <w:rPr>
          <w:rFonts w:ascii="Palatino Linotype" w:eastAsia="Palatino Linotype" w:hAnsi="Palatino Linotype" w:cs="Palatino Linotype"/>
          <w:b/>
        </w:rPr>
        <w:t>primero de marzo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 xml:space="preserve">mismo día </w:t>
      </w:r>
      <w:r>
        <w:rPr>
          <w:rFonts w:ascii="Palatino Linotype" w:eastAsia="Palatino Linotype" w:hAnsi="Palatino Linotype" w:cs="Palatino Linotype"/>
        </w:rPr>
        <w:t>al que se notificó la respuesta respectivamente; por ende, dentro del término legal que prevé el arábigo de referencia.</w:t>
      </w:r>
    </w:p>
    <w:p w:rsidR="00BD37B0" w:rsidRDefault="0020178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D37B0" w:rsidRDefault="00201786">
      <w:pPr>
        <w:pBdr>
          <w:top w:val="nil"/>
          <w:left w:val="nil"/>
          <w:bottom w:val="nil"/>
          <w:right w:val="nil"/>
          <w:between w:val="nil"/>
        </w:pBdr>
        <w:spacing w:before="120" w:after="120"/>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rsidR="00BD37B0" w:rsidRDefault="00201786">
      <w:pPr>
        <w:pBdr>
          <w:top w:val="nil"/>
          <w:left w:val="nil"/>
          <w:bottom w:val="nil"/>
          <w:right w:val="nil"/>
          <w:between w:val="nil"/>
        </w:pBdr>
        <w:spacing w:before="120" w:after="120"/>
        <w:ind w:left="851" w:right="902"/>
        <w:jc w:val="both"/>
        <w:rPr>
          <w:color w:val="000000"/>
        </w:rPr>
      </w:pPr>
      <w:r>
        <w:rPr>
          <w:rFonts w:ascii="Palatino Linotype" w:eastAsia="Palatino Linotype" w:hAnsi="Palatino Linotype" w:cs="Palatino Linotype"/>
          <w:i/>
          <w:color w:val="000000"/>
          <w:sz w:val="22"/>
          <w:szCs w:val="22"/>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D37B0" w:rsidRDefault="00201786">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rsidR="00BD37B0" w:rsidRDefault="00201786">
      <w:pP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sus motivos de inconformidad, de acuerdo al artículo 179, fracción VIII del ordenamiento legal citado, que a la letra dice:</w:t>
      </w:r>
    </w:p>
    <w:p w:rsidR="00BD37B0" w:rsidRDefault="00BD37B0">
      <w:pPr>
        <w:tabs>
          <w:tab w:val="left" w:pos="7088"/>
        </w:tabs>
        <w:spacing w:before="120" w:after="120"/>
        <w:ind w:left="851" w:right="616"/>
        <w:jc w:val="both"/>
        <w:rPr>
          <w:rFonts w:ascii="Palatino Linotype" w:eastAsia="Palatino Linotype" w:hAnsi="Palatino Linotype" w:cs="Palatino Linotype"/>
        </w:rPr>
      </w:pPr>
    </w:p>
    <w:p w:rsidR="00BD37B0" w:rsidRDefault="00201786">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D37B0" w:rsidRDefault="00201786">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br/>
      </w:r>
      <w:r>
        <w:rPr>
          <w:rFonts w:ascii="Palatino Linotype" w:eastAsia="Palatino Linotype" w:hAnsi="Palatino Linotype" w:cs="Palatino Linotype"/>
          <w:b/>
          <w:i/>
          <w:sz w:val="22"/>
          <w:szCs w:val="22"/>
        </w:rPr>
        <w:t>…</w:t>
      </w:r>
      <w:r>
        <w:t xml:space="preserve"> </w:t>
      </w:r>
    </w:p>
    <w:p w:rsidR="00BD37B0" w:rsidRDefault="002017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w:t>
      </w:r>
      <w:r>
        <w:rPr>
          <w:rFonts w:ascii="Palatino Linotype" w:eastAsia="Palatino Linotype" w:hAnsi="Palatino Linotype" w:cs="Palatino Linotype"/>
          <w:i/>
          <w:sz w:val="22"/>
          <w:szCs w:val="22"/>
        </w:rPr>
        <w:t>La notificación, entrega o puesta a disposición de información en una modalidad o formato distinto al solicitado;</w:t>
      </w:r>
    </w:p>
    <w:p w:rsidR="00BD37B0" w:rsidRDefault="00201786">
      <w:pPr>
        <w:spacing w:before="120" w:after="120"/>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D37B0" w:rsidRDefault="002017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En primer término, se estima pertinente mencionar que el derecho de acceso a la información está consagrado en instrumentos </w:t>
      </w:r>
      <w:r>
        <w:rPr>
          <w:rFonts w:ascii="Palatino Linotype" w:eastAsia="Palatino Linotype" w:hAnsi="Palatino Linotype" w:cs="Palatino Linotype"/>
        </w:rPr>
        <w:lastRenderedPageBreak/>
        <w:t>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D37B0" w:rsidRDefault="002017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BD37B0" w:rsidRDefault="00201786">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D37B0" w:rsidRDefault="002017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BD37B0" w:rsidRDefault="002017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BD37B0" w:rsidRDefault="0020178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Pr>
          <w:rFonts w:ascii="Palatino Linotype" w:eastAsia="Palatino Linotype" w:hAnsi="Palatino Linotype" w:cs="Palatino Linotype"/>
          <w:i/>
          <w:sz w:val="22"/>
          <w:szCs w:val="22"/>
        </w:rPr>
        <w:lastRenderedPageBreak/>
        <w:t xml:space="preserve">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BD37B0" w:rsidRDefault="00BD37B0">
      <w:pPr>
        <w:ind w:left="851" w:right="851"/>
        <w:jc w:val="both"/>
        <w:rPr>
          <w:rFonts w:ascii="Palatino Linotype" w:eastAsia="Palatino Linotype" w:hAnsi="Palatino Linotype" w:cs="Palatino Linotype"/>
          <w:i/>
          <w:sz w:val="22"/>
          <w:szCs w:val="22"/>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BD37B0" w:rsidRDefault="00BD37B0">
      <w:pPr>
        <w:ind w:right="851"/>
        <w:jc w:val="both"/>
        <w:rPr>
          <w:rFonts w:ascii="Palatino Linotype" w:eastAsia="Palatino Linotype" w:hAnsi="Palatino Linotype" w:cs="Palatino Linotype"/>
          <w:i/>
          <w:sz w:val="22"/>
          <w:szCs w:val="22"/>
        </w:rPr>
      </w:pPr>
    </w:p>
    <w:p w:rsidR="00BD37B0" w:rsidRDefault="002017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w:t>
      </w:r>
      <w:r>
        <w:rPr>
          <w:rFonts w:ascii="Palatino Linotype" w:eastAsia="Palatino Linotype" w:hAnsi="Palatino Linotype" w:cs="Palatino Linotype"/>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BD37B0" w:rsidRDefault="00201786">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BD37B0" w:rsidRDefault="0020178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D37B0" w:rsidRDefault="002017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BD37B0" w:rsidRDefault="002017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BD37B0" w:rsidRDefault="00BD37B0">
      <w:pPr>
        <w:ind w:left="709" w:right="760"/>
        <w:jc w:val="both"/>
        <w:rPr>
          <w:rFonts w:ascii="Palatino Linotype" w:eastAsia="Palatino Linotype" w:hAnsi="Palatino Linotype" w:cs="Palatino Linotype"/>
          <w:i/>
        </w:rPr>
      </w:pP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D37B0" w:rsidRDefault="002017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D37B0" w:rsidRDefault="002017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D37B0" w:rsidRDefault="00BD37B0">
      <w:pPr>
        <w:spacing w:line="360" w:lineRule="auto"/>
        <w:ind w:right="-93"/>
        <w:jc w:val="both"/>
        <w:rPr>
          <w:rFonts w:ascii="Palatino Linotype" w:eastAsia="Palatino Linotype" w:hAnsi="Palatino Linotype" w:cs="Palatino Linotype"/>
          <w:color w:val="000000"/>
        </w:rPr>
      </w:pPr>
    </w:p>
    <w:p w:rsidR="00BD37B0" w:rsidRDefault="0020178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Pr>
          <w:rFonts w:ascii="Palatino Linotype" w:eastAsia="Palatino Linotype" w:hAnsi="Palatino Linotype" w:cs="Palatino Linotype"/>
          <w:color w:val="000000"/>
        </w:rPr>
        <w:lastRenderedPageBreak/>
        <w:t>que es deber de los Sujetos Obligados, garantizar el Derecho de Acceso a la Información Pública, lo que no sucedió en el presente caso.</w:t>
      </w:r>
    </w:p>
    <w:p w:rsidR="00BD37B0" w:rsidRDefault="00BD37B0">
      <w:pPr>
        <w:spacing w:line="360" w:lineRule="auto"/>
        <w:jc w:val="both"/>
        <w:rPr>
          <w:rFonts w:ascii="Palatino Linotype" w:eastAsia="Palatino Linotype" w:hAnsi="Palatino Linotype" w:cs="Palatino Linotype"/>
          <w:color w:val="000000"/>
        </w:rPr>
      </w:pPr>
    </w:p>
    <w:p w:rsidR="00BD37B0" w:rsidRDefault="0020178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D37B0" w:rsidRDefault="00BD37B0">
      <w:pPr>
        <w:spacing w:line="360" w:lineRule="auto"/>
        <w:ind w:right="49"/>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BD37B0" w:rsidRDefault="00BD37B0">
      <w:pPr>
        <w:spacing w:line="360" w:lineRule="auto"/>
        <w:jc w:val="both"/>
        <w:rPr>
          <w:rFonts w:ascii="Palatino Linotype" w:eastAsia="Palatino Linotype" w:hAnsi="Palatino Linotype" w:cs="Palatino Linotype"/>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BD37B0" w:rsidRDefault="00BD37B0">
      <w:pPr>
        <w:ind w:left="851" w:right="851"/>
        <w:jc w:val="both"/>
        <w:rPr>
          <w:rFonts w:ascii="Palatino Linotype" w:eastAsia="Palatino Linotype" w:hAnsi="Palatino Linotype" w:cs="Palatino Linotype"/>
          <w:b/>
          <w:i/>
          <w:sz w:val="22"/>
          <w:szCs w:val="22"/>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BD37B0" w:rsidRDefault="00BD37B0">
      <w:pPr>
        <w:ind w:left="851" w:right="851"/>
        <w:jc w:val="both"/>
        <w:rPr>
          <w:rFonts w:ascii="Palatino Linotype" w:eastAsia="Palatino Linotype" w:hAnsi="Palatino Linotype" w:cs="Palatino Linotype"/>
          <w:i/>
          <w:sz w:val="22"/>
          <w:szCs w:val="22"/>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BD37B0" w:rsidRDefault="00BD37B0">
      <w:pPr>
        <w:ind w:left="851" w:right="851"/>
        <w:jc w:val="both"/>
        <w:rPr>
          <w:rFonts w:ascii="Palatino Linotype" w:eastAsia="Palatino Linotype" w:hAnsi="Palatino Linotype" w:cs="Palatino Linotype"/>
          <w:i/>
          <w:sz w:val="22"/>
          <w:szCs w:val="22"/>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D37B0" w:rsidRDefault="00BD37B0">
      <w:pPr>
        <w:ind w:left="851" w:right="851"/>
        <w:jc w:val="both"/>
        <w:rPr>
          <w:rFonts w:ascii="Palatino Linotype" w:eastAsia="Palatino Linotype" w:hAnsi="Palatino Linotype" w:cs="Palatino Linotype"/>
          <w:i/>
          <w:sz w:val="22"/>
          <w:szCs w:val="22"/>
        </w:rPr>
      </w:pPr>
    </w:p>
    <w:p w:rsidR="00BD37B0" w:rsidRDefault="002017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BD37B0" w:rsidRDefault="00BD37B0">
      <w:pPr>
        <w:ind w:left="851" w:right="899"/>
        <w:jc w:val="both"/>
        <w:rPr>
          <w:rFonts w:ascii="Palatino Linotype" w:eastAsia="Palatino Linotype" w:hAnsi="Palatino Linotype" w:cs="Palatino Linotype"/>
          <w:i/>
          <w:sz w:val="22"/>
          <w:szCs w:val="22"/>
        </w:rPr>
      </w:pP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D37B0" w:rsidRDefault="00BD37B0">
      <w:pPr>
        <w:ind w:left="851" w:right="899"/>
        <w:jc w:val="both"/>
        <w:rPr>
          <w:rFonts w:ascii="Palatino Linotype" w:eastAsia="Palatino Linotype" w:hAnsi="Palatino Linotype" w:cs="Palatino Linotype"/>
          <w:sz w:val="22"/>
          <w:szCs w:val="22"/>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D37B0" w:rsidRDefault="00BD37B0">
      <w:pPr>
        <w:ind w:left="851" w:right="899"/>
        <w:jc w:val="both"/>
        <w:rPr>
          <w:rFonts w:ascii="Palatino Linotype" w:eastAsia="Palatino Linotype" w:hAnsi="Palatino Linotype" w:cs="Palatino Linotype"/>
        </w:rPr>
      </w:pPr>
    </w:p>
    <w:p w:rsidR="00BD37B0" w:rsidRDefault="0020178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BD37B0" w:rsidRDefault="002017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BD37B0" w:rsidRDefault="002017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BD37B0" w:rsidRDefault="00201786">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Precisado lo anterior se advierte que el particular solicitó </w:t>
      </w:r>
    </w:p>
    <w:p w:rsidR="00BD37B0" w:rsidRDefault="00201786">
      <w:pPr>
        <w:pBdr>
          <w:top w:val="nil"/>
          <w:left w:val="nil"/>
          <w:bottom w:val="nil"/>
          <w:right w:val="nil"/>
          <w:between w:val="nil"/>
        </w:pBdr>
        <w:spacing w:before="280" w:after="28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sz w:val="22"/>
          <w:szCs w:val="22"/>
        </w:rPr>
        <w:t xml:space="preserve">21. Se solicita conocer el monto de las personas que hayan recibido alguna condonación por cualquier concepto del 22 de febrero de 2022. 22. Se solicita las bitácoras vehiculares y de gasolina del 22 de febrero de 2022. 23. Solicito de forma digitalizada el documento que dé cuenta de los reportes recibidos y atendidos por los grupos multidisciplinarios pertenecientes al dif el 22 de febrero de 2022. 24. Solicito de forma digitalizada la copia de la bitácora de registro que se encuentra en la entrada del edificio central del dif de Metepec del día 22 de febrero de 2022. 25. Solicito de forma digitalizada la copia de la bitácora de registro que se encuentra en la recepción del edificio central del dif de Metepec del día 22 de febrero de febrero de 2022. “(Sic) </w:t>
      </w:r>
    </w:p>
    <w:p w:rsidR="00BD37B0" w:rsidRDefault="00201786">
      <w:pPr>
        <w:pBdr>
          <w:top w:val="nil"/>
          <w:left w:val="nil"/>
          <w:bottom w:val="nil"/>
          <w:right w:val="nil"/>
          <w:between w:val="nil"/>
        </w:pBdr>
        <w:spacing w:before="280" w:after="28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222222"/>
          <w:sz w:val="22"/>
          <w:szCs w:val="22"/>
        </w:rPr>
        <w:t xml:space="preserve">Respecto a la información solicitada se tiene que el </w:t>
      </w:r>
      <w:r>
        <w:rPr>
          <w:rFonts w:ascii="Palatino Linotype" w:eastAsia="Palatino Linotype" w:hAnsi="Palatino Linotype" w:cs="Palatino Linotype"/>
          <w:color w:val="000000"/>
          <w:sz w:val="22"/>
          <w:szCs w:val="22"/>
        </w:rPr>
        <w:t>MANUAL DE ORGANIZACIÓN DEL SISTEMA MUNICIPAL PARA EL DESARROLLO INTEGRAL DE LA FAMILIA DE METEPEC, dispone lo siguiente:</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3.3.2. DEPARTAMENTO DE ADMINISTRACIÓN </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OBJETIVO Proponer, elaborar e integrar las acciones necesarias para que las áreas del Sistema cuenten con los recursos humanos, materiales y técnicos, así como los servicios generales que contribuyan al eficiente y eficaz desarrollo de sus funciones</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13. Suministrar los servicios generales a las áreas del Sistema, incluyendo la supervisión y control del parque vehicular (en cuanto a su asignación, mantenimiento y trámites), intendencia, vigilancia, mensajería, servicios básicos, etcétera;</w:t>
      </w:r>
    </w:p>
    <w:p w:rsidR="00BD37B0" w:rsidRDefault="00BD37B0">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p>
    <w:p w:rsidR="00BD37B0" w:rsidRDefault="00201786">
      <w:pPr>
        <w:spacing w:after="160" w:line="259" w:lineRule="auto"/>
        <w:ind w:left="567" w:right="758"/>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sz w:val="22"/>
          <w:szCs w:val="22"/>
        </w:rPr>
        <w:t>PROCURADURÍA DE PROTECCIÓN DE NIÑAS, NIÑOS Y ADOLESCENTES</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5. Atender y dar seguimiento a la situación jurídica de las niñas, niños y adolescentes atendidos por el Grupo Multidisciplinario;</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9. Promover e instrumentar acciones de prevención y atención de los derechos de las niñas, niños y adolescentes de manera pronta, gratuita e integral, a través del grupo multidisciplinario conformado por las áreas de trabajo social, médica, psicológica y jurídica;</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 Supervisar los protocolos de actuación, así como su difusión del grupo multidisciplinario; </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12. Efectuar el diagnóstico y seguimiento de los casos de vulneración de derechos de niñas, niños y adolescentes, mediante la reunión periódica con el grupo multidisciplinario, con la finalidad de evaluar los resultados en los casos atendidos;</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15. Dar seguimiento a los reportes de probable vulneración de derechos a niñas, niños y adolescentes notificados al Grupo Multidisciplinario;</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lo que se refiere a la condonación del pago de derechos el mismo instrumento normativo señala: </w:t>
      </w:r>
    </w:p>
    <w:p w:rsidR="00BD37B0" w:rsidRDefault="00201786">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000000"/>
          <w:sz w:val="22"/>
          <w:szCs w:val="22"/>
        </w:rPr>
        <w:t xml:space="preserve">2.19.5.2. Ayudas y subsidios: Ayuda extraordinaria para beneficio de las y los usuarios de los servicios jurídicos asistenciales, </w:t>
      </w:r>
      <w:r>
        <w:rPr>
          <w:rFonts w:ascii="Palatino Linotype" w:eastAsia="Palatino Linotype" w:hAnsi="Palatino Linotype" w:cs="Palatino Linotype"/>
          <w:b/>
          <w:i/>
          <w:color w:val="000000"/>
          <w:sz w:val="22"/>
          <w:szCs w:val="22"/>
          <w:u w:val="single"/>
        </w:rPr>
        <w:t>la cual consiste en la exención de pago de la asesoría jurídica</w:t>
      </w:r>
      <w:r>
        <w:rPr>
          <w:rFonts w:ascii="Palatino Linotype" w:eastAsia="Palatino Linotype" w:hAnsi="Palatino Linotype" w:cs="Palatino Linotype"/>
          <w:i/>
          <w:color w:val="000000"/>
          <w:sz w:val="22"/>
          <w:szCs w:val="22"/>
        </w:rPr>
        <w:t>, previa carta de petición, carta agradecimiento y estudio socioeconómico</w:t>
      </w:r>
    </w:p>
    <w:p w:rsidR="00BD37B0" w:rsidRDefault="00201786">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Por lo que en efecto es posible que genere, posea o administre la información solicitada.</w:t>
      </w:r>
    </w:p>
    <w:p w:rsidR="00BD37B0" w:rsidRDefault="00BD37B0">
      <w:pPr>
        <w:spacing w:line="360" w:lineRule="auto"/>
        <w:jc w:val="both"/>
        <w:rPr>
          <w:rFonts w:ascii="Palatino Linotype" w:eastAsia="Palatino Linotype" w:hAnsi="Palatino Linotype" w:cs="Palatino Linotype"/>
          <w:color w:val="222222"/>
        </w:rPr>
      </w:pPr>
    </w:p>
    <w:p w:rsidR="00BD37B0" w:rsidRDefault="002017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Establecido lo anterior, se procede al análisis del agravio hecho valer por la parte recurrente relativo al cambio de modalidad indicado por el Sujeto Obligado. Al respecto se estima importante referir,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al momento de presentar la solicitud de información que dio origen al recurso de revisión que nos ocupa, eligió como modalidad de entrega </w:t>
      </w:r>
      <w:r>
        <w:rPr>
          <w:rFonts w:ascii="Palatino Linotype" w:eastAsia="Palatino Linotype" w:hAnsi="Palatino Linotype" w:cs="Palatino Linotype"/>
          <w:b/>
          <w:color w:val="000000"/>
        </w:rPr>
        <w:t>vía SAIMEX</w:t>
      </w:r>
      <w:r>
        <w:rPr>
          <w:rFonts w:ascii="Palatino Linotype" w:eastAsia="Palatino Linotype" w:hAnsi="Palatino Linotype" w:cs="Palatino Linotype"/>
          <w:color w:val="000000"/>
        </w:rPr>
        <w:t xml:space="preserve">, tal y como se precisa en la siguiente captura de imagen: </w:t>
      </w:r>
    </w:p>
    <w:p w:rsidR="00BD37B0" w:rsidRDefault="00201786">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612130" cy="224790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2247900"/>
                    </a:xfrm>
                    <a:prstGeom prst="rect">
                      <a:avLst/>
                    </a:prstGeom>
                    <a:ln/>
                  </pic:spPr>
                </pic:pic>
              </a:graphicData>
            </a:graphic>
          </wp:inline>
        </w:drawing>
      </w:r>
    </w:p>
    <w:p w:rsidR="00BD37B0" w:rsidRDefault="00BD37B0">
      <w:pPr>
        <w:spacing w:line="360" w:lineRule="auto"/>
        <w:rPr>
          <w:rFonts w:ascii="Palatino Linotype" w:eastAsia="Palatino Linotype" w:hAnsi="Palatino Linotype" w:cs="Palatino Linotype"/>
        </w:rPr>
      </w:pPr>
    </w:p>
    <w:p w:rsidR="00BD37B0" w:rsidRDefault="00201786">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Al respecto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BD37B0" w:rsidRDefault="00BD37B0">
      <w:pPr>
        <w:spacing w:line="360" w:lineRule="auto"/>
        <w:jc w:val="both"/>
        <w:rPr>
          <w:rFonts w:ascii="Palatino Linotype" w:eastAsia="Palatino Linotype" w:hAnsi="Palatino Linotype" w:cs="Palatino Linotype"/>
          <w:b/>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w:t>
      </w:r>
      <w:r>
        <w:rPr>
          <w:rFonts w:ascii="Palatino Linotype" w:eastAsia="Palatino Linotype" w:hAnsi="Palatino Linotype" w:cs="Palatino Linotype"/>
        </w:rPr>
        <w:lastRenderedPageBreak/>
        <w:t xml:space="preserve">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BD37B0" w:rsidRDefault="00BD37B0">
      <w:pPr>
        <w:spacing w:line="360" w:lineRule="auto"/>
        <w:jc w:val="both"/>
        <w:rPr>
          <w:rFonts w:ascii="Palatino Linotype" w:eastAsia="Palatino Linotype" w:hAnsi="Palatino Linotype" w:cs="Palatino Linotype"/>
          <w:sz w:val="22"/>
          <w:szCs w:val="22"/>
        </w:rPr>
      </w:pPr>
    </w:p>
    <w:p w:rsidR="00BD37B0" w:rsidRDefault="002017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w:t>
      </w:r>
      <w:r>
        <w:rPr>
          <w:rFonts w:ascii="Palatino Linotype" w:eastAsia="Palatino Linotype" w:hAnsi="Palatino Linotype" w:cs="Palatino Linotype"/>
        </w:rPr>
        <w:lastRenderedPageBreak/>
        <w:t xml:space="preserve">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rsidR="00BD37B0" w:rsidRDefault="00BD37B0">
      <w:pPr>
        <w:spacing w:line="360" w:lineRule="auto"/>
        <w:jc w:val="both"/>
        <w:rPr>
          <w:rFonts w:ascii="Palatino Linotype" w:eastAsia="Palatino Linotype" w:hAnsi="Palatino Linotype" w:cs="Palatino Linotype"/>
          <w:b/>
        </w:rPr>
      </w:pPr>
    </w:p>
    <w:p w:rsidR="00BD37B0" w:rsidRDefault="0020178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BD37B0" w:rsidRDefault="00BD37B0">
      <w:pPr>
        <w:spacing w:line="360" w:lineRule="auto"/>
        <w:jc w:val="both"/>
        <w:rPr>
          <w:rFonts w:ascii="Palatino Linotype" w:eastAsia="Palatino Linotype" w:hAnsi="Palatino Linotype" w:cs="Palatino Linotype"/>
        </w:rPr>
      </w:pPr>
    </w:p>
    <w:p w:rsidR="00BD37B0" w:rsidRDefault="0020178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rsidR="00BD37B0" w:rsidRDefault="00BD37B0">
      <w:pPr>
        <w:spacing w:line="360" w:lineRule="auto"/>
        <w:ind w:left="720"/>
        <w:jc w:val="both"/>
        <w:rPr>
          <w:rFonts w:ascii="Palatino Linotype" w:eastAsia="Palatino Linotype" w:hAnsi="Palatino Linotype" w:cs="Palatino Linotype"/>
        </w:rPr>
      </w:pPr>
    </w:p>
    <w:p w:rsidR="00BD37B0" w:rsidRDefault="0020178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rsidR="00BD37B0" w:rsidRDefault="00BD37B0">
      <w:pPr>
        <w:spacing w:line="360" w:lineRule="auto"/>
        <w:ind w:left="720"/>
        <w:rPr>
          <w:rFonts w:ascii="Palatino Linotype" w:eastAsia="Palatino Linotype" w:hAnsi="Palatino Linotype" w:cs="Palatino Linotype"/>
        </w:rPr>
      </w:pPr>
    </w:p>
    <w:p w:rsidR="00BD37B0" w:rsidRDefault="0020178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rsidR="00BD37B0" w:rsidRDefault="00BD37B0">
      <w:pPr>
        <w:spacing w:line="360" w:lineRule="auto"/>
        <w:ind w:right="-28"/>
        <w:jc w:val="both"/>
        <w:rPr>
          <w:rFonts w:ascii="Palatino Linotype" w:eastAsia="Palatino Linotype" w:hAnsi="Palatino Linotype" w:cs="Palatino Linotype"/>
          <w:color w:val="000000"/>
        </w:rPr>
      </w:pPr>
    </w:p>
    <w:p w:rsidR="00BD37B0" w:rsidRDefault="00201786">
      <w:pPr>
        <w:spacing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sujeto obligado, preciso que ponía a disposición del ahora Recurrente la documentación peticionada en consulta directa; sin embargo, este Instituto </w:t>
      </w:r>
      <w:r>
        <w:rPr>
          <w:rFonts w:ascii="Palatino Linotype" w:eastAsia="Palatino Linotype" w:hAnsi="Palatino Linotype" w:cs="Palatino Linotype"/>
          <w:color w:val="000000"/>
        </w:rPr>
        <w:lastRenderedPageBreak/>
        <w:t xml:space="preserve">considera que omitió fundar y motivar el cambio de modalidad, pues no precisó las siguientes circunstancias: </w:t>
      </w:r>
    </w:p>
    <w:p w:rsidR="00BD37B0" w:rsidRDefault="00BD37B0">
      <w:pPr>
        <w:spacing w:line="360" w:lineRule="auto"/>
        <w:ind w:right="-28"/>
        <w:jc w:val="both"/>
        <w:rPr>
          <w:rFonts w:ascii="Palatino Linotype" w:eastAsia="Palatino Linotype" w:hAnsi="Palatino Linotype" w:cs="Palatino Linotype"/>
          <w:color w:val="000000"/>
        </w:rPr>
      </w:pPr>
    </w:p>
    <w:p w:rsidR="00BD37B0" w:rsidRDefault="0020178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rsidR="00BD37B0" w:rsidRDefault="00BD37B0">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rsidR="00BD37B0" w:rsidRDefault="0020178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solicitada, del cual se pudiera conocer cuántos documentos había generado y recibido las áreas, o bien, cuando menos un aproximado, y</w:t>
      </w:r>
    </w:p>
    <w:p w:rsidR="00BD37B0" w:rsidRDefault="00BD37B0">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sin acreditar su dicho.</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w:t>
      </w:r>
      <w:r>
        <w:rPr>
          <w:rFonts w:ascii="Palatino Linotype" w:eastAsia="Palatino Linotype" w:hAnsi="Palatino Linotype" w:cs="Palatino Linotype"/>
        </w:rPr>
        <w:lastRenderedPageBreak/>
        <w:t xml:space="preserve">otros impedimentos, como la cantidad y formato de la documentación, que fuera de imposible reproducción en el medio elegido por el solicitante,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BD37B0" w:rsidRDefault="00BD37B0">
      <w:pPr>
        <w:spacing w:line="360" w:lineRule="auto"/>
        <w:jc w:val="both"/>
        <w:rPr>
          <w:rFonts w:ascii="Palatino Linotype" w:eastAsia="Palatino Linotype" w:hAnsi="Palatino Linotype" w:cs="Palatino Linotype"/>
        </w:rPr>
      </w:pPr>
    </w:p>
    <w:p w:rsidR="00BD37B0" w:rsidRDefault="00201786">
      <w:pPr>
        <w:widowControl w:val="0"/>
        <w:spacing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b/>
        </w:rPr>
      </w:pPr>
      <w:bookmarkStart w:id="4" w:name="_heading=h.1fob9te" w:colFirst="0" w:colLast="0"/>
      <w:bookmarkEnd w:id="4"/>
      <w:r>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rPr>
        <w:t>FUNDADOS</w:t>
      </w:r>
      <w:r>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rsidR="00BD37B0" w:rsidRDefault="00BD37B0">
      <w:pPr>
        <w:spacing w:line="360" w:lineRule="auto"/>
        <w:ind w:right="-28"/>
        <w:jc w:val="both"/>
        <w:rPr>
          <w:rFonts w:ascii="Palatino Linotype" w:eastAsia="Palatino Linotype" w:hAnsi="Palatino Linotype" w:cs="Palatino Linotype"/>
          <w:color w:val="000000"/>
          <w:sz w:val="22"/>
          <w:szCs w:val="22"/>
        </w:rPr>
      </w:pP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reza así:</w:t>
      </w:r>
    </w:p>
    <w:p w:rsidR="00BD37B0" w:rsidRDefault="00201786">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rsidR="00BD37B0" w:rsidRDefault="00201786">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rsidR="00BD37B0" w:rsidRDefault="00201786">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rsidR="00BD37B0" w:rsidRDefault="00201786">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rsidR="00BD37B0" w:rsidRDefault="00201786">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r>
        <w:rPr>
          <w:rFonts w:ascii="Palatino Linotype" w:eastAsia="Palatino Linotype" w:hAnsi="Palatino Linotype" w:cs="Palatino Linotype"/>
          <w:b/>
          <w:i/>
          <w:sz w:val="20"/>
          <w:szCs w:val="20"/>
        </w:rPr>
        <w:t xml:space="preserve">.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w:t>
      </w:r>
      <w:r>
        <w:rPr>
          <w:rFonts w:ascii="Palatino Linotype" w:eastAsia="Palatino Linotype" w:hAnsi="Palatino Linotype" w:cs="Palatino Linotype"/>
          <w:i/>
          <w:sz w:val="20"/>
          <w:szCs w:val="20"/>
        </w:rPr>
        <w:lastRenderedPageBreak/>
        <w:t xml:space="preserve">asegurar en todo momento la integridad de la documentación, conforme a la resolución que, al efecto, emita el Comité de Transparencia.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BD37B0" w:rsidRDefault="00201786">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deberá ser entregada sin costo, cuando implique la entrega de no más de veinte hojas simples.”</w:t>
      </w:r>
    </w:p>
    <w:p w:rsidR="00BD37B0" w:rsidRDefault="00BD37B0">
      <w:pPr>
        <w:spacing w:before="120" w:after="120"/>
        <w:ind w:left="851" w:right="902"/>
        <w:jc w:val="both"/>
        <w:rPr>
          <w:rFonts w:ascii="Palatino Linotype" w:eastAsia="Palatino Linotype" w:hAnsi="Palatino Linotype" w:cs="Palatino Linotype"/>
          <w:i/>
          <w:sz w:val="20"/>
          <w:szCs w:val="20"/>
        </w:rPr>
      </w:pPr>
    </w:p>
    <w:p w:rsidR="00BD37B0" w:rsidRDefault="00201786">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reitera el Sujeto Obligado no justificó el impedimento para remitir la información solicitada vía SAIMEX. </w:t>
      </w:r>
    </w:p>
    <w:p w:rsidR="00BD37B0" w:rsidRDefault="0020178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Ahora bien, para tal situación se considera que el Sistema Municipal para el Desarrollo Integral de la Familia de Metepec, primero deberá seguir el procedimiento de búsqueda establecido en el artículo 162 de la Ley de Transparencia y Acceso a la Información Pública. </w:t>
      </w:r>
    </w:p>
    <w:p w:rsidR="00BD37B0" w:rsidRDefault="00BD37B0">
      <w:pPr>
        <w:spacing w:line="360" w:lineRule="auto"/>
        <w:jc w:val="both"/>
        <w:rPr>
          <w:rFonts w:ascii="Palatino Linotype" w:eastAsia="Palatino Linotype" w:hAnsi="Palatino Linotype" w:cs="Palatino Linotype"/>
          <w:color w:val="222222"/>
        </w:rPr>
      </w:pPr>
    </w:p>
    <w:p w:rsidR="00BD37B0" w:rsidRDefault="0020178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Así, el Ayuntamiento, deberá realizar una búsqueda exhaustiva y razonable en todas las áreas competentes, entre las cuales, no podrá omitir a la Dirección administración </w:t>
      </w:r>
      <w:r>
        <w:rPr>
          <w:rFonts w:ascii="Palatino Linotype" w:eastAsia="Palatino Linotype" w:hAnsi="Palatino Linotype" w:cs="Palatino Linotype"/>
          <w:color w:val="222222"/>
        </w:rPr>
        <w:lastRenderedPageBreak/>
        <w:t>y la Procuraduría de Protección de Niñas, Niños y Adolescentes,  a efecto de que proporcione la información peticionada.</w:t>
      </w:r>
    </w:p>
    <w:p w:rsidR="00BD37B0" w:rsidRDefault="00BD37B0">
      <w:pPr>
        <w:spacing w:line="360" w:lineRule="auto"/>
        <w:jc w:val="both"/>
        <w:rPr>
          <w:rFonts w:ascii="Palatino Linotype" w:eastAsia="Palatino Linotype" w:hAnsi="Palatino Linotype" w:cs="Palatino Linotype"/>
          <w:color w:val="222222"/>
        </w:rPr>
      </w:pPr>
    </w:p>
    <w:p w:rsidR="00BD37B0" w:rsidRDefault="00201786">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Ahora bien, para el caso que no se haya generado información en la fecha indicada, deberá hacerlo del conocimiento del Recurrente, en términos del artículo 19, párrafo segundo de la Ley de Transparencia y Acceso a la Información Pública del Estado de México y Municipios. </w:t>
      </w:r>
    </w:p>
    <w:p w:rsidR="00BD37B0" w:rsidRDefault="00BD37B0">
      <w:pPr>
        <w:spacing w:line="360" w:lineRule="auto"/>
        <w:jc w:val="both"/>
        <w:rPr>
          <w:rFonts w:ascii="Palatino Linotype" w:eastAsia="Palatino Linotype" w:hAnsi="Palatino Linotype" w:cs="Palatino Linotype"/>
          <w:color w:val="222222"/>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pasa desapercibido para este Instituto que los documentos que den cuenta</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de lo solicitado, pudieran contener datos o información clasificada; por lo que, en el </w:t>
      </w:r>
      <w:r>
        <w:rPr>
          <w:rFonts w:ascii="Palatino Linotype" w:eastAsia="Palatino Linotype" w:hAnsi="Palatino Linotype" w:cs="Palatino Linotype"/>
          <w:color w:val="222222"/>
        </w:rPr>
        <w:t>s</w:t>
      </w:r>
      <w:r>
        <w:rPr>
          <w:rFonts w:ascii="Palatino Linotype" w:eastAsia="Palatino Linotype" w:hAnsi="Palatino Linotype" w:cs="Palatino Linotype"/>
        </w:rPr>
        <w:t>upuesto, deberá elaborar la versión pública respectiva; al respecto, conforme al artículo 3°,</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fracción XLV, relacionado con el 137, ambos de la Ley de Transparencia y Acceso a la</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BD37B0" w:rsidRDefault="00BD37B0">
      <w:pPr>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no pasa desapercibido, que el ahora Recurrente, requirió que se diera vista al Órgano Interno de Control o Contraloría, a efecto de que se iniciara un procedimiento de responsabilidades en contra de los servidores públicos que atendieron la solicitud de información, al respecto debe mencionarse que a través </w:t>
      </w:r>
      <w:r>
        <w:rPr>
          <w:rFonts w:ascii="Palatino Linotype" w:eastAsia="Palatino Linotype" w:hAnsi="Palatino Linotype" w:cs="Palatino Linotype"/>
          <w:color w:val="000000"/>
        </w:rPr>
        <w:lastRenderedPageBreak/>
        <w:t xml:space="preserve">del ejercicio del derecho de acceso a la información pública, no es la vía para que se inicie un procedimiento administrativo de responsabilidad, motivo por el cual se dejan a salvo los derechos del recurrente para que en caso de que considere pertinente presente una queja o denuncia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tal y como lo establecen los artículos 95, 96 y 97 de la Ley de Responsabilidades Administrativas del Estado de México y Municipios.</w:t>
      </w:r>
    </w:p>
    <w:p w:rsidR="00BD37B0" w:rsidRDefault="002017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BD37B0" w:rsidRDefault="002017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BD37B0" w:rsidRDefault="002017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w:t>
      </w:r>
      <w:r>
        <w:rPr>
          <w:rFonts w:ascii="Palatino Linotype" w:eastAsia="Palatino Linotype" w:hAnsi="Palatino Linotype" w:cs="Palatino Linotype"/>
        </w:rPr>
        <w:lastRenderedPageBreak/>
        <w:t>versiones públicas en las que se suprima aquella información relacionada con la vida privada de las personas.</w:t>
      </w:r>
    </w:p>
    <w:p w:rsidR="00BD37B0" w:rsidRDefault="002017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w:t>
      </w:r>
      <w:r>
        <w:rPr>
          <w:rFonts w:ascii="Palatino Linotype" w:eastAsia="Palatino Linotype" w:hAnsi="Palatino Linotype" w:cs="Palatino Linotype"/>
          <w:i/>
          <w:sz w:val="22"/>
          <w:szCs w:val="22"/>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D37B0" w:rsidRDefault="002017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BD37B0" w:rsidRDefault="00201786">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BD37B0" w:rsidRDefault="002017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w:t>
      </w:r>
      <w:r>
        <w:rPr>
          <w:rFonts w:ascii="Palatino Linotype" w:eastAsia="Palatino Linotype" w:hAnsi="Palatino Linotype" w:cs="Palatino Linotype"/>
        </w:rPr>
        <w:lastRenderedPageBreak/>
        <w:t>pueda dar origen a discriminación o conlleven un riesgo grave para aquel de acuerdo a los que señala la fracción XII del artículo 4 de la Ley de Protección de Datos Personales en posesión de Sujeto Obligados del Estado de México.</w:t>
      </w:r>
    </w:p>
    <w:p w:rsidR="00BD37B0" w:rsidRDefault="002017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BD37B0" w:rsidRDefault="002017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D37B0" w:rsidRDefault="0020178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BD37B0" w:rsidRDefault="00201786">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BD37B0" w:rsidRDefault="0020178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BD37B0" w:rsidRDefault="00201786">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BD37B0" w:rsidRDefault="0020178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BD37B0" w:rsidRDefault="0020178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BD37B0" w:rsidRDefault="00BD37B0">
      <w:pPr>
        <w:spacing w:before="120"/>
        <w:ind w:left="992" w:right="1043"/>
        <w:jc w:val="both"/>
        <w:rPr>
          <w:rFonts w:ascii="Palatino Linotype" w:eastAsia="Palatino Linotype" w:hAnsi="Palatino Linotype" w:cs="Palatino Linotype"/>
          <w:i/>
          <w:sz w:val="22"/>
          <w:szCs w:val="22"/>
        </w:rPr>
      </w:pPr>
    </w:p>
    <w:p w:rsidR="00BD37B0" w:rsidRDefault="002017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D37B0" w:rsidRDefault="002017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w:t>
      </w:r>
      <w:r>
        <w:rPr>
          <w:rFonts w:ascii="Palatino Linotype" w:eastAsia="Palatino Linotype" w:hAnsi="Palatino Linotype" w:cs="Palatino Linotype"/>
        </w:rPr>
        <w:lastRenderedPageBreak/>
        <w:t>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BD37B0" w:rsidRDefault="00201786">
      <w:pPr>
        <w:tabs>
          <w:tab w:val="left" w:pos="8222"/>
        </w:tabs>
        <w:spacing w:before="120" w:after="120"/>
        <w:ind w:left="851"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BD37B0" w:rsidRDefault="00201786">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BD37B0" w:rsidRDefault="00201786">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BD37B0" w:rsidRDefault="002017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w:t>
      </w:r>
      <w:r>
        <w:rPr>
          <w:rFonts w:ascii="Palatino Linotype" w:eastAsia="Palatino Linotype" w:hAnsi="Palatino Linotype" w:cs="Palatino Linotype"/>
        </w:rPr>
        <w:lastRenderedPageBreak/>
        <w:t xml:space="preserve">de la Información supraindicados, que establecen los formatos para la clasificación parcial y total de los documentos, conforme a lo siguiente: </w:t>
      </w:r>
    </w:p>
    <w:tbl>
      <w:tblPr>
        <w:tblStyle w:val="a"/>
        <w:tblW w:w="8828" w:type="dxa"/>
        <w:tblInd w:w="0" w:type="dxa"/>
        <w:tblLayout w:type="fixed"/>
        <w:tblLook w:val="04A0" w:firstRow="1" w:lastRow="0" w:firstColumn="1" w:lastColumn="0" w:noHBand="0" w:noVBand="1"/>
      </w:tblPr>
      <w:tblGrid>
        <w:gridCol w:w="993"/>
        <w:gridCol w:w="3421"/>
        <w:gridCol w:w="968"/>
        <w:gridCol w:w="3446"/>
      </w:tblGrid>
      <w:tr w:rsidR="00BD37B0" w:rsidTr="00BD3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BD37B0" w:rsidRDefault="0020178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BD37B0" w:rsidRDefault="00201786">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rsidR="00BD37B0" w:rsidRDefault="0020178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BD37B0" w:rsidRDefault="0020178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BD37B0" w:rsidRDefault="0020178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BD37B0" w:rsidTr="00BD37B0">
        <w:tc>
          <w:tcPr>
            <w:cnfStyle w:val="001000000000" w:firstRow="0" w:lastRow="0" w:firstColumn="1" w:lastColumn="0" w:oddVBand="0" w:evenVBand="0" w:oddHBand="0" w:evenHBand="0" w:firstRowFirstColumn="0" w:firstRowLastColumn="0" w:lastRowFirstColumn="0" w:lastRowLastColumn="0"/>
            <w:tcW w:w="8828" w:type="dxa"/>
            <w:gridSpan w:val="4"/>
          </w:tcPr>
          <w:p w:rsidR="00BD37B0" w:rsidRDefault="0020178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2017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BD37B0" w:rsidTr="00BD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D37B0" w:rsidRDefault="00BD37B0">
            <w:pPr>
              <w:jc w:val="both"/>
              <w:rPr>
                <w:rFonts w:ascii="Palatino Linotype" w:eastAsia="Palatino Linotype" w:hAnsi="Palatino Linotype" w:cs="Palatino Linotype"/>
                <w:sz w:val="12"/>
                <w:szCs w:val="12"/>
              </w:rPr>
            </w:pPr>
          </w:p>
        </w:tc>
        <w:tc>
          <w:tcPr>
            <w:tcW w:w="3421" w:type="dxa"/>
          </w:tcPr>
          <w:p w:rsidR="00BD37B0" w:rsidRDefault="00BD37B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BD37B0" w:rsidRDefault="0020178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BD37B0" w:rsidTr="00BD37B0">
        <w:tc>
          <w:tcPr>
            <w:cnfStyle w:val="001000000000" w:firstRow="0" w:lastRow="0" w:firstColumn="1" w:lastColumn="0" w:oddVBand="0" w:evenVBand="0" w:oddHBand="0" w:evenHBand="0" w:firstRowFirstColumn="0" w:firstRowLastColumn="0" w:lastRowFirstColumn="0" w:lastRowLastColumn="0"/>
            <w:tcW w:w="993" w:type="dxa"/>
          </w:tcPr>
          <w:p w:rsidR="00BD37B0" w:rsidRDefault="00BD37B0">
            <w:pPr>
              <w:jc w:val="both"/>
              <w:rPr>
                <w:rFonts w:ascii="Palatino Linotype" w:eastAsia="Palatino Linotype" w:hAnsi="Palatino Linotype" w:cs="Palatino Linotype"/>
                <w:sz w:val="12"/>
                <w:szCs w:val="12"/>
              </w:rPr>
            </w:pPr>
          </w:p>
        </w:tc>
        <w:tc>
          <w:tcPr>
            <w:tcW w:w="3421" w:type="dxa"/>
          </w:tcPr>
          <w:p w:rsidR="00BD37B0" w:rsidRDefault="00BD37B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BD37B0" w:rsidRDefault="0020178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BD37B0" w:rsidRDefault="00BD37B0">
      <w:pPr>
        <w:tabs>
          <w:tab w:val="left" w:pos="7938"/>
        </w:tabs>
        <w:spacing w:line="360" w:lineRule="auto"/>
        <w:jc w:val="both"/>
        <w:rPr>
          <w:rFonts w:ascii="Palatino Linotype" w:eastAsia="Palatino Linotype" w:hAnsi="Palatino Linotype" w:cs="Palatino Linotype"/>
        </w:rPr>
      </w:pPr>
    </w:p>
    <w:p w:rsidR="00BD37B0" w:rsidRDefault="002017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02504/INFOEM/IP/RR/2022</w:t>
      </w:r>
      <w:r>
        <w:rPr>
          <w:rFonts w:ascii="Palatino Linotype" w:eastAsia="Palatino Linotype" w:hAnsi="Palatino Linotype" w:cs="Palatino Linotype"/>
        </w:rPr>
        <w:t xml:space="preserve">; por ello, y con fundamento en </w:t>
      </w:r>
      <w:r>
        <w:rPr>
          <w:rFonts w:ascii="Palatino Linotype" w:eastAsia="Palatino Linotype" w:hAnsi="Palatino Linotype" w:cs="Palatino Linotype"/>
        </w:rPr>
        <w:lastRenderedPageBreak/>
        <w:t xml:space="preserve">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de la solicitud de información </w:t>
      </w:r>
      <w:r>
        <w:rPr>
          <w:rFonts w:ascii="Palatino Linotype" w:eastAsia="Palatino Linotype" w:hAnsi="Palatino Linotype" w:cs="Palatino Linotype"/>
          <w:b/>
        </w:rPr>
        <w:t xml:space="preserve">00768/DIFMETEPEC/IP/2022. </w:t>
      </w:r>
    </w:p>
    <w:p w:rsidR="00BD37B0" w:rsidRDefault="002017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D37B0" w:rsidRDefault="00201786">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BD37B0" w:rsidRDefault="002017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02504/INFOEM/IP/RR/2022, </w:t>
      </w:r>
      <w:r>
        <w:rPr>
          <w:rFonts w:ascii="Palatino Linotype" w:eastAsia="Palatino Linotype" w:hAnsi="Palatino Linotype" w:cs="Palatino Linotype"/>
        </w:rPr>
        <w:t xml:space="preserve"> por lo que, en términos del Considerando Cuarto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BD37B0" w:rsidRDefault="00201786">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documento donde conste la siguiente información, </w:t>
      </w:r>
      <w:r>
        <w:rPr>
          <w:rFonts w:ascii="Palatino Linotype" w:eastAsia="Palatino Linotype" w:hAnsi="Palatino Linotype" w:cs="Palatino Linotype"/>
          <w:b/>
          <w:u w:val="single"/>
        </w:rPr>
        <w:t>generada el 22 de febrero de 2022</w:t>
      </w:r>
      <w:r>
        <w:rPr>
          <w:rFonts w:ascii="Palatino Linotype" w:eastAsia="Palatino Linotype" w:hAnsi="Palatino Linotype" w:cs="Palatino Linotype"/>
        </w:rPr>
        <w:t>:</w:t>
      </w:r>
    </w:p>
    <w:p w:rsidR="00BD37B0" w:rsidRDefault="00201786">
      <w:pPr>
        <w:numPr>
          <w:ilvl w:val="0"/>
          <w:numId w:val="3"/>
        </w:numPr>
        <w:pBdr>
          <w:top w:val="nil"/>
          <w:left w:val="nil"/>
          <w:bottom w:val="nil"/>
          <w:right w:val="nil"/>
          <w:between w:val="nil"/>
        </w:pBdr>
        <w:spacing w:before="240" w:after="36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Monto condonado a las personas por cualquier concepto. </w:t>
      </w:r>
    </w:p>
    <w:p w:rsidR="00BD37B0" w:rsidRDefault="00201786">
      <w:pPr>
        <w:numPr>
          <w:ilvl w:val="0"/>
          <w:numId w:val="3"/>
        </w:numPr>
        <w:pBdr>
          <w:top w:val="nil"/>
          <w:left w:val="nil"/>
          <w:bottom w:val="nil"/>
          <w:right w:val="nil"/>
          <w:between w:val="nil"/>
        </w:pBdr>
        <w:spacing w:before="240" w:after="36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Bitácoras vehiculares y de gasolina. </w:t>
      </w:r>
    </w:p>
    <w:p w:rsidR="00BD37B0" w:rsidRDefault="00201786">
      <w:pPr>
        <w:numPr>
          <w:ilvl w:val="0"/>
          <w:numId w:val="3"/>
        </w:numPr>
        <w:pBdr>
          <w:top w:val="nil"/>
          <w:left w:val="nil"/>
          <w:bottom w:val="nil"/>
          <w:right w:val="nil"/>
          <w:between w:val="nil"/>
        </w:pBdr>
        <w:spacing w:before="240" w:after="36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Documento que dé cuenta de los reportes recibidos y atendidos por los grupos multidisciplinarios pertenecientes al Sujeto Obligado. </w:t>
      </w:r>
    </w:p>
    <w:p w:rsidR="00BD37B0" w:rsidRDefault="00201786">
      <w:pPr>
        <w:numPr>
          <w:ilvl w:val="0"/>
          <w:numId w:val="3"/>
        </w:numPr>
        <w:pBdr>
          <w:top w:val="nil"/>
          <w:left w:val="nil"/>
          <w:bottom w:val="nil"/>
          <w:right w:val="nil"/>
          <w:between w:val="nil"/>
        </w:pBdr>
        <w:spacing w:before="240" w:after="36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Copia de la bitácora de registro que se encuentra en la entrada y en la recepción del edificio central del DIF de Metepec. </w:t>
      </w:r>
    </w:p>
    <w:p w:rsidR="00BD37B0" w:rsidRDefault="00201786">
      <w:pPr>
        <w:pBdr>
          <w:top w:val="nil"/>
          <w:left w:val="nil"/>
          <w:bottom w:val="nil"/>
          <w:right w:val="nil"/>
          <w:between w:val="nil"/>
        </w:pBdr>
        <w:spacing w:before="120" w:after="120"/>
        <w:ind w:left="851"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BD37B0" w:rsidRDefault="00201786">
      <w:pPr>
        <w:pBdr>
          <w:top w:val="nil"/>
          <w:left w:val="nil"/>
          <w:bottom w:val="nil"/>
          <w:right w:val="nil"/>
          <w:between w:val="nil"/>
        </w:pBdr>
        <w:spacing w:before="120" w:after="120"/>
        <w:ind w:left="851"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Finalmente, para el caso de que no se  haya generado la información </w:t>
      </w:r>
      <w:r>
        <w:rPr>
          <w:rFonts w:ascii="Palatino Linotype" w:eastAsia="Palatino Linotype" w:hAnsi="Palatino Linotype" w:cs="Palatino Linotype"/>
          <w:i/>
          <w:sz w:val="22"/>
          <w:szCs w:val="22"/>
        </w:rPr>
        <w:t>en alguno de los puntos que se ordenan</w:t>
      </w:r>
      <w:r>
        <w:rPr>
          <w:rFonts w:ascii="Palatino Linotype" w:eastAsia="Palatino Linotype" w:hAnsi="Palatino Linotype" w:cs="Palatino Linotype"/>
          <w:i/>
          <w:color w:val="000000"/>
          <w:sz w:val="22"/>
          <w:szCs w:val="22"/>
        </w:rPr>
        <w:t xml:space="preserve"> deberá hacerlo del conocimiento del Recurrente de manera fundada y motiva, den términos del segundo párrafo del artículo 19 de la Ley de Transparencia, Acceso a la Información Pública del Estado de México y Municipios. </w:t>
      </w:r>
    </w:p>
    <w:p w:rsidR="00BD37B0" w:rsidRDefault="00BD37B0">
      <w:pPr>
        <w:pBdr>
          <w:top w:val="nil"/>
          <w:left w:val="nil"/>
          <w:bottom w:val="nil"/>
          <w:right w:val="nil"/>
          <w:between w:val="nil"/>
        </w:pBdr>
        <w:spacing w:before="120" w:after="120"/>
        <w:ind w:left="851" w:right="49"/>
        <w:jc w:val="both"/>
        <w:rPr>
          <w:rFonts w:ascii="Palatino Linotype" w:eastAsia="Palatino Linotype" w:hAnsi="Palatino Linotype" w:cs="Palatino Linotype"/>
          <w:i/>
          <w:color w:val="000000"/>
          <w:sz w:val="22"/>
          <w:szCs w:val="22"/>
        </w:rPr>
      </w:pPr>
    </w:p>
    <w:p w:rsidR="00BD37B0" w:rsidRDefault="00201786">
      <w:pPr>
        <w:spacing w:before="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D37B0" w:rsidRDefault="00BD37B0">
      <w:pPr>
        <w:spacing w:line="360" w:lineRule="auto"/>
        <w:ind w:right="49"/>
        <w:jc w:val="both"/>
        <w:rPr>
          <w:rFonts w:ascii="Palatino Linotype" w:eastAsia="Palatino Linotype" w:hAnsi="Palatino Linotype" w:cs="Palatino Linotype"/>
        </w:rPr>
      </w:pPr>
    </w:p>
    <w:p w:rsidR="00BD37B0" w:rsidRDefault="0020178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BD37B0" w:rsidRDefault="00BD37B0">
      <w:pPr>
        <w:spacing w:line="360" w:lineRule="auto"/>
        <w:ind w:right="49"/>
        <w:jc w:val="both"/>
        <w:rPr>
          <w:rFonts w:ascii="Palatino Linotype" w:eastAsia="Palatino Linotype" w:hAnsi="Palatino Linotype" w:cs="Palatino Linotype"/>
        </w:rPr>
      </w:pPr>
    </w:p>
    <w:p w:rsidR="00BD37B0" w:rsidRDefault="00201786">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BD37B0" w:rsidRDefault="00201786">
      <w:pPr>
        <w:spacing w:before="240" w:after="240" w:line="360" w:lineRule="auto"/>
        <w:jc w:val="both"/>
        <w:rPr>
          <w:rFonts w:ascii="Palatino Linotype" w:eastAsia="Palatino Linotype" w:hAnsi="Palatino Linotype" w:cs="Palatino Linotype"/>
        </w:rPr>
        <w:sectPr w:rsidR="00BD37B0">
          <w:headerReference w:type="default" r:id="rId16"/>
          <w:footerReference w:type="default" r:id="rId17"/>
          <w:headerReference w:type="first" r:id="rId18"/>
          <w:footerReference w:type="first" r:id="rId19"/>
          <w:pgSz w:w="12240" w:h="15840"/>
          <w:pgMar w:top="270"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PRIMERA SESIÓN ORDINARIA CELEBRADA EL </w:t>
      </w:r>
      <w:r>
        <w:rPr>
          <w:rFonts w:ascii="Palatino Linotype" w:eastAsia="Palatino Linotype" w:hAnsi="Palatino Linotype" w:cs="Palatino Linotype"/>
          <w:color w:val="222222"/>
        </w:rPr>
        <w:t>OCHO DE JUNIO</w:t>
      </w:r>
      <w:r>
        <w:rPr>
          <w:rFonts w:ascii="Palatino Linotype" w:eastAsia="Palatino Linotype" w:hAnsi="Palatino Linotype" w:cs="Palatino Linotype"/>
        </w:rPr>
        <w:t xml:space="preserve"> DE DOS MIL VEINTIDÓS, ANTE EL SECRETARIO TÉCNICO DEL PLENO ALEXIS TAPIA RAMÍREZ.</w:t>
      </w:r>
    </w:p>
    <w:p w:rsidR="00BD37B0" w:rsidRDefault="00BD37B0" w:rsidP="00DC6A55">
      <w:pPr>
        <w:spacing w:before="240" w:after="240" w:line="360" w:lineRule="auto"/>
        <w:jc w:val="both"/>
      </w:pPr>
      <w:bookmarkStart w:id="5" w:name="_GoBack"/>
      <w:bookmarkEnd w:id="5"/>
    </w:p>
    <w:sectPr w:rsidR="00BD37B0">
      <w:headerReference w:type="default" r:id="rId20"/>
      <w:footerReference w:type="default" r:id="rId21"/>
      <w:headerReference w:type="first" r:id="rId22"/>
      <w:footerReference w:type="first" r:id="rId23"/>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B8F" w:rsidRDefault="00B12B8F">
      <w:r>
        <w:separator/>
      </w:r>
    </w:p>
  </w:endnote>
  <w:endnote w:type="continuationSeparator" w:id="0">
    <w:p w:rsidR="00B12B8F" w:rsidRDefault="00B12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51E5">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51E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rsidR="00BD37B0" w:rsidRDefault="00BD37B0">
    <w:pPr>
      <w:pBdr>
        <w:top w:val="nil"/>
        <w:left w:val="nil"/>
        <w:bottom w:val="nil"/>
        <w:right w:val="nil"/>
        <w:between w:val="nil"/>
      </w:pBdr>
      <w:tabs>
        <w:tab w:val="center" w:pos="4419"/>
        <w:tab w:val="right" w:pos="8838"/>
      </w:tabs>
      <w:rPr>
        <w:color w:val="000000"/>
      </w:rPr>
    </w:pPr>
  </w:p>
  <w:p w:rsidR="00BD37B0" w:rsidRDefault="00BD37B0"/>
  <w:p w:rsidR="00BD37B0" w:rsidRDefault="00BD37B0"/>
  <w:p w:rsidR="00BD37B0" w:rsidRDefault="00BD37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51E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51E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rsidR="00BD37B0" w:rsidRDefault="00BD37B0">
    <w:pPr>
      <w:pBdr>
        <w:top w:val="nil"/>
        <w:left w:val="nil"/>
        <w:bottom w:val="nil"/>
        <w:right w:val="nil"/>
        <w:between w:val="nil"/>
      </w:pBdr>
      <w:tabs>
        <w:tab w:val="center" w:pos="4419"/>
        <w:tab w:val="right" w:pos="8838"/>
      </w:tabs>
      <w:rPr>
        <w:color w:val="000000"/>
      </w:rPr>
    </w:pPr>
  </w:p>
  <w:p w:rsidR="00BD37B0" w:rsidRDefault="00BD37B0"/>
  <w:p w:rsidR="00BD37B0" w:rsidRDefault="00BD37B0"/>
  <w:p w:rsidR="00BD37B0" w:rsidRDefault="00BD37B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DC6A55">
      <w:rPr>
        <w:rFonts w:ascii="Palatino Linotype" w:eastAsia="Palatino Linotype" w:hAnsi="Palatino Linotype" w:cs="Palatino Linotype"/>
        <w:b/>
        <w:color w:val="000000"/>
        <w:sz w:val="20"/>
        <w:szCs w:val="20"/>
      </w:rPr>
      <w:fldChar w:fldCharType="separate"/>
    </w:r>
    <w:r w:rsidR="00DC6A5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DC6A55">
      <w:rPr>
        <w:rFonts w:ascii="Palatino Linotype" w:eastAsia="Palatino Linotype" w:hAnsi="Palatino Linotype" w:cs="Palatino Linotype"/>
        <w:b/>
        <w:color w:val="000000"/>
        <w:sz w:val="20"/>
        <w:szCs w:val="20"/>
      </w:rPr>
      <w:fldChar w:fldCharType="separate"/>
    </w:r>
    <w:r w:rsidR="000D51E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rsidR="00BD37B0" w:rsidRDefault="00201786">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sidR="00DC6A55">
      <w:rPr>
        <w:rFonts w:ascii="Palatino Linotype" w:eastAsia="Palatino Linotype" w:hAnsi="Palatino Linotype" w:cs="Palatino Linotype"/>
        <w:b/>
        <w:sz w:val="20"/>
        <w:szCs w:val="20"/>
      </w:rPr>
      <w:fldChar w:fldCharType="separate"/>
    </w:r>
    <w:r w:rsidR="000D51E5">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sidR="00DC6A55">
      <w:rPr>
        <w:rFonts w:ascii="Palatino Linotype" w:eastAsia="Palatino Linotype" w:hAnsi="Palatino Linotype" w:cs="Palatino Linotype"/>
        <w:b/>
        <w:sz w:val="20"/>
        <w:szCs w:val="20"/>
      </w:rPr>
      <w:fldChar w:fldCharType="separate"/>
    </w:r>
    <w:r w:rsidR="000D51E5">
      <w:rPr>
        <w:rFonts w:ascii="Palatino Linotype" w:eastAsia="Palatino Linotype" w:hAnsi="Palatino Linotype" w:cs="Palatino Linotype"/>
        <w:b/>
        <w:noProof/>
        <w:sz w:val="20"/>
        <w:szCs w:val="20"/>
      </w:rPr>
      <w:t>52</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B8F" w:rsidRDefault="00B12B8F">
      <w:r>
        <w:separator/>
      </w:r>
    </w:p>
  </w:footnote>
  <w:footnote w:type="continuationSeparator" w:id="0">
    <w:p w:rsidR="00B12B8F" w:rsidRDefault="00B12B8F">
      <w:r>
        <w:continuationSeparator/>
      </w:r>
    </w:p>
  </w:footnote>
  <w:footnote w:id="1">
    <w:p w:rsidR="00BD37B0" w:rsidRDefault="0020178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rsidR="00BD37B0" w:rsidRDefault="0020178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-284810</wp:posOffset>
          </wp:positionV>
          <wp:extent cx="7635600" cy="994320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662" w:type="dxa"/>
      <w:tblInd w:w="3119" w:type="dxa"/>
      <w:tblLayout w:type="fixed"/>
      <w:tblLook w:val="0400" w:firstRow="0" w:lastRow="0" w:firstColumn="0" w:lastColumn="0" w:noHBand="0" w:noVBand="1"/>
    </w:tblPr>
    <w:tblGrid>
      <w:gridCol w:w="2551"/>
      <w:gridCol w:w="4111"/>
    </w:tblGrid>
    <w:tr w:rsidR="00BD37B0">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rsidR="00BD37B0" w:rsidRDefault="0020178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02504/INFOEM/IP/RR/2022. </w:t>
          </w:r>
        </w:p>
      </w:tc>
    </w:tr>
    <w:tr w:rsidR="00BD37B0">
      <w:tc>
        <w:tcPr>
          <w:tcW w:w="2551" w:type="dxa"/>
          <w:vAlign w:val="center"/>
        </w:tcPr>
        <w:p w:rsidR="00BD37B0" w:rsidRDefault="0020178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vAlign w:val="center"/>
        </w:tcPr>
        <w:p w:rsidR="00BD37B0" w:rsidRDefault="00BD37B0">
          <w:pPr>
            <w:jc w:val="both"/>
            <w:rPr>
              <w:rFonts w:ascii="Palatino Linotype" w:eastAsia="Palatino Linotype" w:hAnsi="Palatino Linotype" w:cs="Palatino Linotype"/>
              <w:b/>
              <w:sz w:val="22"/>
              <w:szCs w:val="22"/>
            </w:rPr>
          </w:pPr>
        </w:p>
      </w:tc>
    </w:tr>
    <w:tr w:rsidR="00BD37B0">
      <w:trPr>
        <w:trHeight w:val="228"/>
      </w:trPr>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Sistema Municipal para el </w:t>
          </w:r>
        </w:p>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Desarrollo Integral de la Familia de de Metepec.</w:t>
          </w:r>
        </w:p>
      </w:tc>
    </w:tr>
    <w:tr w:rsidR="00BD37B0">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D37B0" w:rsidRDefault="00BD37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-454024</wp:posOffset>
          </wp:positionV>
          <wp:extent cx="7635600" cy="9943200"/>
          <wp:effectExtent l="0" t="0" r="0" b="0"/>
          <wp:wrapNone/>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520" w:type="dxa"/>
      <w:tblInd w:w="3119" w:type="dxa"/>
      <w:tblLayout w:type="fixed"/>
      <w:tblLook w:val="0400" w:firstRow="0" w:lastRow="0" w:firstColumn="0" w:lastColumn="0" w:noHBand="0" w:noVBand="1"/>
    </w:tblPr>
    <w:tblGrid>
      <w:gridCol w:w="2551"/>
      <w:gridCol w:w="3969"/>
    </w:tblGrid>
    <w:tr w:rsidR="00BD37B0">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rsidR="00BD37B0" w:rsidRDefault="0020178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02504/INFOEM/IP/RR/2022. </w:t>
          </w:r>
        </w:p>
      </w:tc>
    </w:tr>
    <w:tr w:rsidR="00BD37B0">
      <w:tc>
        <w:tcPr>
          <w:tcW w:w="2551" w:type="dxa"/>
          <w:vAlign w:val="center"/>
        </w:tcPr>
        <w:p w:rsidR="00BD37B0" w:rsidRDefault="0020178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rsidR="00BD37B0" w:rsidRDefault="00BD37B0">
          <w:pPr>
            <w:jc w:val="both"/>
            <w:rPr>
              <w:rFonts w:ascii="Palatino Linotype" w:eastAsia="Palatino Linotype" w:hAnsi="Palatino Linotype" w:cs="Palatino Linotype"/>
              <w:b/>
              <w:sz w:val="22"/>
              <w:szCs w:val="22"/>
            </w:rPr>
          </w:pPr>
        </w:p>
      </w:tc>
    </w:tr>
    <w:tr w:rsidR="00BD37B0">
      <w:trPr>
        <w:trHeight w:val="228"/>
      </w:trPr>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Sistema Municipal para el </w:t>
          </w:r>
        </w:p>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Desarrollo Integral de la Familia de de Metepec.</w:t>
          </w:r>
        </w:p>
      </w:tc>
    </w:tr>
    <w:tr w:rsidR="00BD37B0">
      <w:tc>
        <w:tcPr>
          <w:tcW w:w="2551" w:type="dxa"/>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rsidR="00BD37B0" w:rsidRDefault="002017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D37B0" w:rsidRDefault="00BD37B0">
    <w:pPr>
      <w:pBdr>
        <w:top w:val="nil"/>
        <w:left w:val="nil"/>
        <w:bottom w:val="nil"/>
        <w:right w:val="nil"/>
        <w:between w:val="nil"/>
      </w:pBdr>
      <w:tabs>
        <w:tab w:val="center" w:pos="4419"/>
        <w:tab w:val="right" w:pos="8838"/>
      </w:tabs>
      <w:rPr>
        <w:color w:val="000000"/>
      </w:rPr>
    </w:pPr>
  </w:p>
  <w:p w:rsidR="00BD37B0" w:rsidRDefault="00BD37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60288" behindDoc="1" locked="0" layoutInCell="1" hidden="0" allowOverlap="1">
          <wp:simplePos x="0" y="0"/>
          <wp:positionH relativeFrom="column">
            <wp:posOffset>-754379</wp:posOffset>
          </wp:positionH>
          <wp:positionV relativeFrom="paragraph">
            <wp:posOffset>6350</wp:posOffset>
          </wp:positionV>
          <wp:extent cx="7635163" cy="9944100"/>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3"/>
      <w:tblW w:w="5528" w:type="dxa"/>
      <w:tblInd w:w="3261" w:type="dxa"/>
      <w:tblLayout w:type="fixed"/>
      <w:tblLook w:val="0400" w:firstRow="0" w:lastRow="0" w:firstColumn="0" w:lastColumn="0" w:noHBand="0" w:noVBand="1"/>
    </w:tblPr>
    <w:tblGrid>
      <w:gridCol w:w="2552"/>
      <w:gridCol w:w="2976"/>
    </w:tblGrid>
    <w:tr w:rsidR="00BD37B0">
      <w:tc>
        <w:tcPr>
          <w:tcW w:w="2552" w:type="dxa"/>
          <w:vAlign w:val="center"/>
        </w:tcPr>
        <w:p w:rsidR="00BD37B0" w:rsidRDefault="002017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BD37B0" w:rsidRDefault="0020178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02504/INFOEM/IP/RR/2022 y acumulados</w:t>
          </w:r>
        </w:p>
      </w:tc>
    </w:tr>
    <w:tr w:rsidR="00BD37B0">
      <w:trPr>
        <w:trHeight w:val="228"/>
      </w:trPr>
      <w:tc>
        <w:tcPr>
          <w:tcW w:w="2552" w:type="dxa"/>
          <w:vAlign w:val="center"/>
        </w:tcPr>
        <w:p w:rsidR="00BD37B0" w:rsidRDefault="002017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BD37B0" w:rsidRDefault="0020178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BD37B0">
      <w:tc>
        <w:tcPr>
          <w:tcW w:w="2552" w:type="dxa"/>
          <w:vAlign w:val="center"/>
        </w:tcPr>
        <w:p w:rsidR="00BD37B0" w:rsidRDefault="002017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BD37B0" w:rsidRDefault="00201786">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BD37B0" w:rsidRDefault="0020178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B0" w:rsidRDefault="00201786">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1312" behindDoc="1" locked="0" layoutInCell="1" hidden="0" allowOverlap="1">
          <wp:simplePos x="0" y="0"/>
          <wp:positionH relativeFrom="column">
            <wp:posOffset>-1188719</wp:posOffset>
          </wp:positionH>
          <wp:positionV relativeFrom="paragraph">
            <wp:posOffset>-447039</wp:posOffset>
          </wp:positionV>
          <wp:extent cx="7635163" cy="9944100"/>
          <wp:effectExtent l="0" t="0" r="0" b="0"/>
          <wp:wrapNone/>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2"/>
      <w:tblW w:w="5670" w:type="dxa"/>
      <w:tblInd w:w="3261" w:type="dxa"/>
      <w:tblLayout w:type="fixed"/>
      <w:tblLook w:val="0400" w:firstRow="0" w:lastRow="0" w:firstColumn="0" w:lastColumn="0" w:noHBand="0" w:noVBand="1"/>
    </w:tblPr>
    <w:tblGrid>
      <w:gridCol w:w="2551"/>
      <w:gridCol w:w="3119"/>
    </w:tblGrid>
    <w:tr w:rsidR="00BD37B0">
      <w:tc>
        <w:tcPr>
          <w:tcW w:w="2551" w:type="dxa"/>
          <w:shd w:val="clear" w:color="auto" w:fill="auto"/>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BD37B0" w:rsidRDefault="00201786">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02499/INFOEM/IP/RR/2022</w:t>
          </w:r>
        </w:p>
      </w:tc>
    </w:tr>
    <w:tr w:rsidR="00BD37B0">
      <w:trPr>
        <w:trHeight w:val="130"/>
      </w:trPr>
      <w:tc>
        <w:tcPr>
          <w:tcW w:w="2551" w:type="dxa"/>
          <w:shd w:val="clear" w:color="auto" w:fill="auto"/>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BD37B0" w:rsidRDefault="00BD37B0">
          <w:pPr>
            <w:ind w:left="-45"/>
            <w:rPr>
              <w:rFonts w:ascii="Palatino Linotype" w:eastAsia="Palatino Linotype" w:hAnsi="Palatino Linotype" w:cs="Palatino Linotype"/>
              <w:b/>
              <w:sz w:val="22"/>
              <w:szCs w:val="22"/>
            </w:rPr>
          </w:pPr>
        </w:p>
      </w:tc>
    </w:tr>
    <w:tr w:rsidR="00BD37B0">
      <w:trPr>
        <w:trHeight w:val="228"/>
      </w:trPr>
      <w:tc>
        <w:tcPr>
          <w:tcW w:w="2551" w:type="dxa"/>
          <w:shd w:val="clear" w:color="auto" w:fill="auto"/>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BD37B0" w:rsidRDefault="00201786">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BD37B0">
      <w:tc>
        <w:tcPr>
          <w:tcW w:w="2551" w:type="dxa"/>
          <w:shd w:val="clear" w:color="auto" w:fill="auto"/>
          <w:vAlign w:val="center"/>
        </w:tcPr>
        <w:p w:rsidR="00BD37B0" w:rsidRDefault="002017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BD37B0" w:rsidRDefault="00201786">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D37B0" w:rsidRDefault="00BD37B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C7B5B"/>
    <w:multiLevelType w:val="multilevel"/>
    <w:tmpl w:val="246233DA"/>
    <w:lvl w:ilvl="0">
      <w:start w:val="3"/>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491F16"/>
    <w:multiLevelType w:val="multilevel"/>
    <w:tmpl w:val="810069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011559"/>
    <w:multiLevelType w:val="multilevel"/>
    <w:tmpl w:val="5492C8D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667F5A76"/>
    <w:multiLevelType w:val="multilevel"/>
    <w:tmpl w:val="59AE0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B0"/>
    <w:rsid w:val="000D51E5"/>
    <w:rsid w:val="00201786"/>
    <w:rsid w:val="00B12B8F"/>
    <w:rsid w:val="00BD37B0"/>
    <w:rsid w:val="00DC6A55"/>
    <w:rsid w:val="00E832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AC2B1-16C9-4A0D-AE35-704EEF44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7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iedepgina">
    <w:name w:val="footer"/>
    <w:basedOn w:val="Normal"/>
    <w:link w:val="PiedepginaCar"/>
    <w:uiPriority w:val="99"/>
    <w:unhideWhenUsed/>
    <w:rsid w:val="008B67A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B67A3"/>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B67A3"/>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B67A3"/>
    <w:pPr>
      <w:ind w:left="708"/>
    </w:pPr>
    <w:rPr>
      <w:sz w:val="22"/>
      <w:szCs w:val="22"/>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B67A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B67A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8B67A3"/>
    <w:rPr>
      <w:sz w:val="20"/>
      <w:szCs w:val="20"/>
    </w:rPr>
  </w:style>
  <w:style w:type="table" w:customStyle="1" w:styleId="Tabladelista1clara-nfasis11">
    <w:name w:val="Tabla de lista 1 clara - Énfasis 11"/>
    <w:basedOn w:val="Tablanormal"/>
    <w:uiPriority w:val="46"/>
    <w:rsid w:val="008B67A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cabezado">
    <w:name w:val="header"/>
    <w:basedOn w:val="Normal"/>
    <w:link w:val="EncabezadoCar"/>
    <w:uiPriority w:val="99"/>
    <w:unhideWhenUsed/>
    <w:rsid w:val="008B67A3"/>
    <w:pPr>
      <w:tabs>
        <w:tab w:val="center" w:pos="4419"/>
        <w:tab w:val="right" w:pos="8838"/>
      </w:tabs>
    </w:pPr>
  </w:style>
  <w:style w:type="character" w:customStyle="1" w:styleId="EncabezadoCar">
    <w:name w:val="Encabezado Car"/>
    <w:basedOn w:val="Fuentedeprrafopredeter"/>
    <w:link w:val="Encabezado"/>
    <w:uiPriority w:val="99"/>
    <w:rsid w:val="008B67A3"/>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8B67A3"/>
    <w:rPr>
      <w:color w:val="0000FF"/>
      <w:u w:val="single"/>
    </w:rPr>
  </w:style>
  <w:style w:type="paragraph" w:styleId="NormalWeb">
    <w:name w:val="Normal (Web)"/>
    <w:basedOn w:val="Normal"/>
    <w:uiPriority w:val="99"/>
    <w:semiHidden/>
    <w:unhideWhenUsed/>
    <w:rsid w:val="002711EC"/>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9727.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ljkGl+Uj6mNZkJSc62Gz2pnb6g==">AMUW2mVPDZ8ybuiilkwRra8D9LxCATBiJXjwjGkLPt/ToA6BSFBsoyFkbLQvTwo4hZ8J1fyZj3E5wDN4MujKHEcDFbXPXhPKkhgVqrj1xc0Vv2H5TL/54hEw92RMV7EROOsS09EdJjMdUW0HfFY4ox5Fw23jsmyFCjpvZtwyj+wI+lIDk6xYQhDANuBx3m9ozeC+oEzzXia8+WVrj3aaKuuEPbUHPhsa/w==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11778</Words>
  <Characters>64785</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Infoem-User</cp:lastModifiedBy>
  <cp:revision>4</cp:revision>
  <cp:lastPrinted>2022-06-09T16:13:00Z</cp:lastPrinted>
  <dcterms:created xsi:type="dcterms:W3CDTF">2022-06-09T00:55:00Z</dcterms:created>
  <dcterms:modified xsi:type="dcterms:W3CDTF">2022-06-09T16:13:00Z</dcterms:modified>
</cp:coreProperties>
</file>