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6F492F84" w:rsidR="00EA0165" w:rsidRPr="00E72B09" w:rsidRDefault="00EA0165" w:rsidP="00B25EA5">
      <w:pPr>
        <w:shd w:val="clear" w:color="auto" w:fill="FFFFFF" w:themeFill="background1"/>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72B09">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72B09">
        <w:rPr>
          <w:rFonts w:ascii="Palatino Linotype" w:eastAsiaTheme="minorEastAsia" w:hAnsi="Palatino Linotype" w:cstheme="minorBidi"/>
          <w:color w:val="000000" w:themeColor="text1"/>
          <w:lang w:val="es-ES_tradnl"/>
        </w:rPr>
        <w:t xml:space="preserve">n Metepec, Estado </w:t>
      </w:r>
      <w:r w:rsidR="00F919B8">
        <w:rPr>
          <w:rFonts w:ascii="Palatino Linotype" w:eastAsiaTheme="minorEastAsia" w:hAnsi="Palatino Linotype" w:cstheme="minorBidi"/>
          <w:color w:val="000000" w:themeColor="text1"/>
          <w:lang w:val="es-ES_tradnl"/>
        </w:rPr>
        <w:t>de México; de dieciocho</w:t>
      </w:r>
      <w:r w:rsidR="00B96D41" w:rsidRPr="00E72B09">
        <w:rPr>
          <w:rFonts w:ascii="Palatino Linotype" w:eastAsiaTheme="minorEastAsia" w:hAnsi="Palatino Linotype" w:cstheme="minorBidi"/>
          <w:color w:val="000000" w:themeColor="text1"/>
          <w:lang w:val="es-ES_tradnl"/>
        </w:rPr>
        <w:t xml:space="preserve"> </w:t>
      </w:r>
      <w:r w:rsidRPr="00E72B09">
        <w:rPr>
          <w:rFonts w:ascii="Palatino Linotype" w:eastAsiaTheme="minorEastAsia" w:hAnsi="Palatino Linotype" w:cstheme="minorBidi"/>
          <w:color w:val="000000" w:themeColor="text1"/>
          <w:lang w:val="es-MX"/>
        </w:rPr>
        <w:t>(</w:t>
      </w:r>
      <w:r w:rsidR="00F919B8">
        <w:rPr>
          <w:rFonts w:ascii="Palatino Linotype" w:eastAsiaTheme="minorEastAsia" w:hAnsi="Palatino Linotype" w:cstheme="minorBidi"/>
          <w:color w:val="000000" w:themeColor="text1"/>
          <w:lang w:val="es-MX"/>
        </w:rPr>
        <w:t>18</w:t>
      </w:r>
      <w:r w:rsidRPr="00E72B09">
        <w:rPr>
          <w:rFonts w:ascii="Palatino Linotype" w:eastAsiaTheme="minorEastAsia" w:hAnsi="Palatino Linotype" w:cstheme="minorBidi"/>
          <w:color w:val="000000" w:themeColor="text1"/>
          <w:lang w:val="es-MX"/>
        </w:rPr>
        <w:t>) de</w:t>
      </w:r>
      <w:r w:rsidR="00F919B8">
        <w:rPr>
          <w:rFonts w:ascii="Palatino Linotype" w:eastAsiaTheme="minorEastAsia" w:hAnsi="Palatino Linotype" w:cstheme="minorBidi"/>
          <w:color w:val="000000" w:themeColor="text1"/>
          <w:lang w:val="es-MX"/>
        </w:rPr>
        <w:t xml:space="preserve"> mayo </w:t>
      </w:r>
      <w:r w:rsidR="00003CF3" w:rsidRPr="00E72B09">
        <w:rPr>
          <w:rFonts w:ascii="Palatino Linotype" w:eastAsiaTheme="minorEastAsia" w:hAnsi="Palatino Linotype" w:cstheme="minorBidi"/>
          <w:color w:val="000000" w:themeColor="text1"/>
          <w:lang w:val="es-MX"/>
        </w:rPr>
        <w:t>de dos mil veintidós</w:t>
      </w:r>
      <w:r w:rsidRPr="00E72B09">
        <w:rPr>
          <w:rFonts w:ascii="Palatino Linotype" w:eastAsiaTheme="minorEastAsia" w:hAnsi="Palatino Linotype" w:cstheme="minorBidi"/>
          <w:color w:val="000000" w:themeColor="text1"/>
          <w:lang w:val="es-ES_tradnl"/>
        </w:rPr>
        <w:t xml:space="preserve">. </w:t>
      </w:r>
    </w:p>
    <w:p w14:paraId="04BA23EF" w14:textId="76FD822F" w:rsidR="00CA183E" w:rsidRPr="00F919B8" w:rsidRDefault="00CA183E" w:rsidP="00B25EA5">
      <w:pPr>
        <w:shd w:val="clear" w:color="auto" w:fill="FFFFFF" w:themeFill="background1"/>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72B09">
        <w:rPr>
          <w:rFonts w:ascii="Palatino Linotype" w:eastAsiaTheme="minorEastAsia" w:hAnsi="Palatino Linotype" w:cstheme="minorBidi"/>
          <w:b/>
          <w:color w:val="000000" w:themeColor="text1"/>
          <w:lang w:val="es-ES_tradnl"/>
        </w:rPr>
        <w:t>VISTO</w:t>
      </w:r>
      <w:r w:rsidRPr="00E72B09">
        <w:rPr>
          <w:rFonts w:ascii="Palatino Linotype" w:eastAsiaTheme="minorEastAsia" w:hAnsi="Palatino Linotype" w:cstheme="minorBidi"/>
          <w:color w:val="000000" w:themeColor="text1"/>
          <w:lang w:val="es-ES_tradnl"/>
        </w:rPr>
        <w:t xml:space="preserve"> el expediente electrónico formado con motivo del recurso de revisión</w:t>
      </w:r>
      <w:r w:rsidR="00F919B8">
        <w:rPr>
          <w:rFonts w:ascii="Palatino Linotype" w:eastAsiaTheme="minorEastAsia" w:hAnsi="Palatino Linotype" w:cstheme="minorBidi"/>
          <w:b/>
          <w:bCs/>
          <w:color w:val="000000" w:themeColor="text1"/>
        </w:rPr>
        <w:t xml:space="preserve"> </w:t>
      </w:r>
      <w:r w:rsidR="00F919B8" w:rsidRPr="00F919B8">
        <w:rPr>
          <w:rFonts w:ascii="Palatino Linotype" w:eastAsiaTheme="minorEastAsia" w:hAnsi="Palatino Linotype" w:cstheme="minorBidi"/>
          <w:b/>
          <w:bCs/>
          <w:color w:val="000000" w:themeColor="text1"/>
        </w:rPr>
        <w:t>01768/INFOEM/IP/RR/2022</w:t>
      </w:r>
      <w:r w:rsidR="001B0FA2" w:rsidRPr="00E72B09">
        <w:rPr>
          <w:rFonts w:ascii="Palatino Linotype" w:eastAsiaTheme="minorEastAsia" w:hAnsi="Palatino Linotype" w:cstheme="minorBidi"/>
          <w:b/>
          <w:bCs/>
          <w:color w:val="000000" w:themeColor="text1"/>
        </w:rPr>
        <w:t xml:space="preserve">, </w:t>
      </w:r>
      <w:r w:rsidRPr="00E72B09">
        <w:rPr>
          <w:rFonts w:ascii="Palatino Linotype" w:eastAsiaTheme="minorEastAsia" w:hAnsi="Palatino Linotype" w:cstheme="minorBidi"/>
          <w:color w:val="000000" w:themeColor="text1"/>
          <w:lang w:val="es-ES_tradnl"/>
        </w:rPr>
        <w:t>promovido por</w:t>
      </w:r>
      <w:r w:rsidR="00F919B8">
        <w:rPr>
          <w:rFonts w:ascii="Palatino Linotype" w:eastAsiaTheme="minorEastAsia" w:hAnsi="Palatino Linotype" w:cstheme="minorBidi"/>
          <w:color w:val="000000" w:themeColor="text1"/>
          <w:lang w:val="es-ES_tradnl"/>
        </w:rPr>
        <w:t xml:space="preserve"> </w:t>
      </w:r>
      <w:r w:rsidR="006E65F3">
        <w:rPr>
          <w:rFonts w:ascii="Palatino Linotype" w:eastAsiaTheme="minorEastAsia" w:hAnsi="Palatino Linotype" w:cstheme="minorBidi"/>
          <w:b/>
          <w:color w:val="000000" w:themeColor="text1"/>
          <w:lang w:val="es-ES_tradnl"/>
        </w:rPr>
        <w:t>XXX XXXX XXX</w:t>
      </w:r>
      <w:r w:rsidR="00F919B8">
        <w:rPr>
          <w:rFonts w:ascii="Palatino Linotype" w:eastAsiaTheme="minorEastAsia" w:hAnsi="Palatino Linotype" w:cstheme="minorBidi"/>
          <w:b/>
          <w:color w:val="000000" w:themeColor="text1"/>
          <w:lang w:val="es-ES_tradnl"/>
        </w:rPr>
        <w:t xml:space="preserve"> </w:t>
      </w:r>
      <w:r w:rsidRPr="00E72B09">
        <w:rPr>
          <w:rFonts w:ascii="Palatino Linotype" w:eastAsiaTheme="minorEastAsia" w:hAnsi="Palatino Linotype" w:cstheme="minorBidi"/>
          <w:color w:val="000000" w:themeColor="text1"/>
          <w:lang w:val="es-ES_tradnl"/>
        </w:rPr>
        <w:t xml:space="preserve">en su calidad de </w:t>
      </w:r>
      <w:r w:rsidRPr="00E72B09">
        <w:rPr>
          <w:rFonts w:ascii="Palatino Linotype" w:eastAsiaTheme="minorEastAsia" w:hAnsi="Palatino Linotype" w:cstheme="minorBidi"/>
          <w:b/>
          <w:color w:val="000000" w:themeColor="text1"/>
          <w:lang w:val="es-ES_tradnl"/>
        </w:rPr>
        <w:t>RECURRENTE</w:t>
      </w:r>
      <w:r w:rsidRPr="00E72B09">
        <w:rPr>
          <w:rFonts w:ascii="Palatino Linotype" w:eastAsiaTheme="minorEastAsia" w:hAnsi="Palatino Linotype" w:cstheme="minorBidi"/>
          <w:color w:val="000000" w:themeColor="text1"/>
          <w:lang w:val="es-ES_tradnl"/>
        </w:rPr>
        <w:t>, en</w:t>
      </w:r>
      <w:r w:rsidR="00F919B8">
        <w:rPr>
          <w:rFonts w:ascii="Palatino Linotype" w:eastAsiaTheme="minorEastAsia" w:hAnsi="Palatino Linotype" w:cstheme="minorBidi"/>
          <w:color w:val="000000" w:themeColor="text1"/>
          <w:lang w:val="es-ES_tradnl"/>
        </w:rPr>
        <w:t xml:space="preserve"> contra de la respuesta del </w:t>
      </w:r>
      <w:r w:rsidR="00F919B8" w:rsidRPr="00F919B8">
        <w:rPr>
          <w:rFonts w:ascii="Palatino Linotype" w:eastAsiaTheme="minorEastAsia" w:hAnsi="Palatino Linotype" w:cstheme="minorBidi"/>
          <w:b/>
          <w:bCs/>
          <w:color w:val="000000" w:themeColor="text1"/>
        </w:rPr>
        <w:t xml:space="preserve">Ayuntamiento de Almoloya de </w:t>
      </w:r>
      <w:proofErr w:type="spellStart"/>
      <w:r w:rsidR="00F919B8" w:rsidRPr="00F919B8">
        <w:rPr>
          <w:rFonts w:ascii="Palatino Linotype" w:eastAsiaTheme="minorEastAsia" w:hAnsi="Palatino Linotype" w:cstheme="minorBidi"/>
          <w:b/>
          <w:bCs/>
          <w:color w:val="000000" w:themeColor="text1"/>
        </w:rPr>
        <w:t>Alquisiras</w:t>
      </w:r>
      <w:proofErr w:type="spellEnd"/>
      <w:r w:rsidR="00F919B8">
        <w:rPr>
          <w:rFonts w:ascii="Palatino Linotype" w:eastAsiaTheme="minorEastAsia" w:hAnsi="Palatino Linotype" w:cstheme="minorBidi"/>
          <w:color w:val="000000" w:themeColor="text1"/>
          <w:lang w:val="es-ES_tradnl"/>
        </w:rPr>
        <w:t xml:space="preserve"> </w:t>
      </w:r>
      <w:r w:rsidR="001B0FA2" w:rsidRPr="00E72B09">
        <w:rPr>
          <w:rFonts w:ascii="Palatino Linotype" w:eastAsiaTheme="minorEastAsia" w:hAnsi="Palatino Linotype" w:cstheme="minorBidi"/>
          <w:color w:val="000000" w:themeColor="text1"/>
          <w:lang w:val="es-ES_tradnl"/>
        </w:rPr>
        <w:t>en lo</w:t>
      </w:r>
      <w:r w:rsidR="001B0FA2" w:rsidRPr="00E72B09">
        <w:rPr>
          <w:rFonts w:ascii="Palatino Linotype" w:eastAsiaTheme="minorEastAsia" w:hAnsi="Palatino Linotype" w:cstheme="minorBidi"/>
          <w:b/>
          <w:color w:val="000000" w:themeColor="text1"/>
          <w:lang w:val="es-ES_tradnl"/>
        </w:rPr>
        <w:t xml:space="preserve"> </w:t>
      </w:r>
      <w:r w:rsidRPr="00E72B09">
        <w:rPr>
          <w:rFonts w:ascii="Palatino Linotype" w:eastAsiaTheme="minorEastAsia" w:hAnsi="Palatino Linotype" w:cstheme="minorBidi"/>
          <w:color w:val="000000" w:themeColor="text1"/>
          <w:lang w:val="es-ES_tradnl"/>
        </w:rPr>
        <w:t>sucesivo el</w:t>
      </w:r>
      <w:r w:rsidRPr="00E72B09">
        <w:rPr>
          <w:rFonts w:ascii="Palatino Linotype" w:eastAsiaTheme="minorEastAsia" w:hAnsi="Palatino Linotype" w:cstheme="minorBidi"/>
          <w:b/>
          <w:color w:val="000000" w:themeColor="text1"/>
          <w:lang w:val="es-ES_tradnl"/>
        </w:rPr>
        <w:t xml:space="preserve"> SUJETO OBLIGADO, </w:t>
      </w:r>
      <w:r w:rsidRPr="00E72B09">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E72B09" w:rsidRDefault="00EA0165" w:rsidP="00B25EA5">
      <w:pPr>
        <w:pStyle w:val="Ttulo1"/>
        <w:shd w:val="clear" w:color="auto" w:fill="FFFFFF" w:themeFill="background1"/>
        <w:spacing w:line="360" w:lineRule="auto"/>
        <w:jc w:val="center"/>
        <w:rPr>
          <w:rFonts w:ascii="Palatino Linotype" w:hAnsi="Palatino Linotype"/>
          <w:b/>
          <w:color w:val="000000" w:themeColor="text1"/>
          <w:sz w:val="24"/>
          <w:szCs w:val="24"/>
          <w:lang w:val="es-MX" w:eastAsia="en-US"/>
        </w:rPr>
      </w:pPr>
      <w:bookmarkStart w:id="3" w:name="_Toc103199980"/>
      <w:r w:rsidRPr="00E72B09">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5CD7B72D" w:rsidR="00707416" w:rsidRPr="00C17D9B" w:rsidRDefault="00EA0165" w:rsidP="00B25EA5">
      <w:pPr>
        <w:pStyle w:val="Prrafodelista"/>
        <w:numPr>
          <w:ilvl w:val="0"/>
          <w:numId w:val="2"/>
        </w:numPr>
        <w:shd w:val="clear" w:color="auto" w:fill="FFFFFF" w:themeFill="background1"/>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E72B09">
        <w:rPr>
          <w:rFonts w:ascii="Palatino Linotype" w:eastAsia="Calibri" w:hAnsi="Palatino Linotype" w:cs="Arial"/>
          <w:color w:val="000000" w:themeColor="text1"/>
        </w:rPr>
        <w:t>El</w:t>
      </w:r>
      <w:r w:rsidR="00F216D7" w:rsidRPr="00E72B09">
        <w:rPr>
          <w:rFonts w:ascii="Palatino Linotype" w:eastAsia="Calibri" w:hAnsi="Palatino Linotype" w:cs="Arial"/>
          <w:color w:val="000000" w:themeColor="text1"/>
        </w:rPr>
        <w:t xml:space="preserve"> </w:t>
      </w:r>
      <w:r w:rsidR="00F919B8">
        <w:rPr>
          <w:rFonts w:ascii="Palatino Linotype" w:eastAsia="Calibri" w:hAnsi="Palatino Linotype" w:cs="Arial"/>
          <w:color w:val="000000" w:themeColor="text1"/>
        </w:rPr>
        <w:t>veinte</w:t>
      </w:r>
      <w:r w:rsidR="00A1039C" w:rsidRPr="00E72B09">
        <w:rPr>
          <w:rFonts w:ascii="Palatino Linotype" w:eastAsia="Calibri" w:hAnsi="Palatino Linotype" w:cs="Arial"/>
          <w:color w:val="000000" w:themeColor="text1"/>
        </w:rPr>
        <w:t xml:space="preserve"> </w:t>
      </w:r>
      <w:r w:rsidRPr="00E72B09">
        <w:rPr>
          <w:rFonts w:ascii="Palatino Linotype" w:eastAsia="Calibri" w:hAnsi="Palatino Linotype" w:cs="Arial"/>
          <w:color w:val="000000" w:themeColor="text1"/>
        </w:rPr>
        <w:t>(</w:t>
      </w:r>
      <w:r w:rsidR="00F919B8">
        <w:rPr>
          <w:rFonts w:ascii="Palatino Linotype" w:eastAsia="Calibri" w:hAnsi="Palatino Linotype" w:cs="Arial"/>
          <w:color w:val="000000" w:themeColor="text1"/>
        </w:rPr>
        <w:t>20</w:t>
      </w:r>
      <w:r w:rsidRPr="00E72B09">
        <w:rPr>
          <w:rFonts w:ascii="Palatino Linotype" w:eastAsia="Calibri" w:hAnsi="Palatino Linotype" w:cs="Arial"/>
          <w:color w:val="000000" w:themeColor="text1"/>
        </w:rPr>
        <w:t>) de</w:t>
      </w:r>
      <w:r w:rsidR="001B0FA2" w:rsidRPr="00E72B09">
        <w:rPr>
          <w:rFonts w:ascii="Palatino Linotype" w:eastAsia="Calibri" w:hAnsi="Palatino Linotype" w:cs="Arial"/>
          <w:color w:val="000000" w:themeColor="text1"/>
        </w:rPr>
        <w:t xml:space="preserve"> enero </w:t>
      </w:r>
      <w:r w:rsidRPr="00E72B09">
        <w:rPr>
          <w:rFonts w:ascii="Palatino Linotype" w:eastAsia="Calibri" w:hAnsi="Palatino Linotype" w:cs="Arial"/>
          <w:color w:val="000000" w:themeColor="text1"/>
        </w:rPr>
        <w:t xml:space="preserve">de dos mil </w:t>
      </w:r>
      <w:r w:rsidR="001B0FA2" w:rsidRPr="00E72B09">
        <w:rPr>
          <w:rFonts w:ascii="Palatino Linotype" w:eastAsia="Calibri" w:hAnsi="Palatino Linotype" w:cs="Arial"/>
          <w:color w:val="000000" w:themeColor="text1"/>
        </w:rPr>
        <w:t>veintidós</w:t>
      </w:r>
      <w:r w:rsidRPr="00E72B09">
        <w:rPr>
          <w:rFonts w:ascii="Palatino Linotype" w:eastAsia="Calibri" w:hAnsi="Palatino Linotype" w:cs="Arial"/>
          <w:color w:val="000000" w:themeColor="text1"/>
        </w:rPr>
        <w:t xml:space="preserve">, </w:t>
      </w:r>
      <w:r w:rsidRPr="00E72B09">
        <w:rPr>
          <w:rFonts w:ascii="Palatino Linotype" w:eastAsiaTheme="minorEastAsia" w:hAnsi="Palatino Linotype" w:cstheme="minorBidi"/>
          <w:color w:val="000000" w:themeColor="text1"/>
          <w:lang w:val="es-ES_tradnl"/>
        </w:rPr>
        <w:t>el particular presentó</w:t>
      </w:r>
      <w:r w:rsidRPr="00E72B09">
        <w:rPr>
          <w:rFonts w:ascii="Palatino Linotype" w:eastAsiaTheme="minorEastAsia" w:hAnsi="Palatino Linotype" w:cstheme="minorBidi"/>
          <w:b/>
          <w:color w:val="000000" w:themeColor="text1"/>
          <w:lang w:val="es-ES_tradnl"/>
        </w:rPr>
        <w:t xml:space="preserve"> </w:t>
      </w:r>
      <w:r w:rsidR="00936BED" w:rsidRPr="00E72B09">
        <w:rPr>
          <w:rFonts w:ascii="Palatino Linotype" w:eastAsiaTheme="minorEastAsia" w:hAnsi="Palatino Linotype" w:cstheme="minorBidi"/>
          <w:bCs/>
          <w:color w:val="000000" w:themeColor="text1"/>
          <w:lang w:val="es-ES_tradnl"/>
        </w:rPr>
        <w:t>a través de</w:t>
      </w:r>
      <w:r w:rsidR="00923BD9" w:rsidRPr="00E72B09">
        <w:rPr>
          <w:rFonts w:ascii="Palatino Linotype" w:eastAsiaTheme="minorEastAsia" w:hAnsi="Palatino Linotype" w:cstheme="minorBidi"/>
          <w:bCs/>
          <w:color w:val="000000" w:themeColor="text1"/>
          <w:lang w:val="es-ES_tradnl"/>
        </w:rPr>
        <w:t>l</w:t>
      </w:r>
      <w:r w:rsidR="00923BD9" w:rsidRPr="00E72B09">
        <w:rPr>
          <w:rFonts w:ascii="Palatino Linotype" w:eastAsia="Calibri" w:hAnsi="Palatino Linotype" w:cs="Arial"/>
          <w:color w:val="000000" w:themeColor="text1"/>
        </w:rPr>
        <w:t xml:space="preserve"> </w:t>
      </w:r>
      <w:r w:rsidR="00923BD9" w:rsidRPr="00E72B09">
        <w:rPr>
          <w:rFonts w:ascii="Palatino Linotype" w:eastAsiaTheme="minorEastAsia" w:hAnsi="Palatino Linotype" w:cstheme="minorBidi"/>
          <w:bCs/>
          <w:color w:val="000000" w:themeColor="text1"/>
        </w:rPr>
        <w:t xml:space="preserve">Sistema de Acceso a la Información Mexiquense </w:t>
      </w:r>
      <w:r w:rsidR="00923BD9" w:rsidRPr="00E72B09">
        <w:rPr>
          <w:rFonts w:ascii="Palatino Linotype" w:eastAsiaTheme="minorEastAsia" w:hAnsi="Palatino Linotype" w:cstheme="minorBidi"/>
          <w:b/>
          <w:bCs/>
          <w:color w:val="000000" w:themeColor="text1"/>
        </w:rPr>
        <w:t>(SAIMEX)</w:t>
      </w:r>
      <w:r w:rsidRPr="00E72B09">
        <w:rPr>
          <w:rFonts w:ascii="Palatino Linotype" w:eastAsia="Calibri" w:hAnsi="Palatino Linotype" w:cs="Arial"/>
          <w:b/>
          <w:color w:val="000000" w:themeColor="text1"/>
        </w:rPr>
        <w:t xml:space="preserve">, </w:t>
      </w:r>
      <w:r w:rsidRPr="00E72B09">
        <w:rPr>
          <w:rFonts w:ascii="Palatino Linotype" w:eastAsia="Calibri" w:hAnsi="Palatino Linotype" w:cs="Arial"/>
          <w:color w:val="000000" w:themeColor="text1"/>
        </w:rPr>
        <w:t>la solicitud de información pública registrada con el número</w:t>
      </w:r>
      <w:r w:rsidR="00C17D9B">
        <w:rPr>
          <w:rFonts w:ascii="Palatino Linotype" w:eastAsia="Calibri" w:hAnsi="Palatino Linotype" w:cs="Arial"/>
          <w:color w:val="000000" w:themeColor="text1"/>
        </w:rPr>
        <w:t xml:space="preserve"> </w:t>
      </w:r>
      <w:r w:rsidR="00C17D9B" w:rsidRPr="00C17D9B">
        <w:rPr>
          <w:rFonts w:ascii="Palatino Linotype" w:eastAsia="Calibri" w:hAnsi="Palatino Linotype" w:cs="Arial"/>
          <w:b/>
          <w:bCs/>
          <w:color w:val="000000" w:themeColor="text1"/>
        </w:rPr>
        <w:t>00008/ALMOAL/IP/2022</w:t>
      </w:r>
      <w:r w:rsidR="00C17D9B">
        <w:rPr>
          <w:rFonts w:ascii="Palatino Linotype" w:eastAsia="Calibri" w:hAnsi="Palatino Linotype" w:cs="Arial"/>
          <w:color w:val="000000" w:themeColor="text1"/>
        </w:rPr>
        <w:t xml:space="preserve">, </w:t>
      </w:r>
      <w:r w:rsidRPr="00C17D9B">
        <w:rPr>
          <w:rFonts w:ascii="Palatino Linotype" w:eastAsia="Calibri" w:hAnsi="Palatino Linotype" w:cs="Arial"/>
          <w:color w:val="000000" w:themeColor="text1"/>
        </w:rPr>
        <w:t>mediante la cual requirió:</w:t>
      </w:r>
    </w:p>
    <w:p w14:paraId="569CE5D7" w14:textId="77777777" w:rsidR="002E036D" w:rsidRPr="00E72B09" w:rsidRDefault="002E036D" w:rsidP="00B25EA5">
      <w:pPr>
        <w:pStyle w:val="Prrafodelista"/>
        <w:shd w:val="clear" w:color="auto" w:fill="FFFFFF" w:themeFill="background1"/>
        <w:tabs>
          <w:tab w:val="left" w:pos="426"/>
        </w:tabs>
        <w:spacing w:before="240" w:after="240" w:line="360" w:lineRule="auto"/>
        <w:ind w:left="0"/>
        <w:contextualSpacing/>
        <w:jc w:val="both"/>
        <w:rPr>
          <w:rFonts w:ascii="Palatino Linotype" w:eastAsia="Calibri" w:hAnsi="Palatino Linotype" w:cs="Arial"/>
          <w:color w:val="000000" w:themeColor="text1"/>
        </w:rPr>
      </w:pPr>
    </w:p>
    <w:p w14:paraId="119BF7E0" w14:textId="62959E3B" w:rsidR="00EA0165" w:rsidRPr="00E72B09" w:rsidRDefault="00EA0165" w:rsidP="00B25EA5">
      <w:pPr>
        <w:shd w:val="clear" w:color="auto" w:fill="FFFFFF" w:themeFill="background1"/>
        <w:spacing w:line="360" w:lineRule="auto"/>
        <w:ind w:left="567" w:right="616"/>
        <w:jc w:val="both"/>
        <w:rPr>
          <w:rFonts w:ascii="Palatino Linotype" w:hAnsi="Palatino Linotype"/>
          <w:i/>
          <w:lang w:val="es-MX" w:eastAsia="es-MX"/>
        </w:rPr>
      </w:pPr>
      <w:r w:rsidRPr="00E72B09">
        <w:rPr>
          <w:rFonts w:ascii="Palatino Linotype" w:eastAsiaTheme="minorEastAsia" w:hAnsi="Palatino Linotype" w:cstheme="minorBidi"/>
          <w:i/>
          <w:color w:val="000000" w:themeColor="text1"/>
          <w:lang w:val="es-ES_tradnl"/>
        </w:rPr>
        <w:t>“</w:t>
      </w:r>
      <w:r w:rsidR="00C17D9B" w:rsidRPr="00C17D9B">
        <w:rPr>
          <w:rFonts w:ascii="Palatino Linotype" w:eastAsiaTheme="minorEastAsia" w:hAnsi="Palatino Linotype" w:cstheme="minorBidi"/>
          <w:i/>
          <w:color w:val="000000" w:themeColor="text1"/>
          <w:lang w:val="es-ES_tradnl"/>
        </w:rPr>
        <w:t>solicito se informe el destino comprobado de los gastos que fueron aprobados el año pasado para el festejo del bicentenario del municipio, pues debido a la pandemia no se llevó a cabo, por lo que so</w:t>
      </w:r>
      <w:r w:rsidR="00C17D9B">
        <w:rPr>
          <w:rFonts w:ascii="Palatino Linotype" w:eastAsiaTheme="minorEastAsia" w:hAnsi="Palatino Linotype" w:cstheme="minorBidi"/>
          <w:i/>
          <w:color w:val="000000" w:themeColor="text1"/>
          <w:lang w:val="es-ES_tradnl"/>
        </w:rPr>
        <w:t>licito el destino de ese dinero</w:t>
      </w:r>
      <w:r w:rsidR="00A1039C" w:rsidRPr="00E72B09">
        <w:rPr>
          <w:rFonts w:ascii="Palatino Linotype" w:hAnsi="Palatino Linotype"/>
          <w:i/>
          <w:lang w:val="es-MX" w:eastAsia="es-MX"/>
        </w:rPr>
        <w:t>.</w:t>
      </w:r>
      <w:r w:rsidRPr="00E72B09">
        <w:rPr>
          <w:rFonts w:ascii="Palatino Linotype" w:eastAsiaTheme="minorEastAsia" w:hAnsi="Palatino Linotype" w:cstheme="minorBidi"/>
          <w:i/>
          <w:color w:val="000000" w:themeColor="text1"/>
          <w:lang w:val="es-ES_tradnl"/>
        </w:rPr>
        <w:t>” (Sic).</w:t>
      </w:r>
    </w:p>
    <w:p w14:paraId="1046CCE1" w14:textId="304A6F03" w:rsidR="00A415DB" w:rsidRPr="00E72B09" w:rsidRDefault="00A415DB" w:rsidP="00B25EA5">
      <w:pPr>
        <w:pStyle w:val="Prrafodelista"/>
        <w:shd w:val="clear" w:color="auto" w:fill="FFFFFF" w:themeFill="background1"/>
        <w:spacing w:line="360" w:lineRule="auto"/>
        <w:ind w:left="567" w:right="616"/>
        <w:contextualSpacing/>
        <w:rPr>
          <w:rFonts w:ascii="Palatino Linotype" w:eastAsiaTheme="minorEastAsia" w:hAnsi="Palatino Linotype" w:cstheme="minorBidi"/>
          <w:i/>
          <w:color w:val="000000" w:themeColor="text1"/>
          <w:lang w:val="es-ES_tradnl"/>
        </w:rPr>
      </w:pPr>
    </w:p>
    <w:p w14:paraId="5CDF046F" w14:textId="7FAEC915" w:rsidR="00DD02B8" w:rsidRPr="0070466C" w:rsidRDefault="0070466C" w:rsidP="00B25EA5">
      <w:pPr>
        <w:pStyle w:val="Prrafodelista"/>
        <w:numPr>
          <w:ilvl w:val="0"/>
          <w:numId w:val="2"/>
        </w:numPr>
        <w:shd w:val="clear" w:color="auto" w:fill="FFFFFF" w:themeFill="background1"/>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70466C">
        <w:rPr>
          <w:rFonts w:ascii="Palatino Linotype" w:hAnsi="Palatino Linotype" w:cs="Arial"/>
          <w:color w:val="000000" w:themeColor="text1"/>
        </w:rPr>
        <w:t xml:space="preserve">Se hace constar que el entonces </w:t>
      </w:r>
      <w:r w:rsidRPr="0070466C">
        <w:rPr>
          <w:rFonts w:ascii="Palatino Linotype" w:hAnsi="Palatino Linotype" w:cs="Arial"/>
          <w:b/>
          <w:color w:val="000000" w:themeColor="text1"/>
        </w:rPr>
        <w:t>SOLICITANTE</w:t>
      </w:r>
      <w:r w:rsidRPr="0070466C">
        <w:rPr>
          <w:rFonts w:ascii="Palatino Linotype" w:hAnsi="Palatino Linotype" w:cs="Arial"/>
          <w:color w:val="000000" w:themeColor="text1"/>
        </w:rPr>
        <w:t xml:space="preserve"> realizó requerimientos de información a través de la Plataforma Nacional de Transparencia, no obstante, de conformidad con el artículo 156 de la Ley de Transparencia Estatal se entenderá </w:t>
      </w:r>
      <w:r w:rsidRPr="0070466C">
        <w:rPr>
          <w:rFonts w:ascii="Palatino Linotype" w:hAnsi="Palatino Linotype" w:cs="Arial"/>
          <w:color w:val="000000" w:themeColor="text1"/>
        </w:rPr>
        <w:lastRenderedPageBreak/>
        <w:t>como medio de notificación a través del</w:t>
      </w:r>
      <w:r w:rsidRPr="0070466C">
        <w:rPr>
          <w:rFonts w:ascii="Palatino Linotype" w:hAnsi="Palatino Linotype" w:cs="Arial"/>
          <w:b/>
          <w:color w:val="000000" w:themeColor="text1"/>
        </w:rPr>
        <w:t xml:space="preserve"> SAIMEX </w:t>
      </w:r>
      <w:r w:rsidRPr="0070466C">
        <w:rPr>
          <w:rFonts w:ascii="Palatino Linotype" w:hAnsi="Palatino Linotype" w:cs="Arial"/>
          <w:color w:val="000000" w:themeColor="text1"/>
        </w:rPr>
        <w:t>ya que se encuentra vinculado a la Plata</w:t>
      </w:r>
      <w:r>
        <w:rPr>
          <w:rFonts w:ascii="Palatino Linotype" w:hAnsi="Palatino Linotype" w:cs="Arial"/>
          <w:color w:val="000000" w:themeColor="text1"/>
        </w:rPr>
        <w:t>forma Nacional de Transparencia.</w:t>
      </w:r>
    </w:p>
    <w:p w14:paraId="438C3DE3" w14:textId="77777777" w:rsidR="00DD02B8" w:rsidRPr="00E72B09" w:rsidRDefault="00DD02B8" w:rsidP="00B25EA5">
      <w:pPr>
        <w:pStyle w:val="Prrafodelista"/>
        <w:shd w:val="clear" w:color="auto" w:fill="FFFFFF" w:themeFill="background1"/>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2C4ABD59" w14:textId="1D078025" w:rsidR="00A3314E" w:rsidRPr="0070466C" w:rsidRDefault="0070466C" w:rsidP="00B25EA5">
      <w:pPr>
        <w:pStyle w:val="Prrafodelista"/>
        <w:numPr>
          <w:ilvl w:val="0"/>
          <w:numId w:val="2"/>
        </w:numPr>
        <w:shd w:val="clear" w:color="auto" w:fill="FFFFFF" w:themeFill="background1"/>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El treinta y uno (31</w:t>
      </w:r>
      <w:r w:rsidR="00DD02B8" w:rsidRPr="00E72B09">
        <w:rPr>
          <w:rFonts w:ascii="Palatino Linotype" w:hAnsi="Palatino Linotype" w:cs="Arial"/>
          <w:color w:val="000000" w:themeColor="text1"/>
        </w:rPr>
        <w:t>) de</w:t>
      </w:r>
      <w:r>
        <w:rPr>
          <w:rFonts w:ascii="Palatino Linotype" w:hAnsi="Palatino Linotype" w:cs="Arial"/>
          <w:color w:val="000000" w:themeColor="text1"/>
        </w:rPr>
        <w:t xml:space="preserve"> enero </w:t>
      </w:r>
      <w:r w:rsidR="00BC4C9B" w:rsidRPr="00E72B09">
        <w:rPr>
          <w:rFonts w:ascii="Palatino Linotype" w:hAnsi="Palatino Linotype" w:cs="Arial"/>
          <w:color w:val="000000" w:themeColor="text1"/>
        </w:rPr>
        <w:t>de dos mil veintidós,</w:t>
      </w:r>
      <w:r w:rsidR="00BC4C9B" w:rsidRPr="00E72B09">
        <w:rPr>
          <w:rFonts w:ascii="Palatino Linotype" w:hAnsi="Palatino Linotype"/>
        </w:rPr>
        <w:t xml:space="preserve"> </w:t>
      </w:r>
      <w:r w:rsidR="00BC4C9B" w:rsidRPr="00E72B09">
        <w:rPr>
          <w:rFonts w:ascii="Palatino Linotype" w:hAnsi="Palatino Linotype" w:cs="Arial"/>
          <w:color w:val="000000" w:themeColor="text1"/>
        </w:rPr>
        <w:t xml:space="preserve">el </w:t>
      </w:r>
      <w:r w:rsidR="00BC4C9B" w:rsidRPr="00E72B09">
        <w:rPr>
          <w:rFonts w:ascii="Palatino Linotype" w:hAnsi="Palatino Linotype" w:cs="Arial"/>
          <w:b/>
          <w:color w:val="000000" w:themeColor="text1"/>
        </w:rPr>
        <w:t>SUJETO OBLIGADO</w:t>
      </w:r>
      <w:r w:rsidR="00BC4C9B" w:rsidRPr="00E72B09">
        <w:rPr>
          <w:rFonts w:ascii="Palatino Linotype" w:hAnsi="Palatino Linotype" w:cs="Arial"/>
          <w:color w:val="000000" w:themeColor="text1"/>
        </w:rPr>
        <w:t xml:space="preserve"> dio respuesta a la solicitud </w:t>
      </w:r>
      <w:r w:rsidR="00A1039C" w:rsidRPr="00E72B09">
        <w:rPr>
          <w:rFonts w:ascii="Palatino Linotype" w:hAnsi="Palatino Linotype" w:cs="Arial"/>
          <w:color w:val="000000" w:themeColor="text1"/>
        </w:rPr>
        <w:t>de información</w:t>
      </w:r>
      <w:r>
        <w:rPr>
          <w:rFonts w:ascii="Palatino Linotype" w:hAnsi="Palatino Linotype" w:cs="Arial"/>
          <w:color w:val="000000" w:themeColor="text1"/>
        </w:rPr>
        <w:t xml:space="preserve"> </w:t>
      </w:r>
      <w:r w:rsidR="00A1039C" w:rsidRPr="0070466C">
        <w:rPr>
          <w:rFonts w:ascii="Palatino Linotype" w:hAnsi="Palatino Linotype" w:cs="Arial"/>
          <w:color w:val="000000" w:themeColor="text1"/>
        </w:rPr>
        <w:t>a</w:t>
      </w:r>
      <w:r>
        <w:rPr>
          <w:rFonts w:ascii="Palatino Linotype" w:hAnsi="Palatino Linotype" w:cs="Arial"/>
          <w:color w:val="000000" w:themeColor="text1"/>
        </w:rPr>
        <w:t xml:space="preserve"> través del siguiente documento</w:t>
      </w:r>
      <w:r w:rsidR="00BC4C9B" w:rsidRPr="0070466C">
        <w:rPr>
          <w:rFonts w:ascii="Palatino Linotype" w:hAnsi="Palatino Linotype" w:cs="Arial"/>
          <w:color w:val="000000" w:themeColor="text1"/>
        </w:rPr>
        <w:t>:</w:t>
      </w:r>
    </w:p>
    <w:p w14:paraId="0A9F8ECD" w14:textId="77777777" w:rsidR="00A1039C" w:rsidRPr="00E72B09" w:rsidRDefault="00A1039C" w:rsidP="00B25EA5">
      <w:pPr>
        <w:pStyle w:val="Prrafodelista"/>
        <w:shd w:val="clear" w:color="auto" w:fill="FFFFFF" w:themeFill="background1"/>
        <w:rPr>
          <w:rFonts w:ascii="Palatino Linotype" w:hAnsi="Palatino Linotype" w:cs="Arial"/>
          <w:color w:val="000000" w:themeColor="text1"/>
        </w:rPr>
      </w:pPr>
    </w:p>
    <w:p w14:paraId="166A6489" w14:textId="77777777" w:rsidR="00A1039C" w:rsidRPr="00E72B09" w:rsidRDefault="00A1039C" w:rsidP="00B25EA5">
      <w:pPr>
        <w:pStyle w:val="Prrafodelista"/>
        <w:shd w:val="clear" w:color="auto" w:fill="FFFFFF" w:themeFill="background1"/>
        <w:spacing w:line="360" w:lineRule="auto"/>
        <w:ind w:left="0"/>
        <w:jc w:val="center"/>
        <w:rPr>
          <w:rFonts w:ascii="Palatino Linotype" w:hAnsi="Palatino Linotype" w:cs="Arial"/>
          <w:color w:val="000000" w:themeColor="text1"/>
        </w:rPr>
      </w:pPr>
    </w:p>
    <w:p w14:paraId="2B52E2FB" w14:textId="1F97C970" w:rsidR="00F32682" w:rsidRPr="00B60EE9" w:rsidRDefault="00340E36" w:rsidP="00B25EA5">
      <w:pPr>
        <w:pStyle w:val="Prrafodelista"/>
        <w:numPr>
          <w:ilvl w:val="0"/>
          <w:numId w:val="4"/>
        </w:numPr>
        <w:shd w:val="clear" w:color="auto" w:fill="FFFFFF" w:themeFill="background1"/>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i/>
          <w:color w:val="000000" w:themeColor="text1"/>
          <w:lang w:val="es-ES_tradnl"/>
        </w:rPr>
      </w:pPr>
      <w:hyperlink r:id="rId8" w:tgtFrame="_blank" w:history="1">
        <w:r w:rsidR="0070466C" w:rsidRPr="0070466C">
          <w:rPr>
            <w:rStyle w:val="Hipervnculo"/>
            <w:rFonts w:ascii="Palatino Linotype" w:hAnsi="Palatino Linotype"/>
            <w:b/>
            <w:bCs/>
            <w:color w:val="000000" w:themeColor="text1"/>
            <w:u w:val="none"/>
          </w:rPr>
          <w:t>RESPUESTA # 8.pdf</w:t>
        </w:r>
      </w:hyperlink>
      <w:hyperlink r:id="rId9" w:tgtFrame="_blank" w:history="1"/>
      <w:r w:rsidR="00556E99" w:rsidRPr="00E72B09">
        <w:rPr>
          <w:rFonts w:ascii="Palatino Linotype" w:eastAsiaTheme="minorEastAsia" w:hAnsi="Palatino Linotype" w:cstheme="minorBidi"/>
          <w:b/>
          <w:color w:val="000000" w:themeColor="text1"/>
          <w:lang w:val="es-ES_tradnl"/>
        </w:rPr>
        <w:t>:</w:t>
      </w:r>
      <w:r w:rsidR="00556E99" w:rsidRPr="00E72B09">
        <w:rPr>
          <w:rFonts w:ascii="Palatino Linotype" w:eastAsiaTheme="minorEastAsia" w:hAnsi="Palatino Linotype" w:cstheme="minorBidi"/>
          <w:lang w:val="es-ES_tradnl"/>
        </w:rPr>
        <w:t xml:space="preserve"> </w:t>
      </w:r>
      <w:r w:rsidR="00556E99" w:rsidRPr="00E72B09">
        <w:rPr>
          <w:rFonts w:ascii="Palatino Linotype" w:eastAsiaTheme="minorEastAsia" w:hAnsi="Palatino Linotype" w:cstheme="minorBidi"/>
          <w:color w:val="000000" w:themeColor="text1"/>
          <w:lang w:val="es-ES_tradnl"/>
        </w:rPr>
        <w:t>D</w:t>
      </w:r>
      <w:r w:rsidR="00923BD9" w:rsidRPr="00E72B09">
        <w:rPr>
          <w:rFonts w:ascii="Palatino Linotype" w:eastAsiaTheme="minorEastAsia" w:hAnsi="Palatino Linotype" w:cstheme="minorBidi"/>
          <w:color w:val="000000" w:themeColor="text1"/>
          <w:lang w:val="es-ES_tradnl"/>
        </w:rPr>
        <w:t xml:space="preserve">ocumento </w:t>
      </w:r>
      <w:r w:rsidR="0080388F" w:rsidRPr="00E72B09">
        <w:rPr>
          <w:rFonts w:ascii="Palatino Linotype" w:eastAsiaTheme="minorEastAsia" w:hAnsi="Palatino Linotype" w:cstheme="minorBidi"/>
          <w:color w:val="000000" w:themeColor="text1"/>
          <w:lang w:val="es-ES_tradnl"/>
        </w:rPr>
        <w:t xml:space="preserve">electrónico </w:t>
      </w:r>
      <w:r w:rsidR="00A1039C" w:rsidRPr="00E72B09">
        <w:rPr>
          <w:rFonts w:ascii="Palatino Linotype" w:eastAsiaTheme="minorEastAsia" w:hAnsi="Palatino Linotype" w:cstheme="minorBidi"/>
          <w:color w:val="000000" w:themeColor="text1"/>
          <w:lang w:val="es-ES_tradnl"/>
        </w:rPr>
        <w:t xml:space="preserve">que una (01) hoja contiene </w:t>
      </w:r>
      <w:r w:rsidR="00B60EE9">
        <w:rPr>
          <w:rFonts w:ascii="Palatino Linotype" w:eastAsiaTheme="minorEastAsia" w:hAnsi="Palatino Linotype" w:cstheme="minorBidi"/>
          <w:color w:val="000000" w:themeColor="text1"/>
          <w:lang w:val="es-ES_tradnl"/>
        </w:rPr>
        <w:t xml:space="preserve">el oficio PM/TES/011/2022 dirigido a la Titular de la Unidad de Transparencia y Acceso a la Información; y suscrito por la Titular de la Tesorería Municipal, mediante el cual se refiere medularmente que </w:t>
      </w:r>
      <w:r w:rsidR="00B60EE9" w:rsidRPr="00B60EE9">
        <w:rPr>
          <w:rFonts w:ascii="Palatino Linotype" w:eastAsiaTheme="minorEastAsia" w:hAnsi="Palatino Linotype" w:cstheme="minorBidi"/>
          <w:i/>
          <w:color w:val="000000" w:themeColor="text1"/>
          <w:lang w:val="es-ES_tradnl"/>
        </w:rPr>
        <w:t>“… no se realizó el bicentenario del municipio debido a la pandemia, por lo que no se generaron gastos y los recursos se ejercieron en los conceptos de servicios personales, materiales y suministros, servicios generales y otras ayudas…”</w:t>
      </w:r>
    </w:p>
    <w:p w14:paraId="2239C875" w14:textId="20923E90" w:rsidR="00A1039C" w:rsidRPr="0070466C" w:rsidRDefault="00A1039C" w:rsidP="00B25EA5">
      <w:pPr>
        <w:shd w:val="clear" w:color="auto" w:fill="FFFFFF" w:themeFill="background1"/>
        <w:tabs>
          <w:tab w:val="left" w:pos="284"/>
          <w:tab w:val="left" w:pos="426"/>
          <w:tab w:val="left" w:pos="993"/>
          <w:tab w:val="left" w:pos="1134"/>
        </w:tabs>
        <w:spacing w:line="360" w:lineRule="auto"/>
        <w:ind w:right="616"/>
        <w:contextualSpacing/>
        <w:rPr>
          <w:rFonts w:ascii="Palatino Linotype" w:eastAsiaTheme="minorEastAsia" w:hAnsi="Palatino Linotype" w:cstheme="minorBidi"/>
          <w:color w:val="000000" w:themeColor="text1"/>
          <w:lang w:val="es-ES_tradnl"/>
        </w:rPr>
      </w:pPr>
    </w:p>
    <w:p w14:paraId="4BB5C5BA" w14:textId="6E3105C4" w:rsidR="00EA0165" w:rsidRPr="00B60EE9" w:rsidRDefault="00EA0165" w:rsidP="00B25EA5">
      <w:pPr>
        <w:pStyle w:val="Prrafodelista"/>
        <w:numPr>
          <w:ilvl w:val="0"/>
          <w:numId w:val="2"/>
        </w:numPr>
        <w:shd w:val="clear" w:color="auto" w:fill="FFFFFF" w:themeFill="background1"/>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72B09">
        <w:rPr>
          <w:rFonts w:ascii="Palatino Linotype" w:hAnsi="Palatino Linotype" w:cs="Arial"/>
          <w:color w:val="000000" w:themeColor="text1"/>
        </w:rPr>
        <w:t xml:space="preserve">Derivado de la respuesta emitida por el </w:t>
      </w:r>
      <w:r w:rsidRPr="00E72B09">
        <w:rPr>
          <w:rFonts w:ascii="Palatino Linotype" w:hAnsi="Palatino Linotype" w:cs="Arial"/>
          <w:b/>
          <w:color w:val="000000" w:themeColor="text1"/>
        </w:rPr>
        <w:t>SUJETO OBLIGADO</w:t>
      </w:r>
      <w:r w:rsidRPr="00E72B09">
        <w:rPr>
          <w:rFonts w:ascii="Palatino Linotype" w:hAnsi="Palatino Linotype" w:cs="Arial"/>
          <w:color w:val="000000" w:themeColor="text1"/>
        </w:rPr>
        <w:t>, e</w:t>
      </w:r>
      <w:r w:rsidR="00B60EE9">
        <w:rPr>
          <w:rFonts w:ascii="Palatino Linotype" w:hAnsi="Palatino Linotype" w:cs="Arial"/>
          <w:color w:val="000000" w:themeColor="text1"/>
        </w:rPr>
        <w:t>l veinticuatro (24</w:t>
      </w:r>
      <w:r w:rsidR="00AB7DB9" w:rsidRPr="00E72B09">
        <w:rPr>
          <w:rFonts w:ascii="Palatino Linotype" w:hAnsi="Palatino Linotype" w:cs="Arial"/>
          <w:color w:val="000000" w:themeColor="text1"/>
        </w:rPr>
        <w:t>)</w:t>
      </w:r>
      <w:r w:rsidR="00917444" w:rsidRPr="00E72B09">
        <w:rPr>
          <w:rFonts w:ascii="Palatino Linotype" w:hAnsi="Palatino Linotype" w:cs="Arial"/>
          <w:color w:val="000000" w:themeColor="text1"/>
        </w:rPr>
        <w:t xml:space="preserve"> de</w:t>
      </w:r>
      <w:r w:rsidR="00D11854" w:rsidRPr="00E72B09">
        <w:rPr>
          <w:rFonts w:ascii="Palatino Linotype" w:hAnsi="Palatino Linotype" w:cs="Arial"/>
          <w:color w:val="000000" w:themeColor="text1"/>
        </w:rPr>
        <w:t xml:space="preserve"> febrero</w:t>
      </w:r>
      <w:r w:rsidR="00E81502" w:rsidRPr="00E72B09">
        <w:rPr>
          <w:rFonts w:ascii="Palatino Linotype" w:hAnsi="Palatino Linotype" w:cs="Arial"/>
          <w:color w:val="000000" w:themeColor="text1"/>
        </w:rPr>
        <w:t xml:space="preserve"> </w:t>
      </w:r>
      <w:r w:rsidR="00917444" w:rsidRPr="00E72B09">
        <w:rPr>
          <w:rFonts w:ascii="Palatino Linotype" w:hAnsi="Palatino Linotype" w:cs="Arial"/>
          <w:color w:val="000000" w:themeColor="text1"/>
        </w:rPr>
        <w:t>d</w:t>
      </w:r>
      <w:r w:rsidR="00233D1C" w:rsidRPr="00E72B09">
        <w:rPr>
          <w:rFonts w:ascii="Palatino Linotype" w:hAnsi="Palatino Linotype" w:cs="Arial"/>
          <w:color w:val="000000" w:themeColor="text1"/>
        </w:rPr>
        <w:t xml:space="preserve">e dos mil </w:t>
      </w:r>
      <w:r w:rsidR="00E81502" w:rsidRPr="00E72B09">
        <w:rPr>
          <w:rFonts w:ascii="Palatino Linotype" w:hAnsi="Palatino Linotype" w:cs="Arial"/>
          <w:color w:val="000000" w:themeColor="text1"/>
        </w:rPr>
        <w:t>veintidós</w:t>
      </w:r>
      <w:r w:rsidRPr="00E72B09">
        <w:rPr>
          <w:rFonts w:ascii="Palatino Linotype" w:hAnsi="Palatino Linotype" w:cs="Arial"/>
          <w:color w:val="000000" w:themeColor="text1"/>
        </w:rPr>
        <w:t>, el particular interpuso el recurso de revisión</w:t>
      </w:r>
      <w:r w:rsidR="00B60EE9">
        <w:rPr>
          <w:rFonts w:ascii="Palatino Linotype" w:hAnsi="Palatino Linotype" w:cs="Arial"/>
          <w:color w:val="000000" w:themeColor="text1"/>
        </w:rPr>
        <w:t xml:space="preserve"> </w:t>
      </w:r>
      <w:r w:rsidR="00B60EE9" w:rsidRPr="00B60EE9">
        <w:rPr>
          <w:rFonts w:ascii="Palatino Linotype" w:eastAsiaTheme="minorEastAsia" w:hAnsi="Palatino Linotype" w:cstheme="minorBidi"/>
          <w:b/>
          <w:color w:val="000000" w:themeColor="text1"/>
          <w:lang w:val="es-ES_tradnl"/>
        </w:rPr>
        <w:t>01768/INFOEM/IP/RR/2022</w:t>
      </w:r>
      <w:r w:rsidRPr="00B60EE9">
        <w:rPr>
          <w:rFonts w:ascii="Palatino Linotype" w:eastAsia="Calibri" w:hAnsi="Palatino Linotype" w:cs="Arial"/>
          <w:b/>
          <w:color w:val="000000" w:themeColor="text1"/>
        </w:rPr>
        <w:t>;</w:t>
      </w:r>
      <w:r w:rsidRPr="00B60EE9">
        <w:rPr>
          <w:rFonts w:ascii="Palatino Linotype" w:hAnsi="Palatino Linotype" w:cs="Arial"/>
          <w:color w:val="000000" w:themeColor="text1"/>
        </w:rPr>
        <w:t xml:space="preserve"> impugnación en la que refirió lo siguiente:</w:t>
      </w:r>
    </w:p>
    <w:p w14:paraId="176F4252" w14:textId="77777777" w:rsidR="00EA0165" w:rsidRPr="00E72B09" w:rsidRDefault="00EA0165" w:rsidP="00B25EA5">
      <w:pPr>
        <w:shd w:val="clear" w:color="auto" w:fill="FFFFFF" w:themeFill="background1"/>
        <w:tabs>
          <w:tab w:val="left" w:pos="426"/>
        </w:tabs>
        <w:spacing w:line="360" w:lineRule="auto"/>
        <w:ind w:left="284"/>
        <w:contextualSpacing/>
        <w:jc w:val="both"/>
        <w:rPr>
          <w:rFonts w:ascii="Palatino Linotype" w:hAnsi="Palatino Linotype" w:cs="Arial"/>
          <w:color w:val="000000" w:themeColor="text1"/>
        </w:rPr>
      </w:pPr>
    </w:p>
    <w:p w14:paraId="224FFDC9" w14:textId="767DCA2D" w:rsidR="00EA0165" w:rsidRPr="00E72B09" w:rsidRDefault="00EA0165" w:rsidP="00B25EA5">
      <w:pPr>
        <w:numPr>
          <w:ilvl w:val="0"/>
          <w:numId w:val="1"/>
        </w:numPr>
        <w:shd w:val="clear" w:color="auto" w:fill="FFFFFF" w:themeFill="background1"/>
        <w:tabs>
          <w:tab w:val="left" w:pos="426"/>
          <w:tab w:val="left" w:pos="990"/>
        </w:tabs>
        <w:spacing w:line="360" w:lineRule="auto"/>
        <w:ind w:left="810" w:right="616" w:hanging="180"/>
        <w:contextualSpacing/>
        <w:jc w:val="both"/>
        <w:rPr>
          <w:rFonts w:ascii="Palatino Linotype" w:hAnsi="Palatino Linotype" w:cs="Arial"/>
          <w:color w:val="000000" w:themeColor="text1"/>
        </w:rPr>
      </w:pPr>
      <w:r w:rsidRPr="00E72B09">
        <w:rPr>
          <w:rFonts w:ascii="Palatino Linotype" w:hAnsi="Palatino Linotype" w:cs="Arial"/>
          <w:b/>
          <w:color w:val="000000" w:themeColor="text1"/>
        </w:rPr>
        <w:t>Acto impugnado:</w:t>
      </w:r>
      <w:r w:rsidRPr="00E72B09">
        <w:rPr>
          <w:rFonts w:ascii="Palatino Linotype" w:hAnsi="Palatino Linotype" w:cs="Arial"/>
          <w:color w:val="000000" w:themeColor="text1"/>
        </w:rPr>
        <w:t xml:space="preserve"> </w:t>
      </w:r>
      <w:r w:rsidRPr="00E72B09">
        <w:rPr>
          <w:rFonts w:ascii="Palatino Linotype" w:hAnsi="Palatino Linotype" w:cs="Arial"/>
          <w:i/>
          <w:color w:val="000000" w:themeColor="text1"/>
        </w:rPr>
        <w:t>“</w:t>
      </w:r>
      <w:r w:rsidR="00B60EE9" w:rsidRPr="00B60EE9">
        <w:rPr>
          <w:rFonts w:ascii="Palatino Linotype" w:hAnsi="Palatino Linotype" w:cs="Arial"/>
          <w:i/>
          <w:color w:val="000000" w:themeColor="text1"/>
        </w:rPr>
        <w:t>es una mala respuesta</w:t>
      </w:r>
      <w:r w:rsidR="00AB7DB9" w:rsidRPr="00E72B09">
        <w:rPr>
          <w:rFonts w:ascii="Palatino Linotype" w:hAnsi="Palatino Linotype" w:cs="Arial"/>
          <w:i/>
          <w:color w:val="000000" w:themeColor="text1"/>
        </w:rPr>
        <w:t>.”</w:t>
      </w:r>
      <w:r w:rsidRPr="00E72B09">
        <w:rPr>
          <w:rFonts w:ascii="Palatino Linotype" w:hAnsi="Palatino Linotype" w:cs="Arial"/>
          <w:color w:val="000000" w:themeColor="text1"/>
        </w:rPr>
        <w:t>(Sic).</w:t>
      </w:r>
    </w:p>
    <w:p w14:paraId="552C6645" w14:textId="5F99A543" w:rsidR="001B234C" w:rsidRPr="00E72B09" w:rsidRDefault="001B234C" w:rsidP="00B25EA5">
      <w:pPr>
        <w:shd w:val="clear" w:color="auto" w:fill="FFFFFF" w:themeFill="background1"/>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E72B09" w:rsidRDefault="00EA0165" w:rsidP="00B25EA5">
      <w:pPr>
        <w:pStyle w:val="Prrafodelista"/>
        <w:numPr>
          <w:ilvl w:val="0"/>
          <w:numId w:val="2"/>
        </w:numPr>
        <w:shd w:val="clear" w:color="auto" w:fill="FFFFFF" w:themeFill="background1"/>
        <w:tabs>
          <w:tab w:val="left" w:pos="426"/>
        </w:tabs>
        <w:spacing w:line="360" w:lineRule="auto"/>
        <w:ind w:left="0" w:firstLine="0"/>
        <w:contextualSpacing/>
        <w:jc w:val="both"/>
        <w:rPr>
          <w:rFonts w:ascii="Palatino Linotype" w:eastAsia="Calibri" w:hAnsi="Palatino Linotype" w:cs="Arial"/>
          <w:color w:val="000000" w:themeColor="text1"/>
        </w:rPr>
      </w:pPr>
      <w:r w:rsidRPr="00E72B09">
        <w:rPr>
          <w:rFonts w:ascii="Palatino Linotype" w:hAnsi="Palatino Linotype" w:cs="Arial"/>
          <w:color w:val="000000" w:themeColor="text1"/>
        </w:rPr>
        <w:t xml:space="preserve">Se registró el recurso de revisión bajo el número de expediente </w:t>
      </w:r>
      <w:r w:rsidRPr="00E72B09">
        <w:rPr>
          <w:rFonts w:ascii="Palatino Linotype" w:eastAsiaTheme="minorEastAsia" w:hAnsi="Palatino Linotype" w:cs="Arial"/>
          <w:bCs/>
          <w:color w:val="000000" w:themeColor="text1"/>
          <w:lang w:val="es-ES_tradnl"/>
        </w:rPr>
        <w:t xml:space="preserve">al rubro indicado, asimismo, con fundamento en lo dispuesto por el </w:t>
      </w:r>
      <w:r w:rsidRPr="00E72B09">
        <w:rPr>
          <w:rFonts w:ascii="Palatino Linotype" w:eastAsia="Calibri" w:hAnsi="Palatino Linotype" w:cs="Arial"/>
          <w:color w:val="000000" w:themeColor="text1"/>
        </w:rPr>
        <w:t xml:space="preserve">artículo 185 fracción I de la </w:t>
      </w:r>
      <w:r w:rsidRPr="00E72B09">
        <w:rPr>
          <w:rFonts w:ascii="Palatino Linotype" w:eastAsia="Calibri" w:hAnsi="Palatino Linotype" w:cs="Arial"/>
          <w:b/>
          <w:color w:val="000000" w:themeColor="text1"/>
        </w:rPr>
        <w:t xml:space="preserve">Ley de Transparencia y Acceso a la Información Pública del Estado de México y </w:t>
      </w:r>
      <w:r w:rsidRPr="00E72B09">
        <w:rPr>
          <w:rFonts w:ascii="Palatino Linotype" w:eastAsia="Calibri" w:hAnsi="Palatino Linotype" w:cs="Arial"/>
          <w:b/>
          <w:color w:val="000000" w:themeColor="text1"/>
        </w:rPr>
        <w:lastRenderedPageBreak/>
        <w:t xml:space="preserve">Municipios </w:t>
      </w:r>
      <w:r w:rsidR="005E6282" w:rsidRPr="00E72B09">
        <w:rPr>
          <w:rFonts w:ascii="Palatino Linotype" w:hAnsi="Palatino Linotype" w:cs="Arial"/>
          <w:color w:val="000000" w:themeColor="text1"/>
        </w:rPr>
        <w:t>se turnó a</w:t>
      </w:r>
      <w:r w:rsidR="00351568" w:rsidRPr="00E72B09">
        <w:rPr>
          <w:rFonts w:ascii="Palatino Linotype" w:hAnsi="Palatino Linotype" w:cs="Arial"/>
          <w:color w:val="000000" w:themeColor="text1"/>
        </w:rPr>
        <w:t xml:space="preserve"> la </w:t>
      </w:r>
      <w:r w:rsidR="00E3149E" w:rsidRPr="00E72B09">
        <w:rPr>
          <w:rFonts w:ascii="Palatino Linotype" w:hAnsi="Palatino Linotype" w:cs="Arial"/>
          <w:b/>
          <w:color w:val="000000" w:themeColor="text1"/>
        </w:rPr>
        <w:t>C</w:t>
      </w:r>
      <w:r w:rsidR="00351568" w:rsidRPr="00E72B09">
        <w:rPr>
          <w:rFonts w:ascii="Palatino Linotype" w:hAnsi="Palatino Linotype" w:cs="Arial"/>
          <w:b/>
          <w:color w:val="000000" w:themeColor="text1"/>
        </w:rPr>
        <w:t>omisionada María del Rosario Mejía Ayala</w:t>
      </w:r>
      <w:r w:rsidRPr="00E72B09">
        <w:rPr>
          <w:rFonts w:ascii="Palatino Linotype" w:hAnsi="Palatino Linotype" w:cs="Arial"/>
          <w:b/>
          <w:color w:val="000000" w:themeColor="text1"/>
        </w:rPr>
        <w:t xml:space="preserve">, </w:t>
      </w:r>
      <w:r w:rsidRPr="00E72B09">
        <w:rPr>
          <w:rFonts w:ascii="Palatino Linotype" w:hAnsi="Palatino Linotype" w:cs="Arial"/>
          <w:color w:val="000000" w:themeColor="text1"/>
        </w:rPr>
        <w:t xml:space="preserve">con el objeto de </w:t>
      </w:r>
      <w:r w:rsidRPr="00E72B09">
        <w:rPr>
          <w:rFonts w:ascii="Palatino Linotype" w:hAnsi="Palatino Linotype" w:cs="Arial"/>
          <w:color w:val="000000" w:themeColor="text1"/>
          <w:lang w:val="es-MX"/>
        </w:rPr>
        <w:t>su análisis.</w:t>
      </w:r>
    </w:p>
    <w:p w14:paraId="3D6E1B39" w14:textId="2094837E" w:rsidR="00BB030C" w:rsidRPr="00E72B09" w:rsidRDefault="00BB030C" w:rsidP="00B25EA5">
      <w:pPr>
        <w:shd w:val="clear" w:color="auto" w:fill="FFFFFF" w:themeFill="background1"/>
        <w:tabs>
          <w:tab w:val="left" w:pos="426"/>
        </w:tabs>
        <w:spacing w:line="360" w:lineRule="auto"/>
        <w:contextualSpacing/>
        <w:jc w:val="both"/>
        <w:rPr>
          <w:rFonts w:ascii="Palatino Linotype" w:eastAsia="Calibri" w:hAnsi="Palatino Linotype" w:cs="Arial"/>
          <w:color w:val="000000" w:themeColor="text1"/>
        </w:rPr>
      </w:pPr>
    </w:p>
    <w:p w14:paraId="1EC31E60" w14:textId="3E7E8AE1" w:rsidR="00660AFC" w:rsidRPr="00E72B09" w:rsidRDefault="00351568" w:rsidP="00B25EA5">
      <w:pPr>
        <w:pStyle w:val="Prrafodelista"/>
        <w:numPr>
          <w:ilvl w:val="0"/>
          <w:numId w:val="2"/>
        </w:numPr>
        <w:shd w:val="clear" w:color="auto" w:fill="FFFFFF" w:themeFill="background1"/>
        <w:tabs>
          <w:tab w:val="left" w:pos="426"/>
        </w:tabs>
        <w:spacing w:line="360" w:lineRule="auto"/>
        <w:ind w:left="0" w:firstLine="0"/>
        <w:contextualSpacing/>
        <w:jc w:val="both"/>
        <w:rPr>
          <w:rFonts w:ascii="Palatino Linotype" w:eastAsia="Calibri" w:hAnsi="Palatino Linotype" w:cs="Arial"/>
          <w:color w:val="000000" w:themeColor="text1"/>
        </w:rPr>
      </w:pPr>
      <w:r w:rsidRPr="00E72B09">
        <w:rPr>
          <w:rFonts w:ascii="Palatino Linotype" w:hAnsi="Palatino Linotype" w:cs="Arial"/>
          <w:color w:val="000000" w:themeColor="text1"/>
        </w:rPr>
        <w:t xml:space="preserve">La </w:t>
      </w:r>
      <w:r w:rsidRPr="00E72B09">
        <w:rPr>
          <w:rFonts w:ascii="Palatino Linotype" w:hAnsi="Palatino Linotype" w:cs="Arial"/>
          <w:b/>
          <w:color w:val="000000" w:themeColor="text1"/>
        </w:rPr>
        <w:t>Comisionada María del Rosario Mejía Ayala</w:t>
      </w:r>
      <w:r w:rsidR="00EA0165" w:rsidRPr="00E72B09">
        <w:rPr>
          <w:rFonts w:ascii="Palatino Linotype" w:eastAsia="Calibri" w:hAnsi="Palatino Linotype" w:cs="Arial"/>
          <w:color w:val="000000" w:themeColor="text1"/>
        </w:rPr>
        <w:t>, con fundamento en lo dispuesto por el artículo 185 fracción II de la ley de la materia, a t</w:t>
      </w:r>
      <w:r w:rsidR="007A237F" w:rsidRPr="00E72B09">
        <w:rPr>
          <w:rFonts w:ascii="Palatino Linotype" w:eastAsia="Calibri" w:hAnsi="Palatino Linotype" w:cs="Arial"/>
          <w:color w:val="000000" w:themeColor="text1"/>
        </w:rPr>
        <w:t xml:space="preserve">ravés del </w:t>
      </w:r>
      <w:r w:rsidR="00343FE2" w:rsidRPr="00E72B09">
        <w:rPr>
          <w:rFonts w:ascii="Palatino Linotype" w:eastAsia="Calibri" w:hAnsi="Palatino Linotype" w:cs="Arial"/>
          <w:color w:val="000000" w:themeColor="text1"/>
        </w:rPr>
        <w:t>a</w:t>
      </w:r>
      <w:r w:rsidR="00BE4666" w:rsidRPr="00E72B09">
        <w:rPr>
          <w:rFonts w:ascii="Palatino Linotype" w:eastAsia="Calibri" w:hAnsi="Palatino Linotype" w:cs="Arial"/>
          <w:color w:val="000000" w:themeColor="text1"/>
        </w:rPr>
        <w:t xml:space="preserve">cuerdo de admisión de </w:t>
      </w:r>
      <w:r w:rsidR="00B60EE9">
        <w:rPr>
          <w:rFonts w:ascii="Palatino Linotype" w:eastAsia="Calibri" w:hAnsi="Palatino Linotype" w:cs="Arial"/>
          <w:color w:val="000000" w:themeColor="text1"/>
        </w:rPr>
        <w:t>tres</w:t>
      </w:r>
      <w:r w:rsidR="008426D8" w:rsidRPr="00E72B09">
        <w:rPr>
          <w:rFonts w:ascii="Palatino Linotype" w:eastAsia="Calibri" w:hAnsi="Palatino Linotype" w:cs="Arial"/>
          <w:color w:val="000000" w:themeColor="text1"/>
        </w:rPr>
        <w:t xml:space="preserve"> </w:t>
      </w:r>
      <w:r w:rsidR="00EA0165" w:rsidRPr="00E72B09">
        <w:rPr>
          <w:rFonts w:ascii="Palatino Linotype" w:eastAsia="Calibri" w:hAnsi="Palatino Linotype" w:cs="Arial"/>
          <w:color w:val="000000" w:themeColor="text1"/>
        </w:rPr>
        <w:t>(</w:t>
      </w:r>
      <w:r w:rsidR="00B60EE9">
        <w:rPr>
          <w:rFonts w:ascii="Palatino Linotype" w:eastAsia="Calibri" w:hAnsi="Palatino Linotype" w:cs="Arial"/>
          <w:color w:val="000000" w:themeColor="text1"/>
        </w:rPr>
        <w:t>03</w:t>
      </w:r>
      <w:r w:rsidR="00EA0165" w:rsidRPr="00E72B09">
        <w:rPr>
          <w:rFonts w:ascii="Palatino Linotype" w:eastAsia="Calibri" w:hAnsi="Palatino Linotype" w:cs="Arial"/>
          <w:color w:val="000000" w:themeColor="text1"/>
        </w:rPr>
        <w:t>) de</w:t>
      </w:r>
      <w:r w:rsidR="00BE4666" w:rsidRPr="00E72B09">
        <w:rPr>
          <w:rFonts w:ascii="Palatino Linotype" w:eastAsia="Calibri" w:hAnsi="Palatino Linotype" w:cs="Arial"/>
          <w:color w:val="000000" w:themeColor="text1"/>
        </w:rPr>
        <w:t xml:space="preserve"> marzo</w:t>
      </w:r>
      <w:r w:rsidR="00E81502" w:rsidRPr="00E72B09">
        <w:rPr>
          <w:rFonts w:ascii="Palatino Linotype" w:eastAsia="Calibri" w:hAnsi="Palatino Linotype" w:cs="Arial"/>
          <w:color w:val="000000" w:themeColor="text1"/>
        </w:rPr>
        <w:t xml:space="preserve"> de dos mil veintidós</w:t>
      </w:r>
      <w:r w:rsidR="00EA0165" w:rsidRPr="00E72B09">
        <w:rPr>
          <w:rFonts w:ascii="Palatino Linotype" w:eastAsia="Calibri" w:hAnsi="Palatino Linotype" w:cs="Arial"/>
          <w:color w:val="000000" w:themeColor="text1"/>
        </w:rPr>
        <w:t xml:space="preserve">, puso a disposición de las partes el expediente electrónico </w:t>
      </w:r>
      <w:r w:rsidR="00EA0165" w:rsidRPr="00E72B09">
        <w:rPr>
          <w:rFonts w:ascii="Palatino Linotype" w:eastAsia="Calibri" w:hAnsi="Palatino Linotype" w:cs="Arial"/>
          <w:color w:val="000000" w:themeColor="text1"/>
          <w:lang w:val="es-ES_tradnl"/>
        </w:rPr>
        <w:t xml:space="preserve">vía </w:t>
      </w:r>
      <w:r w:rsidR="00EA0165" w:rsidRPr="00E72B09">
        <w:rPr>
          <w:rFonts w:ascii="Palatino Linotype" w:eastAsia="Calibri" w:hAnsi="Palatino Linotype" w:cs="Arial"/>
          <w:color w:val="000000" w:themeColor="text1"/>
        </w:rPr>
        <w:t>Sistema de Acceso a la Información Mexiquense a efecto de que en un plazo máximo de siete días manifestaran lo que a su derecho convinieran, ofrecieran pruebas</w:t>
      </w:r>
      <w:r w:rsidR="00B60EE9">
        <w:rPr>
          <w:rFonts w:ascii="Palatino Linotype" w:eastAsia="Calibri" w:hAnsi="Palatino Linotype" w:cs="Arial"/>
          <w:color w:val="000000" w:themeColor="text1"/>
        </w:rPr>
        <w:t xml:space="preserve"> y alegatos según corresponda al caso concreto</w:t>
      </w:r>
      <w:r w:rsidR="00EA0165" w:rsidRPr="00E72B09">
        <w:rPr>
          <w:rFonts w:ascii="Palatino Linotype" w:eastAsia="Calibri" w:hAnsi="Palatino Linotype" w:cs="Arial"/>
          <w:color w:val="000000" w:themeColor="text1"/>
        </w:rPr>
        <w:t xml:space="preserve">, de esta forma para que el </w:t>
      </w:r>
      <w:r w:rsidR="00EA0165" w:rsidRPr="00E72B09">
        <w:rPr>
          <w:rFonts w:ascii="Palatino Linotype" w:eastAsia="Calibri" w:hAnsi="Palatino Linotype" w:cs="Arial"/>
          <w:b/>
          <w:color w:val="000000" w:themeColor="text1"/>
        </w:rPr>
        <w:t>SUJETO OBLIGADO</w:t>
      </w:r>
      <w:r w:rsidR="00EA0165" w:rsidRPr="00E72B09">
        <w:rPr>
          <w:rFonts w:ascii="Palatino Linotype" w:eastAsia="Calibri" w:hAnsi="Palatino Linotype" w:cs="Arial"/>
          <w:color w:val="000000" w:themeColor="text1"/>
        </w:rPr>
        <w:t xml:space="preserve"> presentara el</w:t>
      </w:r>
      <w:r w:rsidR="00266490" w:rsidRPr="00E72B09">
        <w:rPr>
          <w:rFonts w:ascii="Palatino Linotype" w:eastAsia="Calibri" w:hAnsi="Palatino Linotype" w:cs="Arial"/>
          <w:color w:val="000000" w:themeColor="text1"/>
        </w:rPr>
        <w:t xml:space="preserve"> </w:t>
      </w:r>
      <w:r w:rsidR="00976C25" w:rsidRPr="00E72B09">
        <w:rPr>
          <w:rFonts w:ascii="Palatino Linotype" w:eastAsia="Calibri" w:hAnsi="Palatino Linotype" w:cs="Arial"/>
          <w:color w:val="000000" w:themeColor="text1"/>
        </w:rPr>
        <w:t xml:space="preserve">informe justificado procedente, situación que no aconteció por las partes. </w:t>
      </w:r>
    </w:p>
    <w:p w14:paraId="0F1ADF8B" w14:textId="77777777" w:rsidR="00660AFC" w:rsidRPr="00E72B09" w:rsidRDefault="00660AFC" w:rsidP="00B25EA5">
      <w:pPr>
        <w:pStyle w:val="Prrafodelista"/>
        <w:shd w:val="clear" w:color="auto" w:fill="FFFFFF" w:themeFill="background1"/>
        <w:rPr>
          <w:rFonts w:ascii="Palatino Linotype" w:hAnsi="Palatino Linotype"/>
          <w:lang w:val="es-MX" w:eastAsia="en-US"/>
        </w:rPr>
      </w:pPr>
    </w:p>
    <w:p w14:paraId="786CE244" w14:textId="7A16CAB9" w:rsidR="00660AFC" w:rsidRPr="00E72B09" w:rsidRDefault="00D0216B" w:rsidP="00B25EA5">
      <w:pPr>
        <w:pStyle w:val="Prrafodelista"/>
        <w:numPr>
          <w:ilvl w:val="0"/>
          <w:numId w:val="2"/>
        </w:numPr>
        <w:shd w:val="clear" w:color="auto" w:fill="FFFFFF" w:themeFill="background1"/>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hAnsi="Palatino Linotype"/>
          <w:lang w:val="es-MX" w:eastAsia="en-US"/>
        </w:rPr>
        <w:t xml:space="preserve">El doce </w:t>
      </w:r>
      <w:bookmarkStart w:id="4" w:name="_GoBack"/>
      <w:r>
        <w:rPr>
          <w:rFonts w:ascii="Palatino Linotype" w:hAnsi="Palatino Linotype"/>
          <w:lang w:val="es-MX" w:eastAsia="en-US"/>
        </w:rPr>
        <w:t>(12</w:t>
      </w:r>
      <w:r w:rsidR="00660AFC" w:rsidRPr="00E72B09">
        <w:rPr>
          <w:rFonts w:ascii="Palatino Linotype" w:hAnsi="Palatino Linotype"/>
          <w:lang w:val="es-MX" w:eastAsia="en-US"/>
        </w:rPr>
        <w:t>) de</w:t>
      </w:r>
      <w:r>
        <w:rPr>
          <w:rFonts w:ascii="Palatino Linotype" w:hAnsi="Palatino Linotype"/>
          <w:lang w:val="es-MX" w:eastAsia="en-US"/>
        </w:rPr>
        <w:t xml:space="preserve"> mayo </w:t>
      </w:r>
      <w:r w:rsidR="00660AFC" w:rsidRPr="00E72B09">
        <w:rPr>
          <w:rFonts w:ascii="Palatino Linotype" w:hAnsi="Palatino Linotype"/>
          <w:lang w:val="es-MX" w:eastAsia="en-US"/>
        </w:rPr>
        <w:t>de dos mil veintidós, con fundamento en el artículo 181 tercer párrafo de la Ley de Transparencia y Acceso a la Información Pública del Estado de México y Municipios, se acordó el plazo de treinta (30) días para resolver el recurso de revisión, sería a</w:t>
      </w:r>
      <w:bookmarkEnd w:id="4"/>
      <w:r w:rsidR="00660AFC" w:rsidRPr="00E72B09">
        <w:rPr>
          <w:rFonts w:ascii="Palatino Linotype" w:hAnsi="Palatino Linotype"/>
          <w:lang w:val="es-MX" w:eastAsia="en-US"/>
        </w:rPr>
        <w:t xml:space="preserve">mpliado por un periodo de quince (15) días hábiles adicionales. </w:t>
      </w:r>
    </w:p>
    <w:p w14:paraId="7180DE8C" w14:textId="77777777" w:rsidR="00660AFC" w:rsidRPr="00E72B09" w:rsidRDefault="00660AFC" w:rsidP="00B25EA5">
      <w:pPr>
        <w:pStyle w:val="Prrafodelista"/>
        <w:shd w:val="clear" w:color="auto" w:fill="FFFFFF" w:themeFill="background1"/>
        <w:rPr>
          <w:rFonts w:ascii="Palatino Linotype" w:hAnsi="Palatino Linotype"/>
          <w:lang w:val="es-ES_tradnl"/>
        </w:rPr>
      </w:pPr>
    </w:p>
    <w:p w14:paraId="74888468" w14:textId="14295FAB" w:rsidR="00660AFC" w:rsidRPr="00E72B09" w:rsidRDefault="00D0216B" w:rsidP="00B25EA5">
      <w:pPr>
        <w:pStyle w:val="Prrafodelista"/>
        <w:numPr>
          <w:ilvl w:val="0"/>
          <w:numId w:val="2"/>
        </w:numPr>
        <w:shd w:val="clear" w:color="auto" w:fill="FFFFFF" w:themeFill="background1"/>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hAnsi="Palatino Linotype"/>
          <w:lang w:val="es-ES_tradnl"/>
        </w:rPr>
        <w:t>El doce (12</w:t>
      </w:r>
      <w:r w:rsidR="00660AFC" w:rsidRPr="00E72B09">
        <w:rPr>
          <w:rFonts w:ascii="Palatino Linotype" w:hAnsi="Palatino Linotype"/>
          <w:lang w:val="es-ES_tradnl"/>
        </w:rPr>
        <w:t>) de</w:t>
      </w:r>
      <w:r>
        <w:rPr>
          <w:rFonts w:ascii="Palatino Linotype" w:hAnsi="Palatino Linotype"/>
          <w:lang w:val="es-ES_tradnl"/>
        </w:rPr>
        <w:t xml:space="preserve"> mayo</w:t>
      </w:r>
      <w:r w:rsidR="00660AFC" w:rsidRPr="00E72B09">
        <w:rPr>
          <w:rFonts w:ascii="Palatino Linotype" w:hAnsi="Palatino Linotype"/>
          <w:lang w:val="es-ES_tradnl"/>
        </w:rPr>
        <w:t xml:space="preserve"> de dos mil veintidós, la</w:t>
      </w:r>
      <w:r w:rsidR="00660AFC" w:rsidRPr="00E72B09">
        <w:rPr>
          <w:rFonts w:ascii="Palatino Linotype" w:hAnsi="Palatino Linotype"/>
          <w:b/>
          <w:color w:val="000000"/>
          <w:lang w:val="es-ES_tradnl"/>
        </w:rPr>
        <w:t xml:space="preserve"> </w:t>
      </w:r>
      <w:r w:rsidR="00660AFC" w:rsidRPr="00E72B09">
        <w:rPr>
          <w:rFonts w:ascii="Palatino Linotype" w:hAnsi="Palatino Linotype"/>
          <w:b/>
          <w:lang w:val="es-ES_tradnl"/>
        </w:rPr>
        <w:t>Comisionada María del Rosario Mejía Ayala</w:t>
      </w:r>
      <w:r w:rsidR="00660AFC" w:rsidRPr="00E72B09">
        <w:rPr>
          <w:rFonts w:ascii="Palatino Linotype" w:hAnsi="Palatino Linotype"/>
          <w:lang w:val="es-ES_tradnl"/>
        </w:rPr>
        <w:t xml:space="preserve"> decretó el cierre del periodo de instrucción del recurso de revisión.</w:t>
      </w:r>
    </w:p>
    <w:p w14:paraId="068D7840" w14:textId="4E8A4CF9" w:rsidR="001B234C" w:rsidRPr="00E72B09" w:rsidRDefault="001B234C" w:rsidP="00B25EA5">
      <w:pPr>
        <w:shd w:val="clear" w:color="auto" w:fill="FFFFFF" w:themeFill="background1"/>
        <w:tabs>
          <w:tab w:val="left" w:pos="284"/>
        </w:tabs>
        <w:spacing w:line="360" w:lineRule="auto"/>
        <w:ind w:right="616"/>
        <w:contextualSpacing/>
        <w:jc w:val="both"/>
        <w:rPr>
          <w:rFonts w:ascii="Palatino Linotype" w:eastAsia="Calibri" w:hAnsi="Palatino Linotype" w:cs="Arial"/>
          <w:b/>
        </w:rPr>
      </w:pPr>
      <w:bookmarkStart w:id="5" w:name="_Toc461555889"/>
      <w:bookmarkStart w:id="6" w:name="_Toc466371858"/>
    </w:p>
    <w:p w14:paraId="494F97AD" w14:textId="77777777" w:rsidR="00EA0165" w:rsidRPr="00E72B09" w:rsidRDefault="00EA0165" w:rsidP="00B25EA5">
      <w:pPr>
        <w:pStyle w:val="Ttulo1"/>
        <w:shd w:val="clear" w:color="auto" w:fill="FFFFFF" w:themeFill="background1"/>
        <w:spacing w:line="360" w:lineRule="auto"/>
        <w:jc w:val="center"/>
        <w:rPr>
          <w:rFonts w:ascii="Palatino Linotype" w:hAnsi="Palatino Linotype"/>
          <w:b/>
          <w:color w:val="000000" w:themeColor="text1"/>
          <w:sz w:val="24"/>
          <w:szCs w:val="24"/>
          <w:lang w:val="es-MX" w:eastAsia="en-US"/>
        </w:rPr>
      </w:pPr>
      <w:bookmarkStart w:id="7" w:name="_Toc68804758"/>
      <w:bookmarkStart w:id="8" w:name="_Toc103199981"/>
      <w:r w:rsidRPr="00E72B09">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E72B09" w:rsidRDefault="00EA0165" w:rsidP="00B25EA5">
      <w:pPr>
        <w:shd w:val="clear" w:color="auto" w:fill="FFFFFF" w:themeFill="background1"/>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E72B09" w:rsidRDefault="00EA0165" w:rsidP="00B25EA5">
      <w:pPr>
        <w:pStyle w:val="Ttulo1"/>
        <w:shd w:val="clear" w:color="auto" w:fill="FFFFFF" w:themeFill="background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3199982"/>
      <w:r w:rsidRPr="00E72B09">
        <w:rPr>
          <w:rFonts w:ascii="Palatino Linotype" w:hAnsi="Palatino Linotype"/>
          <w:b/>
          <w:color w:val="000000" w:themeColor="text1"/>
          <w:sz w:val="24"/>
          <w:szCs w:val="24"/>
          <w:lang w:val="es-MX" w:eastAsia="en-US"/>
        </w:rPr>
        <w:lastRenderedPageBreak/>
        <w:t>PRIMERO. De la competencia</w:t>
      </w:r>
      <w:bookmarkEnd w:id="9"/>
      <w:bookmarkEnd w:id="10"/>
      <w:bookmarkEnd w:id="11"/>
      <w:r w:rsidR="00537427" w:rsidRPr="00E72B09">
        <w:rPr>
          <w:rFonts w:ascii="Palatino Linotype" w:hAnsi="Palatino Linotype"/>
          <w:b/>
          <w:color w:val="000000" w:themeColor="text1"/>
          <w:sz w:val="24"/>
          <w:szCs w:val="24"/>
          <w:lang w:val="es-MX" w:eastAsia="en-US"/>
        </w:rPr>
        <w:t>.</w:t>
      </w:r>
      <w:bookmarkEnd w:id="12"/>
    </w:p>
    <w:p w14:paraId="341F67EC" w14:textId="77777777" w:rsidR="00EA0165" w:rsidRPr="00E72B09" w:rsidRDefault="00EA0165" w:rsidP="00B25EA5">
      <w:pPr>
        <w:shd w:val="clear" w:color="auto" w:fill="FFFFFF" w:themeFill="background1"/>
        <w:spacing w:line="360" w:lineRule="auto"/>
        <w:rPr>
          <w:rFonts w:ascii="Palatino Linotype" w:eastAsiaTheme="minorEastAsia" w:hAnsi="Palatino Linotype" w:cstheme="minorBidi"/>
          <w:color w:val="000000" w:themeColor="text1"/>
          <w:lang w:val="es-MX" w:eastAsia="en-US"/>
        </w:rPr>
      </w:pPr>
    </w:p>
    <w:p w14:paraId="48EC5CD8" w14:textId="30F99739" w:rsidR="00660AFC" w:rsidRPr="00A36670" w:rsidRDefault="00EA0165" w:rsidP="00B25EA5">
      <w:pPr>
        <w:pStyle w:val="Prrafodelista"/>
        <w:numPr>
          <w:ilvl w:val="0"/>
          <w:numId w:val="2"/>
        </w:numPr>
        <w:shd w:val="clear" w:color="auto" w:fill="FFFFFF" w:themeFill="background1"/>
        <w:tabs>
          <w:tab w:val="left" w:pos="0"/>
        </w:tabs>
        <w:spacing w:after="160" w:line="360" w:lineRule="auto"/>
        <w:ind w:left="0" w:firstLine="0"/>
        <w:contextualSpacing/>
        <w:jc w:val="both"/>
        <w:rPr>
          <w:rFonts w:ascii="Palatino Linotype" w:eastAsia="MS Mincho" w:hAnsi="Palatino Linotype"/>
          <w:lang w:val="es-ES_tradnl"/>
        </w:rPr>
      </w:pPr>
      <w:r w:rsidRPr="00A36670">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36670">
        <w:rPr>
          <w:rFonts w:ascii="Palatino Linotype" w:eastAsia="Calibri" w:hAnsi="Palatino Linotype"/>
          <w:b/>
        </w:rPr>
        <w:t>Constitución Política de los Estados Unidos Mexicanos</w:t>
      </w:r>
      <w:r w:rsidRPr="00A36670">
        <w:rPr>
          <w:rFonts w:ascii="Palatino Linotype" w:eastAsia="Calibri" w:hAnsi="Palatino Linotype"/>
        </w:rPr>
        <w:t xml:space="preserve">; </w:t>
      </w:r>
      <w:r w:rsidRPr="00A36670">
        <w:rPr>
          <w:rFonts w:ascii="Palatino Linotype" w:eastAsia="Calibri" w:hAnsi="Palatino Linotype" w:cs="Arial"/>
          <w:bCs/>
          <w:color w:val="222222"/>
          <w:shd w:val="clear" w:color="auto" w:fill="FFFFFF"/>
          <w:lang w:eastAsia="en-US"/>
        </w:rPr>
        <w:t>5, párrafo</w:t>
      </w:r>
      <w:r w:rsidR="00543BF9" w:rsidRPr="00A36670">
        <w:rPr>
          <w:rFonts w:ascii="Palatino Linotype" w:eastAsia="Calibri" w:hAnsi="Palatino Linotype"/>
          <w:lang w:val="es-MX" w:eastAsia="en-US"/>
        </w:rPr>
        <w:t xml:space="preserve"> trigésimo, trigésimo primero y trigésimo segundo, fracciones I, II, III, IV y V</w:t>
      </w:r>
      <w:r w:rsidR="00543BF9" w:rsidRPr="00A36670">
        <w:rPr>
          <w:rFonts w:ascii="Palatino Linotype" w:eastAsia="MS Mincho" w:hAnsi="Palatino Linotype"/>
          <w:lang w:val="es-ES_tradnl"/>
        </w:rPr>
        <w:t xml:space="preserve"> </w:t>
      </w:r>
      <w:r w:rsidRPr="00A36670">
        <w:rPr>
          <w:rFonts w:ascii="Palatino Linotype" w:eastAsia="Calibri" w:hAnsi="Palatino Linotype"/>
        </w:rPr>
        <w:t xml:space="preserve">de la </w:t>
      </w:r>
      <w:r w:rsidRPr="00A36670">
        <w:rPr>
          <w:rFonts w:ascii="Palatino Linotype" w:eastAsia="Calibri" w:hAnsi="Palatino Linotype"/>
          <w:b/>
        </w:rPr>
        <w:t>Constitución Política del Estado Libre y Soberano de México</w:t>
      </w:r>
      <w:r w:rsidRPr="00A36670">
        <w:rPr>
          <w:rFonts w:ascii="Palatino Linotype" w:eastAsia="Calibri" w:hAnsi="Palatino Linotype"/>
        </w:rPr>
        <w:t xml:space="preserve">; artículos 1, 2 fracción II, 13, 29, 36 fracciones I y II, 176, 178, 179, 181 párrafo tercero y 185 </w:t>
      </w:r>
      <w:r w:rsidRPr="00A36670">
        <w:rPr>
          <w:rFonts w:ascii="Palatino Linotype" w:eastAsia="Calibri" w:hAnsi="Palatino Linotype" w:cs="Arial"/>
        </w:rPr>
        <w:t xml:space="preserve">de la </w:t>
      </w:r>
      <w:r w:rsidRPr="00A36670">
        <w:rPr>
          <w:rFonts w:ascii="Palatino Linotype" w:eastAsia="Calibri" w:hAnsi="Palatino Linotype" w:cs="Arial"/>
          <w:b/>
        </w:rPr>
        <w:t>Ley de Transparencia y Acceso a la Información Pública del Estado de México y Municipios</w:t>
      </w:r>
      <w:r w:rsidRPr="00A36670">
        <w:rPr>
          <w:rFonts w:ascii="Palatino Linotype" w:eastAsia="Calibri" w:hAnsi="Palatino Linotype" w:cs="Arial"/>
        </w:rPr>
        <w:t xml:space="preserve">; </w:t>
      </w:r>
      <w:r w:rsidRPr="00A36670">
        <w:rPr>
          <w:rFonts w:ascii="Palatino Linotype" w:eastAsia="Calibri" w:hAnsi="Palatino Linotype" w:cs="Arial"/>
          <w:b/>
        </w:rPr>
        <w:t>7, 9 fracciones I y XXIV, y 11</w:t>
      </w:r>
      <w:r w:rsidRPr="00A36670">
        <w:rPr>
          <w:rFonts w:ascii="Palatino Linotype" w:eastAsia="Calibri" w:hAnsi="Palatino Linotype" w:cs="Arial"/>
        </w:rPr>
        <w:t xml:space="preserve"> del </w:t>
      </w:r>
      <w:r w:rsidRPr="00A36670">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A36670">
        <w:rPr>
          <w:rFonts w:ascii="Palatino Linotype" w:eastAsia="Calibri" w:hAnsi="Palatino Linotype" w:cs="Arial"/>
          <w:b/>
        </w:rPr>
        <w:t>.</w:t>
      </w:r>
    </w:p>
    <w:p w14:paraId="49CBBC03" w14:textId="77777777" w:rsidR="004E15E6" w:rsidRPr="00A36670" w:rsidRDefault="004E15E6" w:rsidP="00B25EA5">
      <w:pPr>
        <w:pStyle w:val="Ttulo1"/>
        <w:shd w:val="clear" w:color="auto" w:fill="FFFFFF" w:themeFill="background1"/>
        <w:rPr>
          <w:rFonts w:ascii="Palatino Linotype" w:hAnsi="Palatino Linotype"/>
          <w:b/>
          <w:color w:val="000000" w:themeColor="text1"/>
          <w:sz w:val="24"/>
          <w:szCs w:val="24"/>
          <w:lang w:val="es-MX"/>
        </w:rPr>
      </w:pPr>
      <w:bookmarkStart w:id="13" w:name="_Toc461555891"/>
      <w:bookmarkStart w:id="14" w:name="_Toc466371860"/>
      <w:bookmarkStart w:id="15" w:name="_Toc68804760"/>
      <w:bookmarkStart w:id="16" w:name="_Toc101381854"/>
      <w:bookmarkStart w:id="17" w:name="_Toc103199983"/>
      <w:r w:rsidRPr="00A36670">
        <w:rPr>
          <w:rFonts w:ascii="Palatino Linotype" w:hAnsi="Palatino Linotype"/>
          <w:b/>
          <w:color w:val="000000" w:themeColor="text1"/>
          <w:sz w:val="24"/>
          <w:szCs w:val="24"/>
          <w:lang w:val="es-MX"/>
        </w:rPr>
        <w:t>SEGUNDO. De la oportunidad y procedencia.</w:t>
      </w:r>
      <w:bookmarkEnd w:id="13"/>
      <w:bookmarkEnd w:id="14"/>
      <w:bookmarkEnd w:id="15"/>
      <w:bookmarkEnd w:id="16"/>
      <w:bookmarkEnd w:id="17"/>
    </w:p>
    <w:p w14:paraId="08856353" w14:textId="3B7FC8BD" w:rsidR="004E15E6" w:rsidRPr="004E15E6" w:rsidRDefault="004E15E6" w:rsidP="00B25EA5">
      <w:pPr>
        <w:shd w:val="clear" w:color="auto" w:fill="FFFFFF" w:themeFill="background1"/>
        <w:spacing w:before="240" w:after="240" w:line="360" w:lineRule="auto"/>
        <w:ind w:firstLine="1"/>
        <w:jc w:val="both"/>
        <w:rPr>
          <w:rFonts w:ascii="Palatino Linotype" w:hAnsi="Palatino Linotype"/>
          <w:b/>
          <w:lang w:val="es-MX"/>
        </w:rPr>
      </w:pPr>
      <w:bookmarkStart w:id="18" w:name="_Toc67587985"/>
      <w:bookmarkStart w:id="19" w:name="_Toc68804761"/>
      <w:bookmarkStart w:id="20" w:name="_Toc101381855"/>
      <w:r w:rsidRPr="004E15E6">
        <w:rPr>
          <w:rFonts w:ascii="Palatino Linotype" w:hAnsi="Palatino Linotype"/>
          <w:b/>
          <w:lang w:val="es-MX"/>
        </w:rPr>
        <w:t>I. De la interposición del recurso.</w:t>
      </w:r>
      <w:bookmarkEnd w:id="18"/>
      <w:bookmarkEnd w:id="19"/>
      <w:bookmarkEnd w:id="20"/>
      <w:r w:rsidRPr="004E15E6">
        <w:rPr>
          <w:rFonts w:ascii="Palatino Linotype" w:hAnsi="Palatino Linotype"/>
          <w:b/>
          <w:lang w:val="es-MX"/>
        </w:rPr>
        <w:t xml:space="preserve"> </w:t>
      </w:r>
    </w:p>
    <w:p w14:paraId="00401B88" w14:textId="77777777" w:rsidR="004E15E6" w:rsidRPr="004E15E6" w:rsidRDefault="004E15E6" w:rsidP="00B25EA5">
      <w:pPr>
        <w:numPr>
          <w:ilvl w:val="0"/>
          <w:numId w:val="2"/>
        </w:numPr>
        <w:shd w:val="clear" w:color="auto" w:fill="FFFFFF" w:themeFill="background1"/>
        <w:spacing w:before="240" w:after="240" w:line="360" w:lineRule="auto"/>
        <w:ind w:left="-90" w:firstLine="90"/>
        <w:jc w:val="both"/>
        <w:rPr>
          <w:rFonts w:ascii="Palatino Linotype" w:hAnsi="Palatino Linotype"/>
        </w:rPr>
      </w:pPr>
      <w:bookmarkStart w:id="21" w:name="_Toc101381856"/>
      <w:r w:rsidRPr="004E15E6">
        <w:rPr>
          <w:rFonts w:ascii="Palatino Linotype" w:hAnsi="Palatino Linotype"/>
        </w:rPr>
        <w:t xml:space="preserve">El medio de impugnación fue presentado a través de la </w:t>
      </w:r>
      <w:r w:rsidRPr="004E15E6">
        <w:rPr>
          <w:rFonts w:ascii="Palatino Linotype" w:hAnsi="Palatino Linotype"/>
          <w:b/>
        </w:rPr>
        <w:t>Plataforma Nacional de Transparencia</w:t>
      </w:r>
      <w:r w:rsidRPr="004E15E6">
        <w:rPr>
          <w:rFonts w:ascii="Palatino Linotype" w:hAnsi="Palatino Linotype"/>
        </w:rPr>
        <w:t xml:space="preserve">, en el formato previamente aprobado para tal efecto, sin embargo por cuanto hace al requisito de oportunidad que debe reunir el recurso de revisión interpuesto, se advierte que el recurso de revisión fue interpuesto fuera del plazo de quince días hábiles contados a partir del día siguiente al que la </w:t>
      </w:r>
      <w:r w:rsidRPr="004E15E6">
        <w:rPr>
          <w:rFonts w:ascii="Palatino Linotype" w:hAnsi="Palatino Linotype"/>
          <w:b/>
        </w:rPr>
        <w:t>RECURRENTE</w:t>
      </w:r>
      <w:r w:rsidRPr="004E15E6">
        <w:rPr>
          <w:rFonts w:ascii="Palatino Linotype" w:hAnsi="Palatino Linotype"/>
        </w:rPr>
        <w:t xml:space="preserve"> tuvo conocimiento de la respuesta impugnada, tal y como lo prevé el artículo 178 de la Ley de Transparencia y Acceso a la Información Pública del Estado de México y Municipios, que establece:</w:t>
      </w:r>
      <w:bookmarkEnd w:id="21"/>
    </w:p>
    <w:p w14:paraId="366CE29C" w14:textId="77777777" w:rsidR="004E15E6" w:rsidRPr="004E15E6" w:rsidRDefault="004E15E6" w:rsidP="00B25EA5">
      <w:pPr>
        <w:shd w:val="clear" w:color="auto" w:fill="FFFFFF" w:themeFill="background1"/>
        <w:spacing w:before="240" w:after="240" w:line="360" w:lineRule="auto"/>
        <w:ind w:firstLine="1"/>
        <w:jc w:val="both"/>
        <w:rPr>
          <w:rFonts w:ascii="Palatino Linotype" w:hAnsi="Palatino Linotype"/>
        </w:rPr>
      </w:pPr>
    </w:p>
    <w:p w14:paraId="0A3E48FA" w14:textId="77777777" w:rsidR="004E15E6" w:rsidRPr="004E15E6" w:rsidRDefault="004E15E6" w:rsidP="00B25EA5">
      <w:pPr>
        <w:shd w:val="clear" w:color="auto" w:fill="FFFFFF" w:themeFill="background1"/>
        <w:spacing w:before="240" w:after="240" w:line="360" w:lineRule="auto"/>
        <w:ind w:left="720" w:right="918"/>
        <w:jc w:val="both"/>
        <w:rPr>
          <w:rFonts w:ascii="Palatino Linotype" w:hAnsi="Palatino Linotype"/>
          <w:i/>
        </w:rPr>
      </w:pPr>
      <w:bookmarkStart w:id="22" w:name="_Toc101381857"/>
      <w:r w:rsidRPr="004E15E6">
        <w:rPr>
          <w:rFonts w:ascii="Palatino Linotype" w:hAnsi="Palatino Linotype"/>
        </w:rPr>
        <w:t>“</w:t>
      </w:r>
      <w:r w:rsidRPr="004E15E6">
        <w:rPr>
          <w:rFonts w:ascii="Palatino Linotype" w:hAnsi="Palatino Linotype"/>
          <w:b/>
          <w:i/>
        </w:rPr>
        <w:t>Artículo 178.</w:t>
      </w:r>
      <w:r w:rsidRPr="004E15E6">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bookmarkEnd w:id="22"/>
    </w:p>
    <w:p w14:paraId="12825991" w14:textId="77777777" w:rsidR="004E15E6" w:rsidRPr="004E15E6" w:rsidRDefault="004E15E6" w:rsidP="00B25EA5">
      <w:pPr>
        <w:shd w:val="clear" w:color="auto" w:fill="FFFFFF" w:themeFill="background1"/>
        <w:spacing w:before="240" w:after="240" w:line="360" w:lineRule="auto"/>
        <w:ind w:firstLine="1"/>
        <w:jc w:val="both"/>
        <w:rPr>
          <w:rFonts w:ascii="Palatino Linotype" w:hAnsi="Palatino Linotype"/>
          <w:i/>
        </w:rPr>
      </w:pPr>
    </w:p>
    <w:p w14:paraId="2DB2D2BD" w14:textId="77777777" w:rsidR="004E15E6" w:rsidRPr="004E15E6" w:rsidRDefault="004E15E6" w:rsidP="00B25EA5">
      <w:pPr>
        <w:shd w:val="clear" w:color="auto" w:fill="FFFFFF" w:themeFill="background1"/>
        <w:spacing w:before="240" w:after="240" w:line="360" w:lineRule="auto"/>
        <w:ind w:left="720" w:right="918"/>
        <w:jc w:val="both"/>
        <w:rPr>
          <w:rFonts w:ascii="Palatino Linotype" w:hAnsi="Palatino Linotype"/>
          <w:i/>
        </w:rPr>
      </w:pPr>
      <w:bookmarkStart w:id="23" w:name="_Toc101381858"/>
      <w:r w:rsidRPr="004E15E6">
        <w:rPr>
          <w:rFonts w:ascii="Palatino Linotype" w:hAnsi="Palatino Linotype"/>
          <w:i/>
        </w:rPr>
        <w:t>En el caso de que se interponga ante la Unidad de Transparencia, ésta deberá remitir el recurso de revisión al Instituto a más tardar al día siguiente de haberlo recibido.”</w:t>
      </w:r>
      <w:bookmarkEnd w:id="23"/>
    </w:p>
    <w:p w14:paraId="404B65F1" w14:textId="35C4726D" w:rsidR="004E15E6" w:rsidRPr="004E15E6" w:rsidRDefault="004E15E6" w:rsidP="00B25EA5">
      <w:pPr>
        <w:numPr>
          <w:ilvl w:val="0"/>
          <w:numId w:val="2"/>
        </w:numPr>
        <w:shd w:val="clear" w:color="auto" w:fill="FFFFFF" w:themeFill="background1"/>
        <w:spacing w:before="240" w:after="240" w:line="360" w:lineRule="auto"/>
        <w:ind w:left="0" w:firstLine="0"/>
        <w:jc w:val="both"/>
        <w:rPr>
          <w:rFonts w:ascii="Palatino Linotype" w:hAnsi="Palatino Linotype"/>
        </w:rPr>
      </w:pPr>
      <w:bookmarkStart w:id="24" w:name="_Toc101381859"/>
      <w:r w:rsidRPr="004E15E6">
        <w:rPr>
          <w:rFonts w:ascii="Palatino Linotype" w:hAnsi="Palatino Linotype"/>
        </w:rPr>
        <w:t xml:space="preserve">En esa tesitura, atendiendo que el </w:t>
      </w:r>
      <w:r w:rsidRPr="004E15E6">
        <w:rPr>
          <w:rFonts w:ascii="Palatino Linotype" w:hAnsi="Palatino Linotype"/>
          <w:b/>
        </w:rPr>
        <w:t>SUJETO OBLIGADO</w:t>
      </w:r>
      <w:r w:rsidRPr="004E15E6">
        <w:rPr>
          <w:rFonts w:ascii="Palatino Linotype" w:hAnsi="Palatino Linotype"/>
        </w:rPr>
        <w:t xml:space="preserve"> notificó la respuesta a la solicitud de informa</w:t>
      </w:r>
      <w:r w:rsidR="002C7340">
        <w:rPr>
          <w:rFonts w:ascii="Palatino Linotype" w:hAnsi="Palatino Linotype"/>
        </w:rPr>
        <w:t>ción pública el día treinta y uno (3</w:t>
      </w:r>
      <w:r w:rsidRPr="004E15E6">
        <w:rPr>
          <w:rFonts w:ascii="Palatino Linotype" w:hAnsi="Palatino Linotype"/>
        </w:rPr>
        <w:t>1) de</w:t>
      </w:r>
      <w:r w:rsidR="002C7340">
        <w:rPr>
          <w:rFonts w:ascii="Palatino Linotype" w:hAnsi="Palatino Linotype"/>
        </w:rPr>
        <w:t xml:space="preserve"> enero</w:t>
      </w:r>
      <w:r w:rsidRPr="004E15E6">
        <w:rPr>
          <w:rFonts w:ascii="Palatino Linotype" w:hAnsi="Palatino Linotype"/>
        </w:rPr>
        <w:t xml:space="preserve"> de dos mil veintidós, el plazo de quince días hábiles que el artículo 178 de la Ley de la materia otorga a la </w:t>
      </w:r>
      <w:r w:rsidRPr="004E15E6">
        <w:rPr>
          <w:rFonts w:ascii="Palatino Linotype" w:hAnsi="Palatino Linotype"/>
          <w:b/>
        </w:rPr>
        <w:t>RECURRENTE</w:t>
      </w:r>
      <w:r w:rsidRPr="004E15E6">
        <w:rPr>
          <w:rFonts w:ascii="Palatino Linotype" w:hAnsi="Palatino Linotype"/>
        </w:rPr>
        <w:t xml:space="preserve"> para presentar el recurso de revisión, transcurrió </w:t>
      </w:r>
      <w:r w:rsidR="002C7340">
        <w:rPr>
          <w:rFonts w:ascii="Palatino Linotype" w:hAnsi="Palatino Linotype"/>
        </w:rPr>
        <w:t>del uno (01</w:t>
      </w:r>
      <w:r w:rsidRPr="004E15E6">
        <w:rPr>
          <w:rFonts w:ascii="Palatino Linotype" w:hAnsi="Palatino Linotype"/>
        </w:rPr>
        <w:t>) al</w:t>
      </w:r>
      <w:r w:rsidR="0058518C">
        <w:rPr>
          <w:rFonts w:ascii="Palatino Linotype" w:hAnsi="Palatino Linotype"/>
        </w:rPr>
        <w:t xml:space="preserve"> veintidós (22</w:t>
      </w:r>
      <w:r w:rsidRPr="004E15E6">
        <w:rPr>
          <w:rFonts w:ascii="Palatino Linotype" w:hAnsi="Palatino Linotype"/>
        </w:rPr>
        <w:t xml:space="preserve">) de febrero de dos mil veintidós, sin contemplar en el cómputo </w:t>
      </w:r>
      <w:r w:rsidR="0058518C">
        <w:rPr>
          <w:rFonts w:ascii="Palatino Linotype" w:hAnsi="Palatino Linotype"/>
        </w:rPr>
        <w:t>el</w:t>
      </w:r>
      <w:r w:rsidRPr="004E15E6">
        <w:rPr>
          <w:rFonts w:ascii="Palatino Linotype" w:hAnsi="Palatino Linotype"/>
        </w:rPr>
        <w:t xml:space="preserve"> días cinco (05), seis (06)</w:t>
      </w:r>
      <w:r w:rsidR="0058518C">
        <w:rPr>
          <w:rFonts w:ascii="Palatino Linotype" w:hAnsi="Palatino Linotype"/>
        </w:rPr>
        <w:t>, doce (12),</w:t>
      </w:r>
      <w:r w:rsidRPr="004E15E6">
        <w:rPr>
          <w:rFonts w:ascii="Palatino Linotype" w:hAnsi="Palatino Linotype"/>
        </w:rPr>
        <w:t xml:space="preserve"> trece (13)</w:t>
      </w:r>
      <w:r w:rsidR="0058518C">
        <w:rPr>
          <w:rFonts w:ascii="Palatino Linotype" w:hAnsi="Palatino Linotype"/>
        </w:rPr>
        <w:t>, diecinueve (19)</w:t>
      </w:r>
      <w:r w:rsidRPr="004E15E6">
        <w:rPr>
          <w:rFonts w:ascii="Palatino Linotype" w:hAnsi="Palatino Linotype"/>
        </w:rPr>
        <w:t xml:space="preserve"> </w:t>
      </w:r>
      <w:r w:rsidR="0058518C">
        <w:rPr>
          <w:rFonts w:ascii="Palatino Linotype" w:hAnsi="Palatino Linotype"/>
        </w:rPr>
        <w:t xml:space="preserve">y veinte (20) </w:t>
      </w:r>
      <w:r w:rsidRPr="004E15E6">
        <w:rPr>
          <w:rFonts w:ascii="Palatino Linotype" w:hAnsi="Palatino Linotype"/>
        </w:rPr>
        <w:t xml:space="preserve">de febrero de dos mil veintidós, por corresponder a sábados y domingos, considerados como días inhábiles; y el día siete (07) de febrero de dos mil veintidós, considerado </w:t>
      </w:r>
      <w:r w:rsidRPr="004E15E6">
        <w:rPr>
          <w:rFonts w:ascii="Palatino Linotype" w:hAnsi="Palatino Linotype"/>
        </w:rPr>
        <w:lastRenderedPageBreak/>
        <w:t>como suspensión de labores en términos del artículo 3 fracción X de la Ley de Transparencia y Acceso a la Información Pública del Estado de México y Municipios.</w:t>
      </w:r>
      <w:bookmarkEnd w:id="24"/>
      <w:r w:rsidRPr="004E15E6">
        <w:rPr>
          <w:rFonts w:ascii="Palatino Linotype" w:hAnsi="Palatino Linotype"/>
        </w:rPr>
        <w:t xml:space="preserve"> </w:t>
      </w:r>
    </w:p>
    <w:p w14:paraId="27929AC1" w14:textId="77777777" w:rsidR="004E15E6" w:rsidRPr="004E15E6" w:rsidRDefault="004E15E6" w:rsidP="00B25EA5">
      <w:pPr>
        <w:shd w:val="clear" w:color="auto" w:fill="FFFFFF" w:themeFill="background1"/>
        <w:spacing w:before="240" w:after="240" w:line="360" w:lineRule="auto"/>
        <w:jc w:val="both"/>
        <w:rPr>
          <w:rFonts w:ascii="Palatino Linotype" w:hAnsi="Palatino Linotype"/>
        </w:rPr>
      </w:pPr>
    </w:p>
    <w:p w14:paraId="76D87DE7" w14:textId="3F51A31D" w:rsidR="0058518C" w:rsidRPr="0058518C" w:rsidRDefault="004E15E6" w:rsidP="00B25EA5">
      <w:pPr>
        <w:numPr>
          <w:ilvl w:val="0"/>
          <w:numId w:val="2"/>
        </w:numPr>
        <w:shd w:val="clear" w:color="auto" w:fill="FFFFFF" w:themeFill="background1"/>
        <w:spacing w:before="240" w:after="240" w:line="360" w:lineRule="auto"/>
        <w:ind w:left="0" w:firstLine="0"/>
        <w:jc w:val="both"/>
        <w:rPr>
          <w:rFonts w:ascii="Palatino Linotype" w:hAnsi="Palatino Linotype"/>
        </w:rPr>
      </w:pPr>
      <w:bookmarkStart w:id="25" w:name="_Toc101381860"/>
      <w:r w:rsidRPr="004E15E6">
        <w:rPr>
          <w:rFonts w:ascii="Palatino Linotype" w:hAnsi="Palatino Linotype"/>
        </w:rPr>
        <w:t xml:space="preserve">En ese tenor, si el recurso de revisión que nos ocupa, se interpuso el día veinticuatro (24) de febrero de dos mil veintidós, se encuentra fuera de los márgenes temporales previstos en el precepto legal señalado en el artículo 178 de la Ley de Transparencia y Acceso a la Información Pública del Estado de México y Municipios y, por tanto, su interposición no se considera oportuna, </w:t>
      </w:r>
      <w:r w:rsidR="0058518C">
        <w:rPr>
          <w:rFonts w:ascii="Palatino Linotype" w:hAnsi="Palatino Linotype"/>
        </w:rPr>
        <w:t>al presentarse dos (02) días</w:t>
      </w:r>
      <w:r w:rsidRPr="004E15E6">
        <w:rPr>
          <w:rFonts w:ascii="Palatino Linotype" w:hAnsi="Palatino Linotype"/>
        </w:rPr>
        <w:t xml:space="preserve"> posterior a la fecha de fenecimiento del plazo otorgado para tales efectos.</w:t>
      </w:r>
      <w:bookmarkStart w:id="26" w:name="_Toc101381861"/>
      <w:bookmarkEnd w:id="25"/>
    </w:p>
    <w:p w14:paraId="51C3A0A6" w14:textId="1E9E6C93" w:rsidR="004E15E6" w:rsidRPr="0058518C" w:rsidRDefault="004E15E6" w:rsidP="00B25EA5">
      <w:pPr>
        <w:numPr>
          <w:ilvl w:val="0"/>
          <w:numId w:val="2"/>
        </w:numPr>
        <w:shd w:val="clear" w:color="auto" w:fill="FFFFFF" w:themeFill="background1"/>
        <w:spacing w:before="240" w:after="240" w:line="360" w:lineRule="auto"/>
        <w:ind w:left="0" w:firstLine="0"/>
        <w:jc w:val="both"/>
        <w:rPr>
          <w:rFonts w:ascii="Palatino Linotype" w:hAnsi="Palatino Linotype"/>
        </w:rPr>
      </w:pPr>
      <w:r w:rsidRPr="0058518C">
        <w:rPr>
          <w:rFonts w:ascii="Palatino Linotype" w:hAnsi="Palatino Linotype"/>
        </w:rPr>
        <w:t xml:space="preserve">En atención a las consideraciones anteriores, esta Ponencia Resolutoria advierte que en el presente caso, se actualiza la hipótesis prevista en el artículo 192 fracción IV </w:t>
      </w:r>
      <w:r w:rsidRPr="0058518C">
        <w:rPr>
          <w:rFonts w:ascii="Palatino Linotype" w:hAnsi="Palatino Linotype"/>
          <w:lang w:val="es-MX"/>
        </w:rPr>
        <w:t>en relación con la fracción I</w:t>
      </w:r>
      <w:r w:rsidRPr="004E15E6">
        <w:rPr>
          <w:rFonts w:ascii="Palatino Linotype" w:hAnsi="Palatino Linotype"/>
          <w:vertAlign w:val="superscript"/>
          <w:lang w:val="es-MX"/>
        </w:rPr>
        <w:footnoteReference w:id="1"/>
      </w:r>
      <w:r w:rsidRPr="0058518C">
        <w:rPr>
          <w:rFonts w:ascii="Palatino Linotype" w:hAnsi="Palatino Linotype"/>
          <w:lang w:val="es-MX"/>
        </w:rPr>
        <w:t xml:space="preserve"> del diverso 191</w:t>
      </w:r>
      <w:r w:rsidRPr="0058518C">
        <w:rPr>
          <w:rFonts w:ascii="Palatino Linotype" w:hAnsi="Palatino Linotype"/>
        </w:rPr>
        <w:t>de la Ley de Transparencia y Acceso a la Información Pública del Estado de México y Municipios, que dispone lo siguiente, por lo que lo procedente es sobreseer el presente asunto, ya que una vez admitido apareció una causal de improcedencia.</w:t>
      </w:r>
      <w:bookmarkEnd w:id="26"/>
      <w:r w:rsidRPr="0058518C">
        <w:rPr>
          <w:rFonts w:ascii="Palatino Linotype" w:hAnsi="Palatino Linotype"/>
        </w:rPr>
        <w:t xml:space="preserve">    </w:t>
      </w:r>
    </w:p>
    <w:p w14:paraId="58F6E72E" w14:textId="77777777" w:rsidR="004E15E6" w:rsidRPr="004E15E6" w:rsidRDefault="004E15E6" w:rsidP="00B25EA5">
      <w:pPr>
        <w:shd w:val="clear" w:color="auto" w:fill="FFFFFF" w:themeFill="background1"/>
        <w:spacing w:before="240" w:after="240" w:line="360" w:lineRule="auto"/>
        <w:ind w:firstLine="1"/>
        <w:jc w:val="both"/>
        <w:rPr>
          <w:rFonts w:ascii="Palatino Linotype" w:hAnsi="Palatino Linotype"/>
          <w:b/>
          <w:i/>
        </w:rPr>
      </w:pPr>
    </w:p>
    <w:p w14:paraId="5D2A1DE6" w14:textId="4657C6DF" w:rsidR="004E15E6" w:rsidRPr="004E15E6" w:rsidRDefault="004E15E6" w:rsidP="00B25EA5">
      <w:pPr>
        <w:shd w:val="clear" w:color="auto" w:fill="FFFFFF" w:themeFill="background1"/>
        <w:spacing w:before="240" w:after="240" w:line="360" w:lineRule="auto"/>
        <w:ind w:left="720" w:right="918"/>
        <w:jc w:val="both"/>
        <w:rPr>
          <w:rFonts w:ascii="Palatino Linotype" w:hAnsi="Palatino Linotype"/>
          <w:i/>
        </w:rPr>
      </w:pPr>
      <w:r w:rsidRPr="004E15E6">
        <w:rPr>
          <w:rFonts w:ascii="Palatino Linotype" w:hAnsi="Palatino Linotype"/>
          <w:b/>
          <w:i/>
        </w:rPr>
        <w:lastRenderedPageBreak/>
        <w:t>“Artículo 192.</w:t>
      </w:r>
      <w:r w:rsidRPr="004E15E6">
        <w:rPr>
          <w:rFonts w:ascii="Palatino Linotype" w:hAnsi="Palatino Linotype"/>
          <w:i/>
        </w:rPr>
        <w:t xml:space="preserve"> El recurso será sobreseído, en todo o en parte, cuando una vez admitido, se actualicen alguno de los siguientes supuestos:</w:t>
      </w:r>
    </w:p>
    <w:p w14:paraId="6413AC1C" w14:textId="74B3F660" w:rsidR="004E15E6" w:rsidRPr="004E15E6" w:rsidRDefault="004E15E6" w:rsidP="00B25EA5">
      <w:pPr>
        <w:shd w:val="clear" w:color="auto" w:fill="FFFFFF" w:themeFill="background1"/>
        <w:spacing w:before="240" w:after="240" w:line="360" w:lineRule="auto"/>
        <w:ind w:left="720" w:right="918"/>
        <w:jc w:val="both"/>
        <w:rPr>
          <w:rFonts w:ascii="Palatino Linotype" w:hAnsi="Palatino Linotype"/>
          <w:i/>
        </w:rPr>
      </w:pPr>
      <w:r w:rsidRPr="004E15E6">
        <w:rPr>
          <w:rFonts w:ascii="Palatino Linotype" w:hAnsi="Palatino Linotype"/>
          <w:i/>
        </w:rPr>
        <w:t>(…)</w:t>
      </w:r>
    </w:p>
    <w:p w14:paraId="668000BB" w14:textId="2BBE65FB" w:rsidR="004E15E6" w:rsidRPr="004E15E6" w:rsidRDefault="004E15E6" w:rsidP="00B25EA5">
      <w:pPr>
        <w:shd w:val="clear" w:color="auto" w:fill="FFFFFF" w:themeFill="background1"/>
        <w:spacing w:before="240" w:after="240" w:line="360" w:lineRule="auto"/>
        <w:ind w:left="720" w:right="918"/>
        <w:jc w:val="both"/>
        <w:rPr>
          <w:rFonts w:ascii="Palatino Linotype" w:hAnsi="Palatino Linotype"/>
          <w:i/>
        </w:rPr>
      </w:pPr>
      <w:r w:rsidRPr="004E15E6">
        <w:rPr>
          <w:rFonts w:ascii="Palatino Linotype" w:hAnsi="Palatino Linotype"/>
          <w:i/>
        </w:rPr>
        <w:t>IV. Admitido el recurso de revisión, aparezca alguna causal de improcedencia en los términos de la presente Ley; y</w:t>
      </w:r>
    </w:p>
    <w:p w14:paraId="57A9060F" w14:textId="77777777" w:rsidR="004E15E6" w:rsidRPr="004E15E6" w:rsidRDefault="004E15E6" w:rsidP="00B25EA5">
      <w:pPr>
        <w:shd w:val="clear" w:color="auto" w:fill="FFFFFF" w:themeFill="background1"/>
        <w:spacing w:before="240" w:after="240" w:line="360" w:lineRule="auto"/>
        <w:ind w:left="720" w:right="918"/>
        <w:jc w:val="both"/>
        <w:rPr>
          <w:rFonts w:ascii="Palatino Linotype" w:hAnsi="Palatino Linotype"/>
          <w:i/>
        </w:rPr>
      </w:pPr>
      <w:r w:rsidRPr="004E15E6">
        <w:rPr>
          <w:rFonts w:ascii="Palatino Linotype" w:hAnsi="Palatino Linotype"/>
          <w:i/>
        </w:rPr>
        <w:t>(…)” (Sic)</w:t>
      </w:r>
    </w:p>
    <w:p w14:paraId="0A5A5E85" w14:textId="77777777" w:rsidR="004E15E6" w:rsidRPr="004E15E6" w:rsidRDefault="004E15E6" w:rsidP="00B25EA5">
      <w:pPr>
        <w:shd w:val="clear" w:color="auto" w:fill="FFFFFF" w:themeFill="background1"/>
        <w:spacing w:before="240" w:after="240" w:line="360" w:lineRule="auto"/>
        <w:ind w:firstLine="1"/>
        <w:jc w:val="both"/>
        <w:rPr>
          <w:rFonts w:ascii="Palatino Linotype" w:hAnsi="Palatino Linotype"/>
          <w:i/>
        </w:rPr>
      </w:pPr>
    </w:p>
    <w:p w14:paraId="47E8CB77" w14:textId="77777777" w:rsidR="004E15E6" w:rsidRPr="004E15E6" w:rsidRDefault="004E15E6" w:rsidP="00B25EA5">
      <w:pPr>
        <w:numPr>
          <w:ilvl w:val="0"/>
          <w:numId w:val="13"/>
        </w:numPr>
        <w:shd w:val="clear" w:color="auto" w:fill="FFFFFF" w:themeFill="background1"/>
        <w:spacing w:before="240" w:after="240" w:line="360" w:lineRule="auto"/>
        <w:ind w:left="0" w:firstLine="0"/>
        <w:jc w:val="both"/>
        <w:rPr>
          <w:rFonts w:ascii="Palatino Linotype" w:hAnsi="Palatino Linotype"/>
          <w:lang w:val="es-MX"/>
        </w:rPr>
      </w:pPr>
      <w:r w:rsidRPr="004E15E6">
        <w:rPr>
          <w:rFonts w:ascii="Palatino Linotype" w:hAnsi="Palatino Linotype"/>
          <w:lang w:val="es-MX"/>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48D26215" w14:textId="77777777" w:rsidR="004E15E6" w:rsidRPr="004E15E6" w:rsidRDefault="004E15E6" w:rsidP="00B25EA5">
      <w:pPr>
        <w:shd w:val="clear" w:color="auto" w:fill="FFFFFF" w:themeFill="background1"/>
        <w:spacing w:before="240" w:after="240" w:line="360" w:lineRule="auto"/>
        <w:ind w:firstLine="1"/>
        <w:jc w:val="both"/>
        <w:rPr>
          <w:rFonts w:ascii="Palatino Linotype" w:hAnsi="Palatino Linotype"/>
          <w:lang w:val="es-MX"/>
        </w:rPr>
      </w:pPr>
    </w:p>
    <w:p w14:paraId="4A098EE7" w14:textId="77777777" w:rsidR="004E15E6" w:rsidRPr="004E15E6" w:rsidRDefault="004E15E6" w:rsidP="00B25EA5">
      <w:pPr>
        <w:shd w:val="clear" w:color="auto" w:fill="FFFFFF" w:themeFill="background1"/>
        <w:spacing w:before="240" w:after="240" w:line="360" w:lineRule="auto"/>
        <w:ind w:left="720" w:right="918"/>
        <w:jc w:val="both"/>
        <w:rPr>
          <w:rFonts w:ascii="Palatino Linotype" w:hAnsi="Palatino Linotype"/>
          <w:b/>
          <w:i/>
          <w:lang w:val="es-MX"/>
        </w:rPr>
      </w:pPr>
      <w:r w:rsidRPr="004E15E6">
        <w:rPr>
          <w:rFonts w:ascii="Palatino Linotype" w:hAnsi="Palatino Linotype"/>
          <w:b/>
          <w:i/>
          <w:lang w:val="es-MX"/>
        </w:rPr>
        <w:t>“DESECHAMIENTO O SOBRESEIMIENTO EN EL JUICIO DE AMPARO. NO IMPLICA DENEGACIÓN DE JUSTICIA NI GENERA INSEGURIDAD JURÍDICA”</w:t>
      </w:r>
    </w:p>
    <w:p w14:paraId="6BBC1480" w14:textId="77777777" w:rsidR="004E15E6" w:rsidRPr="004E15E6" w:rsidRDefault="004E15E6" w:rsidP="00B25EA5">
      <w:pPr>
        <w:shd w:val="clear" w:color="auto" w:fill="FFFFFF" w:themeFill="background1"/>
        <w:spacing w:before="240" w:after="240" w:line="360" w:lineRule="auto"/>
        <w:ind w:left="720" w:right="918"/>
        <w:jc w:val="both"/>
        <w:rPr>
          <w:rFonts w:ascii="Palatino Linotype" w:hAnsi="Palatino Linotype"/>
          <w:b/>
          <w:i/>
          <w:lang w:val="es-MX"/>
        </w:rPr>
      </w:pPr>
    </w:p>
    <w:p w14:paraId="1522CE5B" w14:textId="33B5E8CF" w:rsidR="004E15E6" w:rsidRPr="004E15E6" w:rsidRDefault="004E15E6" w:rsidP="00B25EA5">
      <w:pPr>
        <w:shd w:val="clear" w:color="auto" w:fill="FFFFFF" w:themeFill="background1"/>
        <w:spacing w:before="240" w:after="240" w:line="360" w:lineRule="auto"/>
        <w:ind w:left="720" w:right="918"/>
        <w:jc w:val="both"/>
        <w:rPr>
          <w:rFonts w:ascii="Palatino Linotype" w:hAnsi="Palatino Linotype"/>
          <w:i/>
          <w:lang w:val="es-MX"/>
        </w:rPr>
      </w:pPr>
      <w:r w:rsidRPr="004E15E6">
        <w:rPr>
          <w:rFonts w:ascii="Palatino Linotype" w:hAnsi="Palatino Linotype"/>
          <w:i/>
          <w:lang w:val="es-MX"/>
        </w:rPr>
        <w:t xml:space="preserve">Cuerpo de la tesis: Cuando se desecha una demanda de amparo o se sobresee en el juicio, ello no implica denegar justicia ni genera inseguridad jurídica, ya que la obligación de los tribunales no es tramitar y resolver en el fondo </w:t>
      </w:r>
      <w:r w:rsidRPr="004E15E6">
        <w:rPr>
          <w:rFonts w:ascii="Palatino Linotype" w:hAnsi="Palatino Linotype"/>
          <w:i/>
          <w:lang w:val="es-MX"/>
        </w:rPr>
        <w:lastRenderedPageBreak/>
        <w:t xml:space="preserve">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4E15E6">
        <w:rPr>
          <w:rFonts w:ascii="Palatino Linotype" w:hAnsi="Palatino Linotype"/>
          <w:i/>
          <w:lang w:val="es-MX"/>
        </w:rPr>
        <w:t>promovente</w:t>
      </w:r>
      <w:proofErr w:type="spellEnd"/>
      <w:r w:rsidRPr="004E15E6">
        <w:rPr>
          <w:rFonts w:ascii="Palatino Linotype" w:hAnsi="Palatino Linotype"/>
          <w:i/>
          <w:lang w:val="es-MX"/>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bookmarkStart w:id="27" w:name="_Toc466371865"/>
      <w:bookmarkStart w:id="28" w:name="_Toc466377653"/>
    </w:p>
    <w:p w14:paraId="5C304F4A" w14:textId="5281262A" w:rsidR="004E15E6" w:rsidRPr="00A36670" w:rsidRDefault="004E15E6" w:rsidP="00B25EA5">
      <w:pPr>
        <w:pStyle w:val="Ttulo1"/>
        <w:shd w:val="clear" w:color="auto" w:fill="FFFFFF" w:themeFill="background1"/>
        <w:rPr>
          <w:rFonts w:ascii="Palatino Linotype" w:hAnsi="Palatino Linotype"/>
          <w:b/>
          <w:color w:val="000000" w:themeColor="text1"/>
          <w:sz w:val="24"/>
          <w:szCs w:val="24"/>
          <w:lang w:val="es-ES_tradnl"/>
        </w:rPr>
      </w:pPr>
      <w:bookmarkStart w:id="29" w:name="_Toc67588008"/>
      <w:bookmarkStart w:id="30" w:name="_Toc68804770"/>
      <w:bookmarkStart w:id="31" w:name="_Toc80958963"/>
      <w:bookmarkStart w:id="32" w:name="_Toc97833534"/>
      <w:bookmarkStart w:id="33" w:name="_Toc101381862"/>
      <w:bookmarkStart w:id="34" w:name="_Toc103199984"/>
      <w:r w:rsidRPr="00A36670">
        <w:rPr>
          <w:rFonts w:ascii="Palatino Linotype" w:hAnsi="Palatino Linotype"/>
          <w:b/>
          <w:color w:val="000000" w:themeColor="text1"/>
          <w:sz w:val="24"/>
          <w:szCs w:val="24"/>
          <w:lang w:val="es-ES_tradnl"/>
        </w:rPr>
        <w:t>TERCERO. De la decisión.</w:t>
      </w:r>
      <w:bookmarkEnd w:id="29"/>
      <w:bookmarkEnd w:id="30"/>
      <w:bookmarkEnd w:id="31"/>
      <w:bookmarkEnd w:id="32"/>
      <w:bookmarkEnd w:id="33"/>
      <w:bookmarkEnd w:id="34"/>
      <w:r w:rsidRPr="00A36670">
        <w:rPr>
          <w:rFonts w:ascii="Palatino Linotype" w:hAnsi="Palatino Linotype"/>
          <w:b/>
          <w:color w:val="000000" w:themeColor="text1"/>
          <w:sz w:val="24"/>
          <w:szCs w:val="24"/>
          <w:lang w:val="es-ES_tradnl"/>
        </w:rPr>
        <w:t xml:space="preserve"> </w:t>
      </w:r>
    </w:p>
    <w:p w14:paraId="445EAF43" w14:textId="77777777" w:rsidR="004E15E6" w:rsidRPr="004E15E6" w:rsidRDefault="004E15E6" w:rsidP="00B25EA5">
      <w:pPr>
        <w:numPr>
          <w:ilvl w:val="0"/>
          <w:numId w:val="9"/>
        </w:numPr>
        <w:shd w:val="clear" w:color="auto" w:fill="FFFFFF" w:themeFill="background1"/>
        <w:spacing w:before="240" w:after="240" w:line="360" w:lineRule="auto"/>
        <w:ind w:left="0" w:firstLine="0"/>
        <w:jc w:val="both"/>
        <w:rPr>
          <w:rFonts w:ascii="Palatino Linotype" w:hAnsi="Palatino Linotype"/>
          <w:lang w:val="es-MX"/>
        </w:rPr>
      </w:pPr>
      <w:bookmarkStart w:id="35" w:name="_Toc495427547"/>
      <w:bookmarkStart w:id="36" w:name="_Toc497905366"/>
      <w:r w:rsidRPr="004E15E6">
        <w:rPr>
          <w:rFonts w:ascii="Palatino Linotype" w:hAnsi="Palatino Linotype"/>
          <w:lang w:val="es-MX"/>
        </w:rPr>
        <w:t xml:space="preserve">Con base en todo lo expuesto, y toda vez que se admitido el recurso de revisión apareció una causal de improcedencia, con fundamento en el artículo 186, fracción I, en relación con la fracción IV del artículo 192 de la Ley de Transparencia y Acceso a la Información Pública del Estado de México y Municipios, este Instituto considera procedente </w:t>
      </w:r>
      <w:r w:rsidRPr="004E15E6">
        <w:rPr>
          <w:rFonts w:ascii="Palatino Linotype" w:hAnsi="Palatino Linotype"/>
          <w:b/>
          <w:lang w:val="es-MX"/>
        </w:rPr>
        <w:t xml:space="preserve">SOBRESEER </w:t>
      </w:r>
      <w:r w:rsidRPr="004E15E6">
        <w:rPr>
          <w:rFonts w:ascii="Palatino Linotype" w:hAnsi="Palatino Linotype"/>
          <w:lang w:val="es-MX"/>
        </w:rPr>
        <w:t>el presente recurso de revisión.</w:t>
      </w:r>
      <w:r w:rsidRPr="004E15E6">
        <w:rPr>
          <w:rFonts w:ascii="Palatino Linotype" w:hAnsi="Palatino Linotype"/>
          <w:b/>
          <w:lang w:val="es-MX"/>
        </w:rPr>
        <w:t xml:space="preserve"> </w:t>
      </w:r>
    </w:p>
    <w:p w14:paraId="7F766DF6" w14:textId="77777777" w:rsidR="004E15E6" w:rsidRPr="004E15E6" w:rsidRDefault="004E15E6" w:rsidP="00B25EA5">
      <w:pPr>
        <w:shd w:val="clear" w:color="auto" w:fill="FFFFFF" w:themeFill="background1"/>
        <w:spacing w:before="240" w:after="240" w:line="360" w:lineRule="auto"/>
        <w:jc w:val="both"/>
        <w:rPr>
          <w:rFonts w:ascii="Palatino Linotype" w:hAnsi="Palatino Linotype"/>
          <w:lang w:val="es-MX"/>
        </w:rPr>
      </w:pPr>
    </w:p>
    <w:p w14:paraId="7D656149" w14:textId="77777777" w:rsidR="004E15E6" w:rsidRPr="004E15E6" w:rsidRDefault="004E15E6" w:rsidP="00B25EA5">
      <w:pPr>
        <w:numPr>
          <w:ilvl w:val="0"/>
          <w:numId w:val="9"/>
        </w:numPr>
        <w:shd w:val="clear" w:color="auto" w:fill="FFFFFF" w:themeFill="background1"/>
        <w:spacing w:before="240" w:after="240" w:line="360" w:lineRule="auto"/>
        <w:ind w:left="0" w:firstLine="0"/>
        <w:jc w:val="both"/>
        <w:rPr>
          <w:rFonts w:ascii="Palatino Linotype" w:hAnsi="Palatino Linotype"/>
          <w:lang w:val="es-MX"/>
        </w:rPr>
      </w:pPr>
      <w:r w:rsidRPr="004E15E6">
        <w:rPr>
          <w:rFonts w:ascii="Palatino Linotype" w:hAnsi="Palatino Linotype"/>
          <w:lang w:val="es-ES_tradnl"/>
        </w:rPr>
        <w:lastRenderedPageBreak/>
        <w:t xml:space="preserve">Por lo anteriormente expuesto y fundado, este </w:t>
      </w:r>
      <w:r w:rsidRPr="004E15E6">
        <w:rPr>
          <w:rFonts w:ascii="Palatino Linotype" w:hAnsi="Palatino Linotype"/>
          <w:b/>
          <w:lang w:val="es-ES_tradnl"/>
        </w:rPr>
        <w:t>ÓRGANO GARANTE</w:t>
      </w:r>
      <w:r w:rsidRPr="004E15E6">
        <w:rPr>
          <w:rFonts w:ascii="Palatino Linotype" w:hAnsi="Palatino Linotype"/>
          <w:lang w:val="es-ES_tradnl"/>
        </w:rPr>
        <w:t xml:space="preserve"> emite los siguientes: -------------------------------------------------------------------------------------------</w:t>
      </w:r>
    </w:p>
    <w:p w14:paraId="35523584" w14:textId="77777777" w:rsidR="004E15E6" w:rsidRPr="004E15E6" w:rsidRDefault="004E15E6" w:rsidP="00B25EA5">
      <w:pPr>
        <w:shd w:val="clear" w:color="auto" w:fill="FFFFFF" w:themeFill="background1"/>
        <w:spacing w:before="240" w:after="240" w:line="360" w:lineRule="auto"/>
        <w:jc w:val="both"/>
        <w:rPr>
          <w:rFonts w:ascii="Palatino Linotype" w:hAnsi="Palatino Linotype"/>
          <w:b/>
          <w:lang w:val="es-ES_tradnl"/>
        </w:rPr>
      </w:pPr>
    </w:p>
    <w:p w14:paraId="2DDBD681" w14:textId="77777777" w:rsidR="004E15E6" w:rsidRPr="004E15E6" w:rsidRDefault="004E15E6" w:rsidP="00B25EA5">
      <w:pPr>
        <w:shd w:val="clear" w:color="auto" w:fill="FFFFFF" w:themeFill="background1"/>
        <w:spacing w:before="240" w:after="240" w:line="360" w:lineRule="auto"/>
        <w:ind w:firstLine="1"/>
        <w:jc w:val="center"/>
        <w:rPr>
          <w:rFonts w:ascii="Palatino Linotype" w:hAnsi="Palatino Linotype"/>
          <w:b/>
          <w:lang w:val="es-MX"/>
        </w:rPr>
      </w:pPr>
      <w:bookmarkStart w:id="37" w:name="_Toc80958964"/>
      <w:bookmarkStart w:id="38" w:name="_Toc97833535"/>
      <w:bookmarkStart w:id="39" w:name="_Toc101381863"/>
      <w:r w:rsidRPr="004E15E6">
        <w:rPr>
          <w:rFonts w:ascii="Palatino Linotype" w:hAnsi="Palatino Linotype"/>
          <w:b/>
          <w:lang w:val="es-MX"/>
        </w:rPr>
        <w:t>R E S O L U T I V O S</w:t>
      </w:r>
      <w:bookmarkEnd w:id="27"/>
      <w:bookmarkEnd w:id="28"/>
      <w:bookmarkEnd w:id="35"/>
      <w:bookmarkEnd w:id="36"/>
      <w:bookmarkEnd w:id="37"/>
      <w:bookmarkEnd w:id="38"/>
      <w:bookmarkEnd w:id="39"/>
    </w:p>
    <w:p w14:paraId="65C0ECA0" w14:textId="77777777" w:rsidR="004E15E6" w:rsidRPr="004E15E6" w:rsidRDefault="004E15E6" w:rsidP="00B25EA5">
      <w:pPr>
        <w:shd w:val="clear" w:color="auto" w:fill="FFFFFF" w:themeFill="background1"/>
        <w:spacing w:before="240" w:after="240" w:line="360" w:lineRule="auto"/>
        <w:ind w:firstLine="1"/>
        <w:jc w:val="both"/>
        <w:rPr>
          <w:rFonts w:ascii="Palatino Linotype" w:hAnsi="Palatino Linotype"/>
          <w:b/>
          <w:lang w:val="es-MX"/>
        </w:rPr>
      </w:pPr>
    </w:p>
    <w:p w14:paraId="3542A731" w14:textId="71530474" w:rsidR="004E15E6" w:rsidRPr="004E15E6" w:rsidRDefault="004E15E6" w:rsidP="00B25EA5">
      <w:pPr>
        <w:shd w:val="clear" w:color="auto" w:fill="FFFFFF" w:themeFill="background1"/>
        <w:spacing w:before="240" w:after="240" w:line="360" w:lineRule="auto"/>
        <w:ind w:firstLine="1"/>
        <w:jc w:val="both"/>
        <w:rPr>
          <w:rFonts w:ascii="Palatino Linotype" w:hAnsi="Palatino Linotype"/>
          <w:b/>
          <w:lang w:val="es-MX"/>
        </w:rPr>
      </w:pPr>
      <w:r w:rsidRPr="004E15E6">
        <w:rPr>
          <w:rFonts w:ascii="Palatino Linotype" w:hAnsi="Palatino Linotype"/>
          <w:b/>
          <w:lang w:val="es-MX"/>
        </w:rPr>
        <w:t xml:space="preserve">PRIMERO. </w:t>
      </w:r>
      <w:r w:rsidRPr="004E15E6">
        <w:rPr>
          <w:rFonts w:ascii="Palatino Linotype" w:hAnsi="Palatino Linotype"/>
          <w:lang w:val="es-MX"/>
        </w:rPr>
        <w:t xml:space="preserve">Se </w:t>
      </w:r>
      <w:r w:rsidRPr="004E15E6">
        <w:rPr>
          <w:rFonts w:ascii="Palatino Linotype" w:hAnsi="Palatino Linotype"/>
          <w:b/>
          <w:lang w:val="es-MX"/>
        </w:rPr>
        <w:t>SOBRESEE</w:t>
      </w:r>
      <w:r w:rsidRPr="004E15E6">
        <w:rPr>
          <w:rFonts w:ascii="Palatino Linotype" w:hAnsi="Palatino Linotype"/>
          <w:lang w:val="es-MX"/>
        </w:rPr>
        <w:t xml:space="preserve"> el recurso de revisión número</w:t>
      </w:r>
      <w:r w:rsidR="0058518C" w:rsidRPr="0058518C">
        <w:rPr>
          <w:rFonts w:ascii="Verdana" w:hAnsi="Verdana"/>
          <w:b/>
          <w:bCs/>
          <w:color w:val="FF0000"/>
        </w:rPr>
        <w:t xml:space="preserve"> </w:t>
      </w:r>
      <w:r w:rsidR="0058518C" w:rsidRPr="0058518C">
        <w:rPr>
          <w:rFonts w:ascii="Palatino Linotype" w:hAnsi="Palatino Linotype"/>
          <w:b/>
          <w:bCs/>
        </w:rPr>
        <w:t>01768/INFOEM/IP/RR/2022</w:t>
      </w:r>
      <w:r w:rsidRPr="004E15E6">
        <w:rPr>
          <w:rFonts w:ascii="Palatino Linotype" w:hAnsi="Palatino Linotype"/>
          <w:lang w:val="es-MX"/>
        </w:rPr>
        <w:t xml:space="preserve"> en razón de que, una vez admitido apareció una causal de improcedencia en términos del Considerando </w:t>
      </w:r>
      <w:r w:rsidRPr="004E15E6">
        <w:rPr>
          <w:rFonts w:ascii="Palatino Linotype" w:hAnsi="Palatino Linotype"/>
          <w:b/>
          <w:lang w:val="es-MX"/>
        </w:rPr>
        <w:t xml:space="preserve">SEGUNDO </w:t>
      </w:r>
      <w:r w:rsidRPr="004E15E6">
        <w:rPr>
          <w:rFonts w:ascii="Palatino Linotype" w:hAnsi="Palatino Linotype"/>
          <w:lang w:val="es-MX"/>
        </w:rPr>
        <w:t>de la presente resolución.</w:t>
      </w:r>
      <w:r w:rsidRPr="004E15E6">
        <w:rPr>
          <w:rFonts w:ascii="Palatino Linotype" w:hAnsi="Palatino Linotype"/>
          <w:b/>
          <w:lang w:val="es-MX"/>
        </w:rPr>
        <w:t xml:space="preserve">    </w:t>
      </w:r>
    </w:p>
    <w:p w14:paraId="5914E04F" w14:textId="77777777" w:rsidR="004E15E6" w:rsidRPr="004E15E6" w:rsidRDefault="004E15E6" w:rsidP="00B25EA5">
      <w:pPr>
        <w:shd w:val="clear" w:color="auto" w:fill="FFFFFF" w:themeFill="background1"/>
        <w:spacing w:before="240" w:after="240" w:line="360" w:lineRule="auto"/>
        <w:ind w:firstLine="1"/>
        <w:jc w:val="both"/>
        <w:rPr>
          <w:rFonts w:ascii="Palatino Linotype" w:hAnsi="Palatino Linotype"/>
          <w:b/>
          <w:lang w:val="es-MX"/>
        </w:rPr>
      </w:pPr>
      <w:r w:rsidRPr="004E15E6">
        <w:rPr>
          <w:rFonts w:ascii="Palatino Linotype" w:hAnsi="Palatino Linotype"/>
          <w:b/>
          <w:lang w:val="es-MX"/>
        </w:rPr>
        <w:t>SEGUNDO. Notifíquese</w:t>
      </w:r>
      <w:r w:rsidRPr="004E15E6">
        <w:rPr>
          <w:rFonts w:ascii="Palatino Linotype" w:hAnsi="Palatino Linotype"/>
          <w:lang w:val="es-MX"/>
        </w:rPr>
        <w:t xml:space="preserve"> a través del Sistema de Acceso a la Información Mexiquense </w:t>
      </w:r>
      <w:r w:rsidRPr="004E15E6">
        <w:rPr>
          <w:rFonts w:ascii="Palatino Linotype" w:hAnsi="Palatino Linotype"/>
          <w:b/>
          <w:lang w:val="es-MX"/>
        </w:rPr>
        <w:t>(SAIMEX)</w:t>
      </w:r>
      <w:r w:rsidRPr="004E15E6">
        <w:rPr>
          <w:rFonts w:ascii="Palatino Linotype" w:hAnsi="Palatino Linotype"/>
          <w:lang w:val="es-MX"/>
        </w:rPr>
        <w:t xml:space="preserve"> la presente resolución al Titular de la Unidad de Transparencia del </w:t>
      </w:r>
      <w:r w:rsidRPr="004E15E6">
        <w:rPr>
          <w:rFonts w:ascii="Palatino Linotype" w:hAnsi="Palatino Linotype"/>
          <w:b/>
          <w:lang w:val="es-MX"/>
        </w:rPr>
        <w:t xml:space="preserve">SUJETO OBLIGADO. </w:t>
      </w:r>
    </w:p>
    <w:p w14:paraId="10EE2AEB" w14:textId="77777777" w:rsidR="004E15E6" w:rsidRPr="004E15E6" w:rsidRDefault="004E15E6" w:rsidP="00B25EA5">
      <w:pPr>
        <w:shd w:val="clear" w:color="auto" w:fill="FFFFFF" w:themeFill="background1"/>
        <w:spacing w:before="240" w:after="240" w:line="360" w:lineRule="auto"/>
        <w:ind w:firstLine="1"/>
        <w:jc w:val="both"/>
        <w:rPr>
          <w:rFonts w:ascii="Palatino Linotype" w:hAnsi="Palatino Linotype"/>
          <w:b/>
          <w:lang w:val="es-MX"/>
        </w:rPr>
      </w:pPr>
      <w:r w:rsidRPr="004E15E6">
        <w:rPr>
          <w:rFonts w:ascii="Palatino Linotype" w:hAnsi="Palatino Linotype"/>
          <w:b/>
          <w:lang w:val="es-MX"/>
        </w:rPr>
        <w:t xml:space="preserve">TERCERO. </w:t>
      </w:r>
      <w:r w:rsidRPr="004E15E6">
        <w:rPr>
          <w:rFonts w:ascii="Palatino Linotype" w:hAnsi="Palatino Linotype"/>
          <w:lang w:val="es-MX"/>
        </w:rPr>
        <w:t xml:space="preserve">Notifíquese al </w:t>
      </w:r>
      <w:r w:rsidRPr="004E15E6">
        <w:rPr>
          <w:rFonts w:ascii="Palatino Linotype" w:hAnsi="Palatino Linotype"/>
          <w:b/>
          <w:lang w:val="es-MX"/>
        </w:rPr>
        <w:t>RECURRENTE</w:t>
      </w:r>
      <w:r w:rsidRPr="004E15E6">
        <w:rPr>
          <w:rFonts w:ascii="Palatino Linotype" w:hAnsi="Palatino Linotype"/>
          <w:lang w:val="es-MX"/>
        </w:rPr>
        <w:t xml:space="preserve"> a través del Sistema de Acceso a la Información Mexiquense </w:t>
      </w:r>
      <w:r w:rsidRPr="004E15E6">
        <w:rPr>
          <w:rFonts w:ascii="Palatino Linotype" w:hAnsi="Palatino Linotype"/>
          <w:b/>
          <w:lang w:val="es-MX"/>
        </w:rPr>
        <w:t>(SAIMEX)</w:t>
      </w:r>
      <w:r w:rsidRPr="004E15E6">
        <w:rPr>
          <w:rFonts w:ascii="Palatino Linotype" w:hAnsi="Palatino Linotype"/>
          <w:lang w:val="es-MX"/>
        </w:rPr>
        <w:t xml:space="preserve"> la presente resolución.</w:t>
      </w:r>
    </w:p>
    <w:p w14:paraId="1BF12249" w14:textId="77777777" w:rsidR="004E15E6" w:rsidRPr="004E15E6" w:rsidRDefault="004E15E6" w:rsidP="00B25EA5">
      <w:pPr>
        <w:shd w:val="clear" w:color="auto" w:fill="FFFFFF" w:themeFill="background1"/>
        <w:spacing w:before="240" w:after="240" w:line="360" w:lineRule="auto"/>
        <w:ind w:firstLine="1"/>
        <w:jc w:val="both"/>
        <w:rPr>
          <w:rFonts w:ascii="Palatino Linotype" w:hAnsi="Palatino Linotype"/>
          <w:b/>
          <w:lang w:val="es-MX"/>
        </w:rPr>
      </w:pPr>
      <w:r w:rsidRPr="004E15E6">
        <w:rPr>
          <w:rFonts w:ascii="Palatino Linotype" w:hAnsi="Palatino Linotype"/>
          <w:b/>
          <w:lang w:val="es-MX"/>
        </w:rPr>
        <w:t xml:space="preserve">CUARTO. </w:t>
      </w:r>
      <w:r w:rsidRPr="004E15E6">
        <w:rPr>
          <w:rFonts w:ascii="Palatino Linotype" w:hAnsi="Palatino Linotype"/>
          <w:lang w:val="es-MX"/>
        </w:rPr>
        <w:t xml:space="preserve">Se hace del conocimiento del </w:t>
      </w:r>
      <w:r w:rsidRPr="004E15E6">
        <w:rPr>
          <w:rFonts w:ascii="Palatino Linotype" w:hAnsi="Palatino Linotype"/>
          <w:b/>
          <w:lang w:val="es-MX"/>
        </w:rPr>
        <w:t xml:space="preserve">RECURRENTE </w:t>
      </w:r>
      <w:r w:rsidRPr="004E15E6">
        <w:rPr>
          <w:rFonts w:ascii="Palatino Linotype" w:hAnsi="Palatino Linotype"/>
          <w:lang w:val="es-MX"/>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E15E6">
        <w:rPr>
          <w:rFonts w:ascii="Palatino Linotype" w:hAnsi="Palatino Linotype"/>
          <w:b/>
          <w:lang w:val="es-MX"/>
        </w:rPr>
        <w:t>.</w:t>
      </w:r>
    </w:p>
    <w:p w14:paraId="2CE3C6F9" w14:textId="77777777" w:rsidR="00B25EA5" w:rsidRDefault="00B25EA5" w:rsidP="00B25EA5">
      <w:pPr>
        <w:shd w:val="clear" w:color="auto" w:fill="FFFFFF" w:themeFill="background1"/>
        <w:spacing w:before="240" w:after="240" w:line="360" w:lineRule="auto"/>
        <w:ind w:firstLine="1"/>
        <w:jc w:val="both"/>
        <w:rPr>
          <w:rFonts w:ascii="Palatino Linotype" w:hAnsi="Palatino Linotype"/>
        </w:rPr>
      </w:pPr>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OCTAVA </w:t>
      </w:r>
      <w:r w:rsidRPr="00A0054B">
        <w:rPr>
          <w:rFonts w:ascii="Palatino Linotype" w:hAnsi="Palatino Linotype"/>
        </w:rPr>
        <w:t xml:space="preserve">SESIÓN ORDINARIA CELEBRADA EL </w:t>
      </w:r>
      <w:r>
        <w:rPr>
          <w:rFonts w:ascii="Palatino Linotype" w:hAnsi="Palatino Linotype"/>
        </w:rPr>
        <w:t>DIECIOCHO (18)</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0CBD04BE" w14:textId="4EFDA20E" w:rsidR="004E15E6" w:rsidRPr="00A36670" w:rsidRDefault="004E15E6" w:rsidP="00B25EA5">
      <w:pPr>
        <w:shd w:val="clear" w:color="auto" w:fill="FFFFFF" w:themeFill="background1"/>
        <w:spacing w:before="240" w:after="240" w:line="360" w:lineRule="auto"/>
        <w:ind w:firstLine="1"/>
        <w:jc w:val="both"/>
        <w:rPr>
          <w:rFonts w:ascii="Palatino Linotype" w:hAnsi="Palatino Linotype"/>
          <w:lang w:val="es-ES_tradnl"/>
        </w:rPr>
      </w:pPr>
    </w:p>
    <w:p w14:paraId="4C9F8162" w14:textId="3EE1B73F" w:rsidR="001E3124" w:rsidRPr="00D0216B" w:rsidRDefault="001E3124" w:rsidP="00B25EA5">
      <w:pPr>
        <w:shd w:val="clear" w:color="auto" w:fill="FFFFFF" w:themeFill="background1"/>
        <w:spacing w:before="240" w:after="240" w:line="360" w:lineRule="auto"/>
        <w:jc w:val="both"/>
        <w:rPr>
          <w:rFonts w:ascii="Palatino Linotype" w:hAnsi="Palatino Linotype"/>
        </w:rPr>
      </w:pPr>
    </w:p>
    <w:sectPr w:rsidR="001E3124" w:rsidRPr="00D0216B"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C5321" w14:textId="77777777" w:rsidR="00340E36" w:rsidRDefault="00340E36" w:rsidP="00C80F8C">
      <w:r>
        <w:separator/>
      </w:r>
    </w:p>
  </w:endnote>
  <w:endnote w:type="continuationSeparator" w:id="0">
    <w:p w14:paraId="0E6FFF07" w14:textId="77777777" w:rsidR="00340E36" w:rsidRDefault="00340E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53A1A78" w:rsidR="00BD6B75" w:rsidRPr="00817AAB" w:rsidRDefault="00BD6B75"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E65F3">
      <w:rPr>
        <w:rFonts w:ascii="Palatino Linotype" w:hAnsi="Palatino Linotype" w:cs="Arial"/>
        <w:b/>
        <w:bCs/>
        <w:noProof/>
      </w:rPr>
      <w:t>10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E65F3">
      <w:rPr>
        <w:rFonts w:ascii="Palatino Linotype" w:hAnsi="Palatino Linotype" w:cs="Arial"/>
        <w:b/>
        <w:bCs/>
        <w:noProof/>
      </w:rPr>
      <w:t>10</w:t>
    </w:r>
    <w:r w:rsidRPr="00817AAB">
      <w:rPr>
        <w:rFonts w:ascii="Palatino Linotype" w:hAnsi="Palatino Linotype" w:cs="Arial"/>
        <w:b/>
        <w:bCs/>
      </w:rPr>
      <w:fldChar w:fldCharType="end"/>
    </w:r>
  </w:p>
  <w:p w14:paraId="1192A578" w14:textId="77777777" w:rsidR="00BD6B75" w:rsidRDefault="00BD6B75" w:rsidP="00935A0D">
    <w:pPr>
      <w:pStyle w:val="Piedepgina"/>
      <w:rPr>
        <w:rFonts w:ascii="Times New Roman" w:hAnsi="Times New Roman" w:cs="Times New Roman"/>
      </w:rPr>
    </w:pPr>
  </w:p>
  <w:p w14:paraId="14A770F8" w14:textId="77777777" w:rsidR="00BD6B75" w:rsidRDefault="00BD6B7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C4C080C" w:rsidR="00BD6B75" w:rsidRDefault="00BD6B7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E65F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E65F3">
      <w:rPr>
        <w:rFonts w:ascii="Arial" w:hAnsi="Arial" w:cs="Arial"/>
        <w:b/>
        <w:bCs/>
        <w:noProof/>
        <w:sz w:val="20"/>
        <w:szCs w:val="20"/>
      </w:rPr>
      <w:t>10</w:t>
    </w:r>
    <w:r>
      <w:rPr>
        <w:rFonts w:ascii="Arial" w:hAnsi="Arial" w:cs="Arial"/>
        <w:b/>
        <w:bCs/>
        <w:sz w:val="20"/>
        <w:szCs w:val="20"/>
      </w:rPr>
      <w:fldChar w:fldCharType="end"/>
    </w:r>
  </w:p>
  <w:p w14:paraId="5D98ABD5" w14:textId="77777777" w:rsidR="00BD6B75" w:rsidRDefault="00BD6B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FACFE" w14:textId="77777777" w:rsidR="00340E36" w:rsidRDefault="00340E36" w:rsidP="00C80F8C">
      <w:r>
        <w:separator/>
      </w:r>
    </w:p>
  </w:footnote>
  <w:footnote w:type="continuationSeparator" w:id="0">
    <w:p w14:paraId="46B0EEB1" w14:textId="77777777" w:rsidR="00340E36" w:rsidRDefault="00340E36" w:rsidP="00C80F8C">
      <w:r>
        <w:continuationSeparator/>
      </w:r>
    </w:p>
  </w:footnote>
  <w:footnote w:id="1">
    <w:p w14:paraId="4A6BA5AB" w14:textId="77777777" w:rsidR="004E15E6" w:rsidRDefault="004E15E6" w:rsidP="004E15E6">
      <w:pPr>
        <w:pStyle w:val="Textonotapie"/>
        <w:rPr>
          <w:lang w:val="es-ES"/>
        </w:rPr>
      </w:pPr>
      <w:r>
        <w:rPr>
          <w:rStyle w:val="Refdenotaalpie"/>
        </w:rPr>
        <w:footnoteRef/>
      </w:r>
      <w:r>
        <w:t xml:space="preserve"> A</w:t>
      </w:r>
      <w:proofErr w:type="spellStart"/>
      <w:r w:rsidRPr="00280FDB">
        <w:rPr>
          <w:lang w:val="es-ES"/>
        </w:rPr>
        <w:t>rtículo</w:t>
      </w:r>
      <w:proofErr w:type="spellEnd"/>
      <w:r w:rsidRPr="00280FDB">
        <w:rPr>
          <w:lang w:val="es-ES"/>
        </w:rPr>
        <w:t xml:space="preserve"> 191. El recurso será desechado por improcedente cuando:</w:t>
      </w:r>
    </w:p>
    <w:p w14:paraId="1EBF7740" w14:textId="77777777" w:rsidR="004E15E6" w:rsidRDefault="004E15E6" w:rsidP="004E15E6">
      <w:pPr>
        <w:pStyle w:val="Textonotapie"/>
        <w:rPr>
          <w:lang w:val="es-ES"/>
        </w:rPr>
      </w:pPr>
    </w:p>
    <w:p w14:paraId="324E9BD5" w14:textId="77777777" w:rsidR="004E15E6" w:rsidRDefault="004E15E6" w:rsidP="004E15E6">
      <w:pPr>
        <w:pStyle w:val="Textonotapie"/>
        <w:rPr>
          <w:lang w:val="es-ES"/>
        </w:rPr>
      </w:pPr>
      <w:r w:rsidRPr="00280FDB">
        <w:rPr>
          <w:lang w:val="es-ES"/>
        </w:rPr>
        <w:t>I. Sea extemporáneo por haber transcurrido el plazo establecido en la presente Ley, a partir de la respuesta;</w:t>
      </w:r>
    </w:p>
    <w:p w14:paraId="0CBCFC18" w14:textId="77777777" w:rsidR="004E15E6" w:rsidRDefault="004E15E6" w:rsidP="004E15E6">
      <w:pPr>
        <w:pStyle w:val="Textonotapie"/>
        <w:rPr>
          <w:lang w:val="es-ES"/>
        </w:rPr>
      </w:pPr>
    </w:p>
    <w:p w14:paraId="491FE3A9" w14:textId="77777777" w:rsidR="004E15E6" w:rsidRPr="00280FDB" w:rsidRDefault="004E15E6" w:rsidP="004E15E6">
      <w:pPr>
        <w:pStyle w:val="Textonotapie"/>
        <w:rPr>
          <w:lang w:val="es-ES"/>
        </w:rPr>
      </w:pP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D6B75" w14:paraId="6B4E3B81" w14:textId="77777777" w:rsidTr="00B4299A">
      <w:tc>
        <w:tcPr>
          <w:tcW w:w="2701" w:type="dxa"/>
          <w:vAlign w:val="center"/>
          <w:hideMark/>
        </w:tcPr>
        <w:p w14:paraId="0ABBC6C0" w14:textId="1226DAAF" w:rsidR="00BD6B75" w:rsidRPr="00B4299A" w:rsidRDefault="00BD6B75"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C597A75" w:rsidR="00BD6B75" w:rsidRPr="00B4299A" w:rsidRDefault="00F919B8" w:rsidP="006E011A">
          <w:pPr>
            <w:rPr>
              <w:rFonts w:ascii="Palatino Linotype" w:hAnsi="Palatino Linotype"/>
              <w:b/>
              <w:szCs w:val="22"/>
              <w:lang w:val="es-ES_tradnl"/>
            </w:rPr>
          </w:pPr>
          <w:r w:rsidRPr="00F919B8">
            <w:rPr>
              <w:rFonts w:ascii="Palatino Linotype" w:hAnsi="Palatino Linotype"/>
              <w:b/>
              <w:bCs/>
              <w:szCs w:val="22"/>
            </w:rPr>
            <w:t>01768/INFOEM/IP/RR/2022</w:t>
          </w:r>
        </w:p>
      </w:tc>
    </w:tr>
    <w:tr w:rsidR="00BD6B75" w14:paraId="31CB780F" w14:textId="77777777" w:rsidTr="00B4299A">
      <w:trPr>
        <w:trHeight w:val="228"/>
      </w:trPr>
      <w:tc>
        <w:tcPr>
          <w:tcW w:w="2701" w:type="dxa"/>
          <w:vAlign w:val="center"/>
          <w:hideMark/>
        </w:tcPr>
        <w:p w14:paraId="4F49CB4A" w14:textId="6966D32E" w:rsidR="00BD6B75" w:rsidRPr="00B4299A" w:rsidRDefault="00BD6B75"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935164F" w:rsidR="00BD6B75" w:rsidRPr="00B4299A" w:rsidRDefault="00F919B8" w:rsidP="00BC4C9B">
          <w:pPr>
            <w:jc w:val="both"/>
            <w:rPr>
              <w:rFonts w:ascii="Palatino Linotype" w:hAnsi="Palatino Linotype"/>
              <w:b/>
              <w:szCs w:val="22"/>
              <w:lang w:val="es-ES_tradnl"/>
            </w:rPr>
          </w:pPr>
          <w:r w:rsidRPr="00F919B8">
            <w:rPr>
              <w:rFonts w:ascii="Palatino Linotype" w:hAnsi="Palatino Linotype"/>
              <w:b/>
              <w:bCs/>
              <w:szCs w:val="22"/>
            </w:rPr>
            <w:t xml:space="preserve">Ayuntamiento de Almoloya de </w:t>
          </w:r>
          <w:proofErr w:type="spellStart"/>
          <w:r w:rsidRPr="00F919B8">
            <w:rPr>
              <w:rFonts w:ascii="Palatino Linotype" w:hAnsi="Palatino Linotype"/>
              <w:b/>
              <w:bCs/>
              <w:szCs w:val="22"/>
            </w:rPr>
            <w:t>Alquisiras</w:t>
          </w:r>
          <w:proofErr w:type="spellEnd"/>
        </w:p>
      </w:tc>
    </w:tr>
    <w:tr w:rsidR="00BD6B75" w14:paraId="69050F56" w14:textId="77777777" w:rsidTr="00B4299A">
      <w:tc>
        <w:tcPr>
          <w:tcW w:w="2701" w:type="dxa"/>
          <w:vAlign w:val="center"/>
          <w:hideMark/>
        </w:tcPr>
        <w:p w14:paraId="65C9B735" w14:textId="75C78F81" w:rsidR="00BD6B75" w:rsidRPr="00B4299A" w:rsidRDefault="00BD6B75"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D6B75" w:rsidRPr="00B4299A" w:rsidRDefault="00BD6B75"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D6B75" w:rsidRDefault="00BD6B7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4590BC53">
          <wp:simplePos x="0" y="0"/>
          <wp:positionH relativeFrom="page">
            <wp:posOffset>76200</wp:posOffset>
          </wp:positionH>
          <wp:positionV relativeFrom="paragraph">
            <wp:posOffset>-1227455</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D6B75" w:rsidRDefault="00BD6B75"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D6B75" w:rsidRDefault="00BD6B75"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D6B75" w14:paraId="477E149B" w14:textId="77777777" w:rsidTr="00CB57FD">
      <w:trPr>
        <w:trHeight w:val="277"/>
      </w:trPr>
      <w:tc>
        <w:tcPr>
          <w:tcW w:w="2693" w:type="dxa"/>
          <w:vAlign w:val="center"/>
          <w:hideMark/>
        </w:tcPr>
        <w:p w14:paraId="5C0586E4" w14:textId="77777777"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6112625" w:rsidR="00BD6B75" w:rsidRPr="009B3353" w:rsidRDefault="00F919B8" w:rsidP="00A1039C">
          <w:pPr>
            <w:rPr>
              <w:rFonts w:ascii="Palatino Linotype" w:hAnsi="Palatino Linotype"/>
              <w:b/>
              <w:szCs w:val="22"/>
              <w:lang w:val="es-ES_tradnl"/>
            </w:rPr>
          </w:pPr>
          <w:r w:rsidRPr="00F919B8">
            <w:rPr>
              <w:rFonts w:ascii="Palatino Linotype" w:hAnsi="Palatino Linotype"/>
              <w:b/>
              <w:bCs/>
              <w:szCs w:val="22"/>
            </w:rPr>
            <w:t>01768/INFOEM/IP/RR/2022</w:t>
          </w:r>
        </w:p>
      </w:tc>
    </w:tr>
    <w:tr w:rsidR="00BD6B75" w14:paraId="5B5BE21C" w14:textId="77777777" w:rsidTr="00CB57FD">
      <w:tc>
        <w:tcPr>
          <w:tcW w:w="2693" w:type="dxa"/>
          <w:vAlign w:val="center"/>
          <w:hideMark/>
        </w:tcPr>
        <w:p w14:paraId="4AE96902" w14:textId="4E063913"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2477ADD" w:rsidR="00BD6B75" w:rsidRPr="009B3353" w:rsidRDefault="006E65F3" w:rsidP="002B7BCC">
          <w:pPr>
            <w:rPr>
              <w:rFonts w:ascii="Palatino Linotype" w:hAnsi="Palatino Linotype"/>
              <w:b/>
              <w:szCs w:val="22"/>
              <w:lang w:val="es-ES_tradnl"/>
            </w:rPr>
          </w:pPr>
          <w:r>
            <w:rPr>
              <w:rFonts w:ascii="Palatino Linotype" w:hAnsi="Palatino Linotype"/>
              <w:b/>
              <w:bCs/>
              <w:szCs w:val="22"/>
            </w:rPr>
            <w:t xml:space="preserve">XXX XXXX </w:t>
          </w:r>
          <w:proofErr w:type="spellStart"/>
          <w:r>
            <w:rPr>
              <w:rFonts w:ascii="Palatino Linotype" w:hAnsi="Palatino Linotype"/>
              <w:b/>
              <w:bCs/>
              <w:szCs w:val="22"/>
            </w:rPr>
            <w:t>XXXX</w:t>
          </w:r>
          <w:proofErr w:type="spellEnd"/>
        </w:p>
      </w:tc>
    </w:tr>
    <w:tr w:rsidR="00BD6B75" w14:paraId="22601A11" w14:textId="77777777" w:rsidTr="00CB57FD">
      <w:trPr>
        <w:trHeight w:val="228"/>
      </w:trPr>
      <w:tc>
        <w:tcPr>
          <w:tcW w:w="2693" w:type="dxa"/>
          <w:vAlign w:val="center"/>
          <w:hideMark/>
        </w:tcPr>
        <w:p w14:paraId="6EFE221D" w14:textId="49C5F800"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202D4E4" w:rsidR="00BD6B75" w:rsidRPr="009B3353" w:rsidRDefault="00F919B8" w:rsidP="00F919B8">
          <w:pPr>
            <w:jc w:val="both"/>
            <w:rPr>
              <w:rFonts w:ascii="Palatino Linotype" w:eastAsia="Calibri" w:hAnsi="Palatino Linotype"/>
              <w:b/>
              <w:szCs w:val="22"/>
              <w:lang w:val="es-MX" w:eastAsia="en-US"/>
            </w:rPr>
          </w:pPr>
          <w:r w:rsidRPr="00F919B8">
            <w:rPr>
              <w:rFonts w:ascii="Palatino Linotype" w:eastAsia="Calibri" w:hAnsi="Palatino Linotype"/>
              <w:b/>
              <w:szCs w:val="22"/>
              <w:lang w:val="es-MX" w:eastAsia="en-US"/>
            </w:rPr>
            <w:t xml:space="preserve">Ayuntamiento de Almoloya de </w:t>
          </w:r>
          <w:proofErr w:type="spellStart"/>
          <w:r w:rsidRPr="00F919B8">
            <w:rPr>
              <w:rFonts w:ascii="Palatino Linotype" w:eastAsia="Calibri" w:hAnsi="Palatino Linotype"/>
              <w:b/>
              <w:szCs w:val="22"/>
              <w:lang w:val="es-MX" w:eastAsia="en-US"/>
            </w:rPr>
            <w:t>Alquisiras</w:t>
          </w:r>
          <w:proofErr w:type="spellEnd"/>
        </w:p>
      </w:tc>
    </w:tr>
    <w:tr w:rsidR="00BD6B75" w14:paraId="2D6C630E" w14:textId="77777777" w:rsidTr="00CB57FD">
      <w:tc>
        <w:tcPr>
          <w:tcW w:w="2693" w:type="dxa"/>
          <w:vAlign w:val="center"/>
          <w:hideMark/>
        </w:tcPr>
        <w:p w14:paraId="5BD4C6DB" w14:textId="7CF21504" w:rsidR="00BD6B75" w:rsidRPr="009B3353" w:rsidRDefault="00BD6B75"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D6B75" w:rsidRPr="009B3353" w:rsidRDefault="00BD6B75"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D6B75" w:rsidRDefault="00BD6B7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2A920CC"/>
    <w:multiLevelType w:val="hybridMultilevel"/>
    <w:tmpl w:val="A98CDF4E"/>
    <w:lvl w:ilvl="0" w:tplc="6D667812">
      <w:start w:val="29"/>
      <w:numFmt w:val="decimal"/>
      <w:lvlText w:val="%1."/>
      <w:lvlJc w:val="left"/>
      <w:pPr>
        <w:ind w:left="720" w:hanging="360"/>
      </w:pPr>
      <w:rPr>
        <w:rFonts w:eastAsia="MS Mincho" w:cs="Times New Roman"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927D1D"/>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98D5D87"/>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9571C4"/>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B04D75"/>
    <w:multiLevelType w:val="hybridMultilevel"/>
    <w:tmpl w:val="59381382"/>
    <w:lvl w:ilvl="0" w:tplc="4AB6B9AA">
      <w:start w:val="10"/>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85475B5"/>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3"/>
  </w:num>
  <w:num w:numId="5">
    <w:abstractNumId w:val="0"/>
  </w:num>
  <w:num w:numId="6">
    <w:abstractNumId w:val="10"/>
  </w:num>
  <w:num w:numId="7">
    <w:abstractNumId w:val="8"/>
  </w:num>
  <w:num w:numId="8">
    <w:abstractNumId w:val="5"/>
  </w:num>
  <w:num w:numId="9">
    <w:abstractNumId w:val="6"/>
  </w:num>
  <w:num w:numId="10">
    <w:abstractNumId w:val="9"/>
  </w:num>
  <w:num w:numId="11">
    <w:abstractNumId w:val="1"/>
  </w:num>
  <w:num w:numId="12">
    <w:abstractNumId w:val="7"/>
  </w:num>
  <w:num w:numId="13">
    <w:abstractNumId w:val="13"/>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CB3"/>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3D2"/>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6FB0"/>
    <w:rsid w:val="000D7676"/>
    <w:rsid w:val="000D7CBE"/>
    <w:rsid w:val="000D7F38"/>
    <w:rsid w:val="000D7F6F"/>
    <w:rsid w:val="000E08B8"/>
    <w:rsid w:val="000E1259"/>
    <w:rsid w:val="000E1C85"/>
    <w:rsid w:val="000E1CA1"/>
    <w:rsid w:val="000E2D5E"/>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2B7D"/>
    <w:rsid w:val="00102E4C"/>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64F"/>
    <w:rsid w:val="00152866"/>
    <w:rsid w:val="0015311F"/>
    <w:rsid w:val="001539B3"/>
    <w:rsid w:val="00153F8E"/>
    <w:rsid w:val="001543BC"/>
    <w:rsid w:val="0015502B"/>
    <w:rsid w:val="0015554A"/>
    <w:rsid w:val="0015575F"/>
    <w:rsid w:val="00155BCB"/>
    <w:rsid w:val="00155D53"/>
    <w:rsid w:val="00160712"/>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0FA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EB5"/>
    <w:rsid w:val="001D54C7"/>
    <w:rsid w:val="001D5E26"/>
    <w:rsid w:val="001D6064"/>
    <w:rsid w:val="001D60A4"/>
    <w:rsid w:val="001D63C6"/>
    <w:rsid w:val="001D6A83"/>
    <w:rsid w:val="001E0ACB"/>
    <w:rsid w:val="001E1C02"/>
    <w:rsid w:val="001E3124"/>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1F6DCA"/>
    <w:rsid w:val="0020054B"/>
    <w:rsid w:val="00201E21"/>
    <w:rsid w:val="00203E4E"/>
    <w:rsid w:val="00204373"/>
    <w:rsid w:val="00204C2A"/>
    <w:rsid w:val="00205361"/>
    <w:rsid w:val="00205ADF"/>
    <w:rsid w:val="0020602B"/>
    <w:rsid w:val="002066DF"/>
    <w:rsid w:val="002070E6"/>
    <w:rsid w:val="00212FE4"/>
    <w:rsid w:val="00213228"/>
    <w:rsid w:val="0021442C"/>
    <w:rsid w:val="0021549A"/>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F5"/>
    <w:rsid w:val="002817BA"/>
    <w:rsid w:val="00281EF2"/>
    <w:rsid w:val="00282135"/>
    <w:rsid w:val="00282F58"/>
    <w:rsid w:val="00283308"/>
    <w:rsid w:val="00284224"/>
    <w:rsid w:val="002856CF"/>
    <w:rsid w:val="002856DC"/>
    <w:rsid w:val="0028632C"/>
    <w:rsid w:val="002864D4"/>
    <w:rsid w:val="0028674A"/>
    <w:rsid w:val="00286C23"/>
    <w:rsid w:val="00286DC8"/>
    <w:rsid w:val="002874C3"/>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340"/>
    <w:rsid w:val="002C7356"/>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6D"/>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4680"/>
    <w:rsid w:val="002F54A4"/>
    <w:rsid w:val="002F5A90"/>
    <w:rsid w:val="002F6977"/>
    <w:rsid w:val="002F700E"/>
    <w:rsid w:val="002F74B6"/>
    <w:rsid w:val="002F750C"/>
    <w:rsid w:val="002F772C"/>
    <w:rsid w:val="002F78A1"/>
    <w:rsid w:val="002F78E8"/>
    <w:rsid w:val="003002F7"/>
    <w:rsid w:val="00302787"/>
    <w:rsid w:val="00302C06"/>
    <w:rsid w:val="00302C33"/>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200"/>
    <w:rsid w:val="003324DF"/>
    <w:rsid w:val="00333422"/>
    <w:rsid w:val="003339C3"/>
    <w:rsid w:val="00333C7C"/>
    <w:rsid w:val="003349F4"/>
    <w:rsid w:val="00335047"/>
    <w:rsid w:val="0033544E"/>
    <w:rsid w:val="003374EB"/>
    <w:rsid w:val="003404F0"/>
    <w:rsid w:val="00340732"/>
    <w:rsid w:val="0034094E"/>
    <w:rsid w:val="00340B86"/>
    <w:rsid w:val="00340E36"/>
    <w:rsid w:val="0034164E"/>
    <w:rsid w:val="00342AE7"/>
    <w:rsid w:val="00343A82"/>
    <w:rsid w:val="00343FE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14E"/>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7B04"/>
    <w:rsid w:val="003A080D"/>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1230"/>
    <w:rsid w:val="003B5CA9"/>
    <w:rsid w:val="003B62A2"/>
    <w:rsid w:val="003B6A7C"/>
    <w:rsid w:val="003B72E9"/>
    <w:rsid w:val="003B7A17"/>
    <w:rsid w:val="003C23B9"/>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00C"/>
    <w:rsid w:val="00445454"/>
    <w:rsid w:val="0044547C"/>
    <w:rsid w:val="00445D54"/>
    <w:rsid w:val="00446BB3"/>
    <w:rsid w:val="00446C36"/>
    <w:rsid w:val="004471D2"/>
    <w:rsid w:val="00450182"/>
    <w:rsid w:val="00450869"/>
    <w:rsid w:val="00450C33"/>
    <w:rsid w:val="00450E50"/>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5E6"/>
    <w:rsid w:val="004E1EBF"/>
    <w:rsid w:val="004E27AD"/>
    <w:rsid w:val="004E2D51"/>
    <w:rsid w:val="004E37B6"/>
    <w:rsid w:val="004E3AFD"/>
    <w:rsid w:val="004E44D0"/>
    <w:rsid w:val="004E4987"/>
    <w:rsid w:val="004E52D1"/>
    <w:rsid w:val="004E585B"/>
    <w:rsid w:val="004F07DB"/>
    <w:rsid w:val="004F0A75"/>
    <w:rsid w:val="004F0CC9"/>
    <w:rsid w:val="004F1841"/>
    <w:rsid w:val="004F227C"/>
    <w:rsid w:val="004F2CC0"/>
    <w:rsid w:val="004F36DB"/>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003"/>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4802"/>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3F4C"/>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2ED"/>
    <w:rsid w:val="00583795"/>
    <w:rsid w:val="0058439D"/>
    <w:rsid w:val="00585149"/>
    <w:rsid w:val="0058518C"/>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12C"/>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6B7"/>
    <w:rsid w:val="00600733"/>
    <w:rsid w:val="006010BF"/>
    <w:rsid w:val="00601222"/>
    <w:rsid w:val="0060127F"/>
    <w:rsid w:val="00601296"/>
    <w:rsid w:val="00601A09"/>
    <w:rsid w:val="00601B42"/>
    <w:rsid w:val="00602563"/>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55B"/>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BE1"/>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0AFC"/>
    <w:rsid w:val="00661AC2"/>
    <w:rsid w:val="00661B36"/>
    <w:rsid w:val="00663207"/>
    <w:rsid w:val="00663F26"/>
    <w:rsid w:val="00666655"/>
    <w:rsid w:val="00666C54"/>
    <w:rsid w:val="00667C8B"/>
    <w:rsid w:val="00667D3E"/>
    <w:rsid w:val="00672BDA"/>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1CBF"/>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80F"/>
    <w:rsid w:val="006E2EDE"/>
    <w:rsid w:val="006E307D"/>
    <w:rsid w:val="006E34B6"/>
    <w:rsid w:val="006E3ED4"/>
    <w:rsid w:val="006E5B3F"/>
    <w:rsid w:val="006E5FB5"/>
    <w:rsid w:val="006E60D7"/>
    <w:rsid w:val="006E6278"/>
    <w:rsid w:val="006E6389"/>
    <w:rsid w:val="006E65F1"/>
    <w:rsid w:val="006E65F3"/>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466C"/>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4CF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1B5B"/>
    <w:rsid w:val="00791CBC"/>
    <w:rsid w:val="0079298A"/>
    <w:rsid w:val="00793368"/>
    <w:rsid w:val="0079361A"/>
    <w:rsid w:val="00793A7B"/>
    <w:rsid w:val="00794261"/>
    <w:rsid w:val="00794305"/>
    <w:rsid w:val="00794323"/>
    <w:rsid w:val="007966AC"/>
    <w:rsid w:val="00797539"/>
    <w:rsid w:val="007A02EB"/>
    <w:rsid w:val="007A0327"/>
    <w:rsid w:val="007A1080"/>
    <w:rsid w:val="007A1177"/>
    <w:rsid w:val="007A11F1"/>
    <w:rsid w:val="007A1A5F"/>
    <w:rsid w:val="007A2132"/>
    <w:rsid w:val="007A237F"/>
    <w:rsid w:val="007A29CA"/>
    <w:rsid w:val="007A3089"/>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6630"/>
    <w:rsid w:val="007D71E1"/>
    <w:rsid w:val="007D7334"/>
    <w:rsid w:val="007D7513"/>
    <w:rsid w:val="007D7BC8"/>
    <w:rsid w:val="007E07A7"/>
    <w:rsid w:val="007E16B7"/>
    <w:rsid w:val="007E24F8"/>
    <w:rsid w:val="007E2D8C"/>
    <w:rsid w:val="007E3963"/>
    <w:rsid w:val="007E5467"/>
    <w:rsid w:val="007E5CB2"/>
    <w:rsid w:val="007E5D4D"/>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5C2A"/>
    <w:rsid w:val="008063E2"/>
    <w:rsid w:val="00806829"/>
    <w:rsid w:val="00806A83"/>
    <w:rsid w:val="00807739"/>
    <w:rsid w:val="0080791A"/>
    <w:rsid w:val="008100C2"/>
    <w:rsid w:val="00810A48"/>
    <w:rsid w:val="00811637"/>
    <w:rsid w:val="008139B9"/>
    <w:rsid w:val="00814930"/>
    <w:rsid w:val="00815752"/>
    <w:rsid w:val="00816105"/>
    <w:rsid w:val="00817AAB"/>
    <w:rsid w:val="008207CA"/>
    <w:rsid w:val="00821826"/>
    <w:rsid w:val="008223A5"/>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0E"/>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2F9"/>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C6C18"/>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844"/>
    <w:rsid w:val="008E4F15"/>
    <w:rsid w:val="008E537E"/>
    <w:rsid w:val="008E5BC1"/>
    <w:rsid w:val="008E72F5"/>
    <w:rsid w:val="008E7698"/>
    <w:rsid w:val="008E7709"/>
    <w:rsid w:val="008E7A65"/>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2E4"/>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A6C"/>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C25"/>
    <w:rsid w:val="00977454"/>
    <w:rsid w:val="009816F9"/>
    <w:rsid w:val="00981F51"/>
    <w:rsid w:val="0098269C"/>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97208"/>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0DE1"/>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2F18"/>
    <w:rsid w:val="00A037CB"/>
    <w:rsid w:val="00A0469A"/>
    <w:rsid w:val="00A04B89"/>
    <w:rsid w:val="00A04EB0"/>
    <w:rsid w:val="00A05063"/>
    <w:rsid w:val="00A075F7"/>
    <w:rsid w:val="00A076B7"/>
    <w:rsid w:val="00A1039C"/>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670"/>
    <w:rsid w:val="00A36ED5"/>
    <w:rsid w:val="00A376FD"/>
    <w:rsid w:val="00A41054"/>
    <w:rsid w:val="00A415DB"/>
    <w:rsid w:val="00A4197A"/>
    <w:rsid w:val="00A41E44"/>
    <w:rsid w:val="00A42D27"/>
    <w:rsid w:val="00A43472"/>
    <w:rsid w:val="00A43B64"/>
    <w:rsid w:val="00A45195"/>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6FE7"/>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5EF"/>
    <w:rsid w:val="00B01E0D"/>
    <w:rsid w:val="00B03459"/>
    <w:rsid w:val="00B03CE2"/>
    <w:rsid w:val="00B04008"/>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3EAA"/>
    <w:rsid w:val="00B25866"/>
    <w:rsid w:val="00B25A6F"/>
    <w:rsid w:val="00B25BC6"/>
    <w:rsid w:val="00B25EA5"/>
    <w:rsid w:val="00B270F3"/>
    <w:rsid w:val="00B30948"/>
    <w:rsid w:val="00B316E2"/>
    <w:rsid w:val="00B322FC"/>
    <w:rsid w:val="00B33A9A"/>
    <w:rsid w:val="00B33C2F"/>
    <w:rsid w:val="00B34D6D"/>
    <w:rsid w:val="00B35432"/>
    <w:rsid w:val="00B373AD"/>
    <w:rsid w:val="00B40DA2"/>
    <w:rsid w:val="00B41343"/>
    <w:rsid w:val="00B4134E"/>
    <w:rsid w:val="00B4137E"/>
    <w:rsid w:val="00B41837"/>
    <w:rsid w:val="00B41BE7"/>
    <w:rsid w:val="00B41C8B"/>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0EE9"/>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367"/>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30C"/>
    <w:rsid w:val="00BB0CC2"/>
    <w:rsid w:val="00BB107D"/>
    <w:rsid w:val="00BB1159"/>
    <w:rsid w:val="00BB195A"/>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4C9B"/>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BEA"/>
    <w:rsid w:val="00BD5EA7"/>
    <w:rsid w:val="00BD6857"/>
    <w:rsid w:val="00BD6B75"/>
    <w:rsid w:val="00BD6BED"/>
    <w:rsid w:val="00BD71EB"/>
    <w:rsid w:val="00BD7483"/>
    <w:rsid w:val="00BE097D"/>
    <w:rsid w:val="00BE0E74"/>
    <w:rsid w:val="00BE1DBF"/>
    <w:rsid w:val="00BE226E"/>
    <w:rsid w:val="00BE3B2F"/>
    <w:rsid w:val="00BE421A"/>
    <w:rsid w:val="00BE4666"/>
    <w:rsid w:val="00BE66D6"/>
    <w:rsid w:val="00BE67A1"/>
    <w:rsid w:val="00BE732D"/>
    <w:rsid w:val="00BF0540"/>
    <w:rsid w:val="00BF0748"/>
    <w:rsid w:val="00BF0B64"/>
    <w:rsid w:val="00BF212E"/>
    <w:rsid w:val="00BF330A"/>
    <w:rsid w:val="00BF42CF"/>
    <w:rsid w:val="00BF469C"/>
    <w:rsid w:val="00BF558C"/>
    <w:rsid w:val="00BF685A"/>
    <w:rsid w:val="00BF6B39"/>
    <w:rsid w:val="00BF6CDB"/>
    <w:rsid w:val="00C0076A"/>
    <w:rsid w:val="00C0095A"/>
    <w:rsid w:val="00C0130F"/>
    <w:rsid w:val="00C0590E"/>
    <w:rsid w:val="00C05950"/>
    <w:rsid w:val="00C06929"/>
    <w:rsid w:val="00C06EF4"/>
    <w:rsid w:val="00C0705A"/>
    <w:rsid w:val="00C07899"/>
    <w:rsid w:val="00C07FA9"/>
    <w:rsid w:val="00C10AEE"/>
    <w:rsid w:val="00C10DD6"/>
    <w:rsid w:val="00C10DEC"/>
    <w:rsid w:val="00C1122F"/>
    <w:rsid w:val="00C11F89"/>
    <w:rsid w:val="00C120C6"/>
    <w:rsid w:val="00C12C0F"/>
    <w:rsid w:val="00C134E5"/>
    <w:rsid w:val="00C13832"/>
    <w:rsid w:val="00C1424D"/>
    <w:rsid w:val="00C143AE"/>
    <w:rsid w:val="00C1470E"/>
    <w:rsid w:val="00C15931"/>
    <w:rsid w:val="00C16490"/>
    <w:rsid w:val="00C16ECF"/>
    <w:rsid w:val="00C17535"/>
    <w:rsid w:val="00C1778D"/>
    <w:rsid w:val="00C17D9B"/>
    <w:rsid w:val="00C20E42"/>
    <w:rsid w:val="00C22635"/>
    <w:rsid w:val="00C22842"/>
    <w:rsid w:val="00C2290E"/>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400E5"/>
    <w:rsid w:val="00C40AB5"/>
    <w:rsid w:val="00C4201F"/>
    <w:rsid w:val="00C420DF"/>
    <w:rsid w:val="00C4284F"/>
    <w:rsid w:val="00C42ACD"/>
    <w:rsid w:val="00C4317A"/>
    <w:rsid w:val="00C4357D"/>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5979"/>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54B5"/>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183E"/>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6596"/>
    <w:rsid w:val="00CC77E3"/>
    <w:rsid w:val="00CD04A8"/>
    <w:rsid w:val="00CD0985"/>
    <w:rsid w:val="00CD2AE3"/>
    <w:rsid w:val="00CD4A97"/>
    <w:rsid w:val="00CD4D23"/>
    <w:rsid w:val="00CD50FB"/>
    <w:rsid w:val="00CD55AE"/>
    <w:rsid w:val="00CD57CA"/>
    <w:rsid w:val="00CD6519"/>
    <w:rsid w:val="00CD707C"/>
    <w:rsid w:val="00CD737C"/>
    <w:rsid w:val="00CD7BC3"/>
    <w:rsid w:val="00CD7BE0"/>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16B"/>
    <w:rsid w:val="00D0248E"/>
    <w:rsid w:val="00D027E3"/>
    <w:rsid w:val="00D035FA"/>
    <w:rsid w:val="00D03E56"/>
    <w:rsid w:val="00D049A0"/>
    <w:rsid w:val="00D07F0D"/>
    <w:rsid w:val="00D11533"/>
    <w:rsid w:val="00D11854"/>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1DB2"/>
    <w:rsid w:val="00D62FF1"/>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2BC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4C1C"/>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8A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3F5E"/>
    <w:rsid w:val="00DF578F"/>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0D7"/>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2B09"/>
    <w:rsid w:val="00E733A6"/>
    <w:rsid w:val="00E7373D"/>
    <w:rsid w:val="00E742B9"/>
    <w:rsid w:val="00E747D5"/>
    <w:rsid w:val="00E74EB3"/>
    <w:rsid w:val="00E75D14"/>
    <w:rsid w:val="00E8003A"/>
    <w:rsid w:val="00E805C5"/>
    <w:rsid w:val="00E8080E"/>
    <w:rsid w:val="00E81221"/>
    <w:rsid w:val="00E81502"/>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A27"/>
    <w:rsid w:val="00EF3FA7"/>
    <w:rsid w:val="00EF4435"/>
    <w:rsid w:val="00EF507D"/>
    <w:rsid w:val="00EF6D71"/>
    <w:rsid w:val="00EF7AE7"/>
    <w:rsid w:val="00F00AB6"/>
    <w:rsid w:val="00F00CD5"/>
    <w:rsid w:val="00F00D29"/>
    <w:rsid w:val="00F00FF2"/>
    <w:rsid w:val="00F01081"/>
    <w:rsid w:val="00F01AD6"/>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31E"/>
    <w:rsid w:val="00F23DD7"/>
    <w:rsid w:val="00F240EA"/>
    <w:rsid w:val="00F2496F"/>
    <w:rsid w:val="00F252AC"/>
    <w:rsid w:val="00F25D1F"/>
    <w:rsid w:val="00F25EC1"/>
    <w:rsid w:val="00F26185"/>
    <w:rsid w:val="00F26DC3"/>
    <w:rsid w:val="00F300EF"/>
    <w:rsid w:val="00F301C6"/>
    <w:rsid w:val="00F30A35"/>
    <w:rsid w:val="00F30F7B"/>
    <w:rsid w:val="00F322EA"/>
    <w:rsid w:val="00F32682"/>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57F23"/>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0F6F"/>
    <w:rsid w:val="00F81DCD"/>
    <w:rsid w:val="00F82380"/>
    <w:rsid w:val="00F83A74"/>
    <w:rsid w:val="00F84BAA"/>
    <w:rsid w:val="00F84D35"/>
    <w:rsid w:val="00F85D73"/>
    <w:rsid w:val="00F86921"/>
    <w:rsid w:val="00F86A78"/>
    <w:rsid w:val="00F86E48"/>
    <w:rsid w:val="00F8725D"/>
    <w:rsid w:val="00F87384"/>
    <w:rsid w:val="00F87F8D"/>
    <w:rsid w:val="00F904F7"/>
    <w:rsid w:val="00F907B2"/>
    <w:rsid w:val="00F90BD9"/>
    <w:rsid w:val="00F90DE0"/>
    <w:rsid w:val="00F919B8"/>
    <w:rsid w:val="00F91EB7"/>
    <w:rsid w:val="00F92058"/>
    <w:rsid w:val="00F923A7"/>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1BD1"/>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43BA"/>
    <w:rsid w:val="00FE4939"/>
    <w:rsid w:val="00FE5006"/>
    <w:rsid w:val="00FE517E"/>
    <w:rsid w:val="00FE5219"/>
    <w:rsid w:val="00FE5747"/>
    <w:rsid w:val="00FE612F"/>
    <w:rsid w:val="00FE6C02"/>
    <w:rsid w:val="00FE71F9"/>
    <w:rsid w:val="00FE7FBB"/>
    <w:rsid w:val="00FF0383"/>
    <w:rsid w:val="00FF0FB1"/>
    <w:rsid w:val="00FF175C"/>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8789347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8766413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7800561">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932936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183498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0061271">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2841557">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0992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887256665">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60844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1676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231741.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0A3C-8BD5-4334-91C9-37C676F6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1848</Words>
  <Characters>10165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2021-11-30T23:45:00Z</cp:lastPrinted>
  <dcterms:created xsi:type="dcterms:W3CDTF">2022-05-12T03:14:00Z</dcterms:created>
  <dcterms:modified xsi:type="dcterms:W3CDTF">2022-06-02T18:04:00Z</dcterms:modified>
</cp:coreProperties>
</file>