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F9E988"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4B1308">
        <w:rPr>
          <w:rFonts w:ascii="Palatino Linotype" w:eastAsia="Palatino Linotype" w:hAnsi="Palatino Linotype" w:cs="Palatino Linotype"/>
          <w:b/>
        </w:rPr>
        <w:t>veinte de abril</w:t>
      </w:r>
      <w:r>
        <w:rPr>
          <w:rFonts w:ascii="Palatino Linotype" w:eastAsia="Palatino Linotype" w:hAnsi="Palatino Linotype" w:cs="Palatino Linotype"/>
          <w:b/>
        </w:rPr>
        <w:t xml:space="preserve"> del dos mil veintidós</w:t>
      </w:r>
      <w:r>
        <w:rPr>
          <w:rFonts w:ascii="Palatino Linotype" w:eastAsia="Palatino Linotype" w:hAnsi="Palatino Linotype" w:cs="Palatino Linotype"/>
        </w:rPr>
        <w:t>.</w:t>
      </w:r>
    </w:p>
    <w:p w14:paraId="5680F958" w14:textId="3F2911C8"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sidR="004B1308">
        <w:rPr>
          <w:rFonts w:ascii="Palatino Linotype" w:eastAsia="Palatino Linotype" w:hAnsi="Palatino Linotype" w:cs="Palatino Linotype"/>
          <w:b/>
        </w:rPr>
        <w:t>01074/INFOEM/IP/RR/2022</w:t>
      </w:r>
      <w:r>
        <w:rPr>
          <w:rFonts w:ascii="Palatino Linotype" w:eastAsia="Palatino Linotype" w:hAnsi="Palatino Linotype" w:cs="Palatino Linotype"/>
        </w:rPr>
        <w:t xml:space="preserve">, interpuesto por </w:t>
      </w:r>
      <w:r w:rsidR="00107E60" w:rsidRPr="00107E60">
        <w:rPr>
          <w:rFonts w:ascii="Palatino Linotype" w:eastAsia="Palatino Linotype" w:hAnsi="Palatino Linotype" w:cs="Palatino Linotype"/>
          <w:b/>
        </w:rPr>
        <w:t>XXXXXXX XXX</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sidR="004B1308">
        <w:rPr>
          <w:rFonts w:ascii="Palatino Linotype" w:eastAsia="Palatino Linotype" w:hAnsi="Palatino Linotype" w:cs="Palatino Linotype"/>
          <w:b/>
        </w:rPr>
        <w:t xml:space="preserve"> 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w:t>
      </w:r>
      <w:r w:rsidR="004B1308">
        <w:rPr>
          <w:rFonts w:ascii="Palatino Linotype" w:eastAsia="Palatino Linotype" w:hAnsi="Palatino Linotype" w:cs="Palatino Linotype"/>
          <w:b/>
        </w:rPr>
        <w:t xml:space="preserve"> Secretaría de Seguridad</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2CEA973C" w14:textId="77777777" w:rsidR="00913A86" w:rsidRDefault="002F08A5">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3EB8B2B6" w14:textId="77777777"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sidR="004B1308">
        <w:rPr>
          <w:rFonts w:ascii="Palatino Linotype" w:eastAsia="Palatino Linotype" w:hAnsi="Palatino Linotype" w:cs="Palatino Linotype"/>
          <w:b/>
        </w:rPr>
        <w:t>once de febrero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Recurrente</w:t>
      </w:r>
      <w:r w:rsidR="004B1308">
        <w:rPr>
          <w:rFonts w:ascii="Palatino Linotype" w:eastAsia="Palatino Linotype" w:hAnsi="Palatino Linotype" w:cs="Palatino Linotype"/>
        </w:rPr>
        <w:t xml:space="preserve"> presentó a través del </w:t>
      </w:r>
      <w:r>
        <w:rPr>
          <w:rFonts w:ascii="Palatino Linotype" w:eastAsia="Palatino Linotype" w:hAnsi="Palatino Linotype" w:cs="Palatino Linotype"/>
        </w:rPr>
        <w:t xml:space="preserve">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4B1308" w:rsidRPr="004B1308">
        <w:rPr>
          <w:rFonts w:ascii="Palatino Linotype" w:eastAsia="Palatino Linotype" w:hAnsi="Palatino Linotype" w:cs="Palatino Linotype"/>
          <w:b/>
          <w:bCs/>
        </w:rPr>
        <w:t>00050/SSEM/IP/2022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4EACC8C2" w14:textId="77777777" w:rsidR="00913A86" w:rsidRDefault="002F08A5">
      <w:pPr>
        <w:spacing w:before="240" w:after="240" w:line="276" w:lineRule="auto"/>
        <w:ind w:left="426"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w:t>
      </w:r>
      <w:r w:rsidR="004B1308" w:rsidRPr="004B1308">
        <w:rPr>
          <w:rFonts w:ascii="Palatino Linotype" w:eastAsia="Palatino Linotype" w:hAnsi="Palatino Linotype" w:cs="Palatino Linotype"/>
          <w:i/>
          <w:sz w:val="22"/>
          <w:szCs w:val="22"/>
        </w:rPr>
        <w:t xml:space="preserve">Con fundamento en el artículo 4 de la Ley de Transparencia y Acceso a la Información Pública del Estado de México y Municipios: DE MANERA DETALLADA (POR MUNICIPIO, REGIÓN, ZONA, ETC) </w:t>
      </w:r>
      <w:r w:rsidR="004B1308" w:rsidRPr="004B1308">
        <w:rPr>
          <w:rFonts w:ascii="Palatino Linotype" w:eastAsia="Palatino Linotype" w:hAnsi="Palatino Linotype" w:cs="Palatino Linotype"/>
          <w:b/>
          <w:i/>
          <w:sz w:val="22"/>
          <w:szCs w:val="22"/>
          <w:u w:val="single"/>
        </w:rPr>
        <w:t>REQUIERO CONOCER EL INDICE DELICTIVO EN EL ESTADO DE MÉXICO</w:t>
      </w:r>
      <w:r w:rsidR="004B1308">
        <w:rPr>
          <w:rFonts w:ascii="Palatino Linotype" w:eastAsia="Palatino Linotype" w:hAnsi="Palatino Linotype" w:cs="Palatino Linotype"/>
          <w:i/>
          <w:sz w:val="22"/>
          <w:szCs w:val="22"/>
        </w:rPr>
        <w:t>” (Sic) (Énfasis añadido)</w:t>
      </w:r>
    </w:p>
    <w:p w14:paraId="559E8FBE" w14:textId="77777777"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3EFD60FD" w14:textId="77777777" w:rsidR="00364BD3" w:rsidRDefault="00364BD3">
      <w:pPr>
        <w:spacing w:before="240" w:after="240" w:line="360" w:lineRule="auto"/>
        <w:ind w:right="49"/>
        <w:jc w:val="both"/>
        <w:rPr>
          <w:rFonts w:ascii="Palatino Linotype" w:eastAsia="Palatino Linotype" w:hAnsi="Palatino Linotype" w:cs="Palatino Linotype"/>
        </w:rPr>
      </w:pPr>
    </w:p>
    <w:p w14:paraId="197E9225" w14:textId="77777777"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2. </w:t>
      </w:r>
      <w:r w:rsidR="004B1308">
        <w:rPr>
          <w:rFonts w:ascii="Palatino Linotype" w:eastAsia="Palatino Linotype" w:hAnsi="Palatino Linotype" w:cs="Palatino Linotype"/>
          <w:b/>
        </w:rPr>
        <w:t xml:space="preserve">Respuesta. </w:t>
      </w:r>
      <w:r>
        <w:rPr>
          <w:rFonts w:ascii="Palatino Linotype" w:eastAsia="Palatino Linotype" w:hAnsi="Palatino Linotype" w:cs="Palatino Linotype"/>
        </w:rPr>
        <w:t>En fecha</w:t>
      </w:r>
      <w:r w:rsidR="004B1308">
        <w:rPr>
          <w:rFonts w:ascii="Palatino Linotype" w:eastAsia="Palatino Linotype" w:hAnsi="Palatino Linotype" w:cs="Palatino Linotype"/>
          <w:b/>
        </w:rPr>
        <w:t xml:space="preserve"> dieciséis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incompetencia para atender la solicitud de información sustancialmente en los siguientes términos: </w:t>
      </w:r>
    </w:p>
    <w:p w14:paraId="27B94CD1" w14:textId="77777777" w:rsidR="004B1308" w:rsidRPr="004B1308" w:rsidRDefault="002F08A5" w:rsidP="004B1308">
      <w:pPr>
        <w:spacing w:before="240" w:after="240"/>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4B1308" w:rsidRPr="004B1308">
        <w:rPr>
          <w:rFonts w:ascii="Palatino Linotype" w:eastAsia="Palatino Linotype" w:hAnsi="Palatino Linotype" w:cs="Palatino Linotype"/>
          <w:i/>
          <w:sz w:val="22"/>
          <w:szCs w:val="22"/>
        </w:rPr>
        <w:t>SE ANEXA ACUERDO DE INCOMPETENCIA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14:paraId="0AC4AA52" w14:textId="77777777" w:rsidR="004B1308" w:rsidRPr="004B1308" w:rsidRDefault="004B1308" w:rsidP="004B1308">
      <w:pPr>
        <w:spacing w:before="240" w:after="240"/>
        <w:ind w:left="567" w:right="900"/>
        <w:jc w:val="both"/>
        <w:rPr>
          <w:rFonts w:ascii="Palatino Linotype" w:eastAsia="Palatino Linotype" w:hAnsi="Palatino Linotype" w:cs="Palatino Linotype"/>
          <w:i/>
          <w:sz w:val="22"/>
          <w:szCs w:val="22"/>
        </w:rPr>
      </w:pPr>
      <w:r w:rsidRPr="004B1308">
        <w:rPr>
          <w:rFonts w:ascii="Palatino Linotype" w:eastAsia="Palatino Linotype" w:hAnsi="Palatino Linotype" w:cs="Palatino Linotype"/>
          <w:i/>
          <w:sz w:val="22"/>
          <w:szCs w:val="22"/>
        </w:rPr>
        <w:t>ATENTAMENTE</w:t>
      </w:r>
    </w:p>
    <w:p w14:paraId="35C6CEB3" w14:textId="77777777" w:rsidR="00913A86" w:rsidRDefault="004B1308" w:rsidP="004B1308">
      <w:pPr>
        <w:spacing w:before="240" w:after="240"/>
        <w:ind w:left="567" w:right="900"/>
        <w:jc w:val="both"/>
        <w:rPr>
          <w:rFonts w:ascii="Palatino Linotype" w:eastAsia="Palatino Linotype" w:hAnsi="Palatino Linotype" w:cs="Palatino Linotype"/>
          <w:i/>
          <w:sz w:val="22"/>
          <w:szCs w:val="22"/>
        </w:rPr>
      </w:pPr>
      <w:r w:rsidRPr="004B1308">
        <w:rPr>
          <w:rFonts w:ascii="Palatino Linotype" w:eastAsia="Palatino Linotype" w:hAnsi="Palatino Linotype" w:cs="Palatino Linotype"/>
          <w:i/>
          <w:sz w:val="22"/>
          <w:szCs w:val="22"/>
        </w:rPr>
        <w:t>M. en D. Larissa León Arce</w:t>
      </w:r>
      <w:r w:rsidR="002F08A5">
        <w:rPr>
          <w:rFonts w:ascii="Palatino Linotype" w:eastAsia="Palatino Linotype" w:hAnsi="Palatino Linotype" w:cs="Palatino Linotype"/>
          <w:i/>
          <w:sz w:val="22"/>
          <w:szCs w:val="22"/>
        </w:rPr>
        <w:t>”</w:t>
      </w:r>
    </w:p>
    <w:p w14:paraId="26F48ABC" w14:textId="77777777" w:rsidR="00913A86" w:rsidRDefault="002F08A5">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rPr>
        <w:t xml:space="preserve">Archivo adjunto: </w:t>
      </w:r>
      <w:r>
        <w:rPr>
          <w:rFonts w:ascii="Palatino Linotype" w:eastAsia="Palatino Linotype" w:hAnsi="Palatino Linotype" w:cs="Palatino Linotype"/>
        </w:rPr>
        <w:t xml:space="preserve">El </w:t>
      </w:r>
      <w:r w:rsidRPr="004B1308">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remitió </w:t>
      </w:r>
      <w:r>
        <w:rPr>
          <w:rFonts w:ascii="Palatino Linotype" w:eastAsia="Palatino Linotype" w:hAnsi="Palatino Linotype" w:cs="Palatino Linotype"/>
          <w:color w:val="000000"/>
        </w:rPr>
        <w:t xml:space="preserve">el archivo electrónico que a continuación se describe: </w:t>
      </w:r>
    </w:p>
    <w:p w14:paraId="0E7B22BF" w14:textId="77777777" w:rsidR="00913A86" w:rsidRDefault="002F08A5" w:rsidP="004B1308">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w:t>
      </w:r>
      <w:r w:rsidR="004B1308" w:rsidRPr="004B1308">
        <w:rPr>
          <w:rFonts w:ascii="Palatino Linotype" w:eastAsia="Palatino Linotype" w:hAnsi="Palatino Linotype" w:cs="Palatino Linotype"/>
          <w:b/>
          <w:i/>
          <w:color w:val="000000"/>
        </w:rPr>
        <w:t>Incompetencia 50.pdf</w:t>
      </w:r>
      <w:r>
        <w:rPr>
          <w:rFonts w:ascii="Palatino Linotype" w:eastAsia="Palatino Linotype" w:hAnsi="Palatino Linotype" w:cs="Palatino Linotype"/>
          <w:b/>
          <w:i/>
          <w:color w:val="000000"/>
        </w:rPr>
        <w:t xml:space="preserve">”: </w:t>
      </w:r>
      <w:r w:rsidR="004B1308">
        <w:rPr>
          <w:rFonts w:ascii="Palatino Linotype" w:eastAsia="Palatino Linotype" w:hAnsi="Palatino Linotype" w:cs="Palatino Linotype"/>
          <w:color w:val="000000"/>
        </w:rPr>
        <w:t xml:space="preserve">Documento de tres fojas en el que medularmente, el </w:t>
      </w:r>
      <w:r w:rsidR="004B1308" w:rsidRPr="004B1308">
        <w:rPr>
          <w:rFonts w:ascii="Palatino Linotype" w:eastAsia="Palatino Linotype" w:hAnsi="Palatino Linotype" w:cs="Palatino Linotype"/>
          <w:b/>
          <w:color w:val="000000"/>
        </w:rPr>
        <w:t>Sujeto Obligado</w:t>
      </w:r>
      <w:r w:rsidR="004B1308">
        <w:rPr>
          <w:rFonts w:ascii="Palatino Linotype" w:eastAsia="Palatino Linotype" w:hAnsi="Palatino Linotype" w:cs="Palatino Linotype"/>
          <w:color w:val="000000"/>
        </w:rPr>
        <w:t xml:space="preserve"> declara su incompetencia para atender la presente solicitud de información y orienta al particular para que formule su solicitud a la Fiscalía General de Justicia del Estado de México, se insertan las capturas de pantalla de este pronunciamiento. </w:t>
      </w:r>
    </w:p>
    <w:p w14:paraId="24F0A1B3" w14:textId="77777777" w:rsidR="004B1308" w:rsidRDefault="004B1308" w:rsidP="004B1308">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noProof/>
          <w:color w:val="000000"/>
          <w:lang w:val="es-MX"/>
        </w:rPr>
        <w:lastRenderedPageBreak/>
        <w:drawing>
          <wp:anchor distT="0" distB="0" distL="114300" distR="114300" simplePos="0" relativeHeight="251664384" behindDoc="0" locked="0" layoutInCell="1" allowOverlap="1" wp14:anchorId="7D538C83" wp14:editId="09428956">
            <wp:simplePos x="0" y="0"/>
            <wp:positionH relativeFrom="page">
              <wp:align>center</wp:align>
            </wp:positionH>
            <wp:positionV relativeFrom="paragraph">
              <wp:posOffset>0</wp:posOffset>
            </wp:positionV>
            <wp:extent cx="5581650" cy="700087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1650" cy="700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81F3A" w14:textId="77777777" w:rsidR="004B1308" w:rsidRDefault="004B1308">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b/>
          <w:noProof/>
          <w:lang w:val="es-MX"/>
        </w:rPr>
        <w:lastRenderedPageBreak/>
        <w:drawing>
          <wp:inline distT="0" distB="0" distL="0" distR="0" wp14:anchorId="589B5293" wp14:editId="59BBC34B">
            <wp:extent cx="5219700" cy="64770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9700" cy="6477000"/>
                    </a:xfrm>
                    <a:prstGeom prst="rect">
                      <a:avLst/>
                    </a:prstGeom>
                    <a:noFill/>
                    <a:ln>
                      <a:noFill/>
                    </a:ln>
                  </pic:spPr>
                </pic:pic>
              </a:graphicData>
            </a:graphic>
          </wp:inline>
        </w:drawing>
      </w:r>
    </w:p>
    <w:p w14:paraId="2152CDB0" w14:textId="77777777" w:rsidR="004B1308" w:rsidRDefault="004B1308">
      <w:pPr>
        <w:spacing w:before="240" w:after="240" w:line="360" w:lineRule="auto"/>
        <w:ind w:right="49"/>
        <w:jc w:val="both"/>
        <w:rPr>
          <w:rFonts w:ascii="Palatino Linotype" w:eastAsia="Palatino Linotype" w:hAnsi="Palatino Linotype" w:cs="Palatino Linotype"/>
          <w:b/>
        </w:rPr>
      </w:pPr>
    </w:p>
    <w:p w14:paraId="00A995B5" w14:textId="77777777"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Recurrente</w:t>
      </w:r>
      <w:r>
        <w:rPr>
          <w:rFonts w:ascii="Palatino Linotype" w:eastAsia="Palatino Linotype" w:hAnsi="Palatino Linotype" w:cs="Palatino Linotype"/>
        </w:rPr>
        <w:t xml:space="preserve"> interpuso el recurso de revisión materia del presente estudio el día </w:t>
      </w:r>
      <w:r w:rsidR="004B1308">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04E10026" w14:textId="77777777" w:rsidR="00913A86" w:rsidRDefault="002F08A5">
      <w:pPr>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46CF588B" w14:textId="77777777" w:rsidR="00913A86" w:rsidRDefault="00913A86">
      <w:pPr>
        <w:ind w:right="567"/>
        <w:jc w:val="both"/>
        <w:rPr>
          <w:rFonts w:ascii="Palatino Linotype" w:eastAsia="Palatino Linotype" w:hAnsi="Palatino Linotype" w:cs="Palatino Linotype"/>
          <w:i/>
          <w:sz w:val="22"/>
          <w:szCs w:val="22"/>
        </w:rPr>
      </w:pPr>
    </w:p>
    <w:p w14:paraId="1B84AE50" w14:textId="77777777" w:rsidR="00913A86" w:rsidRDefault="002F08A5">
      <w:pPr>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4B1308" w:rsidRPr="004B1308">
        <w:rPr>
          <w:rFonts w:ascii="Palatino Linotype" w:eastAsia="Palatino Linotype" w:hAnsi="Palatino Linotype" w:cs="Palatino Linotype"/>
          <w:i/>
          <w:sz w:val="22"/>
          <w:szCs w:val="22"/>
        </w:rPr>
        <w:t>TODA VEZ QUE LA SECRETARIA DE SEGURIDAD PÚBLICA Y LA FISCALIA GENERAL DE JUSTICIA DEL ESTADO DE MÉXICO SE ECHAN LA BOLITA EN RESPONDER A LO SOLICITADO Y TODA VEZ QUE ES MI DERECHO HUMANO EL ACCESO A LA INFORMACIÓN PÚBLICA, REQUIERO SE DE RESPUESTA A MI SOLICITUD DE ORIGEN</w:t>
      </w:r>
      <w:r w:rsidR="004B1308">
        <w:rPr>
          <w:rFonts w:ascii="Palatino Linotype" w:eastAsia="Palatino Linotype" w:hAnsi="Palatino Linotype" w:cs="Palatino Linotype"/>
          <w:i/>
          <w:sz w:val="22"/>
          <w:szCs w:val="22"/>
        </w:rPr>
        <w:t>” (Sic)</w:t>
      </w:r>
    </w:p>
    <w:p w14:paraId="4C1FF72C" w14:textId="77777777" w:rsidR="00913A86" w:rsidRDefault="002F08A5">
      <w:pPr>
        <w:spacing w:before="240" w:after="240"/>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015A3119" w14:textId="77777777" w:rsidR="00913A86" w:rsidRDefault="002F08A5">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4B1308" w:rsidRPr="004B1308">
        <w:rPr>
          <w:rFonts w:ascii="Palatino Linotype" w:eastAsia="Palatino Linotype" w:hAnsi="Palatino Linotype" w:cs="Palatino Linotype"/>
          <w:i/>
          <w:sz w:val="22"/>
          <w:szCs w:val="22"/>
        </w:rPr>
        <w:t>VIOLACIÓN A MI DERECHO HUMANO DE ACCESO A LA INFORMACIÓN</w:t>
      </w:r>
      <w:r>
        <w:rPr>
          <w:rFonts w:ascii="Palatino Linotype" w:eastAsia="Palatino Linotype" w:hAnsi="Palatino Linotype" w:cs="Palatino Linotype"/>
          <w:i/>
          <w:sz w:val="22"/>
          <w:szCs w:val="22"/>
        </w:rPr>
        <w:t>”</w:t>
      </w:r>
    </w:p>
    <w:p w14:paraId="7C1A44F3" w14:textId="77777777" w:rsidR="00B97CCE" w:rsidRDefault="00B97CCE">
      <w:pPr>
        <w:spacing w:before="240" w:after="240"/>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Archivos adjuntos: </w:t>
      </w:r>
    </w:p>
    <w:p w14:paraId="16D41950" w14:textId="0BF2991A" w:rsidR="00B97CCE" w:rsidRDefault="00B97CCE" w:rsidP="0067517E">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particular adjuntó el archivo </w:t>
      </w:r>
      <w:r w:rsidRPr="00B97CCE">
        <w:rPr>
          <w:rFonts w:ascii="Palatino Linotype" w:eastAsia="Palatino Linotype" w:hAnsi="Palatino Linotype" w:cs="Palatino Linotype"/>
          <w:b/>
          <w:i/>
          <w:sz w:val="22"/>
          <w:szCs w:val="22"/>
        </w:rPr>
        <w:t xml:space="preserve">“ORIENTACIÓN 00100 </w:t>
      </w:r>
      <w:bookmarkStart w:id="0" w:name="_GoBack"/>
      <w:bookmarkEnd w:id="0"/>
      <w:r w:rsidR="00107E60">
        <w:rPr>
          <w:rFonts w:ascii="Palatino Linotype" w:eastAsia="Palatino Linotype" w:hAnsi="Palatino Linotype" w:cs="Palatino Linotype"/>
          <w:b/>
          <w:i/>
          <w:sz w:val="22"/>
          <w:szCs w:val="22"/>
        </w:rPr>
        <w:t>XXXXXXX XXX</w:t>
      </w:r>
      <w:r w:rsidRPr="00B97CCE">
        <w:rPr>
          <w:rFonts w:ascii="Palatino Linotype" w:eastAsia="Palatino Linotype" w:hAnsi="Palatino Linotype" w:cs="Palatino Linotype"/>
          <w:b/>
          <w:i/>
          <w:sz w:val="22"/>
          <w:szCs w:val="22"/>
        </w:rPr>
        <w:t xml:space="preserve"> (SSC).docx”</w:t>
      </w:r>
      <w:r>
        <w:rPr>
          <w:rFonts w:ascii="Palatino Linotype" w:eastAsia="Palatino Linotype" w:hAnsi="Palatino Linotype" w:cs="Palatino Linotype"/>
          <w:b/>
          <w:i/>
          <w:sz w:val="22"/>
          <w:szCs w:val="22"/>
        </w:rPr>
        <w:t xml:space="preserve">, </w:t>
      </w:r>
      <w:r>
        <w:rPr>
          <w:rFonts w:ascii="Palatino Linotype" w:eastAsia="Palatino Linotype" w:hAnsi="Palatino Linotype" w:cs="Palatino Linotype"/>
          <w:sz w:val="22"/>
          <w:szCs w:val="22"/>
        </w:rPr>
        <w:t xml:space="preserve">mediante el cual, el </w:t>
      </w:r>
      <w:r w:rsidRPr="00B97CCE">
        <w:rPr>
          <w:rFonts w:ascii="Palatino Linotype" w:eastAsia="Palatino Linotype" w:hAnsi="Palatino Linotype" w:cs="Palatino Linotype"/>
          <w:sz w:val="22"/>
          <w:szCs w:val="22"/>
        </w:rPr>
        <w:t>líde</w:t>
      </w:r>
      <w:r>
        <w:rPr>
          <w:rFonts w:ascii="Palatino Linotype" w:eastAsia="Palatino Linotype" w:hAnsi="Palatino Linotype" w:cs="Palatino Linotype"/>
          <w:sz w:val="22"/>
          <w:szCs w:val="22"/>
        </w:rPr>
        <w:t>r “A” de Proyecto adscrito a de la Unidad de T</w:t>
      </w:r>
      <w:r w:rsidRPr="00B97CCE">
        <w:rPr>
          <w:rFonts w:ascii="Palatino Linotype" w:eastAsia="Palatino Linotype" w:hAnsi="Palatino Linotype" w:cs="Palatino Linotype"/>
          <w:sz w:val="22"/>
          <w:szCs w:val="22"/>
        </w:rPr>
        <w:t>ransparencia</w:t>
      </w:r>
      <w:r>
        <w:rPr>
          <w:rFonts w:ascii="Palatino Linotype" w:eastAsia="Palatino Linotype" w:hAnsi="Palatino Linotype" w:cs="Palatino Linotype"/>
          <w:sz w:val="22"/>
          <w:szCs w:val="22"/>
        </w:rPr>
        <w:t xml:space="preserve"> de la Fiscalía General de Justicia del Estado de México, refirió que </w:t>
      </w:r>
      <w:r w:rsidRPr="00B97CCE">
        <w:rPr>
          <w:rFonts w:ascii="Palatino Linotype" w:eastAsia="Palatino Linotype" w:hAnsi="Palatino Linotype" w:cs="Palatino Linotype"/>
          <w:sz w:val="22"/>
          <w:szCs w:val="22"/>
        </w:rPr>
        <w:t>dentro de las atribuciones de este Sujeto Obligado, establecidas en el artículo 10 de la Ley de la Fiscalía General de Justicia del Estado de México, no se encuentra la de generar o poseer información en relación con el índice delictivo, se le orienta para que dirija su solicitud a la Unidad de Transparencia de la Secretaría de Seguridad del Gobierno del Estado de México</w:t>
      </w:r>
      <w:r>
        <w:rPr>
          <w:rFonts w:ascii="Palatino Linotype" w:eastAsia="Palatino Linotype" w:hAnsi="Palatino Linotype" w:cs="Palatino Linotype"/>
          <w:sz w:val="22"/>
          <w:szCs w:val="22"/>
        </w:rPr>
        <w:t xml:space="preserve">. </w:t>
      </w:r>
    </w:p>
    <w:p w14:paraId="61DBDAD1" w14:textId="122F6027" w:rsidR="00B97CCE" w:rsidRPr="00B97CCE" w:rsidRDefault="00107E60" w:rsidP="00B97CCE">
      <w:pPr>
        <w:spacing w:before="240" w:after="240"/>
        <w:ind w:left="567" w:right="851"/>
        <w:jc w:val="both"/>
        <w:rPr>
          <w:rFonts w:ascii="Palatino Linotype" w:eastAsia="Palatino Linotype" w:hAnsi="Palatino Linotype" w:cs="Palatino Linotype"/>
          <w:sz w:val="22"/>
          <w:szCs w:val="22"/>
        </w:rPr>
      </w:pPr>
      <w:r>
        <w:object w:dxaOrig="7920" w:dyaOrig="8115" w14:anchorId="274160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405.75pt" o:ole="">
            <v:imagedata r:id="rId11" o:title=""/>
          </v:shape>
          <o:OLEObject Type="Embed" ProgID="Paint.Picture.1" ShapeID="_x0000_i1025" DrawAspect="Content" ObjectID="_1713613909" r:id="rId12"/>
        </w:object>
      </w:r>
    </w:p>
    <w:p w14:paraId="4A666C13" w14:textId="77777777" w:rsidR="00913A86" w:rsidRDefault="00913A86">
      <w:pPr>
        <w:ind w:right="49"/>
        <w:jc w:val="both"/>
        <w:rPr>
          <w:rFonts w:ascii="Palatino Linotype" w:eastAsia="Palatino Linotype" w:hAnsi="Palatino Linotype" w:cs="Palatino Linotype"/>
          <w:i/>
          <w:sz w:val="22"/>
          <w:szCs w:val="22"/>
        </w:rPr>
      </w:pPr>
    </w:p>
    <w:p w14:paraId="564D012C" w14:textId="77777777"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w:t>
      </w:r>
      <w:r>
        <w:rPr>
          <w:rFonts w:ascii="Palatino Linotype" w:eastAsia="Palatino Linotype" w:hAnsi="Palatino Linotype" w:cs="Palatino Linotype"/>
        </w:rPr>
        <w:lastRenderedPageBreak/>
        <w:t>este Instituto.</w:t>
      </w:r>
    </w:p>
    <w:p w14:paraId="6332E0E1" w14:textId="77777777" w:rsidR="00913A86" w:rsidRDefault="002F08A5">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sidR="004B1308">
        <w:rPr>
          <w:rFonts w:ascii="Palatino Linotype" w:eastAsia="Palatino Linotype" w:hAnsi="Palatino Linotype" w:cs="Palatino Linotype"/>
          <w:b/>
        </w:rPr>
        <w:t xml:space="preserve"> veinticuatro de febrero de dos mil veintidós</w:t>
      </w:r>
      <w:r>
        <w:rPr>
          <w:rFonts w:ascii="Palatino Linotype" w:eastAsia="Palatino Linotype" w:hAnsi="Palatino Linotype" w:cs="Palatino Linotype"/>
          <w:b/>
        </w:rPr>
        <w:t xml:space="preserve"> </w:t>
      </w:r>
      <w:r>
        <w:rPr>
          <w:rFonts w:ascii="Palatino Linotype" w:eastAsia="Palatino Linotype" w:hAnsi="Palatino Linotype" w:cs="Palatino Linotype"/>
        </w:rPr>
        <w:t>se admitió a trámite el presente recurso de revisión a efecto de integrar el expediente respectivo; fue puesto a disposición de las partes por siete días hábiles para que ofrecieran pruebas y manifestaran lo que a su derecho convenga.</w:t>
      </w:r>
    </w:p>
    <w:p w14:paraId="31EA0728" w14:textId="77777777" w:rsidR="00913A86" w:rsidRDefault="00913A86">
      <w:pPr>
        <w:widowControl w:val="0"/>
        <w:spacing w:line="360" w:lineRule="auto"/>
        <w:ind w:right="49"/>
        <w:jc w:val="both"/>
        <w:rPr>
          <w:rFonts w:ascii="Palatino Linotype" w:eastAsia="Palatino Linotype" w:hAnsi="Palatino Linotype" w:cs="Palatino Linotype"/>
        </w:rPr>
      </w:pPr>
    </w:p>
    <w:p w14:paraId="7A216730" w14:textId="77777777" w:rsidR="004B1308" w:rsidRDefault="002F08A5" w:rsidP="004B1308">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el </w:t>
      </w:r>
      <w:r w:rsidR="004B1308">
        <w:rPr>
          <w:rFonts w:ascii="Palatino Linotype" w:eastAsia="Palatino Linotype" w:hAnsi="Palatino Linotype" w:cs="Palatino Linotype"/>
          <w:b/>
        </w:rPr>
        <w:t>ocho de marzo del dos mil veintidós</w:t>
      </w:r>
      <w:r w:rsidR="004B1308">
        <w:rPr>
          <w:rFonts w:ascii="Palatino Linotype" w:eastAsia="Palatino Linotype" w:hAnsi="Palatino Linotype" w:cs="Palatino Linotype"/>
        </w:rPr>
        <w:t xml:space="preserve">, mediante el archivo electrónico </w:t>
      </w:r>
      <w:r w:rsidR="004B1308" w:rsidRPr="004B1308">
        <w:rPr>
          <w:rFonts w:ascii="Palatino Linotype" w:eastAsia="Palatino Linotype" w:hAnsi="Palatino Linotype" w:cs="Palatino Linotype"/>
          <w:b/>
          <w:i/>
        </w:rPr>
        <w:t>“informe justificado RR-01074.pdf”</w:t>
      </w:r>
      <w:r w:rsidR="004B1308">
        <w:rPr>
          <w:rFonts w:ascii="Palatino Linotype" w:eastAsia="Palatino Linotype" w:hAnsi="Palatino Linotype" w:cs="Palatino Linotype"/>
          <w:b/>
          <w:i/>
        </w:rPr>
        <w:t xml:space="preserve">, </w:t>
      </w:r>
      <w:r w:rsidR="00D37D06">
        <w:rPr>
          <w:rFonts w:ascii="Palatino Linotype" w:eastAsia="Palatino Linotype" w:hAnsi="Palatino Linotype" w:cs="Palatino Linotype"/>
        </w:rPr>
        <w:t xml:space="preserve">el cual consta de siete páginas mediante el cual confirma la respuesta emitida inicialmente, sin embargo, amplia los argumentos en los que declara su incompetencia para otorgar respuesta a la presente solicitud de información, se insertan las siguientes capturas de pantalla para mayor referencia: </w:t>
      </w:r>
    </w:p>
    <w:p w14:paraId="6E809E96" w14:textId="77777777" w:rsidR="00D37D06" w:rsidRPr="004B1308" w:rsidRDefault="00D37D06" w:rsidP="00D37D06">
      <w:pPr>
        <w:widowControl w:val="0"/>
        <w:spacing w:line="360" w:lineRule="auto"/>
        <w:ind w:right="49"/>
        <w:jc w:val="center"/>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636A94E6" wp14:editId="0ADF1BC4">
            <wp:extent cx="3987671" cy="5010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5203" cy="5032178"/>
                    </a:xfrm>
                    <a:prstGeom prst="rect">
                      <a:avLst/>
                    </a:prstGeom>
                    <a:noFill/>
                    <a:ln>
                      <a:noFill/>
                    </a:ln>
                  </pic:spPr>
                </pic:pic>
              </a:graphicData>
            </a:graphic>
          </wp:inline>
        </w:drawing>
      </w:r>
    </w:p>
    <w:p w14:paraId="5750CDF6" w14:textId="77777777" w:rsidR="004B1308" w:rsidRDefault="00D37D06">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2C38EA5F" wp14:editId="1E8412E2">
            <wp:extent cx="5572125" cy="71532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7153275"/>
                    </a:xfrm>
                    <a:prstGeom prst="rect">
                      <a:avLst/>
                    </a:prstGeom>
                    <a:noFill/>
                    <a:ln>
                      <a:noFill/>
                    </a:ln>
                  </pic:spPr>
                </pic:pic>
              </a:graphicData>
            </a:graphic>
          </wp:inline>
        </w:drawing>
      </w:r>
    </w:p>
    <w:p w14:paraId="51FA3EBE" w14:textId="77777777" w:rsidR="004B1308" w:rsidRDefault="004B1308">
      <w:pPr>
        <w:widowControl w:val="0"/>
        <w:spacing w:line="360" w:lineRule="auto"/>
        <w:ind w:right="49"/>
        <w:jc w:val="both"/>
        <w:rPr>
          <w:rFonts w:ascii="Palatino Linotype" w:eastAsia="Palatino Linotype" w:hAnsi="Palatino Linotype" w:cs="Palatino Linotype"/>
        </w:rPr>
      </w:pPr>
    </w:p>
    <w:p w14:paraId="0845D9D7" w14:textId="77777777" w:rsidR="00D37D06" w:rsidRDefault="00D37D06">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4BD52FCF" wp14:editId="4C97EB85">
            <wp:extent cx="5314950" cy="7105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4950" cy="7105650"/>
                    </a:xfrm>
                    <a:prstGeom prst="rect">
                      <a:avLst/>
                    </a:prstGeom>
                    <a:noFill/>
                    <a:ln>
                      <a:noFill/>
                    </a:ln>
                  </pic:spPr>
                </pic:pic>
              </a:graphicData>
            </a:graphic>
          </wp:inline>
        </w:drawing>
      </w:r>
    </w:p>
    <w:p w14:paraId="7AC2C646" w14:textId="77777777" w:rsidR="00D37D06" w:rsidRDefault="00D37D06">
      <w:pPr>
        <w:widowControl w:val="0"/>
        <w:spacing w:line="360" w:lineRule="auto"/>
        <w:ind w:right="49"/>
        <w:jc w:val="both"/>
        <w:rPr>
          <w:rFonts w:ascii="Palatino Linotype" w:eastAsia="Palatino Linotype" w:hAnsi="Palatino Linotype" w:cs="Palatino Linotype"/>
        </w:rPr>
      </w:pPr>
    </w:p>
    <w:p w14:paraId="1D3D5BF9" w14:textId="77777777" w:rsidR="00913A86" w:rsidRDefault="0033050B">
      <w:pPr>
        <w:widowControl w:val="0"/>
        <w:spacing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lastRenderedPageBreak/>
        <w:t xml:space="preserve">Debe mencionarse que este archivo </w:t>
      </w:r>
      <w:r w:rsidR="002F08A5">
        <w:rPr>
          <w:rFonts w:ascii="Palatino Linotype" w:eastAsia="Palatino Linotype" w:hAnsi="Palatino Linotype" w:cs="Palatino Linotype"/>
        </w:rPr>
        <w:t xml:space="preserve">se puso a la vista del particular </w:t>
      </w:r>
      <w:r>
        <w:rPr>
          <w:rFonts w:ascii="Palatino Linotype" w:eastAsia="Palatino Linotype" w:hAnsi="Palatino Linotype" w:cs="Palatino Linotype"/>
        </w:rPr>
        <w:t>mediante acuerdo emitido por la Comisionada Ponente, de</w:t>
      </w:r>
      <w:r w:rsidR="002F08A5">
        <w:rPr>
          <w:rFonts w:ascii="Palatino Linotype" w:eastAsia="Palatino Linotype" w:hAnsi="Palatino Linotype" w:cs="Palatino Linotype"/>
        </w:rPr>
        <w:t xml:space="preserve"> fecha </w:t>
      </w:r>
      <w:r>
        <w:rPr>
          <w:rFonts w:ascii="Palatino Linotype" w:eastAsia="Palatino Linotype" w:hAnsi="Palatino Linotype" w:cs="Palatino Linotype"/>
          <w:b/>
        </w:rPr>
        <w:t>treinta y uno de marz</w:t>
      </w:r>
      <w:r w:rsidR="002F08A5">
        <w:rPr>
          <w:rFonts w:ascii="Palatino Linotype" w:eastAsia="Palatino Linotype" w:hAnsi="Palatino Linotype" w:cs="Palatino Linotype"/>
          <w:b/>
        </w:rPr>
        <w:t>o de dos mil veintidós</w:t>
      </w:r>
      <w:r w:rsidR="002F08A5">
        <w:rPr>
          <w:rFonts w:ascii="Palatino Linotype" w:eastAsia="Palatino Linotype" w:hAnsi="Palatino Linotype" w:cs="Palatino Linotype"/>
        </w:rPr>
        <w:t>, asimismo cabe señalar que la parte recurrente fue omisa en emitir pronunciamientos, ofrecer pruebas o alegatos, por lo que se tiene por precluido su derecho.</w:t>
      </w:r>
    </w:p>
    <w:p w14:paraId="55FE32B4" w14:textId="77777777" w:rsidR="00913A86" w:rsidRDefault="007764D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7B33268D" wp14:editId="745AFC3C">
            <wp:extent cx="5572125" cy="1323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125" cy="1323975"/>
                    </a:xfrm>
                    <a:prstGeom prst="rect">
                      <a:avLst/>
                    </a:prstGeom>
                    <a:noFill/>
                    <a:ln>
                      <a:noFill/>
                    </a:ln>
                  </pic:spPr>
                </pic:pic>
              </a:graphicData>
            </a:graphic>
          </wp:inline>
        </w:drawing>
      </w:r>
    </w:p>
    <w:p w14:paraId="13EBF5AA" w14:textId="77777777" w:rsidR="00913A86" w:rsidRDefault="007764DD">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w:t>
      </w:r>
      <w:r w:rsidR="002F08A5">
        <w:rPr>
          <w:rFonts w:ascii="Palatino Linotype" w:eastAsia="Palatino Linotype" w:hAnsi="Palatino Linotype" w:cs="Palatino Linotype"/>
          <w:b/>
        </w:rPr>
        <w:t xml:space="preserve">. Cierre de Instrucción. </w:t>
      </w:r>
      <w:r w:rsidR="002F08A5">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sidR="0033050B">
        <w:rPr>
          <w:rFonts w:ascii="Palatino Linotype" w:eastAsia="Palatino Linotype" w:hAnsi="Palatino Linotype" w:cs="Palatino Linotype"/>
          <w:b/>
        </w:rPr>
        <w:t>diecinueve</w:t>
      </w:r>
      <w:r w:rsidR="0033050B">
        <w:rPr>
          <w:rFonts w:ascii="Palatino Linotype" w:eastAsia="Palatino Linotype" w:hAnsi="Palatino Linotype" w:cs="Palatino Linotype"/>
          <w:b/>
          <w:color w:val="000000"/>
        </w:rPr>
        <w:t xml:space="preserve"> de abril</w:t>
      </w:r>
      <w:r w:rsidR="002F08A5" w:rsidRPr="00296B89">
        <w:rPr>
          <w:rFonts w:ascii="Palatino Linotype" w:eastAsia="Palatino Linotype" w:hAnsi="Palatino Linotype" w:cs="Palatino Linotype"/>
          <w:b/>
          <w:color w:val="000000"/>
        </w:rPr>
        <w:t xml:space="preserve"> </w:t>
      </w:r>
      <w:r w:rsidR="002F08A5" w:rsidRPr="00296B89">
        <w:rPr>
          <w:rFonts w:ascii="Palatino Linotype" w:eastAsia="Palatino Linotype" w:hAnsi="Palatino Linotype" w:cs="Palatino Linotype"/>
          <w:b/>
        </w:rPr>
        <w:t>de dos mil veintidós</w:t>
      </w:r>
      <w:r w:rsidR="002F08A5" w:rsidRPr="00296B89">
        <w:rPr>
          <w:rFonts w:ascii="Palatino Linotype" w:eastAsia="Palatino Linotype" w:hAnsi="Palatino Linotype" w:cs="Palatino Linotype"/>
        </w:rPr>
        <w:t>,</w:t>
      </w:r>
      <w:r w:rsidR="002F08A5">
        <w:rPr>
          <w:rFonts w:ascii="Palatino Linotype" w:eastAsia="Palatino Linotype" w:hAnsi="Palatino Linotype" w:cs="Palatino Linotype"/>
        </w:rPr>
        <w:t xml:space="preserve"> se procedió a decretar el cierre de instrucción respectivo y no existiendo diligencia pendiente de desahogo, se ordenó emitir la resolución que conforme a derecho proceda.</w:t>
      </w:r>
    </w:p>
    <w:p w14:paraId="5E3C3F2A" w14:textId="77777777" w:rsidR="007764DD" w:rsidRDefault="007764DD" w:rsidP="007764D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Ampliación del plazo. </w:t>
      </w:r>
      <w:r>
        <w:rPr>
          <w:rFonts w:ascii="Palatino Linotype" w:eastAsia="Palatino Linotype" w:hAnsi="Palatino Linotype" w:cs="Palatino Linotype"/>
        </w:rPr>
        <w:t xml:space="preserve">En fecha </w:t>
      </w:r>
      <w:r>
        <w:rPr>
          <w:rFonts w:ascii="Palatino Linotype" w:eastAsia="Palatino Linotype" w:hAnsi="Palatino Linotype" w:cs="Palatino Linotype"/>
          <w:b/>
        </w:rPr>
        <w:t>diecinueve de abril de dos mil veintidós</w:t>
      </w:r>
      <w:r>
        <w:rPr>
          <w:rFonts w:ascii="Palatino Linotype" w:eastAsia="Palatino Linotype" w:hAnsi="Palatino Linotype" w:cs="Palatino Linotype"/>
        </w:rPr>
        <w:t>, este Instituto notificó a las partes el Acuerdo de Ampliación de Plazo para resolver el medio de impugnación que nos ocupa, en términos de lo dispuesto por el artículo 181, párrafo tercero de la Ley de Transparencia y Acceso a la Información Pública del Estado de México y Municipios, a fin de aminorar los efectos que conlleva.</w:t>
      </w:r>
    </w:p>
    <w:p w14:paraId="4850283E" w14:textId="77777777" w:rsidR="007764DD" w:rsidRDefault="007764DD">
      <w:pPr>
        <w:spacing w:before="240" w:after="240" w:line="360" w:lineRule="auto"/>
        <w:jc w:val="both"/>
        <w:rPr>
          <w:rFonts w:ascii="Palatino Linotype" w:eastAsia="Palatino Linotype" w:hAnsi="Palatino Linotype" w:cs="Palatino Linotype"/>
        </w:rPr>
      </w:pPr>
    </w:p>
    <w:p w14:paraId="4624A146" w14:textId="77777777" w:rsidR="00913A86" w:rsidRDefault="002F08A5">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CONSIDERANDO</w:t>
      </w:r>
    </w:p>
    <w:p w14:paraId="064BD09A" w14:textId="77777777" w:rsidR="00913A86" w:rsidRDefault="002F08A5">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258E5314" w14:textId="77777777" w:rsidR="00913A86" w:rsidRDefault="002F08A5">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que debe reunir el recurso de revisión interpuesto, previsto en el artículo 178, párrafo primero de la Ley de Transparencia y Acceso a la Información Pública del Estado de México y Municipios vigente, en la especie se advierte que el presente medio de impugnación fue interpuesto dentro del plazo de quince días previsto en el dispositivo referido,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w:t>
      </w:r>
      <w:r w:rsidR="00B97CCE">
        <w:rPr>
          <w:rFonts w:ascii="Palatino Linotype" w:eastAsia="Palatino Linotype" w:hAnsi="Palatino Linotype" w:cs="Palatino Linotype"/>
        </w:rPr>
        <w:t xml:space="preserve">respuesta </w:t>
      </w:r>
      <w:r>
        <w:rPr>
          <w:rFonts w:ascii="Palatino Linotype" w:eastAsia="Palatino Linotype" w:hAnsi="Palatino Linotype" w:cs="Palatino Linotype"/>
        </w:rPr>
        <w:t xml:space="preserve">el día </w:t>
      </w:r>
      <w:r w:rsidR="00B97CCE">
        <w:rPr>
          <w:rFonts w:ascii="Palatino Linotype" w:eastAsia="Palatino Linotype" w:hAnsi="Palatino Linotype" w:cs="Palatino Linotype"/>
          <w:b/>
        </w:rPr>
        <w:t>dieciséis de febrero de dos mil veintidós</w:t>
      </w:r>
      <w:r>
        <w:rPr>
          <w:rFonts w:ascii="Palatino Linotype" w:eastAsia="Palatino Linotype" w:hAnsi="Palatino Linotype" w:cs="Palatino Linotype"/>
        </w:rPr>
        <w:t xml:space="preserve">, mientras que el solicitante presentó su recurso de revisión el día </w:t>
      </w:r>
      <w:r w:rsidR="00B97CCE">
        <w:rPr>
          <w:rFonts w:ascii="Palatino Linotype" w:eastAsia="Palatino Linotype" w:hAnsi="Palatino Linotype" w:cs="Palatino Linotype"/>
          <w:b/>
        </w:rPr>
        <w:t>veintiuno de febrero de dos mil veintidós</w:t>
      </w:r>
      <w:r>
        <w:rPr>
          <w:rFonts w:ascii="Palatino Linotype" w:eastAsia="Palatino Linotype" w:hAnsi="Palatino Linotype" w:cs="Palatino Linotype"/>
        </w:rPr>
        <w:t xml:space="preserve">, esto es, al </w:t>
      </w:r>
      <w:r w:rsidR="00B97CCE">
        <w:rPr>
          <w:rFonts w:ascii="Palatino Linotype" w:eastAsia="Palatino Linotype" w:hAnsi="Palatino Linotype" w:cs="Palatino Linotype"/>
          <w:b/>
        </w:rPr>
        <w:t>tercer</w:t>
      </w:r>
      <w:r>
        <w:rPr>
          <w:rFonts w:ascii="Palatino Linotype" w:eastAsia="Palatino Linotype" w:hAnsi="Palatino Linotype" w:cs="Palatino Linotype"/>
          <w:b/>
        </w:rPr>
        <w:t xml:space="preserve"> día hábil</w:t>
      </w:r>
      <w:r>
        <w:rPr>
          <w:rFonts w:ascii="Palatino Linotype" w:eastAsia="Palatino Linotype" w:hAnsi="Palatino Linotype" w:cs="Palatino Linotype"/>
        </w:rPr>
        <w:t xml:space="preserve"> siguiente en que tuvo conocimiento de la respuesta impugnada, de tal forma, se considera que la interposición del presente </w:t>
      </w:r>
      <w:r>
        <w:rPr>
          <w:rFonts w:ascii="Palatino Linotype" w:eastAsia="Palatino Linotype" w:hAnsi="Palatino Linotype" w:cs="Palatino Linotype"/>
        </w:rPr>
        <w:lastRenderedPageBreak/>
        <w:t>medio de impugnación se encuentra dentro de los márgenes temporales previstos en el citado precepto legal.</w:t>
      </w:r>
    </w:p>
    <w:p w14:paraId="6015E368" w14:textId="77777777" w:rsidR="0018385E" w:rsidRDefault="0018385E" w:rsidP="0018385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por cuanto hace a la procedibilidad del recurso de revisión,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2C1EF03" w14:textId="77777777" w:rsidR="0018385E" w:rsidRDefault="0018385E" w:rsidP="0018385E">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24FB24F3" w14:textId="77777777" w:rsidR="00913A86" w:rsidRDefault="002F08A5">
      <w:pPr>
        <w:spacing w:before="240" w:after="240" w:line="360" w:lineRule="auto"/>
        <w:ind w:right="49"/>
        <w:jc w:val="both"/>
        <w:rPr>
          <w:rFonts w:ascii="Quattrocento Sans" w:eastAsia="Quattrocento Sans" w:hAnsi="Quattrocento Sans" w:cs="Quattrocento Sans"/>
        </w:rPr>
      </w:pPr>
      <w:r>
        <w:rPr>
          <w:rFonts w:ascii="Palatino Linotype" w:eastAsia="Palatino Linotype" w:hAnsi="Palatino Linotype" w:cs="Palatino Linotype"/>
        </w:rPr>
        <w:t xml:space="preserve">Así las cosas,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 al actualizarse lo dispuesto en los artículos 176 y 179 fracciones </w:t>
      </w:r>
      <w:r>
        <w:rPr>
          <w:rFonts w:ascii="Palatino Linotype" w:eastAsia="Palatino Linotype" w:hAnsi="Palatino Linotype" w:cs="Palatino Linotype"/>
          <w:b/>
        </w:rPr>
        <w:t xml:space="preserve">I y IV </w:t>
      </w:r>
      <w:r>
        <w:rPr>
          <w:rFonts w:ascii="Palatino Linotype" w:eastAsia="Palatino Linotype" w:hAnsi="Palatino Linotype" w:cs="Palatino Linotype"/>
        </w:rPr>
        <w:t>del ordenamiento legal citado, que establecen los supuestos en que puede interponerse el recurso de revisión:</w:t>
      </w:r>
    </w:p>
    <w:p w14:paraId="51C55678" w14:textId="77777777"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176.</w:t>
      </w:r>
      <w:r>
        <w:rPr>
          <w:rFonts w:ascii="Palatino Linotype" w:eastAsia="Palatino Linotype" w:hAnsi="Palatino Linotype" w:cs="Palatino Linotype"/>
          <w:i/>
          <w:sz w:val="22"/>
          <w:szCs w:val="22"/>
        </w:rPr>
        <w:t xml:space="preserve"> El recurso de revisión es la garantía secundaria mediante la cual se pretende reparar cualquier posible afectación al derecho de acceso a la información pública en términos del presente y del siguiente Capítulo.</w:t>
      </w:r>
    </w:p>
    <w:p w14:paraId="1A930B6B" w14:textId="77777777"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1629C8D6" w14:textId="77777777" w:rsidR="00913A86" w:rsidRDefault="002F08A5">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p>
    <w:p w14:paraId="5C0A7FB9" w14:textId="77777777" w:rsidR="00913A86" w:rsidRDefault="002F08A5">
      <w:pPr>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9D2CF13" w14:textId="77777777" w:rsidR="00913A86" w:rsidRDefault="002F08A5">
      <w:pPr>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IV. La declaración de incompetencia por el sujeto obligado;</w:t>
      </w:r>
    </w:p>
    <w:p w14:paraId="475ED0D6" w14:textId="77777777"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 ” </w:t>
      </w:r>
    </w:p>
    <w:p w14:paraId="1B7E7FC8" w14:textId="77777777" w:rsidR="00913A86" w:rsidRDefault="002F08A5">
      <w:pPr>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5EF8CD8F" w14:textId="77777777" w:rsidR="00913A86" w:rsidRDefault="002F08A5">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09F2BFBE"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Previo al estudio del presente asunto, es conveniente recordar que la parte solicitante requirió al sujeto obligado en ambas solicitudes, le proporcionara lo siguiente:</w:t>
      </w:r>
    </w:p>
    <w:p w14:paraId="40B298DE" w14:textId="77777777" w:rsidR="0018385E" w:rsidRDefault="0018385E" w:rsidP="0018385E">
      <w:pPr>
        <w:tabs>
          <w:tab w:val="left" w:pos="7513"/>
        </w:tabs>
        <w:spacing w:line="360" w:lineRule="auto"/>
        <w:ind w:left="567" w:right="851"/>
        <w:jc w:val="both"/>
        <w:rPr>
          <w:rFonts w:ascii="Palatino Linotype" w:eastAsia="Palatino Linotype" w:hAnsi="Palatino Linotype" w:cs="Palatino Linotype"/>
          <w:color w:val="000000"/>
        </w:rPr>
      </w:pPr>
      <w:r w:rsidRPr="0018385E">
        <w:rPr>
          <w:rFonts w:ascii="Palatino Linotype" w:eastAsia="Palatino Linotype" w:hAnsi="Palatino Linotype" w:cs="Palatino Linotype"/>
          <w:color w:val="000000"/>
        </w:rPr>
        <w:t>El Índice</w:t>
      </w:r>
      <w:r>
        <w:rPr>
          <w:rFonts w:ascii="Palatino Linotype" w:eastAsia="Palatino Linotype" w:hAnsi="Palatino Linotype" w:cs="Palatino Linotype"/>
          <w:color w:val="000000"/>
        </w:rPr>
        <w:t xml:space="preserve"> Delictivo en el Estado d</w:t>
      </w:r>
      <w:r w:rsidRPr="0018385E">
        <w:rPr>
          <w:rFonts w:ascii="Palatino Linotype" w:eastAsia="Palatino Linotype" w:hAnsi="Palatino Linotype" w:cs="Palatino Linotype"/>
          <w:color w:val="000000"/>
        </w:rPr>
        <w:t>e México</w:t>
      </w:r>
      <w:r>
        <w:rPr>
          <w:rFonts w:ascii="Palatino Linotype" w:eastAsia="Palatino Linotype" w:hAnsi="Palatino Linotype" w:cs="Palatino Linotype"/>
          <w:color w:val="000000"/>
        </w:rPr>
        <w:t xml:space="preserve"> de manera detallada (por Municipio, Región, Zona, e</w:t>
      </w:r>
      <w:r w:rsidRPr="0018385E">
        <w:rPr>
          <w:rFonts w:ascii="Palatino Linotype" w:eastAsia="Palatino Linotype" w:hAnsi="Palatino Linotype" w:cs="Palatino Linotype"/>
          <w:color w:val="000000"/>
        </w:rPr>
        <w:t>tc)</w:t>
      </w:r>
    </w:p>
    <w:p w14:paraId="1E9F4302" w14:textId="77777777" w:rsidR="0018385E" w:rsidRDefault="0018385E">
      <w:pPr>
        <w:tabs>
          <w:tab w:val="left" w:pos="7513"/>
        </w:tabs>
        <w:spacing w:line="360" w:lineRule="auto"/>
        <w:ind w:right="49"/>
        <w:jc w:val="both"/>
        <w:rPr>
          <w:rFonts w:ascii="Palatino Linotype" w:eastAsia="Palatino Linotype" w:hAnsi="Palatino Linotype" w:cs="Palatino Linotype"/>
          <w:color w:val="000000"/>
        </w:rPr>
      </w:pPr>
    </w:p>
    <w:p w14:paraId="5EDA6CB5" w14:textId="77777777" w:rsidR="00913A86" w:rsidRDefault="00296B89">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sidRPr="0018385E">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w:t>
      </w:r>
      <w:r w:rsidR="00320E40">
        <w:rPr>
          <w:rFonts w:ascii="Palatino Linotype" w:eastAsia="Palatino Linotype" w:hAnsi="Palatino Linotype" w:cs="Palatino Linotype"/>
        </w:rPr>
        <w:t xml:space="preserve">que la Secretaría de Seguridad se encarga de planear, formular, conducir, coordinar, ejecutar, supervisar y evaluar las políticas, programas y acciones en materia de seguridad pública </w:t>
      </w:r>
      <w:r w:rsidR="00C34BBD">
        <w:rPr>
          <w:rFonts w:ascii="Palatino Linotype" w:eastAsia="Palatino Linotype" w:hAnsi="Palatino Linotype" w:cs="Palatino Linotype"/>
        </w:rPr>
        <w:t xml:space="preserve">que competen al Gobierno del Estado de México, motivo por el cual, carece de competencia para dar respuesta a su solicitud de información, </w:t>
      </w:r>
      <w:r w:rsidR="00243757">
        <w:rPr>
          <w:rFonts w:ascii="Palatino Linotype" w:eastAsia="Palatino Linotype" w:hAnsi="Palatino Linotype" w:cs="Palatino Linotype"/>
        </w:rPr>
        <w:t xml:space="preserve">por corresponder a la Fiscalía General </w:t>
      </w:r>
      <w:r w:rsidR="00243757">
        <w:rPr>
          <w:rFonts w:ascii="Palatino Linotype" w:eastAsia="Palatino Linotype" w:hAnsi="Palatino Linotype" w:cs="Palatino Linotype"/>
        </w:rPr>
        <w:lastRenderedPageBreak/>
        <w:t xml:space="preserve">de Justicia del Estado de México, la atención a su requerimiento, citando para tal efecto los siguientes preceptos legales: </w:t>
      </w:r>
    </w:p>
    <w:p w14:paraId="7C893271" w14:textId="77777777" w:rsidR="00243757" w:rsidRDefault="00243757">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618B844E" wp14:editId="405F7D93">
            <wp:extent cx="5581650" cy="1924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650" cy="1924050"/>
                    </a:xfrm>
                    <a:prstGeom prst="rect">
                      <a:avLst/>
                    </a:prstGeom>
                    <a:noFill/>
                    <a:ln>
                      <a:noFill/>
                    </a:ln>
                  </pic:spPr>
                </pic:pic>
              </a:graphicData>
            </a:graphic>
          </wp:inline>
        </w:drawing>
      </w:r>
    </w:p>
    <w:p w14:paraId="36611F53" w14:textId="77777777" w:rsidR="00243757" w:rsidRPr="00296B89" w:rsidRDefault="00243757">
      <w:pPr>
        <w:tabs>
          <w:tab w:val="left" w:pos="7513"/>
        </w:tabs>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2A61570E" wp14:editId="73558814">
            <wp:extent cx="5581650" cy="3714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1650" cy="3714750"/>
                    </a:xfrm>
                    <a:prstGeom prst="rect">
                      <a:avLst/>
                    </a:prstGeom>
                    <a:noFill/>
                    <a:ln>
                      <a:noFill/>
                    </a:ln>
                  </pic:spPr>
                </pic:pic>
              </a:graphicData>
            </a:graphic>
          </wp:inline>
        </w:drawing>
      </w:r>
    </w:p>
    <w:p w14:paraId="46FB79CF" w14:textId="77777777" w:rsidR="00913A86" w:rsidRDefault="002F08A5">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notificación de incompetencia para atender la solicitud, el particular, al no estar conforme con los términos de la misma, interpuso el recurso de revisión </w:t>
      </w:r>
      <w:r>
        <w:rPr>
          <w:rFonts w:ascii="Palatino Linotype" w:eastAsia="Palatino Linotype" w:hAnsi="Palatino Linotype" w:cs="Palatino Linotype"/>
        </w:rPr>
        <w:lastRenderedPageBreak/>
        <w:t>que nos ocupa, donde señaló como motivos de inconformidad: “</w:t>
      </w:r>
      <w:r w:rsidR="00243757" w:rsidRPr="00243757">
        <w:rPr>
          <w:rFonts w:ascii="Palatino Linotype" w:eastAsia="Palatino Linotype" w:hAnsi="Palatino Linotype" w:cs="Palatino Linotype"/>
          <w:i/>
        </w:rPr>
        <w:t>VIOLACIÓN A MI DERECHO HUMANO DE ACCESO A LA INFORMACIÓN</w:t>
      </w:r>
      <w:r>
        <w:rPr>
          <w:rFonts w:ascii="Palatino Linotype" w:eastAsia="Palatino Linotype" w:hAnsi="Palatino Linotype" w:cs="Palatino Linotype"/>
          <w:i/>
        </w:rPr>
        <w:t>”</w:t>
      </w:r>
    </w:p>
    <w:p w14:paraId="387CDF0E" w14:textId="77777777" w:rsidR="00243757"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 </w:t>
      </w:r>
      <w:r>
        <w:rPr>
          <w:rFonts w:ascii="Palatino Linotype" w:eastAsia="Palatino Linotype" w:hAnsi="Palatino Linotype" w:cs="Palatino Linotype"/>
          <w:b/>
          <w:i/>
        </w:rPr>
        <w:t>“</w:t>
      </w:r>
      <w:r w:rsidR="00243757" w:rsidRPr="00243757">
        <w:rPr>
          <w:rFonts w:ascii="Palatino Linotype" w:eastAsia="Palatino Linotype" w:hAnsi="Palatino Linotype" w:cs="Palatino Linotype"/>
          <w:b/>
          <w:i/>
        </w:rPr>
        <w:tab/>
        <w:t>informe justificado RR-01074.pdf</w:t>
      </w:r>
      <w:r>
        <w:rPr>
          <w:rFonts w:ascii="Palatino Linotype" w:eastAsia="Palatino Linotype" w:hAnsi="Palatino Linotype" w:cs="Palatino Linotype"/>
          <w:b/>
          <w:i/>
        </w:rPr>
        <w:t xml:space="preserve">”, </w:t>
      </w:r>
      <w:r>
        <w:rPr>
          <w:rFonts w:ascii="Palatino Linotype" w:eastAsia="Palatino Linotype" w:hAnsi="Palatino Linotype" w:cs="Palatino Linotype"/>
        </w:rPr>
        <w:t>mediante el cual amplió los argumentos de respuesta vertida inicialmente que dio origen a la interposición del recurso de revisión que nos ocupa,</w:t>
      </w:r>
      <w:r w:rsidR="00243757">
        <w:rPr>
          <w:rFonts w:ascii="Palatino Linotype" w:eastAsia="Palatino Linotype" w:hAnsi="Palatino Linotype" w:cs="Palatino Linotype"/>
        </w:rPr>
        <w:t xml:space="preserve"> expresando medularmente lo siguiente: </w:t>
      </w:r>
    </w:p>
    <w:p w14:paraId="2985E24C" w14:textId="77777777" w:rsidR="00243757" w:rsidRDefault="00243757" w:rsidP="00243757">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14:anchorId="335258DC" wp14:editId="7927B17B">
            <wp:extent cx="3836931" cy="50482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49162" cy="5064342"/>
                    </a:xfrm>
                    <a:prstGeom prst="rect">
                      <a:avLst/>
                    </a:prstGeom>
                    <a:noFill/>
                    <a:ln>
                      <a:noFill/>
                    </a:ln>
                  </pic:spPr>
                </pic:pic>
              </a:graphicData>
            </a:graphic>
          </wp:inline>
        </w:drawing>
      </w:r>
    </w:p>
    <w:p w14:paraId="104738A8" w14:textId="77777777" w:rsidR="00243757" w:rsidRDefault="0024375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w:drawing>
          <wp:inline distT="0" distB="0" distL="0" distR="0" wp14:anchorId="02D0B96B" wp14:editId="1C65E98F">
            <wp:extent cx="5572125" cy="45434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2125" cy="4543425"/>
                    </a:xfrm>
                    <a:prstGeom prst="rect">
                      <a:avLst/>
                    </a:prstGeom>
                    <a:noFill/>
                    <a:ln>
                      <a:noFill/>
                    </a:ln>
                  </pic:spPr>
                </pic:pic>
              </a:graphicData>
            </a:graphic>
          </wp:inline>
        </w:drawing>
      </w:r>
    </w:p>
    <w:p w14:paraId="17553D9B"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sidR="00243757">
        <w:rPr>
          <w:rFonts w:ascii="Palatino Linotype" w:eastAsia="Palatino Linotype" w:hAnsi="Palatino Linotype" w:cs="Palatino Linotype"/>
        </w:rPr>
        <w:t>Asimismo</w:t>
      </w:r>
      <w:r w:rsidR="00882A69">
        <w:rPr>
          <w:rFonts w:ascii="Palatino Linotype" w:eastAsia="Palatino Linotype" w:hAnsi="Palatino Linotype" w:cs="Palatino Linotype"/>
        </w:rPr>
        <w:t>,</w:t>
      </w:r>
      <w:r>
        <w:rPr>
          <w:rFonts w:ascii="Palatino Linotype" w:eastAsia="Palatino Linotype" w:hAnsi="Palatino Linotype" w:cs="Palatino Linotype"/>
        </w:rPr>
        <w:t xml:space="preserve"> se tiene que </w:t>
      </w:r>
      <w:r w:rsidR="00243757">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3C291C1B"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orden de ideas, debe precisarse que los artículos 49, fracción II, 53, fracción III y 167 de la Ley de Transparencia y Acceso a la Información Pública del Estado de México y Municipios, se desprende que las Unidades de Transparencia son responsables de orientar a los particulares respecto de la dependencia, entidad u </w:t>
      </w:r>
      <w:r>
        <w:rPr>
          <w:rFonts w:ascii="Palatino Linotype" w:eastAsia="Palatino Linotype" w:hAnsi="Palatino Linotype" w:cs="Palatino Linotype"/>
        </w:rPr>
        <w:lastRenderedPageBreak/>
        <w:t xml:space="preserve">órgano que pudiera tener la información requerida, cuando la misma no sea competencia del </w:t>
      </w:r>
      <w:r w:rsidRPr="00882A69">
        <w:rPr>
          <w:rFonts w:ascii="Palatino Linotype" w:eastAsia="Palatino Linotype" w:hAnsi="Palatino Linotype" w:cs="Palatino Linotype"/>
          <w:b/>
        </w:rPr>
        <w:t>Sujeto Obligado</w:t>
      </w:r>
      <w:r>
        <w:rPr>
          <w:rFonts w:ascii="Palatino Linotype" w:eastAsia="Palatino Linotype" w:hAnsi="Palatino Linotype" w:cs="Palatino Linotype"/>
        </w:rPr>
        <w:t xml:space="preserve"> ante el cual se formule la solicitud de acceso.</w:t>
      </w:r>
    </w:p>
    <w:p w14:paraId="10280583" w14:textId="77777777" w:rsidR="00913A86" w:rsidRDefault="00882A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preciso señalar</w:t>
      </w:r>
      <w:r w:rsidR="002F08A5">
        <w:rPr>
          <w:rFonts w:ascii="Palatino Linotype" w:eastAsia="Palatino Linotype" w:hAnsi="Palatino Linotype" w:cs="Palatino Linotype"/>
        </w:rPr>
        <w:t xml:space="preserve"> que los Comités de Transparencia tienen entre sus atribuciones confirmar, modificar o revocar la declaración de incompetencia que realicen los titulares de las unidades administrativas.</w:t>
      </w:r>
    </w:p>
    <w:p w14:paraId="6A6833ED" w14:textId="77777777" w:rsidR="00913A86" w:rsidRDefault="00882A6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w:t>
      </w:r>
      <w:r w:rsidR="002F08A5">
        <w:rPr>
          <w:rFonts w:ascii="Palatino Linotype" w:eastAsia="Palatino Linotype" w:hAnsi="Palatino Linotype" w:cs="Palatino Linotype"/>
        </w:rPr>
        <w:t>cuando las Unidades de Transparencia determinen la notoria incompetencia por parte de los Sujetos Obligados deberán comunicar al solicitante la misma dentro de los tres días posteriores a la recepción de la solicitud.</w:t>
      </w:r>
    </w:p>
    <w:p w14:paraId="3A9CF3EC"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Como se logra observar, si bien la Ley de la materia, prevé el supuesto de incompetencia para que los Sujetos Obligados den atención a solicitudes de información, también lo es, que no se precisa en que consiste dicho concepto; sobre dicha situación, según Cabanellas, Guillermo (1993), en el “Diccionario Jurídico Elemental” (p. 32 y 161), precisó los siguientes conceptos:</w:t>
      </w:r>
    </w:p>
    <w:p w14:paraId="324682FF" w14:textId="77777777" w:rsidR="00913A86" w:rsidRDefault="00913A86">
      <w:pPr>
        <w:spacing w:line="360" w:lineRule="auto"/>
        <w:jc w:val="both"/>
        <w:rPr>
          <w:rFonts w:ascii="Palatino Linotype" w:eastAsia="Palatino Linotype" w:hAnsi="Palatino Linotype" w:cs="Palatino Linotype"/>
          <w:color w:val="000000"/>
          <w:sz w:val="22"/>
          <w:szCs w:val="22"/>
        </w:rPr>
      </w:pPr>
    </w:p>
    <w:p w14:paraId="561C3771" w14:textId="77777777"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 xml:space="preserve">Competencia: </w:t>
      </w:r>
      <w:r>
        <w:rPr>
          <w:rFonts w:ascii="Palatino Linotype" w:eastAsia="Palatino Linotype" w:hAnsi="Palatino Linotype" w:cs="Palatino Linotype"/>
          <w:color w:val="000000"/>
          <w:sz w:val="22"/>
          <w:szCs w:val="22"/>
        </w:rPr>
        <w:t>La capacidad de una autoridad para conocer sobre una materia o asunto.</w:t>
      </w:r>
    </w:p>
    <w:p w14:paraId="1387DCD8" w14:textId="77777777" w:rsidR="00913A86" w:rsidRDefault="00913A86">
      <w:pPr>
        <w:spacing w:line="360" w:lineRule="auto"/>
        <w:ind w:left="780"/>
        <w:jc w:val="both"/>
        <w:rPr>
          <w:rFonts w:ascii="Palatino Linotype" w:eastAsia="Palatino Linotype" w:hAnsi="Palatino Linotype" w:cs="Palatino Linotype"/>
          <w:color w:val="000000"/>
          <w:sz w:val="22"/>
          <w:szCs w:val="22"/>
        </w:rPr>
      </w:pPr>
    </w:p>
    <w:p w14:paraId="5E30086F" w14:textId="77777777" w:rsidR="00913A86" w:rsidRDefault="002F08A5">
      <w:pPr>
        <w:numPr>
          <w:ilvl w:val="0"/>
          <w:numId w:val="6"/>
        </w:num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Incompetencia:</w:t>
      </w:r>
      <w:r>
        <w:rPr>
          <w:rFonts w:ascii="Palatino Linotype" w:eastAsia="Palatino Linotype" w:hAnsi="Palatino Linotype" w:cs="Palatino Linotype"/>
          <w:color w:val="000000"/>
          <w:sz w:val="22"/>
          <w:szCs w:val="22"/>
        </w:rPr>
        <w:t xml:space="preserve"> Falta de Competencia.</w:t>
      </w:r>
    </w:p>
    <w:p w14:paraId="73C06C7A" w14:textId="77777777" w:rsidR="00913A86" w:rsidRDefault="00913A86">
      <w:pPr>
        <w:spacing w:line="360" w:lineRule="auto"/>
        <w:jc w:val="both"/>
        <w:rPr>
          <w:rFonts w:ascii="Palatino Linotype" w:eastAsia="Palatino Linotype" w:hAnsi="Palatino Linotype" w:cs="Palatino Linotype"/>
          <w:color w:val="000000"/>
          <w:sz w:val="22"/>
          <w:szCs w:val="22"/>
        </w:rPr>
      </w:pPr>
    </w:p>
    <w:p w14:paraId="380E8293" w14:textId="77777777" w:rsidR="00913A86" w:rsidRDefault="002F08A5">
      <w:pPr>
        <w:spacing w:line="360" w:lineRule="auto"/>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Por lo que, </w:t>
      </w:r>
      <w:r>
        <w:rPr>
          <w:rFonts w:ascii="Palatino Linotype" w:eastAsia="Palatino Linotype" w:hAnsi="Palatino Linotype" w:cs="Palatino Linotype"/>
          <w:b/>
          <w:color w:val="000000"/>
          <w:sz w:val="22"/>
          <w:szCs w:val="22"/>
        </w:rPr>
        <w:t>la incompetencia</w:t>
      </w:r>
      <w:r>
        <w:rPr>
          <w:rFonts w:ascii="Palatino Linotype" w:eastAsia="Palatino Linotype" w:hAnsi="Palatino Linotype" w:cs="Palatino Linotype"/>
          <w:color w:val="000000"/>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Mayo de 2002, Pág. 1243, ya que precisa lo siguiente: </w:t>
      </w:r>
    </w:p>
    <w:p w14:paraId="1FB41DCB" w14:textId="77777777" w:rsidR="00913A86" w:rsidRDefault="00913A86">
      <w:pPr>
        <w:spacing w:line="360" w:lineRule="auto"/>
        <w:jc w:val="both"/>
        <w:rPr>
          <w:rFonts w:ascii="Palatino Linotype" w:eastAsia="Palatino Linotype" w:hAnsi="Palatino Linotype" w:cs="Palatino Linotype"/>
          <w:color w:val="000000"/>
          <w:sz w:val="22"/>
          <w:szCs w:val="22"/>
        </w:rPr>
      </w:pPr>
    </w:p>
    <w:p w14:paraId="5BE7A6CC" w14:textId="77777777" w:rsidR="00913A86" w:rsidRPr="00764B98" w:rsidRDefault="002F08A5" w:rsidP="00764B98">
      <w:pPr>
        <w:spacing w:line="276" w:lineRule="auto"/>
        <w:ind w:left="567" w:right="567"/>
        <w:jc w:val="both"/>
        <w:rPr>
          <w:rFonts w:ascii="Palatino Linotype" w:eastAsia="Palatino Linotype" w:hAnsi="Palatino Linotype" w:cs="Palatino Linotype"/>
          <w:i/>
          <w:color w:val="000000"/>
          <w:sz w:val="22"/>
          <w:szCs w:val="22"/>
        </w:rPr>
      </w:pPr>
      <w:r w:rsidRPr="00764B98">
        <w:rPr>
          <w:rFonts w:ascii="Palatino Linotype" w:eastAsia="Palatino Linotype" w:hAnsi="Palatino Linotype" w:cs="Palatino Linotype"/>
          <w:b/>
          <w:i/>
          <w:color w:val="000000"/>
          <w:sz w:val="22"/>
          <w:szCs w:val="22"/>
        </w:rPr>
        <w:t xml:space="preserve">“LEGITIMACIÓN DE FUNCIONARIOS PÚBLICOS. LOS TRIBUNALES DE AMPARO, POR ESTAR VINCULADOS CON EL CONCEPTO DE COMPETENCIA A QUE SE REFIERE EL ARTÍCULO 16 CONSTITUCIONAL, NO PUEDEN CONOCER DE AQUÉLLA. </w:t>
      </w:r>
      <w:r w:rsidRPr="00764B98">
        <w:rPr>
          <w:rFonts w:ascii="Palatino Linotype" w:eastAsia="Palatino Linotype" w:hAnsi="Palatino Linotype" w:cs="Palatino Linotype"/>
          <w:i/>
          <w:color w:val="000000"/>
          <w:sz w:val="22"/>
          <w:szCs w:val="22"/>
        </w:rPr>
        <w:t>El artículo </w:t>
      </w:r>
      <w:hyperlink r:id="rId21">
        <w:r w:rsidRPr="00764B98">
          <w:rPr>
            <w:rFonts w:ascii="Palatino Linotype" w:eastAsia="Palatino Linotype" w:hAnsi="Palatino Linotype" w:cs="Palatino Linotype"/>
            <w:i/>
            <w:color w:val="0000FF"/>
            <w:sz w:val="22"/>
            <w:szCs w:val="22"/>
            <w:u w:val="single"/>
          </w:rPr>
          <w:t>16 constitucional</w:t>
        </w:r>
      </w:hyperlink>
      <w:r w:rsidRPr="00764B98">
        <w:rPr>
          <w:rFonts w:ascii="Palatino Linotype" w:eastAsia="Palatino Linotype" w:hAnsi="Palatino Linotype" w:cs="Palatino Linotype"/>
          <w:i/>
          <w:color w:val="000000"/>
          <w:sz w:val="22"/>
          <w:szCs w:val="22"/>
        </w:rPr>
        <w:t>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60F6C6D6" w14:textId="77777777" w:rsidR="00913A86" w:rsidRDefault="00913A86">
      <w:pPr>
        <w:spacing w:line="360" w:lineRule="auto"/>
        <w:jc w:val="both"/>
        <w:rPr>
          <w:rFonts w:ascii="Palatino Linotype" w:eastAsia="Palatino Linotype" w:hAnsi="Palatino Linotype" w:cs="Palatino Linotype"/>
          <w:color w:val="000000"/>
          <w:sz w:val="22"/>
          <w:szCs w:val="22"/>
        </w:rPr>
      </w:pPr>
    </w:p>
    <w:p w14:paraId="7636DAB4" w14:textId="77777777"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la misma manera, resulta necesario traer a colación, el Criterio 13/17, emitido por el Instituto Nacional de Transparencia, Acceso a la Información y Protección de Datos Personales, que dispone lo siguiente: </w:t>
      </w:r>
    </w:p>
    <w:p w14:paraId="317118DD" w14:textId="77777777" w:rsidR="00913A86" w:rsidRDefault="00913A86">
      <w:pPr>
        <w:spacing w:line="360" w:lineRule="auto"/>
        <w:jc w:val="both"/>
        <w:rPr>
          <w:rFonts w:ascii="Palatino Linotype" w:eastAsia="Palatino Linotype" w:hAnsi="Palatino Linotype" w:cs="Palatino Linotype"/>
          <w:color w:val="000000"/>
          <w:sz w:val="22"/>
          <w:szCs w:val="22"/>
        </w:rPr>
      </w:pPr>
    </w:p>
    <w:p w14:paraId="5AD3984C" w14:textId="77777777" w:rsidR="00913A86" w:rsidRPr="00764B98" w:rsidRDefault="002F08A5" w:rsidP="00764B98">
      <w:pPr>
        <w:spacing w:line="276" w:lineRule="auto"/>
        <w:ind w:left="567" w:right="851"/>
        <w:jc w:val="both"/>
        <w:rPr>
          <w:rFonts w:ascii="Palatino Linotype" w:eastAsia="Palatino Linotype" w:hAnsi="Palatino Linotype" w:cs="Palatino Linotype"/>
          <w:i/>
          <w:color w:val="000000"/>
          <w:sz w:val="22"/>
          <w:szCs w:val="20"/>
        </w:rPr>
      </w:pPr>
      <w:r w:rsidRPr="00764B98">
        <w:rPr>
          <w:rFonts w:ascii="Palatino Linotype" w:eastAsia="Palatino Linotype" w:hAnsi="Palatino Linotype" w:cs="Palatino Linotype"/>
          <w:i/>
          <w:color w:val="000000"/>
          <w:sz w:val="22"/>
          <w:szCs w:val="20"/>
        </w:rPr>
        <w:t>“</w:t>
      </w:r>
      <w:r w:rsidRPr="00764B98">
        <w:rPr>
          <w:rFonts w:ascii="Palatino Linotype" w:eastAsia="Palatino Linotype" w:hAnsi="Palatino Linotype" w:cs="Palatino Linotype"/>
          <w:b/>
          <w:i/>
          <w:color w:val="000000"/>
          <w:sz w:val="22"/>
          <w:szCs w:val="20"/>
        </w:rPr>
        <w:t xml:space="preserve">Incompetencia. </w:t>
      </w:r>
      <w:r w:rsidRPr="00764B98">
        <w:rPr>
          <w:rFonts w:ascii="Palatino Linotype" w:eastAsia="Palatino Linotype" w:hAnsi="Palatino Linotype" w:cs="Palatino Linotype"/>
          <w:i/>
          <w:color w:val="000000"/>
          <w:sz w:val="22"/>
          <w:szCs w:val="20"/>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0286766D" w14:textId="77777777" w:rsidR="00913A86" w:rsidRDefault="00913A86">
      <w:pPr>
        <w:spacing w:line="360" w:lineRule="auto"/>
        <w:jc w:val="both"/>
        <w:rPr>
          <w:rFonts w:ascii="Palatino Linotype" w:eastAsia="Palatino Linotype" w:hAnsi="Palatino Linotype" w:cs="Palatino Linotype"/>
          <w:color w:val="000000"/>
          <w:sz w:val="22"/>
          <w:szCs w:val="22"/>
        </w:rPr>
      </w:pPr>
    </w:p>
    <w:p w14:paraId="7B79ECC4" w14:textId="77777777"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tal virtud, la </w:t>
      </w:r>
      <w:r>
        <w:rPr>
          <w:rFonts w:ascii="Palatino Linotype" w:eastAsia="Palatino Linotype" w:hAnsi="Palatino Linotype" w:cs="Palatino Linotype"/>
          <w:b/>
          <w:color w:val="000000"/>
        </w:rPr>
        <w:t xml:space="preserve">incompetencia </w:t>
      </w:r>
      <w:r>
        <w:rPr>
          <w:rFonts w:ascii="Palatino Linotype" w:eastAsia="Palatino Linotype" w:hAnsi="Palatino Linotype" w:cs="Palatino Linotype"/>
          <w:color w:val="000000"/>
        </w:rPr>
        <w:t xml:space="preserve">implica que de conformidad con las atribuciones conferidas al </w:t>
      </w:r>
      <w:r w:rsidRPr="00882A69">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no habría razón por la cual éste deba contar con la información solicitada, en cuyo caso, tendría que orientar al particular para que acuda a la instancia competente.</w:t>
      </w:r>
    </w:p>
    <w:p w14:paraId="0F7D0BC0" w14:textId="77777777" w:rsidR="00913A86" w:rsidRDefault="00913A86">
      <w:pPr>
        <w:spacing w:line="360" w:lineRule="auto"/>
        <w:jc w:val="both"/>
        <w:rPr>
          <w:rFonts w:ascii="Palatino Linotype" w:eastAsia="Palatino Linotype" w:hAnsi="Palatino Linotype" w:cs="Palatino Linotype"/>
          <w:color w:val="000000"/>
        </w:rPr>
      </w:pPr>
    </w:p>
    <w:p w14:paraId="4B38888F" w14:textId="77777777" w:rsidR="00913A86" w:rsidRDefault="002F08A5">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52DBBE8C" w14:textId="77777777" w:rsidR="00913A86" w:rsidRDefault="002F08A5">
      <w:pP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1.- De </w:t>
      </w:r>
      <w:r w:rsidR="00764B98">
        <w:rPr>
          <w:rFonts w:ascii="Palatino Linotype" w:eastAsia="Palatino Linotype" w:hAnsi="Palatino Linotype" w:cs="Palatino Linotype"/>
          <w:b/>
          <w:color w:val="000000"/>
        </w:rPr>
        <w:t>las facultades de la Secretaría de Seguridad</w:t>
      </w:r>
      <w:r>
        <w:rPr>
          <w:rFonts w:ascii="Palatino Linotype" w:eastAsia="Palatino Linotype" w:hAnsi="Palatino Linotype" w:cs="Palatino Linotype"/>
          <w:b/>
          <w:color w:val="000000"/>
        </w:rPr>
        <w:t xml:space="preserve"> para generar la información solicitada</w:t>
      </w:r>
    </w:p>
    <w:p w14:paraId="5329F094"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tanto, a continuación, se analiza </w:t>
      </w:r>
      <w:r w:rsidR="00764B98">
        <w:rPr>
          <w:rFonts w:ascii="Palatino Linotype" w:eastAsia="Palatino Linotype" w:hAnsi="Palatino Linotype" w:cs="Palatino Linotype"/>
        </w:rPr>
        <w:t>si en la especie, la Secretaría de Seguridad</w:t>
      </w:r>
      <w:r>
        <w:rPr>
          <w:rFonts w:ascii="Palatino Linotype" w:eastAsia="Palatino Linotype" w:hAnsi="Palatino Linotype" w:cs="Palatino Linotype"/>
        </w:rPr>
        <w:t xml:space="preserve"> cuenta con atribuciones para conocer sobre la información requerida; para ello es necesario traer a colación el </w:t>
      </w:r>
      <w:r w:rsidR="00764B98">
        <w:rPr>
          <w:rFonts w:ascii="Palatino Linotype" w:eastAsia="Palatino Linotype" w:hAnsi="Palatino Linotype" w:cs="Palatino Linotype"/>
        </w:rPr>
        <w:t xml:space="preserve">contenido del artículo 21 Bis de la Ley Orgánica de la Administración Pública del Estado de México, el cual versa de la siguiente manera: </w:t>
      </w:r>
    </w:p>
    <w:p w14:paraId="0AFF30F1" w14:textId="77777777" w:rsidR="00764B98" w:rsidRDefault="00764B98" w:rsidP="00764B98">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764B98">
        <w:rPr>
          <w:rFonts w:ascii="Palatino Linotype" w:eastAsia="Palatino Linotype" w:hAnsi="Palatino Linotype" w:cs="Palatino Linotype"/>
          <w:i/>
          <w:sz w:val="22"/>
        </w:rPr>
        <w:t>Artículo 21 Bis</w:t>
      </w:r>
      <w:r w:rsidRPr="0063420E">
        <w:rPr>
          <w:rFonts w:ascii="Palatino Linotype" w:eastAsia="Palatino Linotype" w:hAnsi="Palatino Linotype" w:cs="Palatino Linotype"/>
          <w:b/>
          <w:i/>
          <w:sz w:val="22"/>
        </w:rPr>
        <w:t>. La Secretaría de Seguridad es la dependencia encargada de planear, formular, conducir, coordinar, ejecutar, supervisar y evaluar las políticas, programas y acciones en materia de seguridad pública</w:t>
      </w:r>
      <w:r w:rsidRPr="00764B98">
        <w:rPr>
          <w:rFonts w:ascii="Palatino Linotype" w:eastAsia="Palatino Linotype" w:hAnsi="Palatino Linotype" w:cs="Palatino Linotype"/>
          <w:i/>
          <w:sz w:val="22"/>
        </w:rPr>
        <w:t xml:space="preserve">. </w:t>
      </w:r>
    </w:p>
    <w:p w14:paraId="7B05327D" w14:textId="77777777" w:rsidR="00764B98"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A la Secretaría le corresponde el despacho de los siguientes asuntos: </w:t>
      </w:r>
    </w:p>
    <w:p w14:paraId="116ED44F"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I. Transmitir y ejecutar los acuerdos y demás disposiciones que instruya el Gobernador del Estado en materia de seguridad y fuerza pública; </w:t>
      </w:r>
    </w:p>
    <w:p w14:paraId="63D38794"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II. Dictar las disposiciones necesarias para asegurar y proteger en forma inmediata el orden y la paz públicos, la integridad física de las personas y sus bienes, prevenir la comisión de delitos e infracciones administrativas, realizar la investigación de los delitos bajo la conducción y mando del Ministerio Público, auxiliar en la persecución de éstos y a otras autoridades cuando así lo soliciten, así como concurrir, en términos de la ley, con las autoridades en casos de siniestro o desastre; </w:t>
      </w:r>
    </w:p>
    <w:p w14:paraId="45053166"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III. Impulsar mecanismos para garantizar la participación de la ciudadanía en el diseño de las políticas de seguridad pública; </w:t>
      </w:r>
    </w:p>
    <w:p w14:paraId="734500D3"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lastRenderedPageBreak/>
        <w:t xml:space="preserve">IV. Impulsar mecanismos que garanticen la participación social y ciudadana en la vigilancia del desarrollo de las actividades en materia de seguridad pública; </w:t>
      </w:r>
    </w:p>
    <w:p w14:paraId="393D98A3"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V. Realizar la investigación para la prevención de los delitos; </w:t>
      </w:r>
    </w:p>
    <w:p w14:paraId="0B1573F8"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VI. Elaborar y ejecutar los programas de reinserción social de los sentenciados y reintegración social para adolescentes; </w:t>
      </w:r>
    </w:p>
    <w:p w14:paraId="510EA0E6"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VII. Ejercer las atribuciones que la Constitución Política de los Estados Unidos Mexicanos, la Constitución Política del Estado Libre y Soberano de México y demás ordenamientos aplicables otorgan a las instituciones policiales en materia de investigación preventiva y de los delitos, e instrumentar y coordinar acciones y procedimientos para la planeación, obtención, procesamiento y aprovechamiento de información de inteligencia para tales efectos; </w:t>
      </w:r>
    </w:p>
    <w:p w14:paraId="393F6D0C"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VIII. Ejercer el mando directo de las instituciones policiales del Estado, y cuando proceda de los municipios, en los términos de la ley de la materia y demás disposiciones jurídicas aplicables, a fin de salvaguardar la integridad física y los derechos de las personas, así como preservar las libertades, el orden y la paz públicos; IX. Ejercer el mando directo de la policía procesal que realice los traslados de imputados de las áreas de espera de detenidos puestos a disposición del juez para audiencia; </w:t>
      </w:r>
    </w:p>
    <w:p w14:paraId="514748DD"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 Resguardar a los imputados en las audiencias bajo el mando de los jueces; </w:t>
      </w:r>
    </w:p>
    <w:p w14:paraId="36C32884"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XI. Auxiliar a la autoridad de vigilancia de las medidas cautelares, de las obligaciones suspensionales, así como a la autoridad de reinserción social en la vigilancia de los sentenciados con sustitutivo penal o sujetos a libertad anticipada; XII. Aplicar los protocolos nacionales autorizados por el Consejo Nacional de Seguridad Pública, así como los emitidos por la Fiscalía General de Justicia en materia de investigación y persecución de los delitos; </w:t>
      </w:r>
    </w:p>
    <w:p w14:paraId="77F62ECF"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XIII. Impulsar la coordinación de las instituciones policiales y proponer, en el ámbito de sus facultades, la adopción y aplicación de políticas y programas de cooperación en materia de seguridad pública, con la Federación, las entidades federativas y los municipios; </w:t>
      </w:r>
    </w:p>
    <w:p w14:paraId="3A6EB9C1"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lastRenderedPageBreak/>
        <w:t xml:space="preserve">XIV. Promover la formación, capacitación, profesionalización, actualización, adiestramiento y especialización de las instituciones policiales; </w:t>
      </w:r>
    </w:p>
    <w:p w14:paraId="44D8F303"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XV. Coordinar la evaluación del funcionamiento de la seguridad pública; </w:t>
      </w:r>
    </w:p>
    <w:p w14:paraId="51EF8205"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XVI. Participar, en coordinación con la Fiscalía General de Justicia, en la elaboración de diagnósticos y estrategias de política criminal; </w:t>
      </w:r>
    </w:p>
    <w:p w14:paraId="6C5BE20A"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XVII. Autorizar, coordinar, controlar y supervisar los servicios de seguridad pública y privada, de conformidad con las normas aplicables; </w:t>
      </w:r>
    </w:p>
    <w:p w14:paraId="1BFB8CE0"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XVIII. Coordinar y prestar los servicios de seguridad pública, vigilancia y protección regional en caminos y carreteras estatales o vías primarias, carriles confinados, terminales y estaciones del sistema de transporte masivo y teleférico, zonas rurales, áreas de recreo y turísticas de competencia estatal; así como las instalaciones estratégicas del Estado; </w:t>
      </w:r>
    </w:p>
    <w:p w14:paraId="1C582EF1"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XIX. Establecer y vigilar la operación de los procedimientos de administración, seguridad, control, vigilancia y apoyo logístico del sistema penitenciario; </w:t>
      </w:r>
    </w:p>
    <w:p w14:paraId="7E0D848D"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 Administrar los centros de reinserción social y tramitar las solicitudes de libertad anticipada y traslado de internos, así como supervisar a los sentenciados con sustitutivos o beneficios de libertad anticipada; </w:t>
      </w:r>
    </w:p>
    <w:p w14:paraId="67A30D7B"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XXI. Vigilar el establecimiento de instituciones para internamiento y la aplicación de la normatividad en materia de justicia para adolescentes; </w:t>
      </w:r>
    </w:p>
    <w:p w14:paraId="7549160D"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XXII. Ejecutar las políticas, lineamientos y acciones de su competencia, previstos en los convenios de coordinación suscritos por el Estado de México en el marco del Sistema Nacional de Seguridad Pública, así como los derivados de los acuerdos y resoluciones del Consejo Nacional de Seguridad Pública y demás instancias de coordinación que correspondan; </w:t>
      </w:r>
    </w:p>
    <w:p w14:paraId="0FDFDFEB"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XXIII. Establecer mecanismos de coordinación con el Secretariado Ejecutivo del Sistema Estatal de Seguridad Pública; </w:t>
      </w:r>
    </w:p>
    <w:p w14:paraId="1A9E0321"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lastRenderedPageBreak/>
        <w:t xml:space="preserve">XXIV. Colaborar, cuando así lo soliciten otras instituciones del Estado, federales, municipales o de la Ciudad de México competentes en la protección de la integridad, derechos y patrimonio de las personas, en situaciones de peligro, cuando se vean amenazadas por disturbios u otras situaciones que impliquen violencia o riesgo inminente en el mantenimiento y restablecimiento de la paz y orden públicos, así como intervenir, en el ámbito de su competencia, en materia de portación de armas y explosivos; </w:t>
      </w:r>
    </w:p>
    <w:p w14:paraId="3AEACAC7"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XXV. Establecer, integrar, supervisar, utilizar y mantener actualizados los instrumentos de información del Sistema Nacional de Seguridad Pública que le competan, mediante las bases de datos en materia de seguridad pública correspondientes; </w:t>
      </w:r>
    </w:p>
    <w:p w14:paraId="5C71FA33"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XXVI. Organizar, dirigir y administrar la recepción y transferencia de los reportes sobre emergencias, infracciones y delitos; </w:t>
      </w:r>
    </w:p>
    <w:p w14:paraId="1B98626D" w14:textId="77777777" w:rsidR="0023050A"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XXVII. Coordinar planes y operativos para la defensa y protección del medio ambiente, a fin de preservar y salvaguardar los recursos naturales de la entidad; XXVIII. Retirar los vehículos abandonados en la infraestructura vial y remitirlos al depósito vehicular más cercano; </w:t>
      </w:r>
    </w:p>
    <w:p w14:paraId="4004B8A7" w14:textId="77777777" w:rsidR="00987CC9"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XXIX. Compartir las bases de datos e información de que disponga en materia delictiva para la consolidación de una plataforma única de información preventiva y para la investigación de los delitos. </w:t>
      </w:r>
    </w:p>
    <w:p w14:paraId="102CBC55" w14:textId="77777777" w:rsidR="00987CC9"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Para efectos de lo dispuesto en esta fracción, todas las autoridades del gobierno del Estado de México y de los municipios deben aportar sus bases de datos para la consolidación de una plataforma única de información para la prevención e investigación de los delitos.</w:t>
      </w:r>
    </w:p>
    <w:p w14:paraId="1F41BE4E" w14:textId="77777777" w:rsidR="00987CC9"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 Los niveles de acceso y características de la plataforma serán definidos en los protocolos de seguridad y en materia de investigación que emitan el Secretario y el Fiscal General, y </w:t>
      </w:r>
    </w:p>
    <w:p w14:paraId="382E7D5E" w14:textId="77777777" w:rsidR="00987CC9"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t xml:space="preserve">XXX. Coordinar e instrumentar las actividades en materia de control de confianza de los cuerpos de seguridad pública y privada estatales; y </w:t>
      </w:r>
    </w:p>
    <w:p w14:paraId="6A8C607A" w14:textId="77777777" w:rsidR="00764B98" w:rsidRPr="00764B98" w:rsidRDefault="00764B98" w:rsidP="00764B98">
      <w:pPr>
        <w:spacing w:before="240" w:after="240" w:line="276" w:lineRule="auto"/>
        <w:ind w:left="567" w:right="851"/>
        <w:jc w:val="both"/>
        <w:rPr>
          <w:rFonts w:ascii="Palatino Linotype" w:eastAsia="Palatino Linotype" w:hAnsi="Palatino Linotype" w:cs="Palatino Linotype"/>
          <w:i/>
          <w:sz w:val="22"/>
        </w:rPr>
      </w:pPr>
      <w:r w:rsidRPr="00764B98">
        <w:rPr>
          <w:rFonts w:ascii="Palatino Linotype" w:eastAsia="Palatino Linotype" w:hAnsi="Palatino Linotype" w:cs="Palatino Linotype"/>
          <w:i/>
          <w:sz w:val="22"/>
        </w:rPr>
        <w:lastRenderedPageBreak/>
        <w:t>XXXI. Las demás que le señalen otros ordenamientos jurídicos.</w:t>
      </w:r>
      <w:r w:rsidR="00C7545C">
        <w:rPr>
          <w:rFonts w:ascii="Palatino Linotype" w:eastAsia="Palatino Linotype" w:hAnsi="Palatino Linotype" w:cs="Palatino Linotype"/>
          <w:i/>
          <w:sz w:val="22"/>
        </w:rPr>
        <w:t>”</w:t>
      </w:r>
    </w:p>
    <w:p w14:paraId="265E26A7" w14:textId="77777777" w:rsidR="0063420E" w:rsidRDefault="0063420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no se advierte alguna disposición normativa que mandate expresamente al </w:t>
      </w:r>
      <w:r w:rsidRPr="0063420E">
        <w:rPr>
          <w:rFonts w:ascii="Palatino Linotype" w:eastAsia="Palatino Linotype" w:hAnsi="Palatino Linotype" w:cs="Palatino Linotype"/>
          <w:b/>
        </w:rPr>
        <w:t>Sujeto Obligado</w:t>
      </w:r>
      <w:r>
        <w:rPr>
          <w:rFonts w:ascii="Palatino Linotype" w:eastAsia="Palatino Linotype" w:hAnsi="Palatino Linotype" w:cs="Palatino Linotype"/>
        </w:rPr>
        <w:t xml:space="preserve"> un documento que dé cuenta del índice d</w:t>
      </w:r>
      <w:r w:rsidRPr="0063420E">
        <w:rPr>
          <w:rFonts w:ascii="Palatino Linotype" w:eastAsia="Palatino Linotype" w:hAnsi="Palatino Linotype" w:cs="Palatino Linotype"/>
        </w:rPr>
        <w:t>elictivo en el Estad</w:t>
      </w:r>
      <w:r>
        <w:rPr>
          <w:rFonts w:ascii="Palatino Linotype" w:eastAsia="Palatino Linotype" w:hAnsi="Palatino Linotype" w:cs="Palatino Linotype"/>
        </w:rPr>
        <w:t xml:space="preserve">o de México de manera detallada, toda vez que sus funciones se centran principalmente en </w:t>
      </w:r>
      <w:r w:rsidRPr="0063420E">
        <w:rPr>
          <w:rFonts w:ascii="Palatino Linotype" w:eastAsia="Palatino Linotype" w:hAnsi="Palatino Linotype" w:cs="Palatino Linotype"/>
        </w:rPr>
        <w:t>planear, formular, conducir, coordinar, ejecutar, supervisar y evaluar las políticas, programas y acciones en materia de seguridad pública.</w:t>
      </w:r>
    </w:p>
    <w:p w14:paraId="04FD9197"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 de precisar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06552A">
        <w:rPr>
          <w:rFonts w:ascii="Palatino Linotype" w:eastAsia="Palatino Linotype" w:hAnsi="Palatino Linotype" w:cs="Palatino Linotype"/>
        </w:rPr>
        <w:t>a través de su respuesta,</w:t>
      </w:r>
      <w:r>
        <w:rPr>
          <w:rFonts w:ascii="Palatino Linotype" w:eastAsia="Palatino Linotype" w:hAnsi="Palatino Linotype" w:cs="Palatino Linotype"/>
        </w:rPr>
        <w:t xml:space="preserve"> mencionó que el </w:t>
      </w:r>
      <w:r w:rsidRPr="0006552A">
        <w:rPr>
          <w:rFonts w:ascii="Palatino Linotype" w:eastAsia="Palatino Linotype" w:hAnsi="Palatino Linotype" w:cs="Palatino Linotype"/>
          <w:b/>
        </w:rPr>
        <w:t>Sujeto Obligado</w:t>
      </w:r>
      <w:r w:rsidR="0006552A">
        <w:rPr>
          <w:rFonts w:ascii="Palatino Linotype" w:eastAsia="Palatino Linotype" w:hAnsi="Palatino Linotype" w:cs="Palatino Linotype"/>
        </w:rPr>
        <w:t xml:space="preserve"> que es competente para </w:t>
      </w:r>
      <w:r>
        <w:rPr>
          <w:rFonts w:ascii="Palatino Linotype" w:eastAsia="Palatino Linotype" w:hAnsi="Palatino Linotype" w:cs="Palatino Linotype"/>
        </w:rPr>
        <w:t>conocer de la información solicit</w:t>
      </w:r>
      <w:r w:rsidR="0006552A">
        <w:rPr>
          <w:rFonts w:ascii="Palatino Linotype" w:eastAsia="Palatino Linotype" w:hAnsi="Palatino Linotype" w:cs="Palatino Linotype"/>
        </w:rPr>
        <w:t>ada es la Fiscalía General de Justicia del Estado de México</w:t>
      </w:r>
      <w:r>
        <w:rPr>
          <w:rFonts w:ascii="Palatino Linotype" w:eastAsia="Palatino Linotype" w:hAnsi="Palatino Linotype" w:cs="Palatino Linotype"/>
        </w:rPr>
        <w:t>, ello encuentra sustento en los siguientes preceptos legales:</w:t>
      </w:r>
    </w:p>
    <w:p w14:paraId="0EC6F4D2" w14:textId="77777777" w:rsidR="00913A86" w:rsidRDefault="002F08A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Ley </w:t>
      </w:r>
      <w:r w:rsidR="0006552A">
        <w:rPr>
          <w:rFonts w:ascii="Palatino Linotype" w:eastAsia="Palatino Linotype" w:hAnsi="Palatino Linotype" w:cs="Palatino Linotype"/>
          <w:b/>
        </w:rPr>
        <w:t xml:space="preserve">de la Fiscalía General de Justicia </w:t>
      </w:r>
      <w:r>
        <w:rPr>
          <w:rFonts w:ascii="Palatino Linotype" w:eastAsia="Palatino Linotype" w:hAnsi="Palatino Linotype" w:cs="Palatino Linotype"/>
          <w:b/>
        </w:rPr>
        <w:t>del Estado de México</w:t>
      </w:r>
    </w:p>
    <w:p w14:paraId="01AAE127" w14:textId="77777777" w:rsidR="00913A86" w:rsidRDefault="0006552A">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r w:rsidRPr="0006552A">
        <w:rPr>
          <w:rFonts w:ascii="Palatino Linotype" w:eastAsia="Palatino Linotype" w:hAnsi="Palatino Linotype" w:cs="Palatino Linotype"/>
          <w:b/>
          <w:i/>
          <w:sz w:val="22"/>
          <w:szCs w:val="22"/>
        </w:rPr>
        <w:t>Artículo 10. La Fiscalía contará con las atribuciones siguientes:</w:t>
      </w:r>
    </w:p>
    <w:p w14:paraId="138C45E0" w14:textId="77777777" w:rsidR="0006552A" w:rsidRDefault="0006552A">
      <w:pPr>
        <w:spacing w:before="240" w:after="240"/>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07615868" w14:textId="77777777" w:rsidR="0006552A" w:rsidRDefault="0006552A">
      <w:pPr>
        <w:spacing w:before="240" w:after="240"/>
        <w:ind w:left="567" w:right="851"/>
        <w:jc w:val="both"/>
        <w:rPr>
          <w:rFonts w:ascii="Palatino Linotype" w:eastAsia="Palatino Linotype" w:hAnsi="Palatino Linotype" w:cs="Palatino Linotype"/>
          <w:i/>
          <w:sz w:val="22"/>
          <w:szCs w:val="22"/>
        </w:rPr>
      </w:pPr>
      <w:r w:rsidRPr="0006552A">
        <w:rPr>
          <w:rFonts w:ascii="Palatino Linotype" w:eastAsia="Palatino Linotype" w:hAnsi="Palatino Linotype" w:cs="Palatino Linotype"/>
          <w:i/>
          <w:sz w:val="22"/>
          <w:szCs w:val="22"/>
        </w:rPr>
        <w:t>XVII. Establecer medios de información sistemática y directa con la sociedad, de sus actividades, garantizando el acceso a la información de la Fiscalía, en los términos y con las limitantes establecidas en la Constitución Federal, la Constitución del Estado y en las demás disposiciones jurídicas aplicables.</w:t>
      </w:r>
    </w:p>
    <w:p w14:paraId="3C893079" w14:textId="77777777" w:rsidR="0006552A" w:rsidRDefault="0006552A">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6156F9D" w14:textId="77777777" w:rsidR="0006552A" w:rsidRDefault="0006552A">
      <w:pPr>
        <w:spacing w:before="240" w:after="240"/>
        <w:ind w:left="567" w:right="851"/>
        <w:jc w:val="both"/>
        <w:rPr>
          <w:rFonts w:ascii="Palatino Linotype" w:eastAsia="Palatino Linotype" w:hAnsi="Palatino Linotype" w:cs="Palatino Linotype"/>
          <w:i/>
          <w:sz w:val="22"/>
          <w:szCs w:val="22"/>
        </w:rPr>
      </w:pPr>
      <w:r w:rsidRPr="0006552A">
        <w:rPr>
          <w:rFonts w:ascii="Palatino Linotype" w:eastAsia="Palatino Linotype" w:hAnsi="Palatino Linotype" w:cs="Palatino Linotype"/>
          <w:i/>
          <w:sz w:val="22"/>
          <w:szCs w:val="22"/>
        </w:rPr>
        <w:t>Artículo 32. Para el eficaz cumplimiento de las atribuciones conferidas por las disposiciones jurídicas aplicables, la Fiscalía contará con los siguientes auxiliares y apoyos:</w:t>
      </w:r>
    </w:p>
    <w:p w14:paraId="2F67DC30" w14:textId="77777777" w:rsidR="0006552A" w:rsidRDefault="0006552A">
      <w:pPr>
        <w:spacing w:before="240" w:after="240"/>
        <w:ind w:left="567" w:right="851"/>
        <w:jc w:val="both"/>
        <w:rPr>
          <w:rFonts w:ascii="Palatino Linotype" w:eastAsia="Palatino Linotype" w:hAnsi="Palatino Linotype" w:cs="Palatino Linotype"/>
          <w:i/>
          <w:sz w:val="22"/>
          <w:szCs w:val="22"/>
        </w:rPr>
      </w:pPr>
      <w:r w:rsidRPr="0006552A">
        <w:rPr>
          <w:rFonts w:ascii="Palatino Linotype" w:eastAsia="Palatino Linotype" w:hAnsi="Palatino Linotype" w:cs="Palatino Linotype"/>
          <w:i/>
          <w:sz w:val="22"/>
          <w:szCs w:val="22"/>
        </w:rPr>
        <w:t xml:space="preserve">D. Técnicos: </w:t>
      </w:r>
    </w:p>
    <w:p w14:paraId="3E76E48B" w14:textId="77777777" w:rsidR="0006552A" w:rsidRDefault="0006552A">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22A90CB" w14:textId="77777777" w:rsidR="0006552A" w:rsidRDefault="0006552A">
      <w:pPr>
        <w:spacing w:before="240" w:after="240"/>
        <w:ind w:left="567" w:right="851"/>
        <w:jc w:val="both"/>
        <w:rPr>
          <w:rFonts w:ascii="Palatino Linotype" w:eastAsia="Palatino Linotype" w:hAnsi="Palatino Linotype" w:cs="Palatino Linotype"/>
          <w:i/>
          <w:sz w:val="22"/>
          <w:szCs w:val="22"/>
        </w:rPr>
      </w:pPr>
    </w:p>
    <w:p w14:paraId="6601B5F4" w14:textId="77777777" w:rsidR="0006552A" w:rsidRDefault="0006552A" w:rsidP="0006552A">
      <w:pPr>
        <w:spacing w:before="240" w:after="240"/>
        <w:ind w:left="567" w:right="851"/>
        <w:jc w:val="both"/>
        <w:rPr>
          <w:rFonts w:ascii="Palatino Linotype" w:eastAsia="Palatino Linotype" w:hAnsi="Palatino Linotype" w:cs="Palatino Linotype"/>
          <w:i/>
          <w:sz w:val="22"/>
          <w:szCs w:val="22"/>
        </w:rPr>
      </w:pPr>
      <w:r w:rsidRPr="0006552A">
        <w:rPr>
          <w:rFonts w:ascii="Palatino Linotype" w:eastAsia="Palatino Linotype" w:hAnsi="Palatino Linotype" w:cs="Palatino Linotype"/>
          <w:b/>
          <w:i/>
          <w:sz w:val="22"/>
          <w:szCs w:val="22"/>
        </w:rPr>
        <w:t>VI. Las áreas de estadísticas, sistemas, logística y archivo</w:t>
      </w:r>
      <w:r>
        <w:rPr>
          <w:rFonts w:ascii="Palatino Linotype" w:eastAsia="Palatino Linotype" w:hAnsi="Palatino Linotype" w:cs="Palatino Linotype"/>
          <w:i/>
          <w:sz w:val="22"/>
          <w:szCs w:val="22"/>
        </w:rPr>
        <w:t>.”</w:t>
      </w:r>
    </w:p>
    <w:p w14:paraId="6AAE355E" w14:textId="77777777" w:rsidR="00882A69" w:rsidRPr="00882A69" w:rsidRDefault="00882A69" w:rsidP="0006552A">
      <w:pPr>
        <w:spacing w:before="240" w:after="240"/>
        <w:ind w:left="567" w:right="851"/>
        <w:jc w:val="both"/>
        <w:rPr>
          <w:rFonts w:ascii="Palatino Linotype" w:eastAsia="Palatino Linotype" w:hAnsi="Palatino Linotype" w:cs="Palatino Linotype"/>
          <w:i/>
          <w:sz w:val="22"/>
          <w:szCs w:val="22"/>
        </w:rPr>
      </w:pPr>
      <w:r w:rsidRPr="00882A69">
        <w:rPr>
          <w:rFonts w:ascii="Palatino Linotype" w:eastAsia="Palatino Linotype" w:hAnsi="Palatino Linotype" w:cs="Palatino Linotype"/>
          <w:i/>
          <w:sz w:val="22"/>
          <w:szCs w:val="22"/>
        </w:rPr>
        <w:t>(Énfasis añadido)</w:t>
      </w:r>
    </w:p>
    <w:p w14:paraId="38424E49" w14:textId="77777777" w:rsidR="0006552A" w:rsidRDefault="0006552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de conformidad con el Manual General de Organización de la Procuraduría General de Justicia del Estado d</w:t>
      </w:r>
      <w:r w:rsidRPr="0006552A">
        <w:rPr>
          <w:rFonts w:ascii="Palatino Linotype" w:eastAsia="Palatino Linotype" w:hAnsi="Palatino Linotype" w:cs="Palatino Linotype"/>
        </w:rPr>
        <w:t>e México</w:t>
      </w:r>
      <w:r>
        <w:rPr>
          <w:rFonts w:ascii="Palatino Linotype" w:eastAsia="Palatino Linotype" w:hAnsi="Palatino Linotype" w:cs="Palatino Linotype"/>
        </w:rPr>
        <w:t>, le corresponde al Departamento de Información y</w:t>
      </w:r>
      <w:r w:rsidRPr="0006552A">
        <w:rPr>
          <w:rFonts w:ascii="Palatino Linotype" w:eastAsia="Palatino Linotype" w:hAnsi="Palatino Linotype" w:cs="Palatino Linotype"/>
        </w:rPr>
        <w:t xml:space="preserve"> Estadística</w:t>
      </w:r>
      <w:r>
        <w:rPr>
          <w:rFonts w:ascii="Palatino Linotype" w:eastAsia="Palatino Linotype" w:hAnsi="Palatino Linotype" w:cs="Palatino Linotype"/>
        </w:rPr>
        <w:t xml:space="preserve">, el desempeño de las siguientes funciones: </w:t>
      </w:r>
    </w:p>
    <w:p w14:paraId="62C21904"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06552A">
        <w:rPr>
          <w:rFonts w:ascii="Palatino Linotype" w:eastAsia="Palatino Linotype" w:hAnsi="Palatino Linotype" w:cs="Palatino Linotype"/>
          <w:i/>
          <w:sz w:val="22"/>
        </w:rPr>
        <w:t xml:space="preserve">213410202 </w:t>
      </w:r>
      <w:r w:rsidRPr="00C92539">
        <w:rPr>
          <w:rFonts w:ascii="Palatino Linotype" w:eastAsia="Palatino Linotype" w:hAnsi="Palatino Linotype" w:cs="Palatino Linotype"/>
          <w:b/>
          <w:i/>
          <w:sz w:val="22"/>
        </w:rPr>
        <w:t>DEPARTAMENTO DE INFORMACIÓN Y ESTADÍSTICA</w:t>
      </w:r>
      <w:r w:rsidRPr="0006552A">
        <w:rPr>
          <w:rFonts w:ascii="Palatino Linotype" w:eastAsia="Palatino Linotype" w:hAnsi="Palatino Linotype" w:cs="Palatino Linotype"/>
          <w:i/>
          <w:sz w:val="22"/>
        </w:rPr>
        <w:t xml:space="preserve"> </w:t>
      </w:r>
    </w:p>
    <w:p w14:paraId="4B4687C4" w14:textId="77777777" w:rsidR="0006552A" w:rsidRPr="00C92539" w:rsidRDefault="0006552A" w:rsidP="0006552A">
      <w:pPr>
        <w:spacing w:before="240" w:after="240" w:line="276" w:lineRule="auto"/>
        <w:ind w:left="567" w:right="851"/>
        <w:jc w:val="both"/>
        <w:rPr>
          <w:rFonts w:ascii="Palatino Linotype" w:eastAsia="Palatino Linotype" w:hAnsi="Palatino Linotype" w:cs="Palatino Linotype"/>
          <w:b/>
          <w:i/>
          <w:sz w:val="22"/>
          <w:u w:val="single"/>
        </w:rPr>
      </w:pPr>
      <w:r w:rsidRPr="0006552A">
        <w:rPr>
          <w:rFonts w:ascii="Palatino Linotype" w:eastAsia="Palatino Linotype" w:hAnsi="Palatino Linotype" w:cs="Palatino Linotype"/>
          <w:i/>
          <w:sz w:val="22"/>
        </w:rPr>
        <w:t xml:space="preserve">OBJETIVO: Concentrar y consultar la información de los sistemas informáticos y unidades, tanto administrativas como operativas de la Procuraduría, para la interpretación de datos que permitan identificar y </w:t>
      </w:r>
      <w:r w:rsidRPr="00C92539">
        <w:rPr>
          <w:rFonts w:ascii="Palatino Linotype" w:eastAsia="Palatino Linotype" w:hAnsi="Palatino Linotype" w:cs="Palatino Linotype"/>
          <w:b/>
          <w:i/>
          <w:sz w:val="22"/>
          <w:u w:val="single"/>
        </w:rPr>
        <w:t xml:space="preserve">medir los parámetros de incidencia delictiva en comparativo con otros Estados del país. </w:t>
      </w:r>
    </w:p>
    <w:p w14:paraId="6BD357D2"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 xml:space="preserve">FUNCIONES: </w:t>
      </w:r>
    </w:p>
    <w:p w14:paraId="25DD0987"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 xml:space="preserve">Elaborar convenios o acuerdos de colaboración con los sectores público, social y privado para el cumplimiento de las funciones, observando las disposiciones en materia de transparencia y acceso a la información pública, así como elaborar dictámenes, opiniones, estudios y demás documentos que le sean solicitados y requeridos. </w:t>
      </w:r>
    </w:p>
    <w:p w14:paraId="2BC34BCC" w14:textId="77777777" w:rsidR="0006552A" w:rsidRPr="00C92539" w:rsidRDefault="0006552A" w:rsidP="0006552A">
      <w:pPr>
        <w:spacing w:before="240" w:after="240" w:line="276" w:lineRule="auto"/>
        <w:ind w:left="567" w:right="851"/>
        <w:jc w:val="both"/>
        <w:rPr>
          <w:rFonts w:ascii="Palatino Linotype" w:eastAsia="Palatino Linotype" w:hAnsi="Palatino Linotype" w:cs="Palatino Linotype"/>
          <w:b/>
          <w:i/>
          <w:sz w:val="22"/>
          <w:u w:val="single"/>
        </w:rPr>
      </w:pPr>
      <w:r w:rsidRPr="00C92539">
        <w:rPr>
          <w:rFonts w:ascii="Palatino Linotype" w:eastAsia="Palatino Linotype" w:hAnsi="Palatino Linotype" w:cs="Palatino Linotype"/>
          <w:b/>
          <w:i/>
          <w:sz w:val="22"/>
          <w:u w:val="single"/>
        </w:rPr>
        <w:t xml:space="preserve">Proporcionar a la institución, un panorama detallado del comportamiento e índices delictivos en la entidad. </w:t>
      </w:r>
    </w:p>
    <w:p w14:paraId="7E3F9D15"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 xml:space="preserve">Diseñar y ejecutar acciones conjuntas con todas las unidades administrativas de la Institución encargadas de prevenir el delito, a fin de combatir la delincuencia e inseguridad en la entidad mexiquense. </w:t>
      </w:r>
    </w:p>
    <w:p w14:paraId="697A35DF" w14:textId="77777777" w:rsidR="0006552A" w:rsidRPr="00C92539" w:rsidRDefault="0006552A" w:rsidP="0006552A">
      <w:pPr>
        <w:spacing w:before="240" w:after="240" w:line="276" w:lineRule="auto"/>
        <w:ind w:left="567" w:right="851"/>
        <w:jc w:val="both"/>
        <w:rPr>
          <w:rFonts w:ascii="Palatino Linotype" w:eastAsia="Palatino Linotype" w:hAnsi="Palatino Linotype" w:cs="Palatino Linotype"/>
          <w:b/>
          <w:i/>
          <w:sz w:val="22"/>
          <w:u w:val="single"/>
        </w:rPr>
      </w:pPr>
      <w:r w:rsidRPr="00C92539">
        <w:rPr>
          <w:rFonts w:ascii="Palatino Linotype" w:eastAsia="Palatino Linotype" w:hAnsi="Palatino Linotype" w:cs="Palatino Linotype"/>
          <w:b/>
          <w:i/>
          <w:sz w:val="22"/>
          <w:u w:val="single"/>
        </w:rPr>
        <w:t xml:space="preserve">Actualizar la base de datos estadísticos que refleje información referente a la incidencia delictiva de la entidad. </w:t>
      </w:r>
    </w:p>
    <w:p w14:paraId="1071A6F9"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lastRenderedPageBreak/>
        <w:t xml:space="preserve">Desarrollar estrategias de prevención delictiva en conjunto con instituciones encargadas de la seguridad pública, identificando a través de la georeferenciación, los focos rojos delincuenciales de la entidad. </w:t>
      </w:r>
    </w:p>
    <w:p w14:paraId="731F54B4"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Brindar la información requerida por el Procurador relacionada con hechos o sucesos que puedan ser evaluados y debatidos por la opinión pública.</w:t>
      </w:r>
    </w:p>
    <w:p w14:paraId="14016AB7"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 xml:space="preserve"> Proporcionar la información solicitada a través del Portal de Transparencia y Acceso a la Información Pública. </w:t>
      </w:r>
    </w:p>
    <w:p w14:paraId="1567A28F"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 xml:space="preserve">Operar y administrar la base de información a nivel nacional referente a la búsqueda de información policial. </w:t>
      </w:r>
    </w:p>
    <w:p w14:paraId="43D404A4" w14:textId="77777777" w:rsidR="0006552A" w:rsidRP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 xml:space="preserve">Proporcionar la información necesaria para la integración del Sistema Plataforma México a través del Informe Policial Homologado, Registro Nacional de Armamento y Equipo, Registro Nacional de Mandamientos Judiciales, Registro Nacional de Vehículos Robados y Recuperados, Sistema Integrado de Identificación Balística, AFIS y Registro Nacional de Personal de Seguridad Pública. </w:t>
      </w:r>
    </w:p>
    <w:p w14:paraId="37C2E65D" w14:textId="77777777" w:rsidR="0006552A" w:rsidRDefault="0006552A" w:rsidP="0006552A">
      <w:pPr>
        <w:spacing w:before="240" w:after="240" w:line="276" w:lineRule="auto"/>
        <w:ind w:left="567" w:right="851"/>
        <w:jc w:val="both"/>
        <w:rPr>
          <w:rFonts w:ascii="Palatino Linotype" w:eastAsia="Palatino Linotype" w:hAnsi="Palatino Linotype" w:cs="Palatino Linotype"/>
          <w:i/>
          <w:sz w:val="22"/>
        </w:rPr>
      </w:pPr>
      <w:r w:rsidRPr="0006552A">
        <w:rPr>
          <w:rFonts w:ascii="Palatino Linotype" w:eastAsia="Palatino Linotype" w:hAnsi="Palatino Linotype" w:cs="Palatino Linotype"/>
          <w:i/>
          <w:sz w:val="22"/>
        </w:rPr>
        <w:t>Desarrollar las demás funciones inherentes al área de su competencia.</w:t>
      </w:r>
      <w:r w:rsidR="00C92539">
        <w:rPr>
          <w:rFonts w:ascii="Palatino Linotype" w:eastAsia="Palatino Linotype" w:hAnsi="Palatino Linotype" w:cs="Palatino Linotype"/>
          <w:i/>
          <w:sz w:val="22"/>
        </w:rPr>
        <w:t>”</w:t>
      </w:r>
    </w:p>
    <w:p w14:paraId="4B0C4F02" w14:textId="77777777" w:rsidR="00882A69" w:rsidRPr="0006552A" w:rsidRDefault="00882A69" w:rsidP="0006552A">
      <w:pPr>
        <w:spacing w:before="240" w:after="240" w:line="276" w:lineRule="auto"/>
        <w:ind w:left="567" w:right="85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(Énfasis añadido)</w:t>
      </w:r>
    </w:p>
    <w:p w14:paraId="323FD5AC" w14:textId="77777777" w:rsidR="00C92539" w:rsidRDefault="00C92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como se advierte de lo anteriormente citado, compete a la Fiscalía General de Justicia del Estado de México, por conducto del Departamento de Información y Estadística generar el documento que dé cuenta de un panorama detallado de los índices delictivos en la entidad, así como la actualización de la base de datos que refleje esta información. </w:t>
      </w:r>
    </w:p>
    <w:p w14:paraId="55F4E812" w14:textId="77777777" w:rsidR="00C92539" w:rsidRDefault="00C92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pasa desapercibido que en el portal del Secretariado Ejecutivo del Sistema Nacional de Seguridad Pública, se vislumbra lo siguiente: </w:t>
      </w:r>
    </w:p>
    <w:p w14:paraId="2F77EA69" w14:textId="77777777" w:rsidR="00C92539" w:rsidRDefault="00C9253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9504" behindDoc="0" locked="0" layoutInCell="1" allowOverlap="1" wp14:anchorId="0CBDC276" wp14:editId="66D9D320">
                <wp:simplePos x="0" y="0"/>
                <wp:positionH relativeFrom="column">
                  <wp:posOffset>-41910</wp:posOffset>
                </wp:positionH>
                <wp:positionV relativeFrom="paragraph">
                  <wp:posOffset>2660649</wp:posOffset>
                </wp:positionV>
                <wp:extent cx="885825" cy="0"/>
                <wp:effectExtent l="38100" t="38100" r="66675" b="95250"/>
                <wp:wrapNone/>
                <wp:docPr id="20" name="Conector recto 20"/>
                <wp:cNvGraphicFramePr/>
                <a:graphic xmlns:a="http://schemas.openxmlformats.org/drawingml/2006/main">
                  <a:graphicData uri="http://schemas.microsoft.com/office/word/2010/wordprocessingShape">
                    <wps:wsp>
                      <wps:cNvCnPr/>
                      <wps:spPr>
                        <a:xfrm flipV="1">
                          <a:off x="0" y="0"/>
                          <a:ext cx="88582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875BAF" id="Conector recto 20" o:spid="_x0000_s1026" style="position:absolute;flip:y;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pt,209.5pt" to="66.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" strokecolor="#002060" strokeweight="2pt">
                <v:shadow on="t" color="black" opacity="24903f" origin=",.5" offset="0,.55556mm"/>
              </v:line>
            </w:pict>
          </mc:Fallback>
        </mc:AlternateContent>
      </w:r>
      <w:r>
        <w:rPr>
          <w:rFonts w:ascii="Palatino Linotype" w:eastAsia="Palatino Linotype" w:hAnsi="Palatino Linotype" w:cs="Palatino Linotype"/>
          <w:noProof/>
          <w:lang w:val="es-MX"/>
        </w:rPr>
        <mc:AlternateContent>
          <mc:Choice Requires="wps">
            <w:drawing>
              <wp:anchor distT="0" distB="0" distL="114300" distR="114300" simplePos="0" relativeHeight="251668480" behindDoc="0" locked="0" layoutInCell="1" allowOverlap="1" wp14:anchorId="4D855D8C" wp14:editId="1062A56B">
                <wp:simplePos x="0" y="0"/>
                <wp:positionH relativeFrom="column">
                  <wp:posOffset>1120139</wp:posOffset>
                </wp:positionH>
                <wp:positionV relativeFrom="paragraph">
                  <wp:posOffset>2498725</wp:posOffset>
                </wp:positionV>
                <wp:extent cx="1895475" cy="9525"/>
                <wp:effectExtent l="38100" t="38100" r="66675" b="85725"/>
                <wp:wrapNone/>
                <wp:docPr id="19" name="Conector recto 19"/>
                <wp:cNvGraphicFramePr/>
                <a:graphic xmlns:a="http://schemas.openxmlformats.org/drawingml/2006/main">
                  <a:graphicData uri="http://schemas.microsoft.com/office/word/2010/wordprocessingShape">
                    <wps:wsp>
                      <wps:cNvCnPr/>
                      <wps:spPr>
                        <a:xfrm>
                          <a:off x="0" y="0"/>
                          <a:ext cx="1895475" cy="9525"/>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7023DE" id="Conector recto 1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8.2pt,196.75pt" to="237.4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" strokecolor="#002060" strokeweight="2pt">
                <v:shadow on="t" color="black" opacity="24903f" origin=",.5" offset="0,.55556mm"/>
              </v:line>
            </w:pict>
          </mc:Fallback>
        </mc:AlternateContent>
      </w:r>
      <w:r>
        <w:rPr>
          <w:rFonts w:ascii="Palatino Linotype" w:eastAsia="Palatino Linotype" w:hAnsi="Palatino Linotype" w:cs="Palatino Linotype"/>
          <w:noProof/>
          <w:lang w:val="es-MX"/>
        </w:rPr>
        <mc:AlternateContent>
          <mc:Choice Requires="wps">
            <w:drawing>
              <wp:anchor distT="0" distB="0" distL="114300" distR="114300" simplePos="0" relativeHeight="251667456" behindDoc="0" locked="0" layoutInCell="1" allowOverlap="1" wp14:anchorId="3370C061" wp14:editId="07912029">
                <wp:simplePos x="0" y="0"/>
                <wp:positionH relativeFrom="column">
                  <wp:posOffset>2425065</wp:posOffset>
                </wp:positionH>
                <wp:positionV relativeFrom="paragraph">
                  <wp:posOffset>2346324</wp:posOffset>
                </wp:positionV>
                <wp:extent cx="571500" cy="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571500"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C87BDD" id="Conector recto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5pt,184.75pt" to="235.9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" strokecolor="#002060" strokeweight="2pt">
                <v:shadow on="t" color="black" opacity="24903f" origin=",.5" offset="0,.55556mm"/>
              </v:line>
            </w:pict>
          </mc:Fallback>
        </mc:AlternateContent>
      </w:r>
      <w:r>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14:anchorId="658B6CFB" wp14:editId="30E0B9D8">
                <wp:simplePos x="0" y="0"/>
                <wp:positionH relativeFrom="column">
                  <wp:posOffset>-70485</wp:posOffset>
                </wp:positionH>
                <wp:positionV relativeFrom="paragraph">
                  <wp:posOffset>2022475</wp:posOffset>
                </wp:positionV>
                <wp:extent cx="3143250" cy="781050"/>
                <wp:effectExtent l="57150" t="38100" r="76200" b="95250"/>
                <wp:wrapNone/>
                <wp:docPr id="17" name="Rectángulo 17"/>
                <wp:cNvGraphicFramePr/>
                <a:graphic xmlns:a="http://schemas.openxmlformats.org/drawingml/2006/main">
                  <a:graphicData uri="http://schemas.microsoft.com/office/word/2010/wordprocessingShape">
                    <wps:wsp>
                      <wps:cNvSpPr/>
                      <wps:spPr>
                        <a:xfrm>
                          <a:off x="0" y="0"/>
                          <a:ext cx="3143250" cy="7810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E0091" id="Rectángulo 17" o:spid="_x0000_s1026" style="position:absolute;margin-left:-5.55pt;margin-top:159.25pt;width:247.5pt;height:6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anchor distT="0" distB="0" distL="114300" distR="114300" simplePos="0" relativeHeight="251665408" behindDoc="0" locked="0" layoutInCell="1" allowOverlap="1" wp14:anchorId="38465315" wp14:editId="7CEE2EA2">
            <wp:simplePos x="0" y="0"/>
            <wp:positionH relativeFrom="column">
              <wp:posOffset>-232410</wp:posOffset>
            </wp:positionH>
            <wp:positionV relativeFrom="paragraph">
              <wp:posOffset>79375</wp:posOffset>
            </wp:positionV>
            <wp:extent cx="5938177" cy="2781300"/>
            <wp:effectExtent l="0" t="0" r="5715" b="0"/>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8177"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6878E4" w14:textId="77777777" w:rsidR="00317824" w:rsidRDefault="0031782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dentro de este portal, se establecen los siguientes parámetros para la publicación de esta información, mismos que se traen a colación para mejor proveer del presente estudio: </w:t>
      </w:r>
    </w:p>
    <w:p w14:paraId="10F285E4" w14:textId="77777777" w:rsidR="00317824" w:rsidRPr="00317824" w:rsidRDefault="00317824" w:rsidP="00317824">
      <w:pPr>
        <w:spacing w:before="240" w:after="240" w:line="276" w:lineRule="auto"/>
        <w:ind w:left="567" w:right="851"/>
        <w:jc w:val="both"/>
        <w:rPr>
          <w:rFonts w:ascii="Palatino Linotype" w:eastAsia="Palatino Linotype" w:hAnsi="Palatino Linotype" w:cs="Palatino Linotype"/>
          <w:i/>
          <w:sz w:val="22"/>
          <w:lang w:val="es-MX"/>
        </w:rPr>
      </w:pPr>
      <w:r w:rsidRPr="00317824">
        <w:rPr>
          <w:rFonts w:ascii="Palatino Linotype" w:eastAsia="Palatino Linotype" w:hAnsi="Palatino Linotype" w:cs="Palatino Linotype"/>
          <w:i/>
          <w:sz w:val="22"/>
          <w:lang w:val="es-MX"/>
        </w:rPr>
        <w:t xml:space="preserve">“A continuación encontrarás información sobre </w:t>
      </w:r>
      <w:r w:rsidRPr="00ED13AA">
        <w:rPr>
          <w:rFonts w:ascii="Palatino Linotype" w:eastAsia="Palatino Linotype" w:hAnsi="Palatino Linotype" w:cs="Palatino Linotype"/>
          <w:b/>
          <w:i/>
          <w:sz w:val="22"/>
          <w:lang w:val="es-MX"/>
        </w:rPr>
        <w:t>incidencia delictiva</w:t>
      </w:r>
      <w:r w:rsidRPr="00317824">
        <w:rPr>
          <w:rFonts w:ascii="Palatino Linotype" w:eastAsia="Palatino Linotype" w:hAnsi="Palatino Linotype" w:cs="Palatino Linotype"/>
          <w:i/>
          <w:sz w:val="22"/>
          <w:lang w:val="es-MX"/>
        </w:rPr>
        <w:t>, a partir de las siguientes definiciones y aclaraciones:</w:t>
      </w:r>
    </w:p>
    <w:p w14:paraId="4307451C" w14:textId="77777777" w:rsidR="00317824" w:rsidRPr="00ED13AA" w:rsidRDefault="00317824" w:rsidP="00317824">
      <w:pPr>
        <w:numPr>
          <w:ilvl w:val="0"/>
          <w:numId w:val="7"/>
        </w:numPr>
        <w:spacing w:before="240" w:after="240" w:line="276" w:lineRule="auto"/>
        <w:ind w:left="567" w:right="851"/>
        <w:jc w:val="both"/>
        <w:rPr>
          <w:rFonts w:ascii="Palatino Linotype" w:eastAsia="Palatino Linotype" w:hAnsi="Palatino Linotype" w:cs="Palatino Linotype"/>
          <w:b/>
          <w:i/>
          <w:sz w:val="22"/>
          <w:lang w:val="es-MX"/>
        </w:rPr>
      </w:pPr>
      <w:r w:rsidRPr="00317824">
        <w:rPr>
          <w:rFonts w:ascii="Palatino Linotype" w:eastAsia="Palatino Linotype" w:hAnsi="Palatino Linotype" w:cs="Palatino Linotype"/>
          <w:b/>
          <w:i/>
          <w:sz w:val="22"/>
          <w:lang w:val="es-MX"/>
        </w:rPr>
        <w:t>La información se refiere a los presuntos delitos registrados en las averiguaciones previas o carpetas de investigación iniciadas, y que son reportados por las Procuradurías Generales de Justicia y Fiscalías Generales de las entidades federativas</w:t>
      </w:r>
      <w:r w:rsidRPr="00317824">
        <w:rPr>
          <w:rFonts w:ascii="Palatino Linotype" w:eastAsia="Palatino Linotype" w:hAnsi="Palatino Linotype" w:cs="Palatino Linotype"/>
          <w:i/>
          <w:sz w:val="22"/>
          <w:lang w:val="es-MX"/>
        </w:rPr>
        <w:t xml:space="preserve">, </w:t>
      </w:r>
      <w:r w:rsidRPr="00ED13AA">
        <w:rPr>
          <w:rFonts w:ascii="Palatino Linotype" w:eastAsia="Palatino Linotype" w:hAnsi="Palatino Linotype" w:cs="Palatino Linotype"/>
          <w:b/>
          <w:i/>
          <w:sz w:val="22"/>
          <w:lang w:val="es-MX"/>
        </w:rPr>
        <w:t>en el caso de los delitos del fuero común</w:t>
      </w:r>
      <w:r w:rsidRPr="00317824">
        <w:rPr>
          <w:rFonts w:ascii="Palatino Linotype" w:eastAsia="Palatino Linotype" w:hAnsi="Palatino Linotype" w:cs="Palatino Linotype"/>
          <w:i/>
          <w:sz w:val="22"/>
          <w:lang w:val="es-MX"/>
        </w:rPr>
        <w:t xml:space="preserve">, y por la Fiscalía General de la República, en el caso de los delitos del fuero federal. </w:t>
      </w:r>
      <w:r w:rsidRPr="00ED13AA">
        <w:rPr>
          <w:rFonts w:ascii="Palatino Linotype" w:eastAsia="Palatino Linotype" w:hAnsi="Palatino Linotype" w:cs="Palatino Linotype"/>
          <w:b/>
          <w:i/>
          <w:sz w:val="22"/>
          <w:lang w:val="es-MX"/>
        </w:rPr>
        <w:t>En ambos casos, dichas instancias son las responsables de la veracidad y actualización de la información.</w:t>
      </w:r>
    </w:p>
    <w:p w14:paraId="08F30F61" w14:textId="77777777" w:rsidR="00317824" w:rsidRPr="00317824" w:rsidRDefault="00317824" w:rsidP="00317824">
      <w:pPr>
        <w:numPr>
          <w:ilvl w:val="0"/>
          <w:numId w:val="7"/>
        </w:numPr>
        <w:spacing w:before="240" w:after="240" w:line="276" w:lineRule="auto"/>
        <w:ind w:left="567" w:right="851"/>
        <w:jc w:val="both"/>
        <w:rPr>
          <w:rFonts w:ascii="Palatino Linotype" w:eastAsia="Palatino Linotype" w:hAnsi="Palatino Linotype" w:cs="Palatino Linotype"/>
          <w:i/>
          <w:sz w:val="22"/>
          <w:lang w:val="es-MX"/>
        </w:rPr>
      </w:pPr>
      <w:r w:rsidRPr="00317824">
        <w:rPr>
          <w:rFonts w:ascii="Palatino Linotype" w:eastAsia="Palatino Linotype" w:hAnsi="Palatino Linotype" w:cs="Palatino Linotype"/>
          <w:i/>
          <w:sz w:val="22"/>
          <w:lang w:val="es-MX"/>
        </w:rPr>
        <w:t>Los presuntos delitos reportados pueden estar involucrados con una o más víctimas u ofendidos, o afectar más de un bien jurídico.</w:t>
      </w:r>
    </w:p>
    <w:p w14:paraId="6FA1A54C" w14:textId="77777777" w:rsidR="00317824" w:rsidRPr="00ED13AA" w:rsidRDefault="00317824" w:rsidP="00ED13AA">
      <w:pPr>
        <w:numPr>
          <w:ilvl w:val="0"/>
          <w:numId w:val="7"/>
        </w:numPr>
        <w:spacing w:before="240" w:after="240" w:line="276" w:lineRule="auto"/>
        <w:ind w:left="567" w:right="851"/>
        <w:jc w:val="both"/>
        <w:rPr>
          <w:rFonts w:ascii="Palatino Linotype" w:eastAsia="Palatino Linotype" w:hAnsi="Palatino Linotype" w:cs="Palatino Linotype"/>
          <w:b/>
          <w:i/>
          <w:sz w:val="22"/>
          <w:lang w:val="es-MX"/>
        </w:rPr>
      </w:pPr>
      <w:r w:rsidRPr="00ED13AA">
        <w:rPr>
          <w:rFonts w:ascii="Palatino Linotype" w:eastAsia="Palatino Linotype" w:hAnsi="Palatino Linotype" w:cs="Palatino Linotype"/>
          <w:b/>
          <w:i/>
          <w:sz w:val="22"/>
          <w:lang w:val="es-MX"/>
        </w:rPr>
        <w:lastRenderedPageBreak/>
        <w:t>Para los delitos del fuero común de homicidio, secuestro y extorsión, se presenta información estadística sobre el número de víctimas. En protección a datos personales, no se incluye información personal, ni sobre el estado procesal de dichas averiguaciones previas o carpetas de investigación.</w:t>
      </w:r>
    </w:p>
    <w:p w14:paraId="274F4321" w14:textId="77777777" w:rsidR="00317824" w:rsidRPr="00317824" w:rsidRDefault="00317824" w:rsidP="00317824">
      <w:pPr>
        <w:numPr>
          <w:ilvl w:val="0"/>
          <w:numId w:val="7"/>
        </w:numPr>
        <w:spacing w:before="240" w:after="240" w:line="276" w:lineRule="auto"/>
        <w:ind w:left="567" w:right="851"/>
        <w:jc w:val="both"/>
        <w:rPr>
          <w:rFonts w:ascii="Palatino Linotype" w:eastAsia="Palatino Linotype" w:hAnsi="Palatino Linotype" w:cs="Palatino Linotype"/>
          <w:i/>
          <w:sz w:val="22"/>
          <w:lang w:val="es-MX"/>
        </w:rPr>
      </w:pPr>
      <w:r w:rsidRPr="00ED13AA">
        <w:rPr>
          <w:rFonts w:ascii="Palatino Linotype" w:eastAsia="Palatino Linotype" w:hAnsi="Palatino Linotype" w:cs="Palatino Linotype"/>
          <w:b/>
          <w:i/>
          <w:sz w:val="22"/>
          <w:lang w:val="es-MX"/>
        </w:rPr>
        <w:t>La información sobre incidencia delictiva municipal corresponde a los presuntos delitos cometidos en esa demarcación territorial y que obran en averiguaciones previas o carpetas de investigación iniciadas. En ocasiones no todos los municipios o alcaldías de una entidad federativa están incluidos en el reporte, por lo que los datos no son comparables de manera directa con los reportados a nivel estatal. En algunas entidades, el reporte se realiza a nivel de distrito, que puede comprender uno o varios municipios</w:t>
      </w:r>
      <w:r w:rsidRPr="00317824">
        <w:rPr>
          <w:rFonts w:ascii="Palatino Linotype" w:eastAsia="Palatino Linotype" w:hAnsi="Palatino Linotype" w:cs="Palatino Linotype"/>
          <w:i/>
          <w:sz w:val="22"/>
          <w:lang w:val="es-MX"/>
        </w:rPr>
        <w:t>, o bien de alcaldía en el caso de la Ciudad de México.</w:t>
      </w:r>
    </w:p>
    <w:p w14:paraId="26CF1FD5" w14:textId="77777777" w:rsidR="00317824" w:rsidRPr="00ED13AA" w:rsidRDefault="00317824" w:rsidP="00317824">
      <w:pPr>
        <w:numPr>
          <w:ilvl w:val="0"/>
          <w:numId w:val="7"/>
        </w:numPr>
        <w:spacing w:before="240" w:after="240" w:line="276" w:lineRule="auto"/>
        <w:ind w:left="567" w:right="851"/>
        <w:jc w:val="both"/>
        <w:rPr>
          <w:rFonts w:ascii="Palatino Linotype" w:eastAsia="Palatino Linotype" w:hAnsi="Palatino Linotype" w:cs="Palatino Linotype"/>
          <w:b/>
          <w:i/>
          <w:sz w:val="22"/>
          <w:lang w:val="es-MX"/>
        </w:rPr>
      </w:pPr>
      <w:r w:rsidRPr="00ED13AA">
        <w:rPr>
          <w:rFonts w:ascii="Palatino Linotype" w:eastAsia="Palatino Linotype" w:hAnsi="Palatino Linotype" w:cs="Palatino Linotype"/>
          <w:b/>
          <w:i/>
          <w:sz w:val="22"/>
          <w:lang w:val="es-MX"/>
        </w:rPr>
        <w:t>Los delitos no denunciados o aquellas denuncias en las que no hubo suficientes elementos para presumir la comisión de un delito, fueron excluidos en el reporte.</w:t>
      </w:r>
    </w:p>
    <w:p w14:paraId="7304F5DC" w14:textId="77777777" w:rsidR="00317824" w:rsidRPr="00ED13AA" w:rsidRDefault="00317824" w:rsidP="00317824">
      <w:pPr>
        <w:numPr>
          <w:ilvl w:val="0"/>
          <w:numId w:val="7"/>
        </w:numPr>
        <w:spacing w:before="240" w:after="240" w:line="276" w:lineRule="auto"/>
        <w:ind w:left="567" w:right="851"/>
        <w:jc w:val="both"/>
        <w:rPr>
          <w:rFonts w:ascii="Palatino Linotype" w:eastAsia="Palatino Linotype" w:hAnsi="Palatino Linotype" w:cs="Palatino Linotype"/>
          <w:b/>
          <w:i/>
          <w:sz w:val="22"/>
          <w:lang w:val="es-MX"/>
        </w:rPr>
      </w:pPr>
      <w:r w:rsidRPr="00ED13AA">
        <w:rPr>
          <w:rFonts w:ascii="Palatino Linotype" w:eastAsia="Palatino Linotype" w:hAnsi="Palatino Linotype" w:cs="Palatino Linotype"/>
          <w:b/>
          <w:i/>
          <w:sz w:val="22"/>
          <w:lang w:val="es-MX"/>
        </w:rPr>
        <w:t>La actualización de los datos es mensual</w:t>
      </w:r>
      <w:r w:rsidR="00ED13AA">
        <w:rPr>
          <w:rStyle w:val="Refdenotaalpie"/>
          <w:rFonts w:ascii="Palatino Linotype" w:eastAsia="Palatino Linotype" w:hAnsi="Palatino Linotype" w:cs="Palatino Linotype"/>
          <w:b/>
          <w:i/>
          <w:sz w:val="22"/>
          <w:lang w:val="es-MX"/>
        </w:rPr>
        <w:footnoteReference w:id="1"/>
      </w:r>
      <w:r w:rsidRPr="00ED13AA">
        <w:rPr>
          <w:rFonts w:ascii="Palatino Linotype" w:eastAsia="Palatino Linotype" w:hAnsi="Palatino Linotype" w:cs="Palatino Linotype"/>
          <w:b/>
          <w:i/>
          <w:sz w:val="22"/>
          <w:lang w:val="es-MX"/>
        </w:rPr>
        <w:t>.</w:t>
      </w:r>
      <w:r w:rsidR="00ED13AA">
        <w:rPr>
          <w:rFonts w:ascii="Palatino Linotype" w:eastAsia="Palatino Linotype" w:hAnsi="Palatino Linotype" w:cs="Palatino Linotype"/>
          <w:b/>
          <w:i/>
          <w:sz w:val="22"/>
          <w:lang w:val="es-MX"/>
        </w:rPr>
        <w:t>”</w:t>
      </w:r>
    </w:p>
    <w:p w14:paraId="2058DDB4" w14:textId="77777777" w:rsidR="00151282" w:rsidRDefault="001512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el diagrama que se inserta a continuación, dispone la manera en la que las Fiscalías Generales de las Entidades Federativas deberán suministrar la información correspondiente a la incidencia delictiva: </w:t>
      </w:r>
    </w:p>
    <w:p w14:paraId="0C3E01B5" w14:textId="77777777" w:rsidR="00151282" w:rsidRDefault="00151282">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70528" behindDoc="0" locked="0" layoutInCell="1" allowOverlap="1" wp14:anchorId="587FED2B" wp14:editId="3EBA6F40">
                <wp:simplePos x="0" y="0"/>
                <wp:positionH relativeFrom="column">
                  <wp:posOffset>1644015</wp:posOffset>
                </wp:positionH>
                <wp:positionV relativeFrom="paragraph">
                  <wp:posOffset>3670300</wp:posOffset>
                </wp:positionV>
                <wp:extent cx="1838325" cy="476250"/>
                <wp:effectExtent l="57150" t="38100" r="85725" b="95250"/>
                <wp:wrapNone/>
                <wp:docPr id="3" name="Rectángulo 3"/>
                <wp:cNvGraphicFramePr/>
                <a:graphic xmlns:a="http://schemas.openxmlformats.org/drawingml/2006/main">
                  <a:graphicData uri="http://schemas.microsoft.com/office/word/2010/wordprocessingShape">
                    <wps:wsp>
                      <wps:cNvSpPr/>
                      <wps:spPr>
                        <a:xfrm>
                          <a:off x="0" y="0"/>
                          <a:ext cx="1838325" cy="476250"/>
                        </a:xfrm>
                        <a:prstGeom prst="rect">
                          <a:avLst/>
                        </a:prstGeom>
                        <a:noFill/>
                        <a:ln w="28575">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58EFF7" id="Rectángulo 3" o:spid="_x0000_s1026" style="position:absolute;margin-left:129.45pt;margin-top:289pt;width:144.75pt;height:3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" filled="f" strokecolor="#002060" strokeweight="2.25pt">
                <v:shadow on="t" color="black" opacity="22937f" origin=",.5" offset="0,.63889mm"/>
              </v:rect>
            </w:pict>
          </mc:Fallback>
        </mc:AlternateContent>
      </w:r>
      <w:r>
        <w:rPr>
          <w:rFonts w:ascii="Palatino Linotype" w:eastAsia="Palatino Linotype" w:hAnsi="Palatino Linotype" w:cs="Palatino Linotype"/>
          <w:noProof/>
          <w:lang w:val="es-MX"/>
        </w:rPr>
        <w:drawing>
          <wp:inline distT="0" distB="0" distL="0" distR="0" wp14:anchorId="114AC1EB" wp14:editId="7BFE1BC6">
            <wp:extent cx="5572125" cy="5676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72125" cy="5676900"/>
                    </a:xfrm>
                    <a:prstGeom prst="rect">
                      <a:avLst/>
                    </a:prstGeom>
                    <a:noFill/>
                    <a:ln>
                      <a:noFill/>
                    </a:ln>
                  </pic:spPr>
                </pic:pic>
              </a:graphicData>
            </a:graphic>
          </wp:inline>
        </w:drawing>
      </w:r>
    </w:p>
    <w:p w14:paraId="41D442E3"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se tiene que tal y como lo refiere el </w:t>
      </w:r>
      <w:r w:rsidRPr="00ED13AA">
        <w:rPr>
          <w:rFonts w:ascii="Palatino Linotype" w:eastAsia="Palatino Linotype" w:hAnsi="Palatino Linotype" w:cs="Palatino Linotype"/>
          <w:b/>
        </w:rPr>
        <w:t>Sujeto Obligado</w:t>
      </w:r>
      <w:r w:rsidR="00ED13AA">
        <w:rPr>
          <w:rFonts w:ascii="Palatino Linotype" w:eastAsia="Palatino Linotype" w:hAnsi="Palatino Linotype" w:cs="Palatino Linotype"/>
        </w:rPr>
        <w:t xml:space="preserve">, la </w:t>
      </w:r>
      <w:r w:rsidR="00ED13AA" w:rsidRPr="00ED13AA">
        <w:rPr>
          <w:rFonts w:ascii="Palatino Linotype" w:eastAsia="Palatino Linotype" w:hAnsi="Palatino Linotype" w:cs="Palatino Linotype"/>
          <w:b/>
        </w:rPr>
        <w:t xml:space="preserve">Secretaría de Seguridad </w:t>
      </w:r>
      <w:r w:rsidRPr="00ED13AA">
        <w:rPr>
          <w:rFonts w:ascii="Palatino Linotype" w:eastAsia="Palatino Linotype" w:hAnsi="Palatino Linotype" w:cs="Palatino Linotype"/>
          <w:b/>
        </w:rPr>
        <w:t>no es competente para generar o archivar la documentación correspondiente</w:t>
      </w:r>
      <w:r w:rsidR="00ED13AA">
        <w:rPr>
          <w:rFonts w:ascii="Palatino Linotype" w:eastAsia="Palatino Linotype" w:hAnsi="Palatino Linotype" w:cs="Palatino Linotype"/>
        </w:rPr>
        <w:t xml:space="preserve"> </w:t>
      </w:r>
      <w:r w:rsidR="00ED13AA" w:rsidRPr="00ED13AA">
        <w:rPr>
          <w:rFonts w:ascii="Palatino Linotype" w:eastAsia="Palatino Linotype" w:hAnsi="Palatino Linotype" w:cs="Palatino Linotype"/>
          <w:b/>
        </w:rPr>
        <w:t>a un documento que dé cuenta de manera detallada de la incidencia delictiva en la entidad</w:t>
      </w:r>
      <w:r>
        <w:rPr>
          <w:rFonts w:ascii="Palatino Linotype" w:eastAsia="Palatino Linotype" w:hAnsi="Palatino Linotype" w:cs="Palatino Linotype"/>
        </w:rPr>
        <w:t>; ya que esta es generad</w:t>
      </w:r>
      <w:r w:rsidR="00ED13AA">
        <w:rPr>
          <w:rFonts w:ascii="Palatino Linotype" w:eastAsia="Palatino Linotype" w:hAnsi="Palatino Linotype" w:cs="Palatino Linotype"/>
        </w:rPr>
        <w:t>a por la Fiscalía General de Justicia del Estado de México</w:t>
      </w:r>
      <w:r w:rsidR="00995E05">
        <w:rPr>
          <w:rFonts w:ascii="Palatino Linotype" w:eastAsia="Palatino Linotype" w:hAnsi="Palatino Linotype" w:cs="Palatino Linotype"/>
        </w:rPr>
        <w:t xml:space="preserve">; </w:t>
      </w:r>
      <w:r w:rsidR="00995E05" w:rsidRPr="00995E05">
        <w:rPr>
          <w:rFonts w:ascii="Palatino Linotype" w:eastAsia="Palatino Linotype" w:hAnsi="Palatino Linotype" w:cs="Palatino Linotype"/>
        </w:rPr>
        <w:t xml:space="preserve">en atención a ello se dejan a salvo los derechos del </w:t>
      </w:r>
      <w:r w:rsidR="00995E05" w:rsidRPr="00995E05">
        <w:rPr>
          <w:rFonts w:ascii="Palatino Linotype" w:eastAsia="Palatino Linotype" w:hAnsi="Palatino Linotype" w:cs="Palatino Linotype"/>
        </w:rPr>
        <w:lastRenderedPageBreak/>
        <w:t>Particular para que; en caso de considerarlo conveniente a sus intereses s</w:t>
      </w:r>
      <w:r w:rsidR="00ED13AA">
        <w:rPr>
          <w:rFonts w:ascii="Palatino Linotype" w:eastAsia="Palatino Linotype" w:hAnsi="Palatino Linotype" w:cs="Palatino Linotype"/>
        </w:rPr>
        <w:t xml:space="preserve">olicite a dicho </w:t>
      </w:r>
      <w:r w:rsidR="00ED13AA" w:rsidRPr="00ED13AA">
        <w:rPr>
          <w:rFonts w:ascii="Palatino Linotype" w:eastAsia="Palatino Linotype" w:hAnsi="Palatino Linotype" w:cs="Palatino Linotype"/>
          <w:b/>
        </w:rPr>
        <w:t>Sujeto Obligado</w:t>
      </w:r>
      <w:r w:rsidR="00ED13AA">
        <w:rPr>
          <w:rFonts w:ascii="Palatino Linotype" w:eastAsia="Palatino Linotype" w:hAnsi="Palatino Linotype" w:cs="Palatino Linotype"/>
        </w:rPr>
        <w:t>, la información que requiera.</w:t>
      </w:r>
    </w:p>
    <w:p w14:paraId="0716D8E8" w14:textId="77777777" w:rsidR="007B7757" w:rsidRDefault="007B7757">
      <w:pPr>
        <w:spacing w:before="240" w:after="240" w:line="360" w:lineRule="auto"/>
        <w:jc w:val="both"/>
        <w:rPr>
          <w:rFonts w:ascii="Palatino Linotype" w:eastAsia="Palatino Linotype" w:hAnsi="Palatino Linotype" w:cs="Palatino Linotype"/>
        </w:rPr>
      </w:pPr>
      <w:r w:rsidRPr="007B7757">
        <w:rPr>
          <w:rFonts w:ascii="Palatino Linotype" w:eastAsia="Palatino Linotype" w:hAnsi="Palatino Linotype" w:cs="Palatino Linotype"/>
        </w:rPr>
        <w:t xml:space="preserve">En atención a lo antes expuesto, se tiene que mediante </w:t>
      </w:r>
      <w:r w:rsidR="00736CD9">
        <w:rPr>
          <w:rFonts w:ascii="Palatino Linotype" w:eastAsia="Palatino Linotype" w:hAnsi="Palatino Linotype" w:cs="Palatino Linotype"/>
        </w:rPr>
        <w:t xml:space="preserve">respuesta e </w:t>
      </w:r>
      <w:r w:rsidRPr="007B7757">
        <w:rPr>
          <w:rFonts w:ascii="Palatino Linotype" w:eastAsia="Palatino Linotype" w:hAnsi="Palatino Linotype" w:cs="Palatino Linotype"/>
        </w:rPr>
        <w:t xml:space="preserve"> Informe Justificado, el </w:t>
      </w:r>
      <w:r w:rsidRPr="00ED13AA">
        <w:rPr>
          <w:rFonts w:ascii="Palatino Linotype" w:eastAsia="Palatino Linotype" w:hAnsi="Palatino Linotype" w:cs="Palatino Linotype"/>
          <w:b/>
        </w:rPr>
        <w:t>Sujeto Obligado</w:t>
      </w:r>
      <w:r w:rsidRPr="007B7757">
        <w:rPr>
          <w:rFonts w:ascii="Palatino Linotype" w:eastAsia="Palatino Linotype" w:hAnsi="Palatino Linotype" w:cs="Palatino Linotype"/>
        </w:rPr>
        <w:t xml:space="preserve"> dio cuenta de </w:t>
      </w:r>
      <w:r w:rsidR="00736CD9">
        <w:rPr>
          <w:rFonts w:ascii="Palatino Linotype" w:eastAsia="Palatino Linotype" w:hAnsi="Palatino Linotype" w:cs="Palatino Linotype"/>
        </w:rPr>
        <w:t>la incompetencia</w:t>
      </w:r>
      <w:r w:rsidRPr="007B7757">
        <w:rPr>
          <w:rFonts w:ascii="Palatino Linotype" w:eastAsia="Palatino Linotype" w:hAnsi="Palatino Linotype" w:cs="Palatino Linotype"/>
        </w:rPr>
        <w:t xml:space="preserve"> para conocer de la información; pues si bien no conoce del documento que dé cuenta de</w:t>
      </w:r>
      <w:r w:rsidR="00ED13AA">
        <w:rPr>
          <w:rFonts w:ascii="Palatino Linotype" w:eastAsia="Palatino Linotype" w:hAnsi="Palatino Linotype" w:cs="Palatino Linotype"/>
        </w:rPr>
        <w:t xml:space="preserve"> la incidencia delictiva</w:t>
      </w:r>
      <w:r w:rsidRPr="007B7757">
        <w:rPr>
          <w:rFonts w:ascii="Palatino Linotype" w:eastAsia="Palatino Linotype" w:hAnsi="Palatino Linotype" w:cs="Palatino Linotype"/>
        </w:rPr>
        <w:t xml:space="preserve">, ya que no cuenta con ninguna área que genere la información; pues es una facultad concedida a otro </w:t>
      </w:r>
      <w:r w:rsidRPr="00ED13AA">
        <w:rPr>
          <w:rFonts w:ascii="Palatino Linotype" w:eastAsia="Palatino Linotype" w:hAnsi="Palatino Linotype" w:cs="Palatino Linotype"/>
          <w:b/>
        </w:rPr>
        <w:t>Sujeto Obligado</w:t>
      </w:r>
      <w:r w:rsidRPr="007B7757">
        <w:rPr>
          <w:rFonts w:ascii="Palatino Linotype" w:eastAsia="Palatino Linotype" w:hAnsi="Palatino Linotype" w:cs="Palatino Linotype"/>
        </w:rPr>
        <w:t>; este informe permitió advertir que</w:t>
      </w:r>
      <w:r w:rsidR="00ED13AA">
        <w:rPr>
          <w:rFonts w:ascii="Palatino Linotype" w:eastAsia="Palatino Linotype" w:hAnsi="Palatino Linotype" w:cs="Palatino Linotype"/>
        </w:rPr>
        <w:t xml:space="preserve"> la Secretaría de Seguridad</w:t>
      </w:r>
      <w:r w:rsidRPr="007B7757">
        <w:rPr>
          <w:rFonts w:ascii="Palatino Linotype" w:eastAsia="Palatino Linotype" w:hAnsi="Palatino Linotype" w:cs="Palatino Linotype"/>
        </w:rPr>
        <w:t xml:space="preserve"> únicamente tiene conocimiento </w:t>
      </w:r>
      <w:r w:rsidR="00ED13AA" w:rsidRPr="00ED13AA">
        <w:rPr>
          <w:rFonts w:ascii="Palatino Linotype" w:eastAsia="Palatino Linotype" w:hAnsi="Palatino Linotype" w:cs="Palatino Linotype"/>
        </w:rPr>
        <w:t xml:space="preserve">encargada de planear, formular, conducir, coordinar, ejecutar, supervisar y evaluar las políticas, programas y acciones </w:t>
      </w:r>
      <w:r w:rsidR="00ED13AA">
        <w:rPr>
          <w:rFonts w:ascii="Palatino Linotype" w:eastAsia="Palatino Linotype" w:hAnsi="Palatino Linotype" w:cs="Palatino Linotype"/>
        </w:rPr>
        <w:t>en materia de seguridad pública</w:t>
      </w:r>
      <w:r w:rsidR="00736CD9">
        <w:rPr>
          <w:rFonts w:ascii="Palatino Linotype" w:eastAsia="Palatino Linotype" w:hAnsi="Palatino Linotype" w:cs="Palatino Linotype"/>
        </w:rPr>
        <w:t>; en consecuencia, ampli</w:t>
      </w:r>
      <w:r w:rsidRPr="007B7757">
        <w:rPr>
          <w:rFonts w:ascii="Palatino Linotype" w:eastAsia="Palatino Linotype" w:hAnsi="Palatino Linotype" w:cs="Palatino Linotype"/>
        </w:rPr>
        <w:t xml:space="preserve">ó su respuesta inicial y proporcionó la información necesaria para </w:t>
      </w:r>
      <w:r w:rsidR="00736CD9">
        <w:rPr>
          <w:rFonts w:ascii="Palatino Linotype" w:eastAsia="Palatino Linotype" w:hAnsi="Palatino Linotype" w:cs="Palatino Linotype"/>
        </w:rPr>
        <w:t xml:space="preserve">confirmar la respuesta vertida en </w:t>
      </w:r>
      <w:r w:rsidRPr="007B7757">
        <w:rPr>
          <w:rFonts w:ascii="Palatino Linotype" w:eastAsia="Palatino Linotype" w:hAnsi="Palatino Linotype" w:cs="Palatino Linotype"/>
        </w:rPr>
        <w:t xml:space="preserve">el presente Recurso de Revisión. </w:t>
      </w:r>
    </w:p>
    <w:p w14:paraId="128BF8FA" w14:textId="77777777" w:rsidR="00913A86" w:rsidRPr="00ED13AA" w:rsidRDefault="002F08A5" w:rsidP="00ED13AA">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tal como se mencionó en los an</w:t>
      </w:r>
      <w:r w:rsidR="00ED13AA">
        <w:rPr>
          <w:rFonts w:ascii="Palatino Linotype" w:eastAsia="Palatino Linotype" w:hAnsi="Palatino Linotype" w:cs="Palatino Linotype"/>
        </w:rPr>
        <w:t xml:space="preserve">tecedentes, en fecha </w:t>
      </w:r>
      <w:r w:rsidR="00ED13AA" w:rsidRPr="00151282">
        <w:rPr>
          <w:rFonts w:ascii="Palatino Linotype" w:eastAsia="Palatino Linotype" w:hAnsi="Palatino Linotype" w:cs="Palatino Linotype"/>
          <w:b/>
        </w:rPr>
        <w:t>dieciséis de febrero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sidR="00ED13AA">
        <w:rPr>
          <w:rFonts w:ascii="Palatino Linotype" w:eastAsia="Palatino Linotype" w:hAnsi="Palatino Linotype" w:cs="Palatino Linotype"/>
        </w:rPr>
        <w:t xml:space="preserve"> notificó al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la incompetencia para atender la solicitud de información, es de precisar que esta situación aconteció al </w:t>
      </w:r>
      <w:r>
        <w:rPr>
          <w:rFonts w:ascii="Palatino Linotype" w:eastAsia="Palatino Linotype" w:hAnsi="Palatino Linotype" w:cs="Palatino Linotype"/>
          <w:b/>
        </w:rPr>
        <w:t>tercer día hábil</w:t>
      </w:r>
      <w:r>
        <w:rPr>
          <w:rFonts w:ascii="Palatino Linotype" w:eastAsia="Palatino Linotype" w:hAnsi="Palatino Linotype" w:cs="Palatino Linotype"/>
        </w:rPr>
        <w:t>, lo cual obedece a lo establecido en el artículo 167 de la Ley de Transparencia y Acceso a la Información Pública del Estado de México y Municipios, el cual refiere que cuando las unidades de transparencia determinen la notoria incompetencia deben realizar lo siguiente:</w:t>
      </w:r>
    </w:p>
    <w:p w14:paraId="1EDB473E" w14:textId="77777777"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Hacerlo del conocimiento del Particular, dentro de los tres días hábiles, posteriores a la presentación de la solicitud de información, y</w:t>
      </w:r>
    </w:p>
    <w:p w14:paraId="5D48E6BF" w14:textId="77777777" w:rsidR="00913A86" w:rsidRDefault="00913A86">
      <w:pPr>
        <w:spacing w:line="360" w:lineRule="auto"/>
        <w:ind w:left="720"/>
        <w:jc w:val="both"/>
        <w:rPr>
          <w:rFonts w:ascii="Palatino Linotype" w:eastAsia="Palatino Linotype" w:hAnsi="Palatino Linotype" w:cs="Palatino Linotype"/>
        </w:rPr>
      </w:pPr>
    </w:p>
    <w:p w14:paraId="50C90354" w14:textId="77777777" w:rsidR="00913A86" w:rsidRDefault="002F08A5">
      <w:pPr>
        <w:numPr>
          <w:ilvl w:val="0"/>
          <w:numId w:val="4"/>
        </w:num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En caso de conocer el Sujeto Obligado competente, orientarlo a presentar la solicitud ante el mismo.</w:t>
      </w:r>
    </w:p>
    <w:p w14:paraId="4A919477" w14:textId="77777777" w:rsidR="00913A86" w:rsidRDefault="00913A86">
      <w:pPr>
        <w:spacing w:line="360" w:lineRule="auto"/>
        <w:jc w:val="both"/>
        <w:rPr>
          <w:rFonts w:ascii="Palatino Linotype" w:eastAsia="Palatino Linotype" w:hAnsi="Palatino Linotype" w:cs="Palatino Linotype"/>
          <w:sz w:val="22"/>
          <w:szCs w:val="22"/>
        </w:rPr>
      </w:pPr>
    </w:p>
    <w:p w14:paraId="4DF98919" w14:textId="77777777" w:rsidR="00913A86" w:rsidRDefault="002F08A5">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el presente caso, de la revisión de las constancias de los expedientes electrónico, localizados en el Sistema de Acceso a la Información Mexiquense (SAIMEX), se </w:t>
      </w:r>
      <w:r w:rsidR="00ED13AA">
        <w:rPr>
          <w:rFonts w:ascii="Palatino Linotype" w:eastAsia="Palatino Linotype" w:hAnsi="Palatino Linotype" w:cs="Palatino Linotype"/>
        </w:rPr>
        <w:t>advierte que la Secretaría de Seguridad</w:t>
      </w:r>
      <w:r>
        <w:rPr>
          <w:rFonts w:ascii="Palatino Linotype" w:eastAsia="Palatino Linotype" w:hAnsi="Palatino Linotype" w:cs="Palatino Linotype"/>
        </w:rPr>
        <w:t xml:space="preserve">, </w:t>
      </w:r>
      <w:r w:rsidR="00882A69">
        <w:rPr>
          <w:rFonts w:ascii="Palatino Linotype" w:eastAsia="Palatino Linotype" w:hAnsi="Palatino Linotype" w:cs="Palatino Linotype"/>
        </w:rPr>
        <w:t>orientó oportunamente al particular, respecto del Sujeto Obligado competente</w:t>
      </w:r>
      <w:r>
        <w:rPr>
          <w:rFonts w:ascii="Palatino Linotype" w:eastAsia="Palatino Linotype" w:hAnsi="Palatino Linotype" w:cs="Palatino Linotype"/>
        </w:rPr>
        <w:t xml:space="preserve"> tanto en respuesta como en informe justificado, sin pasar de vista que este último punto es una facultad potestativa del </w:t>
      </w:r>
      <w:r w:rsidRPr="00ED13AA">
        <w:rPr>
          <w:rFonts w:ascii="Palatino Linotype" w:eastAsia="Palatino Linotype" w:hAnsi="Palatino Linotype" w:cs="Palatino Linotype"/>
          <w:b/>
        </w:rPr>
        <w:t>Sujeto Obligado</w:t>
      </w:r>
      <w:r>
        <w:rPr>
          <w:rFonts w:ascii="Palatino Linotype" w:eastAsia="Palatino Linotype" w:hAnsi="Palatino Linotype" w:cs="Palatino Linotype"/>
        </w:rPr>
        <w:t>, por</w:t>
      </w:r>
      <w:r w:rsidR="00882A69">
        <w:rPr>
          <w:rFonts w:ascii="Palatino Linotype" w:eastAsia="Palatino Linotype" w:hAnsi="Palatino Linotype" w:cs="Palatino Linotype"/>
        </w:rPr>
        <w:t xml:space="preserve"> lo que, se tiene por atendido el requerimiento</w:t>
      </w:r>
      <w:r>
        <w:rPr>
          <w:rFonts w:ascii="Palatino Linotype" w:eastAsia="Palatino Linotype" w:hAnsi="Palatino Linotype" w:cs="Palatino Linotype"/>
        </w:rPr>
        <w:t xml:space="preserve"> de información.</w:t>
      </w:r>
    </w:p>
    <w:p w14:paraId="790D6530" w14:textId="77777777" w:rsidR="00ED13AA" w:rsidRDefault="00ED13AA">
      <w:pPr>
        <w:spacing w:line="360" w:lineRule="auto"/>
        <w:jc w:val="both"/>
        <w:rPr>
          <w:rFonts w:ascii="Palatino Linotype" w:eastAsia="Palatino Linotype" w:hAnsi="Palatino Linotype" w:cs="Palatino Linotype"/>
        </w:rPr>
      </w:pPr>
    </w:p>
    <w:p w14:paraId="11EFCBDD" w14:textId="77777777" w:rsidR="00913A86" w:rsidRDefault="002F08A5">
      <w:pPr>
        <w:widowControl w:val="0"/>
        <w:tabs>
          <w:tab w:val="left" w:pos="1701"/>
          <w:tab w:val="left" w:pos="1843"/>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Pr>
          <w:rFonts w:ascii="Palatino Linotype" w:eastAsia="Palatino Linotype" w:hAnsi="Palatino Linotype" w:cs="Palatino Linotype"/>
          <w:b/>
        </w:rPr>
        <w:t>CONFIRMAR</w:t>
      </w:r>
      <w:r>
        <w:rPr>
          <w:rFonts w:ascii="Palatino Linotype" w:eastAsia="Palatino Linotype" w:hAnsi="Palatino Linotype" w:cs="Palatino Linotype"/>
        </w:rPr>
        <w:t xml:space="preserve"> la respuesta del </w:t>
      </w:r>
      <w:r w:rsidRPr="00882A69">
        <w:rPr>
          <w:rFonts w:ascii="Palatino Linotype" w:eastAsia="Palatino Linotype" w:hAnsi="Palatino Linotype" w:cs="Palatino Linotype"/>
          <w:b/>
        </w:rPr>
        <w:t>Sujeto Obligado</w:t>
      </w:r>
      <w:r>
        <w:rPr>
          <w:rFonts w:ascii="Palatino Linotype" w:eastAsia="Palatino Linotype" w:hAnsi="Palatino Linotype" w:cs="Palatino Linotype"/>
        </w:rPr>
        <w:t>.</w:t>
      </w:r>
    </w:p>
    <w:p w14:paraId="376CA6A4" w14:textId="77777777" w:rsidR="00913A86" w:rsidRDefault="00913A86">
      <w:pPr>
        <w:spacing w:line="360" w:lineRule="auto"/>
        <w:jc w:val="both"/>
        <w:rPr>
          <w:rFonts w:ascii="Palatino Linotype" w:eastAsia="Palatino Linotype" w:hAnsi="Palatino Linotype" w:cs="Palatino Linotype"/>
        </w:rPr>
      </w:pPr>
    </w:p>
    <w:p w14:paraId="5E41B4BF" w14:textId="77777777" w:rsidR="00913A86" w:rsidRDefault="002F08A5">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trigésimo, trigésimo primero y trigésimo segundo,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19BFF50E" w14:textId="77777777" w:rsidR="00913A86" w:rsidRDefault="002F08A5">
      <w:pPr>
        <w:numPr>
          <w:ilvl w:val="0"/>
          <w:numId w:val="3"/>
        </w:numPr>
        <w:spacing w:before="280" w:after="28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7428E29D" w14:textId="77777777" w:rsidR="00913A86" w:rsidRDefault="002F08A5">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infundados </w:t>
      </w:r>
      <w:r>
        <w:rPr>
          <w:rFonts w:ascii="Palatino Linotype" w:eastAsia="Palatino Linotype" w:hAnsi="Palatino Linotype" w:cs="Palatino Linotype"/>
        </w:rPr>
        <w:t xml:space="preserve">los motivos de inconformidad aducidos por </w:t>
      </w:r>
      <w:r w:rsidR="00ED13AA">
        <w:rPr>
          <w:rFonts w:ascii="Palatino Linotype" w:eastAsia="Palatino Linotype" w:hAnsi="Palatino Linotype" w:cs="Palatino Linotype"/>
          <w:b/>
        </w:rPr>
        <w:t>el</w:t>
      </w:r>
      <w:r>
        <w:rPr>
          <w:rFonts w:ascii="Palatino Linotype" w:eastAsia="Palatino Linotype" w:hAnsi="Palatino Linotype" w:cs="Palatino Linotype"/>
          <w:b/>
        </w:rPr>
        <w:t xml:space="preserve"> Recurrente</w:t>
      </w:r>
      <w:r>
        <w:rPr>
          <w:rFonts w:ascii="Palatino Linotype" w:eastAsia="Palatino Linotype" w:hAnsi="Palatino Linotype" w:cs="Palatino Linotype"/>
        </w:rPr>
        <w:t xml:space="preserve"> en el Recurso de revisión</w:t>
      </w:r>
      <w:r w:rsidR="00764B98">
        <w:rPr>
          <w:rFonts w:ascii="Palatino Linotype" w:eastAsia="Palatino Linotype" w:hAnsi="Palatino Linotype" w:cs="Palatino Linotype"/>
          <w:b/>
        </w:rPr>
        <w:t xml:space="preserve"> 01074/INFOEM/IP/RR/2022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por lo que, en términos de los argumentos señalados en el </w:t>
      </w:r>
      <w:r>
        <w:rPr>
          <w:rFonts w:ascii="Palatino Linotype" w:eastAsia="Palatino Linotype" w:hAnsi="Palatino Linotype" w:cs="Palatino Linotype"/>
          <w:b/>
        </w:rPr>
        <w:t xml:space="preserve">Considerando Cuarto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CONFIRMA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5F8A9AA4" w14:textId="77777777" w:rsidR="00913A86" w:rsidRDefault="002F08A5">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highlight w:val="white"/>
        </w:rPr>
        <w:t>Segundo</w:t>
      </w:r>
      <w:r>
        <w:rPr>
          <w:rFonts w:ascii="Palatino Linotype" w:eastAsia="Palatino Linotype" w:hAnsi="Palatino Linotype" w:cs="Palatino Linotype"/>
          <w:b/>
          <w:sz w:val="28"/>
          <w:szCs w:val="28"/>
          <w:highlight w:val="white"/>
        </w:rPr>
        <w:t>.</w:t>
      </w:r>
      <w:r>
        <w:rPr>
          <w:rFonts w:ascii="Palatino Linotype" w:eastAsia="Palatino Linotype" w:hAnsi="Palatino Linotype" w:cs="Palatino Linotype"/>
          <w:b/>
          <w:sz w:val="19"/>
          <w:szCs w:val="19"/>
          <w:highlight w:val="white"/>
        </w:rPr>
        <w:t xml:space="preserve"> </w:t>
      </w:r>
      <w:r>
        <w:rPr>
          <w:rFonts w:ascii="Palatino Linotype" w:eastAsia="Palatino Linotype" w:hAnsi="Palatino Linotype" w:cs="Palatino Linotype"/>
          <w:b/>
        </w:rPr>
        <w:t>Notifíquese al Titular de la Unidad de Transparencia, vía Sistema de Acceso a la Información Mexiquense (SAIMEX),</w:t>
      </w:r>
      <w:r>
        <w:rPr>
          <w:rFonts w:ascii="Palatino Linotype" w:eastAsia="Palatino Linotype" w:hAnsi="Palatino Linotype" w:cs="Palatino Linotype"/>
        </w:rPr>
        <w:t xml:space="preserve"> para su conocimiento.</w:t>
      </w:r>
    </w:p>
    <w:p w14:paraId="635B7E49" w14:textId="77777777" w:rsidR="00913A86" w:rsidRPr="00364BD3" w:rsidRDefault="002F08A5">
      <w:pPr>
        <w:spacing w:before="240" w:after="240" w:line="360" w:lineRule="auto"/>
        <w:jc w:val="both"/>
        <w:rPr>
          <w:rFonts w:ascii="Palatino Linotype" w:eastAsia="Palatino Linotype" w:hAnsi="Palatino Linotype" w:cs="Palatino Linotype"/>
          <w:b/>
          <w:color w:val="FF0000"/>
          <w:highlight w:val="yellow"/>
        </w:rPr>
      </w:pPr>
      <w:bookmarkStart w:id="1" w:name="_heading=h.gjdgxs" w:colFirst="0" w:colLast="0"/>
      <w:bookmarkEnd w:id="1"/>
      <w:r>
        <w:rPr>
          <w:rFonts w:ascii="Palatino Linotype" w:eastAsia="Palatino Linotype" w:hAnsi="Palatino Linotype" w:cs="Palatino Linotype"/>
          <w:b/>
          <w:highlight w:val="white"/>
        </w:rPr>
        <w:t>Tercero.</w:t>
      </w:r>
      <w:r>
        <w:rPr>
          <w:rFonts w:ascii="Palatino Linotype" w:eastAsia="Palatino Linotype" w:hAnsi="Palatino Linotype" w:cs="Palatino Linotype"/>
          <w:b/>
          <w:sz w:val="28"/>
          <w:szCs w:val="28"/>
          <w:highlight w:val="white"/>
        </w:rPr>
        <w:t xml:space="preserve"> </w:t>
      </w:r>
      <w:r>
        <w:rPr>
          <w:rFonts w:ascii="Palatino Linotype" w:eastAsia="Palatino Linotype" w:hAnsi="Palatino Linotype" w:cs="Palatino Linotype"/>
          <w:b/>
        </w:rPr>
        <w:t>Notifíquese vía Sistema de Acceso a la Información Mexiquense (SAIMEX)</w:t>
      </w:r>
      <w:r w:rsidRPr="00364BD3">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rPr>
        <w:t xml:space="preserve">la presente resolución a la parte recurrente, así como, que de conformidad con lo establecido en el artículo 196 de la Ley de Transparencia y Acceso a la Información Pública del Estado de México y Municipios, podrá impugnarla vía </w:t>
      </w:r>
      <w:r>
        <w:rPr>
          <w:rFonts w:ascii="Palatino Linotype" w:eastAsia="Palatino Linotype" w:hAnsi="Palatino Linotype" w:cs="Palatino Linotype"/>
          <w:b/>
        </w:rPr>
        <w:t>Juicio de Amparo</w:t>
      </w:r>
      <w:r>
        <w:rPr>
          <w:rFonts w:ascii="Palatino Linotype" w:eastAsia="Palatino Linotype" w:hAnsi="Palatino Linotype" w:cs="Palatino Linotype"/>
        </w:rPr>
        <w:t xml:space="preserve"> en los términos de las leyes aplicables.</w:t>
      </w:r>
    </w:p>
    <w:p w14:paraId="4808A843" w14:textId="4A54CDD3" w:rsidR="00913A86" w:rsidRDefault="002F08A5">
      <w:pPr>
        <w:spacing w:before="240" w:after="240" w:line="360" w:lineRule="auto"/>
        <w:jc w:val="both"/>
        <w:rPr>
          <w:rFonts w:ascii="Palatino Linotype" w:eastAsia="Palatino Linotype" w:hAnsi="Palatino Linotype" w:cs="Palatino Linotype"/>
        </w:rPr>
        <w:sectPr w:rsidR="00913A86">
          <w:headerReference w:type="default" r:id="rId24"/>
          <w:footerReference w:type="default" r:id="rId25"/>
          <w:headerReference w:type="first" r:id="rId26"/>
          <w:footerReference w:type="first" r:id="rId27"/>
          <w:pgSz w:w="12240" w:h="15840"/>
          <w:pgMar w:top="1417" w:right="1750" w:bottom="1417" w:left="1701" w:header="708" w:footer="708" w:gutter="0"/>
          <w:pgNumType w:start="1"/>
          <w:cols w:space="720"/>
          <w:titlePg/>
        </w:sect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B064B9">
        <w:rPr>
          <w:rFonts w:ascii="Palatino Linotype" w:eastAsia="Palatino Linotype" w:hAnsi="Palatino Linotype" w:cs="Palatino Linotype"/>
        </w:rPr>
        <w:t>;</w:t>
      </w:r>
      <w:r w:rsidR="00B064B9" w:rsidRPr="00B064B9">
        <w:rPr>
          <w:rFonts w:ascii="Palatino Linotype" w:eastAsia="Palatino Linotype" w:hAnsi="Palatino Linotype" w:cs="Palatino Linotype"/>
        </w:rPr>
        <w:t xml:space="preserve"> </w:t>
      </w:r>
      <w:r w:rsidR="00B064B9">
        <w:rPr>
          <w:rFonts w:ascii="Palatino Linotype" w:eastAsia="Palatino Linotype" w:hAnsi="Palatino Linotype" w:cs="Palatino Linotype"/>
        </w:rPr>
        <w:t>SHARON CRISTINA MORALES MARTÍNEZ</w:t>
      </w:r>
      <w:r>
        <w:rPr>
          <w:rFonts w:ascii="Palatino Linotype" w:eastAsia="Palatino Linotype" w:hAnsi="Palatino Linotype" w:cs="Palatino Linotype"/>
        </w:rPr>
        <w:t>; LUIS GUSTAVO PARRA NORIEGA Y GUAD</w:t>
      </w:r>
      <w:r w:rsidR="00E52787">
        <w:rPr>
          <w:rFonts w:ascii="Palatino Linotype" w:eastAsia="Palatino Linotype" w:hAnsi="Palatino Linotype" w:cs="Palatino Linotype"/>
        </w:rPr>
        <w:t>ALUPE RAMÍREZ PEÑA; EN LA DÉCIMA</w:t>
      </w:r>
      <w:r w:rsidR="00ED13AA">
        <w:rPr>
          <w:rFonts w:ascii="Palatino Linotype" w:eastAsia="Palatino Linotype" w:hAnsi="Palatino Linotype" w:cs="Palatino Linotype"/>
        </w:rPr>
        <w:t xml:space="preserve"> CUARTA</w:t>
      </w:r>
      <w:r>
        <w:rPr>
          <w:rFonts w:ascii="Palatino Linotype" w:eastAsia="Palatino Linotype" w:hAnsi="Palatino Linotype" w:cs="Palatino Linotype"/>
        </w:rPr>
        <w:t xml:space="preserve"> SE</w:t>
      </w:r>
      <w:r w:rsidR="00ED13AA">
        <w:rPr>
          <w:rFonts w:ascii="Palatino Linotype" w:eastAsia="Palatino Linotype" w:hAnsi="Palatino Linotype" w:cs="Palatino Linotype"/>
        </w:rPr>
        <w:t>SIÓN ORDINARIA CELEBRADA EL VEINTE DE ABRIL</w:t>
      </w:r>
      <w:r>
        <w:rPr>
          <w:rFonts w:ascii="Palatino Linotype" w:eastAsia="Palatino Linotype" w:hAnsi="Palatino Linotype" w:cs="Palatino Linotype"/>
        </w:rPr>
        <w:t xml:space="preserve"> DEL DOS MIL VEINTIDÓS, ANTE EL SECRETARIO TÉCNICO DEL PLENO, ALEXIS TAPIA RAMÍREZ.</w:t>
      </w:r>
    </w:p>
    <w:p w14:paraId="0F2BE1D8" w14:textId="77777777"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2183C43B" w14:textId="77777777"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570BDE14" w14:textId="77777777" w:rsidR="00913A86" w:rsidRDefault="00913A8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913A86">
      <w:headerReference w:type="first" r:id="rId28"/>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2529B9" w14:textId="77777777" w:rsidR="00C470CA" w:rsidRDefault="00C470CA">
      <w:r>
        <w:separator/>
      </w:r>
    </w:p>
  </w:endnote>
  <w:endnote w:type="continuationSeparator" w:id="0">
    <w:p w14:paraId="4B320684" w14:textId="77777777" w:rsidR="00C470CA" w:rsidRDefault="00C47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F6A383" w14:textId="77777777"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7E60">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7E60">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7AEBCC33" w14:textId="77777777" w:rsidR="00913A86" w:rsidRDefault="00913A86">
    <w:pPr>
      <w:pBdr>
        <w:top w:val="nil"/>
        <w:left w:val="nil"/>
        <w:bottom w:val="nil"/>
        <w:right w:val="nil"/>
        <w:between w:val="nil"/>
      </w:pBdr>
      <w:tabs>
        <w:tab w:val="center" w:pos="4252"/>
        <w:tab w:val="right" w:pos="8504"/>
      </w:tabs>
      <w:rPr>
        <w:color w:val="000000"/>
      </w:rPr>
    </w:pPr>
  </w:p>
  <w:p w14:paraId="4305CB38" w14:textId="77777777" w:rsidR="00913A86" w:rsidRDefault="00913A8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042FC" w14:textId="77777777" w:rsidR="00913A86" w:rsidRDefault="002F08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07E60">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07E60">
      <w:rPr>
        <w:rFonts w:ascii="Arial" w:eastAsia="Arial" w:hAnsi="Arial" w:cs="Arial"/>
        <w:b/>
        <w:noProof/>
        <w:color w:val="000000"/>
        <w:sz w:val="20"/>
        <w:szCs w:val="20"/>
      </w:rPr>
      <w:t>33</w:t>
    </w:r>
    <w:r>
      <w:rPr>
        <w:rFonts w:ascii="Arial" w:eastAsia="Arial" w:hAnsi="Arial" w:cs="Arial"/>
        <w:b/>
        <w:color w:val="000000"/>
        <w:sz w:val="20"/>
        <w:szCs w:val="20"/>
      </w:rPr>
      <w:fldChar w:fldCharType="end"/>
    </w:r>
  </w:p>
  <w:p w14:paraId="48A6AE64" w14:textId="77777777"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0E757" w14:textId="77777777" w:rsidR="00C470CA" w:rsidRDefault="00C470CA">
      <w:r>
        <w:separator/>
      </w:r>
    </w:p>
  </w:footnote>
  <w:footnote w:type="continuationSeparator" w:id="0">
    <w:p w14:paraId="561E2F1E" w14:textId="77777777" w:rsidR="00C470CA" w:rsidRDefault="00C470CA">
      <w:r>
        <w:continuationSeparator/>
      </w:r>
    </w:p>
  </w:footnote>
  <w:footnote w:id="1">
    <w:p w14:paraId="701AD87B" w14:textId="77777777" w:rsidR="00ED13AA" w:rsidRDefault="00ED13AA">
      <w:pPr>
        <w:pStyle w:val="Textonotapie"/>
      </w:pPr>
      <w:r>
        <w:rPr>
          <w:rStyle w:val="Refdenotaalpie"/>
        </w:rPr>
        <w:footnoteRef/>
      </w:r>
      <w:r>
        <w:t xml:space="preserve"> </w:t>
      </w:r>
      <w:r w:rsidRPr="00ED13AA">
        <w:rPr>
          <w:rFonts w:ascii="Palatino Linotype" w:hAnsi="Palatino Linotype"/>
          <w:sz w:val="18"/>
        </w:rPr>
        <w:t>Consultable en: https://www.gob.mx/sesnsp/acciones-y-programas/incidencia-delictiva-87005#:~:text=La%20incidencia%20delictiva%20se%20refiere,de%20la%20Rep%C3%BAblica%20en%20el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817" w14:textId="77777777" w:rsidR="00913A86" w:rsidRDefault="00913A86">
    <w:pPr>
      <w:widowControl w:val="0"/>
      <w:pBdr>
        <w:top w:val="nil"/>
        <w:left w:val="nil"/>
        <w:bottom w:val="nil"/>
        <w:right w:val="nil"/>
        <w:between w:val="nil"/>
      </w:pBdr>
      <w:spacing w:line="276" w:lineRule="auto"/>
      <w:rPr>
        <w:rFonts w:ascii="Cambria" w:eastAsia="Cambria" w:hAnsi="Cambria" w:cs="Cambria"/>
        <w:color w:val="000000"/>
      </w:rPr>
    </w:pPr>
  </w:p>
  <w:tbl>
    <w:tblPr>
      <w:tblStyle w:val="a1"/>
      <w:tblW w:w="6240" w:type="dxa"/>
      <w:tblInd w:w="3746" w:type="dxa"/>
      <w:tblLayout w:type="fixed"/>
      <w:tblLook w:val="0400" w:firstRow="0" w:lastRow="0" w:firstColumn="0" w:lastColumn="0" w:noHBand="0" w:noVBand="1"/>
    </w:tblPr>
    <w:tblGrid>
      <w:gridCol w:w="2553"/>
      <w:gridCol w:w="3687"/>
    </w:tblGrid>
    <w:tr w:rsidR="00913A86" w14:paraId="006D1B16" w14:textId="77777777">
      <w:tc>
        <w:tcPr>
          <w:tcW w:w="2553" w:type="dxa"/>
          <w:vAlign w:val="center"/>
        </w:tcPr>
        <w:p w14:paraId="5C79F979" w14:textId="77777777"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E647F1B" w14:textId="77777777" w:rsidR="00913A86" w:rsidRDefault="004B13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01074/INFOEM/IP/RR/2022</w:t>
          </w:r>
        </w:p>
      </w:tc>
    </w:tr>
    <w:tr w:rsidR="00913A86" w14:paraId="1B373457" w14:textId="77777777">
      <w:trPr>
        <w:trHeight w:val="228"/>
      </w:trPr>
      <w:tc>
        <w:tcPr>
          <w:tcW w:w="2553" w:type="dxa"/>
          <w:vAlign w:val="center"/>
        </w:tcPr>
        <w:p w14:paraId="74B4BA29" w14:textId="77777777"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5456A650" w14:textId="77777777" w:rsidR="00913A86" w:rsidRDefault="004B1308">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913A86" w14:paraId="58E2F5E1" w14:textId="77777777">
      <w:tc>
        <w:tcPr>
          <w:tcW w:w="2553" w:type="dxa"/>
          <w:vAlign w:val="center"/>
        </w:tcPr>
        <w:p w14:paraId="2FDFA8F3" w14:textId="77777777"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26146B9" w14:textId="77777777"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5FFAE4E" w14:textId="77777777" w:rsidR="00913A86" w:rsidRDefault="002F08A5">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r>
      <w:rPr>
        <w:noProof/>
        <w:lang w:val="es-MX"/>
      </w:rPr>
      <w:drawing>
        <wp:anchor distT="0" distB="0" distL="0" distR="0" simplePos="0" relativeHeight="251658240" behindDoc="1" locked="0" layoutInCell="1" hidden="0" allowOverlap="1" wp14:anchorId="31B01A39" wp14:editId="4BEAD51F">
          <wp:simplePos x="0" y="0"/>
          <wp:positionH relativeFrom="column">
            <wp:posOffset>-1080134</wp:posOffset>
          </wp:positionH>
          <wp:positionV relativeFrom="paragraph">
            <wp:posOffset>-1012188</wp:posOffset>
          </wp:positionV>
          <wp:extent cx="7635600" cy="9943200"/>
          <wp:effectExtent l="0" t="0" r="0" b="0"/>
          <wp:wrapNone/>
          <wp:docPr id="5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p w14:paraId="0CCE9997" w14:textId="77777777" w:rsidR="00913A86" w:rsidRDefault="00913A86">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CB742" w14:textId="77777777"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0AFEECFE" wp14:editId="70D680DF">
          <wp:simplePos x="0" y="0"/>
          <wp:positionH relativeFrom="column">
            <wp:posOffset>-1080134</wp:posOffset>
          </wp:positionH>
          <wp:positionV relativeFrom="paragraph">
            <wp:posOffset>-343534</wp:posOffset>
          </wp:positionV>
          <wp:extent cx="7635600" cy="9943200"/>
          <wp:effectExtent l="0" t="0" r="0" b="0"/>
          <wp:wrapNone/>
          <wp:docPr id="5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685" w:type="dxa"/>
      <w:tblLayout w:type="fixed"/>
      <w:tblLook w:val="0400" w:firstRow="0" w:lastRow="0" w:firstColumn="0" w:lastColumn="0" w:noHBand="0" w:noVBand="1"/>
    </w:tblPr>
    <w:tblGrid>
      <w:gridCol w:w="2553"/>
      <w:gridCol w:w="3687"/>
    </w:tblGrid>
    <w:tr w:rsidR="00913A86" w14:paraId="3BE30458" w14:textId="77777777">
      <w:tc>
        <w:tcPr>
          <w:tcW w:w="2553" w:type="dxa"/>
          <w:vAlign w:val="center"/>
        </w:tcPr>
        <w:p w14:paraId="7DFF5D87" w14:textId="77777777"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48B3FC4D" w14:textId="77777777" w:rsidR="00913A86" w:rsidRDefault="004B13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01074/INFOEM/IP/RR/2022</w:t>
          </w:r>
        </w:p>
      </w:tc>
    </w:tr>
    <w:tr w:rsidR="00913A86" w14:paraId="3D144239" w14:textId="77777777">
      <w:tc>
        <w:tcPr>
          <w:tcW w:w="2553" w:type="dxa"/>
          <w:vAlign w:val="center"/>
        </w:tcPr>
        <w:p w14:paraId="0F2A6CCD" w14:textId="77777777"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99CBD3A" w14:textId="597CCB79" w:rsidR="00913A86" w:rsidRDefault="00107E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w:t>
          </w:r>
        </w:p>
      </w:tc>
    </w:tr>
    <w:tr w:rsidR="00913A86" w14:paraId="7B1B1DE0" w14:textId="77777777">
      <w:trPr>
        <w:trHeight w:val="228"/>
      </w:trPr>
      <w:tc>
        <w:tcPr>
          <w:tcW w:w="2553" w:type="dxa"/>
          <w:vAlign w:val="center"/>
        </w:tcPr>
        <w:p w14:paraId="4D3D4A9D" w14:textId="77777777"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436454EF" w14:textId="77777777" w:rsidR="00913A86" w:rsidRDefault="004B1308">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Seguridad</w:t>
          </w:r>
        </w:p>
      </w:tc>
    </w:tr>
    <w:tr w:rsidR="00913A86" w14:paraId="0587873F" w14:textId="77777777">
      <w:tc>
        <w:tcPr>
          <w:tcW w:w="2553" w:type="dxa"/>
          <w:vAlign w:val="center"/>
        </w:tcPr>
        <w:p w14:paraId="5A561E66" w14:textId="77777777" w:rsidR="00913A86" w:rsidRDefault="002F08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34D90AFE" w14:textId="77777777" w:rsidR="00913A86" w:rsidRDefault="002F08A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B5C2E9D" w14:textId="77777777"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37D09" w14:textId="77777777" w:rsidR="00913A86" w:rsidRDefault="002F08A5">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46D0B6C8" w14:textId="77777777" w:rsidR="00913A86" w:rsidRDefault="00913A8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F3628"/>
    <w:multiLevelType w:val="multilevel"/>
    <w:tmpl w:val="B0E6FE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64D5E81"/>
    <w:multiLevelType w:val="multilevel"/>
    <w:tmpl w:val="AA5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2FA50276"/>
    <w:multiLevelType w:val="multilevel"/>
    <w:tmpl w:val="0F208FEC"/>
    <w:lvl w:ilvl="0">
      <w:start w:val="1"/>
      <w:numFmt w:val="upperRoman"/>
      <w:lvlText w:val="%1."/>
      <w:lvlJc w:val="left"/>
      <w:pPr>
        <w:ind w:left="1347" w:hanging="720"/>
      </w:pPr>
    </w:lvl>
    <w:lvl w:ilvl="1">
      <w:start w:val="1"/>
      <w:numFmt w:val="lowerLetter"/>
      <w:lvlText w:val="%2."/>
      <w:lvlJc w:val="left"/>
      <w:pPr>
        <w:ind w:left="1707" w:hanging="360"/>
      </w:pPr>
    </w:lvl>
    <w:lvl w:ilvl="2">
      <w:start w:val="1"/>
      <w:numFmt w:val="lowerRoman"/>
      <w:lvlText w:val="%3."/>
      <w:lvlJc w:val="right"/>
      <w:pPr>
        <w:ind w:left="2427" w:hanging="180"/>
      </w:p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3">
    <w:nsid w:val="37561106"/>
    <w:multiLevelType w:val="multilevel"/>
    <w:tmpl w:val="73EA377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32B007A"/>
    <w:multiLevelType w:val="multilevel"/>
    <w:tmpl w:val="002E210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5">
    <w:nsid w:val="52AE27CD"/>
    <w:multiLevelType w:val="multilevel"/>
    <w:tmpl w:val="3F922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DCF5196"/>
    <w:multiLevelType w:val="multilevel"/>
    <w:tmpl w:val="573C27C8"/>
    <w:lvl w:ilvl="0">
      <w:start w:val="7"/>
      <w:numFmt w:val="bullet"/>
      <w:lvlText w:val="-"/>
      <w:lvlJc w:val="left"/>
      <w:pPr>
        <w:ind w:left="786" w:hanging="360"/>
      </w:pPr>
      <w:rPr>
        <w:rFonts w:ascii="Palatino Linotype" w:eastAsia="Palatino Linotype" w:hAnsi="Palatino Linotype" w:cs="Palatino Linotype"/>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num w:numId="1">
    <w:abstractNumId w:val="2"/>
  </w:num>
  <w:num w:numId="2">
    <w:abstractNumId w:val="6"/>
  </w:num>
  <w:num w:numId="3">
    <w:abstractNumId w:val="3"/>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A86"/>
    <w:rsid w:val="0006552A"/>
    <w:rsid w:val="00107E60"/>
    <w:rsid w:val="00151282"/>
    <w:rsid w:val="0018385E"/>
    <w:rsid w:val="0023050A"/>
    <w:rsid w:val="00243757"/>
    <w:rsid w:val="00296B89"/>
    <w:rsid w:val="002F08A5"/>
    <w:rsid w:val="00317824"/>
    <w:rsid w:val="00320E40"/>
    <w:rsid w:val="0033050B"/>
    <w:rsid w:val="003610B6"/>
    <w:rsid w:val="00364BD3"/>
    <w:rsid w:val="004B1308"/>
    <w:rsid w:val="005F53B5"/>
    <w:rsid w:val="0063420E"/>
    <w:rsid w:val="0067517E"/>
    <w:rsid w:val="00736CD9"/>
    <w:rsid w:val="00764B98"/>
    <w:rsid w:val="007764DD"/>
    <w:rsid w:val="007B7757"/>
    <w:rsid w:val="00882A69"/>
    <w:rsid w:val="008B577D"/>
    <w:rsid w:val="00913A86"/>
    <w:rsid w:val="00987CC9"/>
    <w:rsid w:val="00992FC0"/>
    <w:rsid w:val="00995E05"/>
    <w:rsid w:val="00A70D32"/>
    <w:rsid w:val="00A84F9E"/>
    <w:rsid w:val="00B064B9"/>
    <w:rsid w:val="00B97CCE"/>
    <w:rsid w:val="00BA3057"/>
    <w:rsid w:val="00C34BBD"/>
    <w:rsid w:val="00C470CA"/>
    <w:rsid w:val="00C7545C"/>
    <w:rsid w:val="00C92539"/>
    <w:rsid w:val="00D37D06"/>
    <w:rsid w:val="00DB23D8"/>
    <w:rsid w:val="00E52787"/>
    <w:rsid w:val="00E62ECF"/>
    <w:rsid w:val="00ED13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EC2BF"/>
  <w15:docId w15:val="{55F2B0CD-0B2C-4C6F-921A-3238812A3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104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about:blank"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9tbJ5PchrOqA0/GN9coKAblzQ==">AMUW2mUrx321AFuJXeWl7ULZLK49KGitAsQAjQhST0vvMSD1Wd9HHDpUhDqE6+2GT46Aujt7xH4dk6TIVRjd6fJjw+46LC1qMDuBm4SjrWHn8ctUWD1JMuUYsVVrpUZUoG3taklwuwJA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1986EC-AE0F-4CDA-A1A0-04EAC6F22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5330</Words>
  <Characters>29316</Characters>
  <Application>Microsoft Office Word</Application>
  <DocSecurity>0</DocSecurity>
  <Lines>244</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2022-04-24T16:52:00Z</cp:lastPrinted>
  <dcterms:created xsi:type="dcterms:W3CDTF">2022-05-09T20:05:00Z</dcterms:created>
  <dcterms:modified xsi:type="dcterms:W3CDTF">2022-05-09T20:05:00Z</dcterms:modified>
</cp:coreProperties>
</file>