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E79" w:rsidRDefault="00E66E79">
      <w:pPr>
        <w:widowControl w:val="0"/>
        <w:pBdr>
          <w:top w:val="nil"/>
          <w:left w:val="nil"/>
          <w:bottom w:val="nil"/>
          <w:right w:val="nil"/>
          <w:between w:val="nil"/>
        </w:pBdr>
        <w:spacing w:line="276" w:lineRule="auto"/>
      </w:pPr>
    </w:p>
    <w:p w:rsidR="00E66E79" w:rsidRPr="007521C5" w:rsidRDefault="003F333B">
      <w:pPr>
        <w:spacing w:line="360" w:lineRule="auto"/>
        <w:jc w:val="both"/>
        <w:rPr>
          <w:rFonts w:ascii="Palatino Linotype" w:eastAsia="Palatino Linotype" w:hAnsi="Palatino Linotype" w:cs="Palatino Linotype"/>
          <w:color w:val="000000"/>
        </w:rPr>
      </w:pPr>
      <w:r w:rsidRPr="007521C5">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celebrada el veintinueve de junio de dos mil veintidós. </w:t>
      </w:r>
    </w:p>
    <w:p w:rsidR="00E66E79" w:rsidRPr="007521C5" w:rsidRDefault="00E66E79">
      <w:pPr>
        <w:spacing w:line="360" w:lineRule="auto"/>
        <w:jc w:val="both"/>
        <w:rPr>
          <w:rFonts w:ascii="Palatino Linotype" w:eastAsia="Palatino Linotype" w:hAnsi="Palatino Linotype" w:cs="Palatino Linotype"/>
        </w:rPr>
      </w:pPr>
    </w:p>
    <w:p w:rsidR="00E66E79" w:rsidRPr="007521C5" w:rsidRDefault="003F333B">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b/>
          <w:sz w:val="28"/>
          <w:szCs w:val="28"/>
        </w:rPr>
        <w:t>VISTO</w:t>
      </w:r>
      <w:r w:rsidRPr="007521C5">
        <w:rPr>
          <w:rFonts w:ascii="Palatino Linotype" w:eastAsia="Palatino Linotype" w:hAnsi="Palatino Linotype" w:cs="Palatino Linotype"/>
        </w:rPr>
        <w:t xml:space="preserve"> el expediente formado con motivo del Recurso de Revisión </w:t>
      </w:r>
      <w:r w:rsidRPr="007521C5">
        <w:rPr>
          <w:rFonts w:ascii="Palatino Linotype" w:eastAsia="Palatino Linotype" w:hAnsi="Palatino Linotype" w:cs="Palatino Linotype"/>
          <w:b/>
        </w:rPr>
        <w:t>06102/INFOEM/IP/RR/2022</w:t>
      </w:r>
      <w:r w:rsidRPr="007521C5">
        <w:rPr>
          <w:rFonts w:ascii="Palatino Linotype" w:eastAsia="Palatino Linotype" w:hAnsi="Palatino Linotype" w:cs="Palatino Linotype"/>
        </w:rPr>
        <w:t xml:space="preserve">, promovido por el </w:t>
      </w:r>
      <w:r w:rsidR="00EC237C">
        <w:rPr>
          <w:rFonts w:ascii="Palatino Linotype" w:eastAsia="Palatino Linotype" w:hAnsi="Palatino Linotype" w:cs="Palatino Linotype"/>
          <w:b/>
        </w:rPr>
        <w:t>XXXXXXXXXXXXXXXXXXXXXXXXX</w:t>
      </w:r>
      <w:r w:rsidRPr="007521C5">
        <w:rPr>
          <w:rFonts w:ascii="Palatino Linotype" w:eastAsia="Palatino Linotype" w:hAnsi="Palatino Linotype" w:cs="Palatino Linotype"/>
        </w:rPr>
        <w:t xml:space="preserve">, a quien en lo sucesivo se le denominará </w:t>
      </w:r>
      <w:r w:rsidRPr="007521C5">
        <w:rPr>
          <w:rFonts w:ascii="Palatino Linotype" w:eastAsia="Palatino Linotype" w:hAnsi="Palatino Linotype" w:cs="Palatino Linotype"/>
          <w:b/>
        </w:rPr>
        <w:t>EL RECURRENTE,</w:t>
      </w:r>
      <w:r w:rsidRPr="007521C5">
        <w:rPr>
          <w:rFonts w:ascii="Palatino Linotype" w:eastAsia="Palatino Linotype" w:hAnsi="Palatino Linotype" w:cs="Palatino Linotype"/>
        </w:rPr>
        <w:t xml:space="preserve"> en contra de la respuesta de la </w:t>
      </w:r>
      <w:r w:rsidRPr="007521C5">
        <w:rPr>
          <w:rFonts w:ascii="Palatino Linotype" w:eastAsia="Palatino Linotype" w:hAnsi="Palatino Linotype" w:cs="Palatino Linotype"/>
          <w:b/>
        </w:rPr>
        <w:t xml:space="preserve">Secretaría de Desarrollo Urbano y Obra, </w:t>
      </w:r>
      <w:r w:rsidRPr="007521C5">
        <w:rPr>
          <w:rFonts w:ascii="Palatino Linotype" w:eastAsia="Palatino Linotype" w:hAnsi="Palatino Linotype" w:cs="Palatino Linotype"/>
        </w:rPr>
        <w:t>que</w:t>
      </w:r>
      <w:r w:rsidRPr="007521C5">
        <w:rPr>
          <w:rFonts w:ascii="Palatino Linotype" w:eastAsia="Palatino Linotype" w:hAnsi="Palatino Linotype" w:cs="Palatino Linotype"/>
          <w:b/>
        </w:rPr>
        <w:t xml:space="preserve"> </w:t>
      </w:r>
      <w:r w:rsidRPr="007521C5">
        <w:rPr>
          <w:rFonts w:ascii="Palatino Linotype" w:eastAsia="Palatino Linotype" w:hAnsi="Palatino Linotype" w:cs="Palatino Linotype"/>
        </w:rPr>
        <w:t xml:space="preserve">en lo subsecuente se le denominará </w:t>
      </w:r>
      <w:r w:rsidRPr="007521C5">
        <w:rPr>
          <w:rFonts w:ascii="Palatino Linotype" w:eastAsia="Palatino Linotype" w:hAnsi="Palatino Linotype" w:cs="Palatino Linotype"/>
          <w:b/>
        </w:rPr>
        <w:t xml:space="preserve">EL SUJETO OBLIGADO, </w:t>
      </w:r>
      <w:r w:rsidRPr="007521C5">
        <w:rPr>
          <w:rFonts w:ascii="Palatino Linotype" w:eastAsia="Palatino Linotype" w:hAnsi="Palatino Linotype" w:cs="Palatino Linotype"/>
        </w:rPr>
        <w:t xml:space="preserve">se procede a dictar la presente resolución con base en lo siguiente: </w:t>
      </w:r>
    </w:p>
    <w:p w:rsidR="00E66E79" w:rsidRPr="007521C5" w:rsidRDefault="00E66E79">
      <w:pPr>
        <w:spacing w:line="276" w:lineRule="auto"/>
        <w:jc w:val="both"/>
        <w:rPr>
          <w:rFonts w:ascii="Palatino Linotype" w:eastAsia="Palatino Linotype" w:hAnsi="Palatino Linotype" w:cs="Palatino Linotype"/>
          <w:b/>
          <w:sz w:val="28"/>
          <w:szCs w:val="28"/>
        </w:rPr>
      </w:pPr>
    </w:p>
    <w:p w:rsidR="00E66E79" w:rsidRPr="007521C5" w:rsidRDefault="003F333B">
      <w:pPr>
        <w:spacing w:line="276" w:lineRule="auto"/>
        <w:jc w:val="center"/>
        <w:rPr>
          <w:rFonts w:ascii="Palatino Linotype" w:eastAsia="Palatino Linotype" w:hAnsi="Palatino Linotype" w:cs="Palatino Linotype"/>
          <w:b/>
          <w:sz w:val="28"/>
          <w:szCs w:val="28"/>
        </w:rPr>
      </w:pPr>
      <w:r w:rsidRPr="007521C5">
        <w:rPr>
          <w:rFonts w:ascii="Palatino Linotype" w:eastAsia="Palatino Linotype" w:hAnsi="Palatino Linotype" w:cs="Palatino Linotype"/>
          <w:b/>
          <w:sz w:val="28"/>
          <w:szCs w:val="28"/>
        </w:rPr>
        <w:t xml:space="preserve">ANTECEDENTES  </w:t>
      </w:r>
    </w:p>
    <w:p w:rsidR="00E66E79" w:rsidRPr="007521C5" w:rsidRDefault="00E66E79">
      <w:pPr>
        <w:spacing w:line="276" w:lineRule="auto"/>
        <w:jc w:val="both"/>
        <w:rPr>
          <w:rFonts w:ascii="Palatino Linotype" w:eastAsia="Palatino Linotype" w:hAnsi="Palatino Linotype" w:cs="Palatino Linotype"/>
          <w:b/>
          <w:sz w:val="28"/>
          <w:szCs w:val="28"/>
        </w:rPr>
      </w:pPr>
    </w:p>
    <w:p w:rsidR="00E66E79" w:rsidRPr="007521C5" w:rsidRDefault="003F333B">
      <w:pPr>
        <w:spacing w:line="360" w:lineRule="auto"/>
        <w:jc w:val="both"/>
        <w:rPr>
          <w:rFonts w:ascii="Palatino Linotype" w:eastAsia="Palatino Linotype" w:hAnsi="Palatino Linotype" w:cs="Palatino Linotype"/>
          <w:b/>
          <w:sz w:val="26"/>
          <w:szCs w:val="26"/>
        </w:rPr>
      </w:pPr>
      <w:r w:rsidRPr="007521C5">
        <w:rPr>
          <w:rFonts w:ascii="Palatino Linotype" w:eastAsia="Palatino Linotype" w:hAnsi="Palatino Linotype" w:cs="Palatino Linotype"/>
          <w:b/>
          <w:sz w:val="26"/>
          <w:szCs w:val="26"/>
        </w:rPr>
        <w:t>I. De la Solicitud de Información</w:t>
      </w:r>
    </w:p>
    <w:p w:rsidR="00E66E79" w:rsidRPr="007521C5" w:rsidRDefault="003F333B">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 xml:space="preserve">El </w:t>
      </w:r>
      <w:r w:rsidRPr="007521C5">
        <w:rPr>
          <w:rFonts w:ascii="Palatino Linotype" w:eastAsia="Palatino Linotype" w:hAnsi="Palatino Linotype" w:cs="Palatino Linotype"/>
          <w:b/>
        </w:rPr>
        <w:t>diez de marzo de dos mil veintidós</w:t>
      </w:r>
      <w:r w:rsidRPr="007521C5">
        <w:rPr>
          <w:rFonts w:ascii="Palatino Linotype" w:eastAsia="Palatino Linotype" w:hAnsi="Palatino Linotype" w:cs="Palatino Linotype"/>
        </w:rPr>
        <w:t xml:space="preserve">, </w:t>
      </w:r>
      <w:r w:rsidRPr="007521C5">
        <w:rPr>
          <w:rFonts w:ascii="Palatino Linotype" w:eastAsia="Palatino Linotype" w:hAnsi="Palatino Linotype" w:cs="Palatino Linotype"/>
          <w:b/>
        </w:rPr>
        <w:t>EL RECURRENTE</w:t>
      </w:r>
      <w:r w:rsidRPr="007521C5">
        <w:rPr>
          <w:rFonts w:ascii="Palatino Linotype" w:eastAsia="Palatino Linotype" w:hAnsi="Palatino Linotype" w:cs="Palatino Linotype"/>
        </w:rPr>
        <w:t xml:space="preserve"> presentó a través del Sistema de Acceso a la Información Mexiquense, que en lo subsecuente se le denominará el </w:t>
      </w:r>
      <w:r w:rsidRPr="007521C5">
        <w:rPr>
          <w:rFonts w:ascii="Palatino Linotype" w:eastAsia="Palatino Linotype" w:hAnsi="Palatino Linotype" w:cs="Palatino Linotype"/>
          <w:b/>
        </w:rPr>
        <w:t>SAIMEX,</w:t>
      </w:r>
      <w:r w:rsidRPr="007521C5">
        <w:rPr>
          <w:rFonts w:ascii="Palatino Linotype" w:eastAsia="Palatino Linotype" w:hAnsi="Palatino Linotype" w:cs="Palatino Linotype"/>
        </w:rPr>
        <w:t xml:space="preserve"> ante </w:t>
      </w:r>
      <w:r w:rsidRPr="007521C5">
        <w:rPr>
          <w:rFonts w:ascii="Palatino Linotype" w:eastAsia="Palatino Linotype" w:hAnsi="Palatino Linotype" w:cs="Palatino Linotype"/>
          <w:b/>
        </w:rPr>
        <w:t>EL SUJETO OBLIGADO</w:t>
      </w:r>
      <w:r w:rsidRPr="007521C5">
        <w:rPr>
          <w:rFonts w:ascii="Palatino Linotype" w:eastAsia="Palatino Linotype" w:hAnsi="Palatino Linotype" w:cs="Palatino Linotype"/>
        </w:rPr>
        <w:t xml:space="preserve">, la solicitud de Acceso a la Información Pública, la cual fue registrada en </w:t>
      </w:r>
      <w:r w:rsidRPr="007521C5">
        <w:rPr>
          <w:rFonts w:ascii="Palatino Linotype" w:eastAsia="Palatino Linotype" w:hAnsi="Palatino Linotype" w:cs="Palatino Linotype"/>
          <w:b/>
        </w:rPr>
        <w:t>EL SAIMEX</w:t>
      </w:r>
      <w:r w:rsidRPr="007521C5">
        <w:rPr>
          <w:rFonts w:ascii="Palatino Linotype" w:eastAsia="Palatino Linotype" w:hAnsi="Palatino Linotype" w:cs="Palatino Linotype"/>
        </w:rPr>
        <w:t xml:space="preserve"> y se le asignó el número de expediente </w:t>
      </w:r>
      <w:r w:rsidRPr="007521C5">
        <w:rPr>
          <w:rFonts w:ascii="Palatino Linotype" w:eastAsia="Palatino Linotype" w:hAnsi="Palatino Linotype" w:cs="Palatino Linotype"/>
          <w:b/>
        </w:rPr>
        <w:t>00095/SEDUO/IP/2022,</w:t>
      </w:r>
      <w:r w:rsidRPr="007521C5">
        <w:rPr>
          <w:rFonts w:ascii="Palatino Linotype" w:eastAsia="Palatino Linotype" w:hAnsi="Palatino Linotype" w:cs="Palatino Linotype"/>
        </w:rPr>
        <w:t xml:space="preserve"> mediante el cual requirió, lo siguiente:</w:t>
      </w:r>
    </w:p>
    <w:p w:rsidR="00E66E79" w:rsidRPr="007521C5" w:rsidRDefault="00E66E79">
      <w:pPr>
        <w:spacing w:line="360" w:lineRule="auto"/>
        <w:jc w:val="both"/>
        <w:rPr>
          <w:rFonts w:ascii="Palatino Linotype" w:eastAsia="Palatino Linotype" w:hAnsi="Palatino Linotype" w:cs="Palatino Linotype"/>
        </w:rPr>
      </w:pPr>
    </w:p>
    <w:p w:rsidR="00E66E79" w:rsidRPr="007521C5" w:rsidRDefault="003F333B">
      <w:pPr>
        <w:tabs>
          <w:tab w:val="left" w:pos="851"/>
        </w:tabs>
        <w:ind w:left="992" w:right="901" w:hanging="142"/>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 xml:space="preserve">“Conforme a la ley aplicable en el Estado de </w:t>
      </w:r>
      <w:proofErr w:type="spellStart"/>
      <w:r w:rsidRPr="007521C5">
        <w:rPr>
          <w:rFonts w:ascii="Palatino Linotype" w:eastAsia="Palatino Linotype" w:hAnsi="Palatino Linotype" w:cs="Palatino Linotype"/>
          <w:i/>
          <w:sz w:val="22"/>
          <w:szCs w:val="22"/>
        </w:rPr>
        <w:t>Mexico</w:t>
      </w:r>
      <w:proofErr w:type="spellEnd"/>
      <w:r w:rsidRPr="007521C5">
        <w:rPr>
          <w:rFonts w:ascii="Palatino Linotype" w:eastAsia="Palatino Linotype" w:hAnsi="Palatino Linotype" w:cs="Palatino Linotype"/>
          <w:i/>
          <w:sz w:val="22"/>
          <w:szCs w:val="22"/>
        </w:rPr>
        <w:t xml:space="preserve">: </w:t>
      </w:r>
      <w:r w:rsidRPr="007521C5">
        <w:rPr>
          <w:rFonts w:ascii="Palatino Linotype" w:eastAsia="Palatino Linotype" w:hAnsi="Palatino Linotype" w:cs="Palatino Linotype"/>
          <w:b/>
          <w:i/>
          <w:sz w:val="22"/>
          <w:szCs w:val="22"/>
        </w:rPr>
        <w:t xml:space="preserve">Cual es la manifestación de construcción correspondiente por parte de la autoridad, para llevar acabo la edificación y enajenación de espacios privativos en un condominio </w:t>
      </w:r>
      <w:r w:rsidRPr="007521C5">
        <w:rPr>
          <w:rFonts w:ascii="Palatino Linotype" w:eastAsia="Palatino Linotype" w:hAnsi="Palatino Linotype" w:cs="Palatino Linotype"/>
          <w:b/>
          <w:i/>
          <w:sz w:val="22"/>
          <w:szCs w:val="22"/>
        </w:rPr>
        <w:lastRenderedPageBreak/>
        <w:t>comercial vertical de mas de 10,000 m2 de construcción en Huixquilucan Estado de México</w:t>
      </w:r>
      <w:r w:rsidRPr="007521C5">
        <w:rPr>
          <w:rFonts w:ascii="Palatino Linotype" w:eastAsia="Palatino Linotype" w:hAnsi="Palatino Linotype" w:cs="Palatino Linotype"/>
          <w:i/>
          <w:sz w:val="22"/>
          <w:szCs w:val="22"/>
        </w:rPr>
        <w:t xml:space="preserve">. </w:t>
      </w:r>
      <w:r w:rsidRPr="007521C5">
        <w:rPr>
          <w:rFonts w:ascii="Palatino Linotype" w:eastAsia="Palatino Linotype" w:hAnsi="Palatino Linotype" w:cs="Palatino Linotype"/>
          <w:i/>
          <w:sz w:val="22"/>
          <w:szCs w:val="22"/>
          <w:u w:val="single"/>
        </w:rPr>
        <w:t xml:space="preserve">Que tramites se deben realizar para la edificación de espacios privativos con sus respectivas </w:t>
      </w:r>
      <w:proofErr w:type="spellStart"/>
      <w:r w:rsidRPr="007521C5">
        <w:rPr>
          <w:rFonts w:ascii="Palatino Linotype" w:eastAsia="Palatino Linotype" w:hAnsi="Palatino Linotype" w:cs="Palatino Linotype"/>
          <w:i/>
          <w:sz w:val="22"/>
          <w:szCs w:val="22"/>
          <w:u w:val="single"/>
        </w:rPr>
        <w:t>areas</w:t>
      </w:r>
      <w:proofErr w:type="spellEnd"/>
      <w:r w:rsidRPr="007521C5">
        <w:rPr>
          <w:rFonts w:ascii="Palatino Linotype" w:eastAsia="Palatino Linotype" w:hAnsi="Palatino Linotype" w:cs="Palatino Linotype"/>
          <w:i/>
          <w:sz w:val="22"/>
          <w:szCs w:val="22"/>
          <w:u w:val="single"/>
        </w:rPr>
        <w:t xml:space="preserve"> comunes en un edificio comercial de mas de 10,000 m2</w:t>
      </w:r>
      <w:r w:rsidRPr="007521C5">
        <w:rPr>
          <w:rFonts w:ascii="Palatino Linotype" w:eastAsia="Palatino Linotype" w:hAnsi="Palatino Linotype" w:cs="Palatino Linotype"/>
          <w:i/>
          <w:sz w:val="22"/>
          <w:szCs w:val="22"/>
        </w:rPr>
        <w:t xml:space="preserve"> </w:t>
      </w:r>
      <w:r w:rsidRPr="007521C5">
        <w:rPr>
          <w:rFonts w:ascii="Palatino Linotype" w:eastAsia="Palatino Linotype" w:hAnsi="Palatino Linotype" w:cs="Palatino Linotype"/>
          <w:b/>
          <w:sz w:val="22"/>
          <w:szCs w:val="22"/>
          <w:u w:val="single"/>
        </w:rPr>
        <w:t xml:space="preserve">Cual </w:t>
      </w:r>
      <w:proofErr w:type="spellStart"/>
      <w:r w:rsidRPr="007521C5">
        <w:rPr>
          <w:rFonts w:ascii="Palatino Linotype" w:eastAsia="Palatino Linotype" w:hAnsi="Palatino Linotype" w:cs="Palatino Linotype"/>
          <w:b/>
          <w:sz w:val="22"/>
          <w:szCs w:val="22"/>
          <w:u w:val="single"/>
        </w:rPr>
        <w:t>seria</w:t>
      </w:r>
      <w:proofErr w:type="spellEnd"/>
      <w:r w:rsidRPr="007521C5">
        <w:rPr>
          <w:rFonts w:ascii="Palatino Linotype" w:eastAsia="Palatino Linotype" w:hAnsi="Palatino Linotype" w:cs="Palatino Linotype"/>
          <w:b/>
          <w:sz w:val="22"/>
          <w:szCs w:val="22"/>
          <w:u w:val="single"/>
        </w:rPr>
        <w:t xml:space="preserve"> la consecuencia de vender o prometer vender espacios privativos a terceros con una licencia de construcción, sin contar con la autorización en condominio por parte de la autoridad en Huixquilucan Estado de México</w:t>
      </w:r>
      <w:r w:rsidRPr="007521C5">
        <w:rPr>
          <w:rFonts w:ascii="Palatino Linotype" w:eastAsia="Palatino Linotype" w:hAnsi="Palatino Linotype" w:cs="Palatino Linotype"/>
          <w:i/>
          <w:sz w:val="22"/>
          <w:szCs w:val="22"/>
        </w:rPr>
        <w:t xml:space="preserve">. </w:t>
      </w:r>
      <w:r w:rsidRPr="007521C5">
        <w:rPr>
          <w:rFonts w:ascii="Palatino Linotype" w:eastAsia="Palatino Linotype" w:hAnsi="Palatino Linotype" w:cs="Palatino Linotype"/>
          <w:color w:val="000000"/>
          <w:sz w:val="22"/>
          <w:szCs w:val="22"/>
        </w:rPr>
        <w:t>Cual es la diferencia entre una licencia de construcción de obra nueva para un edificio comercial y una licencia de construcción en condominio para un edificio comercial</w:t>
      </w:r>
      <w:r w:rsidRPr="007521C5">
        <w:rPr>
          <w:rFonts w:ascii="Palatino Linotype" w:eastAsia="Palatino Linotype" w:hAnsi="Palatino Linotype" w:cs="Palatino Linotype"/>
          <w:i/>
          <w:sz w:val="22"/>
          <w:szCs w:val="22"/>
        </w:rPr>
        <w:t>” (Sic) (Énfasis añadido)</w:t>
      </w:r>
    </w:p>
    <w:p w:rsidR="00E66E79" w:rsidRPr="007521C5" w:rsidRDefault="00E66E79">
      <w:pPr>
        <w:tabs>
          <w:tab w:val="left" w:pos="851"/>
        </w:tabs>
        <w:ind w:left="992" w:right="901" w:hanging="142"/>
        <w:jc w:val="both"/>
        <w:rPr>
          <w:rFonts w:ascii="Palatino Linotype" w:eastAsia="Palatino Linotype" w:hAnsi="Palatino Linotype" w:cs="Palatino Linotype"/>
          <w:i/>
          <w:sz w:val="22"/>
          <w:szCs w:val="22"/>
        </w:rPr>
      </w:pPr>
    </w:p>
    <w:p w:rsidR="00E66E79" w:rsidRPr="007521C5" w:rsidRDefault="003F333B">
      <w:pPr>
        <w:widowControl w:val="0"/>
        <w:spacing w:line="360" w:lineRule="auto"/>
        <w:jc w:val="both"/>
        <w:rPr>
          <w:rFonts w:ascii="Palatino Linotype" w:eastAsia="Palatino Linotype" w:hAnsi="Palatino Linotype" w:cs="Palatino Linotype"/>
          <w:b/>
        </w:rPr>
      </w:pPr>
      <w:r w:rsidRPr="007521C5">
        <w:rPr>
          <w:rFonts w:ascii="Palatino Linotype" w:eastAsia="Palatino Linotype" w:hAnsi="Palatino Linotype" w:cs="Palatino Linotype"/>
          <w:b/>
        </w:rPr>
        <w:t>MODALIDAD DE ENTREGA: SAIMEX</w:t>
      </w:r>
    </w:p>
    <w:p w:rsidR="00E66E79" w:rsidRPr="007521C5" w:rsidRDefault="00E66E79">
      <w:pPr>
        <w:widowControl w:val="0"/>
        <w:spacing w:line="360" w:lineRule="auto"/>
        <w:jc w:val="both"/>
        <w:rPr>
          <w:rFonts w:ascii="Palatino Linotype" w:eastAsia="Palatino Linotype" w:hAnsi="Palatino Linotype" w:cs="Palatino Linotype"/>
          <w:b/>
        </w:rPr>
      </w:pPr>
    </w:p>
    <w:p w:rsidR="00E66E79" w:rsidRPr="007521C5" w:rsidRDefault="003F333B">
      <w:pPr>
        <w:spacing w:line="360" w:lineRule="auto"/>
        <w:jc w:val="both"/>
        <w:rPr>
          <w:rFonts w:ascii="Palatino Linotype" w:eastAsia="Palatino Linotype" w:hAnsi="Palatino Linotype" w:cs="Palatino Linotype"/>
          <w:b/>
          <w:color w:val="000000"/>
          <w:sz w:val="26"/>
          <w:szCs w:val="26"/>
        </w:rPr>
      </w:pPr>
      <w:r w:rsidRPr="007521C5">
        <w:rPr>
          <w:rFonts w:ascii="Palatino Linotype" w:eastAsia="Palatino Linotype" w:hAnsi="Palatino Linotype" w:cs="Palatino Linotype"/>
          <w:b/>
          <w:sz w:val="26"/>
          <w:szCs w:val="26"/>
        </w:rPr>
        <w:t>II.</w:t>
      </w:r>
      <w:r w:rsidRPr="007521C5">
        <w:rPr>
          <w:rFonts w:ascii="Palatino Linotype" w:eastAsia="Palatino Linotype" w:hAnsi="Palatino Linotype" w:cs="Palatino Linotype"/>
          <w:sz w:val="26"/>
          <w:szCs w:val="26"/>
        </w:rPr>
        <w:t xml:space="preserve"> </w:t>
      </w:r>
      <w:r w:rsidRPr="007521C5">
        <w:rPr>
          <w:rFonts w:ascii="Palatino Linotype" w:eastAsia="Palatino Linotype" w:hAnsi="Palatino Linotype" w:cs="Palatino Linotype"/>
          <w:b/>
          <w:color w:val="000000"/>
          <w:sz w:val="26"/>
          <w:szCs w:val="26"/>
        </w:rPr>
        <w:t>Turno de la solicitud de información.</w:t>
      </w:r>
    </w:p>
    <w:p w:rsidR="00E66E79" w:rsidRPr="007521C5" w:rsidRDefault="003F333B">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 xml:space="preserve">En cumplimiento al artículo 162 de la Ley de Transparencia y Acceso a la Información Pública del Estado de México y Municipios, el </w:t>
      </w:r>
      <w:r w:rsidRPr="007521C5">
        <w:rPr>
          <w:rFonts w:ascii="Palatino Linotype" w:eastAsia="Palatino Linotype" w:hAnsi="Palatino Linotype" w:cs="Palatino Linotype"/>
          <w:b/>
        </w:rPr>
        <w:t>diecisiete de marzo de dos mil veintidós</w:t>
      </w:r>
      <w:r w:rsidRPr="007521C5">
        <w:rPr>
          <w:rFonts w:ascii="Palatino Linotype" w:eastAsia="Palatino Linotype" w:hAnsi="Palatino Linotype" w:cs="Palatino Linotype"/>
        </w:rPr>
        <w:t xml:space="preserve">, el Titular de la Unidad de Transparencia del </w:t>
      </w:r>
      <w:r w:rsidRPr="007521C5">
        <w:rPr>
          <w:rFonts w:ascii="Palatino Linotype" w:eastAsia="Palatino Linotype" w:hAnsi="Palatino Linotype" w:cs="Palatino Linotype"/>
          <w:b/>
        </w:rPr>
        <w:t>SUJETO OBLIGADO</w:t>
      </w:r>
      <w:r w:rsidRPr="007521C5">
        <w:rPr>
          <w:rFonts w:ascii="Palatino Linotype" w:eastAsia="Palatino Linotype" w:hAnsi="Palatino Linotype" w:cs="Palatino Linotype"/>
        </w:rPr>
        <w:t>, turnó el requerimiento de información del servidor público habilitado que estimó pertinente, a fin de colmar la solicitud de acceso a la información; tal y como, se aprecia en la siguiente imagen:</w:t>
      </w:r>
    </w:p>
    <w:p w:rsidR="00E66E79" w:rsidRPr="007521C5" w:rsidRDefault="003F333B">
      <w:pPr>
        <w:widowControl w:val="0"/>
        <w:spacing w:line="360" w:lineRule="auto"/>
        <w:jc w:val="both"/>
        <w:rPr>
          <w:rFonts w:ascii="Palatino Linotype" w:eastAsia="Palatino Linotype" w:hAnsi="Palatino Linotype" w:cs="Palatino Linotype"/>
          <w:b/>
        </w:rPr>
      </w:pPr>
      <w:r w:rsidRPr="007521C5">
        <w:rPr>
          <w:rFonts w:ascii="Palatino Linotype" w:eastAsia="Palatino Linotype" w:hAnsi="Palatino Linotype" w:cs="Palatino Linotype"/>
          <w:b/>
          <w:noProof/>
        </w:rPr>
        <w:drawing>
          <wp:inline distT="0" distB="0" distL="0" distR="0">
            <wp:extent cx="5791835" cy="1362075"/>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91835" cy="1362075"/>
                    </a:xfrm>
                    <a:prstGeom prst="rect">
                      <a:avLst/>
                    </a:prstGeom>
                    <a:ln/>
                  </pic:spPr>
                </pic:pic>
              </a:graphicData>
            </a:graphic>
          </wp:inline>
        </w:drawing>
      </w:r>
    </w:p>
    <w:p w:rsidR="00394822" w:rsidRPr="007521C5" w:rsidRDefault="00394822">
      <w:pPr>
        <w:spacing w:line="360" w:lineRule="auto"/>
        <w:jc w:val="both"/>
        <w:rPr>
          <w:rFonts w:ascii="Palatino Linotype" w:eastAsia="Palatino Linotype" w:hAnsi="Palatino Linotype" w:cs="Palatino Linotype"/>
          <w:b/>
          <w:sz w:val="28"/>
          <w:szCs w:val="28"/>
        </w:rPr>
      </w:pPr>
    </w:p>
    <w:p w:rsidR="00394822" w:rsidRPr="007521C5" w:rsidRDefault="00394822">
      <w:pPr>
        <w:spacing w:line="360" w:lineRule="auto"/>
        <w:jc w:val="both"/>
        <w:rPr>
          <w:rFonts w:ascii="Palatino Linotype" w:eastAsia="Palatino Linotype" w:hAnsi="Palatino Linotype" w:cs="Palatino Linotype"/>
          <w:b/>
          <w:sz w:val="28"/>
          <w:szCs w:val="28"/>
        </w:rPr>
      </w:pPr>
    </w:p>
    <w:p w:rsidR="00E66E79" w:rsidRPr="007521C5" w:rsidRDefault="003F333B">
      <w:pPr>
        <w:spacing w:line="360" w:lineRule="auto"/>
        <w:jc w:val="both"/>
        <w:rPr>
          <w:rFonts w:ascii="Palatino Linotype" w:eastAsia="Palatino Linotype" w:hAnsi="Palatino Linotype" w:cs="Palatino Linotype"/>
          <w:sz w:val="28"/>
          <w:szCs w:val="28"/>
        </w:rPr>
      </w:pPr>
      <w:r w:rsidRPr="007521C5">
        <w:rPr>
          <w:rFonts w:ascii="Palatino Linotype" w:eastAsia="Palatino Linotype" w:hAnsi="Palatino Linotype" w:cs="Palatino Linotype"/>
          <w:b/>
          <w:sz w:val="28"/>
          <w:szCs w:val="28"/>
        </w:rPr>
        <w:t>III.</w:t>
      </w:r>
      <w:r w:rsidRPr="007521C5">
        <w:rPr>
          <w:rFonts w:ascii="Palatino Linotype" w:eastAsia="Palatino Linotype" w:hAnsi="Palatino Linotype" w:cs="Palatino Linotype"/>
          <w:sz w:val="28"/>
          <w:szCs w:val="28"/>
        </w:rPr>
        <w:t xml:space="preserve"> </w:t>
      </w:r>
      <w:r w:rsidRPr="007521C5">
        <w:rPr>
          <w:rFonts w:ascii="Palatino Linotype" w:eastAsia="Palatino Linotype" w:hAnsi="Palatino Linotype" w:cs="Palatino Linotype"/>
          <w:b/>
          <w:sz w:val="28"/>
          <w:szCs w:val="28"/>
        </w:rPr>
        <w:t>Prórroga</w:t>
      </w:r>
    </w:p>
    <w:p w:rsidR="00E66E79" w:rsidRPr="007521C5" w:rsidRDefault="003F333B">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r w:rsidRPr="007521C5">
        <w:rPr>
          <w:rFonts w:ascii="Palatino Linotype" w:eastAsia="Palatino Linotype" w:hAnsi="Palatino Linotype" w:cs="Palatino Linotype"/>
          <w:color w:val="000000"/>
        </w:rPr>
        <w:lastRenderedPageBreak/>
        <w:t xml:space="preserve">De las constancias que obran en el expediente electrónico del </w:t>
      </w:r>
      <w:r w:rsidRPr="007521C5">
        <w:rPr>
          <w:rFonts w:ascii="Palatino Linotype" w:eastAsia="Palatino Linotype" w:hAnsi="Palatino Linotype" w:cs="Palatino Linotype"/>
          <w:b/>
          <w:color w:val="000000"/>
        </w:rPr>
        <w:t>SAIMEX</w:t>
      </w:r>
      <w:r w:rsidRPr="007521C5">
        <w:rPr>
          <w:rFonts w:ascii="Palatino Linotype" w:eastAsia="Palatino Linotype" w:hAnsi="Palatino Linotype" w:cs="Palatino Linotype"/>
          <w:color w:val="000000"/>
        </w:rPr>
        <w:t xml:space="preserve"> correspondiente a la solicitud de información </w:t>
      </w:r>
      <w:r w:rsidRPr="007521C5">
        <w:rPr>
          <w:rFonts w:ascii="Palatino Linotype" w:eastAsia="Palatino Linotype" w:hAnsi="Palatino Linotype" w:cs="Palatino Linotype"/>
          <w:b/>
          <w:color w:val="000000"/>
        </w:rPr>
        <w:t>00095/SEDUO/IP/2022</w:t>
      </w:r>
      <w:r w:rsidRPr="007521C5">
        <w:rPr>
          <w:rFonts w:ascii="Palatino Linotype" w:eastAsia="Palatino Linotype" w:hAnsi="Palatino Linotype" w:cs="Palatino Linotype"/>
          <w:color w:val="000000"/>
        </w:rPr>
        <w:t xml:space="preserve">, se advierte que en fecha </w:t>
      </w:r>
      <w:r w:rsidRPr="007521C5">
        <w:rPr>
          <w:rFonts w:ascii="Palatino Linotype" w:eastAsia="Palatino Linotype" w:hAnsi="Palatino Linotype" w:cs="Palatino Linotype"/>
          <w:b/>
          <w:color w:val="000000"/>
        </w:rPr>
        <w:t>treinta y  uno de marzo de dos mil veintidós</w:t>
      </w:r>
      <w:r w:rsidRPr="007521C5">
        <w:rPr>
          <w:rFonts w:ascii="Palatino Linotype" w:eastAsia="Palatino Linotype" w:hAnsi="Palatino Linotype" w:cs="Palatino Linotype"/>
          <w:color w:val="000000"/>
        </w:rPr>
        <w:t xml:space="preserve">, </w:t>
      </w:r>
      <w:r w:rsidRPr="007521C5">
        <w:rPr>
          <w:rFonts w:ascii="Palatino Linotype" w:eastAsia="Palatino Linotype" w:hAnsi="Palatino Linotype" w:cs="Palatino Linotype"/>
          <w:b/>
          <w:color w:val="000000"/>
        </w:rPr>
        <w:t>EL SUJETO OBLIGADO</w:t>
      </w:r>
      <w:r w:rsidRPr="007521C5">
        <w:rPr>
          <w:rFonts w:ascii="Palatino Linotype" w:eastAsia="Palatino Linotype" w:hAnsi="Palatino Linotype" w:cs="Palatino Linotype"/>
          <w:color w:val="000000"/>
        </w:rPr>
        <w:t xml:space="preserve"> solicitó prórroga de siete días para recabar la información solicitada y dar cumplimiento a lo requerido por </w:t>
      </w:r>
      <w:r w:rsidRPr="007521C5">
        <w:rPr>
          <w:rFonts w:ascii="Palatino Linotype" w:eastAsia="Palatino Linotype" w:hAnsi="Palatino Linotype" w:cs="Palatino Linotype"/>
          <w:b/>
          <w:color w:val="000000"/>
        </w:rPr>
        <w:t>LA RECURRENTE</w:t>
      </w:r>
      <w:r w:rsidRPr="007521C5">
        <w:rPr>
          <w:rFonts w:ascii="Palatino Linotype" w:eastAsia="Palatino Linotype" w:hAnsi="Palatino Linotype" w:cs="Palatino Linotype"/>
          <w:color w:val="000000"/>
        </w:rPr>
        <w:t>.</w:t>
      </w:r>
    </w:p>
    <w:p w:rsidR="00E66E79" w:rsidRPr="007521C5" w:rsidRDefault="00E66E7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rPr>
      </w:pPr>
    </w:p>
    <w:p w:rsidR="00E66E79" w:rsidRPr="007521C5" w:rsidRDefault="003F333B">
      <w:pPr>
        <w:widowControl w:val="0"/>
        <w:spacing w:line="360" w:lineRule="auto"/>
        <w:jc w:val="both"/>
        <w:rPr>
          <w:rFonts w:ascii="Palatino Linotype" w:eastAsia="Palatino Linotype" w:hAnsi="Palatino Linotype" w:cs="Palatino Linotype"/>
          <w:sz w:val="26"/>
          <w:szCs w:val="26"/>
        </w:rPr>
      </w:pPr>
      <w:r w:rsidRPr="007521C5">
        <w:rPr>
          <w:rFonts w:ascii="Palatino Linotype" w:eastAsia="Palatino Linotype" w:hAnsi="Palatino Linotype" w:cs="Palatino Linotype"/>
          <w:b/>
          <w:sz w:val="26"/>
          <w:szCs w:val="26"/>
        </w:rPr>
        <w:t>IV.</w:t>
      </w:r>
      <w:r w:rsidRPr="007521C5">
        <w:rPr>
          <w:rFonts w:ascii="Palatino Linotype" w:eastAsia="Palatino Linotype" w:hAnsi="Palatino Linotype" w:cs="Palatino Linotype"/>
          <w:sz w:val="26"/>
          <w:szCs w:val="26"/>
        </w:rPr>
        <w:t xml:space="preserve"> </w:t>
      </w:r>
      <w:r w:rsidRPr="007521C5">
        <w:rPr>
          <w:rFonts w:ascii="Palatino Linotype" w:eastAsia="Palatino Linotype" w:hAnsi="Palatino Linotype" w:cs="Palatino Linotype"/>
          <w:b/>
          <w:sz w:val="26"/>
          <w:szCs w:val="26"/>
        </w:rPr>
        <w:t>Respuesta del Sujeto Obligado</w:t>
      </w:r>
    </w:p>
    <w:p w:rsidR="00E66E79" w:rsidRPr="007521C5" w:rsidRDefault="003F333B">
      <w:pPr>
        <w:widowControl w:val="0"/>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 xml:space="preserve">El </w:t>
      </w:r>
      <w:r w:rsidRPr="007521C5">
        <w:rPr>
          <w:rFonts w:ascii="Palatino Linotype" w:eastAsia="Palatino Linotype" w:hAnsi="Palatino Linotype" w:cs="Palatino Linotype"/>
          <w:b/>
        </w:rPr>
        <w:t>dieciocho de abril de dos mil veintidós</w:t>
      </w:r>
      <w:r w:rsidRPr="007521C5">
        <w:rPr>
          <w:rFonts w:ascii="Palatino Linotype" w:eastAsia="Palatino Linotype" w:hAnsi="Palatino Linotype" w:cs="Palatino Linotype"/>
        </w:rPr>
        <w:t xml:space="preserve">, </w:t>
      </w:r>
      <w:r w:rsidRPr="007521C5">
        <w:rPr>
          <w:rFonts w:ascii="Palatino Linotype" w:eastAsia="Palatino Linotype" w:hAnsi="Palatino Linotype" w:cs="Palatino Linotype"/>
          <w:b/>
        </w:rPr>
        <w:t>EL SUJETO OBLIGADO</w:t>
      </w:r>
      <w:r w:rsidRPr="007521C5">
        <w:rPr>
          <w:rFonts w:ascii="Palatino Linotype" w:eastAsia="Palatino Linotype" w:hAnsi="Palatino Linotype" w:cs="Palatino Linotype"/>
        </w:rPr>
        <w:t xml:space="preserve"> dio respuesta a la solicitud de información en los siguientes términos:</w:t>
      </w:r>
    </w:p>
    <w:p w:rsidR="00E66E79" w:rsidRPr="007521C5" w:rsidRDefault="003F333B">
      <w:pPr>
        <w:ind w:left="840" w:right="900"/>
        <w:jc w:val="right"/>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“Metepec, México a 18 de Abril de 2022</w:t>
      </w:r>
    </w:p>
    <w:p w:rsidR="00E66E79" w:rsidRPr="007521C5" w:rsidRDefault="003F333B">
      <w:pPr>
        <w:ind w:left="840" w:right="900"/>
        <w:jc w:val="right"/>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Nombre del solicitante: C. Solicitante</w:t>
      </w:r>
    </w:p>
    <w:p w:rsidR="00E66E79" w:rsidRPr="007521C5" w:rsidRDefault="003F333B">
      <w:pPr>
        <w:ind w:left="840" w:right="900"/>
        <w:jc w:val="right"/>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Folio de la solicitud: 00095/SEDUO/IP/2022</w:t>
      </w:r>
    </w:p>
    <w:p w:rsidR="00E66E79" w:rsidRPr="007521C5" w:rsidRDefault="00E66E79">
      <w:pPr>
        <w:ind w:left="840" w:right="900"/>
        <w:jc w:val="both"/>
        <w:rPr>
          <w:rFonts w:ascii="Palatino Linotype" w:eastAsia="Palatino Linotype" w:hAnsi="Palatino Linotype" w:cs="Palatino Linotype"/>
          <w:i/>
          <w:sz w:val="22"/>
          <w:szCs w:val="22"/>
        </w:rPr>
      </w:pPr>
    </w:p>
    <w:p w:rsidR="00E66E79" w:rsidRPr="007521C5" w:rsidRDefault="003F333B">
      <w:pPr>
        <w:ind w:left="840" w:right="900"/>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66E79" w:rsidRPr="007521C5" w:rsidRDefault="00E66E79">
      <w:pPr>
        <w:ind w:left="840" w:right="900"/>
        <w:jc w:val="both"/>
        <w:rPr>
          <w:rFonts w:ascii="Palatino Linotype" w:eastAsia="Palatino Linotype" w:hAnsi="Palatino Linotype" w:cs="Palatino Linotype"/>
          <w:i/>
          <w:sz w:val="22"/>
          <w:szCs w:val="22"/>
        </w:rPr>
      </w:pPr>
    </w:p>
    <w:p w:rsidR="00E66E79" w:rsidRPr="007521C5" w:rsidRDefault="003F333B">
      <w:pPr>
        <w:ind w:left="840" w:right="900"/>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Sobre el particular, sírvase encontrar en archivo adjunto copia del oficio número SEDUO-CI-0437/2022, de fecha 18 de abril de 2022, mediante el cual se detalla lo referente a su solicitud.</w:t>
      </w:r>
    </w:p>
    <w:p w:rsidR="00E66E79" w:rsidRPr="007521C5" w:rsidRDefault="00E66E79">
      <w:pPr>
        <w:ind w:left="840" w:right="900"/>
        <w:jc w:val="both"/>
        <w:rPr>
          <w:rFonts w:ascii="Palatino Linotype" w:eastAsia="Palatino Linotype" w:hAnsi="Palatino Linotype" w:cs="Palatino Linotype"/>
          <w:i/>
          <w:sz w:val="22"/>
          <w:szCs w:val="22"/>
        </w:rPr>
      </w:pPr>
    </w:p>
    <w:p w:rsidR="00E66E79" w:rsidRPr="007521C5" w:rsidRDefault="003F333B">
      <w:pPr>
        <w:ind w:left="840" w:right="900"/>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ATENTAMENTE</w:t>
      </w:r>
    </w:p>
    <w:p w:rsidR="00E66E79" w:rsidRPr="007521C5" w:rsidRDefault="003F333B">
      <w:pPr>
        <w:ind w:left="840" w:right="900"/>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 xml:space="preserve">Lcda. </w:t>
      </w:r>
      <w:proofErr w:type="spellStart"/>
      <w:r w:rsidRPr="007521C5">
        <w:rPr>
          <w:rFonts w:ascii="Palatino Linotype" w:eastAsia="Palatino Linotype" w:hAnsi="Palatino Linotype" w:cs="Palatino Linotype"/>
          <w:i/>
          <w:sz w:val="22"/>
          <w:szCs w:val="22"/>
        </w:rPr>
        <w:t>Nandllely</w:t>
      </w:r>
      <w:proofErr w:type="spellEnd"/>
      <w:r w:rsidRPr="007521C5">
        <w:rPr>
          <w:rFonts w:ascii="Palatino Linotype" w:eastAsia="Palatino Linotype" w:hAnsi="Palatino Linotype" w:cs="Palatino Linotype"/>
          <w:i/>
          <w:sz w:val="22"/>
          <w:szCs w:val="22"/>
        </w:rPr>
        <w:t xml:space="preserve"> Karen Torres </w:t>
      </w:r>
      <w:proofErr w:type="spellStart"/>
      <w:r w:rsidRPr="007521C5">
        <w:rPr>
          <w:rFonts w:ascii="Palatino Linotype" w:eastAsia="Palatino Linotype" w:hAnsi="Palatino Linotype" w:cs="Palatino Linotype"/>
          <w:i/>
          <w:sz w:val="22"/>
          <w:szCs w:val="22"/>
        </w:rPr>
        <w:t>Torres</w:t>
      </w:r>
      <w:proofErr w:type="spellEnd"/>
      <w:r w:rsidRPr="007521C5">
        <w:rPr>
          <w:rFonts w:ascii="Palatino Linotype" w:eastAsia="Palatino Linotype" w:hAnsi="Palatino Linotype" w:cs="Palatino Linotype"/>
          <w:i/>
          <w:sz w:val="22"/>
          <w:szCs w:val="22"/>
        </w:rPr>
        <w:t>” (Sic) (Énfasis añadido)</w:t>
      </w:r>
    </w:p>
    <w:p w:rsidR="00E66E79" w:rsidRPr="007521C5" w:rsidRDefault="00E66E79">
      <w:pPr>
        <w:ind w:left="840" w:right="900"/>
        <w:jc w:val="both"/>
        <w:rPr>
          <w:rFonts w:ascii="Palatino Linotype" w:eastAsia="Palatino Linotype" w:hAnsi="Palatino Linotype" w:cs="Palatino Linotype"/>
          <w:i/>
          <w:sz w:val="22"/>
          <w:szCs w:val="22"/>
        </w:rPr>
      </w:pPr>
    </w:p>
    <w:p w:rsidR="00E66E79" w:rsidRPr="007521C5" w:rsidRDefault="00E66E79">
      <w:pPr>
        <w:ind w:left="840" w:right="900"/>
        <w:jc w:val="both"/>
        <w:rPr>
          <w:rFonts w:ascii="Palatino Linotype" w:eastAsia="Palatino Linotype" w:hAnsi="Palatino Linotype" w:cs="Palatino Linotype"/>
          <w:i/>
          <w:sz w:val="22"/>
          <w:szCs w:val="22"/>
        </w:rPr>
      </w:pPr>
    </w:p>
    <w:p w:rsidR="00E66E79" w:rsidRPr="007521C5" w:rsidRDefault="003F333B">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 xml:space="preserve">Así mismo, </w:t>
      </w:r>
      <w:r w:rsidRPr="007521C5">
        <w:rPr>
          <w:rFonts w:ascii="Palatino Linotype" w:eastAsia="Palatino Linotype" w:hAnsi="Palatino Linotype" w:cs="Palatino Linotype"/>
          <w:b/>
        </w:rPr>
        <w:t>EL SUJETO OBLIGADO</w:t>
      </w:r>
      <w:r w:rsidRPr="007521C5">
        <w:rPr>
          <w:rFonts w:ascii="Palatino Linotype" w:eastAsia="Palatino Linotype" w:hAnsi="Palatino Linotype" w:cs="Palatino Linotype"/>
        </w:rPr>
        <w:t xml:space="preserve"> adjuntó a la respuesta el archivo electrónico denominado “</w:t>
      </w:r>
      <w:r w:rsidRPr="007521C5">
        <w:t xml:space="preserve">UT SEDUO 95-22.pdf” </w:t>
      </w:r>
      <w:r w:rsidRPr="007521C5">
        <w:rPr>
          <w:rFonts w:ascii="Palatino Linotype" w:eastAsia="Palatino Linotype" w:hAnsi="Palatino Linotype" w:cs="Palatino Linotype"/>
        </w:rPr>
        <w:t>que a continuación se adjunta:</w:t>
      </w:r>
      <w:r w:rsidRPr="007521C5">
        <w:rPr>
          <w:rFonts w:ascii="Palatino Linotype" w:eastAsia="Palatino Linotype" w:hAnsi="Palatino Linotype" w:cs="Palatino Linotype"/>
        </w:rPr>
        <w:tab/>
      </w:r>
    </w:p>
    <w:p w:rsidR="00E66E79" w:rsidRPr="007521C5" w:rsidRDefault="003F333B">
      <w:pPr>
        <w:spacing w:line="360" w:lineRule="auto"/>
        <w:jc w:val="both"/>
        <w:rPr>
          <w:rFonts w:ascii="Palatino Linotype" w:eastAsia="Palatino Linotype" w:hAnsi="Palatino Linotype" w:cs="Palatino Linotype"/>
        </w:rPr>
      </w:pPr>
      <w:r w:rsidRPr="007521C5">
        <w:rPr>
          <w:noProof/>
        </w:rPr>
        <mc:AlternateContent>
          <mc:Choice Requires="wps">
            <w:drawing>
              <wp:anchor distT="0" distB="0" distL="114300" distR="114300" simplePos="0" relativeHeight="251658240" behindDoc="0" locked="0" layoutInCell="1" hidden="0" allowOverlap="1">
                <wp:simplePos x="0" y="0"/>
                <wp:positionH relativeFrom="column">
                  <wp:posOffset>508000</wp:posOffset>
                </wp:positionH>
                <wp:positionV relativeFrom="paragraph">
                  <wp:posOffset>3784600</wp:posOffset>
                </wp:positionV>
                <wp:extent cx="4438650" cy="1371600"/>
                <wp:effectExtent l="0" t="0" r="0" b="0"/>
                <wp:wrapNone/>
                <wp:docPr id="35" name="Rectángulo 35"/>
                <wp:cNvGraphicFramePr/>
                <a:graphic xmlns:a="http://schemas.openxmlformats.org/drawingml/2006/main">
                  <a:graphicData uri="http://schemas.microsoft.com/office/word/2010/wordprocessingShape">
                    <wps:wsp>
                      <wps:cNvSpPr/>
                      <wps:spPr>
                        <a:xfrm>
                          <a:off x="3164775" y="3132300"/>
                          <a:ext cx="4362450" cy="1295400"/>
                        </a:xfrm>
                        <a:prstGeom prst="rect">
                          <a:avLst/>
                        </a:prstGeom>
                        <a:noFill/>
                        <a:ln w="76200" cap="flat" cmpd="sng">
                          <a:solidFill>
                            <a:schemeClr val="dk1"/>
                          </a:solidFill>
                          <a:prstDash val="solid"/>
                          <a:round/>
                          <a:headEnd type="none" w="sm" len="sm"/>
                          <a:tailEnd type="none" w="sm" len="sm"/>
                        </a:ln>
                      </wps:spPr>
                      <wps:txbx>
                        <w:txbxContent>
                          <w:p w:rsidR="00E66E79" w:rsidRDefault="00E66E79">
                            <w:pPr>
                              <w:textDirection w:val="btLr"/>
                            </w:pPr>
                          </w:p>
                        </w:txbxContent>
                      </wps:txbx>
                      <wps:bodyPr spcFirstLastPara="1" wrap="square" lIns="91425" tIns="91425" rIns="91425" bIns="91425" anchor="ctr" anchorCtr="0">
                        <a:noAutofit/>
                      </wps:bodyPr>
                    </wps:wsp>
                  </a:graphicData>
                </a:graphic>
              </wp:anchor>
            </w:drawing>
          </mc:Choice>
          <mc:Fallback>
            <w:pict>
              <v:rect id="Rectángulo 35" o:spid="_x0000_s1026" style="position:absolute;left:0;text-align:left;margin-left:40pt;margin-top:298pt;width:349.5pt;height:10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" filled="f" strokecolor="black [3200]" strokeweight="6pt">
                <v:stroke startarrowwidth="narrow" startarrowlength="short" endarrowwidth="narrow" endarrowlength="short" joinstyle="round"/>
                <v:textbox inset="2.53958mm,2.53958mm,2.53958mm,2.53958mm">
                  <w:txbxContent>
                    <w:p w:rsidR="00E66E79" w:rsidRDefault="00E66E79">
                      <w:pPr>
                        <w:textDirection w:val="btLr"/>
                      </w:pPr>
                    </w:p>
                  </w:txbxContent>
                </v:textbox>
              </v:rect>
            </w:pict>
          </mc:Fallback>
        </mc:AlternateContent>
      </w:r>
    </w:p>
    <w:p w:rsidR="00E66E79" w:rsidRPr="007521C5" w:rsidRDefault="003F333B">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noProof/>
        </w:rPr>
        <w:lastRenderedPageBreak/>
        <w:drawing>
          <wp:inline distT="0" distB="0" distL="0" distR="0">
            <wp:extent cx="5787263" cy="7013560"/>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87263" cy="7013560"/>
                    </a:xfrm>
                    <a:prstGeom prst="rect">
                      <a:avLst/>
                    </a:prstGeom>
                    <a:ln/>
                  </pic:spPr>
                </pic:pic>
              </a:graphicData>
            </a:graphic>
          </wp:inline>
        </w:drawing>
      </w:r>
      <w:r w:rsidRPr="007521C5">
        <w:rPr>
          <w:rFonts w:ascii="Palatino Linotype" w:eastAsia="Palatino Linotype" w:hAnsi="Palatino Linotype" w:cs="Palatino Linotype"/>
          <w:noProof/>
        </w:rPr>
        <w:lastRenderedPageBreak/>
        <w:drawing>
          <wp:inline distT="0" distB="0" distL="0" distR="0">
            <wp:extent cx="5800072" cy="7191581"/>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800072" cy="7191581"/>
                    </a:xfrm>
                    <a:prstGeom prst="rect">
                      <a:avLst/>
                    </a:prstGeom>
                    <a:ln/>
                  </pic:spPr>
                </pic:pic>
              </a:graphicData>
            </a:graphic>
          </wp:inline>
        </w:drawing>
      </w:r>
      <w:r w:rsidRPr="007521C5">
        <w:rPr>
          <w:rFonts w:ascii="Palatino Linotype" w:eastAsia="Palatino Linotype" w:hAnsi="Palatino Linotype" w:cs="Palatino Linotype"/>
          <w:noProof/>
        </w:rPr>
        <w:lastRenderedPageBreak/>
        <w:drawing>
          <wp:inline distT="0" distB="0" distL="0" distR="0">
            <wp:extent cx="5748548" cy="7257085"/>
            <wp:effectExtent l="0" t="0" r="0" b="0"/>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5748548" cy="7257085"/>
                    </a:xfrm>
                    <a:prstGeom prst="rect">
                      <a:avLst/>
                    </a:prstGeom>
                    <a:ln/>
                  </pic:spPr>
                </pic:pic>
              </a:graphicData>
            </a:graphic>
          </wp:inline>
        </w:drawing>
      </w:r>
      <w:r w:rsidRPr="007521C5">
        <w:rPr>
          <w:rFonts w:ascii="Palatino Linotype" w:eastAsia="Palatino Linotype" w:hAnsi="Palatino Linotype" w:cs="Palatino Linotype"/>
          <w:noProof/>
        </w:rPr>
        <w:lastRenderedPageBreak/>
        <w:drawing>
          <wp:inline distT="0" distB="0" distL="0" distR="0">
            <wp:extent cx="5767472" cy="7265809"/>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67472" cy="7265809"/>
                    </a:xfrm>
                    <a:prstGeom prst="rect">
                      <a:avLst/>
                    </a:prstGeom>
                    <a:ln/>
                  </pic:spPr>
                </pic:pic>
              </a:graphicData>
            </a:graphic>
          </wp:inline>
        </w:drawing>
      </w:r>
      <w:r w:rsidRPr="007521C5">
        <w:rPr>
          <w:rFonts w:ascii="Palatino Linotype" w:eastAsia="Palatino Linotype" w:hAnsi="Palatino Linotype" w:cs="Palatino Linotype"/>
          <w:noProof/>
        </w:rPr>
        <w:lastRenderedPageBreak/>
        <w:drawing>
          <wp:inline distT="0" distB="0" distL="0" distR="0">
            <wp:extent cx="5759045" cy="7376154"/>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759045" cy="7376154"/>
                    </a:xfrm>
                    <a:prstGeom prst="rect">
                      <a:avLst/>
                    </a:prstGeom>
                    <a:ln/>
                  </pic:spPr>
                </pic:pic>
              </a:graphicData>
            </a:graphic>
          </wp:inline>
        </w:drawing>
      </w:r>
      <w:r w:rsidRPr="007521C5">
        <w:rPr>
          <w:rFonts w:ascii="Palatino Linotype" w:eastAsia="Palatino Linotype" w:hAnsi="Palatino Linotype" w:cs="Palatino Linotype"/>
          <w:noProof/>
        </w:rPr>
        <w:lastRenderedPageBreak/>
        <w:drawing>
          <wp:inline distT="0" distB="0" distL="0" distR="0">
            <wp:extent cx="5753906" cy="727812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753906" cy="7278120"/>
                    </a:xfrm>
                    <a:prstGeom prst="rect">
                      <a:avLst/>
                    </a:prstGeom>
                    <a:ln/>
                  </pic:spPr>
                </pic:pic>
              </a:graphicData>
            </a:graphic>
          </wp:inline>
        </w:drawing>
      </w:r>
      <w:r w:rsidRPr="007521C5">
        <w:rPr>
          <w:rFonts w:ascii="Palatino Linotype" w:eastAsia="Palatino Linotype" w:hAnsi="Palatino Linotype" w:cs="Palatino Linotype"/>
          <w:noProof/>
        </w:rPr>
        <w:lastRenderedPageBreak/>
        <w:drawing>
          <wp:inline distT="0" distB="0" distL="0" distR="0">
            <wp:extent cx="5763434" cy="7173332"/>
            <wp:effectExtent l="0" t="0" r="0" b="0"/>
            <wp:docPr id="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763434" cy="7173332"/>
                    </a:xfrm>
                    <a:prstGeom prst="rect">
                      <a:avLst/>
                    </a:prstGeom>
                    <a:ln/>
                  </pic:spPr>
                </pic:pic>
              </a:graphicData>
            </a:graphic>
          </wp:inline>
        </w:drawing>
      </w:r>
      <w:r w:rsidRPr="007521C5">
        <w:rPr>
          <w:rFonts w:ascii="Palatino Linotype" w:eastAsia="Palatino Linotype" w:hAnsi="Palatino Linotype" w:cs="Palatino Linotype"/>
          <w:noProof/>
        </w:rPr>
        <w:lastRenderedPageBreak/>
        <w:drawing>
          <wp:inline distT="0" distB="0" distL="0" distR="0">
            <wp:extent cx="5760787" cy="7229132"/>
            <wp:effectExtent l="0" t="0" r="0" b="0"/>
            <wp:docPr id="5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760787" cy="7229132"/>
                    </a:xfrm>
                    <a:prstGeom prst="rect">
                      <a:avLst/>
                    </a:prstGeom>
                    <a:ln/>
                  </pic:spPr>
                </pic:pic>
              </a:graphicData>
            </a:graphic>
          </wp:inline>
        </w:drawing>
      </w:r>
      <w:r w:rsidRPr="007521C5">
        <w:rPr>
          <w:rFonts w:ascii="Palatino Linotype" w:eastAsia="Palatino Linotype" w:hAnsi="Palatino Linotype" w:cs="Palatino Linotype"/>
          <w:noProof/>
        </w:rPr>
        <w:lastRenderedPageBreak/>
        <w:drawing>
          <wp:inline distT="0" distB="0" distL="0" distR="0">
            <wp:extent cx="5777826" cy="7302689"/>
            <wp:effectExtent l="0" t="0" r="0" b="0"/>
            <wp:docPr id="5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5777826" cy="7302689"/>
                    </a:xfrm>
                    <a:prstGeom prst="rect">
                      <a:avLst/>
                    </a:prstGeom>
                    <a:ln/>
                  </pic:spPr>
                </pic:pic>
              </a:graphicData>
            </a:graphic>
          </wp:inline>
        </w:drawing>
      </w:r>
    </w:p>
    <w:p w:rsidR="00E66E79" w:rsidRPr="007521C5" w:rsidRDefault="003F333B">
      <w:pPr>
        <w:spacing w:line="360" w:lineRule="auto"/>
        <w:jc w:val="both"/>
        <w:rPr>
          <w:rFonts w:ascii="Palatino Linotype" w:eastAsia="Palatino Linotype" w:hAnsi="Palatino Linotype" w:cs="Palatino Linotype"/>
          <w:b/>
          <w:sz w:val="26"/>
          <w:szCs w:val="26"/>
        </w:rPr>
      </w:pPr>
      <w:r w:rsidRPr="007521C5">
        <w:rPr>
          <w:rFonts w:ascii="Palatino Linotype" w:eastAsia="Palatino Linotype" w:hAnsi="Palatino Linotype" w:cs="Palatino Linotype"/>
          <w:b/>
          <w:sz w:val="26"/>
          <w:szCs w:val="26"/>
        </w:rPr>
        <w:lastRenderedPageBreak/>
        <w:t>V. Del Recurso de Revisión</w:t>
      </w:r>
    </w:p>
    <w:p w:rsidR="00E66E79" w:rsidRPr="007521C5" w:rsidRDefault="003F333B">
      <w:pPr>
        <w:spacing w:line="360" w:lineRule="auto"/>
        <w:jc w:val="both"/>
        <w:rPr>
          <w:rFonts w:ascii="Palatino Linotype" w:eastAsia="Palatino Linotype" w:hAnsi="Palatino Linotype" w:cs="Palatino Linotype"/>
        </w:rPr>
      </w:pPr>
      <w:bookmarkStart w:id="0" w:name="_heading=h.gjdgxs" w:colFirst="0" w:colLast="0"/>
      <w:bookmarkEnd w:id="0"/>
      <w:r w:rsidRPr="007521C5">
        <w:rPr>
          <w:rFonts w:ascii="Palatino Linotype" w:eastAsia="Palatino Linotype" w:hAnsi="Palatino Linotype" w:cs="Palatino Linotype"/>
        </w:rPr>
        <w:t>Inconforme por la respuesta proporcionada por el</w:t>
      </w:r>
      <w:r w:rsidRPr="007521C5">
        <w:rPr>
          <w:rFonts w:ascii="Palatino Linotype" w:eastAsia="Palatino Linotype" w:hAnsi="Palatino Linotype" w:cs="Palatino Linotype"/>
          <w:b/>
        </w:rPr>
        <w:t xml:space="preserve"> SUJETO OBLIGADO</w:t>
      </w:r>
      <w:r w:rsidRPr="007521C5">
        <w:rPr>
          <w:rFonts w:ascii="Palatino Linotype" w:eastAsia="Palatino Linotype" w:hAnsi="Palatino Linotype" w:cs="Palatino Linotype"/>
        </w:rPr>
        <w:t>, el</w:t>
      </w:r>
      <w:r w:rsidRPr="007521C5">
        <w:rPr>
          <w:rFonts w:ascii="Palatino Linotype" w:eastAsia="Palatino Linotype" w:hAnsi="Palatino Linotype" w:cs="Palatino Linotype"/>
          <w:b/>
        </w:rPr>
        <w:t xml:space="preserve"> veinte de abril de dos mil veintidós</w:t>
      </w:r>
      <w:r w:rsidRPr="007521C5">
        <w:rPr>
          <w:rFonts w:ascii="Palatino Linotype" w:eastAsia="Palatino Linotype" w:hAnsi="Palatino Linotype" w:cs="Palatino Linotype"/>
        </w:rPr>
        <w:t>, se</w:t>
      </w:r>
      <w:r w:rsidRPr="007521C5">
        <w:rPr>
          <w:rFonts w:ascii="Palatino Linotype" w:eastAsia="Palatino Linotype" w:hAnsi="Palatino Linotype" w:cs="Palatino Linotype"/>
          <w:b/>
        </w:rPr>
        <w:t xml:space="preserve"> </w:t>
      </w:r>
      <w:r w:rsidRPr="007521C5">
        <w:rPr>
          <w:rFonts w:ascii="Palatino Linotype" w:eastAsia="Palatino Linotype" w:hAnsi="Palatino Linotype" w:cs="Palatino Linotype"/>
        </w:rPr>
        <w:t xml:space="preserve">interpuso el Recurso de Revisión materia del presente estudio, el cual fue registrado en </w:t>
      </w:r>
      <w:r w:rsidRPr="007521C5">
        <w:rPr>
          <w:rFonts w:ascii="Palatino Linotype" w:eastAsia="Palatino Linotype" w:hAnsi="Palatino Linotype" w:cs="Palatino Linotype"/>
          <w:b/>
        </w:rPr>
        <w:t>EL SAIMEX</w:t>
      </w:r>
      <w:r w:rsidRPr="007521C5">
        <w:rPr>
          <w:rFonts w:ascii="Palatino Linotype" w:eastAsia="Palatino Linotype" w:hAnsi="Palatino Linotype" w:cs="Palatino Linotype"/>
        </w:rPr>
        <w:t xml:space="preserve"> y se le asignó el número de expediente anotado al rubro</w:t>
      </w:r>
      <w:r w:rsidRPr="007521C5">
        <w:rPr>
          <w:rFonts w:ascii="Palatino Linotype" w:eastAsia="Palatino Linotype" w:hAnsi="Palatino Linotype" w:cs="Palatino Linotype"/>
          <w:b/>
        </w:rPr>
        <w:t>,</w:t>
      </w:r>
      <w:r w:rsidRPr="007521C5">
        <w:rPr>
          <w:rFonts w:ascii="Palatino Linotype" w:eastAsia="Palatino Linotype" w:hAnsi="Palatino Linotype" w:cs="Palatino Linotype"/>
        </w:rPr>
        <w:t xml:space="preserve"> en el que señaló la particular, lo siguiente:</w:t>
      </w:r>
    </w:p>
    <w:p w:rsidR="00E66E79" w:rsidRPr="007521C5" w:rsidRDefault="00E66E79">
      <w:pPr>
        <w:spacing w:line="360" w:lineRule="auto"/>
        <w:jc w:val="both"/>
        <w:rPr>
          <w:rFonts w:ascii="Palatino Linotype" w:eastAsia="Palatino Linotype" w:hAnsi="Palatino Linotype" w:cs="Palatino Linotype"/>
        </w:rPr>
      </w:pPr>
    </w:p>
    <w:p w:rsidR="00E66E79" w:rsidRPr="007521C5" w:rsidRDefault="003F333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1" w:name="_heading=h.30j0zll" w:colFirst="0" w:colLast="0"/>
      <w:bookmarkEnd w:id="1"/>
      <w:r w:rsidRPr="007521C5">
        <w:rPr>
          <w:rFonts w:ascii="Palatino Linotype" w:eastAsia="Palatino Linotype" w:hAnsi="Palatino Linotype" w:cs="Palatino Linotype"/>
          <w:b/>
          <w:color w:val="000000"/>
        </w:rPr>
        <w:t>Acto impugnado:</w:t>
      </w:r>
    </w:p>
    <w:p w:rsidR="00E66E79" w:rsidRPr="007521C5" w:rsidRDefault="00E66E79">
      <w:pPr>
        <w:tabs>
          <w:tab w:val="left" w:pos="851"/>
        </w:tabs>
        <w:spacing w:line="360" w:lineRule="auto"/>
        <w:ind w:left="851" w:right="901"/>
        <w:jc w:val="both"/>
        <w:rPr>
          <w:rFonts w:ascii="Palatino Linotype" w:eastAsia="Palatino Linotype" w:hAnsi="Palatino Linotype" w:cs="Palatino Linotype"/>
          <w:i/>
          <w:sz w:val="22"/>
          <w:szCs w:val="22"/>
        </w:rPr>
      </w:pPr>
    </w:p>
    <w:p w:rsidR="00E66E79" w:rsidRPr="007521C5" w:rsidRDefault="003F333B">
      <w:pPr>
        <w:tabs>
          <w:tab w:val="left" w:pos="851"/>
          <w:tab w:val="right" w:pos="8220"/>
        </w:tabs>
        <w:ind w:left="851" w:right="901"/>
        <w:jc w:val="both"/>
        <w:rPr>
          <w:rFonts w:ascii="Palatino Linotype" w:eastAsia="Palatino Linotype" w:hAnsi="Palatino Linotype" w:cs="Palatino Linotype"/>
          <w:i/>
          <w:sz w:val="22"/>
          <w:szCs w:val="22"/>
        </w:rPr>
      </w:pPr>
      <w:bookmarkStart w:id="2" w:name="_heading=h.1fob9te" w:colFirst="0" w:colLast="0"/>
      <w:bookmarkEnd w:id="2"/>
      <w:r w:rsidRPr="007521C5">
        <w:rPr>
          <w:rFonts w:ascii="Palatino Linotype" w:eastAsia="Palatino Linotype" w:hAnsi="Palatino Linotype" w:cs="Palatino Linotype"/>
          <w:i/>
          <w:sz w:val="22"/>
          <w:szCs w:val="22"/>
        </w:rPr>
        <w:t xml:space="preserve">“Con fundamento en el artículo 185, 178 y 179 de la LEY DE TRANSPARENCIA Y ACCESO A LA INFORMACIÓN PÚBLICA DEL ESTADO DE MÉXICO Y MUNICIPIOS en virtud de que la respuesta emitida por el Sujeto Obligado NO corresponde con lo solicitado IMPUGNO respuesta emitida por el Sujeto Obligado NANDLLELY KAREN TORRES </w:t>
      </w:r>
      <w:proofErr w:type="spellStart"/>
      <w:r w:rsidRPr="007521C5">
        <w:rPr>
          <w:rFonts w:ascii="Palatino Linotype" w:eastAsia="Palatino Linotype" w:hAnsi="Palatino Linotype" w:cs="Palatino Linotype"/>
          <w:i/>
          <w:sz w:val="22"/>
          <w:szCs w:val="22"/>
        </w:rPr>
        <w:t>TORRES</w:t>
      </w:r>
      <w:proofErr w:type="spellEnd"/>
      <w:r w:rsidRPr="007521C5">
        <w:rPr>
          <w:rFonts w:ascii="Palatino Linotype" w:eastAsia="Palatino Linotype" w:hAnsi="Palatino Linotype" w:cs="Palatino Linotype"/>
          <w:i/>
          <w:sz w:val="22"/>
          <w:szCs w:val="22"/>
        </w:rPr>
        <w:t xml:space="preserve"> titular de la unidad de transparencia, a la solicitud de información 0095/SEDUO/IP/2022 </w:t>
      </w:r>
      <w:r w:rsidRPr="007521C5">
        <w:rPr>
          <w:rFonts w:ascii="Palatino Linotype" w:eastAsia="Palatino Linotype" w:hAnsi="Palatino Linotype" w:cs="Palatino Linotype"/>
          <w:b/>
          <w:i/>
          <w:sz w:val="22"/>
          <w:szCs w:val="22"/>
          <w:u w:val="single"/>
        </w:rPr>
        <w:t>referente a : “Cuál es la diferencia entre una licencia de construcción de obra nueva para un edificio comercial una licencia de construcción en condominio para un edificio comercial…”</w:t>
      </w:r>
      <w:r w:rsidRPr="007521C5">
        <w:rPr>
          <w:rFonts w:ascii="Palatino Linotype" w:eastAsia="Palatino Linotype" w:hAnsi="Palatino Linotype" w:cs="Palatino Linotype"/>
          <w:i/>
          <w:sz w:val="22"/>
          <w:szCs w:val="22"/>
        </w:rPr>
        <w:t xml:space="preserve">(sic). A lo que se contestó: “Con finalidad de referir los preceptos normativos de manera objetiva, me permito reiterarle consulte el artículo 18.2 del Libro Décimo Octavo del Código Administrativo del Estado de México, donde se establecen cada una de las tipologías referentes a las licencias de construcción, por otro lado le informo que dentro de dicha normativa no se encuentra concepto de Licencia de Construcción en </w:t>
      </w:r>
      <w:proofErr w:type="gramStart"/>
      <w:r w:rsidRPr="007521C5">
        <w:rPr>
          <w:rFonts w:ascii="Palatino Linotype" w:eastAsia="Palatino Linotype" w:hAnsi="Palatino Linotype" w:cs="Palatino Linotype"/>
          <w:i/>
          <w:sz w:val="22"/>
          <w:szCs w:val="22"/>
        </w:rPr>
        <w:t>condominio …</w:t>
      </w:r>
      <w:proofErr w:type="gramEnd"/>
      <w:r w:rsidRPr="007521C5">
        <w:rPr>
          <w:rFonts w:ascii="Palatino Linotype" w:eastAsia="Palatino Linotype" w:hAnsi="Palatino Linotype" w:cs="Palatino Linotype"/>
          <w:i/>
          <w:sz w:val="22"/>
          <w:szCs w:val="22"/>
        </w:rPr>
        <w:t>” (sic). Por lo que NO se hace referencia a las diferencias solicitadas NI a la ley aplicable a los condominios con respecto a la obtención de la licencia de construcción de un condominio." (Sic)</w:t>
      </w:r>
      <w:r w:rsidRPr="007521C5">
        <w:rPr>
          <w:rFonts w:ascii="Palatino Linotype" w:eastAsia="Palatino Linotype" w:hAnsi="Palatino Linotype" w:cs="Palatino Linotype"/>
          <w:i/>
          <w:sz w:val="22"/>
          <w:szCs w:val="22"/>
        </w:rPr>
        <w:tab/>
      </w:r>
    </w:p>
    <w:p w:rsidR="00E66E79" w:rsidRPr="007521C5" w:rsidRDefault="00E66E79">
      <w:pPr>
        <w:tabs>
          <w:tab w:val="left" w:pos="851"/>
        </w:tabs>
        <w:spacing w:line="360" w:lineRule="auto"/>
        <w:ind w:left="851" w:right="901"/>
        <w:jc w:val="both"/>
        <w:rPr>
          <w:rFonts w:ascii="Palatino Linotype" w:eastAsia="Palatino Linotype" w:hAnsi="Palatino Linotype" w:cs="Palatino Linotype"/>
          <w:i/>
          <w:sz w:val="22"/>
          <w:szCs w:val="22"/>
        </w:rPr>
      </w:pPr>
    </w:p>
    <w:p w:rsidR="00E66E79" w:rsidRPr="007521C5" w:rsidRDefault="003F333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7521C5">
        <w:rPr>
          <w:rFonts w:ascii="Palatino Linotype" w:eastAsia="Palatino Linotype" w:hAnsi="Palatino Linotype" w:cs="Palatino Linotype"/>
          <w:b/>
          <w:color w:val="000000"/>
        </w:rPr>
        <w:t>Razones o motivos de inconformidad:</w:t>
      </w:r>
    </w:p>
    <w:p w:rsidR="00E66E79" w:rsidRPr="007521C5" w:rsidRDefault="00E66E79">
      <w:pPr>
        <w:spacing w:line="360" w:lineRule="auto"/>
        <w:ind w:left="850" w:right="901"/>
        <w:jc w:val="both"/>
        <w:rPr>
          <w:rFonts w:ascii="Palatino Linotype" w:eastAsia="Palatino Linotype" w:hAnsi="Palatino Linotype" w:cs="Palatino Linotype"/>
          <w:i/>
          <w:sz w:val="22"/>
          <w:szCs w:val="22"/>
        </w:rPr>
      </w:pPr>
    </w:p>
    <w:p w:rsidR="00E66E79" w:rsidRPr="007521C5" w:rsidRDefault="003F333B">
      <w:pPr>
        <w:ind w:left="850" w:right="901"/>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 xml:space="preserve">“Siendo el caso que: La diferencia principal entre una LICENCIA DE CONSTRUCCION DE OBRA NUEVA PARA UN EDIFICIO COMERCIAL y una LICENCIA DE CONSTRUCCION DE OBRA NUEVA PARA UN EDIFICIO COMERCIAL EN CONDOMINIO, </w:t>
      </w:r>
      <w:r w:rsidRPr="007521C5">
        <w:rPr>
          <w:rFonts w:ascii="Palatino Linotype" w:eastAsia="Palatino Linotype" w:hAnsi="Palatino Linotype" w:cs="Palatino Linotype"/>
          <w:i/>
          <w:sz w:val="22"/>
          <w:szCs w:val="22"/>
          <w:u w:val="single"/>
        </w:rPr>
        <w:t xml:space="preserve">radica en la AUTORIZACION EN CONDOMINIO </w:t>
      </w:r>
      <w:r w:rsidRPr="007521C5">
        <w:rPr>
          <w:rFonts w:ascii="Palatino Linotype" w:eastAsia="Palatino Linotype" w:hAnsi="Palatino Linotype" w:cs="Palatino Linotype"/>
          <w:i/>
          <w:sz w:val="22"/>
          <w:szCs w:val="22"/>
        </w:rPr>
        <w:t xml:space="preserve">ya que a la solicitud de la LICENCIA DE CONSTRUCCION </w:t>
      </w:r>
      <w:r w:rsidRPr="007521C5">
        <w:rPr>
          <w:rFonts w:ascii="Palatino Linotype" w:eastAsia="Palatino Linotype" w:hAnsi="Palatino Linotype" w:cs="Palatino Linotype"/>
          <w:i/>
          <w:sz w:val="22"/>
          <w:szCs w:val="22"/>
        </w:rPr>
        <w:lastRenderedPageBreak/>
        <w:t>DE UN CONDOMINIO se debe de contar con dicha autorización; Por lo que la LICENCIA DE CONSTRUCCION DE UN CONDOMINIO debe ser solicitada bajo los lineamientos aplicables a los condominios para que el titular se someta a las normas aplicables a dicho régimen y a su vez la autoridad competente haga constar los usos y destinos de los inmuebles en condominio, lo anterior con fundamento en: 1.- Los artículos 9 fracción VII y X, 11 del REGLAMENTO DE CONSTRUCCION DE INMUEBLES EN CONDOMINIO donde a la letra dice: “Artículo 9.- Para el otorgamiento de LICENCIAS DE CONSTRUCCIÓN DE CONDOMINIOS y para el cambio a este régimen de propiedad de una edificación ya construida el interesado deberá presentar a la autoridad competente, los siguientes documentos: VII. Planos arquitectónicos completos, en los que se señalen las áreas propias y las comunes, las áreas libres y las construidas en cada planta o nivel, fachadas cortes y en general, todos los detalles del uso, destino y forma de construcción de los volúmenes que integran el condominio. X. Reglamento interno del condominio en términos del Reglamento del artículo 947 del Código Civil, en su caso.” (</w:t>
      </w:r>
      <w:proofErr w:type="gramStart"/>
      <w:r w:rsidRPr="007521C5">
        <w:rPr>
          <w:rFonts w:ascii="Palatino Linotype" w:eastAsia="Palatino Linotype" w:hAnsi="Palatino Linotype" w:cs="Palatino Linotype"/>
          <w:i/>
          <w:sz w:val="22"/>
          <w:szCs w:val="22"/>
        </w:rPr>
        <w:t>sic</w:t>
      </w:r>
      <w:proofErr w:type="gramEnd"/>
      <w:r w:rsidRPr="007521C5">
        <w:rPr>
          <w:rFonts w:ascii="Palatino Linotype" w:eastAsia="Palatino Linotype" w:hAnsi="Palatino Linotype" w:cs="Palatino Linotype"/>
          <w:i/>
          <w:sz w:val="22"/>
          <w:szCs w:val="22"/>
        </w:rPr>
        <w:t>). “Artículo 11.- En los alineamientos, licencias o autorizaciones que expida la autoridad, se harán constar los usos y destinos de los inmuebles en condominio y las partes integrantes de ellos.” (</w:t>
      </w:r>
      <w:proofErr w:type="gramStart"/>
      <w:r w:rsidRPr="007521C5">
        <w:rPr>
          <w:rFonts w:ascii="Palatino Linotype" w:eastAsia="Palatino Linotype" w:hAnsi="Palatino Linotype" w:cs="Palatino Linotype"/>
          <w:i/>
          <w:sz w:val="22"/>
          <w:szCs w:val="22"/>
        </w:rPr>
        <w:t>sic</w:t>
      </w:r>
      <w:proofErr w:type="gramEnd"/>
      <w:r w:rsidRPr="007521C5">
        <w:rPr>
          <w:rFonts w:ascii="Palatino Linotype" w:eastAsia="Palatino Linotype" w:hAnsi="Palatino Linotype" w:cs="Palatino Linotype"/>
          <w:i/>
          <w:sz w:val="22"/>
          <w:szCs w:val="22"/>
        </w:rPr>
        <w:t xml:space="preserve">). 2.- Los artículos 18.21 fracción III, A), 1 Y 4, del CÓDIGO ADMINISTRATIVO DEL ESTADO DE MÉXICO donde a la letra dice: “Artículo 18.21. </w:t>
      </w:r>
      <w:r w:rsidRPr="007521C5">
        <w:rPr>
          <w:rFonts w:ascii="Palatino Linotype" w:eastAsia="Palatino Linotype" w:hAnsi="Palatino Linotype" w:cs="Palatino Linotype"/>
          <w:b/>
          <w:i/>
          <w:sz w:val="22"/>
          <w:szCs w:val="22"/>
          <w:u w:val="single"/>
        </w:rPr>
        <w:t xml:space="preserve">A la solicitud de licencia de construcción se acompañará como mínimo: A). Para obra nueva, así como para la ampliación, modificación o reparación que afecte elementos estructurales de una obra existente: </w:t>
      </w:r>
      <w:r w:rsidRPr="007521C5">
        <w:rPr>
          <w:rFonts w:ascii="Palatino Linotype" w:eastAsia="Palatino Linotype" w:hAnsi="Palatino Linotype" w:cs="Palatino Linotype"/>
          <w:i/>
          <w:sz w:val="22"/>
          <w:szCs w:val="22"/>
        </w:rPr>
        <w:t xml:space="preserve">1. Licencia de uso del suelo, autorización de conjunto urbano o, en los casos que impliquen la construcción de más de diez viviendas o de un coeficiente de utilización del suelo de tres mil o más metros cuadrados de construcción en otros usos, </w:t>
      </w:r>
      <w:r w:rsidRPr="007521C5">
        <w:rPr>
          <w:rFonts w:ascii="Palatino Linotype" w:eastAsia="Palatino Linotype" w:hAnsi="Palatino Linotype" w:cs="Palatino Linotype"/>
          <w:b/>
          <w:i/>
          <w:sz w:val="22"/>
          <w:szCs w:val="22"/>
        </w:rPr>
        <w:t>constancia de viabilidad, autorización de subdivisión o de condominio según corresponda, expedida por la Secretaría de Desarrollo Urbano y Obra</w:t>
      </w:r>
      <w:r w:rsidRPr="007521C5">
        <w:rPr>
          <w:rFonts w:ascii="Palatino Linotype" w:eastAsia="Palatino Linotype" w:hAnsi="Palatino Linotype" w:cs="Palatino Linotype"/>
          <w:i/>
          <w:sz w:val="22"/>
          <w:szCs w:val="22"/>
        </w:rPr>
        <w:t>. 4. Planos arquitectónicos del proyecto en los que se indiquen los pisos, departamentos, viviendas o locales que serán áreas privativas o del dominio exclusivo de los condóminos, los elementos comunes de la construcción y las áreas de uso común del inmueble, así como tabla de indivisos, firmados por el Director Responsable de Obra y/o Corresponsable de Obra, en el caso de construcciones en régimen de propiedad en condominio.” (</w:t>
      </w:r>
      <w:proofErr w:type="gramStart"/>
      <w:r w:rsidRPr="007521C5">
        <w:rPr>
          <w:rFonts w:ascii="Palatino Linotype" w:eastAsia="Palatino Linotype" w:hAnsi="Palatino Linotype" w:cs="Palatino Linotype"/>
          <w:i/>
          <w:sz w:val="22"/>
          <w:szCs w:val="22"/>
        </w:rPr>
        <w:t>sic</w:t>
      </w:r>
      <w:proofErr w:type="gramEnd"/>
      <w:r w:rsidRPr="007521C5">
        <w:rPr>
          <w:rFonts w:ascii="Palatino Linotype" w:eastAsia="Palatino Linotype" w:hAnsi="Palatino Linotype" w:cs="Palatino Linotype"/>
          <w:i/>
          <w:sz w:val="22"/>
          <w:szCs w:val="22"/>
        </w:rPr>
        <w:t>).” (Sic) (Énfasis añadido)</w:t>
      </w:r>
    </w:p>
    <w:p w:rsidR="007521C5" w:rsidRPr="007521C5" w:rsidRDefault="007521C5">
      <w:pPr>
        <w:ind w:left="850" w:right="901"/>
        <w:jc w:val="both"/>
        <w:rPr>
          <w:rFonts w:ascii="Palatino Linotype" w:eastAsia="Palatino Linotype" w:hAnsi="Palatino Linotype" w:cs="Palatino Linotype"/>
          <w:i/>
          <w:sz w:val="22"/>
          <w:szCs w:val="22"/>
        </w:rPr>
      </w:pPr>
    </w:p>
    <w:p w:rsidR="007521C5" w:rsidRPr="007521C5" w:rsidRDefault="007521C5">
      <w:pPr>
        <w:ind w:left="850" w:right="901"/>
        <w:jc w:val="both"/>
        <w:rPr>
          <w:rFonts w:ascii="Palatino Linotype" w:eastAsia="Palatino Linotype" w:hAnsi="Palatino Linotype" w:cs="Palatino Linotype"/>
          <w:i/>
          <w:sz w:val="22"/>
          <w:szCs w:val="22"/>
        </w:rPr>
      </w:pPr>
    </w:p>
    <w:p w:rsidR="007521C5" w:rsidRPr="007521C5" w:rsidRDefault="007521C5">
      <w:pPr>
        <w:ind w:left="850" w:right="901"/>
        <w:jc w:val="both"/>
        <w:rPr>
          <w:rFonts w:ascii="Palatino Linotype" w:eastAsia="Palatino Linotype" w:hAnsi="Palatino Linotype" w:cs="Palatino Linotype"/>
          <w:i/>
          <w:sz w:val="22"/>
          <w:szCs w:val="22"/>
        </w:rPr>
      </w:pPr>
    </w:p>
    <w:p w:rsidR="007521C5" w:rsidRPr="007521C5" w:rsidRDefault="007521C5">
      <w:pPr>
        <w:ind w:left="850" w:right="901"/>
        <w:jc w:val="both"/>
        <w:rPr>
          <w:rFonts w:ascii="Palatino Linotype" w:eastAsia="Palatino Linotype" w:hAnsi="Palatino Linotype" w:cs="Palatino Linotype"/>
          <w:i/>
          <w:sz w:val="22"/>
          <w:szCs w:val="22"/>
        </w:rPr>
      </w:pPr>
    </w:p>
    <w:p w:rsidR="00E66E79" w:rsidRPr="007521C5" w:rsidRDefault="00E66E79">
      <w:pPr>
        <w:spacing w:line="360" w:lineRule="auto"/>
        <w:jc w:val="both"/>
        <w:rPr>
          <w:rFonts w:ascii="Palatino Linotype" w:eastAsia="Palatino Linotype" w:hAnsi="Palatino Linotype" w:cs="Palatino Linotype"/>
        </w:rPr>
      </w:pPr>
    </w:p>
    <w:p w:rsidR="00E66E79" w:rsidRPr="007521C5" w:rsidRDefault="003F333B">
      <w:pPr>
        <w:spacing w:line="360" w:lineRule="auto"/>
        <w:jc w:val="both"/>
        <w:rPr>
          <w:rFonts w:ascii="Palatino Linotype" w:eastAsia="Palatino Linotype" w:hAnsi="Palatino Linotype" w:cs="Palatino Linotype"/>
          <w:b/>
          <w:color w:val="000000"/>
          <w:sz w:val="26"/>
          <w:szCs w:val="26"/>
        </w:rPr>
      </w:pPr>
      <w:r w:rsidRPr="007521C5">
        <w:rPr>
          <w:rFonts w:ascii="Palatino Linotype" w:eastAsia="Palatino Linotype" w:hAnsi="Palatino Linotype" w:cs="Palatino Linotype"/>
          <w:b/>
          <w:sz w:val="26"/>
          <w:szCs w:val="26"/>
        </w:rPr>
        <w:lastRenderedPageBreak/>
        <w:t>VI. Del turno del Recurso de Revisión</w:t>
      </w:r>
    </w:p>
    <w:p w:rsidR="00E66E79" w:rsidRPr="007521C5" w:rsidRDefault="003F333B">
      <w:pPr>
        <w:spacing w:line="360" w:lineRule="auto"/>
        <w:jc w:val="both"/>
        <w:rPr>
          <w:rFonts w:ascii="Palatino Linotype" w:eastAsia="Palatino Linotype" w:hAnsi="Palatino Linotype" w:cs="Palatino Linotype"/>
        </w:rPr>
      </w:pPr>
      <w:bookmarkStart w:id="3" w:name="_heading=h.3znysh7" w:colFirst="0" w:colLast="0"/>
      <w:bookmarkEnd w:id="3"/>
      <w:r w:rsidRPr="007521C5">
        <w:rPr>
          <w:rFonts w:ascii="Palatino Linotype" w:eastAsia="Palatino Linotype" w:hAnsi="Palatino Linotype" w:cs="Palatino Linotype"/>
        </w:rPr>
        <w:t xml:space="preserve">El </w:t>
      </w:r>
      <w:r w:rsidRPr="007521C5">
        <w:rPr>
          <w:rFonts w:ascii="Palatino Linotype" w:eastAsia="Palatino Linotype" w:hAnsi="Palatino Linotype" w:cs="Palatino Linotype"/>
          <w:b/>
        </w:rPr>
        <w:t>veinte de abril de dos mil veintidós</w:t>
      </w:r>
      <w:r w:rsidRPr="007521C5">
        <w:rPr>
          <w:rFonts w:ascii="Palatino Linotype" w:eastAsia="Palatino Linotype" w:hAnsi="Palatino Linotype" w:cs="Palatino Linotype"/>
        </w:rPr>
        <w:t xml:space="preserve">, el recurso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mediante el </w:t>
      </w:r>
      <w:r w:rsidRPr="007521C5">
        <w:rPr>
          <w:rFonts w:ascii="Palatino Linotype" w:eastAsia="Palatino Linotype" w:hAnsi="Palatino Linotype" w:cs="Palatino Linotype"/>
          <w:b/>
        </w:rPr>
        <w:t>SAIMEX</w:t>
      </w:r>
      <w:r w:rsidRPr="007521C5">
        <w:rPr>
          <w:rFonts w:ascii="Palatino Linotype" w:eastAsia="Palatino Linotype" w:hAnsi="Palatino Linotype" w:cs="Palatino Linotype"/>
        </w:rPr>
        <w:t xml:space="preserve">, a la </w:t>
      </w:r>
      <w:r w:rsidRPr="007521C5">
        <w:rPr>
          <w:rFonts w:ascii="Palatino Linotype" w:eastAsia="Palatino Linotype" w:hAnsi="Palatino Linotype" w:cs="Palatino Linotype"/>
          <w:b/>
        </w:rPr>
        <w:t>Comisionada Sharon Cristina Morales Martínez</w:t>
      </w:r>
      <w:r w:rsidRPr="007521C5">
        <w:rPr>
          <w:rFonts w:ascii="Palatino Linotype" w:eastAsia="Palatino Linotype" w:hAnsi="Palatino Linotype" w:cs="Palatino Linotype"/>
        </w:rPr>
        <w:t>, a efecto de decretar su admisión o desechamiento.</w:t>
      </w:r>
    </w:p>
    <w:p w:rsidR="00E66E79" w:rsidRPr="007521C5" w:rsidRDefault="00E66E79">
      <w:pPr>
        <w:spacing w:line="360" w:lineRule="auto"/>
        <w:jc w:val="both"/>
        <w:rPr>
          <w:rFonts w:ascii="Palatino Linotype" w:eastAsia="Palatino Linotype" w:hAnsi="Palatino Linotype" w:cs="Palatino Linotype"/>
          <w:sz w:val="16"/>
          <w:szCs w:val="16"/>
        </w:rPr>
      </w:pPr>
    </w:p>
    <w:p w:rsidR="00E66E79" w:rsidRPr="007521C5" w:rsidRDefault="003F333B">
      <w:pPr>
        <w:tabs>
          <w:tab w:val="center" w:pos="4252"/>
          <w:tab w:val="right" w:pos="8504"/>
        </w:tabs>
        <w:spacing w:line="360" w:lineRule="auto"/>
        <w:jc w:val="both"/>
        <w:rPr>
          <w:rFonts w:ascii="Palatino Linotype" w:eastAsia="Palatino Linotype" w:hAnsi="Palatino Linotype" w:cs="Palatino Linotype"/>
          <w:b/>
          <w:color w:val="000000"/>
          <w:sz w:val="26"/>
          <w:szCs w:val="26"/>
        </w:rPr>
      </w:pPr>
      <w:r w:rsidRPr="007521C5">
        <w:rPr>
          <w:rFonts w:ascii="Palatino Linotype" w:eastAsia="Palatino Linotype" w:hAnsi="Palatino Linotype" w:cs="Palatino Linotype"/>
          <w:b/>
          <w:color w:val="000000"/>
          <w:sz w:val="26"/>
          <w:szCs w:val="26"/>
        </w:rPr>
        <w:t>a) Admisión del Recurso de Revisión</w:t>
      </w:r>
    </w:p>
    <w:p w:rsidR="00E66E79" w:rsidRPr="007521C5" w:rsidRDefault="003F333B">
      <w:pPr>
        <w:tabs>
          <w:tab w:val="center" w:pos="4252"/>
          <w:tab w:val="right" w:pos="8504"/>
        </w:tabs>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De las constancias del expediente electrónico del</w:t>
      </w:r>
      <w:r w:rsidRPr="007521C5">
        <w:rPr>
          <w:rFonts w:ascii="Palatino Linotype" w:eastAsia="Palatino Linotype" w:hAnsi="Palatino Linotype" w:cs="Palatino Linotype"/>
          <w:b/>
        </w:rPr>
        <w:t xml:space="preserve"> SAIMEX</w:t>
      </w:r>
      <w:r w:rsidRPr="007521C5">
        <w:rPr>
          <w:rFonts w:ascii="Palatino Linotype" w:eastAsia="Palatino Linotype" w:hAnsi="Palatino Linotype" w:cs="Palatino Linotype"/>
        </w:rPr>
        <w:t xml:space="preserve">, se advierte que en fecha </w:t>
      </w:r>
      <w:r w:rsidRPr="007521C5">
        <w:rPr>
          <w:rFonts w:ascii="Palatino Linotype" w:eastAsia="Palatino Linotype" w:hAnsi="Palatino Linotype" w:cs="Palatino Linotype"/>
          <w:b/>
        </w:rPr>
        <w:t>veintidós de abril de dos mil veintidós</w:t>
      </w:r>
      <w:r w:rsidRPr="007521C5">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manifestaran lo que a su derecho conviniera, a efecto de presentar pruebas y alegatos; así como para que </w:t>
      </w:r>
      <w:r w:rsidRPr="007521C5">
        <w:rPr>
          <w:rFonts w:ascii="Palatino Linotype" w:eastAsia="Palatino Linotype" w:hAnsi="Palatino Linotype" w:cs="Palatino Linotype"/>
          <w:b/>
        </w:rPr>
        <w:t xml:space="preserve">EL SUJETO OBLIGADO </w:t>
      </w:r>
      <w:r w:rsidRPr="007521C5">
        <w:rPr>
          <w:rFonts w:ascii="Palatino Linotype" w:eastAsia="Palatino Linotype" w:hAnsi="Palatino Linotype" w:cs="Palatino Linotype"/>
        </w:rPr>
        <w:t>rindiera su</w:t>
      </w:r>
      <w:r w:rsidRPr="007521C5">
        <w:rPr>
          <w:rFonts w:ascii="Palatino Linotype" w:eastAsia="Palatino Linotype" w:hAnsi="Palatino Linotype" w:cs="Palatino Linotype"/>
          <w:b/>
        </w:rPr>
        <w:t xml:space="preserve"> </w:t>
      </w:r>
      <w:r w:rsidRPr="007521C5">
        <w:rPr>
          <w:rFonts w:ascii="Palatino Linotype" w:eastAsia="Palatino Linotype" w:hAnsi="Palatino Linotype" w:cs="Palatino Linotype"/>
        </w:rPr>
        <w:t>Informe Justificado, conforme a lo dispuesto por el artículo 185 de la Ley de Transparencia y Acceso a la Información Pública del Estado de México y Municipios.</w:t>
      </w:r>
    </w:p>
    <w:p w:rsidR="00E66E79" w:rsidRPr="007521C5" w:rsidRDefault="00E66E79">
      <w:pPr>
        <w:tabs>
          <w:tab w:val="center" w:pos="4252"/>
          <w:tab w:val="right" w:pos="8504"/>
        </w:tabs>
        <w:spacing w:line="360" w:lineRule="auto"/>
        <w:jc w:val="both"/>
        <w:rPr>
          <w:rFonts w:ascii="Palatino Linotype" w:eastAsia="Palatino Linotype" w:hAnsi="Palatino Linotype" w:cs="Palatino Linotype"/>
        </w:rPr>
      </w:pPr>
    </w:p>
    <w:p w:rsidR="00E66E79" w:rsidRPr="007521C5" w:rsidRDefault="00E66E79">
      <w:pPr>
        <w:tabs>
          <w:tab w:val="center" w:pos="4252"/>
          <w:tab w:val="right" w:pos="8504"/>
        </w:tabs>
        <w:spacing w:line="360" w:lineRule="auto"/>
        <w:jc w:val="both"/>
        <w:rPr>
          <w:rFonts w:ascii="Palatino Linotype" w:eastAsia="Palatino Linotype" w:hAnsi="Palatino Linotype" w:cs="Palatino Linotype"/>
          <w:sz w:val="8"/>
          <w:szCs w:val="8"/>
        </w:rPr>
      </w:pPr>
    </w:p>
    <w:p w:rsidR="00E66E79" w:rsidRPr="007521C5" w:rsidRDefault="003F333B">
      <w:pPr>
        <w:spacing w:line="360" w:lineRule="auto"/>
        <w:jc w:val="both"/>
        <w:rPr>
          <w:rFonts w:ascii="Palatino Linotype" w:eastAsia="Palatino Linotype" w:hAnsi="Palatino Linotype" w:cs="Palatino Linotype"/>
          <w:b/>
          <w:sz w:val="26"/>
          <w:szCs w:val="26"/>
        </w:rPr>
      </w:pPr>
      <w:r w:rsidRPr="007521C5">
        <w:rPr>
          <w:rFonts w:ascii="Palatino Linotype" w:eastAsia="Palatino Linotype" w:hAnsi="Palatino Linotype" w:cs="Palatino Linotype"/>
          <w:b/>
          <w:sz w:val="26"/>
          <w:szCs w:val="26"/>
        </w:rPr>
        <w:t>b) Informe Justificado</w:t>
      </w:r>
    </w:p>
    <w:p w:rsidR="00E66E79" w:rsidRPr="007521C5" w:rsidRDefault="003F333B">
      <w:pPr>
        <w:spacing w:line="360" w:lineRule="auto"/>
        <w:jc w:val="both"/>
        <w:rPr>
          <w:rFonts w:ascii="Palatino Linotype" w:eastAsia="Palatino Linotype" w:hAnsi="Palatino Linotype" w:cs="Palatino Linotype"/>
        </w:rPr>
      </w:pPr>
      <w:bookmarkStart w:id="4" w:name="_heading=h.2et92p0" w:colFirst="0" w:colLast="0"/>
      <w:bookmarkEnd w:id="4"/>
      <w:r w:rsidRPr="007521C5">
        <w:rPr>
          <w:rFonts w:ascii="Palatino Linotype" w:eastAsia="Palatino Linotype" w:hAnsi="Palatino Linotype" w:cs="Palatino Linotype"/>
        </w:rPr>
        <w:t>En cumplimiento a lo anterior, de las constancias del expediente electrónico que obra en el </w:t>
      </w:r>
      <w:r w:rsidRPr="007521C5">
        <w:rPr>
          <w:rFonts w:ascii="Palatino Linotype" w:eastAsia="Palatino Linotype" w:hAnsi="Palatino Linotype" w:cs="Palatino Linotype"/>
          <w:b/>
        </w:rPr>
        <w:t>SAIMEX</w:t>
      </w:r>
      <w:r w:rsidRPr="007521C5">
        <w:rPr>
          <w:rFonts w:ascii="Palatino Linotype" w:eastAsia="Palatino Linotype" w:hAnsi="Palatino Linotype" w:cs="Palatino Linotype"/>
        </w:rPr>
        <w:t xml:space="preserve">, del Recurso materia del presente estudio, se advierte que </w:t>
      </w:r>
      <w:r w:rsidRPr="007521C5">
        <w:rPr>
          <w:rFonts w:ascii="Palatino Linotype" w:eastAsia="Palatino Linotype" w:hAnsi="Palatino Linotype" w:cs="Palatino Linotype"/>
          <w:b/>
        </w:rPr>
        <w:t xml:space="preserve">EL SUJETO </w:t>
      </w:r>
      <w:r w:rsidRPr="007521C5">
        <w:rPr>
          <w:rFonts w:ascii="Palatino Linotype" w:eastAsia="Palatino Linotype" w:hAnsi="Palatino Linotype" w:cs="Palatino Linotype"/>
          <w:b/>
        </w:rPr>
        <w:lastRenderedPageBreak/>
        <w:t xml:space="preserve">OBLIGADO </w:t>
      </w:r>
      <w:r w:rsidRPr="007521C5">
        <w:rPr>
          <w:rFonts w:ascii="Palatino Linotype" w:eastAsia="Palatino Linotype" w:hAnsi="Palatino Linotype" w:cs="Palatino Linotype"/>
        </w:rPr>
        <w:t>rindió su Informe Justificado, en el cual de manera medular ratifica su respuesta.</w:t>
      </w:r>
    </w:p>
    <w:p w:rsidR="00E66E79" w:rsidRPr="007521C5" w:rsidRDefault="00E66E79">
      <w:pPr>
        <w:spacing w:line="360" w:lineRule="auto"/>
        <w:jc w:val="both"/>
        <w:rPr>
          <w:rFonts w:ascii="Palatino Linotype" w:eastAsia="Palatino Linotype" w:hAnsi="Palatino Linotype" w:cs="Palatino Linotype"/>
          <w:b/>
          <w:sz w:val="26"/>
          <w:szCs w:val="26"/>
        </w:rPr>
      </w:pPr>
    </w:p>
    <w:p w:rsidR="00E66E79" w:rsidRPr="007521C5" w:rsidRDefault="003F333B">
      <w:pPr>
        <w:spacing w:line="360" w:lineRule="auto"/>
        <w:jc w:val="both"/>
        <w:rPr>
          <w:rFonts w:ascii="Palatino Linotype" w:eastAsia="Palatino Linotype" w:hAnsi="Palatino Linotype" w:cs="Palatino Linotype"/>
          <w:b/>
          <w:sz w:val="26"/>
          <w:szCs w:val="26"/>
        </w:rPr>
      </w:pPr>
      <w:r w:rsidRPr="007521C5">
        <w:rPr>
          <w:rFonts w:ascii="Palatino Linotype" w:eastAsia="Palatino Linotype" w:hAnsi="Palatino Linotype" w:cs="Palatino Linotype"/>
          <w:b/>
          <w:sz w:val="26"/>
          <w:szCs w:val="26"/>
        </w:rPr>
        <w:t>c) Manifestaciones del Recurrente.</w:t>
      </w:r>
    </w:p>
    <w:p w:rsidR="00E66E79" w:rsidRPr="007521C5" w:rsidRDefault="003F333B">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 xml:space="preserve">De las constancias que obran en el expediente electrónico del </w:t>
      </w:r>
      <w:r w:rsidRPr="007521C5">
        <w:rPr>
          <w:rFonts w:ascii="Palatino Linotype" w:eastAsia="Palatino Linotype" w:hAnsi="Palatino Linotype" w:cs="Palatino Linotype"/>
          <w:b/>
        </w:rPr>
        <w:t>SAIMEX</w:t>
      </w:r>
      <w:r w:rsidRPr="007521C5">
        <w:rPr>
          <w:rFonts w:ascii="Palatino Linotype" w:eastAsia="Palatino Linotype" w:hAnsi="Palatino Linotype" w:cs="Palatino Linotype"/>
        </w:rPr>
        <w:t xml:space="preserve">, se advierte que </w:t>
      </w:r>
      <w:r w:rsidRPr="007521C5">
        <w:rPr>
          <w:rFonts w:ascii="Palatino Linotype" w:eastAsia="Palatino Linotype" w:hAnsi="Palatino Linotype" w:cs="Palatino Linotype"/>
          <w:b/>
        </w:rPr>
        <w:t>EL RECURRENTE</w:t>
      </w:r>
      <w:r w:rsidRPr="007521C5">
        <w:rPr>
          <w:rFonts w:ascii="Palatino Linotype" w:eastAsia="Palatino Linotype" w:hAnsi="Palatino Linotype" w:cs="Palatino Linotype"/>
        </w:rPr>
        <w:t xml:space="preserve"> no realizó manifestación alguna.</w:t>
      </w:r>
    </w:p>
    <w:p w:rsidR="00394822" w:rsidRPr="007521C5" w:rsidRDefault="00394822">
      <w:pPr>
        <w:tabs>
          <w:tab w:val="left" w:pos="709"/>
        </w:tabs>
        <w:spacing w:line="360" w:lineRule="auto"/>
        <w:jc w:val="both"/>
        <w:rPr>
          <w:rFonts w:ascii="Palatino Linotype" w:eastAsia="Palatino Linotype" w:hAnsi="Palatino Linotype" w:cs="Palatino Linotype"/>
          <w:color w:val="000000"/>
        </w:rPr>
      </w:pPr>
    </w:p>
    <w:p w:rsidR="00394822" w:rsidRPr="007521C5" w:rsidRDefault="00394822" w:rsidP="00394822">
      <w:pPr>
        <w:spacing w:line="360" w:lineRule="auto"/>
        <w:jc w:val="both"/>
        <w:rPr>
          <w:rFonts w:ascii="Palatino Linotype" w:eastAsia="Palatino Linotype" w:hAnsi="Palatino Linotype" w:cs="Palatino Linotype"/>
          <w:b/>
          <w:sz w:val="26"/>
          <w:szCs w:val="26"/>
        </w:rPr>
      </w:pPr>
      <w:r w:rsidRPr="007521C5">
        <w:rPr>
          <w:rFonts w:ascii="Palatino Linotype" w:eastAsia="Palatino Linotype" w:hAnsi="Palatino Linotype" w:cs="Palatino Linotype"/>
          <w:b/>
          <w:sz w:val="26"/>
          <w:szCs w:val="26"/>
        </w:rPr>
        <w:t>d) De ampliación plazo para resolver</w:t>
      </w:r>
    </w:p>
    <w:p w:rsidR="00394822" w:rsidRPr="007521C5" w:rsidRDefault="00394822" w:rsidP="00394822">
      <w:pPr>
        <w:spacing w:line="360" w:lineRule="auto"/>
        <w:jc w:val="both"/>
        <w:rPr>
          <w:rFonts w:ascii="Palatino Linotype" w:eastAsia="Palatino Linotype" w:hAnsi="Palatino Linotype" w:cs="Palatino Linotype"/>
          <w:color w:val="000000"/>
        </w:rPr>
      </w:pPr>
      <w:r w:rsidRPr="007521C5">
        <w:rPr>
          <w:rFonts w:ascii="Palatino Linotype" w:eastAsia="Palatino Linotype" w:hAnsi="Palatino Linotype" w:cs="Palatino Linotype"/>
          <w:color w:val="000000"/>
        </w:rPr>
        <w:t xml:space="preserve">El </w:t>
      </w:r>
      <w:r w:rsidRPr="007521C5">
        <w:rPr>
          <w:rFonts w:ascii="Palatino Linotype" w:eastAsia="Palatino Linotype" w:hAnsi="Palatino Linotype" w:cs="Palatino Linotype"/>
          <w:b/>
        </w:rPr>
        <w:t xml:space="preserve">ocho de junio </w:t>
      </w:r>
      <w:r w:rsidRPr="007521C5">
        <w:rPr>
          <w:rFonts w:ascii="Palatino Linotype" w:eastAsia="Palatino Linotype" w:hAnsi="Palatino Linotype" w:cs="Palatino Linotype"/>
          <w:b/>
          <w:color w:val="000000"/>
        </w:rPr>
        <w:t>de dos mil veintidós</w:t>
      </w:r>
      <w:r w:rsidRPr="007521C5">
        <w:rPr>
          <w:rFonts w:ascii="Palatino Linotype" w:eastAsia="Palatino Linotype" w:hAnsi="Palatino Linotype" w:cs="Palatino Linotype"/>
          <w:color w:val="000000"/>
        </w:rPr>
        <w:t>, se notificó a las partes el Acuerdo de ampliación del plazo para resolver los Recursos de Revisión en estudio, por un periodo de hasta quince días hábiles, de conformidad con el artículo 181, tercer párrafo de la Ley de Transparencia y Acceso a la Información Pública del Estado de México y Municipios.</w:t>
      </w:r>
    </w:p>
    <w:p w:rsidR="00394822" w:rsidRPr="007521C5" w:rsidRDefault="00394822" w:rsidP="00394822">
      <w:pPr>
        <w:spacing w:line="360" w:lineRule="auto"/>
        <w:jc w:val="both"/>
        <w:rPr>
          <w:rFonts w:ascii="Palatino Linotype" w:eastAsia="Palatino Linotype" w:hAnsi="Palatino Linotype" w:cs="Palatino Linotype"/>
          <w:color w:val="000000"/>
        </w:rPr>
      </w:pPr>
    </w:p>
    <w:p w:rsidR="00185FED" w:rsidRPr="009048FB" w:rsidRDefault="00185FED" w:rsidP="00185FED">
      <w:pPr>
        <w:spacing w:line="360" w:lineRule="auto"/>
        <w:jc w:val="both"/>
        <w:rPr>
          <w:rFonts w:ascii="Palatino Linotype" w:hAnsi="Palatino Linotype"/>
        </w:rPr>
      </w:pPr>
      <w:r w:rsidRPr="009048FB">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185FED" w:rsidRPr="009048FB" w:rsidRDefault="00185FED" w:rsidP="00185FED">
      <w:pPr>
        <w:pStyle w:val="Prrafodelista"/>
        <w:spacing w:line="360" w:lineRule="auto"/>
        <w:jc w:val="both"/>
        <w:rPr>
          <w:rFonts w:ascii="Palatino Linotype" w:hAnsi="Palatino Linotype"/>
        </w:rPr>
      </w:pPr>
    </w:p>
    <w:p w:rsidR="00185FED" w:rsidRPr="009048FB" w:rsidRDefault="00185FED" w:rsidP="00185FED">
      <w:pPr>
        <w:spacing w:line="360" w:lineRule="auto"/>
        <w:jc w:val="both"/>
        <w:rPr>
          <w:rFonts w:ascii="Palatino Linotype" w:hAnsi="Palatino Linotype"/>
        </w:rPr>
      </w:pPr>
      <w:r w:rsidRPr="009048FB">
        <w:rPr>
          <w:rFonts w:ascii="Palatino Linotype" w:hAnsi="Palatino Linotype"/>
        </w:rPr>
        <w:t xml:space="preserve">Por ello, es menester precisar que si bien se ha excedido el plazo para resolver el presente medio de impugnación, de conformidad con la ley de la materia, el plazo para </w:t>
      </w:r>
      <w:r w:rsidRPr="009048FB">
        <w:rPr>
          <w:rFonts w:ascii="Palatino Linotype" w:hAnsi="Palatino Linotype"/>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rsidR="00185FED" w:rsidRPr="009048FB" w:rsidRDefault="00185FED" w:rsidP="00185FED">
      <w:pPr>
        <w:pStyle w:val="Prrafodelista"/>
        <w:spacing w:line="360" w:lineRule="auto"/>
        <w:jc w:val="both"/>
        <w:rPr>
          <w:rFonts w:ascii="Palatino Linotype" w:hAnsi="Palatino Linotype"/>
        </w:rPr>
      </w:pPr>
    </w:p>
    <w:p w:rsidR="00185FED" w:rsidRPr="009048FB" w:rsidRDefault="00185FED" w:rsidP="00185FED">
      <w:pPr>
        <w:spacing w:line="360" w:lineRule="auto"/>
        <w:jc w:val="both"/>
        <w:rPr>
          <w:rFonts w:ascii="Palatino Linotype" w:hAnsi="Palatino Linotype"/>
        </w:rPr>
      </w:pPr>
      <w:r w:rsidRPr="009048F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85FED" w:rsidRPr="009048FB" w:rsidRDefault="00185FED" w:rsidP="00185FED">
      <w:pPr>
        <w:pStyle w:val="Prrafodelista"/>
        <w:spacing w:line="360" w:lineRule="auto"/>
        <w:jc w:val="both"/>
        <w:rPr>
          <w:rFonts w:ascii="Palatino Linotype" w:hAnsi="Palatino Linotype"/>
        </w:rPr>
      </w:pPr>
    </w:p>
    <w:p w:rsidR="00185FED" w:rsidRPr="009048FB" w:rsidRDefault="00185FED" w:rsidP="00185FED">
      <w:pPr>
        <w:spacing w:line="360" w:lineRule="auto"/>
        <w:jc w:val="both"/>
        <w:rPr>
          <w:rFonts w:ascii="Palatino Linotype" w:hAnsi="Palatino Linotype"/>
        </w:rPr>
      </w:pPr>
      <w:r w:rsidRPr="009048FB">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185FED" w:rsidRPr="009048FB" w:rsidRDefault="00185FED" w:rsidP="00185FED">
      <w:pPr>
        <w:pStyle w:val="Prrafodelista"/>
        <w:spacing w:line="360" w:lineRule="auto"/>
        <w:jc w:val="both"/>
        <w:rPr>
          <w:rFonts w:ascii="Palatino Linotype" w:hAnsi="Palatino Linotype"/>
        </w:rPr>
      </w:pPr>
    </w:p>
    <w:p w:rsidR="00185FED" w:rsidRPr="009048FB" w:rsidRDefault="00185FED" w:rsidP="00185FED">
      <w:pPr>
        <w:spacing w:line="360" w:lineRule="auto"/>
        <w:jc w:val="both"/>
        <w:rPr>
          <w:rFonts w:ascii="Palatino Linotype" w:hAnsi="Palatino Linotype"/>
        </w:rPr>
      </w:pPr>
      <w:r w:rsidRPr="009048FB">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rsidR="00185FED" w:rsidRPr="009048FB" w:rsidRDefault="00185FED" w:rsidP="00185FED">
      <w:pPr>
        <w:pStyle w:val="Prrafodelista"/>
        <w:spacing w:line="360" w:lineRule="auto"/>
        <w:jc w:val="both"/>
        <w:rPr>
          <w:rFonts w:ascii="Palatino Linotype" w:hAnsi="Palatino Linotype"/>
        </w:rPr>
      </w:pPr>
    </w:p>
    <w:p w:rsidR="00185FED" w:rsidRPr="009048FB" w:rsidRDefault="00185FED" w:rsidP="00185FED">
      <w:pPr>
        <w:pStyle w:val="Prrafodelista"/>
        <w:spacing w:line="360" w:lineRule="auto"/>
        <w:jc w:val="both"/>
        <w:rPr>
          <w:rFonts w:ascii="Palatino Linotype" w:hAnsi="Palatino Linotype"/>
        </w:rPr>
      </w:pPr>
      <w:r w:rsidRPr="009048FB">
        <w:rPr>
          <w:rFonts w:ascii="Palatino Linotype" w:hAnsi="Palatino Linotype"/>
        </w:rPr>
        <w:t>a) Complejidad del asunto: La complejidad de la prueba, la pluralidad de sujetos procesales, el tiempo transcurrido, las características y contexto del recurso.</w:t>
      </w:r>
    </w:p>
    <w:p w:rsidR="00185FED" w:rsidRPr="009048FB" w:rsidRDefault="00185FED" w:rsidP="00185FED">
      <w:pPr>
        <w:pStyle w:val="Prrafodelista"/>
        <w:spacing w:line="360" w:lineRule="auto"/>
        <w:jc w:val="both"/>
        <w:rPr>
          <w:rFonts w:ascii="Palatino Linotype" w:hAnsi="Palatino Linotype"/>
        </w:rPr>
      </w:pPr>
      <w:r w:rsidRPr="009048FB">
        <w:rPr>
          <w:rFonts w:ascii="Palatino Linotype" w:hAnsi="Palatino Linotype"/>
        </w:rPr>
        <w:t>b) Actividad Procesal del interesado: Acciones u omisiones del interesado.</w:t>
      </w:r>
    </w:p>
    <w:p w:rsidR="00185FED" w:rsidRPr="009048FB" w:rsidRDefault="00185FED" w:rsidP="00185FED">
      <w:pPr>
        <w:pStyle w:val="Prrafodelista"/>
        <w:spacing w:line="360" w:lineRule="auto"/>
        <w:jc w:val="both"/>
        <w:rPr>
          <w:rFonts w:ascii="Palatino Linotype" w:hAnsi="Palatino Linotype"/>
        </w:rPr>
      </w:pPr>
      <w:r w:rsidRPr="009048FB">
        <w:rPr>
          <w:rFonts w:ascii="Palatino Linotype" w:hAnsi="Palatino Linotype"/>
        </w:rPr>
        <w:t>c) Conducta de la Autoridad: Las Acciones u omisiones realizadas en el procedimiento. Así como si la autoridad actuó con la debida diligencia.</w:t>
      </w:r>
    </w:p>
    <w:p w:rsidR="00185FED" w:rsidRPr="009048FB" w:rsidRDefault="00185FED" w:rsidP="00185FED">
      <w:pPr>
        <w:pStyle w:val="Prrafodelista"/>
        <w:spacing w:line="360" w:lineRule="auto"/>
        <w:jc w:val="both"/>
        <w:rPr>
          <w:rFonts w:ascii="Palatino Linotype" w:hAnsi="Palatino Linotype"/>
        </w:rPr>
      </w:pPr>
      <w:r w:rsidRPr="009048FB">
        <w:rPr>
          <w:rFonts w:ascii="Palatino Linotype" w:hAnsi="Palatino Linotype"/>
        </w:rPr>
        <w:lastRenderedPageBreak/>
        <w:t>d) La afectación generada en la situación jurídica de la persona involucrada en el proceso: Violación a sus derechos humanos.</w:t>
      </w:r>
    </w:p>
    <w:p w:rsidR="00185FED" w:rsidRPr="009048FB" w:rsidRDefault="00185FED" w:rsidP="00185FED">
      <w:pPr>
        <w:pStyle w:val="Prrafodelista"/>
        <w:spacing w:line="360" w:lineRule="auto"/>
        <w:jc w:val="both"/>
        <w:rPr>
          <w:rFonts w:ascii="Palatino Linotype" w:hAnsi="Palatino Linotype"/>
        </w:rPr>
      </w:pPr>
    </w:p>
    <w:p w:rsidR="00185FED" w:rsidRPr="009048FB" w:rsidRDefault="00185FED" w:rsidP="00185FED">
      <w:pPr>
        <w:spacing w:line="360" w:lineRule="auto"/>
        <w:jc w:val="both"/>
        <w:rPr>
          <w:rFonts w:ascii="Palatino Linotype" w:hAnsi="Palatino Linotype"/>
        </w:rPr>
      </w:pPr>
      <w:r w:rsidRPr="009048FB">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85FED" w:rsidRPr="009048FB" w:rsidRDefault="00185FED" w:rsidP="00185FED">
      <w:pPr>
        <w:pStyle w:val="Prrafodelista"/>
        <w:spacing w:line="360" w:lineRule="auto"/>
        <w:jc w:val="both"/>
        <w:rPr>
          <w:rFonts w:ascii="Palatino Linotype" w:hAnsi="Palatino Linotype"/>
        </w:rPr>
      </w:pPr>
    </w:p>
    <w:p w:rsidR="00185FED" w:rsidRPr="009048FB" w:rsidRDefault="00185FED" w:rsidP="00185FED">
      <w:pPr>
        <w:spacing w:line="360" w:lineRule="auto"/>
        <w:jc w:val="both"/>
        <w:rPr>
          <w:rFonts w:ascii="Palatino Linotype" w:hAnsi="Palatino Linotype"/>
        </w:rPr>
      </w:pPr>
      <w:r w:rsidRPr="009048FB">
        <w:rPr>
          <w:rFonts w:ascii="Palatino Linotype" w:hAnsi="Palatino Linotype"/>
        </w:rPr>
        <w:t>Argumento que encuentra sustento en la jurisprudencia P</w:t>
      </w:r>
      <w:proofErr w:type="gramStart"/>
      <w:r w:rsidRPr="009048FB">
        <w:rPr>
          <w:rFonts w:ascii="Palatino Linotype" w:hAnsi="Palatino Linotype"/>
        </w:rPr>
        <w:t>./</w:t>
      </w:r>
      <w:proofErr w:type="gramEnd"/>
      <w:r w:rsidRPr="009048FB">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185FED" w:rsidRPr="009048FB" w:rsidRDefault="00185FED" w:rsidP="00185FED">
      <w:pPr>
        <w:pStyle w:val="Prrafodelista"/>
        <w:spacing w:line="360" w:lineRule="auto"/>
        <w:jc w:val="both"/>
        <w:rPr>
          <w:rFonts w:ascii="Palatino Linotype" w:hAnsi="Palatino Linotype"/>
        </w:rPr>
      </w:pPr>
    </w:p>
    <w:p w:rsidR="00185FED" w:rsidRPr="009048FB" w:rsidRDefault="00185FED" w:rsidP="00185FED">
      <w:pPr>
        <w:spacing w:line="360" w:lineRule="auto"/>
        <w:jc w:val="both"/>
        <w:rPr>
          <w:rFonts w:ascii="Palatino Linotype" w:hAnsi="Palatino Linotype"/>
        </w:rPr>
      </w:pPr>
      <w:r w:rsidRPr="009048FB">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9048FB">
        <w:rPr>
          <w:rFonts w:ascii="Palatino Linotype" w:hAnsi="Palatino Linotype"/>
        </w:rPr>
        <w:lastRenderedPageBreak/>
        <w:t>términos legales previamente establecidos por la Ley, por tratarse de causas de fuerza mayor.</w:t>
      </w:r>
    </w:p>
    <w:p w:rsidR="00185FED" w:rsidRPr="009048FB" w:rsidRDefault="00185FED" w:rsidP="00185FED">
      <w:pPr>
        <w:pStyle w:val="Prrafodelista"/>
        <w:spacing w:line="360" w:lineRule="auto"/>
        <w:jc w:val="both"/>
        <w:rPr>
          <w:rFonts w:ascii="Palatino Linotype" w:hAnsi="Palatino Linotype"/>
        </w:rPr>
      </w:pPr>
    </w:p>
    <w:p w:rsidR="00185FED" w:rsidRPr="009048FB" w:rsidRDefault="00185FED" w:rsidP="00185FED">
      <w:pPr>
        <w:spacing w:line="360" w:lineRule="auto"/>
        <w:jc w:val="both"/>
        <w:rPr>
          <w:rFonts w:ascii="Palatino Linotype" w:hAnsi="Palatino Linotype"/>
        </w:rPr>
      </w:pPr>
      <w:r w:rsidRPr="009048F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185FED" w:rsidRPr="009048FB" w:rsidRDefault="00185FED" w:rsidP="00185FED">
      <w:pPr>
        <w:pStyle w:val="Prrafodelista"/>
        <w:spacing w:line="360" w:lineRule="auto"/>
        <w:jc w:val="both"/>
        <w:rPr>
          <w:rFonts w:ascii="Palatino Linotype" w:hAnsi="Palatino Linotype"/>
        </w:rPr>
      </w:pPr>
    </w:p>
    <w:p w:rsidR="00185FED" w:rsidRPr="009048FB" w:rsidRDefault="00185FED" w:rsidP="00185FED">
      <w:pPr>
        <w:spacing w:line="360" w:lineRule="auto"/>
        <w:jc w:val="both"/>
        <w:rPr>
          <w:rFonts w:ascii="Palatino Linotype" w:hAnsi="Palatino Linotype"/>
        </w:rPr>
      </w:pPr>
      <w:r w:rsidRPr="009048FB">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rsidR="00185FED" w:rsidRPr="009048FB" w:rsidRDefault="00185FED" w:rsidP="00185FED">
      <w:pPr>
        <w:pStyle w:val="Prrafodelista"/>
        <w:spacing w:line="360" w:lineRule="auto"/>
        <w:jc w:val="both"/>
        <w:rPr>
          <w:rFonts w:ascii="Palatino Linotype" w:hAnsi="Palatino Linotype"/>
        </w:rPr>
      </w:pPr>
    </w:p>
    <w:p w:rsidR="00185FED" w:rsidRPr="009048FB" w:rsidRDefault="00185FED" w:rsidP="00185FED">
      <w:pPr>
        <w:spacing w:line="360" w:lineRule="auto"/>
        <w:jc w:val="both"/>
        <w:rPr>
          <w:rFonts w:ascii="Palatino Linotype" w:hAnsi="Palatino Linotype"/>
        </w:rPr>
      </w:pPr>
      <w:r w:rsidRPr="009048FB">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rsidR="00185FED" w:rsidRPr="009048FB" w:rsidRDefault="00185FED" w:rsidP="00185FED">
      <w:pPr>
        <w:pStyle w:val="Prrafodelista"/>
        <w:spacing w:line="360" w:lineRule="auto"/>
        <w:jc w:val="both"/>
        <w:rPr>
          <w:rFonts w:ascii="Palatino Linotype" w:hAnsi="Palatino Linotype"/>
        </w:rPr>
      </w:pPr>
    </w:p>
    <w:p w:rsidR="00185FED" w:rsidRDefault="00185FED" w:rsidP="00185FED">
      <w:pPr>
        <w:spacing w:line="360" w:lineRule="auto"/>
        <w:jc w:val="both"/>
        <w:rPr>
          <w:rFonts w:ascii="Palatino Linotype" w:hAnsi="Palatino Linotype"/>
        </w:rPr>
      </w:pPr>
      <w:r w:rsidRPr="009048FB">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43748E" w:rsidRDefault="0043748E" w:rsidP="00185FED">
      <w:pPr>
        <w:spacing w:line="360" w:lineRule="auto"/>
        <w:jc w:val="both"/>
        <w:rPr>
          <w:rFonts w:ascii="Palatino Linotype" w:hAnsi="Palatino Linotype"/>
        </w:rPr>
      </w:pPr>
    </w:p>
    <w:p w:rsidR="0043748E" w:rsidRPr="006D3F6C" w:rsidRDefault="0043748E" w:rsidP="0043748E">
      <w:pPr>
        <w:spacing w:line="360" w:lineRule="auto"/>
        <w:jc w:val="both"/>
        <w:rPr>
          <w:rFonts w:ascii="Palatino Linotype" w:hAnsi="Palatino Linotype"/>
          <w:b/>
        </w:rPr>
      </w:pPr>
      <w:r>
        <w:rPr>
          <w:rFonts w:ascii="Palatino Linotype" w:hAnsi="Palatino Linotype"/>
          <w:b/>
        </w:rPr>
        <w:t xml:space="preserve">e) Del returno </w:t>
      </w:r>
    </w:p>
    <w:p w:rsidR="0043748E" w:rsidRPr="006D3F6C" w:rsidRDefault="0043748E" w:rsidP="0043748E">
      <w:pPr>
        <w:spacing w:line="360" w:lineRule="auto"/>
        <w:jc w:val="both"/>
        <w:rPr>
          <w:rFonts w:ascii="Palatino Linotype" w:hAnsi="Palatino Linotype"/>
        </w:rPr>
      </w:pPr>
      <w:r w:rsidRPr="00616262">
        <w:rPr>
          <w:rFonts w:ascii="Palatino Linotype" w:hAnsi="Palatino Linotype" w:cs="Arial"/>
          <w:color w:val="000000" w:themeColor="text1"/>
        </w:rPr>
        <w:t>En la Vigésima Cuarta Sesión Ordinaria celebrada el veintinueve de junio de dos mil veintidós,</w:t>
      </w:r>
      <w:r>
        <w:rPr>
          <w:rFonts w:ascii="Palatino Linotype" w:hAnsi="Palatino Linotype" w:cs="Arial"/>
          <w:color w:val="000000" w:themeColor="text1"/>
        </w:rPr>
        <w:t xml:space="preserve"> </w:t>
      </w:r>
      <w:r w:rsidRPr="006D3F6C">
        <w:rPr>
          <w:rFonts w:ascii="Palatino Linotype" w:hAnsi="Palatino Linotype"/>
        </w:rPr>
        <w:t xml:space="preserve">el Pleno del Instituto de Transparencia, Acceso a la Información Pública y Protección de Datos Personales del Estado de México y Municipios, aprobó el returno </w:t>
      </w:r>
      <w:r w:rsidRPr="006D3F6C">
        <w:rPr>
          <w:rFonts w:ascii="Palatino Linotype" w:hAnsi="Palatino Linotype"/>
        </w:rPr>
        <w:lastRenderedPageBreak/>
        <w:t xml:space="preserve">del recurso de revisión de mérito al </w:t>
      </w:r>
      <w:r w:rsidRPr="006D3F6C">
        <w:rPr>
          <w:rFonts w:ascii="Palatino Linotype" w:hAnsi="Palatino Linotype"/>
          <w:b/>
        </w:rPr>
        <w:t>Comisionado Presidente José Martínez Vilchis</w:t>
      </w:r>
      <w:r w:rsidRPr="006D3F6C">
        <w:rPr>
          <w:rFonts w:ascii="Palatino Linotype" w:hAnsi="Palatino Linotype"/>
        </w:rPr>
        <w:t>, para que diera trámite y resolviera conforme a derecho.</w:t>
      </w:r>
    </w:p>
    <w:p w:rsidR="00394822" w:rsidRPr="007521C5" w:rsidRDefault="00394822" w:rsidP="00655532">
      <w:pPr>
        <w:spacing w:line="360" w:lineRule="auto"/>
        <w:jc w:val="both"/>
        <w:rPr>
          <w:rFonts w:ascii="Palatino Linotype" w:eastAsiaTheme="minorHAnsi" w:hAnsi="Palatino Linotype" w:cstheme="minorBidi"/>
          <w:lang w:eastAsia="en-US"/>
        </w:rPr>
      </w:pPr>
    </w:p>
    <w:p w:rsidR="00394822" w:rsidRPr="007521C5" w:rsidRDefault="0043748E" w:rsidP="00394822">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f</w:t>
      </w:r>
      <w:r w:rsidR="00394822" w:rsidRPr="007521C5">
        <w:rPr>
          <w:rFonts w:ascii="Palatino Linotype" w:eastAsia="Palatino Linotype" w:hAnsi="Palatino Linotype" w:cs="Palatino Linotype"/>
          <w:b/>
          <w:color w:val="000000"/>
          <w:sz w:val="26"/>
          <w:szCs w:val="26"/>
        </w:rPr>
        <w:t>) Cierre de Instrucción</w:t>
      </w:r>
    </w:p>
    <w:p w:rsidR="00E66E79" w:rsidRPr="007521C5" w:rsidRDefault="00394822">
      <w:pPr>
        <w:tabs>
          <w:tab w:val="left" w:pos="709"/>
        </w:tabs>
        <w:spacing w:line="360" w:lineRule="auto"/>
        <w:jc w:val="both"/>
        <w:rPr>
          <w:rFonts w:ascii="Palatino Linotype" w:eastAsia="Palatino Linotype" w:hAnsi="Palatino Linotype" w:cs="Palatino Linotype"/>
          <w:color w:val="000000"/>
        </w:rPr>
      </w:pPr>
      <w:bookmarkStart w:id="5" w:name="_heading=h.tyjcwt" w:colFirst="0" w:colLast="0"/>
      <w:bookmarkEnd w:id="5"/>
      <w:r w:rsidRPr="007521C5">
        <w:rPr>
          <w:rFonts w:ascii="Palatino Linotype" w:eastAsia="Palatino Linotype" w:hAnsi="Palatino Linotype" w:cs="Palatino Linotype"/>
        </w:rPr>
        <w:t xml:space="preserve">Una vez analizado el estado procesal que </w:t>
      </w:r>
      <w:r w:rsidR="0050621A">
        <w:rPr>
          <w:rFonts w:ascii="Palatino Linotype" w:eastAsia="Palatino Linotype" w:hAnsi="Palatino Linotype" w:cs="Palatino Linotype"/>
        </w:rPr>
        <w:t xml:space="preserve">guarda el expediente, el </w:t>
      </w:r>
      <w:r w:rsidR="0050621A">
        <w:rPr>
          <w:rFonts w:ascii="Palatino Linotype" w:eastAsia="Palatino Linotype" w:hAnsi="Palatino Linotype" w:cs="Palatino Linotype"/>
          <w:b/>
        </w:rPr>
        <w:t>Comisionado Presidente José Martínez Vilchis</w:t>
      </w:r>
      <w:r w:rsidRPr="007521C5">
        <w:rPr>
          <w:rFonts w:ascii="Palatino Linotype" w:eastAsia="Palatino Linotype" w:hAnsi="Palatino Linotype" w:cs="Palatino Linotype"/>
          <w:b/>
          <w:color w:val="000000"/>
        </w:rPr>
        <w:t xml:space="preserve"> </w:t>
      </w:r>
      <w:r w:rsidRPr="007521C5">
        <w:rPr>
          <w:rFonts w:ascii="Palatino Linotype" w:eastAsia="Palatino Linotype" w:hAnsi="Palatino Linotype" w:cs="Palatino Linotype"/>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7521C5">
        <w:rPr>
          <w:rFonts w:ascii="Palatino Linotype" w:eastAsia="Palatino Linotype" w:hAnsi="Palatino Linotype" w:cs="Palatino Linotype"/>
          <w:color w:val="000000"/>
        </w:rPr>
        <w:t>.</w:t>
      </w:r>
    </w:p>
    <w:p w:rsidR="00E66E79" w:rsidRPr="007521C5" w:rsidRDefault="00E66E79">
      <w:pPr>
        <w:pBdr>
          <w:top w:val="nil"/>
          <w:left w:val="nil"/>
          <w:bottom w:val="nil"/>
          <w:right w:val="nil"/>
          <w:between w:val="nil"/>
        </w:pBdr>
        <w:spacing w:line="276" w:lineRule="auto"/>
        <w:jc w:val="both"/>
        <w:rPr>
          <w:rFonts w:ascii="Palatino Linotype" w:eastAsia="Palatino Linotype" w:hAnsi="Palatino Linotype" w:cs="Palatino Linotype"/>
          <w:color w:val="000000"/>
        </w:rPr>
      </w:pPr>
    </w:p>
    <w:p w:rsidR="00E66E79" w:rsidRPr="007521C5" w:rsidRDefault="003F333B">
      <w:pPr>
        <w:spacing w:line="276" w:lineRule="auto"/>
        <w:jc w:val="center"/>
        <w:rPr>
          <w:rFonts w:ascii="Palatino Linotype" w:eastAsia="Palatino Linotype" w:hAnsi="Palatino Linotype" w:cs="Palatino Linotype"/>
          <w:b/>
          <w:sz w:val="28"/>
          <w:szCs w:val="28"/>
        </w:rPr>
      </w:pPr>
      <w:r w:rsidRPr="007521C5">
        <w:rPr>
          <w:rFonts w:ascii="Palatino Linotype" w:eastAsia="Palatino Linotype" w:hAnsi="Palatino Linotype" w:cs="Palatino Linotype"/>
          <w:b/>
          <w:sz w:val="28"/>
          <w:szCs w:val="28"/>
        </w:rPr>
        <w:t>CONSIDERANDO</w:t>
      </w:r>
    </w:p>
    <w:p w:rsidR="00E66E79" w:rsidRPr="007521C5" w:rsidRDefault="00E66E79">
      <w:pPr>
        <w:spacing w:line="276" w:lineRule="auto"/>
        <w:rPr>
          <w:rFonts w:ascii="Palatino Linotype" w:eastAsia="Palatino Linotype" w:hAnsi="Palatino Linotype" w:cs="Palatino Linotype"/>
          <w:b/>
          <w:sz w:val="28"/>
          <w:szCs w:val="28"/>
        </w:rPr>
      </w:pPr>
    </w:p>
    <w:p w:rsidR="00E66E79" w:rsidRPr="007521C5" w:rsidRDefault="00394822" w:rsidP="00394822">
      <w:pPr>
        <w:widowControl w:val="0"/>
        <w:tabs>
          <w:tab w:val="left" w:pos="1701"/>
        </w:tabs>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b/>
        </w:rPr>
        <w:t xml:space="preserve">PRIMERO. </w:t>
      </w:r>
      <w:r w:rsidR="003F333B" w:rsidRPr="007521C5">
        <w:rPr>
          <w:rFonts w:ascii="Palatino Linotype" w:eastAsia="Palatino Linotype" w:hAnsi="Palatino Linotype" w:cs="Palatino Linotype"/>
          <w:b/>
        </w:rPr>
        <w:t>Competencia</w:t>
      </w:r>
      <w:r w:rsidR="003F333B" w:rsidRPr="007521C5">
        <w:rPr>
          <w:rFonts w:ascii="Palatino Linotype" w:eastAsia="Palatino Linotype" w:hAnsi="Palatino Linotype" w:cs="Palatino Linotype"/>
        </w:rPr>
        <w:t>.</w:t>
      </w:r>
      <w:r w:rsidR="003F333B" w:rsidRPr="007521C5">
        <w:rPr>
          <w:rFonts w:ascii="Palatino Linotype" w:eastAsia="Palatino Linotype" w:hAnsi="Palatino Linotype" w:cs="Palatino Linotype"/>
          <w:b/>
        </w:rPr>
        <w:t xml:space="preserve"> </w:t>
      </w:r>
    </w:p>
    <w:p w:rsidR="00E66E79" w:rsidRPr="007521C5" w:rsidRDefault="003F333B">
      <w:pPr>
        <w:widowControl w:val="0"/>
        <w:tabs>
          <w:tab w:val="left" w:pos="1701"/>
        </w:tabs>
        <w:spacing w:line="360" w:lineRule="auto"/>
        <w:jc w:val="both"/>
        <w:rPr>
          <w:rFonts w:ascii="Palatino Linotype" w:eastAsia="Palatino Linotype" w:hAnsi="Palatino Linotype" w:cs="Palatino Linotype"/>
        </w:rPr>
      </w:pPr>
      <w:bookmarkStart w:id="6" w:name="_heading=h.3dy6vkm" w:colFirst="0" w:colLast="0"/>
      <w:bookmarkEnd w:id="6"/>
      <w:r w:rsidRPr="007521C5">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E66E79" w:rsidRPr="007521C5" w:rsidRDefault="003F333B">
      <w:pPr>
        <w:spacing w:line="360" w:lineRule="auto"/>
        <w:jc w:val="both"/>
        <w:rPr>
          <w:rFonts w:ascii="Palatino Linotype" w:eastAsia="Palatino Linotype" w:hAnsi="Palatino Linotype" w:cs="Palatino Linotype"/>
          <w:b/>
        </w:rPr>
      </w:pPr>
      <w:r w:rsidRPr="007521C5">
        <w:rPr>
          <w:rFonts w:ascii="Palatino Linotype" w:eastAsia="Palatino Linotype" w:hAnsi="Palatino Linotype" w:cs="Palatino Linotype"/>
          <w:b/>
          <w:sz w:val="28"/>
          <w:szCs w:val="28"/>
        </w:rPr>
        <w:t>SEGUNDO</w:t>
      </w:r>
      <w:r w:rsidRPr="007521C5">
        <w:rPr>
          <w:rFonts w:ascii="Palatino Linotype" w:eastAsia="Palatino Linotype" w:hAnsi="Palatino Linotype" w:cs="Palatino Linotype"/>
          <w:b/>
        </w:rPr>
        <w:t xml:space="preserve">. Interés. </w:t>
      </w:r>
    </w:p>
    <w:p w:rsidR="00E66E79" w:rsidRPr="007521C5" w:rsidRDefault="003F333B">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lastRenderedPageBreak/>
        <w:t xml:space="preserve">El Recurso de Revisión fue interpuesto por parte legítima, en atención a que se presentó por </w:t>
      </w:r>
      <w:r w:rsidRPr="007521C5">
        <w:rPr>
          <w:rFonts w:ascii="Palatino Linotype" w:eastAsia="Palatino Linotype" w:hAnsi="Palatino Linotype" w:cs="Palatino Linotype"/>
          <w:b/>
        </w:rPr>
        <w:t>EL RECURRENTE,</w:t>
      </w:r>
      <w:r w:rsidRPr="007521C5">
        <w:rPr>
          <w:rFonts w:ascii="Palatino Linotype" w:eastAsia="Palatino Linotype" w:hAnsi="Palatino Linotype" w:cs="Palatino Linotype"/>
        </w:rPr>
        <w:t xml:space="preserve"> quien es la misma persona que formuló la solicitud de acceso a la Información Pública al </w:t>
      </w:r>
      <w:r w:rsidRPr="007521C5">
        <w:rPr>
          <w:rFonts w:ascii="Palatino Linotype" w:eastAsia="Palatino Linotype" w:hAnsi="Palatino Linotype" w:cs="Palatino Linotype"/>
          <w:b/>
        </w:rPr>
        <w:t xml:space="preserve">SUJETO OBLIGADO, </w:t>
      </w:r>
      <w:r w:rsidRPr="007521C5">
        <w:rPr>
          <w:rFonts w:ascii="Palatino Linotype" w:eastAsia="Palatino Linotype" w:hAnsi="Palatino Linotype" w:cs="Palatino Linotype"/>
        </w:rPr>
        <w:t>en razón de que las claves de acceso</w:t>
      </w:r>
      <w:r w:rsidRPr="007521C5">
        <w:rPr>
          <w:rFonts w:ascii="Palatino Linotype" w:eastAsia="Palatino Linotype" w:hAnsi="Palatino Linotype" w:cs="Palatino Linotype"/>
          <w:b/>
        </w:rPr>
        <w:t xml:space="preserve"> </w:t>
      </w:r>
      <w:r w:rsidRPr="007521C5">
        <w:rPr>
          <w:rFonts w:ascii="Palatino Linotype" w:eastAsia="Palatino Linotype" w:hAnsi="Palatino Linotype" w:cs="Palatino Linotype"/>
        </w:rPr>
        <w:t>al</w:t>
      </w:r>
      <w:r w:rsidRPr="007521C5">
        <w:rPr>
          <w:rFonts w:ascii="Palatino Linotype" w:eastAsia="Palatino Linotype" w:hAnsi="Palatino Linotype" w:cs="Palatino Linotype"/>
          <w:b/>
        </w:rPr>
        <w:t xml:space="preserve"> </w:t>
      </w:r>
      <w:r w:rsidRPr="007521C5">
        <w:rPr>
          <w:rFonts w:ascii="Palatino Linotype" w:eastAsia="Palatino Linotype" w:hAnsi="Palatino Linotype" w:cs="Palatino Linotype"/>
        </w:rPr>
        <w:t xml:space="preserve">Sistema de Acceso a la Información Mexiquense </w:t>
      </w:r>
      <w:r w:rsidRPr="007521C5">
        <w:rPr>
          <w:rFonts w:ascii="Palatino Linotype" w:eastAsia="Palatino Linotype" w:hAnsi="Palatino Linotype" w:cs="Palatino Linotype"/>
          <w:b/>
        </w:rPr>
        <w:t>SAIMEX</w:t>
      </w:r>
      <w:r w:rsidRPr="007521C5">
        <w:rPr>
          <w:rFonts w:ascii="Palatino Linotype" w:eastAsia="Palatino Linotype" w:hAnsi="Palatino Linotype" w:cs="Palatino Linotype"/>
        </w:rPr>
        <w:t xml:space="preserve"> son personales e irrepetibles a lo cual se tiene certeza que se trata del mismo particular.</w:t>
      </w:r>
    </w:p>
    <w:p w:rsidR="00E66E79" w:rsidRPr="007521C5" w:rsidRDefault="00E66E79">
      <w:pPr>
        <w:spacing w:line="360" w:lineRule="auto"/>
        <w:jc w:val="both"/>
        <w:rPr>
          <w:rFonts w:ascii="Palatino Linotype" w:eastAsia="Palatino Linotype" w:hAnsi="Palatino Linotype" w:cs="Palatino Linotype"/>
          <w:b/>
        </w:rPr>
      </w:pPr>
    </w:p>
    <w:p w:rsidR="00E66E79" w:rsidRPr="007521C5" w:rsidRDefault="003F333B">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color w:val="000000"/>
        </w:rPr>
      </w:pPr>
      <w:r w:rsidRPr="007521C5">
        <w:rPr>
          <w:rFonts w:ascii="Palatino Linotype" w:eastAsia="Palatino Linotype" w:hAnsi="Palatino Linotype" w:cs="Palatino Linotype"/>
          <w:b/>
          <w:color w:val="000000"/>
          <w:sz w:val="28"/>
          <w:szCs w:val="28"/>
        </w:rPr>
        <w:t>TERCERO</w:t>
      </w:r>
      <w:r w:rsidRPr="007521C5">
        <w:rPr>
          <w:rFonts w:ascii="Palatino Linotype" w:eastAsia="Palatino Linotype" w:hAnsi="Palatino Linotype" w:cs="Palatino Linotype"/>
          <w:b/>
          <w:color w:val="000000"/>
        </w:rPr>
        <w:t>. Oportunidad</w:t>
      </w:r>
      <w:r w:rsidRPr="007521C5">
        <w:rPr>
          <w:rFonts w:ascii="Palatino Linotype" w:eastAsia="Palatino Linotype" w:hAnsi="Palatino Linotype" w:cs="Palatino Linotype"/>
          <w:color w:val="000000"/>
        </w:rPr>
        <w:t xml:space="preserve">. </w:t>
      </w:r>
    </w:p>
    <w:p w:rsidR="00E66E79" w:rsidRPr="007521C5" w:rsidRDefault="003F333B">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7521C5">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Pr="007521C5">
        <w:rPr>
          <w:rFonts w:ascii="Palatino Linotype" w:eastAsia="Palatino Linotype" w:hAnsi="Palatino Linotype" w:cs="Palatino Linotype"/>
          <w:b/>
          <w:color w:val="000000"/>
        </w:rPr>
        <w:t xml:space="preserve">EL RECURRENTE </w:t>
      </w:r>
      <w:r w:rsidRPr="007521C5">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rsidR="00E66E79" w:rsidRPr="007521C5" w:rsidRDefault="00E66E79">
      <w:pPr>
        <w:ind w:left="720" w:right="709"/>
        <w:jc w:val="both"/>
        <w:rPr>
          <w:rFonts w:ascii="Palatino Linotype" w:eastAsia="Palatino Linotype" w:hAnsi="Palatino Linotype" w:cs="Palatino Linotype"/>
          <w:i/>
          <w:sz w:val="22"/>
          <w:szCs w:val="22"/>
        </w:rPr>
      </w:pPr>
    </w:p>
    <w:p w:rsidR="00E66E79" w:rsidRPr="007521C5" w:rsidRDefault="003F333B">
      <w:pPr>
        <w:ind w:left="851" w:right="899"/>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w:t>
      </w:r>
      <w:r w:rsidRPr="007521C5">
        <w:rPr>
          <w:rFonts w:ascii="Palatino Linotype" w:eastAsia="Palatino Linotype" w:hAnsi="Palatino Linotype" w:cs="Palatino Linotype"/>
          <w:b/>
          <w:i/>
          <w:sz w:val="22"/>
          <w:szCs w:val="22"/>
        </w:rPr>
        <w:t>Artículo 178.</w:t>
      </w:r>
      <w:r w:rsidRPr="007521C5">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66E79" w:rsidRPr="007521C5" w:rsidRDefault="00E66E79">
      <w:pPr>
        <w:ind w:left="851" w:right="899"/>
        <w:jc w:val="both"/>
        <w:rPr>
          <w:rFonts w:ascii="Palatino Linotype" w:eastAsia="Palatino Linotype" w:hAnsi="Palatino Linotype" w:cs="Palatino Linotype"/>
          <w:i/>
          <w:sz w:val="22"/>
          <w:szCs w:val="22"/>
        </w:rPr>
      </w:pPr>
    </w:p>
    <w:p w:rsidR="00E66E79" w:rsidRPr="007521C5" w:rsidRDefault="003F333B">
      <w:pPr>
        <w:ind w:left="851" w:right="899"/>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66E79" w:rsidRPr="007521C5" w:rsidRDefault="00E66E79">
      <w:pPr>
        <w:ind w:left="851" w:right="899"/>
        <w:jc w:val="both"/>
        <w:rPr>
          <w:rFonts w:ascii="Palatino Linotype" w:eastAsia="Palatino Linotype" w:hAnsi="Palatino Linotype" w:cs="Palatino Linotype"/>
          <w:i/>
          <w:sz w:val="22"/>
          <w:szCs w:val="22"/>
        </w:rPr>
      </w:pPr>
    </w:p>
    <w:p w:rsidR="00E66E79" w:rsidRPr="007521C5" w:rsidRDefault="003F333B">
      <w:pPr>
        <w:ind w:left="851" w:right="899"/>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rsidR="00E66E79" w:rsidRPr="007521C5" w:rsidRDefault="00E66E79">
      <w:pPr>
        <w:ind w:left="720" w:right="709"/>
        <w:jc w:val="both"/>
        <w:rPr>
          <w:rFonts w:ascii="Palatino Linotype" w:eastAsia="Palatino Linotype" w:hAnsi="Palatino Linotype" w:cs="Palatino Linotype"/>
          <w:i/>
          <w:sz w:val="22"/>
          <w:szCs w:val="22"/>
        </w:rPr>
      </w:pPr>
    </w:p>
    <w:p w:rsidR="00E66E79" w:rsidRPr="007521C5" w:rsidRDefault="003F333B">
      <w:pPr>
        <w:spacing w:line="360" w:lineRule="auto"/>
        <w:jc w:val="both"/>
        <w:rPr>
          <w:rFonts w:ascii="Palatino Linotype" w:eastAsia="Palatino Linotype" w:hAnsi="Palatino Linotype" w:cs="Palatino Linotype"/>
        </w:rPr>
      </w:pPr>
      <w:bookmarkStart w:id="7" w:name="_heading=h.1t3h5sf" w:colFirst="0" w:colLast="0"/>
      <w:bookmarkEnd w:id="7"/>
      <w:r w:rsidRPr="007521C5">
        <w:rPr>
          <w:rFonts w:ascii="Palatino Linotype" w:eastAsia="Palatino Linotype" w:hAnsi="Palatino Linotype" w:cs="Palatino Linotype"/>
        </w:rPr>
        <w:t xml:space="preserve">En esa tesitura, atendiendo a que </w:t>
      </w:r>
      <w:r w:rsidRPr="007521C5">
        <w:rPr>
          <w:rFonts w:ascii="Palatino Linotype" w:eastAsia="Palatino Linotype" w:hAnsi="Palatino Linotype" w:cs="Palatino Linotype"/>
          <w:b/>
        </w:rPr>
        <w:t>EL SUJETO OBLIGADO</w:t>
      </w:r>
      <w:r w:rsidRPr="007521C5">
        <w:rPr>
          <w:rFonts w:ascii="Palatino Linotype" w:eastAsia="Palatino Linotype" w:hAnsi="Palatino Linotype" w:cs="Palatino Linotype"/>
        </w:rPr>
        <w:t xml:space="preserve"> notificó la respuesta a la solicitud de acceso a la Información Pública el </w:t>
      </w:r>
      <w:r w:rsidRPr="007521C5">
        <w:rPr>
          <w:rFonts w:ascii="Palatino Linotype" w:eastAsia="Palatino Linotype" w:hAnsi="Palatino Linotype" w:cs="Palatino Linotype"/>
          <w:b/>
        </w:rPr>
        <w:t>dieciocho de abril de dos mil veintidós</w:t>
      </w:r>
      <w:r w:rsidRPr="007521C5">
        <w:rPr>
          <w:rFonts w:ascii="Palatino Linotype" w:eastAsia="Palatino Linotype" w:hAnsi="Palatino Linotype" w:cs="Palatino Linotype"/>
        </w:rPr>
        <w:t xml:space="preserve">; así, el plazo de quince días hábiles que el artículo 178 de la Ley de la materia otorga a </w:t>
      </w:r>
      <w:r w:rsidRPr="007521C5">
        <w:rPr>
          <w:rFonts w:ascii="Palatino Linotype" w:eastAsia="Palatino Linotype" w:hAnsi="Palatino Linotype" w:cs="Palatino Linotype"/>
          <w:b/>
        </w:rPr>
        <w:lastRenderedPageBreak/>
        <w:t>EL RECURRENTE</w:t>
      </w:r>
      <w:r w:rsidRPr="007521C5">
        <w:rPr>
          <w:rFonts w:ascii="Palatino Linotype" w:eastAsia="Palatino Linotype" w:hAnsi="Palatino Linotype" w:cs="Palatino Linotype"/>
        </w:rPr>
        <w:t xml:space="preserve"> para presentar el respectivo Recurso de Revisión, transcurrió del </w:t>
      </w:r>
      <w:r w:rsidRPr="007521C5">
        <w:rPr>
          <w:rFonts w:ascii="Palatino Linotype" w:eastAsia="Palatino Linotype" w:hAnsi="Palatino Linotype" w:cs="Palatino Linotype"/>
          <w:b/>
        </w:rPr>
        <w:t>diecinueve de abril al diez de mayo de dos mil veintidós</w:t>
      </w:r>
      <w:r w:rsidRPr="007521C5">
        <w:rPr>
          <w:rFonts w:ascii="Palatino Linotype" w:eastAsia="Palatino Linotype" w:hAnsi="Palatino Linotype" w:cs="Palatino Linotype"/>
        </w:rPr>
        <w:t>, sin contemplar en el cómputo los días, veintitrés, veinticuatro y treinta de abril, además del primero, siete y ocho de mayo de dos mil veintidós, por corresponder a sábados y domingos, considerados como días inhábiles, en términos del artículo 3, fracción X de la Ley de Transparencia y Acceso a la Información Pública del Estado de México y Municipios, así como, el día cinco de mayo de dos mil veintidós,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rsidR="00E66E79" w:rsidRPr="007521C5" w:rsidRDefault="00E66E79">
      <w:pPr>
        <w:spacing w:line="360" w:lineRule="auto"/>
        <w:jc w:val="both"/>
        <w:rPr>
          <w:rFonts w:ascii="Palatino Linotype" w:eastAsia="Palatino Linotype" w:hAnsi="Palatino Linotype" w:cs="Palatino Linotype"/>
        </w:rPr>
      </w:pPr>
    </w:p>
    <w:p w:rsidR="00E66E79" w:rsidRPr="007521C5" w:rsidRDefault="003F333B">
      <w:pPr>
        <w:spacing w:line="360" w:lineRule="auto"/>
        <w:ind w:left="-5" w:hanging="10"/>
        <w:jc w:val="both"/>
        <w:rPr>
          <w:rFonts w:ascii="Palatino Linotype" w:eastAsia="Palatino Linotype" w:hAnsi="Palatino Linotype" w:cs="Palatino Linotype"/>
        </w:rPr>
      </w:pPr>
      <w:r w:rsidRPr="007521C5">
        <w:rPr>
          <w:rFonts w:ascii="Palatino Linotype" w:eastAsia="Palatino Linotype" w:hAnsi="Palatino Linotype" w:cs="Palatino Linotype"/>
        </w:rPr>
        <w:t>En ese tenor, el Recurso de Revisión que nos ocupa se interpuso el</w:t>
      </w:r>
      <w:r w:rsidRPr="007521C5">
        <w:rPr>
          <w:rFonts w:ascii="Palatino Linotype" w:eastAsia="Palatino Linotype" w:hAnsi="Palatino Linotype" w:cs="Palatino Linotype"/>
          <w:b/>
        </w:rPr>
        <w:t xml:space="preserve"> cinco de abril de dos mil veintidós,</w:t>
      </w:r>
      <w:r w:rsidRPr="007521C5">
        <w:rPr>
          <w:rFonts w:ascii="Palatino Linotype" w:eastAsia="Palatino Linotype" w:hAnsi="Palatino Linotype" w:cs="Palatino Linotype"/>
        </w:rPr>
        <w:t xml:space="preserve"> éste se encuentra dentro de los márgenes temporales previstos en el citado precepto legal y, por tanto, se considera oportuno.</w:t>
      </w:r>
    </w:p>
    <w:p w:rsidR="00E66E79" w:rsidRPr="007521C5" w:rsidRDefault="00E66E79">
      <w:pPr>
        <w:spacing w:line="360" w:lineRule="auto"/>
        <w:jc w:val="both"/>
        <w:rPr>
          <w:color w:val="000000"/>
        </w:rPr>
      </w:pPr>
    </w:p>
    <w:p w:rsidR="00E66E79" w:rsidRPr="007521C5" w:rsidRDefault="003F333B">
      <w:pPr>
        <w:spacing w:line="360" w:lineRule="auto"/>
        <w:ind w:right="49"/>
        <w:jc w:val="both"/>
        <w:rPr>
          <w:rFonts w:ascii="Palatino Linotype" w:eastAsia="Palatino Linotype" w:hAnsi="Palatino Linotype" w:cs="Palatino Linotype"/>
          <w:b/>
        </w:rPr>
      </w:pPr>
      <w:r w:rsidRPr="007521C5">
        <w:rPr>
          <w:rFonts w:ascii="Palatino Linotype" w:eastAsia="Palatino Linotype" w:hAnsi="Palatino Linotype" w:cs="Palatino Linotype"/>
          <w:b/>
          <w:sz w:val="28"/>
          <w:szCs w:val="28"/>
        </w:rPr>
        <w:t>CUARTO</w:t>
      </w:r>
      <w:r w:rsidRPr="007521C5">
        <w:rPr>
          <w:rFonts w:ascii="Palatino Linotype" w:eastAsia="Palatino Linotype" w:hAnsi="Palatino Linotype" w:cs="Palatino Linotype"/>
          <w:b/>
        </w:rPr>
        <w:t xml:space="preserve">. Procedibilidad. </w:t>
      </w:r>
    </w:p>
    <w:p w:rsidR="00E66E79" w:rsidRPr="007521C5" w:rsidRDefault="003F333B">
      <w:pPr>
        <w:spacing w:line="360" w:lineRule="auto"/>
        <w:ind w:right="49"/>
        <w:jc w:val="both"/>
        <w:rPr>
          <w:rFonts w:ascii="Palatino Linotype" w:eastAsia="Palatino Linotype" w:hAnsi="Palatino Linotype" w:cs="Palatino Linotype"/>
          <w:b/>
        </w:rPr>
      </w:pPr>
      <w:r w:rsidRPr="007521C5">
        <w:rPr>
          <w:rFonts w:ascii="Palatino Linotype" w:eastAsia="Palatino Linotype" w:hAnsi="Palatino Linotype" w:cs="Palatino Linotype"/>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el</w:t>
      </w:r>
      <w:r w:rsidRPr="007521C5">
        <w:rPr>
          <w:rFonts w:ascii="Palatino Linotype" w:eastAsia="Palatino Linotype" w:hAnsi="Palatino Linotype" w:cs="Palatino Linotype"/>
          <w:b/>
        </w:rPr>
        <w:t xml:space="preserve"> SAIMEX.</w:t>
      </w:r>
    </w:p>
    <w:p w:rsidR="00E66E79" w:rsidRPr="007521C5" w:rsidRDefault="00E66E79">
      <w:pPr>
        <w:spacing w:line="360" w:lineRule="auto"/>
        <w:jc w:val="both"/>
        <w:rPr>
          <w:rFonts w:ascii="Palatino Linotype" w:eastAsia="Palatino Linotype" w:hAnsi="Palatino Linotype" w:cs="Palatino Linotype"/>
        </w:rPr>
      </w:pPr>
    </w:p>
    <w:p w:rsidR="00E66E79" w:rsidRPr="007521C5" w:rsidRDefault="003F333B">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b/>
          <w:sz w:val="28"/>
          <w:szCs w:val="28"/>
        </w:rPr>
        <w:lastRenderedPageBreak/>
        <w:t>QUINTO</w:t>
      </w:r>
      <w:r w:rsidRPr="007521C5">
        <w:rPr>
          <w:rFonts w:ascii="Palatino Linotype" w:eastAsia="Palatino Linotype" w:hAnsi="Palatino Linotype" w:cs="Palatino Linotype"/>
          <w:b/>
        </w:rPr>
        <w:t>. Estudio y análisis del asunto.</w:t>
      </w:r>
    </w:p>
    <w:p w:rsidR="00E66E79" w:rsidRPr="007521C5" w:rsidRDefault="003F333B">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Una vez determinada la vía sobre la que versará el presente recurso, y previa revisión del expediente electrónico formado en el</w:t>
      </w:r>
      <w:r w:rsidRPr="007521C5">
        <w:rPr>
          <w:rFonts w:ascii="Palatino Linotype" w:eastAsia="Palatino Linotype" w:hAnsi="Palatino Linotype" w:cs="Palatino Linotype"/>
          <w:b/>
        </w:rPr>
        <w:t xml:space="preserve"> SAIMEX</w:t>
      </w:r>
      <w:r w:rsidRPr="007521C5">
        <w:rPr>
          <w:rFonts w:ascii="Palatino Linotype" w:eastAsia="Palatino Linotype" w:hAnsi="Palatino Linotype" w:cs="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rsidR="00E66E79" w:rsidRPr="007521C5" w:rsidRDefault="00E66E79">
      <w:pPr>
        <w:spacing w:line="360" w:lineRule="auto"/>
        <w:jc w:val="both"/>
        <w:rPr>
          <w:rFonts w:ascii="Palatino Linotype" w:eastAsia="Palatino Linotype" w:hAnsi="Palatino Linotype" w:cs="Palatino Linotype"/>
        </w:rPr>
      </w:pPr>
    </w:p>
    <w:p w:rsidR="00E66E79" w:rsidRPr="007521C5" w:rsidRDefault="003F333B">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 xml:space="preserve">Señalado lo anterior, se procede a analizar las documentales que integran el expediente electrónico, formado en el </w:t>
      </w:r>
      <w:r w:rsidRPr="007521C5">
        <w:rPr>
          <w:rFonts w:ascii="Palatino Linotype" w:eastAsia="Palatino Linotype" w:hAnsi="Palatino Linotype" w:cs="Palatino Linotype"/>
          <w:b/>
        </w:rPr>
        <w:t xml:space="preserve">SAIMEX </w:t>
      </w:r>
      <w:r w:rsidRPr="007521C5">
        <w:rPr>
          <w:rFonts w:ascii="Palatino Linotype" w:eastAsia="Palatino Linotype" w:hAnsi="Palatino Linotype" w:cs="Palatino Linotype"/>
        </w:rPr>
        <w:t xml:space="preserve">del Recurso de Revisión materia del presente estudio, a fin de determinar si con la información remitida mediante respuesta colma el Derecho de Acceso a la Información ejercido por </w:t>
      </w:r>
      <w:r w:rsidRPr="007521C5">
        <w:rPr>
          <w:rFonts w:ascii="Palatino Linotype" w:eastAsia="Palatino Linotype" w:hAnsi="Palatino Linotype" w:cs="Palatino Linotype"/>
          <w:b/>
        </w:rPr>
        <w:t>EL RECURRENTE</w:t>
      </w:r>
      <w:r w:rsidRPr="007521C5">
        <w:rPr>
          <w:rFonts w:ascii="Palatino Linotype" w:eastAsia="Palatino Linotype" w:hAnsi="Palatino Linotype" w:cs="Palatino Linotype"/>
        </w:rPr>
        <w:t>; atento a ello, para mayor entendimiento de la manera mayor desagregada se muestra la tabla siguiente:</w:t>
      </w:r>
    </w:p>
    <w:p w:rsidR="00E66E79" w:rsidRPr="007521C5" w:rsidRDefault="00E66E79">
      <w:pPr>
        <w:spacing w:line="360" w:lineRule="auto"/>
        <w:jc w:val="both"/>
        <w:rPr>
          <w:rFonts w:ascii="Palatino Linotype" w:eastAsia="Palatino Linotype" w:hAnsi="Palatino Linotype" w:cs="Palatino Linotype"/>
          <w:b/>
        </w:rPr>
      </w:pPr>
    </w:p>
    <w:tbl>
      <w:tblPr>
        <w:tblStyle w:val="3"/>
        <w:tblW w:w="66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3688"/>
      </w:tblGrid>
      <w:tr w:rsidR="00E66E79" w:rsidRPr="007521C5">
        <w:trPr>
          <w:tblHeader/>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4A452A"/>
          </w:tcPr>
          <w:p w:rsidR="00E66E79" w:rsidRPr="007521C5" w:rsidRDefault="003F333B">
            <w:pPr>
              <w:jc w:val="center"/>
              <w:rPr>
                <w:rFonts w:ascii="Palatino Linotype" w:eastAsia="Palatino Linotype" w:hAnsi="Palatino Linotype" w:cs="Palatino Linotype"/>
                <w:b/>
                <w:color w:val="FFFFFF"/>
              </w:rPr>
            </w:pPr>
            <w:r w:rsidRPr="007521C5">
              <w:rPr>
                <w:rFonts w:ascii="Palatino Linotype" w:eastAsia="Palatino Linotype" w:hAnsi="Palatino Linotype" w:cs="Palatino Linotype"/>
                <w:b/>
                <w:color w:val="FFFFFF"/>
              </w:rPr>
              <w:lastRenderedPageBreak/>
              <w:t>Solicitud</w:t>
            </w:r>
          </w:p>
        </w:tc>
        <w:tc>
          <w:tcPr>
            <w:tcW w:w="3688" w:type="dxa"/>
            <w:tcBorders>
              <w:top w:val="single" w:sz="4" w:space="0" w:color="000000"/>
              <w:left w:val="single" w:sz="4" w:space="0" w:color="000000"/>
              <w:bottom w:val="single" w:sz="4" w:space="0" w:color="000000"/>
              <w:right w:val="single" w:sz="4" w:space="0" w:color="000000"/>
            </w:tcBorders>
            <w:shd w:val="clear" w:color="auto" w:fill="4A452A"/>
          </w:tcPr>
          <w:p w:rsidR="00E66E79" w:rsidRPr="007521C5" w:rsidRDefault="003F333B">
            <w:pPr>
              <w:jc w:val="center"/>
              <w:rPr>
                <w:rFonts w:ascii="Palatino Linotype" w:eastAsia="Palatino Linotype" w:hAnsi="Palatino Linotype" w:cs="Palatino Linotype"/>
                <w:b/>
                <w:color w:val="FFFFFF"/>
              </w:rPr>
            </w:pPr>
            <w:r w:rsidRPr="007521C5">
              <w:rPr>
                <w:rFonts w:ascii="Palatino Linotype" w:eastAsia="Palatino Linotype" w:hAnsi="Palatino Linotype" w:cs="Palatino Linotype"/>
                <w:b/>
                <w:color w:val="FFFFFF"/>
              </w:rPr>
              <w:t>Respuesta</w:t>
            </w:r>
          </w:p>
        </w:tc>
      </w:tr>
      <w:tr w:rsidR="00E66E79" w:rsidRPr="007521C5">
        <w:trPr>
          <w:jc w:val="center"/>
        </w:trPr>
        <w:tc>
          <w:tcPr>
            <w:tcW w:w="2970" w:type="dxa"/>
            <w:tcBorders>
              <w:top w:val="single" w:sz="4" w:space="0" w:color="000000"/>
              <w:left w:val="single" w:sz="4" w:space="0" w:color="000000"/>
              <w:bottom w:val="single" w:sz="4" w:space="0" w:color="000000"/>
              <w:right w:val="single" w:sz="4" w:space="0" w:color="000000"/>
            </w:tcBorders>
          </w:tcPr>
          <w:p w:rsidR="00E66E79" w:rsidRPr="007521C5" w:rsidRDefault="003F333B">
            <w:pPr>
              <w:numPr>
                <w:ilvl w:val="0"/>
                <w:numId w:val="2"/>
              </w:numPr>
              <w:pBdr>
                <w:top w:val="nil"/>
                <w:left w:val="nil"/>
                <w:bottom w:val="nil"/>
                <w:right w:val="nil"/>
                <w:between w:val="nil"/>
              </w:pBdr>
              <w:tabs>
                <w:tab w:val="left" w:pos="851"/>
              </w:tabs>
              <w:ind w:right="176"/>
              <w:jc w:val="both"/>
              <w:rPr>
                <w:rFonts w:ascii="Palatino Linotype" w:eastAsia="Palatino Linotype" w:hAnsi="Palatino Linotype" w:cs="Palatino Linotype"/>
                <w:i/>
                <w:color w:val="000000"/>
                <w:sz w:val="22"/>
                <w:szCs w:val="22"/>
              </w:rPr>
            </w:pPr>
            <w:r w:rsidRPr="007521C5">
              <w:rPr>
                <w:rFonts w:ascii="Palatino Linotype" w:eastAsia="Palatino Linotype" w:hAnsi="Palatino Linotype" w:cs="Palatino Linotype"/>
                <w:i/>
                <w:color w:val="000000"/>
                <w:sz w:val="22"/>
                <w:szCs w:val="22"/>
              </w:rPr>
              <w:t xml:space="preserve">Conforme a la ley aplicable en el Estado de </w:t>
            </w:r>
            <w:proofErr w:type="spellStart"/>
            <w:r w:rsidRPr="007521C5">
              <w:rPr>
                <w:rFonts w:ascii="Palatino Linotype" w:eastAsia="Palatino Linotype" w:hAnsi="Palatino Linotype" w:cs="Palatino Linotype"/>
                <w:i/>
                <w:color w:val="000000"/>
                <w:sz w:val="22"/>
                <w:szCs w:val="22"/>
              </w:rPr>
              <w:t>Mexico</w:t>
            </w:r>
            <w:proofErr w:type="spellEnd"/>
            <w:r w:rsidRPr="007521C5">
              <w:rPr>
                <w:rFonts w:ascii="Palatino Linotype" w:eastAsia="Palatino Linotype" w:hAnsi="Palatino Linotype" w:cs="Palatino Linotype"/>
                <w:i/>
                <w:color w:val="000000"/>
                <w:sz w:val="22"/>
                <w:szCs w:val="22"/>
              </w:rPr>
              <w:t xml:space="preserve">: Cual es la manifestación de construcción correspondiente por parte de la autoridad, para llevar acabo la edificación y enajenación de espacios privativos en un condominio comercial vertical de </w:t>
            </w:r>
            <w:proofErr w:type="gramStart"/>
            <w:r w:rsidRPr="007521C5">
              <w:rPr>
                <w:rFonts w:ascii="Palatino Linotype" w:eastAsia="Palatino Linotype" w:hAnsi="Palatino Linotype" w:cs="Palatino Linotype"/>
                <w:i/>
                <w:color w:val="000000"/>
                <w:sz w:val="22"/>
                <w:szCs w:val="22"/>
              </w:rPr>
              <w:t>mas</w:t>
            </w:r>
            <w:proofErr w:type="gramEnd"/>
            <w:r w:rsidRPr="007521C5">
              <w:rPr>
                <w:rFonts w:ascii="Palatino Linotype" w:eastAsia="Palatino Linotype" w:hAnsi="Palatino Linotype" w:cs="Palatino Linotype"/>
                <w:i/>
                <w:color w:val="000000"/>
                <w:sz w:val="22"/>
                <w:szCs w:val="22"/>
              </w:rPr>
              <w:t xml:space="preserve"> de 10,000 m2 de construcción en Huixquilucan Estado de México. </w:t>
            </w:r>
          </w:p>
          <w:p w:rsidR="00E66E79" w:rsidRPr="007521C5" w:rsidRDefault="003F333B">
            <w:pPr>
              <w:numPr>
                <w:ilvl w:val="0"/>
                <w:numId w:val="2"/>
              </w:numPr>
              <w:pBdr>
                <w:top w:val="nil"/>
                <w:left w:val="nil"/>
                <w:bottom w:val="nil"/>
                <w:right w:val="nil"/>
                <w:between w:val="nil"/>
              </w:pBdr>
              <w:tabs>
                <w:tab w:val="left" w:pos="851"/>
              </w:tabs>
              <w:ind w:right="176"/>
              <w:jc w:val="both"/>
              <w:rPr>
                <w:rFonts w:ascii="Palatino Linotype" w:eastAsia="Palatino Linotype" w:hAnsi="Palatino Linotype" w:cs="Palatino Linotype"/>
                <w:i/>
                <w:color w:val="000000"/>
                <w:sz w:val="22"/>
                <w:szCs w:val="22"/>
              </w:rPr>
            </w:pPr>
            <w:r w:rsidRPr="007521C5">
              <w:rPr>
                <w:rFonts w:ascii="Palatino Linotype" w:eastAsia="Palatino Linotype" w:hAnsi="Palatino Linotype" w:cs="Palatino Linotype"/>
                <w:i/>
                <w:color w:val="000000"/>
                <w:sz w:val="22"/>
                <w:szCs w:val="22"/>
              </w:rPr>
              <w:t xml:space="preserve">Que tramites se deben realizar para la edificación de espacios privativos con sus respectivas </w:t>
            </w:r>
            <w:proofErr w:type="spellStart"/>
            <w:r w:rsidRPr="007521C5">
              <w:rPr>
                <w:rFonts w:ascii="Palatino Linotype" w:eastAsia="Palatino Linotype" w:hAnsi="Palatino Linotype" w:cs="Palatino Linotype"/>
                <w:i/>
                <w:color w:val="000000"/>
                <w:sz w:val="22"/>
                <w:szCs w:val="22"/>
              </w:rPr>
              <w:t>areas</w:t>
            </w:r>
            <w:proofErr w:type="spellEnd"/>
            <w:r w:rsidRPr="007521C5">
              <w:rPr>
                <w:rFonts w:ascii="Palatino Linotype" w:eastAsia="Palatino Linotype" w:hAnsi="Palatino Linotype" w:cs="Palatino Linotype"/>
                <w:i/>
                <w:color w:val="000000"/>
                <w:sz w:val="22"/>
                <w:szCs w:val="22"/>
              </w:rPr>
              <w:t xml:space="preserve"> comunes en un edificio comercial de mas de 10,000 m2 </w:t>
            </w:r>
          </w:p>
          <w:p w:rsidR="00E66E79" w:rsidRPr="007521C5" w:rsidRDefault="003F333B">
            <w:pPr>
              <w:numPr>
                <w:ilvl w:val="0"/>
                <w:numId w:val="2"/>
              </w:numPr>
              <w:pBdr>
                <w:top w:val="nil"/>
                <w:left w:val="nil"/>
                <w:bottom w:val="nil"/>
                <w:right w:val="nil"/>
                <w:between w:val="nil"/>
              </w:pBdr>
              <w:tabs>
                <w:tab w:val="left" w:pos="851"/>
              </w:tabs>
              <w:ind w:right="176"/>
              <w:jc w:val="both"/>
              <w:rPr>
                <w:rFonts w:ascii="Palatino Linotype" w:eastAsia="Palatino Linotype" w:hAnsi="Palatino Linotype" w:cs="Palatino Linotype"/>
                <w:i/>
                <w:color w:val="000000"/>
                <w:sz w:val="22"/>
                <w:szCs w:val="22"/>
              </w:rPr>
            </w:pPr>
            <w:r w:rsidRPr="007521C5">
              <w:rPr>
                <w:rFonts w:ascii="Palatino Linotype" w:eastAsia="Palatino Linotype" w:hAnsi="Palatino Linotype" w:cs="Palatino Linotype"/>
                <w:i/>
                <w:color w:val="000000"/>
                <w:sz w:val="22"/>
                <w:szCs w:val="22"/>
              </w:rPr>
              <w:t xml:space="preserve">Cual </w:t>
            </w:r>
            <w:proofErr w:type="spellStart"/>
            <w:r w:rsidRPr="007521C5">
              <w:rPr>
                <w:rFonts w:ascii="Palatino Linotype" w:eastAsia="Palatino Linotype" w:hAnsi="Palatino Linotype" w:cs="Palatino Linotype"/>
                <w:i/>
                <w:color w:val="000000"/>
                <w:sz w:val="22"/>
                <w:szCs w:val="22"/>
              </w:rPr>
              <w:t>seria</w:t>
            </w:r>
            <w:proofErr w:type="spellEnd"/>
            <w:r w:rsidRPr="007521C5">
              <w:rPr>
                <w:rFonts w:ascii="Palatino Linotype" w:eastAsia="Palatino Linotype" w:hAnsi="Palatino Linotype" w:cs="Palatino Linotype"/>
                <w:i/>
                <w:color w:val="000000"/>
                <w:sz w:val="22"/>
                <w:szCs w:val="22"/>
              </w:rPr>
              <w:t xml:space="preserve"> la consecuencia de vender o prometer vender espacios privativos a terceros con una licencia de construcción, sin contar con la autorización en condominio por parte de la autoridad en Huixquilucan Estado de México. </w:t>
            </w:r>
          </w:p>
          <w:p w:rsidR="00E66E79" w:rsidRPr="007521C5" w:rsidRDefault="003F333B">
            <w:pPr>
              <w:numPr>
                <w:ilvl w:val="0"/>
                <w:numId w:val="2"/>
              </w:numPr>
              <w:pBdr>
                <w:top w:val="nil"/>
                <w:left w:val="nil"/>
                <w:bottom w:val="nil"/>
                <w:right w:val="nil"/>
                <w:between w:val="nil"/>
              </w:pBdr>
              <w:tabs>
                <w:tab w:val="left" w:pos="851"/>
              </w:tabs>
              <w:ind w:right="176"/>
              <w:jc w:val="both"/>
              <w:rPr>
                <w:rFonts w:ascii="Palatino Linotype" w:eastAsia="Palatino Linotype" w:hAnsi="Palatino Linotype" w:cs="Palatino Linotype"/>
                <w:i/>
                <w:color w:val="000000"/>
                <w:sz w:val="22"/>
                <w:szCs w:val="22"/>
              </w:rPr>
            </w:pPr>
            <w:r w:rsidRPr="007521C5">
              <w:rPr>
                <w:rFonts w:ascii="Palatino Linotype" w:eastAsia="Palatino Linotype" w:hAnsi="Palatino Linotype" w:cs="Palatino Linotype"/>
                <w:i/>
                <w:color w:val="000000"/>
                <w:sz w:val="22"/>
                <w:szCs w:val="22"/>
              </w:rPr>
              <w:t xml:space="preserve">Cual es la diferencia entre una licencia de construcción de obra nueva para un edificio comercial y una licencia </w:t>
            </w:r>
            <w:r w:rsidRPr="007521C5">
              <w:rPr>
                <w:rFonts w:ascii="Palatino Linotype" w:eastAsia="Palatino Linotype" w:hAnsi="Palatino Linotype" w:cs="Palatino Linotype"/>
                <w:i/>
                <w:color w:val="000000"/>
                <w:sz w:val="22"/>
                <w:szCs w:val="22"/>
              </w:rPr>
              <w:lastRenderedPageBreak/>
              <w:t>de construcción en condominio para un edificio comercial” (Sic) (Énfasis añadido)</w:t>
            </w:r>
          </w:p>
        </w:tc>
        <w:tc>
          <w:tcPr>
            <w:tcW w:w="3688" w:type="dxa"/>
            <w:tcBorders>
              <w:top w:val="single" w:sz="4" w:space="0" w:color="000000"/>
              <w:left w:val="single" w:sz="4" w:space="0" w:color="000000"/>
              <w:bottom w:val="single" w:sz="4" w:space="0" w:color="000000"/>
              <w:right w:val="single" w:sz="4" w:space="0" w:color="000000"/>
            </w:tcBorders>
            <w:shd w:val="clear" w:color="auto" w:fill="FFFFFF"/>
          </w:tcPr>
          <w:p w:rsidR="00E66E79" w:rsidRPr="007521C5" w:rsidRDefault="003F333B">
            <w:pPr>
              <w:tabs>
                <w:tab w:val="left" w:pos="851"/>
              </w:tabs>
              <w:ind w:left="36"/>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lastRenderedPageBreak/>
              <w:t xml:space="preserve">Las respuestas proporcionadas por </w:t>
            </w:r>
            <w:r w:rsidRPr="007521C5">
              <w:rPr>
                <w:rFonts w:ascii="Palatino Linotype" w:eastAsia="Palatino Linotype" w:hAnsi="Palatino Linotype" w:cs="Palatino Linotype"/>
                <w:b/>
                <w:i/>
                <w:sz w:val="22"/>
                <w:szCs w:val="22"/>
              </w:rPr>
              <w:t xml:space="preserve">EL SUJETO OBLIGADO </w:t>
            </w:r>
            <w:r w:rsidRPr="007521C5">
              <w:rPr>
                <w:rFonts w:ascii="Palatino Linotype" w:eastAsia="Palatino Linotype" w:hAnsi="Palatino Linotype" w:cs="Palatino Linotype"/>
                <w:i/>
                <w:sz w:val="22"/>
                <w:szCs w:val="22"/>
              </w:rPr>
              <w:t xml:space="preserve">se advierten en el documento anexo en el antecedente </w:t>
            </w:r>
            <w:r w:rsidRPr="007521C5">
              <w:rPr>
                <w:rFonts w:ascii="Palatino Linotype" w:eastAsia="Palatino Linotype" w:hAnsi="Palatino Linotype" w:cs="Palatino Linotype"/>
                <w:b/>
                <w:i/>
                <w:sz w:val="22"/>
                <w:szCs w:val="22"/>
              </w:rPr>
              <w:t xml:space="preserve">IV </w:t>
            </w:r>
            <w:r w:rsidRPr="007521C5">
              <w:rPr>
                <w:rFonts w:ascii="Palatino Linotype" w:eastAsia="Palatino Linotype" w:hAnsi="Palatino Linotype" w:cs="Palatino Linotype"/>
                <w:i/>
                <w:sz w:val="22"/>
                <w:szCs w:val="22"/>
              </w:rPr>
              <w:t>señaladas con los cuadros de colores en dicho antecedente.</w:t>
            </w:r>
          </w:p>
        </w:tc>
      </w:tr>
    </w:tbl>
    <w:p w:rsidR="00E66E79" w:rsidRPr="007521C5" w:rsidRDefault="00E66E79">
      <w:pPr>
        <w:spacing w:line="360" w:lineRule="auto"/>
        <w:jc w:val="both"/>
        <w:rPr>
          <w:rFonts w:ascii="Palatino Linotype" w:eastAsia="Palatino Linotype" w:hAnsi="Palatino Linotype" w:cs="Palatino Linotype"/>
        </w:rPr>
      </w:pPr>
    </w:p>
    <w:p w:rsidR="00E66E79" w:rsidRPr="007521C5" w:rsidRDefault="003F333B">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 xml:space="preserve">En ese contexto, este Instituto analizó la totalidad de las constancias que integran el expediente electrónico conformado en el </w:t>
      </w:r>
      <w:r w:rsidRPr="007521C5">
        <w:rPr>
          <w:rFonts w:ascii="Palatino Linotype" w:eastAsia="Palatino Linotype" w:hAnsi="Palatino Linotype" w:cs="Palatino Linotype"/>
          <w:b/>
        </w:rPr>
        <w:t>SAIMEX</w:t>
      </w:r>
      <w:r w:rsidRPr="007521C5">
        <w:rPr>
          <w:rFonts w:ascii="Palatino Linotype" w:eastAsia="Palatino Linotype" w:hAnsi="Palatino Linotype" w:cs="Palatino Linotype"/>
        </w:rPr>
        <w:t xml:space="preserve">, del Recurso de Revisión materia del presente estudio, por lo que, derivado del análisis realizado por este Órgano Garante, se concluye que, resultan </w:t>
      </w:r>
      <w:r w:rsidRPr="007521C5">
        <w:rPr>
          <w:rFonts w:ascii="Palatino Linotype" w:eastAsia="Palatino Linotype" w:hAnsi="Palatino Linotype" w:cs="Palatino Linotype"/>
          <w:b/>
        </w:rPr>
        <w:t xml:space="preserve">parcialmente fundadas </w:t>
      </w:r>
      <w:r w:rsidRPr="007521C5">
        <w:rPr>
          <w:rFonts w:ascii="Palatino Linotype" w:eastAsia="Palatino Linotype" w:hAnsi="Palatino Linotype" w:cs="Palatino Linotype"/>
        </w:rPr>
        <w:t xml:space="preserve">las razones o motivos de inconformidad señaladas por </w:t>
      </w:r>
      <w:r w:rsidRPr="007521C5">
        <w:rPr>
          <w:rFonts w:ascii="Palatino Linotype" w:eastAsia="Palatino Linotype" w:hAnsi="Palatino Linotype" w:cs="Palatino Linotype"/>
          <w:b/>
        </w:rPr>
        <w:t>EL RECURRENTE</w:t>
      </w:r>
      <w:r w:rsidRPr="007521C5">
        <w:rPr>
          <w:rFonts w:ascii="Palatino Linotype" w:eastAsia="Palatino Linotype" w:hAnsi="Palatino Linotype" w:cs="Palatino Linotype"/>
        </w:rPr>
        <w:t>, por las siguientes consideraciones que a continuación se enlistan.</w:t>
      </w:r>
    </w:p>
    <w:p w:rsidR="00E66E79" w:rsidRPr="007521C5" w:rsidRDefault="00E66E79">
      <w:pPr>
        <w:spacing w:line="360" w:lineRule="auto"/>
        <w:jc w:val="both"/>
        <w:rPr>
          <w:rFonts w:ascii="Palatino Linotype" w:eastAsia="Palatino Linotype" w:hAnsi="Palatino Linotype" w:cs="Palatino Linotype"/>
        </w:rPr>
      </w:pPr>
    </w:p>
    <w:p w:rsidR="00E66E79" w:rsidRPr="007521C5" w:rsidRDefault="003F333B">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Primero, el Titular de la Unidad de Transparencia, es el servidor público competente para dar contestación a la solicitud de información puesto que éste pertenece a la Unidad de Transparencia, que de conformidad con las funciones que realiza ésta se encuentra la de dar respuesta a las solicitudes de acceso a la información, tal y como se precisa en el artículo 53, fracciones II y IV de la Ley de Transparencia y Acceso a la Información Pública del Estado de México y Municipios, que a la letra dice:</w:t>
      </w:r>
    </w:p>
    <w:p w:rsidR="00E66E79" w:rsidRPr="007521C5" w:rsidRDefault="00E66E79">
      <w:pPr>
        <w:spacing w:line="360" w:lineRule="auto"/>
        <w:jc w:val="both"/>
        <w:rPr>
          <w:rFonts w:ascii="Palatino Linotype" w:eastAsia="Palatino Linotype" w:hAnsi="Palatino Linotype" w:cs="Palatino Linotype"/>
        </w:rPr>
      </w:pPr>
    </w:p>
    <w:p w:rsidR="00E66E79" w:rsidRPr="007521C5" w:rsidRDefault="003F333B">
      <w:pPr>
        <w:ind w:left="850" w:right="901"/>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w:t>
      </w:r>
      <w:r w:rsidRPr="007521C5">
        <w:rPr>
          <w:rFonts w:ascii="Palatino Linotype" w:eastAsia="Palatino Linotype" w:hAnsi="Palatino Linotype" w:cs="Palatino Linotype"/>
          <w:b/>
          <w:i/>
          <w:sz w:val="22"/>
          <w:szCs w:val="22"/>
        </w:rPr>
        <w:t>Artículo 53</w:t>
      </w:r>
      <w:r w:rsidRPr="007521C5">
        <w:rPr>
          <w:rFonts w:ascii="Palatino Linotype" w:eastAsia="Palatino Linotype" w:hAnsi="Palatino Linotype" w:cs="Palatino Linotype"/>
          <w:i/>
          <w:sz w:val="22"/>
          <w:szCs w:val="22"/>
        </w:rPr>
        <w:t>. Las Unidades de Transparencia tendrán las siguientes funciones:</w:t>
      </w:r>
    </w:p>
    <w:p w:rsidR="00E66E79" w:rsidRPr="007521C5" w:rsidRDefault="00E66E79">
      <w:pPr>
        <w:ind w:left="850" w:right="901"/>
        <w:jc w:val="both"/>
        <w:rPr>
          <w:rFonts w:ascii="Palatino Linotype" w:eastAsia="Palatino Linotype" w:hAnsi="Palatino Linotype" w:cs="Palatino Linotype"/>
          <w:i/>
          <w:sz w:val="22"/>
          <w:szCs w:val="22"/>
        </w:rPr>
      </w:pPr>
    </w:p>
    <w:p w:rsidR="00E66E79" w:rsidRPr="007521C5" w:rsidRDefault="003F333B">
      <w:pPr>
        <w:ind w:left="850" w:right="901"/>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w:t>
      </w:r>
    </w:p>
    <w:p w:rsidR="00E66E79" w:rsidRPr="007521C5" w:rsidRDefault="00E66E79">
      <w:pPr>
        <w:ind w:left="850" w:right="901"/>
        <w:jc w:val="both"/>
        <w:rPr>
          <w:rFonts w:ascii="Palatino Linotype" w:eastAsia="Palatino Linotype" w:hAnsi="Palatino Linotype" w:cs="Palatino Linotype"/>
          <w:i/>
          <w:sz w:val="22"/>
          <w:szCs w:val="22"/>
        </w:rPr>
      </w:pPr>
    </w:p>
    <w:p w:rsidR="00E66E79" w:rsidRPr="007521C5" w:rsidRDefault="003F333B">
      <w:pPr>
        <w:ind w:left="850" w:right="901"/>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 xml:space="preserve">II. </w:t>
      </w:r>
      <w:r w:rsidRPr="007521C5">
        <w:rPr>
          <w:rFonts w:ascii="Palatino Linotype" w:eastAsia="Palatino Linotype" w:hAnsi="Palatino Linotype" w:cs="Palatino Linotype"/>
          <w:b/>
          <w:i/>
          <w:sz w:val="22"/>
          <w:szCs w:val="22"/>
        </w:rPr>
        <w:t>Recibir, tramitar y dar respuesta</w:t>
      </w:r>
      <w:r w:rsidRPr="007521C5">
        <w:rPr>
          <w:rFonts w:ascii="Palatino Linotype" w:eastAsia="Palatino Linotype" w:hAnsi="Palatino Linotype" w:cs="Palatino Linotype"/>
          <w:i/>
          <w:sz w:val="22"/>
          <w:szCs w:val="22"/>
        </w:rPr>
        <w:t xml:space="preserve"> a las solicitudes de acceso a la información;</w:t>
      </w:r>
    </w:p>
    <w:p w:rsidR="00E66E79" w:rsidRPr="007521C5" w:rsidRDefault="00E66E79">
      <w:pPr>
        <w:ind w:left="850" w:right="901"/>
        <w:jc w:val="both"/>
        <w:rPr>
          <w:rFonts w:ascii="Palatino Linotype" w:eastAsia="Palatino Linotype" w:hAnsi="Palatino Linotype" w:cs="Palatino Linotype"/>
          <w:i/>
          <w:sz w:val="22"/>
          <w:szCs w:val="22"/>
        </w:rPr>
      </w:pPr>
    </w:p>
    <w:p w:rsidR="00E66E79" w:rsidRPr="007521C5" w:rsidRDefault="003F333B">
      <w:pPr>
        <w:ind w:left="850" w:right="901"/>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w:t>
      </w:r>
    </w:p>
    <w:p w:rsidR="00E66E79" w:rsidRPr="007521C5" w:rsidRDefault="00E66E79">
      <w:pPr>
        <w:ind w:left="850" w:right="901"/>
        <w:jc w:val="both"/>
        <w:rPr>
          <w:rFonts w:ascii="Palatino Linotype" w:eastAsia="Palatino Linotype" w:hAnsi="Palatino Linotype" w:cs="Palatino Linotype"/>
          <w:i/>
          <w:sz w:val="22"/>
          <w:szCs w:val="22"/>
        </w:rPr>
      </w:pPr>
    </w:p>
    <w:p w:rsidR="00E66E79" w:rsidRPr="007521C5" w:rsidRDefault="003F333B">
      <w:pPr>
        <w:ind w:left="850" w:right="901"/>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lastRenderedPageBreak/>
        <w:t xml:space="preserve">IV. Realizar, con efectividad, los trámites internos necesarios para la </w:t>
      </w:r>
      <w:r w:rsidRPr="007521C5">
        <w:rPr>
          <w:rFonts w:ascii="Palatino Linotype" w:eastAsia="Palatino Linotype" w:hAnsi="Palatino Linotype" w:cs="Palatino Linotype"/>
          <w:b/>
          <w:i/>
          <w:sz w:val="22"/>
          <w:szCs w:val="22"/>
        </w:rPr>
        <w:t>atención de las solicitudes</w:t>
      </w:r>
      <w:r w:rsidRPr="007521C5">
        <w:rPr>
          <w:rFonts w:ascii="Palatino Linotype" w:eastAsia="Palatino Linotype" w:hAnsi="Palatino Linotype" w:cs="Palatino Linotype"/>
          <w:i/>
          <w:sz w:val="22"/>
          <w:szCs w:val="22"/>
        </w:rPr>
        <w:t xml:space="preserve"> de acceso a la información;”</w:t>
      </w:r>
    </w:p>
    <w:p w:rsidR="00E66E79" w:rsidRPr="007521C5" w:rsidRDefault="00E66E79">
      <w:pPr>
        <w:ind w:left="850" w:right="901"/>
        <w:jc w:val="both"/>
        <w:rPr>
          <w:rFonts w:ascii="Palatino Linotype" w:eastAsia="Palatino Linotype" w:hAnsi="Palatino Linotype" w:cs="Palatino Linotype"/>
          <w:i/>
          <w:sz w:val="22"/>
          <w:szCs w:val="22"/>
        </w:rPr>
      </w:pPr>
    </w:p>
    <w:p w:rsidR="00E66E79" w:rsidRPr="007521C5" w:rsidRDefault="003F333B">
      <w:pPr>
        <w:ind w:left="850" w:right="901"/>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(Énfasis añadido)</w:t>
      </w:r>
    </w:p>
    <w:p w:rsidR="00E66E79" w:rsidRPr="007521C5" w:rsidRDefault="00E66E79">
      <w:pPr>
        <w:ind w:left="850" w:right="901"/>
        <w:jc w:val="both"/>
        <w:rPr>
          <w:rFonts w:ascii="Palatino Linotype" w:eastAsia="Palatino Linotype" w:hAnsi="Palatino Linotype" w:cs="Palatino Linotype"/>
          <w:i/>
          <w:sz w:val="22"/>
          <w:szCs w:val="22"/>
        </w:rPr>
      </w:pPr>
    </w:p>
    <w:p w:rsidR="00E66E79" w:rsidRPr="007521C5" w:rsidRDefault="003F333B">
      <w:pPr>
        <w:spacing w:line="360" w:lineRule="auto"/>
        <w:ind w:right="141"/>
        <w:jc w:val="both"/>
        <w:rPr>
          <w:rFonts w:ascii="Palatino Linotype" w:eastAsia="Palatino Linotype" w:hAnsi="Palatino Linotype" w:cs="Palatino Linotype"/>
        </w:rPr>
      </w:pPr>
      <w:r w:rsidRPr="007521C5">
        <w:rPr>
          <w:rFonts w:ascii="Palatino Linotype" w:eastAsia="Palatino Linotype" w:hAnsi="Palatino Linotype" w:cs="Palatino Linotype"/>
        </w:rPr>
        <w:t>En ese sentido la Titular de la Unidad de Transparencia</w:t>
      </w:r>
      <w:r w:rsidRPr="007521C5">
        <w:t xml:space="preserve"> </w:t>
      </w:r>
      <w:r w:rsidRPr="007521C5">
        <w:rPr>
          <w:rFonts w:ascii="Palatino Linotype" w:eastAsia="Palatino Linotype" w:hAnsi="Palatino Linotype" w:cs="Palatino Linotype"/>
        </w:rPr>
        <w:t>para el cumplimiento de sus funciones implementa los procedimientos necesarios para dar respuesta a las solicitudes de acceso a la información con base en la información que poseen, generan y administran.</w:t>
      </w:r>
    </w:p>
    <w:p w:rsidR="00E66E79" w:rsidRPr="007521C5" w:rsidRDefault="003F333B">
      <w:pPr>
        <w:spacing w:before="280" w:after="280"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Primeramente, y previo a entrar de lleno al estudio del fondo del presente asunto, esta Ponencia Resolutora considera necesario precisar que</w:t>
      </w:r>
      <w:r w:rsidRPr="007521C5">
        <w:t xml:space="preserve"> </w:t>
      </w:r>
      <w:r w:rsidRPr="007521C5">
        <w:rPr>
          <w:rFonts w:ascii="Palatino Linotype" w:eastAsia="Palatino Linotype" w:hAnsi="Palatino Linotype" w:cs="Palatino Linotype"/>
          <w:b/>
        </w:rPr>
        <w:t xml:space="preserve">EL RECURRENTE </w:t>
      </w:r>
      <w:r w:rsidRPr="007521C5">
        <w:rPr>
          <w:rFonts w:ascii="Palatino Linotype" w:eastAsia="Palatino Linotype" w:hAnsi="Palatino Linotype" w:cs="Palatino Linotype"/>
        </w:rPr>
        <w:t xml:space="preserve">en el acto impugnado se dolió de: </w:t>
      </w:r>
      <w:r w:rsidRPr="007521C5">
        <w:rPr>
          <w:rFonts w:ascii="Palatino Linotype" w:eastAsia="Palatino Linotype" w:hAnsi="Palatino Linotype" w:cs="Palatino Linotype"/>
          <w:i/>
        </w:rPr>
        <w:t xml:space="preserve">“Con fundamento en el artículo 185, 178 y 179 de la LEY DE TRANSPARENCIA Y ACCESO A LA INFORMACIÓN PÚBLICA DEL ESTADO DE MÉXICO Y MUNICIPIOS en virtud de que la respuesta emitida por el Sujeto Obligado NO corresponde con lo solicitado IMPUGNO respuesta emitida por el Sujeto Obligado NANDLLELY KAREN TORRES </w:t>
      </w:r>
      <w:proofErr w:type="spellStart"/>
      <w:r w:rsidRPr="007521C5">
        <w:rPr>
          <w:rFonts w:ascii="Palatino Linotype" w:eastAsia="Palatino Linotype" w:hAnsi="Palatino Linotype" w:cs="Palatino Linotype"/>
          <w:i/>
        </w:rPr>
        <w:t>TORRES</w:t>
      </w:r>
      <w:proofErr w:type="spellEnd"/>
      <w:r w:rsidRPr="007521C5">
        <w:rPr>
          <w:rFonts w:ascii="Palatino Linotype" w:eastAsia="Palatino Linotype" w:hAnsi="Palatino Linotype" w:cs="Palatino Linotype"/>
          <w:i/>
        </w:rPr>
        <w:t xml:space="preserve"> titular de la unidad de transparencia, a la solicitud de información 0095/SEDUO/IP/2022 </w:t>
      </w:r>
      <w:r w:rsidRPr="007521C5">
        <w:rPr>
          <w:rFonts w:ascii="Palatino Linotype" w:eastAsia="Palatino Linotype" w:hAnsi="Palatino Linotype" w:cs="Palatino Linotype"/>
          <w:b/>
          <w:i/>
        </w:rPr>
        <w:t>referente a : “Cuál es la diferencia entre una licencia de construcción de obra nueva para un edificio comercial una licencia de construcción en condominio para un edificio comercial…”</w:t>
      </w:r>
      <w:r w:rsidRPr="007521C5">
        <w:rPr>
          <w:rFonts w:ascii="Palatino Linotype" w:eastAsia="Palatino Linotype" w:hAnsi="Palatino Linotype" w:cs="Palatino Linotype"/>
          <w:i/>
        </w:rPr>
        <w:t xml:space="preserve">(sic). A lo que se contestó: “Con finalidad de referir los preceptos normativos de manera objetiva, me permito reiterarle consulte el artículo 18.2 del Libro Décimo Octavo del Código Administrativo del Estado de México, donde se establecen cada una de las tipologías referentes a las licencias de construcción, por otro lado le informo que dentro de dicha normativa no se encuentra concepto de Licencia de Construcción en </w:t>
      </w:r>
      <w:proofErr w:type="gramStart"/>
      <w:r w:rsidRPr="007521C5">
        <w:rPr>
          <w:rFonts w:ascii="Palatino Linotype" w:eastAsia="Palatino Linotype" w:hAnsi="Palatino Linotype" w:cs="Palatino Linotype"/>
          <w:i/>
        </w:rPr>
        <w:t>condominio …</w:t>
      </w:r>
      <w:proofErr w:type="gramEnd"/>
      <w:r w:rsidRPr="007521C5">
        <w:rPr>
          <w:rFonts w:ascii="Palatino Linotype" w:eastAsia="Palatino Linotype" w:hAnsi="Palatino Linotype" w:cs="Palatino Linotype"/>
          <w:i/>
        </w:rPr>
        <w:t xml:space="preserve">” (sic). </w:t>
      </w:r>
      <w:r w:rsidRPr="007521C5">
        <w:rPr>
          <w:rFonts w:ascii="Palatino Linotype" w:eastAsia="Palatino Linotype" w:hAnsi="Palatino Linotype" w:cs="Palatino Linotype"/>
          <w:b/>
          <w:i/>
        </w:rPr>
        <w:t xml:space="preserve">Por lo que NO se hace referencia a las diferencias solicitadas NI a la ley aplicable a los condominios con respecto a la obtención de la </w:t>
      </w:r>
      <w:r w:rsidRPr="007521C5">
        <w:rPr>
          <w:rFonts w:ascii="Palatino Linotype" w:eastAsia="Palatino Linotype" w:hAnsi="Palatino Linotype" w:cs="Palatino Linotype"/>
          <w:b/>
          <w:i/>
        </w:rPr>
        <w:lastRenderedPageBreak/>
        <w:t>licencia de construcción de un condominio.</w:t>
      </w:r>
      <w:r w:rsidRPr="007521C5">
        <w:rPr>
          <w:rFonts w:ascii="Palatino Linotype" w:eastAsia="Palatino Linotype" w:hAnsi="Palatino Linotype" w:cs="Palatino Linotype"/>
          <w:i/>
        </w:rPr>
        <w:t xml:space="preserve">" (Sic)” (Sic) </w:t>
      </w:r>
      <w:r w:rsidRPr="007521C5">
        <w:rPr>
          <w:rFonts w:ascii="Palatino Linotype" w:eastAsia="Palatino Linotype" w:hAnsi="Palatino Linotype" w:cs="Palatino Linotype"/>
        </w:rPr>
        <w:t xml:space="preserve">ante tales manifestaciones es claro que el particular únicamente se inconformó de que no se emitió pronunciamiento alguno entre la diferencia de una licencia de construcción de obra nueva para un edificio comercial y una licencia de construcción en condominio para un edificio comercial; sin embargo, esta Ponencia Resolutora no advirtió motivo de inconformidad respecto, a lo que </w:t>
      </w:r>
      <w:r w:rsidRPr="007521C5">
        <w:rPr>
          <w:rFonts w:ascii="Palatino Linotype" w:eastAsia="Palatino Linotype" w:hAnsi="Palatino Linotype" w:cs="Palatino Linotype"/>
          <w:b/>
        </w:rPr>
        <w:t xml:space="preserve">EL SUJETO OBLIGADO </w:t>
      </w:r>
      <w:r w:rsidRPr="007521C5">
        <w:rPr>
          <w:rFonts w:ascii="Palatino Linotype" w:eastAsia="Palatino Linotype" w:hAnsi="Palatino Linotype" w:cs="Palatino Linotype"/>
        </w:rPr>
        <w:t xml:space="preserve">emitió como respuesta respecto del resto de lo solicitado; por el contrario, únicamente se duele de la falta de respuesta; al referir que no le hacen entrega de la diferencia de una licencia de construcción de obra nueva para un edificio comercial y una licencia de construcción en condominio para un edificio comercial;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rsidR="00E66E79" w:rsidRPr="007521C5" w:rsidRDefault="003F333B">
      <w:pPr>
        <w:spacing w:before="280" w:after="280"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rsidR="00E66E79" w:rsidRPr="007521C5" w:rsidRDefault="003F333B">
      <w:pPr>
        <w:ind w:left="851" w:right="616"/>
        <w:jc w:val="both"/>
        <w:rPr>
          <w:rFonts w:ascii="Palatino Linotype" w:eastAsia="Palatino Linotype" w:hAnsi="Palatino Linotype" w:cs="Palatino Linotype"/>
          <w:i/>
        </w:rPr>
      </w:pPr>
      <w:r w:rsidRPr="007521C5">
        <w:rPr>
          <w:rFonts w:ascii="Palatino Linotype" w:eastAsia="Palatino Linotype" w:hAnsi="Palatino Linotype" w:cs="Palatino Linotype"/>
          <w:b/>
          <w:i/>
        </w:rPr>
        <w:t xml:space="preserve">“ACTOS CONSENTIDOS. SON LOS QUE NO SE IMPUGNAN MEDIANTE EL RECURSO IDÓNEO. </w:t>
      </w:r>
      <w:r w:rsidRPr="007521C5">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E66E79" w:rsidRPr="007521C5" w:rsidRDefault="003F333B">
      <w:pPr>
        <w:spacing w:before="280" w:after="280"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lastRenderedPageBreak/>
        <w:t>Lo anterior es así, debido a que cuando el particular</w:t>
      </w:r>
      <w:r w:rsidRPr="007521C5">
        <w:rPr>
          <w:rFonts w:ascii="Palatino Linotype" w:eastAsia="Palatino Linotype" w:hAnsi="Palatino Linotype" w:cs="Palatino Linotype"/>
          <w:b/>
        </w:rPr>
        <w:t xml:space="preserve"> </w:t>
      </w:r>
      <w:r w:rsidRPr="007521C5">
        <w:rPr>
          <w:rFonts w:ascii="Palatino Linotype" w:eastAsia="Palatino Linotype" w:hAnsi="Palatino Linotype" w:cs="Palatino Linotype"/>
        </w:rPr>
        <w:t xml:space="preserve">impugnó la respuesta del </w:t>
      </w:r>
      <w:r w:rsidRPr="007521C5">
        <w:rPr>
          <w:rFonts w:ascii="Palatino Linotype" w:eastAsia="Palatino Linotype" w:hAnsi="Palatino Linotype" w:cs="Palatino Linotype"/>
          <w:b/>
        </w:rPr>
        <w:t>SUJETO OBLIGADO</w:t>
      </w:r>
      <w:r w:rsidRPr="007521C5">
        <w:rPr>
          <w:rFonts w:ascii="Palatino Linotype" w:eastAsia="Palatino Linotype" w:hAnsi="Palatino Linotype" w:cs="Palatino Linotype"/>
        </w:rPr>
        <w:t xml:space="preserve">, y no expresó razón o motivo de inconformidad en contra de todos los rubros solicitados, dichos rubros deben declararse atendidos, pues se entiende que </w:t>
      </w:r>
      <w:r w:rsidRPr="007521C5">
        <w:rPr>
          <w:rFonts w:ascii="Palatino Linotype" w:eastAsia="Palatino Linotype" w:hAnsi="Palatino Linotype" w:cs="Palatino Linotype"/>
          <w:b/>
        </w:rPr>
        <w:t>EL RECURRENTE</w:t>
      </w:r>
      <w:r w:rsidRPr="007521C5">
        <w:rPr>
          <w:rFonts w:ascii="Palatino Linotype" w:eastAsia="Palatino Linotype" w:hAnsi="Palatino Linotype" w:cs="Palatino Linotype"/>
        </w:rPr>
        <w:t xml:space="preserve"> está conforme con la respuesta proporcionada por </w:t>
      </w:r>
      <w:r w:rsidRPr="007521C5">
        <w:rPr>
          <w:rFonts w:ascii="Palatino Linotype" w:eastAsia="Palatino Linotype" w:hAnsi="Palatino Linotype" w:cs="Palatino Linotype"/>
          <w:b/>
        </w:rPr>
        <w:t>EL SUJETO OBLIGADO,</w:t>
      </w:r>
      <w:r w:rsidRPr="007521C5">
        <w:rPr>
          <w:rFonts w:ascii="Palatino Linotype" w:eastAsia="Palatino Linotype" w:hAnsi="Palatino Linotype" w:cs="Palatino Linotype"/>
        </w:rPr>
        <w:t xml:space="preserve"> al no contravenir la misma. </w:t>
      </w:r>
    </w:p>
    <w:p w:rsidR="00E66E79" w:rsidRPr="007521C5" w:rsidRDefault="003F333B">
      <w:pPr>
        <w:spacing w:before="280" w:after="280"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rsidR="00E66E79" w:rsidRPr="007521C5" w:rsidRDefault="003F333B">
      <w:pPr>
        <w:ind w:left="851" w:right="616"/>
        <w:jc w:val="both"/>
        <w:rPr>
          <w:rFonts w:ascii="Palatino Linotype" w:eastAsia="Palatino Linotype" w:hAnsi="Palatino Linotype" w:cs="Palatino Linotype"/>
          <w:i/>
        </w:rPr>
      </w:pPr>
      <w:r w:rsidRPr="007521C5">
        <w:rPr>
          <w:rFonts w:ascii="Palatino Linotype" w:eastAsia="Palatino Linotype" w:hAnsi="Palatino Linotype" w:cs="Palatino Linotype"/>
          <w:b/>
          <w:i/>
        </w:rPr>
        <w:t xml:space="preserve">“REVISIÓN EN AMPARO. LOS RESOLUTIVOS NO COMBATIDOS DEBEN DECLARARSE FIRMES. </w:t>
      </w:r>
      <w:r w:rsidRPr="007521C5">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D8037B" w:rsidRPr="007521C5" w:rsidRDefault="00D8037B">
      <w:pPr>
        <w:tabs>
          <w:tab w:val="left" w:pos="709"/>
        </w:tabs>
        <w:spacing w:line="360" w:lineRule="auto"/>
        <w:jc w:val="both"/>
        <w:rPr>
          <w:rFonts w:ascii="Palatino Linotype" w:eastAsia="Palatino Linotype" w:hAnsi="Palatino Linotype" w:cs="Palatino Linotype"/>
        </w:rPr>
      </w:pPr>
    </w:p>
    <w:p w:rsidR="00E66E79" w:rsidRPr="007521C5" w:rsidRDefault="003F333B">
      <w:pPr>
        <w:tabs>
          <w:tab w:val="left" w:pos="709"/>
        </w:tabs>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 xml:space="preserve">Ahora bien, por lo que respecta la parte que adolece </w:t>
      </w:r>
      <w:r w:rsidRPr="007521C5">
        <w:rPr>
          <w:rFonts w:ascii="Palatino Linotype" w:eastAsia="Palatino Linotype" w:hAnsi="Palatino Linotype" w:cs="Palatino Linotype"/>
          <w:b/>
        </w:rPr>
        <w:t xml:space="preserve">EL RECURRENTE </w:t>
      </w:r>
      <w:r w:rsidRPr="007521C5">
        <w:rPr>
          <w:rFonts w:ascii="Palatino Linotype" w:eastAsia="Palatino Linotype" w:hAnsi="Palatino Linotype" w:cs="Palatino Linotype"/>
        </w:rPr>
        <w:t>resulta importante traer en contexto el contenido de los artículos 4 y 12 de la Ley de Transparencia y Acceso a la Información Pública del Estado de México y Municipios, mismos que son del tenor siguiente:</w:t>
      </w:r>
    </w:p>
    <w:p w:rsidR="00E66E79" w:rsidRPr="007521C5" w:rsidRDefault="00E66E79">
      <w:pPr>
        <w:tabs>
          <w:tab w:val="left" w:pos="709"/>
        </w:tabs>
        <w:jc w:val="both"/>
        <w:rPr>
          <w:rFonts w:ascii="Palatino Linotype" w:eastAsia="Palatino Linotype" w:hAnsi="Palatino Linotype" w:cs="Palatino Linotype"/>
        </w:rPr>
      </w:pPr>
    </w:p>
    <w:p w:rsidR="00E66E79" w:rsidRPr="007521C5" w:rsidRDefault="003F333B">
      <w:pPr>
        <w:ind w:left="851" w:right="901"/>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w:t>
      </w:r>
      <w:r w:rsidRPr="007521C5">
        <w:rPr>
          <w:rFonts w:ascii="Palatino Linotype" w:eastAsia="Palatino Linotype" w:hAnsi="Palatino Linotype" w:cs="Palatino Linotype"/>
          <w:b/>
          <w:i/>
          <w:sz w:val="22"/>
          <w:szCs w:val="22"/>
        </w:rPr>
        <w:t>Artículo 4.</w:t>
      </w:r>
      <w:r w:rsidRPr="007521C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66E79" w:rsidRPr="007521C5" w:rsidRDefault="00E66E79">
      <w:pPr>
        <w:ind w:left="851" w:right="901"/>
        <w:jc w:val="both"/>
        <w:rPr>
          <w:rFonts w:ascii="Palatino Linotype" w:eastAsia="Palatino Linotype" w:hAnsi="Palatino Linotype" w:cs="Palatino Linotype"/>
          <w:i/>
          <w:sz w:val="22"/>
          <w:szCs w:val="22"/>
        </w:rPr>
      </w:pPr>
    </w:p>
    <w:p w:rsidR="00E66E79" w:rsidRPr="007521C5" w:rsidRDefault="003F333B">
      <w:pPr>
        <w:ind w:left="851" w:right="901"/>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b/>
          <w:i/>
          <w:sz w:val="22"/>
          <w:szCs w:val="22"/>
          <w:u w:val="single"/>
        </w:rPr>
        <w:lastRenderedPageBreak/>
        <w:t>Toda la información generada, obtenida, adquirida, transformada, administrada o en posesión de los sujetos obligados es pública y accesible de manera permanente a cualquier persona</w:t>
      </w:r>
      <w:r w:rsidRPr="007521C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66E79" w:rsidRPr="007521C5" w:rsidRDefault="003F333B">
      <w:pPr>
        <w:ind w:left="851" w:right="901"/>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E66E79" w:rsidRPr="007521C5" w:rsidRDefault="00E66E79">
      <w:pPr>
        <w:ind w:left="851" w:right="901"/>
        <w:jc w:val="both"/>
        <w:rPr>
          <w:rFonts w:ascii="Palatino Linotype" w:eastAsia="Palatino Linotype" w:hAnsi="Palatino Linotype" w:cs="Palatino Linotype"/>
          <w:i/>
          <w:sz w:val="22"/>
          <w:szCs w:val="22"/>
        </w:rPr>
      </w:pPr>
    </w:p>
    <w:p w:rsidR="00E66E79" w:rsidRPr="007521C5" w:rsidRDefault="003F333B">
      <w:pPr>
        <w:ind w:left="851" w:right="901"/>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b/>
          <w:i/>
          <w:sz w:val="22"/>
          <w:szCs w:val="22"/>
        </w:rPr>
        <w:t>Artículo 12.</w:t>
      </w:r>
      <w:r w:rsidRPr="007521C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rsidR="00E66E79" w:rsidRPr="007521C5" w:rsidRDefault="00E66E79">
      <w:pPr>
        <w:ind w:left="851" w:right="901"/>
        <w:jc w:val="both"/>
        <w:rPr>
          <w:rFonts w:ascii="Palatino Linotype" w:eastAsia="Palatino Linotype" w:hAnsi="Palatino Linotype" w:cs="Palatino Linotype"/>
          <w:i/>
          <w:sz w:val="22"/>
          <w:szCs w:val="22"/>
        </w:rPr>
      </w:pPr>
    </w:p>
    <w:p w:rsidR="00E66E79" w:rsidRPr="007521C5" w:rsidRDefault="003F333B">
      <w:pPr>
        <w:ind w:left="851" w:right="901"/>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w:t>
      </w:r>
      <w:r w:rsidRPr="007521C5">
        <w:rPr>
          <w:rFonts w:ascii="Palatino Linotype" w:eastAsia="Palatino Linotype" w:hAnsi="Palatino Linotype" w:cs="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E66E79" w:rsidRPr="007521C5" w:rsidRDefault="003F333B">
      <w:pPr>
        <w:ind w:left="851" w:right="901"/>
        <w:jc w:val="both"/>
        <w:rPr>
          <w:rFonts w:ascii="Palatino Linotype" w:eastAsia="Palatino Linotype" w:hAnsi="Palatino Linotype" w:cs="Palatino Linotype"/>
          <w:i/>
          <w:sz w:val="22"/>
          <w:szCs w:val="22"/>
        </w:rPr>
      </w:pPr>
      <w:r w:rsidRPr="007521C5">
        <w:rPr>
          <w:rFonts w:ascii="Palatino Linotype" w:eastAsia="Palatino Linotype" w:hAnsi="Palatino Linotype" w:cs="Palatino Linotype"/>
          <w:i/>
          <w:sz w:val="22"/>
          <w:szCs w:val="22"/>
        </w:rPr>
        <w:t>(Énfasis añadido)</w:t>
      </w:r>
    </w:p>
    <w:p w:rsidR="00E66E79" w:rsidRPr="007521C5" w:rsidRDefault="00E66E79">
      <w:pPr>
        <w:ind w:left="851" w:right="901"/>
        <w:jc w:val="both"/>
        <w:rPr>
          <w:rFonts w:ascii="Palatino Linotype" w:eastAsia="Palatino Linotype" w:hAnsi="Palatino Linotype" w:cs="Palatino Linotype"/>
          <w:i/>
          <w:sz w:val="22"/>
          <w:szCs w:val="22"/>
        </w:rPr>
      </w:pPr>
    </w:p>
    <w:p w:rsidR="00E66E79" w:rsidRPr="007521C5" w:rsidRDefault="003F333B">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rPr>
        <w:t xml:space="preserve">Por consiguiente, los preceptos legales transcritos establecen que los </w:t>
      </w:r>
      <w:r w:rsidRPr="007521C5">
        <w:rPr>
          <w:rFonts w:ascii="Palatino Linotype" w:eastAsia="Palatino Linotype" w:hAnsi="Palatino Linotype" w:cs="Palatino Linotype"/>
          <w:b/>
        </w:rPr>
        <w:t>Sujetos Obligados</w:t>
      </w:r>
      <w:r w:rsidRPr="007521C5">
        <w:rPr>
          <w:rFonts w:ascii="Palatino Linotype" w:eastAsia="Palatino Linotype" w:hAnsi="Palatino Linotype" w:cs="Palatino Linotype"/>
        </w:rPr>
        <w:t xml:space="preserve">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rsidR="00E66E79" w:rsidRPr="007521C5" w:rsidRDefault="00E66E79">
      <w:pPr>
        <w:spacing w:line="360" w:lineRule="auto"/>
        <w:jc w:val="both"/>
        <w:rPr>
          <w:rFonts w:ascii="Palatino Linotype" w:eastAsia="Palatino Linotype" w:hAnsi="Palatino Linotype" w:cs="Palatino Linotype"/>
          <w:b/>
        </w:rPr>
      </w:pPr>
    </w:p>
    <w:p w:rsidR="00893543" w:rsidRPr="007521C5" w:rsidRDefault="00D8037B" w:rsidP="00D8037B">
      <w:pPr>
        <w:spacing w:line="360" w:lineRule="auto"/>
        <w:jc w:val="both"/>
        <w:rPr>
          <w:rStyle w:val="Caracteresdenotaalpie"/>
          <w:rFonts w:ascii="Palatino Linotype" w:hAnsi="Palatino Linotype"/>
        </w:rPr>
      </w:pPr>
      <w:r w:rsidRPr="007521C5">
        <w:rPr>
          <w:rFonts w:ascii="Palatino Linotype" w:eastAsia="Palatino Linotype" w:hAnsi="Palatino Linotype" w:cs="Palatino Linotype"/>
          <w:szCs w:val="22"/>
        </w:rPr>
        <w:t xml:space="preserve">Es así que, </w:t>
      </w:r>
      <w:r w:rsidR="00893543" w:rsidRPr="007521C5">
        <w:rPr>
          <w:rStyle w:val="Caracteresdenotaalpie"/>
          <w:rFonts w:ascii="Palatino Linotype" w:hAnsi="Palatino Linotype"/>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w:t>
      </w:r>
      <w:r w:rsidR="00893543" w:rsidRPr="007521C5">
        <w:rPr>
          <w:rStyle w:val="Caracteresdenotaalpie"/>
          <w:rFonts w:ascii="Palatino Linotype" w:hAnsi="Palatino Linotype"/>
        </w:rPr>
        <w:lastRenderedPageBreak/>
        <w:t>de generar un documento ad hoc, para satisfacer el derecho de Acceso a la Información Pública, como lo establece el artículo 12 de la Ley de Transparencia y Acceso a la Información Pública del Estado de México y Municipios.</w:t>
      </w:r>
    </w:p>
    <w:p w:rsidR="00893543" w:rsidRPr="007521C5" w:rsidRDefault="00893543" w:rsidP="00893543">
      <w:pPr>
        <w:shd w:val="clear" w:color="auto" w:fill="FFFFFF"/>
        <w:spacing w:line="360" w:lineRule="atLeast"/>
        <w:ind w:left="567" w:right="51"/>
        <w:jc w:val="both"/>
        <w:rPr>
          <w:rStyle w:val="Caracteresdenotaalpie"/>
          <w:rFonts w:ascii="Palatino Linotype" w:hAnsi="Palatino Linotype"/>
        </w:rPr>
      </w:pPr>
      <w:r w:rsidRPr="007521C5">
        <w:rPr>
          <w:rStyle w:val="Caracteresdenotaalpie"/>
          <w:rFonts w:ascii="Palatino Linotype" w:hAnsi="Palatino Linotype"/>
        </w:rPr>
        <w:t> </w:t>
      </w:r>
    </w:p>
    <w:p w:rsidR="00893543" w:rsidRPr="007521C5" w:rsidRDefault="00893543" w:rsidP="00893543">
      <w:pPr>
        <w:shd w:val="clear" w:color="auto" w:fill="FFFFFF"/>
        <w:spacing w:line="360" w:lineRule="atLeast"/>
        <w:ind w:right="51"/>
        <w:jc w:val="both"/>
        <w:rPr>
          <w:rStyle w:val="Caracteresdenotaalpie"/>
          <w:rFonts w:ascii="Palatino Linotype" w:hAnsi="Palatino Linotype"/>
        </w:rPr>
      </w:pPr>
      <w:r w:rsidRPr="007521C5">
        <w:rPr>
          <w:rStyle w:val="Caracteresdenotaalpie"/>
          <w:rFonts w:ascii="Palatino Linotype" w:hAnsi="Palatino Linotype"/>
        </w:rPr>
        <w:t>Como apoyo a lo anterior, es aplicable el Criterio 03-17, emitido por el Instituto Nacional de Transparencia, Acceso a la Información y Protección de Datos Personales, que dice:</w:t>
      </w:r>
    </w:p>
    <w:p w:rsidR="00893543" w:rsidRPr="007521C5" w:rsidRDefault="00893543" w:rsidP="00893543">
      <w:pPr>
        <w:shd w:val="clear" w:color="auto" w:fill="FFFFFF"/>
        <w:ind w:left="928" w:right="850"/>
        <w:jc w:val="both"/>
        <w:rPr>
          <w:rStyle w:val="Caracteresdenotaalpie"/>
          <w:rFonts w:ascii="Palatino Linotype" w:hAnsi="Palatino Linotype"/>
        </w:rPr>
      </w:pPr>
      <w:r w:rsidRPr="007521C5">
        <w:rPr>
          <w:rStyle w:val="Caracteresdenotaalpie"/>
          <w:rFonts w:ascii="Palatino Linotype" w:hAnsi="Palatino Linotype"/>
        </w:rPr>
        <w:t> </w:t>
      </w:r>
    </w:p>
    <w:p w:rsidR="00893543" w:rsidRPr="007521C5" w:rsidRDefault="00893543" w:rsidP="00F915C7">
      <w:pPr>
        <w:shd w:val="clear" w:color="auto" w:fill="FFFFFF"/>
        <w:spacing w:line="360" w:lineRule="atLeast"/>
        <w:ind w:left="851" w:right="899"/>
        <w:jc w:val="both"/>
        <w:rPr>
          <w:rStyle w:val="Caracteresdenotaalpie"/>
          <w:rFonts w:ascii="Palatino Linotype" w:hAnsi="Palatino Linotype"/>
          <w:i/>
          <w:sz w:val="22"/>
        </w:rPr>
      </w:pPr>
      <w:r w:rsidRPr="007521C5">
        <w:rPr>
          <w:rStyle w:val="Caracteresdenotaalpie"/>
          <w:rFonts w:ascii="Palatino Linotype" w:hAnsi="Palatino Linotype"/>
          <w:i/>
          <w:sz w:val="22"/>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66E79" w:rsidRPr="007521C5" w:rsidRDefault="00E66E79">
      <w:pPr>
        <w:spacing w:line="360" w:lineRule="auto"/>
        <w:ind w:right="49"/>
        <w:jc w:val="both"/>
        <w:rPr>
          <w:rFonts w:ascii="Palatino Linotype" w:eastAsia="Palatino Linotype" w:hAnsi="Palatino Linotype" w:cs="Palatino Linotype"/>
        </w:rPr>
      </w:pPr>
    </w:p>
    <w:p w:rsidR="00BA661F" w:rsidRPr="007521C5" w:rsidRDefault="00970C73" w:rsidP="00BA661F">
      <w:pPr>
        <w:spacing w:line="360" w:lineRule="auto"/>
        <w:jc w:val="both"/>
        <w:rPr>
          <w:rFonts w:ascii="Palatino Linotype" w:eastAsia="MS Mincho" w:hAnsi="Palatino Linotype" w:cs="Arial"/>
          <w:szCs w:val="20"/>
          <w:lang w:val="es-ES_tradnl" w:eastAsia="es-ES"/>
        </w:rPr>
      </w:pPr>
      <w:r w:rsidRPr="007521C5">
        <w:rPr>
          <w:rFonts w:ascii="Palatino Linotype" w:eastAsia="Palatino Linotype" w:hAnsi="Palatino Linotype" w:cs="Palatino Linotype"/>
        </w:rPr>
        <w:t xml:space="preserve">Dicho lo anterior respecto a la parte que se adolece </w:t>
      </w:r>
      <w:r w:rsidRPr="007521C5">
        <w:rPr>
          <w:rFonts w:ascii="Palatino Linotype" w:eastAsia="Palatino Linotype" w:hAnsi="Palatino Linotype" w:cs="Palatino Linotype"/>
          <w:b/>
        </w:rPr>
        <w:t xml:space="preserve">EL RECURRENTE </w:t>
      </w:r>
      <w:r w:rsidRPr="007521C5">
        <w:rPr>
          <w:rFonts w:ascii="Palatino Linotype" w:eastAsia="Palatino Linotype" w:hAnsi="Palatino Linotype" w:cs="Palatino Linotype"/>
        </w:rPr>
        <w:t xml:space="preserve">y que fue el único motivo de inconformidad nos encontramos que éste </w:t>
      </w:r>
      <w:r w:rsidR="00BA661F" w:rsidRPr="007521C5">
        <w:rPr>
          <w:rFonts w:ascii="Palatino Linotype" w:hAnsi="Palatino Linotype" w:cs="Arial"/>
        </w:rPr>
        <w:t>requirió saber ¿</w:t>
      </w:r>
      <w:r w:rsidR="00BA661F" w:rsidRPr="007521C5">
        <w:t xml:space="preserve"> </w:t>
      </w:r>
      <w:r w:rsidR="00BA661F" w:rsidRPr="007521C5">
        <w:rPr>
          <w:rFonts w:ascii="Palatino Linotype" w:hAnsi="Palatino Linotype" w:cs="Arial"/>
        </w:rPr>
        <w:t xml:space="preserve">Cuál es la diferencia entre una licencia de construcción de obra nueva para un edificio comercial una licencia de construcción en condominio para un edificio comercial?, en este caso, </w:t>
      </w:r>
      <w:r w:rsidR="00BA661F" w:rsidRPr="007521C5">
        <w:rPr>
          <w:rFonts w:ascii="Palatino Linotype" w:eastAsia="MS Mincho" w:hAnsi="Palatino Linotype"/>
          <w:lang w:val="es-ES_tradnl"/>
        </w:rPr>
        <w:t xml:space="preserve">este Órgano Garante advierte que </w:t>
      </w:r>
      <w:r w:rsidR="00BA661F" w:rsidRPr="007521C5">
        <w:rPr>
          <w:rFonts w:ascii="Palatino Linotype" w:eastAsia="MS Mincho" w:hAnsi="Palatino Linotype" w:cs="Arial"/>
          <w:lang w:val="es-ES_tradnl" w:eastAsia="es-ES"/>
        </w:rPr>
        <w:t>dicha solicitud no constituye un derecho de acceso a la información pública, sino más bien un derecho de petición, debido a que se tratan de manifestaciones</w:t>
      </w:r>
      <w:r w:rsidR="00BA661F" w:rsidRPr="007521C5">
        <w:rPr>
          <w:rFonts w:ascii="Palatino Linotype" w:eastAsia="MS Mincho" w:hAnsi="Palatino Linotype" w:cs="Arial"/>
          <w:szCs w:val="20"/>
          <w:lang w:val="es-ES_tradnl" w:eastAsia="es-ES"/>
        </w:rPr>
        <w:t xml:space="preserve"> subjetivas vertidas por el entonces solicitante,</w:t>
      </w:r>
      <w:r w:rsidR="00BA661F" w:rsidRPr="007521C5">
        <w:rPr>
          <w:rFonts w:ascii="Palatino Linotype" w:eastAsia="MS Mincho" w:hAnsi="Palatino Linotype" w:cs="Arial"/>
          <w:lang w:val="es-ES_tradnl" w:eastAsia="es-ES"/>
        </w:rPr>
        <w:t xml:space="preserve"> interrogantes y </w:t>
      </w:r>
      <w:r w:rsidR="00BA661F" w:rsidRPr="007521C5">
        <w:rPr>
          <w:rFonts w:ascii="Palatino Linotype" w:eastAsia="MS Mincho" w:hAnsi="Palatino Linotype" w:cs="Arial"/>
          <w:lang w:val="es-ES_tradnl" w:eastAsia="es-ES"/>
        </w:rPr>
        <w:lastRenderedPageBreak/>
        <w:t xml:space="preserve">declaraciones que no se colman con la entrega de documentos, situación que conlleva a afirmar que se está en presencia del ejercicio del derecho enunciado. </w:t>
      </w:r>
    </w:p>
    <w:p w:rsidR="00BA661F" w:rsidRPr="007521C5" w:rsidRDefault="00BA661F" w:rsidP="00BA661F">
      <w:pPr>
        <w:autoSpaceDE w:val="0"/>
        <w:autoSpaceDN w:val="0"/>
        <w:adjustRightInd w:val="0"/>
        <w:spacing w:line="360" w:lineRule="auto"/>
        <w:ind w:left="720"/>
        <w:contextualSpacing/>
        <w:jc w:val="both"/>
        <w:rPr>
          <w:rFonts w:ascii="Palatino Linotype" w:eastAsia="MS Mincho" w:hAnsi="Palatino Linotype" w:cs="Arial"/>
          <w:lang w:val="es-ES_tradnl" w:eastAsia="es-ES"/>
        </w:rPr>
      </w:pPr>
    </w:p>
    <w:p w:rsidR="00BA661F" w:rsidRPr="007521C5" w:rsidRDefault="00BA661F" w:rsidP="00BA661F">
      <w:pPr>
        <w:autoSpaceDE w:val="0"/>
        <w:autoSpaceDN w:val="0"/>
        <w:adjustRightInd w:val="0"/>
        <w:spacing w:line="360" w:lineRule="auto"/>
        <w:ind w:right="616"/>
        <w:contextualSpacing/>
        <w:jc w:val="both"/>
        <w:rPr>
          <w:rFonts w:ascii="Palatino Linotype" w:eastAsia="MS Mincho" w:hAnsi="Palatino Linotype" w:cs="Arial"/>
          <w:lang w:val="es-ES_tradnl" w:eastAsia="es-ES"/>
        </w:rPr>
      </w:pPr>
      <w:r w:rsidRPr="007521C5">
        <w:rPr>
          <w:rFonts w:ascii="Palatino Linotype" w:eastAsia="MS Mincho" w:hAnsi="Palatino Linotype" w:cs="Arial"/>
          <w:lang w:val="es-ES_tradnl" w:eastAsia="es-ES"/>
        </w:rPr>
        <w:t>Bajo ese contexto, es importante dejar en claro lo que debe entenderse por derecho de petición y por derecho de acceso a la información pública.</w:t>
      </w:r>
    </w:p>
    <w:p w:rsidR="00BA661F" w:rsidRPr="007521C5" w:rsidRDefault="00BA661F" w:rsidP="00BA661F">
      <w:pPr>
        <w:autoSpaceDE w:val="0"/>
        <w:autoSpaceDN w:val="0"/>
        <w:adjustRightInd w:val="0"/>
        <w:spacing w:line="360" w:lineRule="auto"/>
        <w:ind w:left="720"/>
        <w:contextualSpacing/>
        <w:jc w:val="both"/>
        <w:rPr>
          <w:rFonts w:ascii="Palatino Linotype" w:eastAsia="MS Mincho" w:hAnsi="Palatino Linotype" w:cs="Arial"/>
          <w:lang w:val="es-ES_tradnl" w:eastAsia="es-ES"/>
        </w:rPr>
      </w:pPr>
    </w:p>
    <w:p w:rsidR="00BA661F" w:rsidRPr="007521C5" w:rsidRDefault="00BA661F" w:rsidP="00BA661F">
      <w:pPr>
        <w:autoSpaceDE w:val="0"/>
        <w:autoSpaceDN w:val="0"/>
        <w:adjustRightInd w:val="0"/>
        <w:spacing w:line="360" w:lineRule="auto"/>
        <w:ind w:right="113"/>
        <w:contextualSpacing/>
        <w:jc w:val="both"/>
        <w:rPr>
          <w:rFonts w:ascii="Palatino Linotype" w:eastAsia="MS Mincho" w:hAnsi="Palatino Linotype" w:cs="Arial"/>
          <w:lang w:val="es-ES_tradnl" w:eastAsia="es-ES"/>
        </w:rPr>
      </w:pPr>
      <w:r w:rsidRPr="007521C5">
        <w:rPr>
          <w:rFonts w:ascii="Palatino Linotype" w:eastAsia="MS Mincho" w:hAnsi="Palatino Linotype" w:cs="Arial"/>
          <w:lang w:val="es-ES_tradnl" w:eastAsia="es-ES"/>
        </w:rPr>
        <w:t xml:space="preserve">Por lo que respecta a la definición de Derecho de Petición, el Maestro Ignacio Burgoa Orihuela refiere: </w:t>
      </w:r>
    </w:p>
    <w:p w:rsidR="00BA661F" w:rsidRPr="007521C5" w:rsidRDefault="00BA661F" w:rsidP="00D8037B">
      <w:pPr>
        <w:autoSpaceDE w:val="0"/>
        <w:autoSpaceDN w:val="0"/>
        <w:adjustRightInd w:val="0"/>
        <w:ind w:left="720"/>
        <w:contextualSpacing/>
        <w:jc w:val="both"/>
        <w:rPr>
          <w:rFonts w:ascii="Palatino Linotype" w:eastAsia="MS Mincho" w:hAnsi="Palatino Linotype" w:cs="Arial"/>
          <w:lang w:val="es-ES_tradnl" w:eastAsia="es-ES"/>
        </w:rPr>
      </w:pPr>
    </w:p>
    <w:p w:rsidR="00BA661F" w:rsidRPr="007521C5" w:rsidRDefault="00BA661F" w:rsidP="00D8037B">
      <w:pPr>
        <w:autoSpaceDE w:val="0"/>
        <w:autoSpaceDN w:val="0"/>
        <w:adjustRightInd w:val="0"/>
        <w:ind w:left="851" w:right="901"/>
        <w:jc w:val="both"/>
        <w:rPr>
          <w:rFonts w:ascii="Palatino Linotype" w:eastAsia="MS Mincho" w:hAnsi="Palatino Linotype" w:cs="Arial"/>
          <w:i/>
          <w:sz w:val="22"/>
          <w:lang w:val="es-ES_tradnl" w:eastAsia="es-ES"/>
        </w:rPr>
      </w:pPr>
      <w:r w:rsidRPr="007521C5">
        <w:rPr>
          <w:rFonts w:ascii="Palatino Linotype" w:eastAsia="MS Mincho" w:hAnsi="Palatino Linotype" w:cs="Arial"/>
          <w:b/>
          <w:sz w:val="22"/>
          <w:lang w:val="es-ES_tradnl" w:eastAsia="es-ES"/>
        </w:rPr>
        <w:t>“</w:t>
      </w:r>
      <w:r w:rsidRPr="007521C5">
        <w:rPr>
          <w:rFonts w:ascii="Palatino Linotype" w:eastAsia="MS Mincho" w:hAnsi="Palatino Linotype" w:cs="Arial"/>
          <w:sz w:val="22"/>
          <w:lang w:val="es-ES_tradnl" w:eastAsia="es-ES"/>
        </w:rPr>
        <w:t>…</w:t>
      </w:r>
      <w:r w:rsidRPr="007521C5">
        <w:rPr>
          <w:rFonts w:ascii="Palatino Linotype" w:eastAsia="MS Mincho" w:hAnsi="Palatino Linotype" w:cs="Arial"/>
          <w:i/>
          <w:sz w:val="22"/>
          <w:lang w:val="es-ES_tradnl"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proofErr w:type="gramStart"/>
      <w:r w:rsidRPr="007521C5">
        <w:rPr>
          <w:rFonts w:ascii="Palatino Linotype" w:eastAsia="MS Mincho" w:hAnsi="Palatino Linotype" w:cs="Arial"/>
          <w:i/>
          <w:sz w:val="22"/>
          <w:lang w:val="es-ES_tradnl" w:eastAsia="es-ES"/>
        </w:rPr>
        <w:t>.</w:t>
      </w:r>
      <w:r w:rsidRPr="007521C5">
        <w:rPr>
          <w:rFonts w:ascii="Palatino Linotype" w:eastAsia="MS Mincho" w:hAnsi="Palatino Linotype"/>
          <w:b/>
          <w:i/>
          <w:sz w:val="22"/>
          <w:lang w:val="es-ES_tradnl" w:eastAsia="es-ES"/>
        </w:rPr>
        <w:t>“</w:t>
      </w:r>
      <w:proofErr w:type="gramEnd"/>
      <w:r w:rsidRPr="007521C5">
        <w:rPr>
          <w:rFonts w:ascii="Palatino Linotype" w:eastAsia="MS Mincho" w:hAnsi="Palatino Linotype" w:cs="Arial"/>
          <w:i/>
          <w:sz w:val="22"/>
          <w:lang w:val="es-ES_tradnl" w:eastAsia="es-ES"/>
        </w:rPr>
        <w:t xml:space="preserve"> (</w:t>
      </w:r>
      <w:proofErr w:type="gramStart"/>
      <w:r w:rsidRPr="007521C5">
        <w:rPr>
          <w:rFonts w:ascii="Palatino Linotype" w:eastAsia="MS Mincho" w:hAnsi="Palatino Linotype" w:cs="Arial"/>
          <w:i/>
          <w:sz w:val="22"/>
          <w:lang w:val="es-ES_tradnl" w:eastAsia="es-ES"/>
        </w:rPr>
        <w:t>sic</w:t>
      </w:r>
      <w:proofErr w:type="gramEnd"/>
      <w:r w:rsidRPr="007521C5">
        <w:rPr>
          <w:rFonts w:ascii="Palatino Linotype" w:eastAsia="MS Mincho" w:hAnsi="Palatino Linotype" w:cs="Arial"/>
          <w:i/>
          <w:sz w:val="22"/>
          <w:lang w:val="es-ES_tradnl" w:eastAsia="es-ES"/>
        </w:rPr>
        <w:t>)</w:t>
      </w:r>
    </w:p>
    <w:p w:rsidR="00BA661F" w:rsidRPr="007521C5" w:rsidRDefault="00BA661F" w:rsidP="00D8037B">
      <w:pPr>
        <w:autoSpaceDE w:val="0"/>
        <w:autoSpaceDN w:val="0"/>
        <w:adjustRightInd w:val="0"/>
        <w:ind w:left="720" w:right="901"/>
        <w:contextualSpacing/>
        <w:jc w:val="both"/>
        <w:rPr>
          <w:rFonts w:ascii="Palatino Linotype" w:eastAsia="MS Mincho" w:hAnsi="Palatino Linotype" w:cs="Arial"/>
          <w:i/>
          <w:lang w:val="es-ES_tradnl" w:eastAsia="es-ES"/>
        </w:rPr>
      </w:pPr>
    </w:p>
    <w:p w:rsidR="00BA661F" w:rsidRPr="007521C5" w:rsidRDefault="00BA661F" w:rsidP="00BA661F">
      <w:pPr>
        <w:autoSpaceDE w:val="0"/>
        <w:autoSpaceDN w:val="0"/>
        <w:adjustRightInd w:val="0"/>
        <w:spacing w:line="360" w:lineRule="auto"/>
        <w:ind w:right="616"/>
        <w:contextualSpacing/>
        <w:jc w:val="both"/>
        <w:rPr>
          <w:rFonts w:ascii="Palatino Linotype" w:eastAsia="MS Mincho" w:hAnsi="Palatino Linotype" w:cs="Arial"/>
          <w:lang w:val="es-ES_tradnl" w:eastAsia="es-ES"/>
        </w:rPr>
      </w:pPr>
      <w:r w:rsidRPr="007521C5">
        <w:rPr>
          <w:rFonts w:ascii="Palatino Linotype" w:eastAsia="MS Mincho" w:hAnsi="Palatino Linotype" w:cs="Arial"/>
          <w:lang w:val="es-ES_tradnl" w:eastAsia="es-ES"/>
        </w:rPr>
        <w:t xml:space="preserve">Por su parte, David Cienfuegos Salgado, concibe al derecho de petición como: </w:t>
      </w:r>
    </w:p>
    <w:p w:rsidR="00BA661F" w:rsidRPr="007521C5" w:rsidRDefault="00BA661F" w:rsidP="00D8037B">
      <w:pPr>
        <w:autoSpaceDE w:val="0"/>
        <w:autoSpaceDN w:val="0"/>
        <w:adjustRightInd w:val="0"/>
        <w:ind w:left="720"/>
        <w:contextualSpacing/>
        <w:jc w:val="both"/>
        <w:rPr>
          <w:rFonts w:ascii="Palatino Linotype" w:eastAsia="MS Mincho" w:hAnsi="Palatino Linotype" w:cs="Arial"/>
          <w:sz w:val="22"/>
          <w:lang w:val="es-ES_tradnl" w:eastAsia="es-ES"/>
        </w:rPr>
      </w:pPr>
    </w:p>
    <w:p w:rsidR="00BA661F" w:rsidRPr="007521C5" w:rsidRDefault="00BA661F" w:rsidP="00D8037B">
      <w:pPr>
        <w:autoSpaceDE w:val="0"/>
        <w:autoSpaceDN w:val="0"/>
        <w:adjustRightInd w:val="0"/>
        <w:ind w:left="720" w:right="901"/>
        <w:contextualSpacing/>
        <w:jc w:val="both"/>
        <w:rPr>
          <w:rFonts w:ascii="Palatino Linotype" w:eastAsia="MS Mincho" w:hAnsi="Palatino Linotype" w:cs="Arial"/>
          <w:i/>
          <w:sz w:val="22"/>
          <w:lang w:val="es-ES_tradnl" w:eastAsia="es-ES"/>
        </w:rPr>
      </w:pPr>
      <w:r w:rsidRPr="007521C5">
        <w:rPr>
          <w:rFonts w:ascii="Palatino Linotype" w:eastAsia="MS Mincho" w:hAnsi="Palatino Linotype" w:cs="Arial"/>
          <w:b/>
          <w:i/>
          <w:sz w:val="22"/>
          <w:lang w:val="es-ES_tradnl" w:eastAsia="es-ES"/>
        </w:rPr>
        <w:t>“</w:t>
      </w:r>
      <w:r w:rsidRPr="007521C5">
        <w:rPr>
          <w:rFonts w:ascii="Palatino Linotype" w:eastAsia="MS Mincho" w:hAnsi="Palatino Linotype" w:cs="Arial"/>
          <w:i/>
          <w:sz w:val="22"/>
          <w:lang w:val="es-ES_tradnl" w:eastAsia="es-ES"/>
        </w:rPr>
        <w:t>el derecho de toda persona a ser escuchado por quienes ejercen el poder público.</w:t>
      </w:r>
      <w:r w:rsidRPr="007521C5">
        <w:rPr>
          <w:rFonts w:ascii="Palatino Linotype" w:eastAsia="MS Mincho" w:hAnsi="Palatino Linotype" w:cs="Arial"/>
          <w:b/>
          <w:i/>
          <w:sz w:val="22"/>
          <w:lang w:val="es-ES_tradnl" w:eastAsia="es-ES"/>
        </w:rPr>
        <w:t>”</w:t>
      </w:r>
      <w:r w:rsidRPr="007521C5">
        <w:rPr>
          <w:rFonts w:ascii="Palatino Linotype" w:eastAsia="MS Mincho" w:hAnsi="Palatino Linotype" w:cs="Arial"/>
          <w:i/>
          <w:sz w:val="22"/>
          <w:lang w:val="es-ES_tradnl" w:eastAsia="es-ES"/>
        </w:rPr>
        <w:t xml:space="preserve"> (</w:t>
      </w:r>
      <w:proofErr w:type="gramStart"/>
      <w:r w:rsidRPr="007521C5">
        <w:rPr>
          <w:rFonts w:ascii="Palatino Linotype" w:eastAsia="MS Mincho" w:hAnsi="Palatino Linotype" w:cs="Arial"/>
          <w:i/>
          <w:sz w:val="22"/>
          <w:lang w:val="es-ES_tradnl" w:eastAsia="es-ES"/>
        </w:rPr>
        <w:t>sic</w:t>
      </w:r>
      <w:proofErr w:type="gramEnd"/>
      <w:r w:rsidRPr="007521C5">
        <w:rPr>
          <w:rFonts w:ascii="Palatino Linotype" w:eastAsia="MS Mincho" w:hAnsi="Palatino Linotype" w:cs="Arial"/>
          <w:i/>
          <w:sz w:val="22"/>
          <w:lang w:val="es-ES_tradnl" w:eastAsia="es-ES"/>
        </w:rPr>
        <w:t xml:space="preserve">) </w:t>
      </w:r>
    </w:p>
    <w:p w:rsidR="00BA661F" w:rsidRPr="007521C5" w:rsidRDefault="00BA661F" w:rsidP="00D8037B">
      <w:pPr>
        <w:autoSpaceDE w:val="0"/>
        <w:autoSpaceDN w:val="0"/>
        <w:adjustRightInd w:val="0"/>
        <w:ind w:left="720" w:right="901"/>
        <w:contextualSpacing/>
        <w:jc w:val="both"/>
        <w:rPr>
          <w:rFonts w:ascii="Palatino Linotype" w:eastAsia="MS Mincho" w:hAnsi="Palatino Linotype" w:cs="Arial"/>
          <w:i/>
          <w:lang w:val="es-ES_tradnl" w:eastAsia="es-ES"/>
        </w:rPr>
      </w:pPr>
    </w:p>
    <w:p w:rsidR="00BA661F" w:rsidRPr="007521C5" w:rsidRDefault="00BA661F" w:rsidP="00BA661F">
      <w:pPr>
        <w:spacing w:line="360" w:lineRule="auto"/>
        <w:contextualSpacing/>
        <w:jc w:val="both"/>
        <w:rPr>
          <w:rFonts w:ascii="Palatino Linotype" w:eastAsia="MS Mincho" w:hAnsi="Palatino Linotype" w:cs="Arial"/>
          <w:lang w:val="es-ES_tradnl" w:eastAsia="es-ES"/>
        </w:rPr>
      </w:pPr>
      <w:r w:rsidRPr="007521C5">
        <w:rPr>
          <w:rFonts w:ascii="Palatino Linotype" w:eastAsia="MS Mincho" w:hAnsi="Palatino Linotype" w:cs="Arial"/>
          <w:lang w:val="es-ES_tradnl" w:eastAsia="es-ES"/>
        </w:rPr>
        <w:t xml:space="preserve"> A este respecto, para diferenciar el derecho de petición al derecho de acceso a la información, resulta conducente señalar que José Guadalupe Robles, conceptualiza el derecho a la información como: </w:t>
      </w:r>
    </w:p>
    <w:p w:rsidR="00BA661F" w:rsidRPr="007521C5" w:rsidRDefault="00BA661F" w:rsidP="00D8037B">
      <w:pPr>
        <w:ind w:left="720"/>
        <w:contextualSpacing/>
        <w:jc w:val="both"/>
        <w:rPr>
          <w:rFonts w:ascii="Palatino Linotype" w:eastAsia="MS Mincho" w:hAnsi="Palatino Linotype" w:cs="Arial"/>
          <w:lang w:val="es-ES_tradnl" w:eastAsia="es-ES"/>
        </w:rPr>
      </w:pPr>
    </w:p>
    <w:p w:rsidR="00BA661F" w:rsidRPr="007521C5" w:rsidRDefault="00BA661F" w:rsidP="00D8037B">
      <w:pPr>
        <w:autoSpaceDE w:val="0"/>
        <w:autoSpaceDN w:val="0"/>
        <w:adjustRightInd w:val="0"/>
        <w:ind w:left="851" w:right="616"/>
        <w:contextualSpacing/>
        <w:jc w:val="both"/>
        <w:rPr>
          <w:rFonts w:ascii="Palatino Linotype" w:eastAsia="MS Mincho" w:hAnsi="Palatino Linotype" w:cs="Arial"/>
          <w:i/>
          <w:sz w:val="22"/>
          <w:lang w:val="es-ES_tradnl" w:eastAsia="es-ES"/>
        </w:rPr>
      </w:pPr>
      <w:r w:rsidRPr="007521C5">
        <w:rPr>
          <w:rFonts w:ascii="Palatino Linotype" w:eastAsia="MS Mincho" w:hAnsi="Palatino Linotype" w:cs="Arial"/>
          <w:b/>
          <w:i/>
          <w:sz w:val="22"/>
          <w:lang w:val="es-ES_tradnl" w:eastAsia="es-ES"/>
        </w:rPr>
        <w:t>“</w:t>
      </w:r>
      <w:r w:rsidRPr="007521C5">
        <w:rPr>
          <w:rFonts w:ascii="Palatino Linotype" w:eastAsia="MS Mincho" w:hAnsi="Palatino Linotype" w:cs="Arial"/>
          <w:i/>
          <w:sz w:val="22"/>
          <w:lang w:val="es-ES_tradnl" w:eastAsia="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7521C5">
        <w:rPr>
          <w:rFonts w:ascii="Palatino Linotype" w:eastAsia="MS Mincho" w:hAnsi="Palatino Linotype" w:cs="Arial"/>
          <w:b/>
          <w:i/>
          <w:sz w:val="22"/>
          <w:lang w:val="es-ES_tradnl" w:eastAsia="es-ES"/>
        </w:rPr>
        <w:t>”</w:t>
      </w:r>
      <w:r w:rsidRPr="007521C5">
        <w:rPr>
          <w:rFonts w:ascii="Palatino Linotype" w:eastAsia="MS Mincho" w:hAnsi="Palatino Linotype" w:cs="Arial"/>
          <w:i/>
          <w:sz w:val="22"/>
          <w:lang w:val="es-ES_tradnl" w:eastAsia="es-ES"/>
        </w:rPr>
        <w:t xml:space="preserve"> (</w:t>
      </w:r>
      <w:proofErr w:type="gramStart"/>
      <w:r w:rsidRPr="007521C5">
        <w:rPr>
          <w:rFonts w:ascii="Palatino Linotype" w:eastAsia="MS Mincho" w:hAnsi="Palatino Linotype" w:cs="Arial"/>
          <w:i/>
          <w:sz w:val="22"/>
          <w:lang w:val="es-ES_tradnl" w:eastAsia="es-ES"/>
        </w:rPr>
        <w:t>sic</w:t>
      </w:r>
      <w:proofErr w:type="gramEnd"/>
      <w:r w:rsidRPr="007521C5">
        <w:rPr>
          <w:rFonts w:ascii="Palatino Linotype" w:eastAsia="MS Mincho" w:hAnsi="Palatino Linotype" w:cs="Arial"/>
          <w:i/>
          <w:sz w:val="22"/>
          <w:lang w:val="es-ES_tradnl" w:eastAsia="es-ES"/>
        </w:rPr>
        <w:t xml:space="preserve">) </w:t>
      </w:r>
    </w:p>
    <w:p w:rsidR="00BA661F" w:rsidRPr="007521C5" w:rsidRDefault="00BA661F" w:rsidP="00D8037B">
      <w:pPr>
        <w:ind w:left="720" w:right="901"/>
        <w:contextualSpacing/>
        <w:jc w:val="both"/>
        <w:rPr>
          <w:rFonts w:ascii="Palatino Linotype" w:eastAsia="MS Mincho" w:hAnsi="Palatino Linotype" w:cs="Arial"/>
          <w:i/>
          <w:lang w:val="es-ES_tradnl" w:eastAsia="es-ES"/>
        </w:rPr>
      </w:pPr>
    </w:p>
    <w:p w:rsidR="00BA661F" w:rsidRPr="007521C5" w:rsidRDefault="00BA661F" w:rsidP="00BA661F">
      <w:pPr>
        <w:spacing w:line="360" w:lineRule="auto"/>
        <w:contextualSpacing/>
        <w:jc w:val="both"/>
        <w:rPr>
          <w:rFonts w:ascii="Palatino Linotype" w:eastAsia="MS Mincho" w:hAnsi="Palatino Linotype"/>
          <w:lang w:val="es-ES_tradnl" w:eastAsia="es-ES"/>
        </w:rPr>
      </w:pPr>
      <w:r w:rsidRPr="007521C5">
        <w:rPr>
          <w:rFonts w:ascii="Palatino Linotype" w:eastAsia="MS Mincho" w:hAnsi="Palatino Linotype" w:cs="Arial"/>
          <w:lang w:val="es-ES_tradnl" w:eastAsia="es-ES"/>
        </w:rPr>
        <w:lastRenderedPageBreak/>
        <w:t xml:space="preserve">Ahora bien, el derecho </w:t>
      </w:r>
      <w:r w:rsidRPr="007521C5">
        <w:rPr>
          <w:rFonts w:ascii="Palatino Linotype" w:eastAsia="MS Mincho" w:hAnsi="Palatino Linotype"/>
          <w:lang w:val="es-ES_tradnl" w:eastAsia="es-ES"/>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BA661F" w:rsidRPr="007521C5" w:rsidRDefault="00BA661F" w:rsidP="00BA661F">
      <w:pPr>
        <w:spacing w:line="360" w:lineRule="auto"/>
        <w:ind w:left="720"/>
        <w:contextualSpacing/>
        <w:jc w:val="both"/>
        <w:rPr>
          <w:rFonts w:ascii="Palatino Linotype" w:eastAsia="MS Mincho" w:hAnsi="Palatino Linotype"/>
          <w:lang w:val="es-ES_tradnl" w:eastAsia="es-ES"/>
        </w:rPr>
      </w:pPr>
    </w:p>
    <w:p w:rsidR="00BA661F" w:rsidRPr="007521C5" w:rsidRDefault="00BA661F" w:rsidP="00BA661F">
      <w:pPr>
        <w:spacing w:line="360" w:lineRule="auto"/>
        <w:contextualSpacing/>
        <w:jc w:val="both"/>
        <w:rPr>
          <w:rFonts w:ascii="Palatino Linotype" w:eastAsia="MS Mincho" w:hAnsi="Palatino Linotype" w:cs="Arial"/>
          <w:lang w:val="es-ES_tradnl" w:eastAsia="es-ES"/>
        </w:rPr>
      </w:pPr>
      <w:r w:rsidRPr="007521C5">
        <w:rPr>
          <w:rFonts w:ascii="Palatino Linotype" w:eastAsia="MS Mincho" w:hAnsi="Palatino Linotype" w:cs="Arial"/>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BA661F" w:rsidRPr="007521C5" w:rsidRDefault="00BA661F" w:rsidP="00BA661F">
      <w:pPr>
        <w:spacing w:line="360" w:lineRule="auto"/>
        <w:ind w:left="720"/>
        <w:contextualSpacing/>
        <w:jc w:val="both"/>
        <w:rPr>
          <w:rFonts w:ascii="Palatino Linotype" w:eastAsia="MS Mincho" w:hAnsi="Palatino Linotype" w:cs="Arial"/>
          <w:lang w:val="es-ES_tradnl" w:eastAsia="es-ES"/>
        </w:rPr>
      </w:pPr>
    </w:p>
    <w:p w:rsidR="00BA661F" w:rsidRPr="007521C5" w:rsidRDefault="00BA661F" w:rsidP="00BA661F">
      <w:pPr>
        <w:spacing w:line="360" w:lineRule="auto"/>
        <w:contextualSpacing/>
        <w:jc w:val="both"/>
        <w:rPr>
          <w:rFonts w:ascii="Palatino Linotype" w:eastAsia="MS Mincho" w:hAnsi="Palatino Linotype" w:cs="Arial"/>
          <w:lang w:val="es-ES_tradnl" w:eastAsia="es-ES"/>
        </w:rPr>
      </w:pPr>
      <w:r w:rsidRPr="007521C5">
        <w:rPr>
          <w:rFonts w:ascii="Palatino Linotype" w:eastAsia="MS Mincho" w:hAnsi="Palatino Linotype" w:cs="Arial"/>
          <w:lang w:val="es-ES_tradnl" w:eastAsia="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BA661F" w:rsidRPr="007521C5" w:rsidRDefault="00BA661F" w:rsidP="00F915C7">
      <w:pPr>
        <w:spacing w:line="360" w:lineRule="auto"/>
        <w:contextualSpacing/>
        <w:jc w:val="both"/>
        <w:rPr>
          <w:rFonts w:ascii="Palatino Linotype" w:eastAsia="MS Mincho" w:hAnsi="Palatino Linotype" w:cs="Arial"/>
          <w:lang w:val="es-ES_tradnl" w:eastAsia="es-ES"/>
        </w:rPr>
      </w:pPr>
    </w:p>
    <w:p w:rsidR="00F915C7" w:rsidRPr="007521C5" w:rsidRDefault="00F915C7" w:rsidP="00F915C7">
      <w:pPr>
        <w:spacing w:line="360" w:lineRule="auto"/>
        <w:jc w:val="both"/>
        <w:rPr>
          <w:rFonts w:ascii="Palatino Linotype" w:hAnsi="Palatino Linotype" w:cs="Arial"/>
        </w:rPr>
      </w:pPr>
      <w:r w:rsidRPr="007521C5">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rsidR="00F915C7" w:rsidRPr="007521C5" w:rsidRDefault="00F915C7" w:rsidP="00F915C7">
      <w:pPr>
        <w:spacing w:line="360" w:lineRule="auto"/>
        <w:jc w:val="both"/>
        <w:rPr>
          <w:rFonts w:ascii="Palatino Linotype" w:hAnsi="Palatino Linotype" w:cs="Arial"/>
        </w:rPr>
      </w:pPr>
    </w:p>
    <w:p w:rsidR="00F915C7" w:rsidRPr="007521C5" w:rsidRDefault="00F915C7" w:rsidP="00F915C7">
      <w:pPr>
        <w:spacing w:line="360" w:lineRule="auto"/>
        <w:jc w:val="both"/>
        <w:rPr>
          <w:rFonts w:ascii="Palatino Linotype" w:hAnsi="Palatino Linotype" w:cs="Arial"/>
        </w:rPr>
      </w:pPr>
      <w:r w:rsidRPr="007521C5">
        <w:rPr>
          <w:rFonts w:ascii="Palatino Linotype" w:hAnsi="Palatino Linotype" w:cs="Arial"/>
        </w:rPr>
        <w:lastRenderedPageBreak/>
        <w:t>Lo anterior, tiene sustento en los artículos 3 fracciones XI y XXII; 4; 11 y 12 de la Ley de Transparencia y Acceso a la Información Pública del Estado de México y Municipios:</w:t>
      </w:r>
    </w:p>
    <w:p w:rsidR="00F915C7" w:rsidRPr="007521C5" w:rsidRDefault="00F915C7" w:rsidP="00F915C7">
      <w:pPr>
        <w:jc w:val="both"/>
        <w:rPr>
          <w:rFonts w:ascii="Palatino Linotype" w:hAnsi="Palatino Linotype" w:cs="Arial"/>
        </w:rPr>
      </w:pPr>
    </w:p>
    <w:p w:rsidR="00F915C7" w:rsidRPr="007521C5" w:rsidRDefault="00F915C7" w:rsidP="00F915C7">
      <w:pPr>
        <w:tabs>
          <w:tab w:val="left" w:pos="8222"/>
        </w:tabs>
        <w:ind w:left="851" w:right="992"/>
        <w:jc w:val="both"/>
        <w:rPr>
          <w:rFonts w:ascii="Palatino Linotype" w:hAnsi="Palatino Linotype" w:cs="Arial"/>
          <w:bCs/>
          <w:i/>
          <w:noProof/>
          <w:sz w:val="22"/>
        </w:rPr>
      </w:pPr>
      <w:r w:rsidRPr="007521C5">
        <w:rPr>
          <w:rFonts w:ascii="Palatino Linotype" w:hAnsi="Palatino Linotype" w:cs="Arial"/>
          <w:b/>
          <w:bCs/>
          <w:i/>
          <w:noProof/>
          <w:sz w:val="22"/>
        </w:rPr>
        <w:t xml:space="preserve">“Artículo 3. Para los efectos </w:t>
      </w:r>
      <w:r w:rsidRPr="007521C5">
        <w:rPr>
          <w:rFonts w:ascii="Palatino Linotype" w:hAnsi="Palatino Linotype" w:cs="Arial"/>
          <w:b/>
          <w:i/>
          <w:sz w:val="22"/>
          <w:szCs w:val="22"/>
        </w:rPr>
        <w:t>de</w:t>
      </w:r>
      <w:r w:rsidRPr="007521C5">
        <w:rPr>
          <w:rFonts w:ascii="Palatino Linotype" w:hAnsi="Palatino Linotype" w:cs="Arial"/>
          <w:b/>
          <w:bCs/>
          <w:i/>
          <w:noProof/>
          <w:sz w:val="22"/>
        </w:rPr>
        <w:t xml:space="preserve"> la presente Ley se entenderá por: </w:t>
      </w:r>
      <w:r w:rsidRPr="007521C5">
        <w:rPr>
          <w:rFonts w:ascii="Palatino Linotype" w:hAnsi="Palatino Linotype" w:cs="Arial"/>
          <w:bCs/>
          <w:i/>
          <w:noProof/>
          <w:sz w:val="22"/>
        </w:rPr>
        <w:t>…</w:t>
      </w:r>
    </w:p>
    <w:p w:rsidR="00F915C7" w:rsidRPr="007521C5" w:rsidRDefault="00F915C7" w:rsidP="00F915C7">
      <w:pPr>
        <w:tabs>
          <w:tab w:val="left" w:pos="8222"/>
        </w:tabs>
        <w:ind w:left="851" w:right="992"/>
        <w:jc w:val="both"/>
        <w:rPr>
          <w:rFonts w:ascii="Palatino Linotype" w:hAnsi="Palatino Linotype" w:cs="Arial"/>
          <w:bCs/>
          <w:i/>
          <w:noProof/>
          <w:sz w:val="22"/>
        </w:rPr>
      </w:pPr>
      <w:r w:rsidRPr="007521C5">
        <w:rPr>
          <w:rFonts w:ascii="Palatino Linotype" w:hAnsi="Palatino Linotype" w:cs="Arial"/>
          <w:bCs/>
          <w:i/>
          <w:noProof/>
          <w:sz w:val="22"/>
        </w:rPr>
        <w:t>…</w:t>
      </w:r>
    </w:p>
    <w:p w:rsidR="00F915C7" w:rsidRPr="007521C5" w:rsidRDefault="00F915C7" w:rsidP="00F915C7">
      <w:pPr>
        <w:tabs>
          <w:tab w:val="left" w:pos="8222"/>
        </w:tabs>
        <w:ind w:left="851" w:right="992"/>
        <w:jc w:val="both"/>
        <w:rPr>
          <w:rFonts w:ascii="Palatino Linotype" w:hAnsi="Palatino Linotype" w:cs="Arial"/>
          <w:bCs/>
          <w:i/>
          <w:noProof/>
          <w:sz w:val="22"/>
        </w:rPr>
      </w:pPr>
      <w:r w:rsidRPr="007521C5">
        <w:rPr>
          <w:rFonts w:ascii="Palatino Linotype" w:hAnsi="Palatino Linotype" w:cs="Arial"/>
          <w:b/>
          <w:bCs/>
          <w:i/>
          <w:noProof/>
          <w:sz w:val="22"/>
        </w:rPr>
        <w:t>XI. Documento:</w:t>
      </w:r>
      <w:r w:rsidRPr="007521C5">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F915C7" w:rsidRPr="007521C5" w:rsidRDefault="00F915C7" w:rsidP="00F915C7">
      <w:pPr>
        <w:tabs>
          <w:tab w:val="left" w:pos="2670"/>
        </w:tabs>
        <w:ind w:left="851" w:right="992"/>
        <w:jc w:val="both"/>
        <w:rPr>
          <w:rFonts w:ascii="Palatino Linotype" w:hAnsi="Palatino Linotype" w:cs="Arial"/>
          <w:bCs/>
          <w:i/>
          <w:noProof/>
          <w:sz w:val="22"/>
        </w:rPr>
      </w:pPr>
      <w:r w:rsidRPr="007521C5">
        <w:rPr>
          <w:rFonts w:ascii="Palatino Linotype" w:hAnsi="Palatino Linotype" w:cs="Arial"/>
          <w:bCs/>
          <w:i/>
          <w:noProof/>
          <w:sz w:val="22"/>
        </w:rPr>
        <w:t>…</w:t>
      </w:r>
      <w:r w:rsidRPr="007521C5">
        <w:rPr>
          <w:rFonts w:ascii="Palatino Linotype" w:hAnsi="Palatino Linotype" w:cs="Arial"/>
          <w:bCs/>
          <w:i/>
          <w:noProof/>
          <w:sz w:val="22"/>
        </w:rPr>
        <w:tab/>
      </w:r>
    </w:p>
    <w:p w:rsidR="00F915C7" w:rsidRPr="007521C5" w:rsidRDefault="00F915C7" w:rsidP="00F915C7">
      <w:pPr>
        <w:tabs>
          <w:tab w:val="left" w:pos="8222"/>
        </w:tabs>
        <w:ind w:left="851" w:right="992"/>
        <w:jc w:val="both"/>
        <w:rPr>
          <w:rFonts w:ascii="Palatino Linotype" w:hAnsi="Palatino Linotype" w:cs="Arial"/>
          <w:bCs/>
          <w:i/>
          <w:noProof/>
          <w:sz w:val="22"/>
        </w:rPr>
      </w:pPr>
      <w:r w:rsidRPr="007521C5">
        <w:rPr>
          <w:rFonts w:ascii="Palatino Linotype" w:hAnsi="Palatino Linotype" w:cs="Arial"/>
          <w:b/>
          <w:bCs/>
          <w:i/>
          <w:noProof/>
          <w:sz w:val="22"/>
        </w:rPr>
        <w:t>XXII.</w:t>
      </w:r>
      <w:r w:rsidRPr="007521C5">
        <w:rPr>
          <w:rFonts w:ascii="Palatino Linotype" w:hAnsi="Palatino Linotype" w:cs="Arial"/>
          <w:bCs/>
          <w:i/>
          <w:noProof/>
          <w:sz w:val="22"/>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F915C7" w:rsidRPr="007521C5" w:rsidRDefault="00F915C7" w:rsidP="00F915C7">
      <w:pPr>
        <w:tabs>
          <w:tab w:val="left" w:pos="8222"/>
        </w:tabs>
        <w:ind w:left="851" w:right="992"/>
        <w:jc w:val="both"/>
        <w:rPr>
          <w:rFonts w:ascii="Palatino Linotype" w:hAnsi="Palatino Linotype" w:cs="Arial"/>
          <w:bCs/>
          <w:i/>
          <w:noProof/>
          <w:sz w:val="22"/>
        </w:rPr>
      </w:pPr>
      <w:r w:rsidRPr="007521C5">
        <w:rPr>
          <w:rFonts w:ascii="Palatino Linotype" w:hAnsi="Palatino Linotype" w:cs="Arial"/>
          <w:b/>
          <w:bCs/>
          <w:i/>
          <w:noProof/>
          <w:sz w:val="22"/>
        </w:rPr>
        <w:t>Artículo 4.</w:t>
      </w:r>
      <w:r w:rsidRPr="007521C5">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915C7" w:rsidRPr="007521C5" w:rsidRDefault="00F915C7" w:rsidP="00F915C7">
      <w:pPr>
        <w:tabs>
          <w:tab w:val="left" w:pos="8222"/>
        </w:tabs>
        <w:ind w:left="851" w:right="992"/>
        <w:jc w:val="both"/>
        <w:rPr>
          <w:rFonts w:ascii="Palatino Linotype" w:hAnsi="Palatino Linotype" w:cs="Arial"/>
          <w:bCs/>
          <w:i/>
          <w:noProof/>
          <w:sz w:val="22"/>
        </w:rPr>
      </w:pPr>
      <w:r w:rsidRPr="007521C5">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F915C7" w:rsidRPr="007521C5" w:rsidRDefault="00F915C7" w:rsidP="00F915C7">
      <w:pPr>
        <w:tabs>
          <w:tab w:val="left" w:pos="8222"/>
        </w:tabs>
        <w:ind w:left="851" w:right="992"/>
        <w:jc w:val="both"/>
        <w:rPr>
          <w:rFonts w:ascii="Palatino Linotype" w:hAnsi="Palatino Linotype" w:cs="Arial"/>
          <w:bCs/>
          <w:i/>
          <w:noProof/>
          <w:sz w:val="22"/>
        </w:rPr>
      </w:pPr>
      <w:r w:rsidRPr="007521C5">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rsidR="00F915C7" w:rsidRPr="007521C5" w:rsidRDefault="00F915C7" w:rsidP="00F915C7">
      <w:pPr>
        <w:tabs>
          <w:tab w:val="left" w:pos="8222"/>
        </w:tabs>
        <w:ind w:left="851" w:right="992"/>
        <w:jc w:val="both"/>
        <w:rPr>
          <w:rFonts w:ascii="Palatino Linotype" w:hAnsi="Palatino Linotype" w:cs="Arial"/>
          <w:bCs/>
          <w:i/>
          <w:noProof/>
          <w:sz w:val="22"/>
        </w:rPr>
      </w:pPr>
      <w:r w:rsidRPr="007521C5">
        <w:rPr>
          <w:rFonts w:ascii="Palatino Linotype" w:hAnsi="Palatino Linotype" w:cs="Arial"/>
          <w:b/>
          <w:bCs/>
          <w:i/>
          <w:noProof/>
          <w:sz w:val="22"/>
        </w:rPr>
        <w:t>Artículo 11.-</w:t>
      </w:r>
      <w:r w:rsidRPr="007521C5">
        <w:rPr>
          <w:rFonts w:ascii="Palatino Linotype" w:hAnsi="Palatino Linotype" w:cs="Arial"/>
          <w:bCs/>
          <w:i/>
          <w:noProof/>
          <w:sz w:val="22"/>
        </w:rPr>
        <w:t xml:space="preserve"> Los Sujetos Obligados sólo proporcionarán la información que generen en el ejercicio de sus atribuciones.</w:t>
      </w:r>
    </w:p>
    <w:p w:rsidR="00F915C7" w:rsidRPr="007521C5" w:rsidRDefault="00F915C7" w:rsidP="00F915C7">
      <w:pPr>
        <w:tabs>
          <w:tab w:val="left" w:pos="8222"/>
        </w:tabs>
        <w:ind w:left="851" w:right="992"/>
        <w:jc w:val="both"/>
        <w:rPr>
          <w:rFonts w:ascii="Palatino Linotype" w:hAnsi="Palatino Linotype" w:cs="Arial"/>
          <w:bCs/>
          <w:i/>
          <w:noProof/>
          <w:sz w:val="22"/>
        </w:rPr>
      </w:pPr>
      <w:r w:rsidRPr="007521C5">
        <w:rPr>
          <w:rFonts w:ascii="Palatino Linotype" w:hAnsi="Palatino Linotype" w:cs="Arial"/>
          <w:b/>
          <w:bCs/>
          <w:i/>
          <w:noProof/>
          <w:sz w:val="22"/>
        </w:rPr>
        <w:t>Artículo 12.</w:t>
      </w:r>
      <w:r w:rsidRPr="007521C5">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rsidR="00F915C7" w:rsidRPr="007521C5" w:rsidRDefault="00F915C7" w:rsidP="00F915C7">
      <w:pPr>
        <w:tabs>
          <w:tab w:val="left" w:pos="8222"/>
        </w:tabs>
        <w:ind w:left="851" w:right="992"/>
        <w:jc w:val="both"/>
        <w:rPr>
          <w:rFonts w:ascii="Palatino Linotype" w:hAnsi="Palatino Linotype" w:cs="Arial"/>
          <w:bCs/>
          <w:i/>
          <w:noProof/>
          <w:sz w:val="22"/>
        </w:rPr>
      </w:pPr>
      <w:r w:rsidRPr="007521C5">
        <w:rPr>
          <w:rFonts w:ascii="Palatino Linotype" w:hAnsi="Palatino Linotype" w:cs="Arial"/>
          <w:bCs/>
          <w:i/>
          <w:noProof/>
          <w:sz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915C7" w:rsidRPr="007521C5" w:rsidRDefault="00F915C7" w:rsidP="00F915C7">
      <w:pPr>
        <w:tabs>
          <w:tab w:val="left" w:pos="8222"/>
        </w:tabs>
        <w:ind w:left="851" w:right="992"/>
        <w:jc w:val="both"/>
        <w:rPr>
          <w:rFonts w:ascii="Palatino Linotype" w:hAnsi="Palatino Linotype" w:cs="Arial"/>
          <w:bCs/>
          <w:i/>
          <w:noProof/>
          <w:sz w:val="22"/>
        </w:rPr>
      </w:pPr>
      <w:r w:rsidRPr="007521C5">
        <w:rPr>
          <w:rFonts w:ascii="Palatino Linotype" w:hAnsi="Palatino Linotype" w:cs="Arial"/>
          <w:bCs/>
          <w:i/>
          <w:noProof/>
          <w:sz w:val="22"/>
        </w:rPr>
        <w:t>(Ënfasis añadido)</w:t>
      </w:r>
    </w:p>
    <w:p w:rsidR="00F915C7" w:rsidRPr="007521C5" w:rsidRDefault="00F915C7" w:rsidP="00F915C7">
      <w:pPr>
        <w:ind w:left="851" w:right="901"/>
        <w:jc w:val="both"/>
        <w:rPr>
          <w:rFonts w:ascii="Palatino Linotype" w:hAnsi="Palatino Linotype" w:cs="Arial"/>
          <w:bCs/>
          <w:i/>
          <w:noProof/>
          <w:sz w:val="22"/>
        </w:rPr>
      </w:pPr>
    </w:p>
    <w:p w:rsidR="00F915C7" w:rsidRPr="007521C5" w:rsidRDefault="00F915C7" w:rsidP="00F915C7">
      <w:pPr>
        <w:spacing w:line="360" w:lineRule="auto"/>
        <w:jc w:val="both"/>
        <w:rPr>
          <w:rFonts w:ascii="Palatino Linotype" w:hAnsi="Palatino Linotype" w:cs="Arial"/>
        </w:rPr>
      </w:pPr>
      <w:r w:rsidRPr="007521C5">
        <w:rPr>
          <w:rFonts w:ascii="Palatino Linotype" w:hAnsi="Palatino Linotype" w:cs="Arial"/>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F915C7" w:rsidRPr="007521C5" w:rsidRDefault="00F915C7" w:rsidP="00F915C7">
      <w:pPr>
        <w:spacing w:line="360" w:lineRule="auto"/>
        <w:jc w:val="both"/>
        <w:rPr>
          <w:rFonts w:ascii="Palatino Linotype" w:hAnsi="Palatino Linotype" w:cs="Arial"/>
        </w:rPr>
      </w:pPr>
    </w:p>
    <w:p w:rsidR="00F915C7" w:rsidRPr="007521C5" w:rsidRDefault="00F915C7" w:rsidP="00F915C7">
      <w:pPr>
        <w:spacing w:line="360" w:lineRule="auto"/>
        <w:jc w:val="both"/>
        <w:rPr>
          <w:rFonts w:ascii="Palatino Linotype" w:hAnsi="Palatino Linotype" w:cs="Arial"/>
        </w:rPr>
      </w:pPr>
      <w:r w:rsidRPr="007521C5">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7521C5">
        <w:rPr>
          <w:rFonts w:ascii="Palatino Linotype" w:hAnsi="Palatino Linotype" w:cs="Arial"/>
          <w:b/>
        </w:rPr>
        <w:t>cualquier otro registro que documente el ejercicio de las facultades, funciones y competencias de los sujetos obligados</w:t>
      </w:r>
      <w:r w:rsidRPr="007521C5">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rsidR="00F915C7" w:rsidRPr="007521C5" w:rsidRDefault="00F915C7" w:rsidP="00F915C7">
      <w:pPr>
        <w:spacing w:line="360" w:lineRule="auto"/>
        <w:jc w:val="both"/>
        <w:rPr>
          <w:rFonts w:ascii="Palatino Linotype" w:hAnsi="Palatino Linotype" w:cs="Arial"/>
        </w:rPr>
      </w:pPr>
    </w:p>
    <w:p w:rsidR="00F915C7" w:rsidRPr="007521C5" w:rsidRDefault="00F915C7" w:rsidP="00F915C7">
      <w:pPr>
        <w:spacing w:line="360" w:lineRule="auto"/>
        <w:jc w:val="both"/>
        <w:rPr>
          <w:rFonts w:ascii="Palatino Linotype" w:hAnsi="Palatino Linotype" w:cs="Arial"/>
        </w:rPr>
      </w:pPr>
      <w:r w:rsidRPr="007521C5">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w:t>
      </w:r>
      <w:r w:rsidRPr="007521C5">
        <w:rPr>
          <w:rFonts w:ascii="Palatino Linotype" w:hAnsi="Palatino Linotype" w:cs="Arial"/>
        </w:rPr>
        <w:lastRenderedPageBreak/>
        <w:t>no estarán constreñidos a generarla, resumirla, efectuar cálculos o practicar investigaciones.</w:t>
      </w:r>
    </w:p>
    <w:p w:rsidR="00F915C7" w:rsidRPr="007521C5" w:rsidRDefault="00F915C7" w:rsidP="00F915C7">
      <w:pPr>
        <w:spacing w:line="360" w:lineRule="auto"/>
        <w:jc w:val="both"/>
        <w:rPr>
          <w:rFonts w:ascii="Palatino Linotype" w:hAnsi="Palatino Linotype" w:cs="Arial"/>
        </w:rPr>
      </w:pPr>
    </w:p>
    <w:p w:rsidR="00F915C7" w:rsidRPr="007521C5" w:rsidRDefault="00F915C7" w:rsidP="00F915C7">
      <w:pPr>
        <w:spacing w:line="360" w:lineRule="auto"/>
        <w:jc w:val="both"/>
        <w:rPr>
          <w:rFonts w:ascii="Palatino Linotype" w:hAnsi="Palatino Linotype" w:cs="Arial"/>
        </w:rPr>
      </w:pPr>
      <w:r w:rsidRPr="007521C5">
        <w:rPr>
          <w:rFonts w:ascii="Palatino Linotype" w:hAnsi="Palatino Linotype" w:cs="Arial"/>
        </w:rPr>
        <w:t xml:space="preserve">Aunado a lo anterior, el doctrinario Ernesto Villanueva </w:t>
      </w:r>
      <w:proofErr w:type="spellStart"/>
      <w:r w:rsidRPr="007521C5">
        <w:rPr>
          <w:rFonts w:ascii="Palatino Linotype" w:hAnsi="Palatino Linotype" w:cs="Arial"/>
        </w:rPr>
        <w:t>Villanueva</w:t>
      </w:r>
      <w:proofErr w:type="spellEnd"/>
      <w:r w:rsidRPr="007521C5">
        <w:rPr>
          <w:rFonts w:ascii="Palatino Linotype" w:hAnsi="Palatino Linotype" w:cs="Arial"/>
        </w:rPr>
        <w:t xml:space="preserve"> define al derecho de acceso a la información como: </w:t>
      </w:r>
    </w:p>
    <w:p w:rsidR="00F915C7" w:rsidRPr="007521C5" w:rsidRDefault="00F915C7" w:rsidP="00F915C7">
      <w:pPr>
        <w:jc w:val="both"/>
        <w:rPr>
          <w:rFonts w:ascii="Palatino Linotype" w:hAnsi="Palatino Linotype" w:cs="Arial"/>
        </w:rPr>
      </w:pPr>
    </w:p>
    <w:p w:rsidR="00F915C7" w:rsidRPr="007521C5" w:rsidRDefault="00F915C7" w:rsidP="00F915C7">
      <w:pPr>
        <w:tabs>
          <w:tab w:val="left" w:pos="8222"/>
        </w:tabs>
        <w:ind w:left="851" w:right="992"/>
        <w:jc w:val="both"/>
        <w:rPr>
          <w:rFonts w:ascii="Palatino Linotype" w:hAnsi="Palatino Linotype" w:cs="Arial"/>
          <w:i/>
          <w:sz w:val="22"/>
          <w:szCs w:val="22"/>
        </w:rPr>
      </w:pPr>
      <w:r w:rsidRPr="007521C5">
        <w:rPr>
          <w:rFonts w:ascii="Palatino Linotype" w:hAnsi="Palatino Linotype" w:cs="Arial"/>
          <w:b/>
          <w:i/>
          <w:sz w:val="22"/>
          <w:szCs w:val="22"/>
        </w:rPr>
        <w:t>“</w:t>
      </w:r>
      <w:r w:rsidRPr="007521C5">
        <w:rPr>
          <w:rFonts w:ascii="Palatino Linotype" w:hAnsi="Palatino Linotype" w:cs="Arial"/>
          <w:i/>
          <w:sz w:val="22"/>
          <w:szCs w:val="22"/>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521C5">
        <w:rPr>
          <w:rFonts w:ascii="Palatino Linotype" w:hAnsi="Palatino Linotype" w:cs="Arial"/>
          <w:b/>
          <w:i/>
          <w:sz w:val="22"/>
          <w:szCs w:val="22"/>
        </w:rPr>
        <w:t>”</w:t>
      </w:r>
      <w:r w:rsidRPr="007521C5">
        <w:rPr>
          <w:rFonts w:ascii="Palatino Linotype" w:hAnsi="Palatino Linotype" w:cs="Arial"/>
          <w:i/>
          <w:sz w:val="22"/>
          <w:szCs w:val="22"/>
          <w:vertAlign w:val="superscript"/>
        </w:rPr>
        <w:t xml:space="preserve"> </w:t>
      </w:r>
      <w:r w:rsidRPr="007521C5">
        <w:rPr>
          <w:rFonts w:ascii="Palatino Linotype" w:hAnsi="Palatino Linotype" w:cs="Arial"/>
          <w:i/>
          <w:sz w:val="22"/>
          <w:szCs w:val="22"/>
        </w:rPr>
        <w:t xml:space="preserve">(Sic) </w:t>
      </w:r>
    </w:p>
    <w:p w:rsidR="00F915C7" w:rsidRPr="007521C5" w:rsidRDefault="00F915C7" w:rsidP="00F915C7">
      <w:pPr>
        <w:ind w:left="851" w:right="902"/>
        <w:jc w:val="both"/>
        <w:rPr>
          <w:rFonts w:ascii="Palatino Linotype" w:hAnsi="Palatino Linotype" w:cs="Arial"/>
          <w:i/>
          <w:sz w:val="22"/>
          <w:szCs w:val="22"/>
          <w:lang w:eastAsia="es-ES"/>
        </w:rPr>
      </w:pPr>
    </w:p>
    <w:p w:rsidR="00F915C7" w:rsidRPr="007521C5" w:rsidRDefault="00F915C7" w:rsidP="00F915C7">
      <w:pPr>
        <w:spacing w:line="360" w:lineRule="auto"/>
        <w:jc w:val="both"/>
        <w:rPr>
          <w:rFonts w:ascii="Palatino Linotype" w:hAnsi="Palatino Linotype" w:cs="Arial"/>
          <w:b/>
          <w:u w:val="single"/>
        </w:rPr>
      </w:pPr>
      <w:r w:rsidRPr="007521C5">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7521C5">
        <w:rPr>
          <w:rFonts w:ascii="Palatino Linotype" w:hAnsi="Palatino Linotype" w:cs="Arial"/>
          <w:color w:val="000000"/>
        </w:rPr>
        <w:t xml:space="preserve">la pretensión del peticionario consiste generalmente en obligar a la autoridad responsable a que actúe en el sentido de contestar lo solicitado, mientras que en el </w:t>
      </w:r>
      <w:r w:rsidRPr="007521C5">
        <w:rPr>
          <w:rFonts w:ascii="Palatino Linotype" w:hAnsi="Palatino Linotype" w:cs="Arial"/>
          <w:bCs/>
          <w:lang w:eastAsia="es-CO"/>
        </w:rPr>
        <w:t xml:space="preserve">segundo supuesto </w:t>
      </w:r>
      <w:r w:rsidRPr="007521C5">
        <w:rPr>
          <w:rFonts w:ascii="Palatino Linotype" w:hAnsi="Palatino Linotype" w:cs="Arial"/>
          <w:b/>
          <w:bCs/>
          <w:u w:val="single"/>
          <w:lang w:eastAsia="es-CO"/>
        </w:rPr>
        <w:t>la solicitud de acceso a la información pública se encamina primordialmente a</w:t>
      </w:r>
      <w:r w:rsidRPr="007521C5">
        <w:rPr>
          <w:rFonts w:ascii="Palatino Linotype" w:hAnsi="Palatino Linotype" w:cs="Arial"/>
          <w:b/>
          <w:u w:val="single"/>
        </w:rPr>
        <w:t xml:space="preserve"> permitir el </w:t>
      </w:r>
      <w:r w:rsidRPr="007521C5">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7521C5">
        <w:rPr>
          <w:rFonts w:ascii="Palatino Linotype" w:hAnsi="Palatino Linotype" w:cs="Arial"/>
          <w:b/>
          <w:u w:val="single"/>
        </w:rPr>
        <w:t xml:space="preserve">la autoridad. </w:t>
      </w:r>
    </w:p>
    <w:p w:rsidR="00F915C7" w:rsidRPr="007521C5" w:rsidRDefault="00F915C7" w:rsidP="00F915C7">
      <w:pPr>
        <w:spacing w:line="360" w:lineRule="auto"/>
        <w:jc w:val="both"/>
        <w:rPr>
          <w:rFonts w:ascii="Palatino Linotype" w:hAnsi="Palatino Linotype" w:cs="Arial"/>
          <w:b/>
          <w:u w:val="single"/>
        </w:rPr>
      </w:pPr>
    </w:p>
    <w:p w:rsidR="00F915C7" w:rsidRPr="007521C5" w:rsidRDefault="00F915C7" w:rsidP="00F915C7">
      <w:pPr>
        <w:spacing w:line="360" w:lineRule="auto"/>
        <w:jc w:val="both"/>
        <w:rPr>
          <w:rFonts w:ascii="Palatino Linotype" w:hAnsi="Palatino Linotype" w:cs="Arial"/>
        </w:rPr>
      </w:pPr>
      <w:r w:rsidRPr="007521C5">
        <w:rPr>
          <w:rFonts w:ascii="Palatino Linotype" w:hAnsi="Palatino Linotype" w:cs="Arial"/>
        </w:rPr>
        <w:t>Ahora bien,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la materia, es competente para resolver los recursos de revisión, cuando se actualice cualquiera de las siguientes causas:</w:t>
      </w:r>
    </w:p>
    <w:p w:rsidR="00F915C7" w:rsidRPr="007521C5" w:rsidRDefault="00F915C7" w:rsidP="00F915C7">
      <w:pPr>
        <w:jc w:val="both"/>
        <w:rPr>
          <w:rFonts w:ascii="Palatino Linotype" w:hAnsi="Palatino Linotype" w:cs="Arial"/>
        </w:rPr>
      </w:pPr>
    </w:p>
    <w:p w:rsidR="00F915C7" w:rsidRPr="007521C5" w:rsidRDefault="00F915C7" w:rsidP="00F915C7">
      <w:pPr>
        <w:tabs>
          <w:tab w:val="left" w:pos="8222"/>
        </w:tabs>
        <w:ind w:left="851" w:right="992"/>
        <w:jc w:val="both"/>
        <w:rPr>
          <w:rFonts w:ascii="Palatino Linotype" w:hAnsi="Palatino Linotype" w:cs="Arial"/>
          <w:i/>
          <w:sz w:val="22"/>
        </w:rPr>
      </w:pPr>
      <w:r w:rsidRPr="007521C5">
        <w:rPr>
          <w:rFonts w:ascii="Palatino Linotype" w:hAnsi="Palatino Linotype" w:cs="Arial"/>
          <w:i/>
          <w:sz w:val="22"/>
        </w:rPr>
        <w:lastRenderedPageBreak/>
        <w:t>“</w:t>
      </w:r>
      <w:r w:rsidRPr="007521C5">
        <w:rPr>
          <w:rFonts w:ascii="Palatino Linotype" w:hAnsi="Palatino Linotype" w:cs="Arial"/>
          <w:b/>
          <w:i/>
          <w:sz w:val="22"/>
        </w:rPr>
        <w:t>Artículo 179</w:t>
      </w:r>
      <w:r w:rsidRPr="007521C5">
        <w:rPr>
          <w:rFonts w:ascii="Palatino Linotype" w:hAnsi="Palatino Linotype" w:cs="Arial"/>
          <w:i/>
          <w:sz w:val="22"/>
        </w:rPr>
        <w:t xml:space="preserve">. El recurso de revisión es un medio de protección que la Ley otorga a los particulares, para hacer valer su derecho de acceso a la información </w:t>
      </w:r>
      <w:r w:rsidRPr="007521C5">
        <w:rPr>
          <w:rFonts w:ascii="Palatino Linotype" w:eastAsia="Arial Unicode MS" w:hAnsi="Palatino Linotype" w:cs="Arial"/>
          <w:b/>
          <w:i/>
          <w:sz w:val="22"/>
          <w:szCs w:val="22"/>
        </w:rPr>
        <w:t>pública</w:t>
      </w:r>
      <w:r w:rsidRPr="007521C5">
        <w:rPr>
          <w:rFonts w:ascii="Palatino Linotype" w:hAnsi="Palatino Linotype" w:cs="Arial"/>
          <w:i/>
          <w:sz w:val="22"/>
        </w:rPr>
        <w:t>, y procederá en contra de las siguientes causas:</w:t>
      </w:r>
    </w:p>
    <w:p w:rsidR="00F915C7" w:rsidRPr="007521C5" w:rsidRDefault="00F915C7" w:rsidP="00F915C7">
      <w:pPr>
        <w:ind w:left="851" w:right="992"/>
        <w:jc w:val="both"/>
        <w:rPr>
          <w:rFonts w:ascii="Palatino Linotype" w:hAnsi="Palatino Linotype" w:cs="Arial"/>
          <w:i/>
          <w:sz w:val="22"/>
        </w:rPr>
      </w:pPr>
      <w:r w:rsidRPr="007521C5">
        <w:rPr>
          <w:rFonts w:ascii="Palatino Linotype" w:hAnsi="Palatino Linotype" w:cs="Arial"/>
          <w:i/>
          <w:sz w:val="22"/>
        </w:rPr>
        <w:t>I. La negativa a la información solicitada;</w:t>
      </w:r>
    </w:p>
    <w:p w:rsidR="00F915C7" w:rsidRPr="007521C5" w:rsidRDefault="00F915C7" w:rsidP="00F915C7">
      <w:pPr>
        <w:ind w:left="851" w:right="992"/>
        <w:jc w:val="both"/>
        <w:rPr>
          <w:rFonts w:ascii="Palatino Linotype" w:hAnsi="Palatino Linotype" w:cs="Arial"/>
          <w:i/>
          <w:sz w:val="22"/>
        </w:rPr>
      </w:pPr>
      <w:r w:rsidRPr="007521C5">
        <w:rPr>
          <w:rFonts w:ascii="Palatino Linotype" w:hAnsi="Palatino Linotype" w:cs="Arial"/>
          <w:i/>
          <w:sz w:val="22"/>
        </w:rPr>
        <w:t>II. La clasificación de la información;</w:t>
      </w:r>
    </w:p>
    <w:p w:rsidR="00F915C7" w:rsidRPr="007521C5" w:rsidRDefault="00F915C7" w:rsidP="00F915C7">
      <w:pPr>
        <w:ind w:left="851" w:right="992"/>
        <w:jc w:val="both"/>
        <w:rPr>
          <w:rFonts w:ascii="Palatino Linotype" w:hAnsi="Palatino Linotype" w:cs="Arial"/>
          <w:i/>
          <w:sz w:val="22"/>
        </w:rPr>
      </w:pPr>
      <w:r w:rsidRPr="007521C5">
        <w:rPr>
          <w:rFonts w:ascii="Palatino Linotype" w:hAnsi="Palatino Linotype" w:cs="Arial"/>
          <w:i/>
          <w:sz w:val="22"/>
        </w:rPr>
        <w:t>III. La declaración de inexistencia de la información;</w:t>
      </w:r>
    </w:p>
    <w:p w:rsidR="00F915C7" w:rsidRPr="007521C5" w:rsidRDefault="00F915C7" w:rsidP="00F915C7">
      <w:pPr>
        <w:ind w:left="851" w:right="992"/>
        <w:jc w:val="both"/>
        <w:rPr>
          <w:rFonts w:ascii="Palatino Linotype" w:hAnsi="Palatino Linotype" w:cs="Arial"/>
          <w:i/>
          <w:sz w:val="22"/>
        </w:rPr>
      </w:pPr>
      <w:r w:rsidRPr="007521C5">
        <w:rPr>
          <w:rFonts w:ascii="Palatino Linotype" w:hAnsi="Palatino Linotype" w:cs="Arial"/>
          <w:i/>
          <w:sz w:val="22"/>
        </w:rPr>
        <w:t>IV. La declaración de incompetencia por el sujeto obligado;</w:t>
      </w:r>
    </w:p>
    <w:p w:rsidR="00F915C7" w:rsidRPr="007521C5" w:rsidRDefault="00F915C7" w:rsidP="00F915C7">
      <w:pPr>
        <w:ind w:left="851" w:right="992"/>
        <w:jc w:val="both"/>
        <w:rPr>
          <w:rFonts w:ascii="Palatino Linotype" w:hAnsi="Palatino Linotype" w:cs="Arial"/>
          <w:i/>
          <w:sz w:val="22"/>
        </w:rPr>
      </w:pPr>
      <w:r w:rsidRPr="007521C5">
        <w:rPr>
          <w:rFonts w:ascii="Palatino Linotype" w:hAnsi="Palatino Linotype" w:cs="Arial"/>
          <w:i/>
          <w:sz w:val="22"/>
        </w:rPr>
        <w:t>V. La entrega de información incompleta;</w:t>
      </w:r>
    </w:p>
    <w:p w:rsidR="00F915C7" w:rsidRPr="007521C5" w:rsidRDefault="00F915C7" w:rsidP="00F915C7">
      <w:pPr>
        <w:ind w:left="851" w:right="992"/>
        <w:jc w:val="both"/>
        <w:rPr>
          <w:rFonts w:ascii="Palatino Linotype" w:hAnsi="Palatino Linotype" w:cs="Arial"/>
          <w:i/>
          <w:sz w:val="22"/>
        </w:rPr>
      </w:pPr>
      <w:r w:rsidRPr="007521C5">
        <w:rPr>
          <w:rFonts w:ascii="Palatino Linotype" w:hAnsi="Palatino Linotype" w:cs="Arial"/>
          <w:i/>
          <w:sz w:val="22"/>
        </w:rPr>
        <w:t>VI. La entrega de información que no corresponda con lo solicitado;</w:t>
      </w:r>
    </w:p>
    <w:p w:rsidR="00F915C7" w:rsidRPr="007521C5" w:rsidRDefault="00F915C7" w:rsidP="00F915C7">
      <w:pPr>
        <w:ind w:left="851" w:right="992"/>
        <w:jc w:val="both"/>
        <w:rPr>
          <w:rFonts w:ascii="Palatino Linotype" w:hAnsi="Palatino Linotype" w:cs="Arial"/>
          <w:i/>
          <w:sz w:val="22"/>
        </w:rPr>
      </w:pPr>
      <w:r w:rsidRPr="007521C5">
        <w:rPr>
          <w:rFonts w:ascii="Palatino Linotype" w:hAnsi="Palatino Linotype" w:cs="Arial"/>
          <w:i/>
          <w:sz w:val="22"/>
        </w:rPr>
        <w:t>VII. La falta de respuesta a una solicitud de acceso a la información;</w:t>
      </w:r>
    </w:p>
    <w:p w:rsidR="00F915C7" w:rsidRPr="007521C5" w:rsidRDefault="00F915C7" w:rsidP="00F915C7">
      <w:pPr>
        <w:tabs>
          <w:tab w:val="left" w:pos="8222"/>
        </w:tabs>
        <w:ind w:left="851" w:right="992"/>
        <w:jc w:val="both"/>
        <w:rPr>
          <w:rFonts w:ascii="Palatino Linotype" w:hAnsi="Palatino Linotype" w:cs="Arial"/>
          <w:i/>
          <w:sz w:val="22"/>
        </w:rPr>
      </w:pPr>
      <w:r w:rsidRPr="007521C5">
        <w:rPr>
          <w:rFonts w:ascii="Palatino Linotype" w:hAnsi="Palatino Linotype" w:cs="Arial"/>
          <w:i/>
          <w:sz w:val="22"/>
        </w:rPr>
        <w:t>VIII. La notificación, entrega o puesta a disposición de información en una modalidad o formato distinto al solicitado;</w:t>
      </w:r>
    </w:p>
    <w:p w:rsidR="00F915C7" w:rsidRPr="007521C5" w:rsidRDefault="00F915C7" w:rsidP="00F915C7">
      <w:pPr>
        <w:tabs>
          <w:tab w:val="left" w:pos="8222"/>
        </w:tabs>
        <w:ind w:left="851" w:right="992"/>
        <w:jc w:val="both"/>
        <w:rPr>
          <w:rFonts w:ascii="Palatino Linotype" w:hAnsi="Palatino Linotype" w:cs="Arial"/>
          <w:i/>
          <w:sz w:val="22"/>
        </w:rPr>
      </w:pPr>
      <w:r w:rsidRPr="007521C5">
        <w:rPr>
          <w:rFonts w:ascii="Palatino Linotype" w:hAnsi="Palatino Linotype" w:cs="Arial"/>
          <w:i/>
          <w:sz w:val="22"/>
        </w:rPr>
        <w:t>IX. La entrega o puesta a disposición de información en un formato incomprensible y/o no accesible para el solicitante;</w:t>
      </w:r>
    </w:p>
    <w:p w:rsidR="00F915C7" w:rsidRPr="007521C5" w:rsidRDefault="00F915C7" w:rsidP="00F915C7">
      <w:pPr>
        <w:ind w:left="851" w:right="992"/>
        <w:jc w:val="both"/>
        <w:rPr>
          <w:rFonts w:ascii="Palatino Linotype" w:hAnsi="Palatino Linotype" w:cs="Arial"/>
          <w:i/>
          <w:sz w:val="22"/>
        </w:rPr>
      </w:pPr>
      <w:r w:rsidRPr="007521C5">
        <w:rPr>
          <w:rFonts w:ascii="Palatino Linotype" w:hAnsi="Palatino Linotype" w:cs="Arial"/>
          <w:i/>
          <w:sz w:val="22"/>
        </w:rPr>
        <w:t>X. Los costos o tiempos de entrega de la información;</w:t>
      </w:r>
    </w:p>
    <w:p w:rsidR="00F915C7" w:rsidRPr="007521C5" w:rsidRDefault="00F915C7" w:rsidP="00F915C7">
      <w:pPr>
        <w:ind w:left="851" w:right="992"/>
        <w:jc w:val="both"/>
        <w:rPr>
          <w:rFonts w:ascii="Palatino Linotype" w:hAnsi="Palatino Linotype" w:cs="Arial"/>
          <w:i/>
          <w:sz w:val="22"/>
        </w:rPr>
      </w:pPr>
      <w:r w:rsidRPr="007521C5">
        <w:rPr>
          <w:rFonts w:ascii="Palatino Linotype" w:hAnsi="Palatino Linotype" w:cs="Arial"/>
          <w:i/>
          <w:sz w:val="22"/>
        </w:rPr>
        <w:t>XI. La falta de trámite a una solicitud;</w:t>
      </w:r>
    </w:p>
    <w:p w:rsidR="00F915C7" w:rsidRPr="007521C5" w:rsidRDefault="00F915C7" w:rsidP="00F915C7">
      <w:pPr>
        <w:ind w:left="851" w:right="992"/>
        <w:jc w:val="both"/>
        <w:rPr>
          <w:rFonts w:ascii="Palatino Linotype" w:hAnsi="Palatino Linotype" w:cs="Arial"/>
          <w:i/>
          <w:sz w:val="22"/>
        </w:rPr>
      </w:pPr>
      <w:r w:rsidRPr="007521C5">
        <w:rPr>
          <w:rFonts w:ascii="Palatino Linotype" w:hAnsi="Palatino Linotype" w:cs="Arial"/>
          <w:i/>
          <w:sz w:val="22"/>
        </w:rPr>
        <w:t>XII. La negativa a permitir la consulta directa de la información;</w:t>
      </w:r>
    </w:p>
    <w:p w:rsidR="00F915C7" w:rsidRPr="007521C5" w:rsidRDefault="00F915C7" w:rsidP="00F915C7">
      <w:pPr>
        <w:tabs>
          <w:tab w:val="left" w:pos="8222"/>
        </w:tabs>
        <w:ind w:left="851" w:right="992"/>
        <w:jc w:val="both"/>
        <w:rPr>
          <w:rFonts w:ascii="Palatino Linotype" w:hAnsi="Palatino Linotype" w:cs="Arial"/>
          <w:i/>
          <w:sz w:val="22"/>
        </w:rPr>
      </w:pPr>
      <w:r w:rsidRPr="007521C5">
        <w:rPr>
          <w:rFonts w:ascii="Palatino Linotype" w:hAnsi="Palatino Linotype" w:cs="Arial"/>
          <w:i/>
          <w:sz w:val="22"/>
        </w:rPr>
        <w:t>XIII. La falta, deficiencia o insuficiencia de la fundamentación y/o motivación en la respuesta; y</w:t>
      </w:r>
    </w:p>
    <w:p w:rsidR="00F915C7" w:rsidRPr="007521C5" w:rsidRDefault="00F915C7" w:rsidP="00F915C7">
      <w:pPr>
        <w:ind w:left="851" w:right="992"/>
        <w:jc w:val="both"/>
        <w:rPr>
          <w:rFonts w:ascii="Palatino Linotype" w:hAnsi="Palatino Linotype" w:cs="Arial"/>
          <w:i/>
          <w:sz w:val="22"/>
        </w:rPr>
      </w:pPr>
      <w:r w:rsidRPr="007521C5">
        <w:rPr>
          <w:rFonts w:ascii="Palatino Linotype" w:hAnsi="Palatino Linotype" w:cs="Arial"/>
          <w:i/>
          <w:sz w:val="22"/>
        </w:rPr>
        <w:t>XIV. La orientación a un trámite específico.</w:t>
      </w:r>
    </w:p>
    <w:p w:rsidR="00F915C7" w:rsidRPr="007521C5" w:rsidRDefault="00F915C7" w:rsidP="00F915C7">
      <w:pPr>
        <w:ind w:left="851" w:right="992"/>
        <w:jc w:val="both"/>
        <w:rPr>
          <w:rFonts w:ascii="Palatino Linotype" w:hAnsi="Palatino Linotype" w:cs="Arial"/>
          <w:i/>
          <w:sz w:val="22"/>
        </w:rPr>
      </w:pPr>
    </w:p>
    <w:p w:rsidR="00F915C7" w:rsidRPr="007521C5" w:rsidRDefault="00F915C7" w:rsidP="00F915C7">
      <w:pPr>
        <w:tabs>
          <w:tab w:val="left" w:pos="8222"/>
        </w:tabs>
        <w:ind w:left="851" w:right="992"/>
        <w:jc w:val="both"/>
        <w:rPr>
          <w:rFonts w:ascii="Palatino Linotype" w:hAnsi="Palatino Linotype" w:cs="Arial"/>
          <w:i/>
          <w:sz w:val="22"/>
        </w:rPr>
      </w:pPr>
      <w:r w:rsidRPr="007521C5">
        <w:rPr>
          <w:rFonts w:ascii="Palatino Linotype" w:hAnsi="Palatino Linotype" w:cs="Arial"/>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rsidR="00F915C7" w:rsidRPr="007521C5" w:rsidRDefault="00F915C7" w:rsidP="00F915C7">
      <w:pPr>
        <w:jc w:val="both"/>
        <w:rPr>
          <w:rFonts w:ascii="Palatino Linotype" w:hAnsi="Palatino Linotype" w:cs="Arial"/>
          <w:lang w:val="es-ES"/>
        </w:rPr>
      </w:pPr>
    </w:p>
    <w:p w:rsidR="00F915C7" w:rsidRPr="007521C5" w:rsidRDefault="00F915C7" w:rsidP="00F915C7">
      <w:pPr>
        <w:spacing w:line="360" w:lineRule="auto"/>
        <w:jc w:val="both"/>
        <w:rPr>
          <w:rFonts w:ascii="Palatino Linotype" w:hAnsi="Palatino Linotype" w:cs="Arial"/>
        </w:rPr>
      </w:pPr>
      <w:r w:rsidRPr="007521C5">
        <w:rPr>
          <w:rFonts w:ascii="Palatino Linotype" w:hAnsi="Palatino Linotype" w:cs="Arial"/>
        </w:rPr>
        <w:t>Siendo así que dentro de dichas causales no se contempla la de cuando se trate de un derecho de petición ejercido por un gobernado.</w:t>
      </w:r>
    </w:p>
    <w:p w:rsidR="00F915C7" w:rsidRPr="007521C5" w:rsidRDefault="00F915C7" w:rsidP="00F915C7">
      <w:pPr>
        <w:spacing w:line="360" w:lineRule="auto"/>
        <w:jc w:val="both"/>
        <w:rPr>
          <w:rFonts w:ascii="Palatino Linotype" w:hAnsi="Palatino Linotype" w:cs="Arial"/>
        </w:rPr>
      </w:pPr>
    </w:p>
    <w:p w:rsidR="005C58D6" w:rsidRPr="007521C5" w:rsidRDefault="005C58D6" w:rsidP="005C58D6">
      <w:pPr>
        <w:widowControl w:val="0"/>
        <w:autoSpaceDE w:val="0"/>
        <w:autoSpaceDN w:val="0"/>
        <w:adjustRightInd w:val="0"/>
        <w:spacing w:line="360" w:lineRule="auto"/>
        <w:jc w:val="both"/>
        <w:rPr>
          <w:rFonts w:ascii="Palatino Linotype" w:hAnsi="Palatino Linotype"/>
          <w:color w:val="000000" w:themeColor="text1"/>
        </w:rPr>
      </w:pPr>
      <w:r w:rsidRPr="007521C5">
        <w:rPr>
          <w:rFonts w:ascii="Palatino Linotype" w:hAnsi="Palatino Linotype" w:cs="Arial"/>
          <w:lang w:val="es-ES_tradnl"/>
        </w:rPr>
        <w:t>En atención a las consideraciones anteriores, este Instituto</w:t>
      </w:r>
      <w:r w:rsidRPr="007521C5">
        <w:rPr>
          <w:rFonts w:ascii="Palatino Linotype" w:hAnsi="Palatino Linotype"/>
          <w:color w:val="000000" w:themeColor="text1"/>
        </w:rPr>
        <w:t xml:space="preserve"> advierte que en el presente </w:t>
      </w:r>
      <w:r w:rsidRPr="007521C5">
        <w:rPr>
          <w:rFonts w:ascii="Palatino Linotype" w:hAnsi="Palatino Linotype"/>
        </w:rPr>
        <w:t>caso</w:t>
      </w:r>
      <w:r w:rsidRPr="007521C5">
        <w:rPr>
          <w:rFonts w:ascii="Palatino Linotype" w:hAnsi="Palatino Linotype"/>
          <w:color w:val="000000" w:themeColor="text1"/>
        </w:rPr>
        <w:t xml:space="preserve">, se actualiza la hipótesis prevista en </w:t>
      </w:r>
      <w:r w:rsidRPr="007521C5">
        <w:rPr>
          <w:rFonts w:ascii="Palatino Linotype" w:hAnsi="Palatino Linotype" w:cs="Arial"/>
          <w:lang w:val="es-ES_tradnl"/>
        </w:rPr>
        <w:t xml:space="preserve">el </w:t>
      </w:r>
      <w:r w:rsidRPr="007521C5">
        <w:rPr>
          <w:rFonts w:ascii="Palatino Linotype" w:hAnsi="Palatino Linotype"/>
          <w:color w:val="000000" w:themeColor="text1"/>
        </w:rPr>
        <w:t>artículo 192, fracción III, de</w:t>
      </w:r>
      <w:r w:rsidRPr="007521C5">
        <w:rPr>
          <w:rFonts w:ascii="Palatino Linotype" w:hAnsi="Palatino Linotype" w:cs="Arial"/>
          <w:lang w:val="es-ES_tradnl"/>
        </w:rPr>
        <w:t xml:space="preserve"> la </w:t>
      </w:r>
      <w:r w:rsidRPr="007521C5">
        <w:rPr>
          <w:rFonts w:ascii="Palatino Linotype" w:hAnsi="Palatino Linotype"/>
        </w:rPr>
        <w:t xml:space="preserve">Ley de Transparencia y Acceso a la Información Pública del Estado de México y Municipios, </w:t>
      </w:r>
      <w:r w:rsidRPr="007521C5">
        <w:rPr>
          <w:rFonts w:ascii="Palatino Linotype" w:hAnsi="Palatino Linotype"/>
          <w:color w:val="000000" w:themeColor="text1"/>
        </w:rPr>
        <w:t xml:space="preserve">que dispone lo siguiente: </w:t>
      </w:r>
    </w:p>
    <w:p w:rsidR="005C58D6" w:rsidRPr="007521C5" w:rsidRDefault="005C58D6" w:rsidP="00D8037B">
      <w:pPr>
        <w:widowControl w:val="0"/>
        <w:autoSpaceDE w:val="0"/>
        <w:autoSpaceDN w:val="0"/>
        <w:adjustRightInd w:val="0"/>
        <w:jc w:val="both"/>
        <w:rPr>
          <w:rFonts w:ascii="Palatino Linotype" w:hAnsi="Palatino Linotype"/>
          <w:color w:val="000000"/>
        </w:rPr>
      </w:pPr>
    </w:p>
    <w:p w:rsidR="005C58D6" w:rsidRPr="007521C5" w:rsidRDefault="005C58D6" w:rsidP="00D8037B">
      <w:pPr>
        <w:tabs>
          <w:tab w:val="left" w:pos="851"/>
        </w:tabs>
        <w:ind w:left="851" w:right="901"/>
        <w:jc w:val="both"/>
        <w:rPr>
          <w:rFonts w:ascii="Palatino Linotype" w:hAnsi="Palatino Linotype" w:cs="Arial"/>
          <w:i/>
          <w:sz w:val="22"/>
        </w:rPr>
      </w:pPr>
      <w:r w:rsidRPr="007521C5">
        <w:rPr>
          <w:rFonts w:ascii="Palatino Linotype" w:hAnsi="Palatino Linotype" w:cs="Arial"/>
          <w:i/>
          <w:sz w:val="22"/>
        </w:rPr>
        <w:lastRenderedPageBreak/>
        <w:t>“</w:t>
      </w:r>
      <w:r w:rsidRPr="007521C5">
        <w:rPr>
          <w:rFonts w:ascii="Palatino Linotype" w:hAnsi="Palatino Linotype" w:cs="Arial"/>
          <w:b/>
          <w:i/>
          <w:sz w:val="22"/>
        </w:rPr>
        <w:t>Artículo 192.</w:t>
      </w:r>
      <w:r w:rsidRPr="007521C5">
        <w:rPr>
          <w:rFonts w:ascii="Palatino Linotype" w:hAnsi="Palatino Linotype" w:cs="Arial"/>
          <w:i/>
          <w:sz w:val="22"/>
        </w:rPr>
        <w:t xml:space="preserve"> </w:t>
      </w:r>
      <w:r w:rsidRPr="007521C5">
        <w:rPr>
          <w:rFonts w:ascii="Palatino Linotype" w:hAnsi="Palatino Linotype" w:cs="Arial"/>
          <w:b/>
          <w:i/>
          <w:sz w:val="22"/>
          <w:u w:val="single"/>
        </w:rPr>
        <w:t>El recurso será sobreseído</w:t>
      </w:r>
      <w:r w:rsidRPr="007521C5">
        <w:rPr>
          <w:rFonts w:ascii="Palatino Linotype" w:hAnsi="Palatino Linotype" w:cs="Arial"/>
          <w:i/>
          <w:sz w:val="22"/>
        </w:rPr>
        <w:t xml:space="preserve">, en todo o en parte, </w:t>
      </w:r>
      <w:r w:rsidRPr="007521C5">
        <w:rPr>
          <w:rFonts w:ascii="Palatino Linotype" w:hAnsi="Palatino Linotype" w:cs="Arial"/>
          <w:b/>
          <w:i/>
          <w:sz w:val="22"/>
          <w:u w:val="single"/>
        </w:rPr>
        <w:t>cuando una vez admitido</w:t>
      </w:r>
      <w:r w:rsidRPr="007521C5">
        <w:rPr>
          <w:rFonts w:ascii="Palatino Linotype" w:hAnsi="Palatino Linotype" w:cs="Arial"/>
          <w:i/>
          <w:sz w:val="22"/>
        </w:rPr>
        <w:t xml:space="preserve">, se actualicen alguno de los </w:t>
      </w:r>
      <w:r w:rsidRPr="007521C5">
        <w:rPr>
          <w:rFonts w:ascii="Palatino Linotype" w:hAnsi="Palatino Linotype" w:cs="Arial"/>
          <w:i/>
          <w:sz w:val="22"/>
          <w:szCs w:val="22"/>
          <w:lang w:val="es-ES"/>
        </w:rPr>
        <w:t>siguientes</w:t>
      </w:r>
      <w:r w:rsidRPr="007521C5">
        <w:rPr>
          <w:rFonts w:ascii="Palatino Linotype" w:hAnsi="Palatino Linotype" w:cs="Arial"/>
          <w:i/>
          <w:sz w:val="22"/>
        </w:rPr>
        <w:t xml:space="preserve"> supuestos:</w:t>
      </w:r>
    </w:p>
    <w:p w:rsidR="005C58D6" w:rsidRPr="007521C5" w:rsidRDefault="005C58D6" w:rsidP="00D8037B">
      <w:pPr>
        <w:tabs>
          <w:tab w:val="left" w:pos="851"/>
        </w:tabs>
        <w:ind w:left="851" w:right="901"/>
        <w:jc w:val="both"/>
        <w:rPr>
          <w:rFonts w:ascii="Palatino Linotype" w:hAnsi="Palatino Linotype" w:cs="Arial"/>
          <w:i/>
          <w:sz w:val="22"/>
        </w:rPr>
      </w:pPr>
    </w:p>
    <w:p w:rsidR="005C58D6" w:rsidRPr="007521C5" w:rsidRDefault="005C58D6" w:rsidP="00D8037B">
      <w:pPr>
        <w:tabs>
          <w:tab w:val="left" w:pos="851"/>
        </w:tabs>
        <w:ind w:left="851" w:right="901"/>
        <w:jc w:val="both"/>
        <w:rPr>
          <w:rFonts w:ascii="Palatino Linotype" w:hAnsi="Palatino Linotype" w:cs="Arial"/>
          <w:sz w:val="22"/>
        </w:rPr>
      </w:pPr>
      <w:r w:rsidRPr="007521C5">
        <w:rPr>
          <w:rFonts w:ascii="Palatino Linotype" w:hAnsi="Palatino Linotype" w:cs="Arial"/>
          <w:b/>
          <w:i/>
          <w:sz w:val="22"/>
        </w:rPr>
        <w:t xml:space="preserve">V. </w:t>
      </w:r>
      <w:r w:rsidRPr="007521C5">
        <w:rPr>
          <w:rFonts w:ascii="Palatino Linotype" w:hAnsi="Palatino Linotype" w:cs="Arial"/>
          <w:b/>
          <w:i/>
          <w:sz w:val="22"/>
          <w:u w:val="single"/>
        </w:rPr>
        <w:t>Cuando por cualquier motivo quede sin materia el recurso</w:t>
      </w:r>
      <w:r w:rsidRPr="007521C5">
        <w:rPr>
          <w:rFonts w:ascii="Palatino Linotype" w:hAnsi="Palatino Linotype" w:cs="Arial"/>
          <w:i/>
          <w:sz w:val="22"/>
        </w:rPr>
        <w:t xml:space="preserve">;” </w:t>
      </w:r>
      <w:r w:rsidRPr="007521C5">
        <w:rPr>
          <w:rFonts w:ascii="Palatino Linotype" w:hAnsi="Palatino Linotype" w:cs="Arial"/>
          <w:i/>
          <w:sz w:val="22"/>
          <w:szCs w:val="22"/>
        </w:rPr>
        <w:t>(Énfasis añadido)</w:t>
      </w:r>
    </w:p>
    <w:p w:rsidR="005C58D6" w:rsidRPr="007521C5" w:rsidRDefault="005C58D6" w:rsidP="00D8037B">
      <w:pPr>
        <w:tabs>
          <w:tab w:val="left" w:pos="851"/>
        </w:tabs>
        <w:ind w:left="851" w:right="901"/>
        <w:jc w:val="both"/>
        <w:rPr>
          <w:rFonts w:ascii="Palatino Linotype" w:hAnsi="Palatino Linotype" w:cs="Arial"/>
          <w:sz w:val="22"/>
        </w:rPr>
      </w:pPr>
    </w:p>
    <w:p w:rsidR="005C58D6" w:rsidRPr="007521C5" w:rsidRDefault="005C58D6" w:rsidP="005C58D6">
      <w:pPr>
        <w:widowControl w:val="0"/>
        <w:autoSpaceDE w:val="0"/>
        <w:autoSpaceDN w:val="0"/>
        <w:adjustRightInd w:val="0"/>
        <w:spacing w:line="360" w:lineRule="auto"/>
        <w:jc w:val="both"/>
        <w:rPr>
          <w:rFonts w:ascii="Palatino Linotype" w:eastAsia="Calibri" w:hAnsi="Palatino Linotype" w:cs="Arial"/>
        </w:rPr>
      </w:pPr>
      <w:r w:rsidRPr="007521C5">
        <w:rPr>
          <w:rFonts w:ascii="Palatino Linotype" w:hAnsi="Palatino Linotype"/>
          <w:color w:val="000000"/>
        </w:rPr>
        <w:t xml:space="preserve">En </w:t>
      </w:r>
      <w:r w:rsidRPr="007521C5">
        <w:rPr>
          <w:rFonts w:ascii="Palatino Linotype" w:hAnsi="Palatino Linotype"/>
        </w:rPr>
        <w:t>consecuencia</w:t>
      </w:r>
      <w:r w:rsidRPr="007521C5">
        <w:rPr>
          <w:rFonts w:ascii="Palatino Linotype" w:hAnsi="Palatino Linotype"/>
          <w:color w:val="000000"/>
        </w:rPr>
        <w:t xml:space="preserve">, </w:t>
      </w:r>
      <w:r w:rsidRPr="007521C5">
        <w:rPr>
          <w:rFonts w:ascii="Palatino Linotype" w:hAnsi="Palatino Linotype"/>
        </w:rPr>
        <w:t xml:space="preserve">se </w:t>
      </w:r>
      <w:r w:rsidRPr="007521C5">
        <w:rPr>
          <w:rFonts w:ascii="Palatino Linotype" w:hAnsi="Palatino Linotype" w:cs="Arial"/>
          <w:lang w:val="es-ES_tradnl"/>
        </w:rPr>
        <w:t xml:space="preserve">determina </w:t>
      </w:r>
      <w:r w:rsidRPr="007521C5">
        <w:rPr>
          <w:rFonts w:ascii="Palatino Linotype" w:hAnsi="Palatino Linotype" w:cs="Arial"/>
          <w:b/>
          <w:lang w:val="es-ES_tradnl"/>
        </w:rPr>
        <w:t>SOBRESEER</w:t>
      </w:r>
      <w:r w:rsidRPr="007521C5">
        <w:rPr>
          <w:rFonts w:ascii="Palatino Linotype" w:hAnsi="Palatino Linotype" w:cs="Arial"/>
          <w:lang w:val="es-ES_tradnl"/>
        </w:rPr>
        <w:t xml:space="preserve"> el presente recurso de revisión, en </w:t>
      </w:r>
      <w:r w:rsidRPr="007521C5">
        <w:rPr>
          <w:rFonts w:ascii="Palatino Linotype" w:hAnsi="Palatino Linotype"/>
          <w:bCs/>
        </w:rPr>
        <w:t>términos</w:t>
      </w:r>
      <w:r w:rsidRPr="007521C5">
        <w:rPr>
          <w:rFonts w:ascii="Palatino Linotype" w:hAnsi="Palatino Linotype" w:cs="Arial"/>
          <w:lang w:val="es-ES_tradnl"/>
        </w:rPr>
        <w:t xml:space="preserve"> del artículo 186, fracción I, de la </w:t>
      </w:r>
      <w:r w:rsidRPr="007521C5">
        <w:rPr>
          <w:rFonts w:ascii="Palatino Linotype" w:eastAsia="Calibri" w:hAnsi="Palatino Linotype" w:cs="Arial"/>
        </w:rPr>
        <w:t>Ley de Transparencia y Acceso a la Información Pública del Estado de México y Municipios:</w:t>
      </w:r>
    </w:p>
    <w:p w:rsidR="005C58D6" w:rsidRPr="007521C5" w:rsidRDefault="005C58D6" w:rsidP="00D8037B">
      <w:pPr>
        <w:widowControl w:val="0"/>
        <w:autoSpaceDE w:val="0"/>
        <w:autoSpaceDN w:val="0"/>
        <w:adjustRightInd w:val="0"/>
        <w:jc w:val="both"/>
        <w:rPr>
          <w:rFonts w:ascii="Palatino Linotype" w:eastAsia="Calibri" w:hAnsi="Palatino Linotype" w:cs="Arial"/>
        </w:rPr>
      </w:pPr>
    </w:p>
    <w:p w:rsidR="005C58D6" w:rsidRPr="007521C5" w:rsidRDefault="005C58D6" w:rsidP="00D8037B">
      <w:pPr>
        <w:tabs>
          <w:tab w:val="left" w:pos="851"/>
        </w:tabs>
        <w:ind w:left="851" w:right="901"/>
        <w:jc w:val="both"/>
        <w:rPr>
          <w:rFonts w:ascii="Palatino Linotype" w:hAnsi="Palatino Linotype" w:cs="Arial"/>
          <w:i/>
          <w:sz w:val="22"/>
        </w:rPr>
      </w:pPr>
      <w:r w:rsidRPr="007521C5">
        <w:rPr>
          <w:rFonts w:ascii="Palatino Linotype" w:hAnsi="Palatino Linotype" w:cs="Arial"/>
          <w:i/>
          <w:sz w:val="22"/>
        </w:rPr>
        <w:t>“</w:t>
      </w:r>
      <w:r w:rsidRPr="007521C5">
        <w:rPr>
          <w:rFonts w:ascii="Palatino Linotype" w:hAnsi="Palatino Linotype" w:cs="Arial"/>
          <w:b/>
          <w:i/>
          <w:sz w:val="22"/>
        </w:rPr>
        <w:t xml:space="preserve">Artículo 186. </w:t>
      </w:r>
      <w:r w:rsidRPr="007521C5">
        <w:rPr>
          <w:rFonts w:ascii="Palatino Linotype" w:hAnsi="Palatino Linotype" w:cs="Arial"/>
          <w:b/>
          <w:i/>
          <w:sz w:val="22"/>
          <w:u w:val="single"/>
        </w:rPr>
        <w:t>Las resoluciones del Instituto podrán</w:t>
      </w:r>
      <w:r w:rsidRPr="007521C5">
        <w:rPr>
          <w:rFonts w:ascii="Palatino Linotype" w:hAnsi="Palatino Linotype" w:cs="Arial"/>
          <w:i/>
          <w:sz w:val="22"/>
        </w:rPr>
        <w:t xml:space="preserve">: </w:t>
      </w:r>
    </w:p>
    <w:p w:rsidR="005C58D6" w:rsidRPr="007521C5" w:rsidRDefault="005C58D6" w:rsidP="00D8037B">
      <w:pPr>
        <w:pStyle w:val="Prrafodelista"/>
        <w:numPr>
          <w:ilvl w:val="0"/>
          <w:numId w:val="5"/>
        </w:numPr>
        <w:tabs>
          <w:tab w:val="left" w:pos="851"/>
        </w:tabs>
        <w:ind w:right="901"/>
        <w:jc w:val="both"/>
        <w:rPr>
          <w:rFonts w:ascii="Palatino Linotype" w:hAnsi="Palatino Linotype" w:cs="Arial"/>
          <w:i/>
          <w:sz w:val="22"/>
        </w:rPr>
      </w:pPr>
      <w:r w:rsidRPr="007521C5">
        <w:rPr>
          <w:rFonts w:ascii="Palatino Linotype" w:hAnsi="Palatino Linotype" w:cs="Arial"/>
          <w:i/>
          <w:sz w:val="22"/>
        </w:rPr>
        <w:t xml:space="preserve">Desechar o </w:t>
      </w:r>
      <w:r w:rsidRPr="007521C5">
        <w:rPr>
          <w:rFonts w:ascii="Palatino Linotype" w:hAnsi="Palatino Linotype" w:cs="Arial"/>
          <w:b/>
          <w:i/>
          <w:sz w:val="22"/>
          <w:u w:val="single"/>
        </w:rPr>
        <w:t>sobreseer el recurso</w:t>
      </w:r>
      <w:r w:rsidRPr="007521C5">
        <w:rPr>
          <w:rFonts w:ascii="Palatino Linotype" w:hAnsi="Palatino Linotype" w:cs="Arial"/>
          <w:i/>
          <w:sz w:val="22"/>
        </w:rPr>
        <w:t xml:space="preserve">;” </w:t>
      </w:r>
      <w:r w:rsidRPr="007521C5">
        <w:rPr>
          <w:rFonts w:ascii="Palatino Linotype" w:hAnsi="Palatino Linotype" w:cs="Arial"/>
          <w:i/>
          <w:sz w:val="22"/>
          <w:szCs w:val="22"/>
        </w:rPr>
        <w:t>(Énfasis añadido)</w:t>
      </w:r>
    </w:p>
    <w:p w:rsidR="005C58D6" w:rsidRPr="007521C5" w:rsidRDefault="005C58D6" w:rsidP="00D8037B">
      <w:pPr>
        <w:tabs>
          <w:tab w:val="left" w:pos="851"/>
        </w:tabs>
        <w:ind w:right="901"/>
        <w:jc w:val="both"/>
        <w:rPr>
          <w:rFonts w:ascii="Palatino Linotype" w:hAnsi="Palatino Linotype" w:cs="Arial"/>
          <w:i/>
          <w:sz w:val="22"/>
        </w:rPr>
      </w:pPr>
    </w:p>
    <w:p w:rsidR="008F267E" w:rsidRPr="007521C5" w:rsidRDefault="005C58D6" w:rsidP="005C58D6">
      <w:pPr>
        <w:spacing w:line="360" w:lineRule="auto"/>
        <w:jc w:val="both"/>
        <w:rPr>
          <w:rFonts w:ascii="Palatino Linotype" w:eastAsia="Calibri" w:hAnsi="Palatino Linotype" w:cs="Arial"/>
          <w:color w:val="000000" w:themeColor="text1"/>
        </w:rPr>
      </w:pPr>
      <w:r w:rsidRPr="007521C5">
        <w:rPr>
          <w:rFonts w:ascii="Palatino Linotype" w:eastAsia="Calibri" w:hAnsi="Palatino Linotype" w:cs="Arial"/>
          <w:color w:val="000000" w:themeColor="text1"/>
        </w:rPr>
        <w:t>Lo anterior por haberse atendido la solicitud en los términos requeridos al entregarse la información solicitada.</w:t>
      </w:r>
    </w:p>
    <w:p w:rsidR="005C58D6" w:rsidRPr="007521C5" w:rsidRDefault="005C58D6" w:rsidP="005C58D6">
      <w:pPr>
        <w:spacing w:line="360" w:lineRule="auto"/>
        <w:jc w:val="both"/>
        <w:rPr>
          <w:rFonts w:ascii="Palatino Linotype" w:eastAsia="Palatino Linotype" w:hAnsi="Palatino Linotype" w:cs="Palatino Linotype"/>
        </w:rPr>
      </w:pPr>
    </w:p>
    <w:p w:rsidR="00E66E79" w:rsidRPr="007521C5" w:rsidRDefault="003F333B">
      <w:pPr>
        <w:widowControl w:val="0"/>
        <w:spacing w:line="360" w:lineRule="auto"/>
        <w:jc w:val="both"/>
        <w:rPr>
          <w:rFonts w:ascii="Palatino Linotype" w:eastAsia="Palatino Linotype" w:hAnsi="Palatino Linotype" w:cs="Palatino Linotype"/>
        </w:rPr>
      </w:pPr>
      <w:bookmarkStart w:id="8" w:name="_heading=h.2s8eyo1" w:colFirst="0" w:colLast="0"/>
      <w:bookmarkEnd w:id="8"/>
      <w:r w:rsidRPr="007521C5">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rsidR="00E66E79" w:rsidRPr="007521C5" w:rsidRDefault="00E66E79">
      <w:pPr>
        <w:widowControl w:val="0"/>
        <w:spacing w:line="360" w:lineRule="auto"/>
        <w:jc w:val="both"/>
        <w:rPr>
          <w:rFonts w:ascii="Palatino Linotype" w:eastAsia="Palatino Linotype" w:hAnsi="Palatino Linotype" w:cs="Palatino Linotype"/>
        </w:rPr>
      </w:pPr>
    </w:p>
    <w:p w:rsidR="00E66E79" w:rsidRPr="007521C5" w:rsidRDefault="003F333B">
      <w:pPr>
        <w:jc w:val="center"/>
        <w:rPr>
          <w:rFonts w:ascii="Palatino Linotype" w:eastAsia="Palatino Linotype" w:hAnsi="Palatino Linotype" w:cs="Palatino Linotype"/>
          <w:b/>
          <w:sz w:val="28"/>
          <w:szCs w:val="28"/>
        </w:rPr>
      </w:pPr>
      <w:r w:rsidRPr="007521C5">
        <w:rPr>
          <w:rFonts w:ascii="Palatino Linotype" w:eastAsia="Palatino Linotype" w:hAnsi="Palatino Linotype" w:cs="Palatino Linotype"/>
          <w:b/>
          <w:sz w:val="28"/>
          <w:szCs w:val="28"/>
        </w:rPr>
        <w:t>RESUELVE</w:t>
      </w:r>
    </w:p>
    <w:p w:rsidR="00E66E79" w:rsidRPr="007521C5" w:rsidRDefault="00E66E79">
      <w:pPr>
        <w:jc w:val="center"/>
        <w:rPr>
          <w:rFonts w:ascii="Palatino Linotype" w:eastAsia="Palatino Linotype" w:hAnsi="Palatino Linotype" w:cs="Palatino Linotype"/>
          <w:b/>
          <w:sz w:val="28"/>
          <w:szCs w:val="28"/>
        </w:rPr>
      </w:pPr>
    </w:p>
    <w:p w:rsidR="00E66E79" w:rsidRPr="007521C5" w:rsidRDefault="003F333B">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b/>
          <w:sz w:val="28"/>
          <w:szCs w:val="28"/>
        </w:rPr>
        <w:t>PRIMERO</w:t>
      </w:r>
      <w:r w:rsidRPr="007521C5">
        <w:rPr>
          <w:rFonts w:ascii="Palatino Linotype" w:eastAsia="Palatino Linotype" w:hAnsi="Palatino Linotype" w:cs="Palatino Linotype"/>
          <w:sz w:val="28"/>
          <w:szCs w:val="28"/>
        </w:rPr>
        <w:t>.</w:t>
      </w:r>
      <w:r w:rsidRPr="007521C5">
        <w:rPr>
          <w:rFonts w:ascii="Palatino Linotype" w:eastAsia="Palatino Linotype" w:hAnsi="Palatino Linotype" w:cs="Palatino Linotype"/>
        </w:rPr>
        <w:t xml:space="preserve"> Resultan </w:t>
      </w:r>
      <w:r w:rsidR="005C58D6" w:rsidRPr="007521C5">
        <w:rPr>
          <w:rFonts w:ascii="Palatino Linotype" w:eastAsia="Palatino Linotype" w:hAnsi="Palatino Linotype" w:cs="Palatino Linotype"/>
          <w:b/>
        </w:rPr>
        <w:t>in</w:t>
      </w:r>
      <w:r w:rsidRPr="007521C5">
        <w:rPr>
          <w:rFonts w:ascii="Palatino Linotype" w:eastAsia="Palatino Linotype" w:hAnsi="Palatino Linotype" w:cs="Palatino Linotype"/>
          <w:b/>
        </w:rPr>
        <w:t>fundadas</w:t>
      </w:r>
      <w:r w:rsidRPr="007521C5">
        <w:rPr>
          <w:rFonts w:ascii="Palatino Linotype" w:eastAsia="Palatino Linotype" w:hAnsi="Palatino Linotype" w:cs="Palatino Linotype"/>
        </w:rPr>
        <w:t xml:space="preserve"> las razones o motivos de inconformidad planteadas por </w:t>
      </w:r>
      <w:r w:rsidRPr="007521C5">
        <w:rPr>
          <w:rFonts w:ascii="Palatino Linotype" w:eastAsia="Palatino Linotype" w:hAnsi="Palatino Linotype" w:cs="Palatino Linotype"/>
          <w:b/>
        </w:rPr>
        <w:t>EL RECURRENTE</w:t>
      </w:r>
      <w:r w:rsidRPr="007521C5">
        <w:rPr>
          <w:rFonts w:ascii="Palatino Linotype" w:eastAsia="Palatino Linotype" w:hAnsi="Palatino Linotype" w:cs="Palatino Linotype"/>
        </w:rPr>
        <w:t xml:space="preserve">, en términos del Considerando </w:t>
      </w:r>
      <w:r w:rsidRPr="007521C5">
        <w:rPr>
          <w:rFonts w:ascii="Palatino Linotype" w:eastAsia="Palatino Linotype" w:hAnsi="Palatino Linotype" w:cs="Palatino Linotype"/>
          <w:b/>
        </w:rPr>
        <w:t>QUINTO</w:t>
      </w:r>
      <w:r w:rsidRPr="007521C5">
        <w:rPr>
          <w:rFonts w:ascii="Palatino Linotype" w:eastAsia="Palatino Linotype" w:hAnsi="Palatino Linotype" w:cs="Palatino Linotype"/>
        </w:rPr>
        <w:t xml:space="preserve"> de la presente resolución.</w:t>
      </w:r>
    </w:p>
    <w:p w:rsidR="00E66E79" w:rsidRPr="007521C5" w:rsidRDefault="00E66E79">
      <w:pPr>
        <w:spacing w:line="360" w:lineRule="auto"/>
        <w:jc w:val="both"/>
        <w:rPr>
          <w:rFonts w:ascii="Palatino Linotype" w:eastAsia="Palatino Linotype" w:hAnsi="Palatino Linotype" w:cs="Palatino Linotype"/>
        </w:rPr>
      </w:pPr>
    </w:p>
    <w:p w:rsidR="00E66E79" w:rsidRPr="007521C5" w:rsidRDefault="003F333B" w:rsidP="005C58D6">
      <w:pPr>
        <w:spacing w:line="360" w:lineRule="auto"/>
        <w:jc w:val="both"/>
        <w:rPr>
          <w:rFonts w:ascii="Palatino Linotype" w:eastAsia="Palatino Linotype" w:hAnsi="Palatino Linotype" w:cs="Palatino Linotype"/>
        </w:rPr>
      </w:pPr>
      <w:r w:rsidRPr="007521C5">
        <w:rPr>
          <w:rFonts w:ascii="Palatino Linotype" w:eastAsia="Palatino Linotype" w:hAnsi="Palatino Linotype" w:cs="Palatino Linotype"/>
          <w:b/>
          <w:sz w:val="28"/>
          <w:szCs w:val="28"/>
        </w:rPr>
        <w:lastRenderedPageBreak/>
        <w:t>SEGUNDO</w:t>
      </w:r>
      <w:r w:rsidRPr="007521C5">
        <w:rPr>
          <w:rFonts w:ascii="Palatino Linotype" w:eastAsia="Palatino Linotype" w:hAnsi="Palatino Linotype" w:cs="Palatino Linotype"/>
          <w:sz w:val="28"/>
          <w:szCs w:val="28"/>
        </w:rPr>
        <w:t>.</w:t>
      </w:r>
      <w:r w:rsidRPr="007521C5">
        <w:rPr>
          <w:rFonts w:ascii="Palatino Linotype" w:eastAsia="Palatino Linotype" w:hAnsi="Palatino Linotype" w:cs="Palatino Linotype"/>
        </w:rPr>
        <w:t xml:space="preserve"> </w:t>
      </w:r>
      <w:r w:rsidR="005C58D6" w:rsidRPr="007521C5">
        <w:rPr>
          <w:rFonts w:ascii="Palatino Linotype" w:eastAsia="Palatino Linotype" w:hAnsi="Palatino Linotype" w:cs="Palatino Linotype"/>
        </w:rPr>
        <w:t xml:space="preserve">Se </w:t>
      </w:r>
      <w:r w:rsidR="005C58D6" w:rsidRPr="007521C5">
        <w:rPr>
          <w:rFonts w:ascii="Palatino Linotype" w:eastAsia="Palatino Linotype" w:hAnsi="Palatino Linotype" w:cs="Palatino Linotype"/>
          <w:b/>
        </w:rPr>
        <w:t>SOBRESEE</w:t>
      </w:r>
      <w:r w:rsidR="005C58D6" w:rsidRPr="007521C5">
        <w:rPr>
          <w:rFonts w:ascii="Palatino Linotype" w:eastAsia="Palatino Linotype" w:hAnsi="Palatino Linotype" w:cs="Palatino Linotype"/>
        </w:rPr>
        <w:t xml:space="preserve"> del presente Recurso de Revisión</w:t>
      </w:r>
      <w:r w:rsidR="007521C5" w:rsidRPr="007521C5">
        <w:rPr>
          <w:rFonts w:ascii="Palatino Linotype" w:eastAsia="Palatino Linotype" w:hAnsi="Palatino Linotype" w:cs="Palatino Linotype"/>
        </w:rPr>
        <w:t xml:space="preserve"> número </w:t>
      </w:r>
      <w:r w:rsidR="007521C5" w:rsidRPr="007521C5">
        <w:rPr>
          <w:rFonts w:ascii="Palatino Linotype" w:eastAsia="Palatino Linotype" w:hAnsi="Palatino Linotype" w:cs="Palatino Linotype"/>
          <w:b/>
          <w:sz w:val="22"/>
          <w:szCs w:val="22"/>
        </w:rPr>
        <w:t>06102/INFOEM/IP/RR/2022</w:t>
      </w:r>
      <w:r w:rsidR="005C58D6" w:rsidRPr="007521C5">
        <w:rPr>
          <w:rFonts w:ascii="Palatino Linotype" w:eastAsia="Palatino Linotype" w:hAnsi="Palatino Linotype" w:cs="Palatino Linotype"/>
        </w:rPr>
        <w:t xml:space="preserve">, por actualizarse la causal establecida en el artículo 192 fracción V,  </w:t>
      </w:r>
      <w:r w:rsidR="005C58D6" w:rsidRPr="007521C5">
        <w:rPr>
          <w:rFonts w:ascii="Palatino Linotype" w:eastAsia="Palatino Linotype" w:hAnsi="Palatino Linotype" w:cs="Palatino Linotype"/>
          <w:b/>
        </w:rPr>
        <w:t>cuando por cualquier motivo quede sin materia el recurso</w:t>
      </w:r>
      <w:r w:rsidR="005C58D6" w:rsidRPr="007521C5">
        <w:rPr>
          <w:rFonts w:ascii="Palatino Linotype" w:eastAsia="Palatino Linotype" w:hAnsi="Palatino Linotype" w:cs="Palatino Linotype"/>
        </w:rPr>
        <w:t xml:space="preserve">, en términos del Considerando </w:t>
      </w:r>
      <w:r w:rsidR="005C58D6" w:rsidRPr="007521C5">
        <w:rPr>
          <w:rFonts w:ascii="Palatino Linotype" w:eastAsia="Palatino Linotype" w:hAnsi="Palatino Linotype" w:cs="Palatino Linotype"/>
          <w:b/>
        </w:rPr>
        <w:t>QUINTO</w:t>
      </w:r>
      <w:r w:rsidR="005C58D6" w:rsidRPr="007521C5">
        <w:rPr>
          <w:rFonts w:ascii="Palatino Linotype" w:eastAsia="Palatino Linotype" w:hAnsi="Palatino Linotype" w:cs="Palatino Linotype"/>
        </w:rPr>
        <w:t xml:space="preserve"> de la presente resolución</w:t>
      </w:r>
    </w:p>
    <w:p w:rsidR="005C58D6" w:rsidRPr="007521C5" w:rsidRDefault="005C58D6" w:rsidP="005C58D6">
      <w:pPr>
        <w:spacing w:line="360" w:lineRule="auto"/>
        <w:jc w:val="both"/>
        <w:rPr>
          <w:rFonts w:ascii="Palatino Linotype" w:eastAsia="Palatino Linotype" w:hAnsi="Palatino Linotype" w:cs="Palatino Linotype"/>
          <w:i/>
          <w:sz w:val="22"/>
          <w:szCs w:val="22"/>
        </w:rPr>
      </w:pPr>
    </w:p>
    <w:p w:rsidR="00256B08" w:rsidRPr="007521C5" w:rsidRDefault="00256B08" w:rsidP="00256B08">
      <w:pPr>
        <w:shd w:val="clear" w:color="auto" w:fill="FFFFFF"/>
        <w:spacing w:line="360" w:lineRule="auto"/>
        <w:jc w:val="both"/>
        <w:rPr>
          <w:rFonts w:ascii="Palatino Linotype" w:hAnsi="Palatino Linotype"/>
          <w:color w:val="000000" w:themeColor="text1"/>
          <w:lang w:val="es-ES_tradnl"/>
        </w:rPr>
      </w:pPr>
      <w:r w:rsidRPr="007521C5">
        <w:rPr>
          <w:rFonts w:ascii="Palatino Linotype" w:hAnsi="Palatino Linotype" w:cs="Arial"/>
          <w:b/>
          <w:color w:val="000000"/>
          <w:sz w:val="28"/>
          <w:szCs w:val="28"/>
          <w:lang w:val="es-ES"/>
        </w:rPr>
        <w:t>TERCERO.</w:t>
      </w:r>
      <w:r w:rsidRPr="007521C5">
        <w:rPr>
          <w:rFonts w:ascii="Palatino Linotype" w:hAnsi="Palatino Linotype"/>
          <w:b/>
          <w:color w:val="000000"/>
          <w:szCs w:val="17"/>
          <w:lang w:val="es-ES" w:eastAsia="es-ES_tradnl"/>
        </w:rPr>
        <w:t xml:space="preserve"> Notifíquese</w:t>
      </w:r>
      <w:r w:rsidRPr="007521C5">
        <w:rPr>
          <w:rFonts w:ascii="Palatino Linotype" w:hAnsi="Palatino Linotype"/>
          <w:color w:val="000000"/>
          <w:szCs w:val="17"/>
          <w:lang w:val="es-ES" w:eastAsia="es-ES_tradnl"/>
        </w:rPr>
        <w:t xml:space="preserve"> al </w:t>
      </w:r>
      <w:r w:rsidRPr="007521C5">
        <w:rPr>
          <w:rFonts w:ascii="Palatino Linotype" w:hAnsi="Palatino Linotype"/>
          <w:b/>
          <w:color w:val="000000"/>
          <w:szCs w:val="17"/>
          <w:lang w:val="es-ES" w:eastAsia="es-ES_tradnl"/>
        </w:rPr>
        <w:t>RECURRENTE</w:t>
      </w:r>
      <w:r w:rsidRPr="007521C5">
        <w:rPr>
          <w:rFonts w:ascii="Palatino Linotype" w:hAnsi="Palatino Linotype"/>
          <w:color w:val="000000"/>
          <w:szCs w:val="17"/>
          <w:lang w:val="es-ES" w:eastAsia="es-ES_tradnl"/>
        </w:rPr>
        <w:t xml:space="preserve"> la presente resolución </w:t>
      </w:r>
      <w:r w:rsidRPr="007521C5">
        <w:rPr>
          <w:rFonts w:ascii="Palatino Linotype" w:hAnsi="Palatino Linotype"/>
          <w:lang w:val="es-ES_tradnl"/>
        </w:rPr>
        <w:t xml:space="preserve">vía </w:t>
      </w:r>
      <w:r w:rsidRPr="007521C5">
        <w:rPr>
          <w:rFonts w:ascii="Palatino Linotype" w:hAnsi="Palatino Linotype" w:cs="Arial"/>
          <w:lang w:val="es-ES_tradnl"/>
        </w:rPr>
        <w:t xml:space="preserve">Sistema de Acceso a la Información Mexiquense </w:t>
      </w:r>
      <w:r w:rsidRPr="007521C5">
        <w:rPr>
          <w:rFonts w:ascii="Palatino Linotype" w:hAnsi="Palatino Linotype" w:cs="Arial"/>
          <w:b/>
          <w:lang w:val="es-ES_tradnl"/>
        </w:rPr>
        <w:t>(SAIMEX).</w:t>
      </w:r>
    </w:p>
    <w:p w:rsidR="00256B08" w:rsidRPr="007521C5" w:rsidRDefault="00256B08" w:rsidP="00256B08">
      <w:pPr>
        <w:widowControl w:val="0"/>
        <w:autoSpaceDE w:val="0"/>
        <w:autoSpaceDN w:val="0"/>
        <w:adjustRightInd w:val="0"/>
        <w:spacing w:line="360" w:lineRule="auto"/>
        <w:jc w:val="both"/>
        <w:rPr>
          <w:rFonts w:ascii="Palatino Linotype" w:hAnsi="Palatino Linotype" w:cs="Arial"/>
          <w:b/>
          <w:color w:val="000000"/>
          <w:sz w:val="28"/>
          <w:szCs w:val="28"/>
          <w:lang w:val="es-ES"/>
        </w:rPr>
      </w:pPr>
    </w:p>
    <w:p w:rsidR="00256B08" w:rsidRPr="007521C5" w:rsidRDefault="00256B08" w:rsidP="00256B08">
      <w:pPr>
        <w:widowControl w:val="0"/>
        <w:autoSpaceDE w:val="0"/>
        <w:autoSpaceDN w:val="0"/>
        <w:adjustRightInd w:val="0"/>
        <w:spacing w:line="360" w:lineRule="auto"/>
        <w:jc w:val="both"/>
        <w:rPr>
          <w:rFonts w:ascii="Palatino Linotype" w:hAnsi="Palatino Linotype"/>
          <w:color w:val="000000"/>
          <w:szCs w:val="17"/>
          <w:lang w:val="es-ES" w:eastAsia="es-ES_tradnl"/>
        </w:rPr>
      </w:pPr>
      <w:r w:rsidRPr="007521C5">
        <w:rPr>
          <w:rFonts w:ascii="Palatino Linotype" w:hAnsi="Palatino Linotype" w:cs="Arial"/>
          <w:b/>
          <w:color w:val="000000"/>
          <w:sz w:val="28"/>
          <w:szCs w:val="28"/>
          <w:lang w:val="es-ES"/>
        </w:rPr>
        <w:t xml:space="preserve">CUARTO. </w:t>
      </w:r>
      <w:r w:rsidRPr="007521C5">
        <w:rPr>
          <w:rFonts w:ascii="Palatino Linotype" w:hAnsi="Palatino Linotype"/>
          <w:b/>
          <w:color w:val="000000"/>
          <w:szCs w:val="17"/>
          <w:lang w:val="es-ES" w:eastAsia="es-ES_tradnl"/>
        </w:rPr>
        <w:t>Hágase del conocimiento</w:t>
      </w:r>
      <w:r w:rsidRPr="007521C5">
        <w:rPr>
          <w:rFonts w:ascii="Palatino Linotype" w:hAnsi="Palatino Linotype"/>
          <w:color w:val="000000"/>
          <w:szCs w:val="17"/>
          <w:lang w:val="es-ES" w:eastAsia="es-ES_tradnl"/>
        </w:rPr>
        <w:t xml:space="preserve"> del </w:t>
      </w:r>
      <w:r w:rsidRPr="007521C5">
        <w:rPr>
          <w:rFonts w:ascii="Palatino Linotype" w:hAnsi="Palatino Linotype"/>
          <w:b/>
          <w:color w:val="000000"/>
          <w:szCs w:val="17"/>
          <w:lang w:val="es-ES" w:eastAsia="es-ES_tradnl"/>
        </w:rPr>
        <w:t>RECURRENTE</w:t>
      </w:r>
      <w:r w:rsidRPr="007521C5">
        <w:rPr>
          <w:rFonts w:ascii="Palatino Linotype" w:hAnsi="Palatino Linotype"/>
          <w:color w:val="000000"/>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256B08" w:rsidRPr="007521C5" w:rsidRDefault="00256B08" w:rsidP="00256B08">
      <w:pPr>
        <w:spacing w:line="360" w:lineRule="auto"/>
        <w:jc w:val="both"/>
        <w:rPr>
          <w:rFonts w:ascii="Palatino Linotype" w:hAnsi="Palatino Linotype" w:cs="Arial"/>
          <w:b/>
          <w:color w:val="000000" w:themeColor="text1"/>
          <w:sz w:val="28"/>
          <w:szCs w:val="28"/>
          <w:lang w:eastAsia="es-ES"/>
        </w:rPr>
      </w:pPr>
    </w:p>
    <w:p w:rsidR="00E66E79" w:rsidRPr="007521C5" w:rsidRDefault="003F333B">
      <w:pPr>
        <w:widowControl w:val="0"/>
        <w:spacing w:line="360" w:lineRule="auto"/>
        <w:jc w:val="both"/>
      </w:pPr>
      <w:r w:rsidRPr="007521C5">
        <w:rPr>
          <w:rFonts w:ascii="Palatino Linotype" w:eastAsia="Palatino Linotype" w:hAnsi="Palatino Linotype" w:cs="Palatino Linotype"/>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CUARTA SESIÓN ORDINARIA CELEBRADA EL VEINTINUEVE DE JUNIO DE DOS MIL VEINTIDÓS, ANTE EL SECRETARIO TÉCNICO DEL PLENO, ALEXIS TAPIA RAMÍREZ.</w:t>
      </w:r>
    </w:p>
    <w:p w:rsidR="00E66E79" w:rsidRDefault="003F333B">
      <w:pPr>
        <w:spacing w:line="360" w:lineRule="auto"/>
        <w:jc w:val="both"/>
        <w:rPr>
          <w:rFonts w:ascii="Palatino Linotype" w:eastAsia="Palatino Linotype" w:hAnsi="Palatino Linotype" w:cs="Palatino Linotype"/>
          <w:sz w:val="20"/>
          <w:szCs w:val="20"/>
        </w:rPr>
      </w:pPr>
      <w:r w:rsidRPr="007521C5">
        <w:rPr>
          <w:rFonts w:ascii="Palatino Linotype" w:eastAsia="Palatino Linotype" w:hAnsi="Palatino Linotype" w:cs="Palatino Linotype"/>
          <w:sz w:val="20"/>
          <w:szCs w:val="20"/>
        </w:rPr>
        <w:t>SCMM/BLA/DEMF/JMMO</w:t>
      </w: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p w:rsidR="00E66E79" w:rsidRDefault="00E66E79">
      <w:pPr>
        <w:spacing w:line="360" w:lineRule="auto"/>
        <w:jc w:val="both"/>
        <w:rPr>
          <w:rFonts w:ascii="Palatino Linotype" w:eastAsia="Palatino Linotype" w:hAnsi="Palatino Linotype" w:cs="Palatino Linotype"/>
        </w:rPr>
      </w:pPr>
    </w:p>
    <w:sectPr w:rsidR="00E66E79">
      <w:headerReference w:type="even" r:id="rId18"/>
      <w:headerReference w:type="default" r:id="rId19"/>
      <w:footerReference w:type="even" r:id="rId20"/>
      <w:footerReference w:type="default" r:id="rId21"/>
      <w:headerReference w:type="first" r:id="rId22"/>
      <w:footerReference w:type="first" r:id="rId23"/>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9E5" w:rsidRDefault="009839E5">
      <w:r>
        <w:separator/>
      </w:r>
    </w:p>
  </w:endnote>
  <w:endnote w:type="continuationSeparator" w:id="0">
    <w:p w:rsidR="009839E5" w:rsidRDefault="00983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56A" w:rsidRDefault="00CB45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E79" w:rsidRDefault="003F333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B456A">
      <w:rPr>
        <w:rFonts w:ascii="Palatino Linotype" w:eastAsia="Palatino Linotype" w:hAnsi="Palatino Linotype" w:cs="Palatino Linotype"/>
        <w:noProof/>
        <w:color w:val="000000"/>
        <w:sz w:val="22"/>
        <w:szCs w:val="22"/>
      </w:rPr>
      <w:t>22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B456A">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E79" w:rsidRDefault="003F333B">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B456A">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B456A">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9E5" w:rsidRDefault="009839E5">
      <w:r>
        <w:separator/>
      </w:r>
    </w:p>
  </w:footnote>
  <w:footnote w:type="continuationSeparator" w:id="0">
    <w:p w:rsidR="009839E5" w:rsidRDefault="009839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E79" w:rsidRDefault="00CB456A">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0;margin-top:0;width:540pt;height:10in;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E00" w:rsidRDefault="00CB456A">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540pt;height:10in;z-index:-251659776;mso-position-horizontal:center;mso-position-horizontal-relative:margin;mso-position-vertical:center;mso-position-vertical-relative:margin">
          <v:imagedata r:id="rId1" o:title="image5"/>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E66E79">
      <w:tc>
        <w:tcPr>
          <w:tcW w:w="3261" w:type="dxa"/>
          <w:vMerge w:val="restart"/>
        </w:tcPr>
        <w:p w:rsidR="00E66E79" w:rsidRDefault="003F333B">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extent cx="1692162" cy="852673"/>
                <wp:effectExtent l="0" t="0" r="0" b="0"/>
                <wp:docPr id="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E66E79" w:rsidRDefault="003F33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rsidR="00E66E79" w:rsidRDefault="003F33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06102/INFOEM/IP/RR/2022</w:t>
          </w:r>
        </w:p>
      </w:tc>
    </w:tr>
    <w:tr w:rsidR="00E66E79">
      <w:tc>
        <w:tcPr>
          <w:tcW w:w="3261" w:type="dxa"/>
          <w:vMerge/>
        </w:tcPr>
        <w:p w:rsidR="00E66E79" w:rsidRDefault="00E66E7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E66E79" w:rsidRDefault="003F33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rsidR="00E66E79" w:rsidRDefault="003F33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Desarrollo Urbano y Obra</w:t>
          </w:r>
        </w:p>
      </w:tc>
    </w:tr>
    <w:tr w:rsidR="00E66E79">
      <w:trPr>
        <w:trHeight w:val="228"/>
      </w:trPr>
      <w:tc>
        <w:tcPr>
          <w:tcW w:w="3261" w:type="dxa"/>
          <w:vMerge/>
        </w:tcPr>
        <w:p w:rsidR="00E66E79" w:rsidRDefault="00E66E7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E66E79" w:rsidRDefault="003F33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rsidR="00E66E79" w:rsidRDefault="00CB45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José Martínez </w:t>
          </w:r>
          <w:r>
            <w:rPr>
              <w:rFonts w:ascii="Palatino Linotype" w:eastAsia="Palatino Linotype" w:hAnsi="Palatino Linotype" w:cs="Palatino Linotype"/>
              <w:b/>
              <w:sz w:val="22"/>
              <w:szCs w:val="22"/>
            </w:rPr>
            <w:t>Vilchis</w:t>
          </w:r>
          <w:bookmarkStart w:id="9" w:name="_GoBack"/>
          <w:bookmarkEnd w:id="9"/>
        </w:p>
      </w:tc>
    </w:tr>
  </w:tbl>
  <w:p w:rsidR="00595E00" w:rsidRDefault="00595E00">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E79" w:rsidRDefault="00CB456A">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40pt;height:10in;z-index:-251658752;mso-position-horizontal:center;mso-position-horizontal-relative:margin;mso-position-vertical:center;mso-position-vertical-relative:margin">
          <v:imagedata r:id="rId1" o:title="image5"/>
          <w10:wrap anchorx="margin" anchory="margin"/>
        </v:shape>
      </w:pict>
    </w:r>
  </w:p>
  <w:tbl>
    <w:tblPr>
      <w:tblStyle w:val="1"/>
      <w:tblW w:w="9900" w:type="dxa"/>
      <w:tblInd w:w="-833" w:type="dxa"/>
      <w:tblLayout w:type="fixed"/>
      <w:tblLook w:val="0400" w:firstRow="0" w:lastRow="0" w:firstColumn="0" w:lastColumn="0" w:noHBand="0" w:noVBand="1"/>
    </w:tblPr>
    <w:tblGrid>
      <w:gridCol w:w="3805"/>
      <w:gridCol w:w="3000"/>
      <w:gridCol w:w="3095"/>
    </w:tblGrid>
    <w:tr w:rsidR="00E66E79">
      <w:tc>
        <w:tcPr>
          <w:tcW w:w="3805" w:type="dxa"/>
          <w:vMerge w:val="restart"/>
          <w:shd w:val="clear" w:color="auto" w:fill="auto"/>
        </w:tcPr>
        <w:p w:rsidR="00E66E79" w:rsidRDefault="003F333B">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extent cx="1692162" cy="852673"/>
                <wp:effectExtent l="0" t="0" r="0" b="0"/>
                <wp:docPr id="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rsidR="00E66E79" w:rsidRDefault="003F33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095" w:type="dxa"/>
          <w:shd w:val="clear" w:color="auto" w:fill="auto"/>
          <w:vAlign w:val="center"/>
        </w:tcPr>
        <w:p w:rsidR="00E66E79" w:rsidRDefault="003F333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06102/INFOEM/IP/RR/2022</w:t>
          </w:r>
        </w:p>
      </w:tc>
    </w:tr>
    <w:tr w:rsidR="00E66E79">
      <w:tc>
        <w:tcPr>
          <w:tcW w:w="3805" w:type="dxa"/>
          <w:vMerge/>
          <w:shd w:val="clear" w:color="auto" w:fill="auto"/>
        </w:tcPr>
        <w:p w:rsidR="00E66E79" w:rsidRDefault="00E66E7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3000" w:type="dxa"/>
          <w:shd w:val="clear" w:color="auto" w:fill="auto"/>
        </w:tcPr>
        <w:p w:rsidR="00E66E79" w:rsidRDefault="003F33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095" w:type="dxa"/>
          <w:shd w:val="clear" w:color="auto" w:fill="auto"/>
          <w:vAlign w:val="center"/>
        </w:tcPr>
        <w:p w:rsidR="00E66E79" w:rsidRDefault="00EC237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XXXXXXXXXXXXXXXXXXXXXXXX</w:t>
          </w:r>
        </w:p>
      </w:tc>
    </w:tr>
    <w:tr w:rsidR="00E66E79">
      <w:trPr>
        <w:trHeight w:val="228"/>
      </w:trPr>
      <w:tc>
        <w:tcPr>
          <w:tcW w:w="3805" w:type="dxa"/>
          <w:vMerge/>
          <w:shd w:val="clear" w:color="auto" w:fill="auto"/>
        </w:tcPr>
        <w:p w:rsidR="00E66E79" w:rsidRDefault="00E66E7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3000" w:type="dxa"/>
          <w:shd w:val="clear" w:color="auto" w:fill="auto"/>
        </w:tcPr>
        <w:p w:rsidR="00E66E79" w:rsidRDefault="003F33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095" w:type="dxa"/>
          <w:shd w:val="clear" w:color="auto" w:fill="auto"/>
          <w:vAlign w:val="center"/>
        </w:tcPr>
        <w:p w:rsidR="00E66E79" w:rsidRDefault="003F333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Desarrollo Urbano y Obra</w:t>
          </w:r>
        </w:p>
      </w:tc>
    </w:tr>
    <w:tr w:rsidR="00E66E79">
      <w:tc>
        <w:tcPr>
          <w:tcW w:w="3805" w:type="dxa"/>
          <w:vMerge/>
          <w:shd w:val="clear" w:color="auto" w:fill="auto"/>
        </w:tcPr>
        <w:p w:rsidR="00E66E79" w:rsidRDefault="00E66E7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3000" w:type="dxa"/>
          <w:shd w:val="clear" w:color="auto" w:fill="auto"/>
        </w:tcPr>
        <w:p w:rsidR="00E66E79" w:rsidRDefault="003F33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095" w:type="dxa"/>
          <w:shd w:val="clear" w:color="auto" w:fill="auto"/>
        </w:tcPr>
        <w:p w:rsidR="00E66E79" w:rsidRDefault="00CB456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rsidR="00E66E79" w:rsidRDefault="00E66E79">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2DCB7888"/>
    <w:multiLevelType w:val="multilevel"/>
    <w:tmpl w:val="8CA40E8E"/>
    <w:lvl w:ilvl="0">
      <w:start w:val="1"/>
      <w:numFmt w:val="decimal"/>
      <w:lvlText w:val="%1."/>
      <w:lvlJc w:val="left"/>
      <w:pPr>
        <w:ind w:left="1920" w:hanging="360"/>
      </w:pPr>
      <w:rPr>
        <w:b/>
        <w:smallCaps/>
        <w:sz w:val="28"/>
        <w:szCs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F947948"/>
    <w:multiLevelType w:val="multilevel"/>
    <w:tmpl w:val="297017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4305D63"/>
    <w:multiLevelType w:val="multilevel"/>
    <w:tmpl w:val="DC9CE226"/>
    <w:lvl w:ilvl="0">
      <w:start w:val="1"/>
      <w:numFmt w:val="decimal"/>
      <w:lvlText w:val="%1."/>
      <w:lvlJc w:val="left"/>
      <w:pPr>
        <w:ind w:left="254" w:hanging="360"/>
      </w:pPr>
    </w:lvl>
    <w:lvl w:ilvl="1">
      <w:start w:val="1"/>
      <w:numFmt w:val="lowerLetter"/>
      <w:lvlText w:val="%2."/>
      <w:lvlJc w:val="left"/>
      <w:pPr>
        <w:ind w:left="974" w:hanging="360"/>
      </w:pPr>
    </w:lvl>
    <w:lvl w:ilvl="2">
      <w:start w:val="1"/>
      <w:numFmt w:val="lowerRoman"/>
      <w:lvlText w:val="%3."/>
      <w:lvlJc w:val="right"/>
      <w:pPr>
        <w:ind w:left="1694" w:hanging="180"/>
      </w:pPr>
    </w:lvl>
    <w:lvl w:ilvl="3">
      <w:start w:val="1"/>
      <w:numFmt w:val="decimal"/>
      <w:lvlText w:val="%4."/>
      <w:lvlJc w:val="left"/>
      <w:pPr>
        <w:ind w:left="2414" w:hanging="360"/>
      </w:pPr>
    </w:lvl>
    <w:lvl w:ilvl="4">
      <w:start w:val="1"/>
      <w:numFmt w:val="lowerLetter"/>
      <w:lvlText w:val="%5."/>
      <w:lvlJc w:val="left"/>
      <w:pPr>
        <w:ind w:left="3134" w:hanging="360"/>
      </w:pPr>
    </w:lvl>
    <w:lvl w:ilvl="5">
      <w:start w:val="1"/>
      <w:numFmt w:val="lowerRoman"/>
      <w:lvlText w:val="%6."/>
      <w:lvlJc w:val="right"/>
      <w:pPr>
        <w:ind w:left="3854" w:hanging="180"/>
      </w:pPr>
    </w:lvl>
    <w:lvl w:ilvl="6">
      <w:start w:val="1"/>
      <w:numFmt w:val="decimal"/>
      <w:lvlText w:val="%7."/>
      <w:lvlJc w:val="left"/>
      <w:pPr>
        <w:ind w:left="4574" w:hanging="360"/>
      </w:pPr>
    </w:lvl>
    <w:lvl w:ilvl="7">
      <w:start w:val="1"/>
      <w:numFmt w:val="lowerLetter"/>
      <w:lvlText w:val="%8."/>
      <w:lvlJc w:val="left"/>
      <w:pPr>
        <w:ind w:left="5294" w:hanging="360"/>
      </w:pPr>
    </w:lvl>
    <w:lvl w:ilvl="8">
      <w:start w:val="1"/>
      <w:numFmt w:val="lowerRoman"/>
      <w:lvlText w:val="%9."/>
      <w:lvlJc w:val="right"/>
      <w:pPr>
        <w:ind w:left="6014" w:hanging="180"/>
      </w:pPr>
    </w:lvl>
  </w:abstractNum>
  <w:abstractNum w:abstractNumId="4">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E79"/>
    <w:rsid w:val="00071801"/>
    <w:rsid w:val="00185FED"/>
    <w:rsid w:val="00227F31"/>
    <w:rsid w:val="00256B08"/>
    <w:rsid w:val="00394822"/>
    <w:rsid w:val="003F333B"/>
    <w:rsid w:val="0043748E"/>
    <w:rsid w:val="0050621A"/>
    <w:rsid w:val="005769BD"/>
    <w:rsid w:val="00595E00"/>
    <w:rsid w:val="005C58D6"/>
    <w:rsid w:val="00655532"/>
    <w:rsid w:val="006E3427"/>
    <w:rsid w:val="007006CB"/>
    <w:rsid w:val="007521C5"/>
    <w:rsid w:val="0080298C"/>
    <w:rsid w:val="00893543"/>
    <w:rsid w:val="008C34D7"/>
    <w:rsid w:val="008F267E"/>
    <w:rsid w:val="00970C73"/>
    <w:rsid w:val="009839E5"/>
    <w:rsid w:val="009D46D8"/>
    <w:rsid w:val="00BA661F"/>
    <w:rsid w:val="00C24A7F"/>
    <w:rsid w:val="00CB456A"/>
    <w:rsid w:val="00D8037B"/>
    <w:rsid w:val="00E40FF8"/>
    <w:rsid w:val="00E66E79"/>
    <w:rsid w:val="00E70439"/>
    <w:rsid w:val="00EC237C"/>
    <w:rsid w:val="00F915C7"/>
    <w:rsid w:val="00FF1D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697E166-2BD3-415B-8C9D-00FB16E7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7EE"/>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0" w:type="dxa"/>
        <w:left w:w="115" w:type="dxa"/>
        <w:bottom w:w="0" w:type="dxa"/>
        <w:right w:w="115" w:type="dxa"/>
      </w:tblCellMar>
    </w:tblPr>
  </w:style>
  <w:style w:type="table" w:customStyle="1" w:styleId="2">
    <w:name w:val="2"/>
    <w:basedOn w:val="TableNormal"/>
    <w:tblPr>
      <w:tblStyleRowBandSize w:val="1"/>
      <w:tblStyleColBandSize w:val="1"/>
      <w:tblCellMar>
        <w:top w:w="0" w:type="dxa"/>
        <w:left w:w="115" w:type="dxa"/>
        <w:bottom w:w="0" w:type="dxa"/>
        <w:right w:w="115" w:type="dxa"/>
      </w:tblCellMar>
    </w:tblPr>
  </w:style>
  <w:style w:type="table" w:customStyle="1" w:styleId="1">
    <w:name w:val="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55033">
      <w:bodyDiv w:val="1"/>
      <w:marLeft w:val="0"/>
      <w:marRight w:val="0"/>
      <w:marTop w:val="0"/>
      <w:marBottom w:val="0"/>
      <w:divBdr>
        <w:top w:val="none" w:sz="0" w:space="0" w:color="auto"/>
        <w:left w:val="none" w:sz="0" w:space="0" w:color="auto"/>
        <w:bottom w:val="none" w:sz="0" w:space="0" w:color="auto"/>
        <w:right w:val="none" w:sz="0" w:space="0" w:color="auto"/>
      </w:divBdr>
    </w:div>
    <w:div w:id="1687752117">
      <w:bodyDiv w:val="1"/>
      <w:marLeft w:val="0"/>
      <w:marRight w:val="0"/>
      <w:marTop w:val="0"/>
      <w:marBottom w:val="0"/>
      <w:divBdr>
        <w:top w:val="none" w:sz="0" w:space="0" w:color="auto"/>
        <w:left w:val="none" w:sz="0" w:space="0" w:color="auto"/>
        <w:bottom w:val="none" w:sz="0" w:space="0" w:color="auto"/>
        <w:right w:val="none" w:sz="0" w:space="0" w:color="auto"/>
      </w:divBdr>
    </w:div>
    <w:div w:id="1997876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EjFe5Mgy92NLtYojQVzbx1KnIQ==">AMUW2mW0LoGTqHCzWKNLTwhW2iXD1trnGTJO1HnHzAmk132IAZStcIjE6cbA5ILpi4VlmsYN9Y1uLZmL7aClZJcllgcgGmNfHz+t/UvMhgaajEtBWzLVlebOMX9FGY8inHe6okAUR5z9bXfOUhblwD6DGU6zVCAS20fd8gvgRP8vSwoMs9epQb3FAuVQyVDHpcOP5+rHAk4XvF6w1k2rPDVYFWGf2Yu1SAEaqySYAJ/1Y4R2sxaYLHNiBoGUZ4/05z8RKcFEFF6LdkDajvLdN1m/C8HVSTZm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39</Pages>
  <Words>7155</Words>
  <Characters>39358</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cp:lastModifiedBy>USUARIO</cp:lastModifiedBy>
  <cp:revision>18</cp:revision>
  <dcterms:created xsi:type="dcterms:W3CDTF">2022-06-27T22:34:00Z</dcterms:created>
  <dcterms:modified xsi:type="dcterms:W3CDTF">2022-07-13T14:38:00Z</dcterms:modified>
</cp:coreProperties>
</file>