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A69" w:rsidRDefault="008D3623">
      <w:pPr>
        <w:spacing w:before="120" w:after="12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dieciséis de marzo de dos mil veintidós.</w:t>
      </w:r>
    </w:p>
    <w:p w:rsidR="00891A69" w:rsidRDefault="008D3623">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00869/INFOEM/IP/RR/2022</w:t>
      </w:r>
      <w:r>
        <w:rPr>
          <w:rFonts w:ascii="Palatino Linotype" w:eastAsia="Palatino Linotype" w:hAnsi="Palatino Linotype" w:cs="Palatino Linotype"/>
          <w:sz w:val="24"/>
          <w:szCs w:val="24"/>
        </w:rPr>
        <w:t xml:space="preserve">, interpuesto por </w:t>
      </w:r>
      <w:r>
        <w:rPr>
          <w:rFonts w:ascii="Palatino Linotype" w:eastAsia="Palatino Linotype" w:hAnsi="Palatino Linotype" w:cs="Palatino Linotype"/>
          <w:b/>
          <w:sz w:val="24"/>
          <w:szCs w:val="24"/>
        </w:rPr>
        <w:t xml:space="preserve">XXXXX </w:t>
      </w:r>
      <w:proofErr w:type="spellStart"/>
      <w:r>
        <w:rPr>
          <w:rFonts w:ascii="Palatino Linotype" w:eastAsia="Palatino Linotype" w:hAnsi="Palatino Linotype" w:cs="Palatino Linotype"/>
          <w:b/>
          <w:sz w:val="24"/>
          <w:szCs w:val="24"/>
        </w:rPr>
        <w:t>XXXXX</w:t>
      </w:r>
      <w:proofErr w:type="spellEnd"/>
      <w:r>
        <w:rPr>
          <w:rFonts w:ascii="Palatino Linotype" w:eastAsia="Palatino Linotype" w:hAnsi="Palatino Linotype" w:cs="Palatino Linotype"/>
          <w:sz w:val="24"/>
          <w:szCs w:val="24"/>
        </w:rPr>
        <w:t>, en lo sucesivo se le denominara el</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en contra de la respuesta a la solicitud de información con número de folio </w:t>
      </w:r>
      <w:r>
        <w:rPr>
          <w:rFonts w:ascii="Palatino Linotype" w:eastAsia="Palatino Linotype" w:hAnsi="Palatino Linotype" w:cs="Palatino Linotype"/>
          <w:b/>
          <w:sz w:val="24"/>
          <w:szCs w:val="24"/>
        </w:rPr>
        <w:t>00034/CHIMALHU/IP/2022,</w:t>
      </w:r>
      <w:r>
        <w:rPr>
          <w:rFonts w:ascii="Palatino Linotype" w:eastAsia="Palatino Linotype" w:hAnsi="Palatino Linotype" w:cs="Palatino Linotype"/>
          <w:sz w:val="24"/>
          <w:szCs w:val="24"/>
        </w:rPr>
        <w:t xml:space="preserve"> por parte del</w:t>
      </w:r>
      <w:r>
        <w:rPr>
          <w:rFonts w:ascii="Palatino Linotype" w:eastAsia="Palatino Linotype" w:hAnsi="Palatino Linotype" w:cs="Palatino Linotype"/>
          <w:b/>
          <w:sz w:val="24"/>
          <w:szCs w:val="24"/>
        </w:rPr>
        <w:t xml:space="preserve"> Ayuntamiento de Chimalhuacán</w:t>
      </w:r>
      <w:r>
        <w:rPr>
          <w:rFonts w:ascii="Palatino Linotype" w:eastAsia="Palatino Linotype" w:hAnsi="Palatino Linotype" w:cs="Palatino Linotype"/>
          <w:sz w:val="24"/>
          <w:szCs w:val="24"/>
        </w:rPr>
        <w:t>, en lo sucesivo</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 xml:space="preserve">se procede a dictar la presente resolución, con base en lo siguiente. </w:t>
      </w:r>
    </w:p>
    <w:p w:rsidR="00891A69" w:rsidRDefault="008D3623">
      <w:pPr>
        <w:spacing w:before="240" w:after="240" w:line="360" w:lineRule="auto"/>
        <w:jc w:val="center"/>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AN T E C E D E N T E S   </w:t>
      </w:r>
    </w:p>
    <w:p w:rsidR="00891A69" w:rsidRDefault="008D362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SOLICITUD DE INFORMACIÓN.</w:t>
      </w:r>
      <w:r>
        <w:rPr>
          <w:rFonts w:ascii="Palatino Linotype" w:eastAsia="Palatino Linotype" w:hAnsi="Palatino Linotype" w:cs="Palatino Linotype"/>
          <w:sz w:val="24"/>
          <w:szCs w:val="24"/>
        </w:rPr>
        <w:t xml:space="preserve"> Con fecha veintiséis de enero de dos mil veintidós,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Verdana" w:eastAsia="Verdana" w:hAnsi="Verdana" w:cs="Verdana"/>
          <w:b/>
          <w:color w:val="FF0000"/>
        </w:rPr>
        <w:t> </w:t>
      </w:r>
      <w:r>
        <w:rPr>
          <w:rFonts w:ascii="Palatino Linotype" w:eastAsia="Palatino Linotype" w:hAnsi="Palatino Linotype" w:cs="Palatino Linotype"/>
          <w:b/>
          <w:sz w:val="24"/>
          <w:szCs w:val="24"/>
        </w:rPr>
        <w:t>00034/CHIMALHU/IP/2022</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información en el tenor siguiente:</w:t>
      </w:r>
    </w:p>
    <w:p w:rsidR="00891A69" w:rsidRDefault="008D3623">
      <w:pPr>
        <w:spacing w:before="240"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“Solicito el nombre de la Directora del Sistema para el Desarrollo Integran de la Familia (DIF) Chimalhuacán, así como el nombre de la presidenta del mismo organismo, y el nombre de las o los titulares de todos y cada </w:t>
      </w:r>
      <w:proofErr w:type="spellStart"/>
      <w:r>
        <w:rPr>
          <w:rFonts w:ascii="Palatino Linotype" w:eastAsia="Palatino Linotype" w:hAnsi="Palatino Linotype" w:cs="Palatino Linotype"/>
          <w:i/>
          <w:color w:val="000000"/>
        </w:rPr>
        <w:t>unos</w:t>
      </w:r>
      <w:proofErr w:type="spellEnd"/>
      <w:r>
        <w:rPr>
          <w:rFonts w:ascii="Palatino Linotype" w:eastAsia="Palatino Linotype" w:hAnsi="Palatino Linotype" w:cs="Palatino Linotype"/>
          <w:i/>
          <w:color w:val="000000"/>
        </w:rPr>
        <w:t xml:space="preserve"> de los Centros de Desarrollo Comunitario (CDC) del Municipio, así como la ubicación de los mismos.”. (Sic)</w:t>
      </w:r>
    </w:p>
    <w:p w:rsidR="00891A69" w:rsidRDefault="008D3623">
      <w:pPr>
        <w:spacing w:after="0" w:line="360" w:lineRule="auto"/>
        <w:ind w:right="850"/>
        <w:jc w:val="both"/>
        <w:rPr>
          <w:rFonts w:ascii="Palatino Linotype" w:eastAsia="Palatino Linotype" w:hAnsi="Palatino Linotype" w:cs="Palatino Linotype"/>
          <w:sz w:val="24"/>
          <w:szCs w:val="24"/>
        </w:rPr>
        <w:sectPr w:rsidR="00891A69">
          <w:headerReference w:type="default" r:id="rId8"/>
          <w:footerReference w:type="default" r:id="rId9"/>
          <w:pgSz w:w="12240" w:h="15840"/>
          <w:pgMar w:top="1417" w:right="1701" w:bottom="1417" w:left="1701" w:header="708" w:footer="708" w:gutter="0"/>
          <w:pgNumType w:start="1"/>
          <w:cols w:space="720"/>
        </w:sectPr>
      </w:pPr>
      <w:r>
        <w:rPr>
          <w:rFonts w:ascii="Palatino Linotype" w:eastAsia="Palatino Linotype" w:hAnsi="Palatino Linotype" w:cs="Palatino Linotype"/>
          <w:b/>
          <w:sz w:val="24"/>
          <w:szCs w:val="24"/>
        </w:rPr>
        <w:t>Modalidad de entrega:</w:t>
      </w:r>
      <w:r>
        <w:rPr>
          <w:rFonts w:ascii="Palatino Linotype" w:eastAsia="Palatino Linotype" w:hAnsi="Palatino Linotype" w:cs="Palatino Linotype"/>
          <w:sz w:val="24"/>
          <w:szCs w:val="24"/>
        </w:rPr>
        <w:t xml:space="preserve">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rsidR="00891A69" w:rsidRDefault="008D362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2. RESPUESTA. </w:t>
      </w:r>
      <w:r>
        <w:rPr>
          <w:rFonts w:ascii="Palatino Linotype" w:eastAsia="Palatino Linotype" w:hAnsi="Palatino Linotype" w:cs="Palatino Linotype"/>
          <w:sz w:val="24"/>
          <w:szCs w:val="24"/>
        </w:rPr>
        <w:t xml:space="preserve">Con fecha once de febrero de dos mil veintidós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rsidR="00891A69" w:rsidRDefault="008D3623">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91A69" w:rsidRDefault="008D3623">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Se proporciona los nombres de los servidores </w:t>
      </w:r>
      <w:proofErr w:type="gramStart"/>
      <w:r>
        <w:rPr>
          <w:rFonts w:ascii="Palatino Linotype" w:eastAsia="Palatino Linotype" w:hAnsi="Palatino Linotype" w:cs="Palatino Linotype"/>
          <w:i/>
          <w:color w:val="000000"/>
        </w:rPr>
        <w:t>públicos</w:t>
      </w:r>
      <w:proofErr w:type="gramEnd"/>
      <w:r>
        <w:rPr>
          <w:rFonts w:ascii="Palatino Linotype" w:eastAsia="Palatino Linotype" w:hAnsi="Palatino Linotype" w:cs="Palatino Linotype"/>
          <w:i/>
          <w:color w:val="000000"/>
        </w:rPr>
        <w:t xml:space="preserve"> así como las ubicaciones de los Centros. Saludos.</w:t>
      </w:r>
    </w:p>
    <w:p w:rsidR="00891A69" w:rsidRDefault="008D3623">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ATENTAMENTE</w:t>
      </w:r>
    </w:p>
    <w:p w:rsidR="00891A69" w:rsidRDefault="008D3623">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 DIANA KAREN GRACIA HERNANDEZ” (Sic)</w:t>
      </w:r>
    </w:p>
    <w:p w:rsidR="00891A69" w:rsidRDefault="00891A69">
      <w:pPr>
        <w:ind w:left="851" w:right="902"/>
        <w:jc w:val="both"/>
        <w:rPr>
          <w:rFonts w:ascii="Palatino Linotype" w:eastAsia="Palatino Linotype" w:hAnsi="Palatino Linotype" w:cs="Palatino Linotype"/>
          <w:i/>
        </w:rPr>
      </w:pPr>
    </w:p>
    <w:p w:rsidR="00891A69" w:rsidRDefault="008D3623">
      <w:pPr>
        <w:spacing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Sujeto Obligado adjuntó a su respuesta el archivo electrónico denominado: “</w:t>
      </w:r>
      <w:hyperlink r:id="rId10">
        <w:r>
          <w:rPr>
            <w:rFonts w:ascii="Palatino Linotype" w:eastAsia="Palatino Linotype" w:hAnsi="Palatino Linotype" w:cs="Palatino Linotype"/>
            <w:sz w:val="24"/>
            <w:szCs w:val="24"/>
          </w:rPr>
          <w:t>00034CHIMALHUIP2022.pdf</w:t>
        </w:r>
      </w:hyperlink>
      <w:r>
        <w:rPr>
          <w:rFonts w:ascii="Palatino Linotype" w:eastAsia="Palatino Linotype" w:hAnsi="Palatino Linotype" w:cs="Palatino Linotype"/>
          <w:sz w:val="24"/>
          <w:szCs w:val="24"/>
        </w:rPr>
        <w:t>”, el cual contiene los nombres de las o los titulares de todos y cada uno de los Centros de Desarrollo Comunitario (CDC) del Municipio, así como la ubicación de los mismos</w:t>
      </w:r>
      <w:r>
        <w:rPr>
          <w:rFonts w:ascii="Palatino Linotype" w:eastAsia="Palatino Linotype" w:hAnsi="Palatino Linotype" w:cs="Palatino Linotype"/>
        </w:rPr>
        <w:t>.</w:t>
      </w:r>
    </w:p>
    <w:p w:rsidR="00891A69" w:rsidRDefault="008D3623">
      <w:pPr>
        <w:spacing w:before="120" w:after="120" w:line="360" w:lineRule="auto"/>
        <w:ind w:right="-234"/>
        <w:jc w:val="both"/>
        <w:rPr>
          <w:rFonts w:ascii="Palatino Linotype" w:eastAsia="Palatino Linotype" w:hAnsi="Palatino Linotype" w:cs="Palatino Linotype"/>
          <w:b/>
          <w:sz w:val="24"/>
          <w:szCs w:val="24"/>
        </w:rPr>
      </w:pPr>
      <w:bookmarkStart w:id="1" w:name="_heading=h.30j0zll" w:colFirst="0" w:colLast="0"/>
      <w:bookmarkEnd w:id="1"/>
      <w:r>
        <w:rPr>
          <w:rFonts w:ascii="Palatino Linotype" w:eastAsia="Palatino Linotype" w:hAnsi="Palatino Linotype" w:cs="Palatino Linotype"/>
          <w:b/>
          <w:sz w:val="24"/>
          <w:szCs w:val="24"/>
        </w:rPr>
        <w:t xml:space="preserve">3. DEL RECURSO DE REVISIÓN. </w:t>
      </w:r>
      <w:r>
        <w:rPr>
          <w:rFonts w:ascii="Palatino Linotype" w:eastAsia="Palatino Linotype" w:hAnsi="Palatino Linotype" w:cs="Palatino Linotype"/>
          <w:sz w:val="24"/>
          <w:szCs w:val="24"/>
        </w:rPr>
        <w:t xml:space="preserve">Inconforme con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EL RECURRENTE </w:t>
      </w:r>
      <w:r>
        <w:rPr>
          <w:rFonts w:ascii="Palatino Linotype" w:eastAsia="Palatino Linotype" w:hAnsi="Palatino Linotype" w:cs="Palatino Linotype"/>
          <w:sz w:val="24"/>
          <w:szCs w:val="24"/>
        </w:rPr>
        <w:t>interpuso el recurso de revisión, en fecha quince de febrero de dos mil veintidós,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Pr>
          <w:rFonts w:ascii="Palatino Linotype" w:eastAsia="Palatino Linotype" w:hAnsi="Palatino Linotype" w:cs="Palatino Linotype"/>
          <w:b/>
          <w:color w:val="000000"/>
          <w:sz w:val="24"/>
          <w:szCs w:val="24"/>
        </w:rPr>
        <w:t>00869/INFOEM/IP/RR/2022</w:t>
      </w:r>
      <w:r>
        <w:rPr>
          <w:rFonts w:ascii="Palatino Linotype" w:eastAsia="Palatino Linotype" w:hAnsi="Palatino Linotype" w:cs="Palatino Linotype"/>
          <w:sz w:val="24"/>
          <w:szCs w:val="24"/>
        </w:rPr>
        <w:t>, en el cual manifiesta, lo siguiente:</w:t>
      </w:r>
    </w:p>
    <w:p w:rsidR="00891A69" w:rsidRDefault="008D3623">
      <w:pPr>
        <w:numPr>
          <w:ilvl w:val="0"/>
          <w:numId w:val="1"/>
        </w:numPr>
        <w:pBdr>
          <w:top w:val="nil"/>
          <w:left w:val="nil"/>
          <w:bottom w:val="nil"/>
          <w:right w:val="nil"/>
          <w:between w:val="nil"/>
        </w:pBdr>
        <w:spacing w:before="120" w:after="12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Acto Impugnado:</w:t>
      </w:r>
    </w:p>
    <w:p w:rsidR="00891A69" w:rsidRDefault="008D3623">
      <w:pPr>
        <w:pBdr>
          <w:top w:val="nil"/>
          <w:left w:val="nil"/>
          <w:bottom w:val="nil"/>
          <w:right w:val="nil"/>
          <w:between w:val="nil"/>
        </w:pBdr>
        <w:spacing w:before="120" w:after="0" w:line="360" w:lineRule="auto"/>
        <w:ind w:left="72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“LA FALTA DE INFORMACIÓN” [Sic]</w:t>
      </w:r>
    </w:p>
    <w:p w:rsidR="00891A69" w:rsidRDefault="008D3623">
      <w:pPr>
        <w:numPr>
          <w:ilvl w:val="0"/>
          <w:numId w:val="1"/>
        </w:numPr>
        <w:pBdr>
          <w:top w:val="nil"/>
          <w:left w:val="nil"/>
          <w:bottom w:val="nil"/>
          <w:right w:val="nil"/>
          <w:between w:val="nil"/>
        </w:pBdr>
        <w:spacing w:after="12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Razones o Motivos de Inconformidad</w:t>
      </w:r>
      <w:r>
        <w:rPr>
          <w:rFonts w:ascii="Palatino Linotype" w:eastAsia="Palatino Linotype" w:hAnsi="Palatino Linotype" w:cs="Palatino Linotype"/>
          <w:color w:val="000000"/>
          <w:sz w:val="24"/>
          <w:szCs w:val="24"/>
        </w:rPr>
        <w:t>:</w:t>
      </w:r>
    </w:p>
    <w:p w:rsidR="00891A69" w:rsidRDefault="008D3623">
      <w:pPr>
        <w:pBdr>
          <w:top w:val="nil"/>
          <w:left w:val="nil"/>
          <w:bottom w:val="nil"/>
          <w:right w:val="nil"/>
          <w:between w:val="nil"/>
        </w:pBdr>
        <w:spacing w:before="120" w:after="120" w:line="360" w:lineRule="auto"/>
        <w:ind w:left="72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lastRenderedPageBreak/>
        <w:t xml:space="preserve"> “VIOLA MI DERECHO HUMANO DE ACCESO A LA INFORMACIÓN PÚBLICA CONSAGRADO EN LA CONSTITUCIÓN POLITICA DE LOS ESTADOS UNIDOS MEXICANOS” [Sic]</w:t>
      </w:r>
    </w:p>
    <w:p w:rsidR="00891A69" w:rsidRDefault="008D3623">
      <w:pPr>
        <w:spacing w:before="120" w:after="120" w:line="360" w:lineRule="auto"/>
        <w:jc w:val="both"/>
        <w:rPr>
          <w:rFonts w:ascii="Palatino Linotype" w:eastAsia="Palatino Linotype" w:hAnsi="Palatino Linotype" w:cs="Palatino Linotype"/>
          <w:b/>
          <w:sz w:val="28"/>
          <w:szCs w:val="28"/>
        </w:rPr>
      </w:pPr>
      <w:bookmarkStart w:id="2" w:name="_heading=h.1fob9te" w:colFirst="0" w:colLast="0"/>
      <w:bookmarkEnd w:id="2"/>
      <w:r>
        <w:rPr>
          <w:rFonts w:ascii="Palatino Linotype" w:eastAsia="Palatino Linotype" w:hAnsi="Palatino Linotype" w:cs="Palatino Linotype"/>
          <w:b/>
          <w:sz w:val="28"/>
          <w:szCs w:val="28"/>
        </w:rPr>
        <w:t xml:space="preserve">4. TURNO. </w:t>
      </w:r>
      <w:r>
        <w:rPr>
          <w:rFonts w:ascii="Palatino Linotype" w:eastAsia="Palatino Linotype" w:hAnsi="Palatino Linotype" w:cs="Palatino Linotype"/>
          <w:sz w:val="24"/>
          <w:szCs w:val="24"/>
        </w:rPr>
        <w:t xml:space="preserve">De conformidad con el artículo 185 Fracción I </w:t>
      </w:r>
      <w:r>
        <w:rPr>
          <w:rFonts w:ascii="Palatino Linotype" w:eastAsia="Palatino Linotype" w:hAnsi="Palatino Linotype" w:cs="Palatino Linotype"/>
          <w:sz w:val="24"/>
          <w:szCs w:val="24"/>
          <w:highlight w:val="white"/>
        </w:rPr>
        <w:t>de la Ley Transparencia y Acceso a la Información Pública</w:t>
      </w:r>
      <w:r>
        <w:rPr>
          <w:rFonts w:ascii="Palatino Linotype" w:eastAsia="Palatino Linotype" w:hAnsi="Palatino Linotype" w:cs="Palatino Linotype"/>
          <w:sz w:val="24"/>
          <w:szCs w:val="24"/>
        </w:rPr>
        <w:t>, el recurso de revisión número</w:t>
      </w:r>
      <w:r>
        <w:rPr>
          <w:rFonts w:ascii="Palatino Linotype" w:eastAsia="Palatino Linotype" w:hAnsi="Palatino Linotype" w:cs="Palatino Linotype"/>
          <w:b/>
          <w:sz w:val="24"/>
          <w:szCs w:val="24"/>
        </w:rPr>
        <w:t xml:space="preserve"> 00869/INFOEM/IP/RR/2022 </w:t>
      </w:r>
      <w:r>
        <w:rPr>
          <w:rFonts w:ascii="Palatino Linotype" w:eastAsia="Palatino Linotype" w:hAnsi="Palatino Linotype" w:cs="Palatino Linotype"/>
          <w:sz w:val="24"/>
          <w:szCs w:val="24"/>
        </w:rPr>
        <w:t xml:space="preserve">fue turnado en fecha quince de febrero de dos mil veintidós a la Comisionada Ponente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a efecto de presentar al Pleno el proyecto de resolución correspondiente.</w:t>
      </w:r>
    </w:p>
    <w:p w:rsidR="00891A69" w:rsidRDefault="008D3623">
      <w:pPr>
        <w:spacing w:before="120" w:after="120" w:line="360" w:lineRule="auto"/>
        <w:jc w:val="both"/>
        <w:rPr>
          <w:rFonts w:ascii="Palatino Linotype" w:eastAsia="Palatino Linotype" w:hAnsi="Palatino Linotype" w:cs="Palatino Linotype"/>
          <w:b/>
          <w:sz w:val="24"/>
          <w:szCs w:val="24"/>
        </w:rPr>
      </w:pPr>
      <w:bookmarkStart w:id="3" w:name="_heading=h.3znysh7" w:colFirst="0" w:colLast="0"/>
      <w:bookmarkEnd w:id="3"/>
      <w:r>
        <w:rPr>
          <w:rFonts w:ascii="Palatino Linotype" w:eastAsia="Palatino Linotype" w:hAnsi="Palatino Linotype" w:cs="Palatino Linotype"/>
          <w:b/>
          <w:sz w:val="24"/>
          <w:szCs w:val="24"/>
        </w:rPr>
        <w:t xml:space="preserve">5. ADMISIÓN. </w:t>
      </w:r>
      <w:r>
        <w:rPr>
          <w:rFonts w:ascii="Palatino Linotype" w:eastAsia="Palatino Linotype" w:hAnsi="Palatino Linotype" w:cs="Palatino Linotype"/>
          <w:sz w:val="24"/>
          <w:szCs w:val="24"/>
        </w:rPr>
        <w:t>En fecha diecinueve de febrero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891A69" w:rsidRDefault="008D3623">
      <w:pPr>
        <w:spacing w:before="240" w:after="240" w:line="360" w:lineRule="auto"/>
        <w:jc w:val="both"/>
        <w:rPr>
          <w:rFonts w:ascii="Palatino Linotype" w:eastAsia="Palatino Linotype" w:hAnsi="Palatino Linotype" w:cs="Palatino Linotype"/>
          <w:sz w:val="24"/>
          <w:szCs w:val="24"/>
        </w:rPr>
      </w:pPr>
      <w:bookmarkStart w:id="4" w:name="_heading=h.2et92p0" w:colFirst="0" w:colLast="0"/>
      <w:bookmarkEnd w:id="4"/>
      <w:r>
        <w:rPr>
          <w:rFonts w:ascii="Palatino Linotype" w:eastAsia="Palatino Linotype" w:hAnsi="Palatino Linotype" w:cs="Palatino Linotype"/>
          <w:b/>
          <w:sz w:val="28"/>
          <w:szCs w:val="28"/>
        </w:rPr>
        <w:t xml:space="preserve">6. </w:t>
      </w:r>
      <w:r>
        <w:rPr>
          <w:rFonts w:ascii="Palatino Linotype" w:eastAsia="Palatino Linotype" w:hAnsi="Palatino Linotype" w:cs="Palatino Linotype"/>
          <w:b/>
          <w:sz w:val="24"/>
          <w:szCs w:val="24"/>
        </w:rPr>
        <w:t>INFORME JUSTIFICADO O MANIFESTACIONES</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sz w:val="24"/>
          <w:szCs w:val="24"/>
        </w:rPr>
        <w:t xml:space="preserve">De las constancias que obran en el expediente electrónico del SAIMEX se desprende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rindió su informe justificado, del mismo modo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fecha veintiuno de febrero del año en curso adjunto el archivo electrónico “</w:t>
      </w:r>
      <w:hyperlink r:id="rId11">
        <w:r>
          <w:rPr>
            <w:rFonts w:ascii="Palatino Linotype" w:eastAsia="Palatino Linotype" w:hAnsi="Palatino Linotype" w:cs="Palatino Linotype"/>
            <w:sz w:val="24"/>
            <w:szCs w:val="24"/>
          </w:rPr>
          <w:t>DESISTIMIENTO AL RR.pdf</w:t>
        </w:r>
      </w:hyperlink>
      <w:r>
        <w:rPr>
          <w:rFonts w:ascii="Palatino Linotype" w:eastAsia="Palatino Linotype" w:hAnsi="Palatino Linotype" w:cs="Palatino Linotype"/>
          <w:sz w:val="24"/>
          <w:szCs w:val="24"/>
        </w:rPr>
        <w:t xml:space="preserve">”, el cual contiene el desistimiento del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el presente asunto, como se observa en la siguiente imagen:</w:t>
      </w:r>
    </w:p>
    <w:p w:rsidR="00891A69" w:rsidRDefault="008D3623">
      <w:pPr>
        <w:spacing w:before="240" w:after="240" w:line="360" w:lineRule="auto"/>
        <w:jc w:val="both"/>
        <w:rPr>
          <w:rFonts w:ascii="Palatino Linotype" w:eastAsia="Palatino Linotype" w:hAnsi="Palatino Linotype" w:cs="Palatino Linotype"/>
          <w:sz w:val="24"/>
          <w:szCs w:val="24"/>
        </w:rPr>
      </w:pPr>
      <w:r>
        <w:rPr>
          <w:noProof/>
          <w:lang w:val="en-US" w:eastAsia="en-US"/>
        </w:rPr>
        <w:lastRenderedPageBreak/>
        <w:drawing>
          <wp:inline distT="0" distB="0" distL="0" distR="0">
            <wp:extent cx="5334000" cy="14605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23987" t="29571" r="24531" b="39247"/>
                    <a:stretch>
                      <a:fillRect/>
                    </a:stretch>
                  </pic:blipFill>
                  <pic:spPr>
                    <a:xfrm>
                      <a:off x="0" y="0"/>
                      <a:ext cx="5334000" cy="1460500"/>
                    </a:xfrm>
                    <a:prstGeom prst="rect">
                      <a:avLst/>
                    </a:prstGeom>
                    <a:ln/>
                  </pic:spPr>
                </pic:pic>
              </a:graphicData>
            </a:graphic>
          </wp:inline>
        </w:drawing>
      </w:r>
    </w:p>
    <w:p w:rsidR="00891A69" w:rsidRDefault="008D3623">
      <w:pPr>
        <w:spacing w:after="0" w:line="360" w:lineRule="auto"/>
        <w:jc w:val="both"/>
        <w:rPr>
          <w:rFonts w:ascii="Palatino Linotype" w:eastAsia="Palatino Linotype" w:hAnsi="Palatino Linotype" w:cs="Palatino Linotype"/>
          <w:sz w:val="23"/>
          <w:szCs w:val="23"/>
        </w:rPr>
      </w:pPr>
      <w:bookmarkStart w:id="5" w:name="_heading=h.tyjcwt" w:colFirst="0" w:colLast="0"/>
      <w:bookmarkEnd w:id="5"/>
      <w:r>
        <w:rPr>
          <w:rFonts w:ascii="Palatino Linotype" w:eastAsia="Palatino Linotype" w:hAnsi="Palatino Linotype" w:cs="Palatino Linotype"/>
          <w:b/>
          <w:sz w:val="26"/>
          <w:szCs w:val="26"/>
        </w:rPr>
        <w:t xml:space="preserve">7. DEL DESISTIMIENTO DEL RECURSO DE REVISIÓN. </w:t>
      </w:r>
      <w:r>
        <w:rPr>
          <w:rFonts w:ascii="Palatino Linotype" w:eastAsia="Palatino Linotype" w:hAnsi="Palatino Linotype" w:cs="Palatino Linotype"/>
          <w:sz w:val="23"/>
          <w:szCs w:val="23"/>
        </w:rPr>
        <w:t xml:space="preserve">El día veintiuno de febrero del año en curso, en el detalle de seguimiento de solicitud, se aprecia que el hoy </w:t>
      </w:r>
      <w:r>
        <w:rPr>
          <w:rFonts w:ascii="Palatino Linotype" w:eastAsia="Palatino Linotype" w:hAnsi="Palatino Linotype" w:cs="Palatino Linotype"/>
          <w:b/>
          <w:sz w:val="23"/>
          <w:szCs w:val="23"/>
        </w:rPr>
        <w:t>RECURRENTE</w:t>
      </w:r>
      <w:r>
        <w:rPr>
          <w:rFonts w:ascii="Palatino Linotype" w:eastAsia="Palatino Linotype" w:hAnsi="Palatino Linotype" w:cs="Palatino Linotype"/>
          <w:sz w:val="23"/>
          <w:szCs w:val="23"/>
        </w:rPr>
        <w:t xml:space="preserve"> se desistió del recurso de revisión que nos ocupa, expresando lo siguiente:</w:t>
      </w:r>
    </w:p>
    <w:p w:rsidR="00891A69" w:rsidRDefault="00891A69">
      <w:pPr>
        <w:spacing w:after="0" w:line="360" w:lineRule="auto"/>
        <w:jc w:val="both"/>
      </w:pPr>
    </w:p>
    <w:p w:rsidR="00891A69" w:rsidRDefault="00907EDF">
      <w:pPr>
        <w:spacing w:after="0" w:line="360" w:lineRule="auto"/>
        <w:jc w:val="both"/>
        <w:rPr>
          <w:rFonts w:ascii="Palatino Linotype" w:eastAsia="Palatino Linotype" w:hAnsi="Palatino Linotype" w:cs="Palatino Linotype"/>
          <w:sz w:val="23"/>
          <w:szCs w:val="23"/>
        </w:rPr>
      </w:pPr>
      <w:r>
        <w:rPr>
          <w:noProof/>
          <w:lang w:val="en-US" w:eastAsia="en-US"/>
        </w:rPr>
        <mc:AlternateContent>
          <mc:Choice Requires="wps">
            <w:drawing>
              <wp:anchor distT="0" distB="0" distL="114300" distR="114300" simplePos="0" relativeHeight="251658240" behindDoc="0" locked="0" layoutInCell="1" hidden="0" allowOverlap="1" wp14:anchorId="2FE0FAE6" wp14:editId="650628A3">
                <wp:simplePos x="0" y="0"/>
                <wp:positionH relativeFrom="column">
                  <wp:posOffset>4603750</wp:posOffset>
                </wp:positionH>
                <wp:positionV relativeFrom="paragraph">
                  <wp:posOffset>2777490</wp:posOffset>
                </wp:positionV>
                <wp:extent cx="689996" cy="673100"/>
                <wp:effectExtent l="0" t="0" r="0" b="0"/>
                <wp:wrapNone/>
                <wp:docPr id="10" name=""/>
                <wp:cNvGraphicFramePr/>
                <a:graphic xmlns:a="http://schemas.openxmlformats.org/drawingml/2006/main">
                  <a:graphicData uri="http://schemas.microsoft.com/office/word/2010/wordprocessingShape">
                    <wps:wsp>
                      <wps:cNvSpPr/>
                      <wps:spPr>
                        <a:xfrm rot="5400000">
                          <a:off x="0" y="0"/>
                          <a:ext cx="689996" cy="673100"/>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891A69" w:rsidRDefault="00891A69">
                            <w:pPr>
                              <w:spacing w:after="0" w:line="240" w:lineRule="auto"/>
                              <w:textDirection w:val="btLr"/>
                            </w:pPr>
                            <w:bookmarkStart w:id="6" w:name="_GoBack"/>
                            <w:bookmarkEnd w:id="6"/>
                          </w:p>
                        </w:txbxContent>
                      </wps:txbx>
                      <wps:bodyPr spcFirstLastPara="1" wrap="square" lIns="91425" tIns="91425" rIns="91425" bIns="91425" anchor="ctr" anchorCtr="0">
                        <a:noAutofit/>
                      </wps:bodyPr>
                    </wps:wsp>
                  </a:graphicData>
                </a:graphic>
              </wp:anchor>
            </w:drawing>
          </mc:Choice>
          <mc:Fallback>
            <w:pict>
              <v:shapetype w14:anchorId="2FE0FAE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left:0;text-align:left;margin-left:362.5pt;margin-top:218.7pt;width:54.35pt;height:53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dUQIAAMQEAAAOAAAAZHJzL2Uyb0RvYy54bWysVNuO2jAQfa/Uf7D8XkJgYQERVqulVJVW&#10;LdK2HzA4NnHlW20vCX/fsZNStl2pUlUerBl7cubMmRnWd51W5MR9kNZUtByNKeGG2VqaY0W/ftm9&#10;W1ASIpgalDW8omce6N3m7Zt161Z8Yhurau4Jgpiwal1FmxjdqigCa7iGMLKOG3wU1muI6PpjUXto&#10;EV2rYjIez4vW+tp5y3gIeLvtH+km4wvBWfwsROCRqIoit5hPn89DOovNGlZHD66RbKAB/8BCgzSY&#10;9AK1hQjk2cs/oLRk3gYr4ohZXVghJOO5BqymHP9WzVMDjudaUJzgLjKF/wfLPp32nsgae4fyGNDY&#10;oyRK68IK357c3g9eQDNV2Amvibeo5OxmnH65bqyEdFnW80VW3kXC8HK+WC6Xc0oYPs1vpyV+gphF&#10;D5UgnQ/xA7eaJKOiiot4771tMzKcHkPM0tYDP6i/lZQIrbBTJ1Bklln0nbyKmbwag2kHRLR+Jk7w&#10;wSpZ76RS2Unzxx+UJ5igosAYN7EcaL+IVIa0KN7kFqsiDHCEhYKIpnYoajDHXMSLT4I/Hi7Q03I2&#10;XexeQ07kthCankJGSGGw0jLiziipK7roO5CvGw71e1OTeHbYRIPrRhO1oClRHJcTjRwXQaq/x6E6&#10;ymCX0iD0rU9W7A4dgiTzYOszjk5wbCeR6SOEuAePLcHetLhQmPD7M3gkoT4anNhleTOZ4QZeO/7a&#10;OVw7YFhjcU9Z9JT0zkPMe5sUMPb+OVohI3LJDHsyg4OrksdrWOu0i9d+jvr157P5AQAA//8DAFBL&#10;AwQUAAYACAAAACEAEccRi+AAAAALAQAADwAAAGRycy9kb3ducmV2LnhtbEyPwU6DQBCG7ya+w2ZM&#10;vNlFugKhLI1p0tTEi0UfYAtTIGVnCbtt0ad3PNnjzHz55/uL9WwHccHJ9440PC8iEEi1a3pqNXx9&#10;bp8yED4YaszgCDV8o4d1eX9XmLxxV9rjpQqt4BDyudHQhTDmUvq6Q2v8wo1IfDu6yZrA49TKZjJX&#10;DreDjKMokdb0xB86M+Kmw/pUna2Gt/3uJ6sC7sb34+Zjq1LvkjjT+vFhfl2BCDiHfxj+9FkdSnY6&#10;uDM1Xgwa0jhRjGpQy4RLMZEtY94cNLwolYIsC3nbofwFAAD//wMAUEsBAi0AFAAGAAgAAAAhALaD&#10;OJL+AAAA4QEAABMAAAAAAAAAAAAAAAAAAAAAAFtDb250ZW50X1R5cGVzXS54bWxQSwECLQAUAAYA&#10;CAAAACEAOP0h/9YAAACUAQAACwAAAAAAAAAAAAAAAAAvAQAAX3JlbHMvLnJlbHNQSwECLQAUAAYA&#10;CAAAACEA+v3HnVECAADEBAAADgAAAAAAAAAAAAAAAAAuAgAAZHJzL2Uyb0RvYy54bWxQSwECLQAU&#10;AAYACAAAACEAEccRi+AAAAALAQAADwAAAAAAAAAAAAAAAACrBAAAZHJzL2Rvd25yZXYueG1sUEsF&#10;BgAAAAAEAAQA8wAAALgFAAAAAA==&#10;" adj="10536" fillcolor="#4472c4 [3204]" strokecolor="#31538f" strokeweight="1pt">
                <v:stroke startarrowwidth="narrow" startarrowlength="short" endarrowwidth="narrow" endarrowlength="short"/>
                <v:textbox inset="2.53958mm,2.53958mm,2.53958mm,2.53958mm">
                  <w:txbxContent>
                    <w:p w:rsidR="00891A69" w:rsidRDefault="00891A69">
                      <w:pPr>
                        <w:spacing w:after="0" w:line="240" w:lineRule="auto"/>
                        <w:textDirection w:val="btLr"/>
                      </w:pPr>
                      <w:bookmarkStart w:id="7" w:name="_GoBack"/>
                      <w:bookmarkEnd w:id="7"/>
                    </w:p>
                  </w:txbxContent>
                </v:textbox>
              </v:shape>
            </w:pict>
          </mc:Fallback>
        </mc:AlternateContent>
      </w:r>
      <w:r>
        <w:rPr>
          <w:noProof/>
          <w:lang w:val="en-US" w:eastAsia="en-US"/>
        </w:rPr>
        <w:drawing>
          <wp:inline distT="0" distB="0" distL="0" distR="0" wp14:anchorId="4FBBED2F" wp14:editId="7787009C">
            <wp:extent cx="5524500" cy="3009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669" t="30791" r="38221" b="32682"/>
                    <a:stretch/>
                  </pic:blipFill>
                  <pic:spPr bwMode="auto">
                    <a:xfrm>
                      <a:off x="0" y="0"/>
                      <a:ext cx="5524500" cy="3009900"/>
                    </a:xfrm>
                    <a:prstGeom prst="rect">
                      <a:avLst/>
                    </a:prstGeom>
                    <a:ln>
                      <a:noFill/>
                    </a:ln>
                    <a:extLst>
                      <a:ext uri="{53640926-AAD7-44D8-BBD7-CCE9431645EC}">
                        <a14:shadowObscured xmlns:a14="http://schemas.microsoft.com/office/drawing/2010/main"/>
                      </a:ext>
                    </a:extLst>
                  </pic:spPr>
                </pic:pic>
              </a:graphicData>
            </a:graphic>
          </wp:inline>
        </w:drawing>
      </w:r>
    </w:p>
    <w:p w:rsidR="00891A69" w:rsidRDefault="00891A69">
      <w:pPr>
        <w:spacing w:before="120" w:after="120" w:line="360" w:lineRule="auto"/>
        <w:ind w:right="-234"/>
        <w:jc w:val="both"/>
      </w:pPr>
    </w:p>
    <w:p w:rsidR="00907EDF" w:rsidRDefault="00907EDF">
      <w:pPr>
        <w:spacing w:before="120" w:after="120" w:line="360" w:lineRule="auto"/>
        <w:ind w:right="-234"/>
        <w:jc w:val="both"/>
        <w:rPr>
          <w:noProof/>
          <w:lang w:val="en-US" w:eastAsia="en-US"/>
        </w:rPr>
      </w:pPr>
    </w:p>
    <w:p w:rsidR="00891A69" w:rsidRDefault="00907EDF">
      <w:pPr>
        <w:spacing w:before="120" w:after="120" w:line="360" w:lineRule="auto"/>
        <w:ind w:right="-234"/>
        <w:jc w:val="both"/>
        <w:rPr>
          <w:rFonts w:ascii="Palatino Linotype" w:eastAsia="Palatino Linotype" w:hAnsi="Palatino Linotype" w:cs="Palatino Linotype"/>
          <w:b/>
          <w:sz w:val="24"/>
          <w:szCs w:val="24"/>
        </w:rPr>
      </w:pPr>
      <w:r>
        <w:rPr>
          <w:noProof/>
          <w:lang w:val="en-US" w:eastAsia="en-US"/>
        </w:rPr>
        <w:lastRenderedPageBreak/>
        <w:drawing>
          <wp:inline distT="0" distB="0" distL="0" distR="0" wp14:anchorId="2561AB41" wp14:editId="54FA324C">
            <wp:extent cx="5362575" cy="1152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1555" t="35319" r="34827" b="44154"/>
                    <a:stretch/>
                  </pic:blipFill>
                  <pic:spPr bwMode="auto">
                    <a:xfrm>
                      <a:off x="0" y="0"/>
                      <a:ext cx="5362938" cy="1152603"/>
                    </a:xfrm>
                    <a:prstGeom prst="rect">
                      <a:avLst/>
                    </a:prstGeom>
                    <a:ln>
                      <a:noFill/>
                    </a:ln>
                    <a:extLst>
                      <a:ext uri="{53640926-AAD7-44D8-BBD7-CCE9431645EC}">
                        <a14:shadowObscured xmlns:a14="http://schemas.microsoft.com/office/drawing/2010/main"/>
                      </a:ext>
                    </a:extLst>
                  </pic:spPr>
                </pic:pic>
              </a:graphicData>
            </a:graphic>
          </wp:inline>
        </w:drawing>
      </w:r>
    </w:p>
    <w:p w:rsidR="00891A69" w:rsidRDefault="008D3623">
      <w:pPr>
        <w:spacing w:before="120" w:after="12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8. DEL CIERRE DE INSTRUCCIÓN. </w:t>
      </w:r>
      <w:r>
        <w:rPr>
          <w:rFonts w:ascii="Palatino Linotype" w:eastAsia="Palatino Linotype" w:hAnsi="Palatino Linotype" w:cs="Palatino Linotype"/>
          <w:sz w:val="24"/>
          <w:szCs w:val="24"/>
        </w:rPr>
        <w:t xml:space="preserve">El once de marzo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 </w:t>
      </w:r>
    </w:p>
    <w:p w:rsidR="00891A69" w:rsidRDefault="00891A69">
      <w:pPr>
        <w:spacing w:before="120" w:after="120" w:line="360" w:lineRule="auto"/>
        <w:ind w:right="-234"/>
        <w:jc w:val="both"/>
        <w:rPr>
          <w:rFonts w:ascii="Palatino Linotype" w:eastAsia="Palatino Linotype" w:hAnsi="Palatino Linotype" w:cs="Palatino Linotype"/>
          <w:sz w:val="24"/>
          <w:szCs w:val="24"/>
        </w:rPr>
      </w:pPr>
    </w:p>
    <w:p w:rsidR="00891A69" w:rsidRDefault="008D3623">
      <w:pPr>
        <w:spacing w:before="120" w:after="12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CONSIDERANDOS:</w:t>
      </w:r>
    </w:p>
    <w:p w:rsidR="00891A69" w:rsidRDefault="00891A69">
      <w:pPr>
        <w:spacing w:before="120" w:after="120" w:line="360" w:lineRule="auto"/>
        <w:jc w:val="center"/>
        <w:rPr>
          <w:rFonts w:ascii="Palatino Linotype" w:eastAsia="Palatino Linotype" w:hAnsi="Palatino Linotype" w:cs="Palatino Linotype"/>
          <w:b/>
          <w:sz w:val="24"/>
          <w:szCs w:val="24"/>
        </w:rPr>
      </w:pPr>
    </w:p>
    <w:p w:rsidR="00891A69" w:rsidRDefault="008D3623">
      <w:pPr>
        <w:spacing w:before="120" w:after="120" w:line="360" w:lineRule="auto"/>
        <w:jc w:val="both"/>
        <w:rPr>
          <w:rFonts w:ascii="Palatino Linotype" w:eastAsia="Palatino Linotype" w:hAnsi="Palatino Linotype" w:cs="Palatino Linotype"/>
          <w:b/>
          <w:sz w:val="24"/>
          <w:szCs w:val="24"/>
        </w:rPr>
      </w:pPr>
      <w:bookmarkStart w:id="8" w:name="_heading=h.3dy6vkm" w:colFirst="0" w:colLast="0"/>
      <w:bookmarkEnd w:id="8"/>
      <w:r>
        <w:rPr>
          <w:rFonts w:ascii="Palatino Linotype" w:eastAsia="Palatino Linotype" w:hAnsi="Palatino Linotype" w:cs="Palatino Linotype"/>
          <w:b/>
          <w:sz w:val="24"/>
          <w:szCs w:val="24"/>
        </w:rPr>
        <w:t xml:space="preserve">PRIMERO. COMPETENCIA. </w:t>
      </w:r>
      <w:r>
        <w:rPr>
          <w:rFonts w:ascii="Palatino Linotype" w:eastAsia="Palatino Linotype" w:hAnsi="Palatino Linotype" w:cs="Palatino Linotype"/>
          <w:sz w:val="24"/>
          <w:szCs w:val="24"/>
          <w:highlight w:val="whit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sz w:val="24"/>
          <w:szCs w:val="24"/>
        </w:rPr>
        <w:t xml:space="preserve">9, fracciones I y XXIV y 11 </w:t>
      </w:r>
      <w:r>
        <w:rPr>
          <w:rFonts w:ascii="Palatino Linotype" w:eastAsia="Palatino Linotype" w:hAnsi="Palatino Linotype" w:cs="Palatino Linotype"/>
          <w:sz w:val="24"/>
          <w:szCs w:val="24"/>
          <w:highlight w:val="white"/>
        </w:rPr>
        <w:t xml:space="preserve">del Reglamento Interior del Instituto de Transparencia, Acceso a la </w:t>
      </w:r>
      <w:r>
        <w:rPr>
          <w:rFonts w:ascii="Palatino Linotype" w:eastAsia="Palatino Linotype" w:hAnsi="Palatino Linotype" w:cs="Palatino Linotype"/>
          <w:sz w:val="24"/>
          <w:szCs w:val="24"/>
          <w:highlight w:val="white"/>
        </w:rPr>
        <w:lastRenderedPageBreak/>
        <w:t>Información Pública y Protección de Datos Personales del Estado de México y Municipios.</w:t>
      </w:r>
    </w:p>
    <w:p w:rsidR="00891A69" w:rsidRDefault="008D3623">
      <w:pPr>
        <w:spacing w:before="240" w:after="240" w:line="360" w:lineRule="auto"/>
        <w:jc w:val="both"/>
        <w:rPr>
          <w:rFonts w:ascii="Palatino Linotype" w:eastAsia="Palatino Linotype" w:hAnsi="Palatino Linotype" w:cs="Palatino Linotype"/>
          <w:sz w:val="24"/>
          <w:szCs w:val="24"/>
        </w:rPr>
      </w:pPr>
      <w:bookmarkStart w:id="9" w:name="_heading=h.1t3h5sf" w:colFirst="0" w:colLast="0"/>
      <w:bookmarkEnd w:id="9"/>
      <w:r>
        <w:rPr>
          <w:rFonts w:ascii="Palatino Linotype" w:eastAsia="Palatino Linotype" w:hAnsi="Palatino Linotype" w:cs="Palatino Linotype"/>
          <w:b/>
          <w:sz w:val="24"/>
          <w:szCs w:val="24"/>
        </w:rPr>
        <w:t xml:space="preserve">SEGUNDO. OPORTUNIDAD Y PROCEDIBILIDAD DEL RECURSO DE REVISIÓN. </w:t>
      </w:r>
      <w:r>
        <w:rPr>
          <w:rFonts w:ascii="Palatino Linotype" w:eastAsia="Palatino Linotype" w:hAnsi="Palatino Linotype" w:cs="Palatino Linotype"/>
          <w:sz w:val="24"/>
          <w:szCs w:val="24"/>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891A69" w:rsidRDefault="008D362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ya que el Sujeto Obligado proporcionó respuesta a la solicitud de información el once de febrero de dos mil veintidós, mientras que la recurrente interpuso el recurso de revisión el quince de febrero de la anualidad en curso, esto es, al segundo día hábil siguiente al en que le fue notificada la respuesta, por ende, dentro del término legal que prevé el arábigo de referencia.</w:t>
      </w:r>
    </w:p>
    <w:p w:rsidR="00891A69" w:rsidRDefault="008D3623">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por cuanto hace a la procedibilidad de los recursos de revisión, es de suma importancia señalar que la parte RECURRENTE, no señaló nombre completo,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91A69" w:rsidRDefault="00891A69">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rsidR="00891A69" w:rsidRDefault="008D3623">
      <w:pPr>
        <w:pBdr>
          <w:top w:val="nil"/>
          <w:left w:val="nil"/>
          <w:bottom w:val="nil"/>
          <w:right w:val="nil"/>
          <w:between w:val="nil"/>
        </w:pBdr>
        <w:spacing w:after="0" w:line="360" w:lineRule="auto"/>
        <w:ind w:left="425" w:right="34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rsidR="00891A69" w:rsidRDefault="00891A69">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rsidR="00891A69" w:rsidRDefault="008D3623">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91A69" w:rsidRDefault="00891A69">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p>
    <w:p w:rsidR="00891A69" w:rsidRDefault="008D3623">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resulta procedente la interposición del recurso, según lo aducido por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color w:val="000000"/>
          <w:sz w:val="24"/>
          <w:szCs w:val="24"/>
        </w:rPr>
        <w:t>recurrente en sus motivos de inconformidad, de acuerdo al artículo 179, fracción V de la Ley de Transparencia y Acceso a la Información Pública del Estado de México y Municipios; que a la letra dice:</w:t>
      </w:r>
    </w:p>
    <w:p w:rsidR="00891A69" w:rsidRDefault="008D3623">
      <w:pPr>
        <w:pBdr>
          <w:top w:val="nil"/>
          <w:left w:val="nil"/>
          <w:bottom w:val="nil"/>
          <w:right w:val="nil"/>
          <w:between w:val="nil"/>
        </w:pBdr>
        <w:spacing w:before="240" w:after="240" w:line="240" w:lineRule="auto"/>
        <w:ind w:left="993" w:right="1041"/>
        <w:jc w:val="both"/>
        <w:rPr>
          <w:rFonts w:ascii="Palatino Linotype" w:eastAsia="Palatino Linotype" w:hAnsi="Palatino Linotype" w:cs="Palatino Linotype"/>
          <w:i/>
          <w:color w:val="000000"/>
          <w:highlight w:val="white"/>
        </w:rPr>
      </w:pPr>
      <w:r>
        <w:rPr>
          <w:rFonts w:ascii="Palatino Linotype" w:eastAsia="Palatino Linotype" w:hAnsi="Palatino Linotype" w:cs="Palatino Linotype"/>
          <w:b/>
          <w:i/>
          <w:color w:val="000000"/>
          <w:highlight w:val="white"/>
        </w:rPr>
        <w:t>“Artículo 179</w:t>
      </w:r>
      <w:r>
        <w:rPr>
          <w:rFonts w:ascii="Palatino Linotype" w:eastAsia="Palatino Linotype" w:hAnsi="Palatino Linotype" w:cs="Palatino Linotype"/>
          <w:i/>
          <w:color w:val="000000"/>
          <w:highlight w:val="white"/>
        </w:rPr>
        <w:t xml:space="preserve">. </w:t>
      </w:r>
      <w:r>
        <w:rPr>
          <w:rFonts w:ascii="Palatino Linotype" w:eastAsia="Palatino Linotype" w:hAnsi="Palatino Linotype" w:cs="Palatino Linotype"/>
          <w:b/>
          <w:i/>
          <w:color w:val="000000"/>
          <w:highlight w:val="white"/>
        </w:rPr>
        <w:t>El recurso de revisión</w:t>
      </w:r>
      <w:r>
        <w:rPr>
          <w:rFonts w:ascii="Palatino Linotype" w:eastAsia="Palatino Linotype" w:hAnsi="Palatino Linotype" w:cs="Palatino Linotype"/>
          <w:i/>
          <w:color w:val="000000"/>
          <w:highlight w:val="white"/>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highlight w:val="white"/>
        </w:rPr>
        <w:t>, y procederá en contra de las siguientes causas</w:t>
      </w:r>
      <w:r>
        <w:rPr>
          <w:rFonts w:ascii="Palatino Linotype" w:eastAsia="Palatino Linotype" w:hAnsi="Palatino Linotype" w:cs="Palatino Linotype"/>
          <w:i/>
          <w:color w:val="000000"/>
          <w:highlight w:val="white"/>
        </w:rPr>
        <w:t>:</w:t>
      </w:r>
    </w:p>
    <w:p w:rsidR="00891A69" w:rsidRDefault="008D3623">
      <w:pPr>
        <w:pBdr>
          <w:top w:val="nil"/>
          <w:left w:val="nil"/>
          <w:bottom w:val="nil"/>
          <w:right w:val="nil"/>
          <w:between w:val="nil"/>
        </w:pBdr>
        <w:spacing w:before="240" w:after="240" w:line="240" w:lineRule="auto"/>
        <w:ind w:left="993" w:right="1041"/>
        <w:jc w:val="both"/>
        <w:rPr>
          <w:rFonts w:ascii="Palatino Linotype" w:eastAsia="Palatino Linotype" w:hAnsi="Palatino Linotype" w:cs="Palatino Linotype"/>
          <w:i/>
          <w:color w:val="000000"/>
          <w:highlight w:val="white"/>
        </w:rPr>
      </w:pPr>
      <w:r>
        <w:rPr>
          <w:rFonts w:ascii="Palatino Linotype" w:eastAsia="Palatino Linotype" w:hAnsi="Palatino Linotype" w:cs="Palatino Linotype"/>
          <w:i/>
          <w:color w:val="000000"/>
          <w:highlight w:val="white"/>
        </w:rPr>
        <w:t>V. La entrega de la información incompleta…” (Sic)</w:t>
      </w:r>
    </w:p>
    <w:p w:rsidR="00891A69" w:rsidRDefault="00891A69">
      <w:pPr>
        <w:spacing w:before="240" w:after="240" w:line="360" w:lineRule="auto"/>
        <w:jc w:val="both"/>
        <w:rPr>
          <w:rFonts w:ascii="Palatino Linotype" w:eastAsia="Palatino Linotype" w:hAnsi="Palatino Linotype" w:cs="Palatino Linotype"/>
          <w:i/>
        </w:rPr>
      </w:pPr>
    </w:p>
    <w:p w:rsidR="00891A69" w:rsidRDefault="008D3623">
      <w:pPr>
        <w:spacing w:after="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sz w:val="24"/>
          <w:szCs w:val="24"/>
        </w:rPr>
        <w:t xml:space="preserve"> ANÁLISIS DE LAS CAUSALES DE SOBRESEIMIENTO DEL RECURSO DE REVISIÓN.</w:t>
      </w:r>
      <w:r>
        <w:rPr>
          <w:sz w:val="24"/>
          <w:szCs w:val="24"/>
        </w:rPr>
        <w:t xml:space="preserve"> </w:t>
      </w:r>
      <w:r>
        <w:rPr>
          <w:rFonts w:ascii="Palatino Linotype" w:eastAsia="Palatino Linotype" w:hAnsi="Palatino Linotype" w:cs="Palatino Linotype"/>
          <w:sz w:val="28"/>
          <w:szCs w:val="28"/>
        </w:rPr>
        <w:t xml:space="preserve"> E</w:t>
      </w:r>
      <w:r>
        <w:rPr>
          <w:rFonts w:ascii="Palatino Linotype" w:eastAsia="Palatino Linotype" w:hAnsi="Palatino Linotype" w:cs="Palatino Linotype"/>
          <w:sz w:val="24"/>
          <w:szCs w:val="24"/>
        </w:rPr>
        <w:t xml:space="preserve">l artículo 192 de la </w:t>
      </w:r>
      <w:r>
        <w:rPr>
          <w:rFonts w:ascii="Palatino Linotype" w:eastAsia="Palatino Linotype" w:hAnsi="Palatino Linotype" w:cs="Palatino Linotype"/>
          <w:color w:val="000000"/>
          <w:sz w:val="24"/>
          <w:szCs w:val="24"/>
        </w:rPr>
        <w:t xml:space="preserve">Ley de Transparencia y Acceso a la Información Pública del Estado de México y Municipios, señala que el Recurso de </w:t>
      </w:r>
      <w:r>
        <w:rPr>
          <w:rFonts w:ascii="Palatino Linotype" w:eastAsia="Palatino Linotype" w:hAnsi="Palatino Linotype" w:cs="Palatino Linotype"/>
          <w:color w:val="000000"/>
          <w:sz w:val="24"/>
          <w:szCs w:val="24"/>
        </w:rPr>
        <w:lastRenderedPageBreak/>
        <w:t>Revisión será sobreseído en todo o en parte, cuando, una vez admitido, se actualice alguno de los siguientes supuestos:</w:t>
      </w:r>
    </w:p>
    <w:p w:rsidR="00891A69" w:rsidRDefault="008D3623">
      <w:pPr>
        <w:numPr>
          <w:ilvl w:val="0"/>
          <w:numId w:val="2"/>
        </w:numPr>
        <w:spacing w:after="0" w:line="360" w:lineRule="auto"/>
        <w:ind w:left="567" w:hanging="87"/>
        <w:jc w:val="both"/>
        <w:rPr>
          <w:rFonts w:ascii="Palatino Linotype" w:eastAsia="Palatino Linotype" w:hAnsi="Palatino Linotype" w:cs="Palatino Linotype"/>
          <w:b/>
          <w:color w:val="000000"/>
          <w:sz w:val="24"/>
          <w:szCs w:val="24"/>
          <w:u w:val="single"/>
        </w:rPr>
      </w:pPr>
      <w:r>
        <w:rPr>
          <w:rFonts w:ascii="Palatino Linotype" w:eastAsia="Palatino Linotype" w:hAnsi="Palatino Linotype" w:cs="Palatino Linotype"/>
          <w:b/>
          <w:color w:val="000000"/>
          <w:sz w:val="24"/>
          <w:szCs w:val="24"/>
          <w:u w:val="single"/>
        </w:rPr>
        <w:t>El Recurrente se desista expresamente;</w:t>
      </w:r>
    </w:p>
    <w:p w:rsidR="00891A69" w:rsidRDefault="008D3623">
      <w:pPr>
        <w:numPr>
          <w:ilvl w:val="0"/>
          <w:numId w:val="2"/>
        </w:numPr>
        <w:spacing w:after="0" w:line="360" w:lineRule="auto"/>
        <w:ind w:left="567" w:hanging="8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Recurrente fallezca o, tratándose de personas morales se disuelva;</w:t>
      </w:r>
    </w:p>
    <w:p w:rsidR="00891A69" w:rsidRDefault="008D3623">
      <w:pPr>
        <w:numPr>
          <w:ilvl w:val="0"/>
          <w:numId w:val="2"/>
        </w:numPr>
        <w:spacing w:after="0" w:line="360" w:lineRule="auto"/>
        <w:ind w:left="567" w:hanging="8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Sujeto Obligado modifique la respuesta o la revoque, de tal manera que el recurso de revisión quede sin materia;</w:t>
      </w:r>
    </w:p>
    <w:p w:rsidR="00891A69" w:rsidRDefault="008D3623">
      <w:pPr>
        <w:numPr>
          <w:ilvl w:val="0"/>
          <w:numId w:val="2"/>
        </w:numPr>
        <w:spacing w:after="0" w:line="360" w:lineRule="auto"/>
        <w:ind w:left="567" w:hanging="8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Admitido el recurso de revisión, aparezca alguna causal de improcedencia; y,</w:t>
      </w:r>
    </w:p>
    <w:p w:rsidR="00891A69" w:rsidRDefault="008D3623">
      <w:pPr>
        <w:numPr>
          <w:ilvl w:val="0"/>
          <w:numId w:val="2"/>
        </w:numPr>
        <w:spacing w:after="0" w:line="360" w:lineRule="auto"/>
        <w:ind w:left="567" w:hanging="8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Cuando por cualquier motivo quede sin materia el recurso de revisión.</w:t>
      </w:r>
    </w:p>
    <w:p w:rsidR="00891A69" w:rsidRDefault="00891A69">
      <w:pPr>
        <w:spacing w:after="0" w:line="360" w:lineRule="auto"/>
        <w:jc w:val="both"/>
        <w:rPr>
          <w:rFonts w:ascii="Palatino Linotype" w:eastAsia="Palatino Linotype" w:hAnsi="Palatino Linotype" w:cs="Palatino Linotype"/>
        </w:rPr>
      </w:pPr>
    </w:p>
    <w:p w:rsidR="00891A69" w:rsidRDefault="008D362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En ese sentido, es susceptible de análisis la actualización del supuesto jurídico previsto en la fracción I, del artículo 192, de la Ley en cita, mismo que dispone que el Recurso de Revisión será sobreseído cuando </w:t>
      </w:r>
      <w:r>
        <w:rPr>
          <w:rFonts w:ascii="Palatino Linotype" w:eastAsia="Palatino Linotype" w:hAnsi="Palatino Linotype" w:cs="Palatino Linotype"/>
          <w:b/>
          <w:sz w:val="24"/>
          <w:szCs w:val="24"/>
        </w:rPr>
        <w:t>el Recurrente se desista expresamente</w:t>
      </w:r>
      <w:r>
        <w:rPr>
          <w:rFonts w:ascii="Palatino Linotype" w:eastAsia="Palatino Linotype" w:hAnsi="Palatino Linotype" w:cs="Palatino Linotype"/>
          <w:color w:val="000000"/>
          <w:sz w:val="24"/>
          <w:szCs w:val="24"/>
        </w:rPr>
        <w:t xml:space="preserve">. Ello, toda vez que </w:t>
      </w:r>
      <w:r>
        <w:rPr>
          <w:rFonts w:ascii="Palatino Linotype" w:eastAsia="Palatino Linotype" w:hAnsi="Palatino Linotype" w:cs="Palatino Linotype"/>
          <w:b/>
          <w:color w:val="000000"/>
          <w:sz w:val="24"/>
          <w:szCs w:val="24"/>
        </w:rPr>
        <w:t>LA PARTE RECURRENTE</w:t>
      </w:r>
      <w:r>
        <w:rPr>
          <w:rFonts w:ascii="Palatino Linotype" w:eastAsia="Palatino Linotype" w:hAnsi="Palatino Linotype" w:cs="Palatino Linotype"/>
          <w:color w:val="000000"/>
          <w:sz w:val="24"/>
          <w:szCs w:val="24"/>
        </w:rPr>
        <w:t xml:space="preserve"> en fecha veintiuno de febrero de dos mil veintidós, a través del Sistema de Acceso a la Información Mexiquense (SAIMEX), se desistió expresamente del presente Recurso de Revisión.</w:t>
      </w:r>
    </w:p>
    <w:p w:rsidR="00891A69" w:rsidRDefault="008D3623">
      <w:pPr>
        <w:tabs>
          <w:tab w:val="left" w:pos="8647"/>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En efecto, se aprecia que el Particular </w:t>
      </w:r>
      <w:r>
        <w:rPr>
          <w:rFonts w:ascii="Palatino Linotype" w:eastAsia="Palatino Linotype" w:hAnsi="Palatino Linotype" w:cs="Palatino Linotype"/>
          <w:b/>
          <w:color w:val="000000"/>
          <w:sz w:val="24"/>
          <w:szCs w:val="24"/>
        </w:rPr>
        <w:t>manifestó expresamente su voluntad de desistirse del Recurso de Revisión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sz w:val="24"/>
          <w:szCs w:val="24"/>
        </w:rPr>
        <w:t xml:space="preserve">al rubro anotado. </w:t>
      </w:r>
    </w:p>
    <w:p w:rsidR="00891A69" w:rsidRDefault="008D362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consecuencia, se estima que se actualiza el supuesto previsto en el artículo 192 fracción I, de la Ley de Transparencia y Acceso a la Información Pública del Estado de México y Municipios.</w:t>
      </w:r>
    </w:p>
    <w:p w:rsidR="00891A69" w:rsidRDefault="00891A69">
      <w:pPr>
        <w:spacing w:after="0" w:line="360" w:lineRule="auto"/>
        <w:jc w:val="both"/>
        <w:rPr>
          <w:rFonts w:ascii="Palatino Linotype" w:eastAsia="Palatino Linotype" w:hAnsi="Palatino Linotype" w:cs="Palatino Linotype"/>
        </w:rPr>
      </w:pPr>
    </w:p>
    <w:p w:rsidR="00891A69" w:rsidRDefault="008D362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ese tenor, resulta aplicable la Jurisprudencia número 1a./J. 65/2005, Semanario Judicial de la Federación y su Gaceta, Novena Época, Tomo XXII, julio de dos mil cinco, página ciento sesenta y uno, que establece lo siguiente:</w:t>
      </w:r>
    </w:p>
    <w:p w:rsidR="00891A69" w:rsidRDefault="00891A69">
      <w:pPr>
        <w:spacing w:after="0" w:line="360" w:lineRule="auto"/>
        <w:jc w:val="both"/>
        <w:rPr>
          <w:rFonts w:ascii="Palatino Linotype" w:eastAsia="Palatino Linotype" w:hAnsi="Palatino Linotype" w:cs="Palatino Linotype"/>
          <w:sz w:val="24"/>
          <w:szCs w:val="24"/>
        </w:rPr>
      </w:pPr>
    </w:p>
    <w:p w:rsidR="00891A69" w:rsidRDefault="008D3623">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DESISTIMIENTO DE LA INSTANCIA. SURTE EFECTOS DESDE EL MOMENTO EN QUE SE PRESENTA EL ESCRITO CORRESPONDIENTE.</w:t>
      </w:r>
    </w:p>
    <w:p w:rsidR="00891A69" w:rsidRDefault="008D3623">
      <w:pPr>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00891A69" w:rsidRDefault="00891A69">
      <w:pPr>
        <w:spacing w:after="0" w:line="360" w:lineRule="auto"/>
        <w:jc w:val="both"/>
        <w:rPr>
          <w:rFonts w:ascii="Palatino Linotype" w:eastAsia="Palatino Linotype" w:hAnsi="Palatino Linotype" w:cs="Palatino Linotype"/>
          <w:color w:val="000000"/>
        </w:rPr>
      </w:pPr>
    </w:p>
    <w:p w:rsidR="00891A69" w:rsidRDefault="008D362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Conforme a lo citado se puede colegir que cuando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presente un escrito de desistimiento, le hace saber a este Instituto la intención de cesar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rsidR="00891A69" w:rsidRDefault="00891A69">
      <w:pPr>
        <w:spacing w:after="0" w:line="360" w:lineRule="auto"/>
        <w:jc w:val="both"/>
        <w:rPr>
          <w:rFonts w:ascii="Palatino Linotype" w:eastAsia="Palatino Linotype" w:hAnsi="Palatino Linotype" w:cs="Palatino Linotype"/>
          <w:sz w:val="24"/>
          <w:szCs w:val="24"/>
        </w:rPr>
      </w:pPr>
    </w:p>
    <w:p w:rsidR="00891A69" w:rsidRDefault="008D362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toda vez que este Instituto constató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 desistió por la vía idónea para realizar dicha acción, a saber, por el Sistema de Acceso a la Información Mexiquense (SAIMEX), resulta procedente </w:t>
      </w:r>
      <w:r>
        <w:rPr>
          <w:rFonts w:ascii="Palatino Linotype" w:eastAsia="Palatino Linotype" w:hAnsi="Palatino Linotype" w:cs="Palatino Linotype"/>
          <w:b/>
          <w:sz w:val="24"/>
          <w:szCs w:val="24"/>
        </w:rPr>
        <w:t xml:space="preserve">SOBRESEER </w:t>
      </w:r>
      <w:r>
        <w:rPr>
          <w:rFonts w:ascii="Palatino Linotype" w:eastAsia="Palatino Linotype" w:hAnsi="Palatino Linotype" w:cs="Palatino Linotype"/>
          <w:sz w:val="24"/>
          <w:szCs w:val="24"/>
        </w:rPr>
        <w:t xml:space="preserve">el Recurso de Revisión con número </w:t>
      </w:r>
      <w:r>
        <w:rPr>
          <w:rFonts w:ascii="Palatino Linotype" w:eastAsia="Palatino Linotype" w:hAnsi="Palatino Linotype" w:cs="Palatino Linotype"/>
          <w:b/>
          <w:sz w:val="24"/>
          <w:szCs w:val="24"/>
        </w:rPr>
        <w:t xml:space="preserve">00869/INFOEM/IP/RR/2022 </w:t>
      </w:r>
      <w:r>
        <w:rPr>
          <w:rFonts w:ascii="Palatino Linotype" w:eastAsia="Palatino Linotype" w:hAnsi="Palatino Linotype" w:cs="Palatino Linotype"/>
          <w:sz w:val="24"/>
          <w:szCs w:val="24"/>
        </w:rPr>
        <w:t>al actualizarse el supuesto previsto en el artículo 192, fracción I, de la Ley de Transparencia y Acceso a la Información Pública del Estado de México y Municipios, en relación con el 186, fracción I de ese ordenamiento legal.</w:t>
      </w:r>
    </w:p>
    <w:p w:rsidR="00891A69" w:rsidRDefault="008D362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con fundamento en lo prescrito en los artículos 5 </w:t>
      </w:r>
      <w:r>
        <w:rPr>
          <w:rFonts w:ascii="Palatino Linotype" w:eastAsia="Palatino Linotype" w:hAnsi="Palatino Linotype" w:cs="Palatino Linotype"/>
          <w:sz w:val="24"/>
          <w:szCs w:val="24"/>
          <w:highlight w:val="white"/>
        </w:rPr>
        <w:t xml:space="preserve">párrafos trigésimo, trigésimo primero y trigésimo segundo fracciones IV y V </w:t>
      </w:r>
      <w:r>
        <w:rPr>
          <w:rFonts w:ascii="Palatino Linotype" w:eastAsia="Palatino Linotype" w:hAnsi="Palatino Linotype" w:cs="Palatino Linotype"/>
          <w:sz w:val="24"/>
          <w:szCs w:val="24"/>
        </w:rPr>
        <w:t>de la Constitución Política del Estado Libre y Soberano de México; 2, fracción II; 29, 36 fracciones I y II; 176, 178, 181, 185 de la Ley de Transparencia y Acceso a la Información Pública del Estado de México y Municipios, este Pleno:</w:t>
      </w:r>
    </w:p>
    <w:p w:rsidR="00891A69" w:rsidRDefault="008D3623">
      <w:pPr>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RESUELVE</w:t>
      </w:r>
    </w:p>
    <w:p w:rsidR="00891A69" w:rsidRDefault="00891A69">
      <w:pPr>
        <w:spacing w:after="0" w:line="360" w:lineRule="auto"/>
        <w:jc w:val="center"/>
        <w:rPr>
          <w:rFonts w:ascii="Palatino Linotype" w:eastAsia="Palatino Linotype" w:hAnsi="Palatino Linotype" w:cs="Palatino Linotype"/>
          <w:b/>
          <w:sz w:val="24"/>
          <w:szCs w:val="24"/>
        </w:rPr>
      </w:pPr>
    </w:p>
    <w:p w:rsidR="00891A69" w:rsidRDefault="008D3623">
      <w:pPr>
        <w:spacing w:after="0" w:line="360" w:lineRule="auto"/>
        <w:jc w:val="both"/>
        <w:rPr>
          <w:rFonts w:ascii="Palatino Linotype" w:eastAsia="Palatino Linotype" w:hAnsi="Palatino Linotype" w:cs="Palatino Linotype"/>
          <w:b/>
          <w:sz w:val="24"/>
          <w:szCs w:val="24"/>
        </w:rPr>
      </w:pPr>
      <w:bookmarkStart w:id="10" w:name="_heading=h.4d34og8" w:colFirst="0" w:colLast="0"/>
      <w:bookmarkEnd w:id="10"/>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SOBRESEE</w:t>
      </w:r>
      <w:r>
        <w:rPr>
          <w:rFonts w:ascii="Palatino Linotype" w:eastAsia="Palatino Linotype" w:hAnsi="Palatino Linotype" w:cs="Palatino Linotype"/>
          <w:sz w:val="24"/>
          <w:szCs w:val="24"/>
        </w:rPr>
        <w:t xml:space="preserve"> el recurso de revisión número </w:t>
      </w:r>
      <w:r>
        <w:rPr>
          <w:rFonts w:ascii="Palatino Linotype" w:eastAsia="Palatino Linotype" w:hAnsi="Palatino Linotype" w:cs="Palatino Linotype"/>
          <w:b/>
          <w:sz w:val="24"/>
          <w:szCs w:val="24"/>
        </w:rPr>
        <w:t>00869/INFOEM/IP/RR/2022</w:t>
      </w:r>
      <w:r>
        <w:rPr>
          <w:rFonts w:ascii="Palatino Linotype" w:eastAsia="Palatino Linotype" w:hAnsi="Palatino Linotype" w:cs="Palatino Linotype"/>
          <w:sz w:val="24"/>
          <w:szCs w:val="24"/>
        </w:rPr>
        <w:t xml:space="preserve">, por haberse desistido expresamente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xml:space="preserve"> de la presente resolución.</w:t>
      </w:r>
      <w:r>
        <w:rPr>
          <w:rFonts w:ascii="Palatino Linotype" w:eastAsia="Palatino Linotype" w:hAnsi="Palatino Linotype" w:cs="Palatino Linotype"/>
          <w:b/>
          <w:sz w:val="24"/>
          <w:szCs w:val="24"/>
        </w:rPr>
        <w:t xml:space="preserve"> </w:t>
      </w:r>
    </w:p>
    <w:p w:rsidR="00891A69" w:rsidRDefault="00891A69">
      <w:pPr>
        <w:spacing w:after="0" w:line="360" w:lineRule="auto"/>
        <w:jc w:val="both"/>
        <w:rPr>
          <w:rFonts w:ascii="Palatino Linotype" w:eastAsia="Palatino Linotype" w:hAnsi="Palatino Linotype" w:cs="Palatino Linotype"/>
          <w:b/>
          <w:sz w:val="24"/>
          <w:szCs w:val="24"/>
        </w:rPr>
      </w:pPr>
    </w:p>
    <w:p w:rsidR="00891A69" w:rsidRDefault="008D3623">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SEGUNDO. NOTIFÍQUESE</w:t>
      </w:r>
      <w:r>
        <w:rPr>
          <w:rFonts w:ascii="Palatino Linotype" w:eastAsia="Palatino Linotype" w:hAnsi="Palatino Linotype" w:cs="Palatino Linotype"/>
          <w:sz w:val="24"/>
          <w:szCs w:val="24"/>
        </w:rPr>
        <w:t xml:space="preserve"> vía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presente resolución al Titular de la Unidad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su conocimiento. </w:t>
      </w:r>
    </w:p>
    <w:p w:rsidR="00891A69" w:rsidRDefault="00891A69">
      <w:pPr>
        <w:spacing w:after="0" w:line="360" w:lineRule="auto"/>
        <w:jc w:val="both"/>
        <w:rPr>
          <w:rFonts w:ascii="Palatino Linotype" w:eastAsia="Palatino Linotype" w:hAnsi="Palatino Linotype" w:cs="Palatino Linotype"/>
          <w:b/>
          <w:sz w:val="24"/>
          <w:szCs w:val="24"/>
        </w:rPr>
      </w:pPr>
    </w:p>
    <w:p w:rsidR="00891A69" w:rsidRDefault="008D362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rsidR="00891A69" w:rsidRDefault="00891A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91A69" w:rsidRDefault="008D3623">
      <w:pPr>
        <w:spacing w:line="360" w:lineRule="auto"/>
        <w:jc w:val="both"/>
        <w:rPr>
          <w:sz w:val="24"/>
          <w:szCs w:val="24"/>
        </w:rPr>
      </w:pPr>
      <w:r>
        <w:rPr>
          <w:rFonts w:ascii="Palatino Linotype" w:eastAsia="Palatino Linotype" w:hAnsi="Palatino Linotype" w:cs="Palatino Linotype"/>
          <w:sz w:val="24"/>
          <w:szCs w:val="24"/>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p>
    <w:sectPr w:rsidR="00891A69">
      <w:headerReference w:type="default" r:id="rId15"/>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736" w:rsidRDefault="008D3623">
      <w:pPr>
        <w:spacing w:after="0" w:line="240" w:lineRule="auto"/>
      </w:pPr>
      <w:r>
        <w:separator/>
      </w:r>
    </w:p>
  </w:endnote>
  <w:endnote w:type="continuationSeparator" w:id="0">
    <w:p w:rsidR="00A16736" w:rsidRDefault="008D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A69" w:rsidRDefault="008D362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58DD">
      <w:rPr>
        <w:rFonts w:ascii="Arial" w:eastAsia="Arial" w:hAnsi="Arial" w:cs="Arial"/>
        <w:b/>
        <w:noProof/>
        <w:color w:val="000000"/>
        <w:sz w:val="20"/>
        <w:szCs w:val="20"/>
      </w:rPr>
      <w:t>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58DD">
      <w:rPr>
        <w:rFonts w:ascii="Arial" w:eastAsia="Arial" w:hAnsi="Arial" w:cs="Arial"/>
        <w:b/>
        <w:noProof/>
        <w:color w:val="000000"/>
        <w:sz w:val="20"/>
        <w:szCs w:val="20"/>
      </w:rPr>
      <w:t>11</w:t>
    </w:r>
    <w:r>
      <w:rPr>
        <w:rFonts w:ascii="Arial" w:eastAsia="Arial" w:hAnsi="Arial" w:cs="Arial"/>
        <w:b/>
        <w:color w:val="000000"/>
        <w:sz w:val="20"/>
        <w:szCs w:val="20"/>
      </w:rPr>
      <w:fldChar w:fldCharType="end"/>
    </w:r>
  </w:p>
  <w:p w:rsidR="00891A69" w:rsidRDefault="00891A6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736" w:rsidRDefault="008D3623">
      <w:pPr>
        <w:spacing w:after="0" w:line="240" w:lineRule="auto"/>
      </w:pPr>
      <w:r>
        <w:separator/>
      </w:r>
    </w:p>
  </w:footnote>
  <w:footnote w:type="continuationSeparator" w:id="0">
    <w:p w:rsidR="00A16736" w:rsidRDefault="008D3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A69" w:rsidRDefault="00891A69">
    <w:pPr>
      <w:widowControl w:val="0"/>
      <w:pBdr>
        <w:top w:val="nil"/>
        <w:left w:val="nil"/>
        <w:bottom w:val="nil"/>
        <w:right w:val="nil"/>
        <w:between w:val="nil"/>
      </w:pBdr>
      <w:spacing w:after="0" w:line="276" w:lineRule="auto"/>
      <w:rPr>
        <w:sz w:val="24"/>
        <w:szCs w:val="24"/>
      </w:rPr>
    </w:pPr>
  </w:p>
  <w:tbl>
    <w:tblPr>
      <w:tblStyle w:val="a"/>
      <w:tblW w:w="10302" w:type="dxa"/>
      <w:tblInd w:w="-1281" w:type="dxa"/>
      <w:tblLayout w:type="fixed"/>
      <w:tblLook w:val="0400" w:firstRow="0" w:lastRow="0" w:firstColumn="0" w:lastColumn="0" w:noHBand="0" w:noVBand="1"/>
    </w:tblPr>
    <w:tblGrid>
      <w:gridCol w:w="5660"/>
      <w:gridCol w:w="4642"/>
    </w:tblGrid>
    <w:tr w:rsidR="00891A69">
      <w:trPr>
        <w:trHeight w:val="260"/>
      </w:trPr>
      <w:tc>
        <w:tcPr>
          <w:tcW w:w="5660" w:type="dxa"/>
        </w:tcPr>
        <w:p w:rsidR="00891A69" w:rsidRDefault="008D362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rsidR="00891A69" w:rsidRDefault="008D3623">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00869/INFOEM/IP/RR/2022</w:t>
          </w:r>
        </w:p>
      </w:tc>
    </w:tr>
    <w:tr w:rsidR="00891A69">
      <w:trPr>
        <w:trHeight w:val="224"/>
      </w:trPr>
      <w:tc>
        <w:tcPr>
          <w:tcW w:w="5660" w:type="dxa"/>
        </w:tcPr>
        <w:p w:rsidR="00891A69" w:rsidRDefault="008D362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rsidR="00891A69" w:rsidRDefault="008D362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 XXXXX</w:t>
          </w:r>
        </w:p>
      </w:tc>
    </w:tr>
    <w:tr w:rsidR="00891A69">
      <w:trPr>
        <w:trHeight w:val="278"/>
      </w:trPr>
      <w:tc>
        <w:tcPr>
          <w:tcW w:w="5660" w:type="dxa"/>
        </w:tcPr>
        <w:p w:rsidR="00891A69" w:rsidRDefault="008D3623">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rsidR="00891A69" w:rsidRDefault="008D3623">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Chimalhuacán</w:t>
          </w:r>
        </w:p>
      </w:tc>
    </w:tr>
    <w:tr w:rsidR="00891A69">
      <w:trPr>
        <w:trHeight w:val="393"/>
      </w:trPr>
      <w:tc>
        <w:tcPr>
          <w:tcW w:w="5660" w:type="dxa"/>
        </w:tcPr>
        <w:p w:rsidR="00891A69" w:rsidRDefault="008D3623">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rsidR="00891A69" w:rsidRDefault="008D362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891A69" w:rsidRDefault="008D3623">
    <w:pPr>
      <w:pBdr>
        <w:top w:val="nil"/>
        <w:left w:val="nil"/>
        <w:bottom w:val="nil"/>
        <w:right w:val="nil"/>
        <w:between w:val="nil"/>
      </w:pBdr>
      <w:tabs>
        <w:tab w:val="center" w:pos="4419"/>
        <w:tab w:val="right" w:pos="8838"/>
      </w:tabs>
      <w:spacing w:after="0" w:line="240" w:lineRule="auto"/>
      <w:rPr>
        <w:color w:val="000000"/>
      </w:rPr>
    </w:pPr>
    <w:r>
      <w:rPr>
        <w:noProof/>
        <w:lang w:val="en-US" w:eastAsia="en-US"/>
      </w:rPr>
      <w:drawing>
        <wp:anchor distT="0" distB="0" distL="0" distR="0" simplePos="0" relativeHeight="251658240" behindDoc="1" locked="0" layoutInCell="1" hidden="0" allowOverlap="1">
          <wp:simplePos x="0" y="0"/>
          <wp:positionH relativeFrom="column">
            <wp:posOffset>-1080134</wp:posOffset>
          </wp:positionH>
          <wp:positionV relativeFrom="paragraph">
            <wp:posOffset>-1786253</wp:posOffset>
          </wp:positionV>
          <wp:extent cx="7867650" cy="10133330"/>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A69" w:rsidRDefault="00891A69">
    <w:pPr>
      <w:widowControl w:val="0"/>
      <w:pBdr>
        <w:top w:val="nil"/>
        <w:left w:val="nil"/>
        <w:bottom w:val="nil"/>
        <w:right w:val="nil"/>
        <w:between w:val="nil"/>
      </w:pBdr>
      <w:spacing w:after="0" w:line="276" w:lineRule="auto"/>
      <w:rPr>
        <w:color w:val="000000"/>
      </w:rPr>
    </w:pPr>
  </w:p>
  <w:tbl>
    <w:tblPr>
      <w:tblStyle w:val="a0"/>
      <w:tblW w:w="10302" w:type="dxa"/>
      <w:tblInd w:w="-1281" w:type="dxa"/>
      <w:tblLayout w:type="fixed"/>
      <w:tblLook w:val="0400" w:firstRow="0" w:lastRow="0" w:firstColumn="0" w:lastColumn="0" w:noHBand="0" w:noVBand="1"/>
    </w:tblPr>
    <w:tblGrid>
      <w:gridCol w:w="5660"/>
      <w:gridCol w:w="4642"/>
    </w:tblGrid>
    <w:tr w:rsidR="00891A69">
      <w:trPr>
        <w:trHeight w:val="260"/>
      </w:trPr>
      <w:tc>
        <w:tcPr>
          <w:tcW w:w="5660" w:type="dxa"/>
        </w:tcPr>
        <w:p w:rsidR="00891A69" w:rsidRDefault="008D362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rsidR="00891A69" w:rsidRDefault="008D3623">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00869/INFOEM/IP/RR/2022</w:t>
          </w:r>
        </w:p>
      </w:tc>
    </w:tr>
    <w:tr w:rsidR="00891A69">
      <w:trPr>
        <w:trHeight w:val="278"/>
      </w:trPr>
      <w:tc>
        <w:tcPr>
          <w:tcW w:w="5660" w:type="dxa"/>
        </w:tcPr>
        <w:p w:rsidR="00891A69" w:rsidRDefault="008D3623">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rsidR="00891A69" w:rsidRDefault="008D3623">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Chimalhuacán</w:t>
          </w:r>
        </w:p>
      </w:tc>
    </w:tr>
    <w:tr w:rsidR="00891A69">
      <w:trPr>
        <w:trHeight w:val="393"/>
      </w:trPr>
      <w:tc>
        <w:tcPr>
          <w:tcW w:w="5660" w:type="dxa"/>
        </w:tcPr>
        <w:p w:rsidR="00891A69" w:rsidRDefault="008D3623">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rsidR="00891A69" w:rsidRDefault="008D362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891A69" w:rsidRDefault="008D3623">
    <w:pPr>
      <w:pBdr>
        <w:top w:val="nil"/>
        <w:left w:val="nil"/>
        <w:bottom w:val="nil"/>
        <w:right w:val="nil"/>
        <w:between w:val="nil"/>
      </w:pBdr>
      <w:tabs>
        <w:tab w:val="center" w:pos="4419"/>
        <w:tab w:val="right" w:pos="8838"/>
      </w:tabs>
      <w:spacing w:after="0" w:line="240" w:lineRule="auto"/>
      <w:rPr>
        <w:color w:val="000000"/>
      </w:rPr>
    </w:pPr>
    <w:r>
      <w:rPr>
        <w:noProof/>
        <w:lang w:val="en-US" w:eastAsia="en-US"/>
      </w:rPr>
      <w:drawing>
        <wp:anchor distT="0" distB="0" distL="0" distR="0" simplePos="0" relativeHeight="251659264" behindDoc="1" locked="0" layoutInCell="1" hidden="0" allowOverlap="1">
          <wp:simplePos x="0" y="0"/>
          <wp:positionH relativeFrom="column">
            <wp:posOffset>-1080134</wp:posOffset>
          </wp:positionH>
          <wp:positionV relativeFrom="paragraph">
            <wp:posOffset>-1786253</wp:posOffset>
          </wp:positionV>
          <wp:extent cx="7867650" cy="10133330"/>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67AFC"/>
    <w:multiLevelType w:val="multilevel"/>
    <w:tmpl w:val="B04CD528"/>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0D7125"/>
    <w:multiLevelType w:val="multilevel"/>
    <w:tmpl w:val="EF1A65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69"/>
    <w:rsid w:val="00891A69"/>
    <w:rsid w:val="008D3623"/>
    <w:rsid w:val="00907EDF"/>
    <w:rsid w:val="00A16736"/>
    <w:rsid w:val="00C558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0192"/>
  <w15:docId w15:val="{FE709B29-E26F-4598-8382-11D3D432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2C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672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72CC"/>
  </w:style>
  <w:style w:type="paragraph" w:styleId="Piedepgina">
    <w:name w:val="footer"/>
    <w:basedOn w:val="Normal"/>
    <w:link w:val="PiedepginaCar"/>
    <w:uiPriority w:val="99"/>
    <w:unhideWhenUsed/>
    <w:rsid w:val="007672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72C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72C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10B8"/>
  </w:style>
  <w:style w:type="character" w:customStyle="1" w:styleId="apple-converted-space">
    <w:name w:val="apple-converted-space"/>
    <w:basedOn w:val="Fuentedeprrafopredeter"/>
    <w:rsid w:val="009F10B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F54C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F54CA"/>
    <w:rPr>
      <w:color w:val="0563C1" w:themeColor="hyperlink"/>
      <w:u w:val="single"/>
    </w:rPr>
  </w:style>
  <w:style w:type="paragraph" w:styleId="Sinespaciado">
    <w:name w:val="No Spacing"/>
    <w:aliases w:val="Francesa,INAI"/>
    <w:link w:val="SinespaciadoCar"/>
    <w:uiPriority w:val="1"/>
    <w:qFormat/>
    <w:rsid w:val="00FF54C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F54CA"/>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F54C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F54CA"/>
    <w:rPr>
      <w:sz w:val="20"/>
      <w:szCs w:val="20"/>
    </w:rPr>
  </w:style>
  <w:style w:type="paragraph" w:customStyle="1" w:styleId="infoemcitas">
    <w:name w:val="infoem citas"/>
    <w:basedOn w:val="Normal"/>
    <w:qFormat/>
    <w:rsid w:val="00FF54CA"/>
    <w:pPr>
      <w:spacing w:before="240" w:line="360" w:lineRule="auto"/>
      <w:ind w:left="851" w:right="851"/>
      <w:jc w:val="both"/>
    </w:pPr>
    <w:rPr>
      <w:rFonts w:ascii="Palatino Linotype" w:hAnsi="Palatino Linotype"/>
      <w:i/>
    </w:rPr>
  </w:style>
  <w:style w:type="paragraph" w:customStyle="1" w:styleId="Citas">
    <w:name w:val="Citas"/>
    <w:basedOn w:val="Normal"/>
    <w:qFormat/>
    <w:rsid w:val="00FF54CA"/>
    <w:pPr>
      <w:spacing w:before="240" w:line="360" w:lineRule="auto"/>
      <w:ind w:left="851" w:right="851"/>
      <w:jc w:val="both"/>
    </w:pPr>
    <w:rPr>
      <w:rFonts w:ascii="Palatino Linotype" w:hAnsi="Palatino Linotype" w:cs="Arial"/>
      <w:i/>
    </w:rPr>
  </w:style>
  <w:style w:type="character" w:customStyle="1" w:styleId="normaltextrun">
    <w:name w:val="normaltextrun"/>
    <w:basedOn w:val="Fuentedeprrafopredeter"/>
    <w:rsid w:val="00BB6FCE"/>
  </w:style>
  <w:style w:type="paragraph" w:customStyle="1" w:styleId="paragraph">
    <w:name w:val="paragraph"/>
    <w:basedOn w:val="Normal"/>
    <w:rsid w:val="00BB6F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BB6FC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41362.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330607.pa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SSR1Pg+gZzOCbCSNc10tR5hXaQ==">AMUW2mW8TFkEpntnSsSHXl1qQiAtHJWQdlFXejWqI3MBtuKLPV8jf8RC+UnsrPcxzm8k6zwUSuFTjKdOxpbRzUuINUtyHRygM6F5fxZDoeQ7h1rPu/UblnpFPujtlMulynVvmlzdPIQRZGg0bZLk9yuV1zoFyjLKMylTkfLeBTW+nIGoUA20Plkw9gRaoZd4lz8E9jvxWaTJpFXc7NK7JaS6tlFpKSXFbIN/LiqZIFniCdoy+7mrN6A=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2132</Words>
  <Characters>12157</Characters>
  <Application>Microsoft Office Word</Application>
  <DocSecurity>0</DocSecurity>
  <Lines>101</Lines>
  <Paragraphs>28</Paragraphs>
  <ScaleCrop>false</ScaleCrop>
  <Company>HP Inc.</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NAJERA </cp:lastModifiedBy>
  <cp:revision>4</cp:revision>
  <dcterms:created xsi:type="dcterms:W3CDTF">2022-03-11T00:59:00Z</dcterms:created>
  <dcterms:modified xsi:type="dcterms:W3CDTF">2022-05-12T18:42:00Z</dcterms:modified>
</cp:coreProperties>
</file>