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A6" w:rsidRPr="0024200F" w:rsidRDefault="00203BA6" w:rsidP="00203BA6">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quince de junio de dos mil veintidós</w:t>
      </w:r>
      <w:r w:rsidRPr="0024200F">
        <w:rPr>
          <w:rFonts w:ascii="Palatino Linotype" w:hAnsi="Palatino Linotype"/>
        </w:rPr>
        <w:t>.</w:t>
      </w:r>
    </w:p>
    <w:p w:rsidR="00203BA6" w:rsidRPr="0024200F" w:rsidRDefault="00203BA6" w:rsidP="00203BA6">
      <w:pPr>
        <w:spacing w:line="360" w:lineRule="auto"/>
        <w:jc w:val="both"/>
        <w:rPr>
          <w:rFonts w:ascii="Palatino Linotype" w:hAnsi="Palatino Linotype"/>
        </w:rPr>
      </w:pPr>
    </w:p>
    <w:p w:rsidR="00203BA6" w:rsidRPr="0024200F" w:rsidRDefault="00203BA6" w:rsidP="00203BA6">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6510/INFOEM/IP/RR/2022 </w:t>
      </w:r>
      <w:r w:rsidRPr="0024200F">
        <w:rPr>
          <w:rFonts w:ascii="Palatino Linotype" w:hAnsi="Palatino Linotype"/>
        </w:rPr>
        <w:t>promovido por</w:t>
      </w:r>
      <w:r>
        <w:rPr>
          <w:rFonts w:ascii="Palatino Linotype" w:hAnsi="Palatino Linotype"/>
        </w:rPr>
        <w:t xml:space="preserve"> </w:t>
      </w:r>
      <w:r w:rsidR="009273E8">
        <w:rPr>
          <w:rFonts w:ascii="Palatino Linotype" w:hAnsi="Palatino Linotype"/>
          <w:b/>
        </w:rPr>
        <w:t xml:space="preserve">xx </w:t>
      </w:r>
      <w:proofErr w:type="spellStart"/>
      <w:r w:rsidR="009273E8">
        <w:rPr>
          <w:rFonts w:ascii="Palatino Linotype" w:hAnsi="Palatino Linotype"/>
          <w:b/>
        </w:rPr>
        <w:t>xxxxxxxx</w:t>
      </w:r>
      <w:proofErr w:type="spellEnd"/>
      <w:r w:rsidR="009273E8">
        <w:rPr>
          <w:rFonts w:ascii="Palatino Linotype" w:hAnsi="Palatino Linotype"/>
          <w:b/>
        </w:rPr>
        <w:t xml:space="preserve"> </w:t>
      </w:r>
      <w:proofErr w:type="spellStart"/>
      <w:r w:rsidR="009273E8">
        <w:rPr>
          <w:rFonts w:ascii="Palatino Linotype" w:hAnsi="Palatino Linotype"/>
          <w:b/>
        </w:rPr>
        <w:t>xxxxx</w:t>
      </w:r>
      <w:proofErr w:type="spellEnd"/>
      <w:r w:rsidR="009273E8">
        <w:rPr>
          <w:rFonts w:ascii="Palatino Linotype" w:hAnsi="Palatino Linotype"/>
          <w:b/>
        </w:rPr>
        <w:t xml:space="preserve"> </w:t>
      </w:r>
      <w:proofErr w:type="spellStart"/>
      <w:r w:rsidR="009273E8">
        <w:rPr>
          <w:rFonts w:ascii="Palatino Linotype" w:hAnsi="Palatino Linotype"/>
          <w:b/>
        </w:rPr>
        <w:t>xxxxxxx</w:t>
      </w:r>
      <w:proofErr w:type="spellEnd"/>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se le denominara como </w:t>
      </w:r>
      <w:r>
        <w:rPr>
          <w:rFonts w:ascii="Palatino Linotype" w:hAnsi="Palatino Linotype"/>
          <w:b/>
        </w:rPr>
        <w:t>la</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Pr>
          <w:rFonts w:ascii="Palatino Linotype" w:hAnsi="Palatino Linotype"/>
          <w:b/>
        </w:rPr>
        <w:t>Instituto de Capacitación y Adiestramiento para el Trabajo Industrial</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203BA6" w:rsidRPr="002478BC" w:rsidRDefault="00203BA6" w:rsidP="00203BA6">
      <w:pPr>
        <w:spacing w:line="360" w:lineRule="auto"/>
        <w:jc w:val="center"/>
        <w:rPr>
          <w:rFonts w:ascii="Palatino Linotype" w:hAnsi="Palatino Linotype"/>
          <w:b/>
          <w:bCs/>
          <w:spacing w:val="60"/>
          <w:lang w:val="es-ES_tradnl"/>
        </w:rPr>
      </w:pPr>
    </w:p>
    <w:p w:rsidR="00203BA6" w:rsidRPr="0024200F" w:rsidRDefault="00203BA6" w:rsidP="00203BA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203BA6" w:rsidRPr="0024200F" w:rsidRDefault="00203BA6" w:rsidP="00203BA6">
      <w:pPr>
        <w:spacing w:line="360" w:lineRule="auto"/>
        <w:jc w:val="center"/>
        <w:rPr>
          <w:rFonts w:ascii="Palatino Linotype" w:hAnsi="Palatino Linotype"/>
          <w:b/>
          <w:bCs/>
          <w:spacing w:val="60"/>
          <w:lang w:val="es-ES_tradnl"/>
        </w:rPr>
      </w:pPr>
    </w:p>
    <w:p w:rsidR="00203BA6" w:rsidRPr="0024200F" w:rsidRDefault="00203BA6" w:rsidP="00203BA6">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30 (treinta) de marzo 2022 (dos mil veintidós)</w:t>
      </w:r>
      <w:r w:rsidRPr="0024200F">
        <w:rPr>
          <w:rFonts w:ascii="Palatino Linotype" w:hAnsi="Palatino Linotype"/>
        </w:rPr>
        <w:t xml:space="preserve">, </w:t>
      </w:r>
      <w:r>
        <w:rPr>
          <w:rFonts w:ascii="Palatino Linotype" w:hAnsi="Palatino Linotype"/>
        </w:rPr>
        <w:t>la</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Pr>
          <w:rFonts w:ascii="Palatino Linotype" w:hAnsi="Palatino Linotype"/>
          <w:b/>
          <w:bCs/>
        </w:rPr>
        <w:t>00011/ICATI</w:t>
      </w:r>
      <w:r w:rsidRPr="00604A7F">
        <w:rPr>
          <w:rFonts w:ascii="Palatino Linotype" w:hAnsi="Palatino Linotype"/>
          <w:b/>
          <w:bCs/>
        </w:rPr>
        <w:t>/IP/2022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203BA6" w:rsidRDefault="00203BA6" w:rsidP="00203BA6">
      <w:pPr>
        <w:spacing w:line="360" w:lineRule="auto"/>
        <w:jc w:val="both"/>
        <w:rPr>
          <w:rFonts w:ascii="Palatino Linotype" w:hAnsi="Palatino Linotype" w:cs="Arial"/>
        </w:rPr>
      </w:pPr>
    </w:p>
    <w:p w:rsidR="00203BA6" w:rsidRPr="007A1527" w:rsidRDefault="00203BA6" w:rsidP="00203BA6">
      <w:pPr>
        <w:ind w:left="567" w:right="616"/>
        <w:jc w:val="both"/>
        <w:rPr>
          <w:rFonts w:ascii="Palatino Linotype" w:hAnsi="Palatino Linotype"/>
          <w:bCs/>
          <w:i/>
          <w:sz w:val="22"/>
        </w:rPr>
      </w:pPr>
      <w:r w:rsidRPr="00157DDD">
        <w:rPr>
          <w:rFonts w:ascii="Palatino Linotype" w:hAnsi="Palatino Linotype"/>
          <w:bCs/>
          <w:i/>
          <w:sz w:val="22"/>
        </w:rPr>
        <w:t>“</w:t>
      </w:r>
      <w:r w:rsidRPr="007A1527">
        <w:rPr>
          <w:rFonts w:ascii="Palatino Linotype" w:hAnsi="Palatino Linotype"/>
          <w:bCs/>
          <w:i/>
          <w:sz w:val="22"/>
        </w:rPr>
        <w:t>Solicito la versión publica del "Reporte Mensual de Plazas de Organismos Auxiliares" (formato DDPSPSSAPE01-F1.2), el cual entrega periódicamente el Instituto de Capacitación y Adiestramiento para el Trabajo Industrial a la Dirección General de Administración de Personal del Gobierno del Estado de México, correspondiente al mes de febrero de 2022 y que incluya su listado de servidores públicos adscritos a este organismo.</w:t>
      </w:r>
      <w:r>
        <w:rPr>
          <w:rFonts w:ascii="Palatino Linotype" w:hAnsi="Palatino Linotype"/>
          <w:bCs/>
          <w:i/>
          <w:sz w:val="22"/>
        </w:rPr>
        <w:t xml:space="preserve">” </w:t>
      </w:r>
      <w:r w:rsidRPr="007A1527">
        <w:rPr>
          <w:rFonts w:ascii="Palatino Linotype" w:hAnsi="Palatino Linotype"/>
          <w:bCs/>
          <w:i/>
          <w:sz w:val="22"/>
        </w:rPr>
        <w:t>(Sic)</w:t>
      </w:r>
    </w:p>
    <w:p w:rsidR="00203BA6" w:rsidRDefault="00203BA6" w:rsidP="00203BA6">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a través del SAIMEX</w:t>
      </w:r>
    </w:p>
    <w:p w:rsidR="00203BA6" w:rsidRDefault="00203BA6" w:rsidP="00203BA6">
      <w:pPr>
        <w:spacing w:line="360" w:lineRule="auto"/>
        <w:jc w:val="both"/>
        <w:rPr>
          <w:rFonts w:ascii="Palatino Linotype" w:hAnsi="Palatino Linotype"/>
          <w:szCs w:val="28"/>
          <w:lang w:val="es-MX"/>
        </w:rPr>
      </w:pPr>
    </w:p>
    <w:p w:rsidR="00203BA6" w:rsidRDefault="00203BA6" w:rsidP="00203BA6">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21 (veintiuno) de abril de 2022 (dos mil veintidós),</w:t>
      </w:r>
      <w:r w:rsidRPr="0024200F">
        <w:rPr>
          <w:rFonts w:ascii="Palatino Linotype" w:hAnsi="Palatino Linotype"/>
        </w:rPr>
        <w:t xml:space="preserve"> en </w:t>
      </w:r>
      <w:r>
        <w:rPr>
          <w:rFonts w:ascii="Palatino Linotype" w:hAnsi="Palatino Linotype"/>
        </w:rPr>
        <w:t>los términos siguientes:</w:t>
      </w:r>
    </w:p>
    <w:p w:rsidR="00203BA6" w:rsidRDefault="00203BA6" w:rsidP="00203BA6">
      <w:pPr>
        <w:spacing w:line="360" w:lineRule="auto"/>
        <w:jc w:val="both"/>
        <w:rPr>
          <w:rFonts w:ascii="Palatino Linotype" w:hAnsi="Palatino Linotype"/>
        </w:rPr>
      </w:pPr>
    </w:p>
    <w:p w:rsidR="00203BA6" w:rsidRDefault="00203BA6" w:rsidP="00203BA6">
      <w:pPr>
        <w:ind w:left="567" w:right="616"/>
        <w:jc w:val="both"/>
        <w:rPr>
          <w:rFonts w:ascii="Palatino Linotype" w:hAnsi="Palatino Linotype"/>
          <w:bCs/>
          <w:i/>
          <w:sz w:val="22"/>
        </w:rPr>
      </w:pPr>
      <w:r w:rsidRPr="00157DDD">
        <w:rPr>
          <w:rFonts w:ascii="Palatino Linotype" w:hAnsi="Palatino Linotype"/>
          <w:bCs/>
          <w:i/>
          <w:sz w:val="22"/>
        </w:rPr>
        <w:t>“</w:t>
      </w:r>
      <w:r>
        <w:rPr>
          <w:rFonts w:ascii="Palatino Linotype" w:hAnsi="Palatino Linotype"/>
          <w:bCs/>
          <w:i/>
          <w:sz w:val="22"/>
        </w:rPr>
        <w:t>E</w:t>
      </w:r>
      <w:r w:rsidRPr="007A1527">
        <w:rPr>
          <w:rFonts w:ascii="Palatino Linotype" w:hAnsi="Palatino Linotype"/>
          <w:bCs/>
          <w:i/>
          <w:sz w:val="22"/>
        </w:rPr>
        <w:t>n respuesta a la solicitud recibida, nos permitimos hacer de su conocimiento que con fundamento en el artículo 53, Fracciones: II, V y VI de la Ley de Transparencia y Acceso a la Información Pública del Estado de México y Municipios, le contestamos que:</w:t>
      </w:r>
    </w:p>
    <w:p w:rsidR="00203BA6" w:rsidRPr="007A1527" w:rsidRDefault="00203BA6" w:rsidP="00203BA6">
      <w:pPr>
        <w:ind w:left="567" w:right="616"/>
        <w:jc w:val="both"/>
        <w:rPr>
          <w:rFonts w:ascii="Palatino Linotype" w:hAnsi="Palatino Linotype"/>
          <w:bCs/>
          <w:i/>
          <w:sz w:val="22"/>
        </w:rPr>
      </w:pPr>
    </w:p>
    <w:p w:rsidR="00203BA6" w:rsidRPr="00157DDD" w:rsidRDefault="00203BA6" w:rsidP="00203BA6">
      <w:pPr>
        <w:ind w:left="567" w:right="616"/>
        <w:jc w:val="both"/>
        <w:rPr>
          <w:rFonts w:ascii="Palatino Linotype" w:hAnsi="Palatino Linotype"/>
          <w:bCs/>
          <w:i/>
          <w:sz w:val="22"/>
        </w:rPr>
      </w:pPr>
      <w:r w:rsidRPr="007A1527">
        <w:rPr>
          <w:rFonts w:ascii="Palatino Linotype" w:hAnsi="Palatino Linotype"/>
          <w:bCs/>
          <w:i/>
          <w:sz w:val="22"/>
        </w:rPr>
        <w:t xml:space="preserve">En respuesta a su solicitud presentada a través del Sistema de Acceso a la Información Mexiquense (SAIMEX) el día 30 de marzo del año en curso, a la que le fue asignado el número de folio 00011/ICATI/IP/2022, mediante la cual solicita información en los términos siguientes: Solicito la versión publica del "Reporte Mensual de Plazas de Organismos Auxiliares" (formato DDPSPSSAPE01-F1.2), el cual entrega periódicamente el Instituto de Capacitación y Adiestramiento para el Trabajo Industrial a la Dirección General de Administración de Personal del Gobierno del Estado de México, correspondiente al mes de febrero de 2022 y que incluya su listado de servidores públicos adscritos a este organismo. (Sic) Con fundamento, en los preceptos 11, 15, 53 fracciones II, IV, V y VI de la Ley de Transparencia y Acceso a la información Pública del Estado de México y Municipios, me permito informar a Usted lo siguiente: Con fecha 31 de marzo del año en curso, fue turnada la solicitud de información a la Licenciada en Comunicación Magda Isa González López en suplencia del Subdirector de Personal, para que diera atención a la solicitud de mérito; lo anterior, en virtud que la información solicitada está vinculada con las atribuciones contenidas en el apartado 209C0101030200L “Subdirección de Personal” del Manual General de Organización de este Organismo Descentralizado y que corresponde a las Unidades Administrativas citadas. En atención al turno, el Servidor Público habilitado de la Subdirección de Personal, mediante oficio 209C0101030200L-114/2022 de fecha 04 de abril del año en curso, recibido por esta Unidad en fecha 18 de abril del año en curso, mismo que adjunto al presente con sus respectivos anexos (dos hojas con los cuadros de plazas ocupadas cuyo corte corresponde al mes de Febrero del presente año). Así mismo, y de conformidad a lo establecido en los artículos 24 fracción XI y 88 de la Ley de Transparencia y Acceso a la Información Pública del Estado de México y Municipios, </w:t>
      </w:r>
      <w:r w:rsidRPr="007A1527">
        <w:rPr>
          <w:rFonts w:ascii="Palatino Linotype" w:hAnsi="Palatino Linotype"/>
          <w:bCs/>
          <w:i/>
          <w:sz w:val="22"/>
        </w:rPr>
        <w:lastRenderedPageBreak/>
        <w:t>damos por finalizada la atención a la misma; finalmente, hacemos de su conocimiento que en términos de los artículos 176, 177, 178, 179 y 180 de la Ley en comento, usted puede presentar dentro del plazo de 15 días hábiles siguientes a la notificación de la presente, recurso de revisión ante el Órgano Garante. Sin otro particular, quedo de Usted.</w:t>
      </w:r>
      <w:r>
        <w:rPr>
          <w:rFonts w:ascii="Palatino Linotype" w:hAnsi="Palatino Linotype"/>
          <w:bCs/>
          <w:i/>
          <w:sz w:val="22"/>
        </w:rPr>
        <w:t>”</w:t>
      </w:r>
    </w:p>
    <w:p w:rsidR="00203BA6" w:rsidRDefault="00203BA6" w:rsidP="00203BA6">
      <w:pPr>
        <w:spacing w:line="360" w:lineRule="auto"/>
        <w:ind w:right="616"/>
        <w:jc w:val="both"/>
        <w:rPr>
          <w:rFonts w:ascii="Palatino Linotype" w:hAnsi="Palatino Linotype"/>
          <w:bCs/>
        </w:rPr>
      </w:pPr>
    </w:p>
    <w:p w:rsidR="00203BA6" w:rsidRDefault="00203BA6" w:rsidP="00203BA6">
      <w:pPr>
        <w:spacing w:line="360" w:lineRule="auto"/>
        <w:ind w:right="49"/>
        <w:jc w:val="both"/>
        <w:rPr>
          <w:rFonts w:ascii="Palatino Linotype" w:hAnsi="Palatino Linotype"/>
          <w:bCs/>
        </w:rPr>
      </w:pPr>
      <w:r>
        <w:rPr>
          <w:rFonts w:ascii="Palatino Linotype" w:hAnsi="Palatino Linotype"/>
          <w:bCs/>
        </w:rPr>
        <w:t xml:space="preserve">Anexando a su respuesta los archivos electrónicos </w:t>
      </w:r>
      <w:r w:rsidRPr="00D54E61">
        <w:rPr>
          <w:rFonts w:ascii="Palatino Linotype" w:hAnsi="Palatino Linotype"/>
          <w:b/>
          <w:i/>
          <w:iCs/>
        </w:rPr>
        <w:t>“</w:t>
      </w:r>
      <w:r w:rsidRPr="007B34C4">
        <w:rPr>
          <w:rFonts w:ascii="Palatino Linotype" w:hAnsi="Palatino Linotype"/>
          <w:b/>
          <w:i/>
          <w:iCs/>
        </w:rPr>
        <w:t>Oficio No</w:t>
      </w:r>
      <w:r w:rsidRPr="00D54E61">
        <w:rPr>
          <w:rFonts w:ascii="Palatino Linotype" w:hAnsi="Palatino Linotype"/>
          <w:b/>
          <w:i/>
          <w:iCs/>
        </w:rPr>
        <w:t xml:space="preserve"> 209C0101030200l 114 20200.pdf” “RESPUESTA SAIMEX 00011-22.pdf”,</w:t>
      </w:r>
      <w:r>
        <w:rPr>
          <w:rFonts w:ascii="Palatino Linotype" w:hAnsi="Palatino Linotype"/>
          <w:bCs/>
        </w:rPr>
        <w:t xml:space="preserve"> que al ser del conocimiento de las partes no se insertan en este apartado, en obvio de repeticiones innecesarias, máxime que serán objeto de estudio en párrafos posteriores.</w:t>
      </w:r>
    </w:p>
    <w:p w:rsidR="00203BA6" w:rsidRDefault="00203BA6" w:rsidP="00203BA6">
      <w:pPr>
        <w:spacing w:line="360" w:lineRule="auto"/>
        <w:ind w:right="616"/>
        <w:jc w:val="both"/>
        <w:rPr>
          <w:rFonts w:ascii="Palatino Linotype" w:hAnsi="Palatino Linotype"/>
          <w:bCs/>
        </w:rPr>
      </w:pPr>
    </w:p>
    <w:p w:rsidR="00203BA6" w:rsidRDefault="00203BA6" w:rsidP="00203BA6">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22 (veintidós) de abril de 2022 (dos mil veintidós)</w:t>
      </w:r>
      <w:r w:rsidRPr="0024200F">
        <w:rPr>
          <w:rFonts w:ascii="Palatino Linotype" w:hAnsi="Palatino Linotype" w:cs="Arial"/>
        </w:rPr>
        <w:t xml:space="preserve">, </w:t>
      </w:r>
      <w:r>
        <w:rPr>
          <w:rFonts w:ascii="Palatino Linotype" w:hAnsi="Palatino Linotype" w:cs="Arial"/>
        </w:rPr>
        <w:t>la</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6510/INFOEM/IP/RR/2022,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203BA6" w:rsidRDefault="00203BA6" w:rsidP="00203BA6">
      <w:pPr>
        <w:spacing w:line="276" w:lineRule="auto"/>
        <w:ind w:right="616"/>
        <w:jc w:val="both"/>
        <w:rPr>
          <w:rFonts w:ascii="Palatino Linotype" w:hAnsi="Palatino Linotype"/>
          <w:b/>
        </w:rPr>
      </w:pPr>
    </w:p>
    <w:p w:rsidR="00203BA6" w:rsidRPr="005C7D38" w:rsidRDefault="00203BA6" w:rsidP="00203BA6">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203BA6" w:rsidRDefault="00203BA6" w:rsidP="00203BA6">
      <w:pPr>
        <w:spacing w:line="276" w:lineRule="auto"/>
        <w:ind w:left="567" w:right="616"/>
        <w:jc w:val="both"/>
        <w:rPr>
          <w:rFonts w:ascii="Palatino Linotype" w:hAnsi="Palatino Linotype"/>
        </w:rPr>
      </w:pPr>
      <w:r w:rsidRPr="00591A86">
        <w:rPr>
          <w:rFonts w:ascii="Palatino Linotype" w:hAnsi="Palatino Linotype"/>
          <w:i/>
          <w:sz w:val="22"/>
        </w:rPr>
        <w:t>“</w:t>
      </w:r>
      <w:r w:rsidRPr="001827D5">
        <w:rPr>
          <w:rFonts w:ascii="Palatino Linotype" w:hAnsi="Palatino Linotype"/>
          <w:i/>
          <w:sz w:val="22"/>
        </w:rPr>
        <w:t>De acuerdo a la solicitud realizada fala el "Listado de servidores públ</w:t>
      </w:r>
      <w:r>
        <w:rPr>
          <w:rFonts w:ascii="Palatino Linotype" w:hAnsi="Palatino Linotype"/>
          <w:i/>
          <w:sz w:val="22"/>
        </w:rPr>
        <w:t>icos adscritos a este organismo</w:t>
      </w:r>
      <w:r w:rsidRPr="00604A7F">
        <w:rPr>
          <w:rFonts w:ascii="Palatino Linotype" w:hAnsi="Palatino Linotype"/>
          <w:i/>
          <w:sz w:val="22"/>
        </w:rPr>
        <w:t>.</w:t>
      </w:r>
      <w:r>
        <w:rPr>
          <w:rFonts w:ascii="Palatino Linotype" w:hAnsi="Palatino Linotype"/>
          <w:i/>
          <w:sz w:val="22"/>
        </w:rPr>
        <w:t xml:space="preserve">” </w:t>
      </w:r>
      <w:r w:rsidRPr="00382B87">
        <w:rPr>
          <w:rFonts w:ascii="Palatino Linotype" w:hAnsi="Palatino Linotype"/>
          <w:i/>
          <w:sz w:val="22"/>
        </w:rPr>
        <w:t>(Sic)</w:t>
      </w:r>
    </w:p>
    <w:p w:rsidR="00203BA6" w:rsidRPr="00F02E91" w:rsidRDefault="00203BA6" w:rsidP="00203BA6">
      <w:pPr>
        <w:spacing w:line="360" w:lineRule="auto"/>
        <w:ind w:right="616"/>
        <w:jc w:val="both"/>
        <w:rPr>
          <w:rFonts w:ascii="Palatino Linotype" w:hAnsi="Palatino Linotype"/>
        </w:rPr>
      </w:pPr>
    </w:p>
    <w:p w:rsidR="00203BA6" w:rsidRPr="00D54E61" w:rsidRDefault="00203BA6" w:rsidP="00203BA6">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203BA6" w:rsidRPr="005C7D38" w:rsidRDefault="00203BA6" w:rsidP="00203BA6">
      <w:pPr>
        <w:ind w:left="567" w:right="616"/>
        <w:jc w:val="both"/>
        <w:rPr>
          <w:rFonts w:ascii="Palatino Linotype" w:hAnsi="Palatino Linotype"/>
          <w:i/>
          <w:sz w:val="22"/>
        </w:rPr>
      </w:pPr>
      <w:r>
        <w:rPr>
          <w:rFonts w:ascii="Palatino Linotype" w:hAnsi="Palatino Linotype"/>
          <w:i/>
          <w:sz w:val="22"/>
        </w:rPr>
        <w:t>“</w:t>
      </w:r>
      <w:r w:rsidRPr="001827D5">
        <w:rPr>
          <w:rFonts w:ascii="Palatino Linotype" w:hAnsi="Palatino Linotype"/>
          <w:i/>
          <w:sz w:val="22"/>
        </w:rPr>
        <w:t>Se solicita el complemento de la información solicitada, "Listado de servidores públicos adscritos a este organismo"</w:t>
      </w:r>
    </w:p>
    <w:p w:rsidR="00203BA6" w:rsidRDefault="00203BA6" w:rsidP="00203BA6">
      <w:pPr>
        <w:spacing w:line="360" w:lineRule="auto"/>
        <w:ind w:right="51"/>
        <w:jc w:val="both"/>
        <w:rPr>
          <w:rFonts w:ascii="Palatino Linotype" w:hAnsi="Palatino Linotype"/>
        </w:rPr>
      </w:pPr>
    </w:p>
    <w:p w:rsidR="00203BA6" w:rsidRDefault="00203BA6" w:rsidP="00203BA6">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22 (veintidós) de abril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w:t>
      </w:r>
      <w:r w:rsidRPr="0024200F">
        <w:rPr>
          <w:rFonts w:ascii="Palatino Linotype" w:hAnsi="Palatino Linotype" w:cs="Arial"/>
          <w:lang w:val="es-ES_tradnl"/>
        </w:rPr>
        <w:lastRenderedPageBreak/>
        <w:t xml:space="preserve">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203BA6" w:rsidRDefault="00203BA6" w:rsidP="00203BA6">
      <w:pPr>
        <w:spacing w:line="360" w:lineRule="auto"/>
        <w:ind w:right="49"/>
        <w:jc w:val="both"/>
        <w:rPr>
          <w:rFonts w:ascii="Palatino Linotype" w:hAnsi="Palatino Linotype" w:cs="Arial"/>
          <w:lang w:val="es-ES_tradnl"/>
        </w:rPr>
      </w:pPr>
    </w:p>
    <w:p w:rsidR="00203BA6" w:rsidRDefault="00203BA6" w:rsidP="00203BA6">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28 (veintiocho) de abril de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203BA6" w:rsidRDefault="00203BA6" w:rsidP="00203BA6">
      <w:pPr>
        <w:spacing w:line="360" w:lineRule="auto"/>
        <w:ind w:right="49"/>
        <w:jc w:val="both"/>
        <w:rPr>
          <w:rFonts w:ascii="Palatino Linotype" w:hAnsi="Palatino Linotype" w:cs="Arial"/>
        </w:rPr>
      </w:pPr>
    </w:p>
    <w:p w:rsidR="00203BA6" w:rsidRDefault="00203BA6" w:rsidP="00203BA6">
      <w:pPr>
        <w:spacing w:line="360" w:lineRule="auto"/>
        <w:jc w:val="both"/>
        <w:rPr>
          <w:rFonts w:ascii="Palatino Linotype" w:hAnsi="Palatino Linotype"/>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180C3F">
        <w:rPr>
          <w:rFonts w:ascii="Palatino Linotype" w:hAnsi="Palatino Linotype" w:cs="Arial"/>
          <w:b/>
          <w:lang w:val="es-ES_tradnl"/>
        </w:rPr>
        <w:t>Obligado</w:t>
      </w:r>
      <w:r>
        <w:rPr>
          <w:rFonts w:ascii="Palatino Linotype" w:hAnsi="Palatino Linotype" w:cs="Arial"/>
          <w:lang w:val="es-ES_tradnl"/>
        </w:rPr>
        <w:t xml:space="preserve"> el día</w:t>
      </w:r>
      <w:r w:rsidRPr="00180C3F">
        <w:rPr>
          <w:rFonts w:ascii="Palatino Linotype" w:hAnsi="Palatino Linotype" w:cs="Arial"/>
          <w:lang w:val="es-ES_tradnl"/>
        </w:rPr>
        <w:t xml:space="preserve"> </w:t>
      </w:r>
      <w:r>
        <w:rPr>
          <w:rFonts w:ascii="Palatino Linotype" w:hAnsi="Palatino Linotype" w:cs="Arial"/>
          <w:lang w:val="es-ES_tradnl"/>
        </w:rPr>
        <w:t>09</w:t>
      </w:r>
      <w:r w:rsidRPr="006F31E7">
        <w:rPr>
          <w:rFonts w:ascii="Palatino Linotype" w:hAnsi="Palatino Linotype" w:cs="Arial"/>
          <w:lang w:val="es-ES_tradnl"/>
        </w:rPr>
        <w:t xml:space="preserve"> (</w:t>
      </w:r>
      <w:r>
        <w:rPr>
          <w:rFonts w:ascii="Palatino Linotype" w:hAnsi="Palatino Linotype" w:cs="Arial"/>
          <w:lang w:val="es-ES_tradnl"/>
        </w:rPr>
        <w:t xml:space="preserve">nueve) de mayo </w:t>
      </w:r>
      <w:r w:rsidRPr="006F31E7">
        <w:rPr>
          <w:rFonts w:ascii="Palatino Linotype" w:hAnsi="Palatino Linotype" w:cs="Arial"/>
          <w:lang w:val="es-ES_tradnl"/>
        </w:rPr>
        <w:t xml:space="preserve">de 2022 (dos mil veintidós), </w:t>
      </w:r>
      <w:r w:rsidRPr="006F31E7">
        <w:rPr>
          <w:rFonts w:ascii="Palatino Linotype" w:hAnsi="Palatino Linotype"/>
        </w:rPr>
        <w:t>rindió su informe justificado, el cual se tuvo por presentado en tiempo y forma, a través del archivo e</w:t>
      </w:r>
      <w:r>
        <w:rPr>
          <w:rFonts w:ascii="Palatino Linotype" w:hAnsi="Palatino Linotype"/>
        </w:rPr>
        <w:t xml:space="preserve">lectrónico </w:t>
      </w:r>
      <w:r w:rsidRPr="00D54E61">
        <w:rPr>
          <w:rFonts w:ascii="Palatino Linotype" w:hAnsi="Palatino Linotype"/>
          <w:b/>
          <w:bCs/>
          <w:i/>
          <w:iCs/>
        </w:rPr>
        <w:t>“06510_2022_IJ_JMV.pdf”,</w:t>
      </w:r>
      <w:r w:rsidRPr="006F31E7">
        <w:rPr>
          <w:rFonts w:ascii="Palatino Linotype" w:hAnsi="Palatino Linotype"/>
        </w:rPr>
        <w:t xml:space="preserve"> mismo </w:t>
      </w:r>
      <w:r>
        <w:rPr>
          <w:rFonts w:ascii="Palatino Linotype" w:hAnsi="Palatino Linotype"/>
        </w:rPr>
        <w:t>se puso</w:t>
      </w:r>
      <w:r w:rsidRPr="006F31E7">
        <w:rPr>
          <w:rFonts w:ascii="Palatino Linotype" w:hAnsi="Palatino Linotype"/>
        </w:rPr>
        <w:t xml:space="preserve"> a disposición d</w:t>
      </w:r>
      <w:r>
        <w:rPr>
          <w:rFonts w:ascii="Palatino Linotype" w:hAnsi="Palatino Linotype"/>
        </w:rPr>
        <w:t xml:space="preserve">e la Recurrente en fecha 11 (once) de mayo de </w:t>
      </w:r>
      <w:r w:rsidRPr="006F31E7">
        <w:rPr>
          <w:rFonts w:ascii="Palatino Linotype" w:hAnsi="Palatino Linotype" w:cs="Arial"/>
          <w:lang w:val="es-ES_tradnl"/>
        </w:rPr>
        <w:t>2022 (dos mil veintidós)</w:t>
      </w:r>
      <w:r w:rsidRPr="006F31E7">
        <w:rPr>
          <w:rFonts w:ascii="Palatino Linotype" w:hAnsi="Palatino Linotype"/>
        </w:rPr>
        <w:t xml:space="preserve">, para que en un plazo de tres días </w:t>
      </w:r>
      <w:r>
        <w:rPr>
          <w:rFonts w:ascii="Palatino Linotype" w:hAnsi="Palatino Linotype"/>
        </w:rPr>
        <w:t>manifestará</w:t>
      </w:r>
      <w:r w:rsidRPr="006F31E7">
        <w:rPr>
          <w:rFonts w:ascii="Palatino Linotype" w:hAnsi="Palatino Linotype"/>
        </w:rPr>
        <w:t xml:space="preserve"> lo que a su derecho convenga.</w:t>
      </w:r>
    </w:p>
    <w:p w:rsidR="00203BA6" w:rsidRDefault="00203BA6" w:rsidP="00203BA6">
      <w:pPr>
        <w:spacing w:line="360" w:lineRule="auto"/>
        <w:jc w:val="both"/>
        <w:rPr>
          <w:rFonts w:ascii="Palatino Linotype" w:hAnsi="Palatino Linotype" w:cs="Arial"/>
          <w:lang w:val="es-ES_tradnl"/>
        </w:rPr>
      </w:pPr>
    </w:p>
    <w:p w:rsidR="00203BA6" w:rsidRDefault="00203BA6" w:rsidP="00203BA6">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eastAsiaTheme="minorHAnsi" w:hAnsi="Palatino Linotype" w:cs="Arial"/>
          <w:lang w:val="es-MX" w:eastAsia="en-US"/>
        </w:rPr>
        <w:t xml:space="preserve">02 (dos) de junio </w:t>
      </w:r>
      <w:r w:rsidRPr="00E72B01">
        <w:rPr>
          <w:rFonts w:ascii="Palatino Linotype" w:eastAsiaTheme="minorHAnsi" w:hAnsi="Palatino Linotype" w:cs="Arial"/>
          <w:lang w:val="es-MX" w:eastAsia="en-US"/>
        </w:rPr>
        <w:t>del año en curso,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w:t>
      </w:r>
      <w:r w:rsidRPr="00E72B01">
        <w:rPr>
          <w:rFonts w:ascii="Palatino Linotype" w:eastAsiaTheme="minorHAnsi" w:hAnsi="Palatino Linotype" w:cs="Arial"/>
          <w:lang w:val="es-MX" w:eastAsia="en-US"/>
        </w:rPr>
        <w:lastRenderedPageBreak/>
        <w:t xml:space="preserve">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nos ocupa, expresando lo siguiente:</w:t>
      </w:r>
    </w:p>
    <w:p w:rsidR="00203BA6" w:rsidRDefault="00203BA6" w:rsidP="00203BA6">
      <w:pPr>
        <w:pStyle w:val="Prrafodelista"/>
        <w:spacing w:line="360" w:lineRule="auto"/>
        <w:ind w:left="851"/>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740285">
        <w:rPr>
          <w:rFonts w:ascii="Palatino Linotype" w:eastAsiaTheme="minorHAnsi" w:hAnsi="Palatino Linotype" w:cs="Arial"/>
          <w:i/>
          <w:sz w:val="22"/>
          <w:lang w:val="es-MX" w:eastAsia="en-US"/>
        </w:rPr>
        <w:t>Se da por satisfecha la respuesta</w:t>
      </w:r>
      <w:r>
        <w:rPr>
          <w:rFonts w:ascii="Palatino Linotype" w:eastAsiaTheme="minorHAnsi" w:hAnsi="Palatino Linotype" w:cs="Arial"/>
          <w:i/>
          <w:sz w:val="22"/>
          <w:lang w:val="es-MX" w:eastAsia="en-US"/>
        </w:rPr>
        <w:t>” (Sic)</w:t>
      </w:r>
    </w:p>
    <w:p w:rsidR="00203BA6" w:rsidRPr="00382B87" w:rsidRDefault="00203BA6" w:rsidP="00203BA6">
      <w:pPr>
        <w:spacing w:line="360" w:lineRule="auto"/>
        <w:jc w:val="both"/>
        <w:rPr>
          <w:rFonts w:ascii="Palatino Linotype" w:eastAsiaTheme="minorHAnsi" w:hAnsi="Palatino Linotype" w:cs="Arial"/>
          <w:lang w:val="es-MX" w:eastAsia="en-US"/>
        </w:rPr>
      </w:pPr>
    </w:p>
    <w:p w:rsidR="00203BA6" w:rsidRDefault="00203BA6" w:rsidP="00203BA6">
      <w:pPr>
        <w:pStyle w:val="Prrafodelista"/>
        <w:spacing w:line="360" w:lineRule="auto"/>
        <w:ind w:left="0"/>
        <w:jc w:val="both"/>
        <w:rPr>
          <w:rFonts w:ascii="Palatino Linotype" w:eastAsiaTheme="minorHAnsi" w:hAnsi="Palatino Linotype" w:cs="Arial"/>
          <w:lang w:val="es-MX" w:eastAsia="en-US"/>
        </w:rPr>
      </w:pPr>
      <w:r w:rsidRPr="00E72B01">
        <w:rPr>
          <w:rFonts w:ascii="Palatino Linotype" w:eastAsiaTheme="minorHAnsi" w:hAnsi="Palatino Linotype" w:cs="Arial"/>
          <w:b/>
          <w:sz w:val="28"/>
          <w:lang w:val="es-MX" w:eastAsia="en-US"/>
        </w:rPr>
        <w:t>OCTAVO</w:t>
      </w:r>
      <w:r w:rsidRPr="00E72B01">
        <w:rPr>
          <w:rFonts w:ascii="Palatino Linotype" w:eastAsiaTheme="minorHAnsi" w:hAnsi="Palatino Linotype" w:cs="Arial"/>
          <w:lang w:val="es-MX" w:eastAsia="en-US"/>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18 (dieciocho) de mayo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203BA6" w:rsidRDefault="00203BA6" w:rsidP="00203BA6">
      <w:pPr>
        <w:pStyle w:val="Prrafodelista"/>
        <w:spacing w:line="360" w:lineRule="auto"/>
        <w:ind w:left="0"/>
        <w:jc w:val="both"/>
        <w:rPr>
          <w:rFonts w:ascii="Palatino Linotype" w:eastAsiaTheme="minorHAnsi" w:hAnsi="Palatino Linotype" w:cs="Arial"/>
          <w:lang w:val="es-MX" w:eastAsia="en-US"/>
        </w:rPr>
      </w:pPr>
    </w:p>
    <w:p w:rsidR="00203BA6" w:rsidRDefault="00203BA6" w:rsidP="00203BA6">
      <w:pPr>
        <w:pStyle w:val="Prrafodelista"/>
        <w:spacing w:line="360" w:lineRule="auto"/>
        <w:ind w:left="0"/>
        <w:jc w:val="both"/>
        <w:rPr>
          <w:rFonts w:ascii="Palatino Linotype" w:eastAsiaTheme="minorHAnsi" w:hAnsi="Palatino Linotype" w:cs="Arial"/>
          <w:lang w:val="es-MX" w:eastAsia="en-US"/>
        </w:rPr>
      </w:pPr>
    </w:p>
    <w:p w:rsidR="00203BA6" w:rsidRPr="0024200F" w:rsidRDefault="00203BA6" w:rsidP="00203BA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203BA6" w:rsidRPr="00825F67" w:rsidRDefault="00203BA6" w:rsidP="00203BA6">
      <w:pPr>
        <w:spacing w:line="360" w:lineRule="auto"/>
        <w:ind w:right="49"/>
        <w:jc w:val="both"/>
        <w:rPr>
          <w:rFonts w:ascii="Palatino Linotype" w:hAnsi="Palatino Linotype"/>
          <w:szCs w:val="28"/>
        </w:rPr>
      </w:pPr>
    </w:p>
    <w:p w:rsidR="00203BA6" w:rsidRPr="00FB3150" w:rsidRDefault="00203BA6" w:rsidP="00203BA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203BA6" w:rsidRPr="00EB0CBC" w:rsidRDefault="00203BA6" w:rsidP="00203BA6">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EB0CBC">
        <w:rPr>
          <w:rFonts w:ascii="Palatino Linotype" w:hAnsi="Palatino Linotype" w:cs="Arial"/>
        </w:rPr>
        <w:lastRenderedPageBreak/>
        <w:t>de México y Municipios; y 10, 7, 9 fracciones I y XXIV, y 11 del Reglamento Interior del Instituto de Transparencia, Acceso a la Información Pública y Protección de Datos Personales del Estado de México y Municipios.</w:t>
      </w:r>
    </w:p>
    <w:p w:rsidR="00203BA6" w:rsidRDefault="00203BA6" w:rsidP="00203BA6">
      <w:pPr>
        <w:spacing w:line="360" w:lineRule="auto"/>
        <w:jc w:val="both"/>
        <w:rPr>
          <w:rFonts w:ascii="Palatino Linotype" w:hAnsi="Palatino Linotype" w:cs="Arial"/>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203BA6" w:rsidRPr="00CC1F73" w:rsidRDefault="00203BA6" w:rsidP="00203BA6">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03BA6" w:rsidRPr="00CC1F73" w:rsidRDefault="00203BA6" w:rsidP="00203BA6">
      <w:pPr>
        <w:autoSpaceDE w:val="0"/>
        <w:autoSpaceDN w:val="0"/>
        <w:adjustRightInd w:val="0"/>
        <w:spacing w:line="360" w:lineRule="auto"/>
        <w:jc w:val="both"/>
        <w:rPr>
          <w:rFonts w:ascii="Palatino Linotype" w:hAnsi="Palatino Linotype" w:cs="Arial"/>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Así mismo, esta Ponencia considera importante abordar el análisis de los requisitos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así el artículo 180 de la Ley de Transparencia y Acceso a la Información Pública del Estado de México y Municipios, que establece lo siguiente:</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CC1F73">
        <w:rPr>
          <w:rFonts w:ascii="Palatino Linotype" w:eastAsiaTheme="minorHAnsi" w:hAnsi="Palatino Linotype" w:cs="Arial"/>
          <w:i/>
          <w:sz w:val="22"/>
          <w:u w:val="single"/>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p>
    <w:p w:rsidR="00203BA6" w:rsidRPr="00CC1F73" w:rsidRDefault="00203BA6" w:rsidP="00203BA6">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203BA6"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señalo </w:t>
      </w:r>
      <w:r>
        <w:rPr>
          <w:rFonts w:ascii="Palatino Linotype" w:eastAsiaTheme="minorHAnsi" w:hAnsi="Palatino Linotype" w:cs="Arial"/>
          <w:lang w:val="es-MX" w:eastAsia="en-US"/>
        </w:rPr>
        <w:t xml:space="preserve">únicamente como </w:t>
      </w:r>
      <w:r w:rsidRPr="00CC1F73">
        <w:rPr>
          <w:rFonts w:ascii="Palatino Linotype" w:eastAsiaTheme="minorHAnsi" w:hAnsi="Palatino Linotype" w:cs="Arial"/>
          <w:lang w:val="es-MX" w:eastAsia="en-US"/>
        </w:rPr>
        <w:t xml:space="preserve">nombre o seudónimo </w:t>
      </w:r>
      <w:r>
        <w:rPr>
          <w:rFonts w:ascii="Palatino Linotype" w:eastAsiaTheme="minorHAnsi" w:hAnsi="Palatino Linotype" w:cs="Arial"/>
          <w:lang w:val="es-MX" w:eastAsia="en-US"/>
        </w:rPr>
        <w:t>el de “</w:t>
      </w:r>
      <w:proofErr w:type="spellStart"/>
      <w:r w:rsidR="009273E8">
        <w:rPr>
          <w:rFonts w:ascii="Palatino Linotype" w:eastAsiaTheme="minorHAnsi" w:hAnsi="Palatino Linotype" w:cs="Arial"/>
          <w:lang w:val="es-MX" w:eastAsia="en-US"/>
        </w:rPr>
        <w:t>xxxxxxxxxxxx</w:t>
      </w:r>
      <w:proofErr w:type="spellEnd"/>
      <w:r w:rsidR="009273E8">
        <w:rPr>
          <w:rFonts w:ascii="Palatino Linotype" w:eastAsiaTheme="minorHAnsi" w:hAnsi="Palatino Linotype" w:cs="Arial"/>
          <w:lang w:val="es-MX" w:eastAsia="en-US"/>
        </w:rPr>
        <w:t xml:space="preserve"> </w:t>
      </w:r>
      <w:proofErr w:type="spellStart"/>
      <w:r w:rsidR="009273E8">
        <w:rPr>
          <w:rFonts w:ascii="Palatino Linotype" w:eastAsiaTheme="minorHAnsi" w:hAnsi="Palatino Linotype" w:cs="Arial"/>
          <w:lang w:val="es-MX" w:eastAsia="en-US"/>
        </w:rPr>
        <w:t>xxxxxxxx</w:t>
      </w:r>
      <w:bookmarkStart w:id="0" w:name="_GoBack"/>
      <w:bookmarkEnd w:id="0"/>
      <w:proofErr w:type="spellEnd"/>
      <w:r>
        <w:rPr>
          <w:rFonts w:ascii="Palatino Linotype" w:eastAsiaTheme="minorHAnsi" w:hAnsi="Palatino Linotype" w:cs="Arial"/>
          <w:lang w:val="es-MX" w:eastAsia="en-US"/>
        </w:rPr>
        <w:t>”</w:t>
      </w:r>
      <w:r w:rsidRPr="00CC1F73">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w:t>
      </w:r>
      <w:r w:rsidRPr="00CC1F73">
        <w:rPr>
          <w:rFonts w:ascii="Palatino Linotype" w:eastAsiaTheme="minorHAnsi" w:hAnsi="Palatino Linotype" w:cs="Arial"/>
          <w:lang w:val="es-MX" w:eastAsia="en-US"/>
        </w:rPr>
        <w:lastRenderedPageBreak/>
        <w:t>prevé en su artículo 155, párrafo segundo la posibilidad de que las solicitudes de información sean anónimas, con nombre incompleto o seudónimo.</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203BA6" w:rsidRPr="00CC1F73" w:rsidRDefault="00203BA6" w:rsidP="00203BA6">
      <w:pPr>
        <w:autoSpaceDE w:val="0"/>
        <w:autoSpaceDN w:val="0"/>
        <w:adjustRightInd w:val="0"/>
        <w:jc w:val="both"/>
        <w:rPr>
          <w:rFonts w:ascii="Palatino Linotype" w:eastAsiaTheme="minorHAnsi" w:hAnsi="Palatino Linotype" w:cs="Arial"/>
          <w:sz w:val="22"/>
          <w:szCs w:val="22"/>
          <w:lang w:val="es-MX" w:eastAsia="en-US"/>
        </w:rPr>
      </w:pP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sidRPr="00CC1F73">
        <w:rPr>
          <w:rFonts w:ascii="Palatino Linotype" w:eastAsiaTheme="minorHAnsi" w:hAnsi="Palatino Linotype" w:cs="Arial"/>
          <w:i/>
          <w:sz w:val="22"/>
          <w:lang w:val="es-MX" w:eastAsia="en-US"/>
        </w:rPr>
        <w:lastRenderedPageBreak/>
        <w:t>documentar todo acto que derive del ejercicio de sus facultades, competencias o funciones, la ley determinará los supuestos específicos bajo los cuales procederá la declaración de inexistencia de la información.</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p>
    <w:p w:rsidR="00203BA6" w:rsidRPr="00CC1F73" w:rsidRDefault="00203BA6" w:rsidP="00203BA6">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CC1F73">
        <w:rPr>
          <w:rFonts w:ascii="Palatino Linotype" w:eastAsiaTheme="minorHAnsi" w:hAnsi="Palatino Linotype" w:cs="Arial"/>
          <w:i/>
          <w:sz w:val="22"/>
          <w:lang w:val="es-MX" w:eastAsia="en-US"/>
        </w:rPr>
        <w:lastRenderedPageBreak/>
        <w:t>competencias o funciones, la ley determinará los supuestos específicos bajo los cuales procederá la declaración de inexistencia de la información.</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203BA6" w:rsidRPr="00CC1F73" w:rsidRDefault="00203BA6" w:rsidP="00203BA6">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03BA6"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CC1F73">
        <w:rPr>
          <w:rFonts w:ascii="Palatino Linotype" w:eastAsiaTheme="minorHAnsi" w:hAnsi="Palatino Linotype" w:cs="Arial"/>
          <w:lang w:val="es-MX" w:eastAsia="en-US"/>
        </w:rPr>
        <w:lastRenderedPageBreak/>
        <w:t>o no contener un nombre que identifique al solicitante o que permita tener certeza sobre su identidad.</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03BA6"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2"/>
          <w:lang w:val="es-MX" w:eastAsia="en-US"/>
        </w:rPr>
      </w:pPr>
    </w:p>
    <w:p w:rsidR="00203BA6" w:rsidRPr="00CC1F73" w:rsidRDefault="00203BA6" w:rsidP="00203BA6">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203BA6" w:rsidRPr="00CC1F73" w:rsidRDefault="00203BA6" w:rsidP="00203BA6">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ese orden de ideas, se estima que el requerimiento relativo al nombre como presupuesto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podría limitar el ejercicio del derecho de acceso a la </w:t>
      </w:r>
      <w:r w:rsidRPr="00CC1F73">
        <w:rPr>
          <w:rFonts w:ascii="Palatino Linotype" w:eastAsiaTheme="minorHAnsi" w:hAnsi="Palatino Linotype" w:cs="Arial"/>
          <w:lang w:val="es-MX" w:eastAsia="en-US"/>
        </w:rPr>
        <w:lastRenderedPageBreak/>
        <w:t>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CC1F73">
        <w:rPr>
          <w:rFonts w:ascii="Palatino Linotype" w:eastAsiaTheme="minorHAnsi" w:hAnsi="Palatino Linotype" w:cs="Arial"/>
          <w:lang w:val="es-MX" w:eastAsia="en-US"/>
        </w:rPr>
        <w:lastRenderedPageBreak/>
        <w:t>se desprende que el Recurrente, es la misma persona que realizó la solicitud de acceso a la información pública que ahora se impugna.</w:t>
      </w: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p>
    <w:p w:rsidR="00203BA6" w:rsidRPr="00CC1F73" w:rsidRDefault="00203BA6" w:rsidP="00203BA6">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03BA6" w:rsidRDefault="00203BA6" w:rsidP="00203BA6">
      <w:pPr>
        <w:spacing w:line="360" w:lineRule="auto"/>
        <w:ind w:right="49"/>
        <w:jc w:val="both"/>
        <w:rPr>
          <w:rFonts w:ascii="Palatino Linotype" w:hAnsi="Palatino Linotype" w:cs="Arial"/>
        </w:rPr>
      </w:pPr>
    </w:p>
    <w:p w:rsidR="00203BA6" w:rsidRPr="0047590A" w:rsidRDefault="00203BA6" w:rsidP="00203BA6">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w:t>
      </w:r>
      <w:proofErr w:type="spellStart"/>
      <w:r w:rsidRPr="003F13D5">
        <w:rPr>
          <w:rFonts w:ascii="Palatino Linotype" w:eastAsiaTheme="minorEastAsia" w:hAnsi="Palatino Linotype" w:cs="Arial"/>
          <w:lang w:val="es-ES_tradnl"/>
        </w:rPr>
        <w:t>procedibilidad</w:t>
      </w:r>
      <w:proofErr w:type="spellEnd"/>
      <w:r w:rsidRPr="003F13D5">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w:t>
      </w:r>
      <w:r w:rsidRPr="003F13D5">
        <w:rPr>
          <w:rFonts w:ascii="Palatino Linotype" w:eastAsiaTheme="minorEastAsia" w:hAnsi="Palatino Linotype" w:cs="Arial"/>
          <w:lang w:val="es-ES_tradnl"/>
        </w:rPr>
        <w:lastRenderedPageBreak/>
        <w:t>el recurso de revisión se advierta algún supuesto marcado por la Ley que permita sobreseerlo.</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Pr="003F13D5" w:rsidRDefault="00203BA6" w:rsidP="00203BA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203BA6" w:rsidRPr="003F13D5" w:rsidRDefault="00203BA6" w:rsidP="00203BA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3F13D5">
        <w:rPr>
          <w:rFonts w:ascii="Palatino Linotype" w:eastAsiaTheme="minorEastAsia" w:hAnsi="Palatino Linotype" w:cs="Arial"/>
          <w:i/>
          <w:sz w:val="22"/>
          <w:lang w:val="es-ES_tradnl"/>
        </w:rPr>
        <w:t>E</w:t>
      </w:r>
      <w:r w:rsidRPr="003F13D5">
        <w:rPr>
          <w:rFonts w:ascii="Palatino Linotype" w:eastAsiaTheme="minorEastAsia" w:hAnsi="Palatino Linotype" w:cs="Arial"/>
          <w:i/>
          <w:sz w:val="22"/>
          <w:u w:val="single"/>
          <w:lang w:val="es-ES_tradnl"/>
        </w:rPr>
        <w:t>l recurrente se desista expresamente del recurso</w:t>
      </w:r>
      <w:r w:rsidRPr="003F13D5">
        <w:rPr>
          <w:rFonts w:ascii="Palatino Linotype" w:eastAsiaTheme="minorEastAsia" w:hAnsi="Palatino Linotype" w:cs="Arial"/>
          <w:i/>
          <w:sz w:val="22"/>
          <w:lang w:val="es-ES_tradnl"/>
        </w:rPr>
        <w:t>;</w:t>
      </w:r>
    </w:p>
    <w:p w:rsidR="00203BA6" w:rsidRPr="003F13D5" w:rsidRDefault="00203BA6" w:rsidP="00203BA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 El recurrente fallezca o, tratándose de personas jurídicas colectivas, se disuelva;</w:t>
      </w:r>
    </w:p>
    <w:p w:rsidR="00203BA6" w:rsidRPr="003F13D5" w:rsidRDefault="00203BA6" w:rsidP="00203BA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203BA6" w:rsidRPr="003F13D5" w:rsidRDefault="00203BA6" w:rsidP="00203BA6">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203BA6" w:rsidRDefault="00203BA6" w:rsidP="00203BA6">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203BA6" w:rsidRDefault="00203BA6" w:rsidP="00203BA6">
      <w:pPr>
        <w:ind w:left="567" w:right="616"/>
        <w:jc w:val="both"/>
        <w:rPr>
          <w:rFonts w:ascii="Palatino Linotype" w:eastAsiaTheme="minorEastAsia" w:hAnsi="Palatino Linotype" w:cs="Arial"/>
          <w:sz w:val="22"/>
          <w:lang w:val="es-ES_tradnl"/>
        </w:rPr>
      </w:pPr>
    </w:p>
    <w:p w:rsidR="00203BA6" w:rsidRPr="003F13D5" w:rsidRDefault="00203BA6" w:rsidP="00203BA6">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203BA6"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la </w:t>
      </w:r>
      <w:r w:rsidRPr="00A11CF7">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expresó su voluntad de desistirse del recurso. </w:t>
      </w: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la</w:t>
      </w:r>
      <w:r w:rsidRPr="003F13D5">
        <w:rPr>
          <w:rFonts w:ascii="Palatino Linotype" w:eastAsiaTheme="minorEastAsia" w:hAnsi="Palatino Linotype" w:cs="Arial"/>
          <w:b/>
          <w:lang w:val="es-ES_tradnl"/>
        </w:rPr>
        <w:t xml:space="preserve"> Recurrente</w:t>
      </w:r>
      <w:r w:rsidRPr="003F13D5">
        <w:rPr>
          <w:rFonts w:ascii="Palatino Linotype" w:eastAsiaTheme="minorEastAsia" w:hAnsi="Palatino Linotype" w:cs="Arial"/>
          <w:lang w:val="es-ES_tradnl"/>
        </w:rPr>
        <w:t xml:space="preserve">, sin existir coacción o dolo, en ejercicio de sus derechos, se desiste del recurso en que se actúa, por lo que se procede a la valoración, respecto de si el desistimiento cumple con lo establecido en la </w:t>
      </w:r>
      <w:r w:rsidRPr="003F13D5">
        <w:rPr>
          <w:rFonts w:ascii="Palatino Linotype" w:eastAsiaTheme="minorEastAsia" w:hAnsi="Palatino Linotype" w:cs="Arial"/>
          <w:lang w:val="es-ES_tradnl"/>
        </w:rPr>
        <w:lastRenderedPageBreak/>
        <w:t>fracción I del artículo 192 de la Ley de Transparencia y Acceso a la Información Pública del Estado de México y Municipios.</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la</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Pr>
          <w:rFonts w:ascii="Palatino Linotype" w:eastAsiaTheme="minorEastAsia" w:hAnsi="Palatino Linotype" w:cs="Arial"/>
          <w:b/>
          <w:lang w:val="es-ES_tradnl"/>
        </w:rPr>
        <w:t>00011/ICATI</w:t>
      </w:r>
      <w:r w:rsidRPr="002C0BFD">
        <w:rPr>
          <w:rFonts w:ascii="Palatino Linotype" w:eastAsiaTheme="minorEastAsia" w:hAnsi="Palatino Linotype" w:cs="Arial"/>
          <w:b/>
          <w:lang w:val="es-ES_tradnl"/>
        </w:rPr>
        <w:t>/IP/2022</w:t>
      </w:r>
      <w:r w:rsidRPr="003F13D5">
        <w:rPr>
          <w:rFonts w:ascii="Palatino Linotype" w:eastAsiaTheme="minorEastAsia" w:hAnsi="Palatino Linotype" w:cs="Arial"/>
          <w:lang w:val="es-ES_tradnl"/>
        </w:rPr>
        <w:t xml:space="preserve">, y quien, posteriormente interpuso el presente recurso de revisión número </w:t>
      </w:r>
      <w:r w:rsidRPr="0004427D">
        <w:rPr>
          <w:rFonts w:ascii="Palatino Linotype" w:eastAsiaTheme="minorEastAsia" w:hAnsi="Palatino Linotype" w:cs="Arial"/>
          <w:b/>
          <w:lang w:val="es-ES_tradnl"/>
        </w:rPr>
        <w:t>0</w:t>
      </w:r>
      <w:r>
        <w:rPr>
          <w:rFonts w:ascii="Palatino Linotype" w:eastAsiaTheme="minorEastAsia" w:hAnsi="Palatino Linotype" w:cs="Arial"/>
          <w:b/>
          <w:lang w:val="es-ES_tradnl"/>
        </w:rPr>
        <w:t>6510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respuesta otorgada; todo esto, de conformidad con las actuaciones que obran en el expediente electrónico del SAIMEX.</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w:t>
      </w:r>
      <w:r>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l</w:t>
      </w:r>
      <w:r>
        <w:rPr>
          <w:rFonts w:ascii="Palatino Linotype" w:eastAsiaTheme="minorEastAsia" w:hAnsi="Palatino Linotype" w:cs="Arial"/>
          <w:lang w:val="es-ES_tradnl"/>
        </w:rPr>
        <w:t>a</w:t>
      </w:r>
      <w:r w:rsidRPr="003F13D5">
        <w:rPr>
          <w:rFonts w:ascii="Palatino Linotype" w:eastAsiaTheme="minorEastAsia" w:hAnsi="Palatino Linotype" w:cs="Arial"/>
          <w:lang w:val="es-ES_tradnl"/>
        </w:rPr>
        <w:t xml:space="preserve"> </w:t>
      </w:r>
      <w:r w:rsidRPr="002C0BF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la</w:t>
      </w:r>
      <w:r w:rsidRPr="003F13D5">
        <w:rPr>
          <w:rFonts w:ascii="Palatino Linotype" w:eastAsiaTheme="minorEastAsia" w:hAnsi="Palatino Linotype" w:cs="Arial"/>
          <w:lang w:val="es-ES_tradnl"/>
        </w:rPr>
        <w:t xml:space="preserve"> </w:t>
      </w:r>
      <w:r w:rsidRPr="002C0BF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Pr="003F13D5"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203BA6" w:rsidRDefault="00203BA6" w:rsidP="00203BA6">
      <w:pPr>
        <w:spacing w:line="360" w:lineRule="auto"/>
        <w:jc w:val="both"/>
        <w:rPr>
          <w:rFonts w:ascii="Palatino Linotype" w:eastAsiaTheme="minorEastAsia" w:hAnsi="Palatino Linotype" w:cs="Arial"/>
          <w:lang w:val="es-ES_tradnl"/>
        </w:rPr>
      </w:pPr>
    </w:p>
    <w:p w:rsidR="00203BA6" w:rsidRPr="003F13D5" w:rsidRDefault="00203BA6" w:rsidP="00203BA6">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sidRPr="0004427D">
        <w:rPr>
          <w:rFonts w:ascii="Palatino Linotype" w:eastAsiaTheme="minorEastAsia" w:hAnsi="Palatino Linotype" w:cs="Arial"/>
          <w:b/>
          <w:lang w:val="es-ES_tradnl"/>
        </w:rPr>
        <w:t>0</w:t>
      </w:r>
      <w:r>
        <w:rPr>
          <w:rFonts w:ascii="Palatino Linotype" w:eastAsiaTheme="minorEastAsia" w:hAnsi="Palatino Linotype" w:cs="Arial"/>
          <w:b/>
          <w:lang w:val="es-ES_tradnl"/>
        </w:rPr>
        <w:t>6510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en términos del Considerando Tercero de la presente resolución.</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Default="00203BA6" w:rsidP="00203BA6">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rsidR="00203BA6" w:rsidRPr="003F13D5" w:rsidRDefault="00203BA6" w:rsidP="00203BA6">
      <w:pPr>
        <w:spacing w:line="360" w:lineRule="auto"/>
        <w:jc w:val="both"/>
        <w:rPr>
          <w:rFonts w:ascii="Palatino Linotype" w:eastAsiaTheme="minorEastAsia" w:hAnsi="Palatino Linotype" w:cs="Arial"/>
          <w:lang w:val="es-ES_tradnl"/>
        </w:rPr>
      </w:pPr>
    </w:p>
    <w:p w:rsidR="00203BA6" w:rsidRPr="003F13D5" w:rsidRDefault="00203BA6" w:rsidP="00203BA6">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203BA6" w:rsidRDefault="00203BA6" w:rsidP="00203BA6">
      <w:pPr>
        <w:spacing w:line="360" w:lineRule="auto"/>
        <w:jc w:val="both"/>
        <w:rPr>
          <w:rFonts w:ascii="Palatino Linotype" w:eastAsiaTheme="minorHAnsi" w:hAnsi="Palatino Linotype" w:cstheme="minorBidi"/>
          <w:lang w:val="es-MX" w:eastAsia="es-ES_tradnl"/>
        </w:rPr>
      </w:pPr>
    </w:p>
    <w:p w:rsidR="00203BA6" w:rsidRDefault="00203BA6" w:rsidP="00203BA6">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VIGESIMA SEGUNDA SESIÓN ORDINARIA, CELEBRADA EL QUINCE DE JUNIO DE DOS MIL VEINTIDÓS, ANTE EL SECRETARIO TÉCNICO DEL PLENO ALEXIS TAPIA RAMÍREZ</w:t>
      </w:r>
      <w:r>
        <w:rPr>
          <w:rFonts w:ascii="Palatino Linotype" w:hAnsi="Palatino Linotype" w:cs="Arial"/>
        </w:rPr>
        <w:t>. --------------------------------------------------------------------------------------------------------------------------------------------------------------------------------------------------------------------------------------------------------------------------------------------------------------------------------------------------------------------------------------------------------------------------------------------------------------------------------------------------------------------------------------------------------------------------------------------------------------------------------------------------------------------------------------------------------------------------------------------------------------------------------------------------------------------------------------------------------------------------------------------------------------------------------------------------------------------------------------------------------------------------------------------------------------------------------------------------------------------------------------------------------------------</w:t>
      </w:r>
      <w:r w:rsidR="00805FEE" w:rsidRPr="00C45081">
        <w:rPr>
          <w:rFonts w:ascii="Palatino Linotype" w:hAnsi="Palatino Linotype" w:cs="Arial"/>
        </w:rPr>
        <w:t>--------------------------------------------------------------------------------------------------------------------------------------------------------------------------------------------------------------------------------------------------------------------------------------------------------------------------------------------------------------------------------------------------------------------------------------------------------------------</w:t>
      </w:r>
      <w:r w:rsidR="00805FEE">
        <w:rPr>
          <w:rFonts w:ascii="Palatino Linotype" w:hAnsi="Palatino Linotype" w:cs="Arial"/>
        </w:rPr>
        <w:t>----</w:t>
      </w:r>
    </w:p>
    <w:p w:rsidR="00203BA6" w:rsidRPr="002C0BFD" w:rsidRDefault="00203BA6" w:rsidP="00203BA6">
      <w:pPr>
        <w:spacing w:line="360" w:lineRule="auto"/>
        <w:jc w:val="both"/>
        <w:rPr>
          <w:rFonts w:ascii="Palatino Linotype" w:hAnsi="Palatino Linotype" w:cs="Arial"/>
          <w:sz w:val="20"/>
        </w:rPr>
      </w:pPr>
      <w:r w:rsidRPr="002C0BFD">
        <w:rPr>
          <w:rFonts w:ascii="Palatino Linotype" w:hAnsi="Palatino Linotype" w:cs="Arial"/>
          <w:sz w:val="20"/>
        </w:rPr>
        <w:t>CCR/</w:t>
      </w:r>
      <w:r>
        <w:rPr>
          <w:rFonts w:ascii="Palatino Linotype" w:hAnsi="Palatino Linotype" w:cs="Arial"/>
          <w:sz w:val="20"/>
        </w:rPr>
        <w:t>BPAC</w:t>
      </w:r>
    </w:p>
    <w:p w:rsidR="00203BA6" w:rsidRDefault="00203BA6" w:rsidP="00203BA6">
      <w:pPr>
        <w:spacing w:line="360" w:lineRule="auto"/>
        <w:jc w:val="both"/>
        <w:rPr>
          <w:rFonts w:ascii="Palatino Linotype" w:hAnsi="Palatino Linotype" w:cs="Arial"/>
        </w:rPr>
      </w:pPr>
    </w:p>
    <w:p w:rsidR="00203BA6" w:rsidRDefault="00203BA6" w:rsidP="00203BA6">
      <w:pPr>
        <w:spacing w:line="360" w:lineRule="auto"/>
        <w:jc w:val="both"/>
        <w:rPr>
          <w:rFonts w:ascii="Palatino Linotype" w:hAnsi="Palatino Linotype" w:cs="Arial"/>
        </w:rPr>
      </w:pPr>
    </w:p>
    <w:p w:rsidR="00203BA6" w:rsidRDefault="00203BA6" w:rsidP="00203BA6">
      <w:pPr>
        <w:spacing w:line="360" w:lineRule="auto"/>
        <w:jc w:val="both"/>
        <w:rPr>
          <w:rFonts w:ascii="Palatino Linotype" w:hAnsi="Palatino Linotype" w:cs="Arial"/>
        </w:rPr>
      </w:pPr>
    </w:p>
    <w:p w:rsidR="00203BA6" w:rsidRDefault="00203BA6" w:rsidP="00203BA6"/>
    <w:p w:rsidR="00203BA6" w:rsidRDefault="00203BA6" w:rsidP="00203BA6"/>
    <w:p w:rsidR="00203BA6" w:rsidRDefault="00203BA6" w:rsidP="00203BA6"/>
    <w:p w:rsidR="00203BA6" w:rsidRDefault="00203BA6" w:rsidP="00203BA6"/>
    <w:p w:rsidR="00203BA6" w:rsidRDefault="00203BA6" w:rsidP="00203BA6"/>
    <w:p w:rsidR="00203BA6" w:rsidRDefault="00203BA6" w:rsidP="00203BA6"/>
    <w:p w:rsidR="00203BA6" w:rsidRDefault="00203BA6" w:rsidP="00203BA6"/>
    <w:p w:rsidR="00203BA6" w:rsidRDefault="00203BA6" w:rsidP="00203BA6"/>
    <w:p w:rsidR="00203BA6" w:rsidRDefault="00203BA6" w:rsidP="00203BA6"/>
    <w:p w:rsidR="00203BA6" w:rsidRDefault="00203BA6" w:rsidP="00203BA6"/>
    <w:p w:rsidR="00203BA6" w:rsidRDefault="00203BA6" w:rsidP="00203BA6"/>
    <w:p w:rsidR="00025E05" w:rsidRDefault="00025E05"/>
    <w:sectPr w:rsidR="00025E05"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6C4" w:rsidRDefault="00B836C4">
      <w:r>
        <w:separator/>
      </w:r>
    </w:p>
  </w:endnote>
  <w:endnote w:type="continuationSeparator" w:id="0">
    <w:p w:rsidR="00B836C4" w:rsidRDefault="00B8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A2780F" w:rsidRDefault="006808C5"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6C9D">
      <w:rPr>
        <w:rFonts w:ascii="Arial" w:hAnsi="Arial" w:cs="Arial"/>
        <w:b/>
        <w:bCs/>
        <w:noProof/>
        <w:sz w:val="20"/>
        <w:szCs w:val="20"/>
      </w:rPr>
      <w:t>17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6C9D">
      <w:rPr>
        <w:rFonts w:ascii="Arial" w:hAnsi="Arial" w:cs="Arial"/>
        <w:b/>
        <w:bCs/>
        <w:noProof/>
        <w:sz w:val="20"/>
        <w:szCs w:val="20"/>
      </w:rPr>
      <w:t>18</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070856" w:rsidRDefault="006808C5"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273E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273E8">
      <w:rPr>
        <w:rFonts w:ascii="Arial" w:hAnsi="Arial" w:cs="Arial"/>
        <w:b/>
        <w:bCs/>
        <w:noProof/>
        <w:sz w:val="20"/>
        <w:szCs w:val="20"/>
      </w:rPr>
      <w:t>18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6C4" w:rsidRDefault="00B836C4">
      <w:r>
        <w:separator/>
      </w:r>
    </w:p>
  </w:footnote>
  <w:footnote w:type="continuationSeparator" w:id="0">
    <w:p w:rsidR="00B836C4" w:rsidRDefault="00B836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6808C5"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6808C5" w:rsidP="00382B8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6510/INFOEM/IP/RR/2022</w:t>
          </w:r>
        </w:p>
      </w:tc>
    </w:tr>
    <w:tr w:rsidR="001B5F43" w:rsidRPr="008F2CCC" w:rsidTr="001B5F43">
      <w:tc>
        <w:tcPr>
          <w:tcW w:w="3620" w:type="dxa"/>
          <w:shd w:val="clear" w:color="auto" w:fill="auto"/>
        </w:tcPr>
        <w:p w:rsidR="001B5F43" w:rsidRPr="007E5FC4" w:rsidRDefault="006808C5"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B5F43" w:rsidRPr="00664658" w:rsidRDefault="006808C5" w:rsidP="001B5F43">
          <w:pPr>
            <w:spacing w:line="276" w:lineRule="auto"/>
            <w:jc w:val="right"/>
            <w:rPr>
              <w:rFonts w:ascii="Palatino Linotype" w:hAnsi="Palatino Linotype"/>
              <w:b/>
              <w:sz w:val="22"/>
              <w:szCs w:val="22"/>
              <w:lang w:val="es-ES_tradnl"/>
            </w:rPr>
          </w:pPr>
          <w:r w:rsidRPr="00382B87">
            <w:rPr>
              <w:rFonts w:ascii="Palatino Linotype" w:hAnsi="Palatino Linotype"/>
              <w:b/>
              <w:sz w:val="22"/>
              <w:szCs w:val="22"/>
            </w:rPr>
            <w:t>Instituto de Capacitación y Adiestramiento para el Trabajo Industrial</w:t>
          </w:r>
        </w:p>
      </w:tc>
    </w:tr>
    <w:tr w:rsidR="001B5F43" w:rsidRPr="008F2CCC" w:rsidTr="001B5F43">
      <w:trPr>
        <w:trHeight w:val="228"/>
      </w:trPr>
      <w:tc>
        <w:tcPr>
          <w:tcW w:w="3620" w:type="dxa"/>
          <w:shd w:val="clear" w:color="auto" w:fill="auto"/>
        </w:tcPr>
        <w:p w:rsidR="001B5F43" w:rsidRPr="007E5FC4" w:rsidRDefault="006808C5"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6808C5"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6808C5"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7CF2CD5" wp14:editId="41F7DD8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6808C5"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6808C5" w:rsidP="007A152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06510/INFOEM/IP/RR/2022</w:t>
          </w:r>
        </w:p>
      </w:tc>
    </w:tr>
    <w:tr w:rsidR="001B5F43" w:rsidRPr="008F2CCC" w:rsidTr="001B5F43">
      <w:tc>
        <w:tcPr>
          <w:tcW w:w="2977" w:type="dxa"/>
          <w:shd w:val="clear" w:color="auto" w:fill="auto"/>
          <w:vAlign w:val="center"/>
        </w:tcPr>
        <w:p w:rsidR="001B5F43" w:rsidRPr="007E5FC4" w:rsidRDefault="006808C5"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9273E8"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p>
      </w:tc>
    </w:tr>
    <w:tr w:rsidR="001B5F43" w:rsidRPr="008F2CCC" w:rsidTr="001B5F43">
      <w:trPr>
        <w:trHeight w:val="228"/>
      </w:trPr>
      <w:tc>
        <w:tcPr>
          <w:tcW w:w="2977" w:type="dxa"/>
          <w:shd w:val="clear" w:color="auto" w:fill="auto"/>
        </w:tcPr>
        <w:p w:rsidR="001B5F43" w:rsidRPr="007E5FC4" w:rsidRDefault="006808C5"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6808C5" w:rsidP="001B5F43">
          <w:pPr>
            <w:spacing w:line="360" w:lineRule="auto"/>
            <w:jc w:val="right"/>
            <w:rPr>
              <w:rFonts w:ascii="Palatino Linotype" w:hAnsi="Palatino Linotype"/>
              <w:b/>
              <w:sz w:val="22"/>
              <w:szCs w:val="22"/>
            </w:rPr>
          </w:pPr>
          <w:r w:rsidRPr="007A1527">
            <w:rPr>
              <w:rFonts w:ascii="Palatino Linotype" w:hAnsi="Palatino Linotype"/>
              <w:b/>
              <w:bCs/>
              <w:sz w:val="22"/>
              <w:szCs w:val="22"/>
            </w:rPr>
            <w:t>Instituto de Capacitación y Adiestramiento para el Trabajo Industrial</w:t>
          </w:r>
        </w:p>
      </w:tc>
    </w:tr>
    <w:tr w:rsidR="001B5F43" w:rsidRPr="008F2CCC" w:rsidTr="001B5F43">
      <w:tc>
        <w:tcPr>
          <w:tcW w:w="2977" w:type="dxa"/>
          <w:shd w:val="clear" w:color="auto" w:fill="auto"/>
        </w:tcPr>
        <w:p w:rsidR="001B5F43" w:rsidRPr="007E5FC4" w:rsidRDefault="006808C5"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6808C5"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6808C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CFAE221" wp14:editId="1FC1F48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A6"/>
    <w:rsid w:val="00025E05"/>
    <w:rsid w:val="00203BA6"/>
    <w:rsid w:val="0021697A"/>
    <w:rsid w:val="005A5054"/>
    <w:rsid w:val="006808C5"/>
    <w:rsid w:val="00805FEE"/>
    <w:rsid w:val="009273E8"/>
    <w:rsid w:val="00B836C4"/>
    <w:rsid w:val="00FB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7977"/>
  <w15:chartTrackingRefBased/>
  <w15:docId w15:val="{5D9D3AE2-2477-400D-BDE3-026778CE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A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BA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3BA6"/>
    <w:rPr>
      <w:rFonts w:eastAsiaTheme="minorEastAsia"/>
      <w:sz w:val="24"/>
      <w:szCs w:val="24"/>
      <w:lang w:val="es-ES_tradnl" w:eastAsia="es-ES"/>
    </w:rPr>
  </w:style>
  <w:style w:type="paragraph" w:styleId="Piedepgina">
    <w:name w:val="footer"/>
    <w:basedOn w:val="Normal"/>
    <w:link w:val="PiedepginaCar"/>
    <w:uiPriority w:val="99"/>
    <w:unhideWhenUsed/>
    <w:rsid w:val="00203BA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3BA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3BA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3BA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4725</Words>
  <Characters>25991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5</cp:revision>
  <dcterms:created xsi:type="dcterms:W3CDTF">2022-06-08T23:08:00Z</dcterms:created>
  <dcterms:modified xsi:type="dcterms:W3CDTF">2022-06-27T03:40:00Z</dcterms:modified>
</cp:coreProperties>
</file>