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CE" w:rsidRDefault="00A86A9C">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B40F88">
        <w:rPr>
          <w:rFonts w:ascii="Palatino Linotype" w:eastAsia="Palatino Linotype" w:hAnsi="Palatino Linotype" w:cs="Palatino Linotype"/>
          <w:b/>
        </w:rPr>
        <w:t>cuatro</w:t>
      </w:r>
      <w:r>
        <w:rPr>
          <w:rFonts w:ascii="Palatino Linotype" w:eastAsia="Palatino Linotype" w:hAnsi="Palatino Linotype" w:cs="Palatino Linotype"/>
          <w:b/>
        </w:rPr>
        <w:t xml:space="preserve"> de febrero del dos mil veintidós</w:t>
      </w:r>
      <w:r>
        <w:rPr>
          <w:rFonts w:ascii="Palatino Linotype" w:eastAsia="Palatino Linotype" w:hAnsi="Palatino Linotype" w:cs="Palatino Linotype"/>
        </w:rPr>
        <w:t>.</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05729/INFOEM/IP</w:t>
      </w:r>
      <w:r>
        <w:rPr>
          <w:rFonts w:ascii="Palatino Linotype" w:eastAsia="Palatino Linotype" w:hAnsi="Palatino Linotype" w:cs="Palatino Linotype"/>
          <w:b/>
          <w:color w:val="000000"/>
          <w:sz w:val="22"/>
          <w:szCs w:val="22"/>
        </w:rPr>
        <w:t>/RR/2021</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 parte</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00258/TEPETLIX/IP/2021</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Tepetlixpa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A91ECE" w:rsidRDefault="00A86A9C">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A91ECE" w:rsidRDefault="00A86A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doce de octubre del dos mil veintiuno,</w:t>
      </w:r>
      <w:r>
        <w:rPr>
          <w:rFonts w:ascii="Palatino Linotype" w:eastAsia="Palatino Linotype" w:hAnsi="Palatino Linotype" w:cs="Palatino Linotype"/>
        </w:rPr>
        <w:t xml:space="preserve"> la ahora </w:t>
      </w:r>
      <w:r>
        <w:rPr>
          <w:rFonts w:ascii="Palatino Linotype" w:eastAsia="Palatino Linotype" w:hAnsi="Palatino Linotype" w:cs="Palatino Linotype"/>
          <w:b/>
        </w:rPr>
        <w:t>parte 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A91ECE" w:rsidRDefault="00A86A9C">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“LISTA Y COSTO ECONOMICO DE CADA UNA DE LAS OBRAS DE TODO EL EJERCICIO FISCAL 2021 ( DESGLOSADO CONCEPTO Y COSTO ECONOMICO DE CADA UNA) EN MONEDA NACIONAL” (Sic)</w:t>
      </w:r>
    </w:p>
    <w:p w:rsidR="00A91ECE" w:rsidRDefault="00A91ECE">
      <w:pPr>
        <w:ind w:left="851" w:right="902"/>
        <w:jc w:val="both"/>
        <w:rPr>
          <w:rFonts w:ascii="Palatino Linotype" w:eastAsia="Palatino Linotype" w:hAnsi="Palatino Linotype" w:cs="Palatino Linotype"/>
          <w:i/>
          <w:sz w:val="22"/>
          <w:szCs w:val="22"/>
        </w:rPr>
      </w:pPr>
    </w:p>
    <w:p w:rsidR="00A91ECE" w:rsidRDefault="00A86A9C">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cinco de noviembre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SAIMEX, respuesta a la solicitud de acceso a la información de la siguiente manera:</w:t>
      </w:r>
    </w:p>
    <w:p w:rsidR="00A91ECE" w:rsidRDefault="00A86A9C">
      <w:pPr>
        <w:spacing w:before="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A91ECE" w:rsidRDefault="00A86A9C">
      <w:pPr>
        <w:spacing w:before="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RELACIÓN A LA SOLICITUD N:000258/TEPETLIX/IP/2021, SE ANEXA LISTADO A SOLICITUD QUE A LA LETRA DICE " LISTA Y COSTO ECONÓMICO DE CADA UNA DE LAS OBRAS DE TODO EL EJERCICIO FISCAL 2021 (DESGLOSADO CONCEPTO Y COSTO ECONÓMICO DE CADA UNA) EN MONEDA NACIONAL".” (Sic)</w:t>
      </w:r>
    </w:p>
    <w:p w:rsidR="00A91ECE" w:rsidRDefault="00A91ECE">
      <w:pPr>
        <w:spacing w:line="360" w:lineRule="auto"/>
        <w:jc w:val="both"/>
      </w:pPr>
    </w:p>
    <w:p w:rsidR="00A91ECE" w:rsidRDefault="00A86A9C">
      <w:pPr>
        <w:spacing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rPr>
        <w:t xml:space="preserve">Archivos adjuntos: </w:t>
      </w:r>
      <w:r>
        <w:rPr>
          <w:rFonts w:ascii="Palatino Linotype" w:eastAsia="Palatino Linotype" w:hAnsi="Palatino Linotype" w:cs="Palatino Linotype"/>
        </w:rPr>
        <w:t xml:space="preserve">El Sujeto Obligado remitió el archivo electrónico denominado </w:t>
      </w:r>
      <w:r>
        <w:rPr>
          <w:rFonts w:ascii="Palatino Linotype" w:eastAsia="Palatino Linotype" w:hAnsi="Palatino Linotype" w:cs="Palatino Linotype"/>
          <w:b/>
          <w:i/>
        </w:rPr>
        <w:t xml:space="preserve">“LISTA OBRAS EJERCICIO 2021.pdf”, </w:t>
      </w:r>
      <w:r>
        <w:rPr>
          <w:rFonts w:ascii="Palatino Linotype" w:eastAsia="Palatino Linotype" w:hAnsi="Palatino Linotype" w:cs="Palatino Linotype"/>
        </w:rPr>
        <w:t>el cual se inserta a continuación para mayor referencia:</w:t>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419100</wp:posOffset>
                </wp:positionH>
                <wp:positionV relativeFrom="paragraph">
                  <wp:posOffset>939800</wp:posOffset>
                </wp:positionV>
                <wp:extent cx="4848225" cy="4676775"/>
                <wp:effectExtent l="0" t="0" r="0" b="0"/>
                <wp:wrapNone/>
                <wp:docPr id="40" name="Conector recto de flecha 40"/>
                <wp:cNvGraphicFramePr/>
                <a:graphic xmlns:a="http://schemas.openxmlformats.org/drawingml/2006/main">
                  <a:graphicData uri="http://schemas.microsoft.com/office/word/2010/wordprocessingShape">
                    <wps:wsp>
                      <wps:cNvCnPr/>
                      <wps:spPr>
                        <a:xfrm>
                          <a:off x="2926650" y="1446375"/>
                          <a:ext cx="4838700" cy="466725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wp:posOffset>
                </wp:positionH>
                <wp:positionV relativeFrom="paragraph">
                  <wp:posOffset>939800</wp:posOffset>
                </wp:positionV>
                <wp:extent cx="4848225" cy="4676775"/>
                <wp:effectExtent b="0" l="0" r="0" t="0"/>
                <wp:wrapNone/>
                <wp:docPr id="4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4848225" cy="4676775"/>
                        </a:xfrm>
                        <a:prstGeom prst="rect"/>
                        <a:ln/>
                      </pic:spPr>
                    </pic:pic>
                  </a:graphicData>
                </a:graphic>
              </wp:anchor>
            </w:drawing>
          </mc:Fallback>
        </mc:AlternateContent>
      </w:r>
    </w:p>
    <w:p w:rsidR="00A91ECE" w:rsidRDefault="00A86A9C">
      <w:pPr>
        <w:spacing w:line="360"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rPr>
        <w:lastRenderedPageBreak/>
        <w:drawing>
          <wp:inline distT="0" distB="0" distL="0" distR="0">
            <wp:extent cx="5457825" cy="8220075"/>
            <wp:effectExtent l="0" t="0" r="0" b="0"/>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457825" cy="8220075"/>
                    </a:xfrm>
                    <a:prstGeom prst="rect">
                      <a:avLst/>
                    </a:prstGeom>
                    <a:ln/>
                  </pic:spPr>
                </pic:pic>
              </a:graphicData>
            </a:graphic>
          </wp:inline>
        </w:drawing>
      </w:r>
    </w:p>
    <w:p w:rsidR="00A91ECE" w:rsidRDefault="00A86A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lastRenderedPageBreak/>
        <w:drawing>
          <wp:inline distT="0" distB="0" distL="0" distR="0">
            <wp:extent cx="4953000" cy="4838700"/>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953000" cy="4838700"/>
                    </a:xfrm>
                    <a:prstGeom prst="rect">
                      <a:avLst/>
                    </a:prstGeom>
                    <a:ln/>
                  </pic:spPr>
                </pic:pic>
              </a:graphicData>
            </a:graphic>
          </wp:inline>
        </w:drawing>
      </w:r>
    </w:p>
    <w:p w:rsidR="00A91ECE" w:rsidRDefault="00A86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la parte Recurrente interpuso en fecha </w:t>
      </w:r>
      <w:r>
        <w:rPr>
          <w:rFonts w:ascii="Palatino Linotype" w:eastAsia="Palatino Linotype" w:hAnsi="Palatino Linotype" w:cs="Palatino Linotype"/>
          <w:b/>
        </w:rPr>
        <w:t>dieciocho de noviembre del año dos mil veintiuno</w:t>
      </w:r>
      <w:r>
        <w:rPr>
          <w:rFonts w:ascii="Palatino Linotype" w:eastAsia="Palatino Linotype" w:hAnsi="Palatino Linotype" w:cs="Palatino Linotype"/>
        </w:rPr>
        <w:t>, el presente medio de impugnación expresando las siguientes manifestaciones:</w:t>
      </w:r>
    </w:p>
    <w:p w:rsidR="00A91ECE" w:rsidRDefault="00A91ECE">
      <w:pPr>
        <w:spacing w:line="360" w:lineRule="auto"/>
        <w:jc w:val="both"/>
        <w:rPr>
          <w:rFonts w:ascii="Palatino Linotype" w:eastAsia="Palatino Linotype" w:hAnsi="Palatino Linotype" w:cs="Palatino Linotype"/>
        </w:rPr>
      </w:pPr>
    </w:p>
    <w:p w:rsidR="00A91ECE" w:rsidRDefault="00A86A9C">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A91ECE" w:rsidRDefault="00A86A9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entregran informacion en tiempo y forma como marca la ley de trasparencia del Estado de Mexico” (Sic)</w:t>
      </w:r>
    </w:p>
    <w:p w:rsidR="00A91ECE" w:rsidRDefault="00A91ECE">
      <w:pPr>
        <w:ind w:left="851" w:right="902"/>
        <w:jc w:val="both"/>
        <w:rPr>
          <w:rFonts w:ascii="Palatino Linotype" w:eastAsia="Palatino Linotype" w:hAnsi="Palatino Linotype" w:cs="Palatino Linotype"/>
          <w:i/>
          <w:sz w:val="22"/>
          <w:szCs w:val="22"/>
        </w:rPr>
      </w:pPr>
    </w:p>
    <w:p w:rsidR="00A91ECE" w:rsidRDefault="00A91ECE">
      <w:pPr>
        <w:spacing w:after="240" w:line="360" w:lineRule="auto"/>
        <w:ind w:left="567"/>
        <w:jc w:val="both"/>
        <w:rPr>
          <w:rFonts w:ascii="Palatino Linotype" w:eastAsia="Palatino Linotype" w:hAnsi="Palatino Linotype" w:cs="Palatino Linotype"/>
          <w:b/>
        </w:rPr>
      </w:pPr>
    </w:p>
    <w:p w:rsidR="00A91ECE" w:rsidRDefault="00A91ECE">
      <w:pPr>
        <w:spacing w:after="240" w:line="360" w:lineRule="auto"/>
        <w:ind w:left="567"/>
        <w:jc w:val="both"/>
        <w:rPr>
          <w:rFonts w:ascii="Palatino Linotype" w:eastAsia="Palatino Linotype" w:hAnsi="Palatino Linotype" w:cs="Palatino Linotype"/>
          <w:b/>
        </w:rPr>
      </w:pPr>
    </w:p>
    <w:p w:rsidR="00A91ECE" w:rsidRDefault="00A86A9C">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Razones o motivos de inconformidad.</w:t>
      </w:r>
    </w:p>
    <w:p w:rsidR="00A91ECE" w:rsidRDefault="00A86A9C">
      <w:pPr>
        <w:spacing w:before="240" w:after="240"/>
        <w:ind w:left="567" w:right="900"/>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“no entregran informacion en tiempo y forma como marca la ley de trasparencia del Estado de Mexico” (Sic)</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para su análisis, estudio, elaboración del proyecto y presentación ante el Pleno de este Instituto.</w:t>
      </w:r>
    </w:p>
    <w:p w:rsidR="00A91ECE" w:rsidRDefault="00A86A9C">
      <w:pPr>
        <w:spacing w:before="240" w:after="240" w:line="360" w:lineRule="auto"/>
        <w:jc w:val="both"/>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Mediante auto de fecha </w:t>
      </w:r>
      <w:r>
        <w:rPr>
          <w:rFonts w:ascii="Palatino Linotype" w:eastAsia="Palatino Linotype" w:hAnsi="Palatino Linotype" w:cs="Palatino Linotype"/>
          <w:b/>
        </w:rPr>
        <w:t>veintitrés de noviembre del dos mil veintiuno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rsidR="00A91ECE" w:rsidRDefault="00A86A9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De las constancias que integran el expediente en que se actúan se advierte que el Sujeto Obligado fue omiso en rendir su informe justificado, asimismo se precisa que la parte Recurrente fue omisa en remitir sus alegatos, manifestaciones o cualquier argumento que a su derecho convenga, por lo cual se tiene por precluido su derecho para tal efecto.</w:t>
      </w:r>
    </w:p>
    <w:p w:rsidR="00A91ECE" w:rsidRDefault="00A86A9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114300" distB="114300" distL="114300" distR="114300">
            <wp:extent cx="5612130" cy="1549400"/>
            <wp:effectExtent l="0" t="0" r="0" b="0"/>
            <wp:docPr id="4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12130" cy="1549400"/>
                    </a:xfrm>
                    <a:prstGeom prst="rect">
                      <a:avLst/>
                    </a:prstGeom>
                    <a:ln/>
                  </pic:spPr>
                </pic:pic>
              </a:graphicData>
            </a:graphic>
          </wp:inline>
        </w:drawing>
      </w:r>
    </w:p>
    <w:p w:rsidR="00A91ECE" w:rsidRDefault="00A86A9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veintiséis de enero del año dos mil veintidós</w:t>
      </w:r>
      <w:r>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veintiséis de enero del año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A91ECE" w:rsidRDefault="00A86A9C">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A91ECE" w:rsidRDefault="00A86A9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A91ECE" w:rsidRDefault="00A86A9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De conformidad con los requisitos de oportunidad que debe reunir el recurso de revisión interpuesto, previsto en el artículo 178, párrafo primero de la Ley de Transparencia y Acceso a la Información Pública del Estado de México y Municipios vigente, en la especie se advierte que el presente medio de impugnación fue interpuesto dentro del plazo de quince días previsto en el dispositivo referido,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el día</w:t>
      </w:r>
      <w:r>
        <w:rPr>
          <w:rFonts w:ascii="Palatino Linotype" w:eastAsia="Palatino Linotype" w:hAnsi="Palatino Linotype" w:cs="Palatino Linotype"/>
          <w:b/>
        </w:rPr>
        <w:t xml:space="preserve"> cinco de noviembre de dos mil veintiuno</w:t>
      </w:r>
      <w:r>
        <w:rPr>
          <w:rFonts w:ascii="Palatino Linotype" w:eastAsia="Palatino Linotype" w:hAnsi="Palatino Linotype" w:cs="Palatino Linotype"/>
        </w:rPr>
        <w:t xml:space="preserve">, mientras que el solicitante presentó su recurso de revisión el día </w:t>
      </w:r>
      <w:r>
        <w:rPr>
          <w:rFonts w:ascii="Palatino Linotype" w:eastAsia="Palatino Linotype" w:hAnsi="Palatino Linotype" w:cs="Palatino Linotype"/>
          <w:b/>
        </w:rPr>
        <w:t>dieciocho de noviembre del dos mil veintiuno</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octavo día hábil</w:t>
      </w:r>
      <w:r>
        <w:rPr>
          <w:rFonts w:ascii="Palatino Linotype" w:eastAsia="Palatino Linotype" w:hAnsi="Palatino Linotype" w:cs="Palatino Linotype"/>
        </w:rPr>
        <w:t xml:space="preserve"> siguiente en que tuvo conocimiento de la respuesta impugnada, de tal forma, se considera que la interposición del presente medio de impugnación se encuentra dentro de los márgenes temporales previstos en el citado precepto legal.</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del formato de interposición del recurso, se advierte que el artículo 180 de la Ley de Transparencia y Acceso a la Información Pública del Estado de México y Municipios, establece los siguientes elementos formales para la presentación del recurso:</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180.</w:t>
      </w:r>
      <w:r>
        <w:rPr>
          <w:rFonts w:ascii="Palatino Linotype" w:eastAsia="Palatino Linotype" w:hAnsi="Palatino Linotype" w:cs="Palatino Linotype"/>
          <w:i/>
          <w:sz w:val="22"/>
          <w:szCs w:val="22"/>
        </w:rPr>
        <w:t xml:space="preserve"> El recurso de revisión contendrá: </w:t>
      </w:r>
    </w:p>
    <w:p w:rsidR="00A91ECE" w:rsidRDefault="00A91ECE">
      <w:pPr>
        <w:spacing w:after="120"/>
        <w:ind w:left="1134" w:right="902"/>
        <w:jc w:val="both"/>
        <w:rPr>
          <w:rFonts w:ascii="Palatino Linotype" w:eastAsia="Palatino Linotype" w:hAnsi="Palatino Linotype" w:cs="Palatino Linotype"/>
          <w:i/>
          <w:sz w:val="22"/>
          <w:szCs w:val="22"/>
        </w:rPr>
      </w:pPr>
    </w:p>
    <w:p w:rsidR="00A91ECE" w:rsidRDefault="00A86A9C">
      <w:pPr>
        <w:spacing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spacing w:after="120"/>
        <w:ind w:left="1134"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II. El nombre del solicitante que recurre o de su representante y, en su caso, del tercero interesado, así como la dirección o medio que señale para recibir notificaciones; </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A91ECE" w:rsidRDefault="00A86A9C">
      <w:pPr>
        <w:spacing w:after="120"/>
        <w:ind w:left="1134"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 IV, VII y VIII.”</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181 del citado ordenamiento dispone, que:</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181.</w:t>
      </w:r>
      <w:r>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A91ECE" w:rsidRDefault="00A86A9C">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Para el caso de interposición del recurso de revisión a través de la Plataforma Nacional o la plataforma que para tales efectos habilite el Instituto, éste podrá solicitar al particular subsane las deficiencias por ese medio.”</w:t>
      </w:r>
    </w:p>
    <w:p w:rsidR="00A91ECE" w:rsidRDefault="00A86A9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rsidR="00A91ECE" w:rsidRDefault="00A86A9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Sobre el particular, de la revisión al expediente electrónico del SAIMEX se desprende que la parte solicitante, en ejercicio de su derecho de acceso a la información pública, y ahora recurrente, </w:t>
      </w:r>
      <w:r>
        <w:rPr>
          <w:rFonts w:ascii="Palatino Linotype" w:eastAsia="Palatino Linotype" w:hAnsi="Palatino Linotype" w:cs="Palatino Linotype"/>
          <w:b/>
          <w:color w:val="000000"/>
        </w:rPr>
        <w:t>no proporcionó datos que lo hagan identificable, por ende no se tiene certeza sobre su identidad,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lo que en estricto sentido provoca que no se colmen los requisitos establecidos en el citado artículo 180 de la Ley de Transparencia.</w:t>
      </w:r>
    </w:p>
    <w:p w:rsidR="00A91ECE" w:rsidRDefault="00A86A9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Empero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eastAsia="Palatino Linotype" w:hAnsi="Palatino Linotype" w:cs="Palatino Linotype"/>
          <w:b/>
          <w:i/>
        </w:rPr>
        <w:t>sine qua non</w:t>
      </w:r>
      <w:r>
        <w:rPr>
          <w:rFonts w:ascii="Palatino Linotype" w:eastAsia="Palatino Linotype" w:hAnsi="Palatino Linotype" w:cs="Palatino Linotype"/>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Para efectos de lo dispuesto en el presente artículo se observará lo siguiente: </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Para el ejercicio del derecho de acceso a la información, la Federación, los Estados y el Distrito Federal, en el ámbito de sus respectivas competencias, se regirán por los siguientes principios y bases: </w:t>
      </w:r>
    </w:p>
    <w:p w:rsidR="00A91ECE" w:rsidRDefault="00A86A9C">
      <w:pPr>
        <w:spacing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91ECE" w:rsidRDefault="00A86A9C">
      <w:pPr>
        <w:spacing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información que se refiere a la vida privada y los datos personales será protegida en los términos y con las excepciones que fijen las leyes. </w:t>
      </w:r>
    </w:p>
    <w:p w:rsidR="00A91ECE" w:rsidRDefault="00A91ECE">
      <w:pPr>
        <w:spacing w:after="120"/>
        <w:ind w:left="567" w:right="902"/>
        <w:jc w:val="both"/>
        <w:rPr>
          <w:rFonts w:ascii="Palatino Linotype" w:eastAsia="Palatino Linotype" w:hAnsi="Palatino Linotype" w:cs="Palatino Linotype"/>
          <w:b/>
          <w:i/>
          <w:sz w:val="22"/>
          <w:szCs w:val="22"/>
          <w:u w:val="single"/>
        </w:rPr>
      </w:pPr>
    </w:p>
    <w:p w:rsidR="00A91ECE" w:rsidRDefault="00A86A9C">
      <w:pPr>
        <w:spacing w:after="120"/>
        <w:ind w:left="567" w:right="902"/>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III. Toda persona, sin necesidad de acreditar interés alguno o justificar su utilización, tendrá acceso gratuito a la información pública, a sus datos personales o a la rectificación de éstos. </w:t>
      </w:r>
    </w:p>
    <w:p w:rsidR="00A91ECE" w:rsidRDefault="00A86A9C">
      <w:pPr>
        <w:spacing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derecho se regirá por los principios y bases siguientes:</w:t>
      </w:r>
    </w:p>
    <w:p w:rsidR="00A91ECE" w:rsidRDefault="00A86A9C">
      <w:pPr>
        <w:spacing w:after="12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spacing w:after="120"/>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 III. Toda persona, sin necesidad de acreditar interés alguno o justificar su utilización, tendrá acceso gratuito a la información pública, a sus datos personales o a la rectificación de éstos;</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spacing w:after="120"/>
        <w:ind w:left="567"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eastAsia="Palatino Linotype" w:hAnsi="Palatino Linotype" w:cs="Palatino Linotype"/>
          <w:i/>
          <w:sz w:val="20"/>
          <w:szCs w:val="20"/>
        </w:rPr>
        <w:t>”</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 Unidos Mexicanos, se destaca lo siguiente:</w:t>
      </w:r>
    </w:p>
    <w:p w:rsidR="00A91ECE" w:rsidRDefault="00A86A9C">
      <w:pPr>
        <w:tabs>
          <w:tab w:val="left" w:pos="7655"/>
        </w:tabs>
        <w:spacing w:after="120"/>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A91ECE" w:rsidRDefault="00A86A9C">
      <w:pPr>
        <w:spacing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Robustece lo anterior, el Criterio 6/2014 del entonces Instituto Federal de Acceso a la Información y Protección de Datos, el cual se reproduce para una mayor referencia:</w:t>
      </w:r>
    </w:p>
    <w:p w:rsidR="00A91ECE" w:rsidRDefault="00A86A9C">
      <w:pPr>
        <w:spacing w:after="120"/>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Acceso a información gubernamental. No debe condicionarse a que el solicitante acredite su personalidad, demuestre interés alguno o justifique su utilización. </w:t>
      </w:r>
      <w:r>
        <w:rPr>
          <w:rFonts w:ascii="Palatino Linotype" w:eastAsia="Palatino Linotype" w:hAnsi="Palatino Linotype" w:cs="Palatino Linotype"/>
          <w:i/>
          <w:sz w:val="22"/>
          <w:szCs w:val="22"/>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91ECE" w:rsidRDefault="00A86A9C">
      <w:pPr>
        <w:spacing w:before="240" w:after="24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A91ECE" w:rsidRDefault="00A86A9C">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en primera instancia resulta procedente la interposición del recurso, según lo aducido por el recurrente en sus razones o </w:t>
      </w:r>
      <w:r>
        <w:rPr>
          <w:rFonts w:ascii="Palatino Linotype" w:eastAsia="Palatino Linotype" w:hAnsi="Palatino Linotype" w:cs="Palatino Linotype"/>
          <w:color w:val="000000"/>
        </w:rPr>
        <w:t>motivos de inconformidad, de acuerdo a los artículos 176 y 179, fracción X de la Ley de Transparencia y Acceso a la Información Pública del Estado de México y Municipios; que a la letra dice:</w:t>
      </w:r>
    </w:p>
    <w:p w:rsidR="00A91ECE" w:rsidRDefault="00A91ECE">
      <w:pPr>
        <w:spacing w:after="120"/>
        <w:ind w:left="851" w:right="902"/>
        <w:jc w:val="both"/>
        <w:rPr>
          <w:rFonts w:ascii="Palatino Linotype" w:eastAsia="Palatino Linotype" w:hAnsi="Palatino Linotype" w:cs="Palatino Linotype"/>
          <w:b/>
          <w:i/>
          <w:sz w:val="20"/>
          <w:szCs w:val="20"/>
        </w:rPr>
      </w:pP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p>
    <w:p w:rsidR="00A91ECE" w:rsidRDefault="00A86A9C">
      <w:pPr>
        <w:spacing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 Los costos o tiempos de entrega de la información; </w:t>
      </w:r>
    </w:p>
    <w:p w:rsidR="00A91ECE" w:rsidRDefault="00A86A9C">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w:t>
      </w:r>
      <w:r>
        <w:rPr>
          <w:rFonts w:ascii="Palatino Linotype" w:eastAsia="Palatino Linotype" w:hAnsi="Palatino Linotype" w:cs="Palatino Linotype"/>
          <w:b/>
          <w:i/>
          <w:sz w:val="22"/>
          <w:szCs w:val="22"/>
        </w:rPr>
        <w:t xml:space="preserve">              </w:t>
      </w:r>
    </w:p>
    <w:p w:rsidR="00A91ECE" w:rsidRDefault="00A86A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A91ECE" w:rsidRDefault="00A86A9C">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91ECE" w:rsidRDefault="00A86A9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91ECE" w:rsidRDefault="00A86A9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A91ECE" w:rsidRDefault="00A91ECE">
      <w:pPr>
        <w:ind w:left="709" w:right="760"/>
        <w:jc w:val="both"/>
        <w:rPr>
          <w:rFonts w:ascii="Palatino Linotype" w:eastAsia="Palatino Linotype" w:hAnsi="Palatino Linotype" w:cs="Palatino Linotype"/>
          <w:i/>
        </w:rPr>
      </w:pP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A91ECE" w:rsidRDefault="00A86A9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91ECE" w:rsidRDefault="00A86A9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91ECE" w:rsidRDefault="00A91ECE">
      <w:pPr>
        <w:spacing w:line="360" w:lineRule="auto"/>
        <w:ind w:right="-93"/>
        <w:jc w:val="both"/>
        <w:rPr>
          <w:rFonts w:ascii="Palatino Linotype" w:eastAsia="Palatino Linotype" w:hAnsi="Palatino Linotype" w:cs="Palatino Linotype"/>
          <w:color w:val="000000"/>
        </w:rPr>
      </w:pPr>
    </w:p>
    <w:p w:rsidR="00A91ECE" w:rsidRDefault="00A86A9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A91ECE" w:rsidRDefault="00A91ECE">
      <w:pPr>
        <w:spacing w:line="360" w:lineRule="auto"/>
        <w:jc w:val="both"/>
        <w:rPr>
          <w:rFonts w:ascii="Palatino Linotype" w:eastAsia="Palatino Linotype" w:hAnsi="Palatino Linotype" w:cs="Palatino Linotype"/>
          <w:color w:val="000000"/>
        </w:rPr>
      </w:pPr>
    </w:p>
    <w:p w:rsidR="00A91ECE" w:rsidRDefault="00A86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91ECE" w:rsidRDefault="00A91ECE">
      <w:pPr>
        <w:spacing w:line="360" w:lineRule="auto"/>
        <w:ind w:right="49"/>
        <w:jc w:val="both"/>
        <w:rPr>
          <w:rFonts w:ascii="Palatino Linotype" w:eastAsia="Palatino Linotype" w:hAnsi="Palatino Linotype" w:cs="Palatino Linotype"/>
        </w:rPr>
      </w:pPr>
    </w:p>
    <w:p w:rsidR="00A91ECE" w:rsidRDefault="00A86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91ECE" w:rsidRDefault="00A91ECE">
      <w:pPr>
        <w:ind w:left="851" w:right="899"/>
        <w:jc w:val="both"/>
        <w:rPr>
          <w:rFonts w:ascii="Palatino Linotype" w:eastAsia="Palatino Linotype" w:hAnsi="Palatino Linotype" w:cs="Palatino Linotype"/>
          <w:i/>
          <w:sz w:val="22"/>
          <w:szCs w:val="22"/>
        </w:rPr>
      </w:pPr>
    </w:p>
    <w:p w:rsidR="00A91ECE" w:rsidRDefault="00A86A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A91ECE" w:rsidRDefault="00A86A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91ECE" w:rsidRDefault="00A91ECE">
      <w:pPr>
        <w:ind w:left="851" w:right="899"/>
        <w:jc w:val="both"/>
        <w:rPr>
          <w:rFonts w:ascii="Palatino Linotype" w:eastAsia="Palatino Linotype" w:hAnsi="Palatino Linotype" w:cs="Palatino Linotype"/>
          <w:sz w:val="22"/>
          <w:szCs w:val="22"/>
        </w:rPr>
      </w:pPr>
    </w:p>
    <w:p w:rsidR="00A91ECE" w:rsidRDefault="00A86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91ECE" w:rsidRDefault="00A91ECE">
      <w:pPr>
        <w:ind w:left="851" w:right="899"/>
        <w:jc w:val="both"/>
        <w:rPr>
          <w:rFonts w:ascii="Palatino Linotype" w:eastAsia="Palatino Linotype" w:hAnsi="Palatino Linotype" w:cs="Palatino Linotype"/>
        </w:rPr>
      </w:pPr>
    </w:p>
    <w:p w:rsidR="00A91ECE" w:rsidRDefault="00A86A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A91ECE" w:rsidRDefault="00A86A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91ECE" w:rsidRDefault="00A86A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91ECE" w:rsidRDefault="00A86A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A91ECE" w:rsidRDefault="00A86A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A91ECE" w:rsidRDefault="00A86A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A91ECE" w:rsidRDefault="00A91ECE">
      <w:pPr>
        <w:spacing w:line="360" w:lineRule="auto"/>
        <w:jc w:val="both"/>
        <w:rPr>
          <w:rFonts w:ascii="Palatino Linotype" w:eastAsia="Palatino Linotype" w:hAnsi="Palatino Linotype" w:cs="Palatino Linotype"/>
        </w:rPr>
      </w:pPr>
    </w:p>
    <w:p w:rsidR="00A91ECE" w:rsidRDefault="00A86A9C">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uno de los principios en materia de Transparencia y Acceso a la Información Pública, consiste en que en la entrega de la información deberá garantizar que sea </w:t>
      </w:r>
      <w:r>
        <w:rPr>
          <w:rFonts w:ascii="Palatino Linotype" w:eastAsia="Palatino Linotype" w:hAnsi="Palatino Linotype" w:cs="Palatino Linotype"/>
          <w:b/>
          <w:u w:val="single"/>
        </w:rPr>
        <w:t>congruente</w:t>
      </w:r>
      <w:r>
        <w:rPr>
          <w:rFonts w:ascii="Palatino Linotype" w:eastAsia="Palatino Linotype" w:hAnsi="Palatino Linotype" w:cs="Palatino Linotype"/>
        </w:rPr>
        <w:t xml:space="preserve"> y </w:t>
      </w:r>
      <w:r>
        <w:rPr>
          <w:rFonts w:ascii="Palatino Linotype" w:eastAsia="Palatino Linotype" w:hAnsi="Palatino Linotype" w:cs="Palatino Linotype"/>
          <w:b/>
          <w:u w:val="single"/>
        </w:rPr>
        <w:t xml:space="preserve"> sujeta a un claro régimen de excepciones</w:t>
      </w:r>
      <w:r>
        <w:rPr>
          <w:rFonts w:ascii="Palatino Linotype" w:eastAsia="Palatino Linotype" w:hAnsi="Palatino Linotype" w:cs="Palatino Linotype"/>
        </w:rPr>
        <w:t>, tal como lo estipula el artículo 11 de la Ley en la materia que en su texto literal refiere:</w:t>
      </w:r>
    </w:p>
    <w:p w:rsidR="00A91ECE" w:rsidRDefault="00A91ECE">
      <w:pPr>
        <w:spacing w:line="360" w:lineRule="auto"/>
        <w:ind w:right="141"/>
        <w:jc w:val="both"/>
        <w:rPr>
          <w:rFonts w:ascii="Palatino Linotype" w:eastAsia="Palatino Linotype" w:hAnsi="Palatino Linotype" w:cs="Palatino Linotype"/>
        </w:rPr>
      </w:pP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En la generación, publicación y entrega de información se deberá</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garantizar que ésta</w:t>
      </w:r>
      <w:r>
        <w:rPr>
          <w:rFonts w:ascii="Palatino Linotype" w:eastAsia="Palatino Linotype" w:hAnsi="Palatino Linotype" w:cs="Palatino Linotype"/>
          <w:i/>
          <w:sz w:val="22"/>
          <w:szCs w:val="22"/>
        </w:rPr>
        <w:t xml:space="preserve"> sea accesible, actualizada, completa, </w:t>
      </w:r>
      <w:r>
        <w:rPr>
          <w:rFonts w:ascii="Palatino Linotype" w:eastAsia="Palatino Linotype" w:hAnsi="Palatino Linotype" w:cs="Palatino Linotype"/>
          <w:b/>
          <w:i/>
          <w:sz w:val="22"/>
          <w:szCs w:val="22"/>
          <w:u w:val="single"/>
        </w:rPr>
        <w:t>congruente,</w:t>
      </w:r>
      <w:r>
        <w:rPr>
          <w:rFonts w:ascii="Palatino Linotype" w:eastAsia="Palatino Linotype" w:hAnsi="Palatino Linotype" w:cs="Palatino Linotype"/>
          <w:i/>
          <w:sz w:val="22"/>
          <w:szCs w:val="22"/>
        </w:rPr>
        <w:t xml:space="preserve"> confiable, verificable, veraz, integral, oportuna y expedita, </w:t>
      </w:r>
      <w:r>
        <w:rPr>
          <w:rFonts w:ascii="Palatino Linotype" w:eastAsia="Palatino Linotype" w:hAnsi="Palatino Linotype" w:cs="Palatino Linotype"/>
          <w:b/>
          <w:i/>
          <w:sz w:val="22"/>
          <w:szCs w:val="22"/>
          <w:u w:val="single"/>
        </w:rPr>
        <w:t xml:space="preserve">sujeta a un claro régimen de excepciones que deberá estar definido y ser además legítima y estrictamente necesaria </w:t>
      </w:r>
      <w:r>
        <w:rPr>
          <w:rFonts w:ascii="Palatino Linotype" w:eastAsia="Palatino Linotype" w:hAnsi="Palatino Linotype" w:cs="Palatino Linotype"/>
          <w:i/>
          <w:sz w:val="22"/>
          <w:szCs w:val="22"/>
        </w:rPr>
        <w:t>en una sociedad democrática, por lo que atenderá las necesidades del derecho de acceso a la información de toda persona.</w:t>
      </w: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A91ECE" w:rsidRDefault="00A91ECE">
      <w:pPr>
        <w:spacing w:line="360" w:lineRule="auto"/>
        <w:ind w:right="141"/>
        <w:jc w:val="both"/>
        <w:rPr>
          <w:rFonts w:ascii="Palatino Linotype" w:eastAsia="Palatino Linotype" w:hAnsi="Palatino Linotype" w:cs="Palatino Linotype"/>
        </w:rPr>
      </w:pPr>
    </w:p>
    <w:p w:rsidR="00A91ECE" w:rsidRDefault="00A86A9C">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el análisis en el presente asunto consiste en determinar si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atendió puntualmente la solicitud de información que apertura el presente expediente.</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Previo al estudio del presente asunto, es conveniente recordar que la parte solicitante requirió al sujeto obligado, le proporcionara lo siguiente:</w:t>
      </w:r>
    </w:p>
    <w:p w:rsidR="00A91ECE" w:rsidRDefault="00A86A9C">
      <w:pPr>
        <w:numPr>
          <w:ilvl w:val="0"/>
          <w:numId w:val="1"/>
        </w:numPr>
        <w:pBdr>
          <w:top w:val="nil"/>
          <w:left w:val="nil"/>
          <w:bottom w:val="nil"/>
          <w:right w:val="nil"/>
          <w:between w:val="nil"/>
        </w:pBdr>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Lista y costo económico de cada una de las obras de todo el ejercicio fiscal 2021 precisando el concepto y costo económico de cada una en Moneda Nacional</w:t>
      </w:r>
    </w:p>
    <w:p w:rsidR="00A91ECE" w:rsidRDefault="00A86A9C">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a la solicitud de información, la Titular de la Unidad de Transparencia remitió el archivo electrónico denominado </w:t>
      </w:r>
      <w:r>
        <w:rPr>
          <w:rFonts w:ascii="Palatino Linotype" w:eastAsia="Palatino Linotype" w:hAnsi="Palatino Linotype" w:cs="Palatino Linotype"/>
          <w:b/>
          <w:i/>
        </w:rPr>
        <w:t xml:space="preserve">“LISTA OBRAS EJERCICIO 2021.pdf” </w:t>
      </w:r>
      <w:r>
        <w:rPr>
          <w:rFonts w:ascii="Palatino Linotype" w:eastAsia="Palatino Linotype" w:hAnsi="Palatino Linotype" w:cs="Palatino Linotype"/>
        </w:rPr>
        <w:t xml:space="preserve">del cual medularmente se colige lo siguiente: </w:t>
      </w:r>
    </w:p>
    <w:p w:rsidR="00A91ECE" w:rsidRDefault="00A86A9C">
      <w:pPr>
        <w:numPr>
          <w:ilvl w:val="0"/>
          <w:numId w:val="4"/>
        </w:numPr>
        <w:pBdr>
          <w:top w:val="nil"/>
          <w:left w:val="nil"/>
          <w:bottom w:val="nil"/>
          <w:right w:val="nil"/>
          <w:between w:val="nil"/>
        </w:pBdr>
        <w:spacing w:after="240"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Titular de la Unidad de Transparencia remite un listado en el cual se encuentran el nombre de la obra, ubicación y el monto.</w:t>
      </w:r>
    </w:p>
    <w:p w:rsidR="00A91ECE" w:rsidRDefault="00A86A9C">
      <w:pPr>
        <w:pBdr>
          <w:top w:val="nil"/>
          <w:left w:val="nil"/>
          <w:bottom w:val="nil"/>
          <w:right w:val="nil"/>
          <w:between w:val="nil"/>
        </w:pBdr>
        <w:spacing w:after="240" w:line="360" w:lineRule="auto"/>
        <w:ind w:left="720" w:right="900"/>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extent cx="4191000" cy="7696200"/>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191000" cy="7696200"/>
                    </a:xfrm>
                    <a:prstGeom prst="rect">
                      <a:avLst/>
                    </a:prstGeom>
                    <a:ln/>
                  </pic:spPr>
                </pic:pic>
              </a:graphicData>
            </a:graphic>
          </wp:inline>
        </w:drawing>
      </w:r>
    </w:p>
    <w:p w:rsidR="00A91ECE" w:rsidRDefault="00A86A9C">
      <w:pPr>
        <w:spacing w:before="240" w:after="240" w:line="360" w:lineRule="auto"/>
        <w:ind w:right="51"/>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4171950" cy="3238500"/>
            <wp:effectExtent l="0" t="0" r="0" b="0"/>
            <wp:docPr id="4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171950" cy="3238500"/>
                    </a:xfrm>
                    <a:prstGeom prst="rect">
                      <a:avLst/>
                    </a:prstGeom>
                    <a:ln/>
                  </pic:spPr>
                </pic:pic>
              </a:graphicData>
            </a:graphic>
          </wp:inline>
        </w:drawing>
      </w:r>
    </w:p>
    <w:p w:rsidR="00A91ECE" w:rsidRDefault="00A86A9C">
      <w:pPr>
        <w:spacing w:before="240" w:after="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t xml:space="preserve">Bajo dichos argumentos, nace el motivo de inconformidad del particular, el cual versa de la siguiente manera  </w:t>
      </w:r>
      <w:r>
        <w:rPr>
          <w:rFonts w:ascii="Palatino Linotype" w:eastAsia="Palatino Linotype" w:hAnsi="Palatino Linotype" w:cs="Palatino Linotype"/>
          <w:i/>
          <w:sz w:val="22"/>
          <w:szCs w:val="22"/>
        </w:rPr>
        <w:t>“no entregran informacion en tiempo y forma como marca la ley de trasparencia del Estado de Mexico” (Sic)</w:t>
      </w:r>
    </w:p>
    <w:p w:rsidR="00A91ECE" w:rsidRDefault="00A86A9C">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interpuesto el recurso de revisión citado al rubro, este Órgano Garante concedió a las partes un plazo de siete días para que manifestaran lo que a su derecho convenga, por lo cual, de las constancias que conforman el expediente electrónico, se advierte que las partes fueron omisas en realizar alegatos o manifestaciones que a su derecho conviniera.</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 efecto de garantizar el efectivo ejercicio del derecho de acceso a la información pública que asiste al particular, resulta conveniente entrar al estudio de las siguientes consideraciones de hecho y derecho: </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debe apuntarse que es pertinente mencionar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la existencia de la información peticionada, por el contrario, mediante el pronunciamiento emitido, asume generar, administrar o poseer la información solicitada, sin embargo a efecto de determinar si la razón asiste al particular, este Instituto procedió a analizar la respuesta vertida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efecto de determinar si satisface el derecho de acceso a la información pública, de lo cual se obtuvo lo siguiente: </w: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conforman el expediente electrónico, se tiene que la solicitud materia del medio de impugnación que nos ocupa, fue turnada a la Servidora Pública Habilitada de la Dirección de Obras Públicas, quien remitió el archivo electrónico que fue puesto a disposición de la parte solicitante en respuesta a su solicitud, para mayor referencia resulta importante traer a colación las siguientes capturas de pantalla: </w:t>
      </w:r>
      <w:r>
        <w:rPr>
          <w:noProof/>
          <w:lang w:val="es-MX"/>
        </w:rPr>
        <w:drawing>
          <wp:anchor distT="0" distB="0" distL="114300" distR="114300" simplePos="0" relativeHeight="251660288" behindDoc="0" locked="0" layoutInCell="1" hidden="0" allowOverlap="1">
            <wp:simplePos x="0" y="0"/>
            <wp:positionH relativeFrom="column">
              <wp:posOffset>-775969</wp:posOffset>
            </wp:positionH>
            <wp:positionV relativeFrom="paragraph">
              <wp:posOffset>1877695</wp:posOffset>
            </wp:positionV>
            <wp:extent cx="6988175" cy="676275"/>
            <wp:effectExtent l="0" t="0" r="0" b="0"/>
            <wp:wrapTopAndBottom distT="0" distB="0"/>
            <wp:docPr id="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988175" cy="676275"/>
                    </a:xfrm>
                    <a:prstGeom prst="rect">
                      <a:avLst/>
                    </a:prstGeom>
                    <a:ln/>
                  </pic:spPr>
                </pic:pic>
              </a:graphicData>
            </a:graphic>
          </wp:anchor>
        </w:drawing>
      </w:r>
      <w:r>
        <w:rPr>
          <w:noProof/>
          <w:lang w:val="es-MX"/>
        </w:rPr>
        <mc:AlternateContent>
          <mc:Choice Requires="wpg">
            <w:drawing>
              <wp:anchor distT="0" distB="0" distL="114300" distR="114300" simplePos="0" relativeHeight="251661312" behindDoc="0" locked="0" layoutInCell="1" hidden="0" allowOverlap="1">
                <wp:simplePos x="0" y="0"/>
                <wp:positionH relativeFrom="column">
                  <wp:posOffset>647700</wp:posOffset>
                </wp:positionH>
                <wp:positionV relativeFrom="paragraph">
                  <wp:posOffset>1930400</wp:posOffset>
                </wp:positionV>
                <wp:extent cx="676275" cy="590550"/>
                <wp:effectExtent l="0" t="0" r="0" b="0"/>
                <wp:wrapNone/>
                <wp:docPr id="37" name="Rectángulo 37"/>
                <wp:cNvGraphicFramePr/>
                <a:graphic xmlns:a="http://schemas.openxmlformats.org/drawingml/2006/main">
                  <a:graphicData uri="http://schemas.microsoft.com/office/word/2010/wordprocessingShape">
                    <wps:wsp>
                      <wps:cNvSpPr/>
                      <wps:spPr>
                        <a:xfrm>
                          <a:off x="5026913" y="3503775"/>
                          <a:ext cx="638175" cy="552450"/>
                        </a:xfrm>
                        <a:prstGeom prst="rect">
                          <a:avLst/>
                        </a:prstGeom>
                        <a:noFill/>
                        <a:ln w="38100" cap="flat" cmpd="sng">
                          <a:solidFill>
                            <a:srgbClr val="002060"/>
                          </a:solidFill>
                          <a:prstDash val="solid"/>
                          <a:round/>
                          <a:headEnd type="none" w="sm" len="sm"/>
                          <a:tailEnd type="none" w="sm" len="sm"/>
                        </a:ln>
                      </wps:spPr>
                      <wps:txbx>
                        <w:txbxContent>
                          <w:p w:rsidR="00A91ECE" w:rsidRDefault="00A91EC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1930400</wp:posOffset>
                </wp:positionV>
                <wp:extent cx="676275" cy="590550"/>
                <wp:effectExtent b="0" l="0" r="0" t="0"/>
                <wp:wrapNone/>
                <wp:docPr id="37"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676275" cy="590550"/>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2336" behindDoc="0" locked="0" layoutInCell="1" hidden="0" allowOverlap="1">
                <wp:simplePos x="0" y="0"/>
                <wp:positionH relativeFrom="column">
                  <wp:posOffset>406400</wp:posOffset>
                </wp:positionH>
                <wp:positionV relativeFrom="paragraph">
                  <wp:posOffset>2641600</wp:posOffset>
                </wp:positionV>
                <wp:extent cx="4857750" cy="2867025"/>
                <wp:effectExtent l="0" t="0" r="0" b="0"/>
                <wp:wrapNone/>
                <wp:docPr id="38" name="Conector recto de flecha 38"/>
                <wp:cNvGraphicFramePr/>
                <a:graphic xmlns:a="http://schemas.openxmlformats.org/drawingml/2006/main">
                  <a:graphicData uri="http://schemas.microsoft.com/office/word/2010/wordprocessingShape">
                    <wps:wsp>
                      <wps:cNvCnPr/>
                      <wps:spPr>
                        <a:xfrm>
                          <a:off x="2921888" y="2351250"/>
                          <a:ext cx="4848225" cy="28575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wp:posOffset>
                </wp:positionH>
                <wp:positionV relativeFrom="paragraph">
                  <wp:posOffset>2641600</wp:posOffset>
                </wp:positionV>
                <wp:extent cx="4857750" cy="2867025"/>
                <wp:effectExtent b="0" l="0" r="0" t="0"/>
                <wp:wrapNone/>
                <wp:docPr id="38"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4857750" cy="2867025"/>
                        </a:xfrm>
                        <a:prstGeom prst="rect"/>
                        <a:ln/>
                      </pic:spPr>
                    </pic:pic>
                  </a:graphicData>
                </a:graphic>
              </wp:anchor>
            </w:drawing>
          </mc:Fallback>
        </mc:AlternateContent>
      </w:r>
    </w:p>
    <w:p w:rsidR="00A91ECE" w:rsidRDefault="00A86A9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4429125" cy="3133725"/>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429125" cy="3133725"/>
                    </a:xfrm>
                    <a:prstGeom prst="rect">
                      <a:avLst/>
                    </a:prstGeom>
                    <a:ln/>
                  </pic:spPr>
                </pic:pic>
              </a:graphicData>
            </a:graphic>
          </wp:inline>
        </w:drawing>
      </w:r>
    </w:p>
    <w:p w:rsidR="00A91ECE" w:rsidRDefault="00A86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Ley Orgánica Municipal en sus artículos 86 y 87 confieren a los municipios, la facultad de auxiliarse de dependencias y entidades que conformarán la administración pública municipal, dichas entidades tendrán su actuar delimitado por reglamentos internos, manuales, acuerdos, circulares y otras disposiciones legales que resulten aplicables: </w:t>
      </w:r>
    </w:p>
    <w:p w:rsidR="00A91ECE" w:rsidRDefault="00A91ECE">
      <w:pPr>
        <w:spacing w:line="360" w:lineRule="auto"/>
        <w:ind w:right="49"/>
        <w:jc w:val="both"/>
        <w:rPr>
          <w:rFonts w:ascii="Palatino Linotype" w:eastAsia="Palatino Linotype" w:hAnsi="Palatino Linotype" w:cs="Palatino Linotype"/>
        </w:rPr>
      </w:pPr>
    </w:p>
    <w:p w:rsidR="00A91ECE" w:rsidRDefault="00A86A9C">
      <w:pPr>
        <w:ind w:left="567" w:right="47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86.-</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A91ECE" w:rsidRDefault="00A91ECE">
      <w:pPr>
        <w:ind w:right="51"/>
        <w:jc w:val="both"/>
        <w:rPr>
          <w:rFonts w:ascii="Palatino Linotype" w:eastAsia="Palatino Linotype" w:hAnsi="Palatino Linotype" w:cs="Palatino Linotype"/>
          <w:i/>
          <w:sz w:val="22"/>
          <w:szCs w:val="22"/>
        </w:rPr>
      </w:pPr>
    </w:p>
    <w:p w:rsidR="00A91ECE" w:rsidRDefault="00A86A9C">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87.-</w:t>
      </w:r>
      <w:r>
        <w:rPr>
          <w:rFonts w:ascii="Palatino Linotype" w:eastAsia="Palatino Linotype" w:hAnsi="Palatino Linotype" w:cs="Palatino Linotype"/>
          <w:i/>
          <w:sz w:val="22"/>
          <w:szCs w:val="22"/>
        </w:rPr>
        <w:t xml:space="preserve"> Para el despacho, estudio y planeación de los diversos asuntos de la administración municipal, el ayuntamiento contará por lo menos con las siguientes Dependencias:</w:t>
      </w:r>
    </w:p>
    <w:p w:rsidR="00A91ECE" w:rsidRDefault="00A91ECE">
      <w:pPr>
        <w:ind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secretaría del ayuntamiento;</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tesorería municipal.</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La Dirección de Obras Públicas o equivalente.</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La Dirección de Desarrollo Económico o equivalente.</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Dirección de Desarrollo Urbano o equivalente;</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Dirección de Ecología o equivalente; y </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Dirección de Desarrollo Social o equivalente, y </w:t>
      </w:r>
    </w:p>
    <w:p w:rsidR="00A91ECE" w:rsidRDefault="00A91ECE">
      <w:pPr>
        <w:ind w:left="567" w:right="51"/>
        <w:jc w:val="both"/>
        <w:rPr>
          <w:rFonts w:ascii="Palatino Linotype" w:eastAsia="Palatino Linotype" w:hAnsi="Palatino Linotype" w:cs="Palatino Linotype"/>
          <w:i/>
          <w:sz w:val="22"/>
          <w:szCs w:val="22"/>
        </w:rPr>
      </w:pPr>
    </w:p>
    <w:p w:rsidR="00A91ECE" w:rsidRDefault="00A86A9C">
      <w:pPr>
        <w:ind w:left="567"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Coordinación Municipal de Protección Civil o equivalente.” (Sic) (Énfasis añadido)</w:t>
      </w:r>
    </w:p>
    <w:p w:rsidR="00A91ECE" w:rsidRDefault="00A91ECE">
      <w:pPr>
        <w:spacing w:line="360" w:lineRule="auto"/>
        <w:ind w:left="567" w:right="51"/>
        <w:jc w:val="both"/>
        <w:rPr>
          <w:rFonts w:ascii="Palatino Linotype" w:eastAsia="Palatino Linotype" w:hAnsi="Palatino Linotype" w:cs="Palatino Linotype"/>
          <w:i/>
          <w:sz w:val="22"/>
          <w:szCs w:val="22"/>
        </w:rPr>
      </w:pPr>
    </w:p>
    <w:p w:rsidR="00A91ECE" w:rsidRDefault="00A86A9C">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de la legislación en análisis, la Ley Orgánica Municipal confiere a la Dirección de Obras Públicas o equivalente por conducto de su titular, las siguientes atribuciones: </w:t>
      </w:r>
    </w:p>
    <w:p w:rsidR="00A91ECE" w:rsidRDefault="00A86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96. Bis.-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Director de Obras Públicas o el Titular de la Unidad Administrativa equivalente, tiene las siguientes atribuciones:</w:t>
      </w:r>
      <w:r>
        <w:rPr>
          <w:rFonts w:ascii="Palatino Linotype" w:eastAsia="Palatino Linotype" w:hAnsi="Palatino Linotype" w:cs="Palatino Linotype"/>
          <w:i/>
          <w:sz w:val="22"/>
          <w:szCs w:val="22"/>
        </w:rPr>
        <w:t xml:space="preserve"> </w:t>
      </w:r>
    </w:p>
    <w:p w:rsidR="00A91ECE" w:rsidRDefault="00A86A9C">
      <w:pPr>
        <w:ind w:left="567" w:right="616"/>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 Realizar la programación y ejecución de las obras públicas y servicios relacionados, que por orden expresa del Ayuntamiento requieran prioridad;</w:t>
      </w:r>
    </w:p>
    <w:p w:rsidR="00A91ECE" w:rsidRDefault="00A86A9C">
      <w:pPr>
        <w:ind w:left="567" w:right="616"/>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II. Planear y coordinar los proyectos de obras públicas y servicios relacionados con las mismas que autorice el Ayuntamiento, una vez que se cumplan los requisitos de licitación y otros que determine la ley de la materia;</w:t>
      </w:r>
    </w:p>
    <w:p w:rsidR="00A91ECE" w:rsidRDefault="00A86A9C">
      <w:pPr>
        <w:ind w:left="567" w:right="616"/>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III. Proyectar las obras públicas y servicios relacionados, que realice el Municipio, incluyendo la conservación y mantenimiento de edificios, monumentos, calles, parques y jardines;</w:t>
      </w:r>
    </w:p>
    <w:p w:rsidR="00A91ECE" w:rsidRDefault="00A86A9C">
      <w:pPr>
        <w:ind w:left="567" w:right="616"/>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 xml:space="preserve">IV. Construir y ejecutar todas aquellas obras públicas y servicios relacionados, que aumenten y mantengan la infraestructura municipal y que estén consideradas en el programa respectivo; </w:t>
      </w:r>
    </w:p>
    <w:p w:rsidR="00A91ECE" w:rsidRDefault="00A86A9C">
      <w:pPr>
        <w:ind w:left="567" w:right="616"/>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V. Determinar y cuantificar los materiales y trabajos necesarios para programas de construcción y mantenimiento de obras públicas y servicios relacionados;</w:t>
      </w:r>
    </w:p>
    <w:p w:rsidR="00A91ECE" w:rsidRDefault="00A86A9C">
      <w:pPr>
        <w:ind w:left="567" w:right="616"/>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VI. Vigilar que se cumplan y lleven a cabo los programas de construcción y mantenimiento de obras públicas y servicios relacionados;</w:t>
      </w:r>
    </w:p>
    <w:p w:rsidR="00A91ECE" w:rsidRDefault="00A91ECE">
      <w:pPr>
        <w:ind w:right="51"/>
        <w:jc w:val="both"/>
        <w:rPr>
          <w:rFonts w:ascii="Palatino Linotype" w:eastAsia="Palatino Linotype" w:hAnsi="Palatino Linotype" w:cs="Palatino Linotype"/>
          <w:i/>
          <w:sz w:val="22"/>
          <w:szCs w:val="22"/>
        </w:rPr>
      </w:pP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Cuidar que las obras públicas y servicios relacionados cumplan con los requisitos de seguridad y observen las normas de construcción y términos establecidos;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Vigilar la construcción en las obras por contrato y por administración que hayan sido adjudicadas a los contratistas; </w:t>
      </w:r>
    </w:p>
    <w:p w:rsidR="00A91ECE" w:rsidRDefault="00A86A9C">
      <w:pPr>
        <w:ind w:left="567" w:right="33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rsidR="00A91ECE" w:rsidRDefault="00A86A9C">
      <w:pPr>
        <w:ind w:left="567" w:right="33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X. Verificar que las obras públicas y los servicios relacionados con la misma, hayan sido programadas, presupuestadas, ejecutadas, adquiridas y contratadas en estricto apego a las disposiciones legales aplicables;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Integrar y verificar que se elaboren de manera correcta y completa las bitácoras y/o expedientes abiertos con motivo de la obra pública y servicios relacionados con la misma, conforme a lo establecido en las disposiciones legales aplicables;</w:t>
      </w:r>
    </w:p>
    <w:p w:rsidR="00A91ECE" w:rsidRDefault="00A86A9C">
      <w:pPr>
        <w:ind w:left="567" w:right="33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XII. Promover la construcción de urbanización, infraestructura y equipamiento urbano;</w:t>
      </w:r>
    </w:p>
    <w:p w:rsidR="00A91ECE" w:rsidRDefault="00A86A9C">
      <w:pPr>
        <w:ind w:left="567" w:right="33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XIII. Formular y conducir la política municipal en materia de obras públicas e infraestructura para el desarrollo;</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Cumplir y hacer cumplir la legislación y normatividad en materia de obra pública;</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 Dictar las normas generales y ejecutar las obras de reparación, adaptación y demolición de inmuebles propiedad del municipio que le sean asignadas;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XVIII. Vigilar que la ejecución de la obra pública adjudicada y los servicios relacionados con ésta, se sujeten a las condiciones contratadas;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XIX. Establecer los lineamientos para la realización de estudios y proyectos de construcción de obras públicas;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Autorizar para su pago, previa validación del avance y calidad de las obras, los presupuestos y estimaciones que presenten los contratistas de obras públicas municipales;</w:t>
      </w:r>
    </w:p>
    <w:p w:rsidR="00A91ECE" w:rsidRDefault="00A86A9C">
      <w:pPr>
        <w:ind w:left="567" w:right="33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Formular el inventario de la maquinaria y equipo de construcción a su cuidado o de su propiedad, manteniéndolo en óptimas condiciones de uso;</w:t>
      </w:r>
    </w:p>
    <w:p w:rsidR="00A91ECE" w:rsidRDefault="00A86A9C">
      <w:pPr>
        <w:ind w:left="567" w:right="33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XXII. Coordinar y supervisar que todo el proceso de las obras públicas que se realicen en el municipio se realice conforme a la legislación y normatividad en materia de obra pública;</w:t>
      </w:r>
    </w:p>
    <w:p w:rsidR="00A91ECE" w:rsidRDefault="00A86A9C">
      <w:pPr>
        <w:ind w:left="567" w:right="333"/>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XXIII. Controlar y vigilar el inventario de materiales para construcción;</w:t>
      </w:r>
    </w:p>
    <w:p w:rsidR="00A91ECE" w:rsidRDefault="00A91ECE">
      <w:pPr>
        <w:ind w:right="51"/>
        <w:jc w:val="both"/>
        <w:rPr>
          <w:rFonts w:ascii="Palatino Linotype" w:eastAsia="Palatino Linotype" w:hAnsi="Palatino Linotype" w:cs="Palatino Linotype"/>
          <w:i/>
          <w:sz w:val="22"/>
          <w:szCs w:val="22"/>
        </w:rPr>
      </w:pPr>
    </w:p>
    <w:p w:rsidR="00A91ECE" w:rsidRDefault="00A86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XXIV. Integrar y autorizar con su firma, la documentación que en materia de obra pública, deba presentarse al Órgano Superior de Fiscalización del Estado de México;</w:t>
      </w:r>
    </w:p>
    <w:p w:rsidR="00A91ECE" w:rsidRDefault="00A86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XXV. Formular las bases y expedir la convocatoria a los concursos para la realización de las obras públicas municipales, de acuerdo con los requisitos que para dichos actos señale la legislación y normatividad respectiva, vigilando su correcta ejecución; y</w:t>
      </w:r>
    </w:p>
    <w:p w:rsidR="00A91ECE" w:rsidRDefault="00A86A9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XXVI. Las demás que les señalen las disposiciones aplicables.” (Énfasis añadido)</w:t>
      </w:r>
    </w:p>
    <w:p w:rsidR="00A91ECE" w:rsidRDefault="00A91ECE">
      <w:pPr>
        <w:ind w:right="51"/>
        <w:jc w:val="both"/>
        <w:rPr>
          <w:rFonts w:ascii="Palatino Linotype" w:eastAsia="Palatino Linotype" w:hAnsi="Palatino Linotype" w:cs="Palatino Linotype"/>
          <w:i/>
          <w:sz w:val="22"/>
          <w:szCs w:val="22"/>
        </w:rPr>
      </w:pPr>
    </w:p>
    <w:p w:rsidR="00A91ECE" w:rsidRDefault="00A86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armonía con lo regulado por este ordenamiento, el Bando Municipal vigente en el Ayuntamiento de Tepetlixpa dispone lo siguiente por cuanto hace a la obra pública:</w:t>
      </w:r>
    </w:p>
    <w:p w:rsidR="00A91ECE" w:rsidRDefault="00A91ECE">
      <w:pPr>
        <w:spacing w:line="360" w:lineRule="auto"/>
        <w:ind w:right="49"/>
        <w:jc w:val="both"/>
        <w:rPr>
          <w:rFonts w:ascii="Palatino Linotype" w:eastAsia="Palatino Linotype" w:hAnsi="Palatino Linotype" w:cs="Palatino Linotype"/>
        </w:rPr>
      </w:pP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35.- Para el despacho de los asuntos municipales, el Ayuntamiento se auxiliará con las dependencias administrativas, organismos públicos descentralizados y entidades de la Administración Pública Municipal que considere necesarias, las que estarán subordinadas al Presidente Municipal. </w:t>
      </w:r>
    </w:p>
    <w:p w:rsidR="00A91ECE" w:rsidRDefault="00A91ECE">
      <w:pPr>
        <w:ind w:left="567" w:right="900"/>
        <w:jc w:val="both"/>
        <w:rPr>
          <w:rFonts w:ascii="Palatino Linotype" w:eastAsia="Palatino Linotype" w:hAnsi="Palatino Linotype" w:cs="Palatino Linotype"/>
          <w:i/>
          <w:sz w:val="22"/>
          <w:szCs w:val="22"/>
        </w:rPr>
      </w:pP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36.- La Administración Pública Centralizada es una forma de organización de la Administración Pública del Municipio, cuyos órganos auxilian al Ayuntamiento en el despacho de los asuntos municipales y están subordinados a la Presidencia Municipal. La Administración Pública Centralizada se integra por:</w:t>
      </w: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Direcciones: </w:t>
      </w: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Dirección de Administración de Personal. </w:t>
      </w: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Dirección Jurídica. </w:t>
      </w:r>
    </w:p>
    <w:p w:rsidR="00A91ECE" w:rsidRDefault="00A86A9C">
      <w:pPr>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c. Dirección De Obras Públicas Y Desarrollo Urbano.</w:t>
      </w:r>
    </w:p>
    <w:p w:rsidR="00A91ECE" w:rsidRDefault="00A91ECE">
      <w:pPr>
        <w:ind w:left="567" w:right="900"/>
        <w:jc w:val="both"/>
        <w:rPr>
          <w:rFonts w:ascii="Palatino Linotype" w:eastAsia="Palatino Linotype" w:hAnsi="Palatino Linotype" w:cs="Palatino Linotype"/>
          <w:b/>
          <w:i/>
          <w:sz w:val="22"/>
          <w:szCs w:val="22"/>
          <w:u w:val="single"/>
        </w:rPr>
      </w:pPr>
    </w:p>
    <w:p w:rsidR="00A91ECE" w:rsidRDefault="00A86A9C">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91ECE" w:rsidRDefault="00A91ECE">
      <w:pPr>
        <w:ind w:left="567" w:right="900"/>
        <w:jc w:val="both"/>
        <w:rPr>
          <w:rFonts w:ascii="Palatino Linotype" w:eastAsia="Palatino Linotype" w:hAnsi="Palatino Linotype" w:cs="Palatino Linotype"/>
          <w:i/>
          <w:sz w:val="22"/>
          <w:szCs w:val="22"/>
        </w:rPr>
      </w:pPr>
    </w:p>
    <w:p w:rsidR="00A91ECE" w:rsidRDefault="00A86A9C">
      <w:pPr>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ARTÍCULO 85.- </w:t>
      </w:r>
      <w:r>
        <w:rPr>
          <w:rFonts w:ascii="Palatino Linotype" w:eastAsia="Palatino Linotype" w:hAnsi="Palatino Linotype" w:cs="Palatino Linotype"/>
          <w:b/>
          <w:i/>
          <w:sz w:val="22"/>
          <w:szCs w:val="22"/>
          <w:u w:val="single"/>
        </w:rPr>
        <w:t>El Ayuntamiento</w:t>
      </w:r>
      <w:r>
        <w:rPr>
          <w:rFonts w:ascii="Palatino Linotype" w:eastAsia="Palatino Linotype" w:hAnsi="Palatino Linotype" w:cs="Palatino Linotype"/>
          <w:i/>
          <w:sz w:val="22"/>
          <w:szCs w:val="22"/>
        </w:rPr>
        <w:t xml:space="preserve">, de conformidad con las leyes federales aplicables, el Código Administrativo del Estado de México, así como sus reglamentos respectivos, </w:t>
      </w:r>
      <w:r>
        <w:rPr>
          <w:rFonts w:ascii="Palatino Linotype" w:eastAsia="Palatino Linotype" w:hAnsi="Palatino Linotype" w:cs="Palatino Linotype"/>
          <w:b/>
          <w:i/>
          <w:sz w:val="22"/>
          <w:szCs w:val="22"/>
          <w:u w:val="single"/>
        </w:rPr>
        <w:t xml:space="preserve">tiene las siguientes atribuciones en materia de obra pública: </w:t>
      </w:r>
    </w:p>
    <w:p w:rsidR="00A91ECE" w:rsidRDefault="00A86A9C">
      <w:pPr>
        <w:numPr>
          <w:ilvl w:val="0"/>
          <w:numId w:val="2"/>
        </w:numPr>
        <w:pBdr>
          <w:top w:val="nil"/>
          <w:left w:val="nil"/>
          <w:bottom w:val="nil"/>
          <w:right w:val="nil"/>
          <w:between w:val="nil"/>
        </w:pBdr>
        <w:ind w:left="567" w:right="90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Elaborar y evaluar los programas anuales de obras públicas, de conformidad con los objetivos y lineamientos del Plan de Desarrollo Municipal y los que se deriven del Plan Nacional de Desarrollo; </w:t>
      </w:r>
    </w:p>
    <w:p w:rsidR="00A91ECE" w:rsidRDefault="00A86A9C">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Coordinarse con las dependencias competentes para ejecutar proyectos que fortalezcan la designación de Pueblo con Encanto; </w:t>
      </w:r>
    </w:p>
    <w:p w:rsidR="00A91ECE" w:rsidRDefault="00A86A9C">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Proponer para su análisis, discusión y aprobación por el Cabildo, la integración del Comité Obra Pública; </w:t>
      </w:r>
    </w:p>
    <w:p w:rsidR="00A91ECE" w:rsidRDefault="00A86A9C">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Realizar los estudios técnicos, sociales y de impacto ambiental, así como los proyectos ejecutivos de las obras públicas incluidas en los programas anuales; </w:t>
      </w:r>
    </w:p>
    <w:p w:rsidR="00A91ECE" w:rsidRDefault="00A86A9C">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Ejecutar las obras públicas de los programas anuales aprobados ya sea por administración o por contrato;</w:t>
      </w:r>
      <w:r>
        <w:rPr>
          <w:color w:val="000000"/>
        </w:rPr>
        <w:t xml:space="preserve"> </w:t>
      </w:r>
    </w:p>
    <w:p w:rsidR="00A91ECE" w:rsidRDefault="00A86A9C">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Licitar, concursar o asignar, en su caso, servicios de obra y las obras públicas aprobadas en los programas anuales, de conformidad con la normatividad de la fuente de recursos y montos aprobados; </w:t>
      </w:r>
    </w:p>
    <w:p w:rsidR="00A91ECE" w:rsidRDefault="00A86A9C">
      <w:pPr>
        <w:numPr>
          <w:ilvl w:val="0"/>
          <w:numId w:val="2"/>
        </w:numPr>
        <w:pBdr>
          <w:top w:val="nil"/>
          <w:left w:val="nil"/>
          <w:bottom w:val="nil"/>
          <w:right w:val="nil"/>
          <w:between w:val="nil"/>
        </w:pBdr>
        <w:ind w:left="567" w:right="900"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Elaborar los contratos de obra pública y gestionar el pago de anticipos;</w:t>
      </w:r>
    </w:p>
    <w:p w:rsidR="00A91ECE" w:rsidRDefault="00A86A9C">
      <w:pPr>
        <w:numPr>
          <w:ilvl w:val="0"/>
          <w:numId w:val="2"/>
        </w:numPr>
        <w:pBdr>
          <w:top w:val="nil"/>
          <w:left w:val="nil"/>
          <w:bottom w:val="nil"/>
          <w:right w:val="nil"/>
          <w:between w:val="nil"/>
        </w:pBdr>
        <w:ind w:left="426" w:right="900" w:hanging="283"/>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Revisar las estimaciones de obra y gestionar los pagos correspondientes hasta el finiquito de las obras, así como aplicar las sanciones a que se hagan acreedores los contratistas por incumplimiento de los términos pactados;</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 Supervisar y ejecutar pruebas de control de calidad, a fin de verificar que todas las obras del programa anual se ejecuten de conformidad con el proyecto y las especificaciones técnicas respectivas;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Elaborar las actas de entrega recepción de las obras concluidas de conformidad con las normas establecidas;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Elaborar estudios y proyectos de ingeniería vial;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i/>
          <w:color w:val="000000"/>
          <w:sz w:val="22"/>
          <w:szCs w:val="22"/>
          <w:u w:val="single"/>
        </w:rPr>
      </w:pPr>
      <w:r>
        <w:rPr>
          <w:rFonts w:ascii="Palatino Linotype" w:eastAsia="Palatino Linotype" w:hAnsi="Palatino Linotype" w:cs="Palatino Linotype"/>
          <w:i/>
          <w:color w:val="000000"/>
          <w:sz w:val="22"/>
          <w:szCs w:val="22"/>
          <w:u w:val="single"/>
        </w:rPr>
        <w:t xml:space="preserve">Construir obras viales e instalar los equipos y el señalamiento para el control vial;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Gestionar la expropiación de inmuebles por causas de interés público, con arreglo a lo que determine la ley aplicable;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Promover en la ejecución de obras públicas la participación de la ciudadanía, de la iniciativa privada y de las dependencias federales y estatales competentes, a través de los mecanismos que el presente Bando establece;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Celebrar convenios con particulares, dependencias y organismos federales, estatales y municipales para la ejecución de obras públicas;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Elaborar los informes de avance de las obras públicas que la normatividad de los distintos programas establece y entregarlos dentro de los plazos previstos a las instancias respectivas; </w:t>
      </w:r>
    </w:p>
    <w:p w:rsidR="00A91ECE" w:rsidRDefault="00A86A9C">
      <w:pPr>
        <w:numPr>
          <w:ilvl w:val="0"/>
          <w:numId w:val="2"/>
        </w:numPr>
        <w:pBdr>
          <w:top w:val="nil"/>
          <w:left w:val="nil"/>
          <w:bottom w:val="nil"/>
          <w:right w:val="nil"/>
          <w:between w:val="nil"/>
        </w:pBdr>
        <w:ind w:left="567" w:right="900" w:hanging="424"/>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 xml:space="preserve">Gestionar recursos financieros, mediante los diferentes programas federales y estatales para la ejecución de la obra pública; </w:t>
      </w:r>
    </w:p>
    <w:p w:rsidR="00A91ECE" w:rsidRDefault="00A86A9C">
      <w:pPr>
        <w:numPr>
          <w:ilvl w:val="0"/>
          <w:numId w:val="2"/>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Integrar y mantener actualizado el padrón de contratistas del Municipio,y </w:t>
      </w:r>
    </w:p>
    <w:p w:rsidR="00A91ECE" w:rsidRDefault="00A86A9C">
      <w:pPr>
        <w:numPr>
          <w:ilvl w:val="0"/>
          <w:numId w:val="2"/>
        </w:numPr>
        <w:pBdr>
          <w:top w:val="nil"/>
          <w:left w:val="nil"/>
          <w:bottom w:val="nil"/>
          <w:right w:val="nil"/>
          <w:between w:val="nil"/>
        </w:pBdr>
        <w:ind w:left="567" w:right="900" w:hanging="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demás que establezcan los ordenamientos legales aplicables” (Sic) (Énfasis añadido)</w:t>
      </w:r>
    </w:p>
    <w:p w:rsidR="00A91ECE" w:rsidRDefault="00A91ECE">
      <w:pPr>
        <w:ind w:right="900"/>
        <w:jc w:val="both"/>
        <w:rPr>
          <w:rFonts w:ascii="Palatino Linotype" w:eastAsia="Palatino Linotype" w:hAnsi="Palatino Linotype" w:cs="Palatino Linotype"/>
          <w:i/>
          <w:sz w:val="22"/>
          <w:szCs w:val="22"/>
        </w:rPr>
      </w:pPr>
    </w:p>
    <w:p w:rsidR="00A91ECE" w:rsidRDefault="00A86A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por lo anteriormente citado que se concluye que la respuesta fue vertida por la unidad administrativa competente, ello en virtud de que es la instancia encargada de conducir el desarrollo de la obra pública al interior del Sujeto Obligado, además de erogar los recursos financieros para su ejecución, por lo que al haber existido un pronunciamiento por parte de los Servidores Públicos competentes al interior del Sujeto Obligado, es decir, los titulares de las unidades administrativas que componen la administración pública municipal,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rsidR="00A91ECE" w:rsidRDefault="00A91ECE">
      <w:pPr>
        <w:tabs>
          <w:tab w:val="left" w:pos="709"/>
        </w:tabs>
        <w:ind w:left="567" w:right="1324"/>
        <w:jc w:val="both"/>
        <w:rPr>
          <w:rFonts w:ascii="Palatino Linotype" w:eastAsia="Palatino Linotype" w:hAnsi="Palatino Linotype" w:cs="Palatino Linotype"/>
          <w:b/>
          <w:i/>
          <w:sz w:val="22"/>
          <w:szCs w:val="22"/>
        </w:rPr>
      </w:pPr>
    </w:p>
    <w:p w:rsidR="00A91ECE" w:rsidRDefault="00A86A9C">
      <w:pPr>
        <w:tabs>
          <w:tab w:val="left" w:pos="709"/>
        </w:tabs>
        <w:ind w:left="567" w:right="132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w:t>
      </w:r>
    </w:p>
    <w:p w:rsidR="00A91ECE" w:rsidRDefault="00A86A9C">
      <w:pPr>
        <w:tabs>
          <w:tab w:val="left" w:pos="709"/>
        </w:tabs>
        <w:ind w:left="567" w:right="132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recurso revisión, al respecto.</w:t>
      </w:r>
      <w:r>
        <w:rPr>
          <w:rFonts w:ascii="Palatino Linotype" w:eastAsia="Palatino Linotype" w:hAnsi="Palatino Linotype" w:cs="Palatino Linotype"/>
          <w:b/>
          <w:i/>
          <w:sz w:val="22"/>
          <w:szCs w:val="22"/>
        </w:rPr>
        <w:t>”</w:t>
      </w:r>
    </w:p>
    <w:p w:rsidR="00A91ECE" w:rsidRDefault="00A91ECE">
      <w:pPr>
        <w:spacing w:line="360" w:lineRule="auto"/>
        <w:jc w:val="both"/>
        <w:rPr>
          <w:rFonts w:ascii="Palatino Linotype" w:eastAsia="Palatino Linotype" w:hAnsi="Palatino Linotype" w:cs="Palatino Linotype"/>
        </w:rPr>
      </w:pPr>
    </w:p>
    <w:p w:rsidR="00A91ECE" w:rsidRDefault="00A86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mismo el artículo 4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dispositivo legal en comento que a la letra señala:</w:t>
      </w:r>
    </w:p>
    <w:p w:rsidR="00A91ECE" w:rsidRDefault="00A91ECE">
      <w:pPr>
        <w:spacing w:line="360" w:lineRule="auto"/>
        <w:ind w:left="426"/>
        <w:jc w:val="both"/>
        <w:rPr>
          <w:rFonts w:ascii="Palatino Linotype" w:eastAsia="Palatino Linotype" w:hAnsi="Palatino Linotype" w:cs="Palatino Linotype"/>
        </w:rPr>
      </w:pPr>
    </w:p>
    <w:p w:rsidR="00A91ECE" w:rsidRDefault="00A86A9C">
      <w:pPr>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A91ECE" w:rsidRDefault="00A91ECE">
      <w:pPr>
        <w:spacing w:line="360" w:lineRule="auto"/>
        <w:ind w:left="426"/>
        <w:jc w:val="both"/>
        <w:rPr>
          <w:rFonts w:ascii="Palatino Linotype" w:eastAsia="Palatino Linotype" w:hAnsi="Palatino Linotype" w:cs="Palatino Linotype"/>
        </w:rPr>
      </w:pPr>
    </w:p>
    <w:p w:rsidR="00A91ECE" w:rsidRDefault="00A86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Numerales que compelen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apegarse en todo momento a los criterios ya expuestos, impidiendo a este Órgano Colegiado cuestionar la veracidad de la información.</w:t>
      </w:r>
    </w:p>
    <w:p w:rsidR="00A91ECE" w:rsidRDefault="00A91ECE">
      <w:pPr>
        <w:spacing w:line="360" w:lineRule="auto"/>
        <w:jc w:val="both"/>
        <w:rPr>
          <w:rFonts w:ascii="Palatino Linotype" w:eastAsia="Palatino Linotype" w:hAnsi="Palatino Linotype" w:cs="Palatino Linotype"/>
        </w:rPr>
      </w:pPr>
    </w:p>
    <w:p w:rsidR="00A91ECE" w:rsidRDefault="00A86A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que, del análisis del documento remitido en respuesta a la solicitud de información, se advierte que en efecto contiene los datos requeridos por el ahora RECURRENTE, pues se indica con claridad el concepto y monto de las obras realizadas por el SUJETO OBLIGADO durante el periodo solicitado, aunado a que fue emitido por el servidor público habilitado competente, como se apuntó debidamente en líneas argumentativas anteriores, por lo que se concluye que la información requerida se visualiza de manera precisa y concreta y además corresponde con lo solicitado.</w:t>
      </w:r>
    </w:p>
    <w:p w:rsidR="00A91ECE" w:rsidRDefault="00A91ECE">
      <w:pPr>
        <w:spacing w:line="360" w:lineRule="auto"/>
        <w:jc w:val="both"/>
        <w:rPr>
          <w:rFonts w:ascii="Palatino Linotype" w:eastAsia="Palatino Linotype" w:hAnsi="Palatino Linotype" w:cs="Palatino Linotype"/>
        </w:rPr>
      </w:pPr>
    </w:p>
    <w:p w:rsidR="00A91ECE" w:rsidRDefault="00A86A9C">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Por otra parte, si bien este Órgano Garante no pierde de vista que en efecto el Sujeto Obligado remitió la información requerida al décimo séptimo día hábil contabilizados a partir de la fecha de la solicitud, lo contraviene a lo previsto por el artículo 163 de la legislación aplicable a la materia, no menos cierto es que del análisis a lo remitido en respuesta por el Sujeto Obligado, se advierte que la información solicitada fue proporcionada. Por lo que se exhorta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observar en estricto sentido los plazos establecidos por la legislación aplicable en la materia para dar respuesta a las solicitudes de información que les corresponda atender.</w:t>
      </w:r>
    </w:p>
    <w:p w:rsidR="00A91ECE" w:rsidRDefault="00A86A9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anteriormente expuesto,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embargo insuficientes toda vez si bien la respuesta fue proporcionada de manera extemporánea, lo cierto es que la información ya le fue proporcionada. </w:t>
      </w:r>
    </w:p>
    <w:p w:rsidR="00A91ECE" w:rsidRDefault="00A86A9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orientadora la tesis de jurisprudencia VI.2o.C.30 C (10a.) sostenida por el </w:t>
      </w:r>
      <w:r>
        <w:rPr>
          <w:rFonts w:ascii="Palatino Linotype" w:eastAsia="Palatino Linotype" w:hAnsi="Palatino Linotype" w:cs="Palatino Linotype"/>
          <w:color w:val="212529"/>
          <w:highlight w:val="white"/>
        </w:rPr>
        <w:t xml:space="preserve">SEGUNDO TRIBUNAL COLEGIADO EN MATERIA CIVIL DEL SEXTO CIRCUITO visible en la página 1699 del tomo Tomo 3, de mayo de 2013, publicada en el Semanario Judicial de la Federación y su Gaceta, Décima Época, cuyo rubro y texto son: </w:t>
      </w:r>
    </w:p>
    <w:p w:rsidR="00A91ECE" w:rsidRDefault="00A86A9C">
      <w:pPr>
        <w:tabs>
          <w:tab w:val="left" w:pos="709"/>
        </w:tabs>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AGRAVIOS EN LA APELACIÓN. PUEDEN DECLARARSE FUNDADOS PERO INSUFICIENTES PARA TRASCENDER AL RESULTADO DEL FALLO Y BENEFICIAR A LOS INTERESES DEL INCONFORME (LEGISLACIÓN DEL ESTADO DE PUEBLA). El artículo 396 del Código de Procedimientos Civiles para el Estado de Puebla precisa que el tribunal de apelación al emitir su ejecutoria puede declarar que los agravios son fundados, infundados, inoperantes, e insuficientes; y así no obliga a la Sala a clasificarlos en una sola categoría, pues puede hacerlo indistintamente en dos o más hipótesis de las mencionadas. Pero principalmente no obliga a la autoridad de segunda instancia a que por la sola circunstancia de que resulten fundados deba emitir su fallo en sentido favorable al recurrente y a la modificación o revocación del fallo apelado en su beneficio, ya que puede resultar que a pesar de ser fundados los agravios sean insuficientes para trascender al resultado del fallo y, por tanto para beneficiar a los intereses del inconforme, lo que por esa única razón no causa perjuicio alguno a las partes, siempre y cuando las consideraciones y fundamentos que rijan la sentencia se encuentren apegados a derecho. </w:t>
      </w:r>
    </w:p>
    <w:p w:rsidR="00A91ECE" w:rsidRDefault="00A86A9C">
      <w:pPr>
        <w:tabs>
          <w:tab w:val="left" w:pos="709"/>
        </w:tabs>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SEGUNDO TRIBUNAL COLEGIADO EN MATERIA CIVIL DEL SEXTO CIRCUITO. Amparo directo 12/2013. Itzel Dailyn Romero Hernández. 28 de febrero de 2013. Unanimidad de votos. Ponente: Gustavo Calvillo Rangel. Secretario: Humberto Schettino Reyna. </w:t>
      </w:r>
    </w:p>
    <w:p w:rsidR="00A91ECE" w:rsidRDefault="00A86A9C">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91ECE" w:rsidRDefault="00A86A9C">
      <w:pPr>
        <w:numPr>
          <w:ilvl w:val="0"/>
          <w:numId w:val="3"/>
        </w:numPr>
        <w:spacing w:before="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A91ECE" w:rsidRDefault="00A86A9C">
      <w:pPr>
        <w:spacing w:after="36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rPr>
        <w:t xml:space="preserve">Resultan </w:t>
      </w:r>
      <w:r w:rsidRPr="008863BB">
        <w:rPr>
          <w:rFonts w:ascii="Palatino Linotype" w:eastAsia="Palatino Linotype" w:hAnsi="Palatino Linotype" w:cs="Palatino Linotype"/>
        </w:rPr>
        <w:t>fundados, pero insuficientes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las razones y motivos de inconformidad hechos valer en el recurso de revisión </w:t>
      </w:r>
      <w:r>
        <w:rPr>
          <w:rFonts w:ascii="Palatino Linotype" w:eastAsia="Palatino Linotype" w:hAnsi="Palatino Linotype" w:cs="Palatino Linotype"/>
          <w:b/>
        </w:rPr>
        <w:t>05729/INFOEM/IP/RR/2021</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p>
    <w:p w:rsidR="00A91ECE" w:rsidRDefault="00A86A9C">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Ayuntamiento de </w:t>
      </w:r>
      <w:r>
        <w:rPr>
          <w:rFonts w:ascii="Palatino Linotype" w:eastAsia="Palatino Linotype" w:hAnsi="Palatino Linotype" w:cs="Palatino Linotype"/>
          <w:b/>
          <w:sz w:val="22"/>
          <w:szCs w:val="22"/>
        </w:rPr>
        <w:t>Tepetlixpa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solicitud </w:t>
      </w:r>
      <w:r>
        <w:rPr>
          <w:rFonts w:ascii="Palatino Linotype" w:eastAsia="Palatino Linotype" w:hAnsi="Palatino Linotype" w:cs="Palatino Linotype"/>
          <w:b/>
        </w:rPr>
        <w:t>00258/TEPETLIX/IP/2021.</w:t>
      </w:r>
    </w:p>
    <w:p w:rsidR="00A91ECE" w:rsidRDefault="00A86A9C">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Sistema de Acceso a la Información Mexiquense (SAIMEX), 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A91ECE" w:rsidRDefault="00A86A9C">
      <w:pPr>
        <w:spacing w:before="240" w:after="36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000000"/>
        </w:rPr>
        <w:t xml:space="preserve">Cuarto.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vía Sistema de Acceso a la Información Mexiquense (SAIMEX) la presente</w:t>
      </w:r>
      <w:r>
        <w:rPr>
          <w:rFonts w:ascii="Palatino Linotype" w:eastAsia="Palatino Linotype" w:hAnsi="Palatino Linotype" w:cs="Palatino Linotype"/>
          <w:color w:val="222222"/>
        </w:rPr>
        <w:t xml:space="preserve"> resolución. </w:t>
      </w:r>
    </w:p>
    <w:p w:rsidR="00A91ECE" w:rsidRDefault="00A86A9C">
      <w:pPr>
        <w:spacing w:before="24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222222"/>
        </w:rPr>
        <w:t xml:space="preserve">Quinto. Notifíquese </w:t>
      </w:r>
      <w:r>
        <w:rPr>
          <w:rFonts w:ascii="Palatino Linotype" w:eastAsia="Palatino Linotype" w:hAnsi="Palatino Linotype" w:cs="Palatino Linotype"/>
          <w:color w:val="222222"/>
        </w:rPr>
        <w:t>al Recurrente</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por la misma vía, que </w:t>
      </w:r>
      <w:r>
        <w:rPr>
          <w:rFonts w:ascii="Palatino Linotype" w:eastAsia="Palatino Linotype" w:hAnsi="Palatino Linotype" w:cs="Palatino Linotype"/>
        </w:rPr>
        <w:t xml:space="preserve">de conformidad con lo establecido en el artículo 196 de la Ley de Transparencia y Acceso a la Información Pública del Estado de México y Municipios </w:t>
      </w:r>
      <w:r>
        <w:rPr>
          <w:rFonts w:ascii="Palatino Linotype" w:eastAsia="Palatino Linotype" w:hAnsi="Palatino Linotype" w:cs="Palatino Linotype"/>
          <w:color w:val="000000"/>
        </w:rPr>
        <w:t>podrá impugnarla vía juicio de amparo en los términos de las Leyes aplicables.</w:t>
      </w:r>
    </w:p>
    <w:p w:rsidR="00A91ECE" w:rsidRDefault="00A86A9C">
      <w:pPr>
        <w:spacing w:before="240" w:after="240" w:line="360" w:lineRule="auto"/>
        <w:jc w:val="both"/>
        <w:rPr>
          <w:rFonts w:ascii="Palatino Linotype" w:eastAsia="Palatino Linotype" w:hAnsi="Palatino Linotype" w:cs="Palatino Linotype"/>
        </w:rPr>
        <w:sectPr w:rsidR="00A91ECE">
          <w:headerReference w:type="default" r:id="rId19"/>
          <w:footerReference w:type="default" r:id="rId20"/>
          <w:headerReference w:type="first" r:id="rId21"/>
          <w:footerReference w:type="first" r:id="rId22"/>
          <w:pgSz w:w="12240" w:h="15840"/>
          <w:pgMar w:top="1417" w:right="1701" w:bottom="1417" w:left="1701" w:header="709" w:footer="709" w:gutter="0"/>
          <w:pgNumType w:start="1"/>
          <w:cols w:space="720"/>
          <w:titlePg/>
        </w:sectPr>
      </w:pPr>
      <w:bookmarkStart w:id="2" w:name="_heading=h.30j0zll" w:colFirst="0" w:colLast="0"/>
      <w:bookmarkEnd w:id="2"/>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B40F88">
        <w:rPr>
          <w:rFonts w:ascii="Palatino Linotype" w:eastAsia="Palatino Linotype" w:hAnsi="Palatino Linotype" w:cs="Palatino Linotype"/>
          <w:color w:val="222222"/>
        </w:rPr>
        <w:t>CUATRO</w:t>
      </w:r>
      <w:r>
        <w:rPr>
          <w:rFonts w:ascii="Palatino Linotype" w:eastAsia="Palatino Linotype" w:hAnsi="Palatino Linotype" w:cs="Palatino Linotype"/>
        </w:rPr>
        <w:t xml:space="preserve"> DE FEBRERO DEL DOS MIL VEINTIDÓS, ANTE EL SECRETARIO TÉCNICO DEL PLENO ALEXIS TAPIA RAMÍREZ.</w:t>
      </w:r>
    </w:p>
    <w:p w:rsidR="00A91ECE" w:rsidRDefault="00A91ECE">
      <w:pPr>
        <w:spacing w:before="240" w:after="240" w:line="360" w:lineRule="auto"/>
        <w:jc w:val="both"/>
        <w:rPr>
          <w:rFonts w:ascii="Palatino Linotype" w:eastAsia="Palatino Linotype" w:hAnsi="Palatino Linotype" w:cs="Palatino Linotype"/>
        </w:rPr>
      </w:pPr>
    </w:p>
    <w:sectPr w:rsidR="00A91ECE">
      <w:headerReference w:type="first" r:id="rId23"/>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A9C" w:rsidRDefault="00A86A9C">
      <w:r>
        <w:separator/>
      </w:r>
    </w:p>
  </w:endnote>
  <w:endnote w:type="continuationSeparator" w:id="0">
    <w:p w:rsidR="00A86A9C" w:rsidRDefault="00A8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CE" w:rsidRDefault="00A86A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3A44">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3A4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A91ECE" w:rsidRDefault="00A91EC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CE" w:rsidRDefault="00A86A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3A4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3A4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A91ECE" w:rsidRDefault="00A91EC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A9C" w:rsidRDefault="00A86A9C">
      <w:r>
        <w:separator/>
      </w:r>
    </w:p>
  </w:footnote>
  <w:footnote w:type="continuationSeparator" w:id="0">
    <w:p w:rsidR="00A86A9C" w:rsidRDefault="00A8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CE" w:rsidRDefault="00A86A9C">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-665859</wp:posOffset>
          </wp:positionH>
          <wp:positionV relativeFrom="paragraph">
            <wp:posOffset>-453615</wp:posOffset>
          </wp:positionV>
          <wp:extent cx="7635600" cy="9943200"/>
          <wp:effectExtent l="0" t="0" r="0" b="0"/>
          <wp:wrapNone/>
          <wp:docPr id="4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5670" w:type="dxa"/>
      <w:tblInd w:w="3119" w:type="dxa"/>
      <w:tblLayout w:type="fixed"/>
      <w:tblLook w:val="0400" w:firstRow="0" w:lastRow="0" w:firstColumn="0" w:lastColumn="0" w:noHBand="0" w:noVBand="1"/>
    </w:tblPr>
    <w:tblGrid>
      <w:gridCol w:w="2551"/>
      <w:gridCol w:w="3119"/>
    </w:tblGrid>
    <w:tr w:rsidR="00A91ECE">
      <w:tc>
        <w:tcPr>
          <w:tcW w:w="2551" w:type="dxa"/>
          <w:vAlign w:val="center"/>
        </w:tcPr>
        <w:p w:rsidR="00A91ECE" w:rsidRDefault="00A86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A91ECE" w:rsidRDefault="00A86A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05729/INFOEM/IP/RR/2021 </w:t>
          </w:r>
        </w:p>
      </w:tc>
    </w:tr>
    <w:tr w:rsidR="00A91ECE">
      <w:trPr>
        <w:trHeight w:val="228"/>
      </w:trPr>
      <w:tc>
        <w:tcPr>
          <w:tcW w:w="2551" w:type="dxa"/>
          <w:vAlign w:val="center"/>
        </w:tcPr>
        <w:p w:rsidR="00A91ECE" w:rsidRDefault="00A86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A91ECE" w:rsidRDefault="00A86A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A91ECE">
      <w:tc>
        <w:tcPr>
          <w:tcW w:w="2551" w:type="dxa"/>
          <w:vAlign w:val="center"/>
        </w:tcPr>
        <w:p w:rsidR="00A91ECE" w:rsidRDefault="00A86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A91ECE" w:rsidRDefault="00A86A9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91ECE" w:rsidRDefault="00A91ECE">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CE" w:rsidRDefault="00A86A9C">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-1032509</wp:posOffset>
          </wp:positionH>
          <wp:positionV relativeFrom="paragraph">
            <wp:posOffset>-301624</wp:posOffset>
          </wp:positionV>
          <wp:extent cx="7635600" cy="9943200"/>
          <wp:effectExtent l="0" t="0" r="0" b="0"/>
          <wp:wrapNone/>
          <wp:docPr id="4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5812" w:type="dxa"/>
      <w:tblInd w:w="3119" w:type="dxa"/>
      <w:tblLayout w:type="fixed"/>
      <w:tblLook w:val="0400" w:firstRow="0" w:lastRow="0" w:firstColumn="0" w:lastColumn="0" w:noHBand="0" w:noVBand="1"/>
    </w:tblPr>
    <w:tblGrid>
      <w:gridCol w:w="2551"/>
      <w:gridCol w:w="3261"/>
    </w:tblGrid>
    <w:tr w:rsidR="00A91ECE">
      <w:tc>
        <w:tcPr>
          <w:tcW w:w="2551" w:type="dxa"/>
          <w:vAlign w:val="center"/>
        </w:tcPr>
        <w:p w:rsidR="00A91ECE" w:rsidRDefault="00A86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rsidR="00A91ECE" w:rsidRDefault="00A86A9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05729/INFOEM/IP/RR/2021</w:t>
          </w:r>
        </w:p>
      </w:tc>
    </w:tr>
    <w:tr w:rsidR="00A91ECE">
      <w:tc>
        <w:tcPr>
          <w:tcW w:w="2551" w:type="dxa"/>
          <w:vAlign w:val="center"/>
        </w:tcPr>
        <w:p w:rsidR="00A91ECE" w:rsidRDefault="00A86A9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rsidR="00A91ECE" w:rsidRDefault="00A91ECE">
          <w:pPr>
            <w:jc w:val="both"/>
            <w:rPr>
              <w:rFonts w:ascii="Palatino Linotype" w:eastAsia="Palatino Linotype" w:hAnsi="Palatino Linotype" w:cs="Palatino Linotype"/>
              <w:b/>
              <w:sz w:val="22"/>
              <w:szCs w:val="22"/>
            </w:rPr>
          </w:pPr>
        </w:p>
      </w:tc>
    </w:tr>
    <w:tr w:rsidR="00A91ECE">
      <w:trPr>
        <w:trHeight w:val="228"/>
      </w:trPr>
      <w:tc>
        <w:tcPr>
          <w:tcW w:w="2551" w:type="dxa"/>
          <w:vAlign w:val="center"/>
        </w:tcPr>
        <w:p w:rsidR="00A91ECE" w:rsidRDefault="00A86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rsidR="00A91ECE" w:rsidRDefault="00A86A9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A91ECE">
      <w:tc>
        <w:tcPr>
          <w:tcW w:w="2551" w:type="dxa"/>
          <w:vAlign w:val="center"/>
        </w:tcPr>
        <w:p w:rsidR="00A91ECE" w:rsidRDefault="00A86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rsidR="00A91ECE" w:rsidRDefault="00A86A9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91ECE" w:rsidRDefault="00A91ECE">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ECE" w:rsidRDefault="00A91ECE">
    <w:pPr>
      <w:pBdr>
        <w:top w:val="nil"/>
        <w:left w:val="nil"/>
        <w:bottom w:val="nil"/>
        <w:right w:val="nil"/>
        <w:between w:val="nil"/>
      </w:pBdr>
      <w:tabs>
        <w:tab w:val="center" w:pos="4252"/>
        <w:tab w:val="right" w:pos="8504"/>
      </w:tabs>
      <w:jc w:val="both"/>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53810"/>
    <w:multiLevelType w:val="multilevel"/>
    <w:tmpl w:val="E5B62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2E87124"/>
    <w:multiLevelType w:val="multilevel"/>
    <w:tmpl w:val="7FBE409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365DB6"/>
    <w:multiLevelType w:val="multilevel"/>
    <w:tmpl w:val="A3824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FDA4F74"/>
    <w:multiLevelType w:val="multilevel"/>
    <w:tmpl w:val="92C2BD8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CE"/>
    <w:rsid w:val="00803A44"/>
    <w:rsid w:val="008863BB"/>
    <w:rsid w:val="00A86A9C"/>
    <w:rsid w:val="00A91ECE"/>
    <w:rsid w:val="00B40F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96751-8996-4266-A98E-24C05242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C64F8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ORgiH4CMrycr2kejedZzHxW8aA==">AMUW2mXbQhMgki2sar/U37aOL9QZ/Nt4QMr4f8yKJ5QvxvC2yshBPJT2trZ2s5P0SeaTIkwcmujShhiO65fmotASat8ihi21gN6OYqoVC4SPhsuzsPYU5tZKeNHnSe7BtToTlXuxntpY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8065</Words>
  <Characters>44363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2</cp:revision>
  <dcterms:created xsi:type="dcterms:W3CDTF">2022-02-25T20:04:00Z</dcterms:created>
  <dcterms:modified xsi:type="dcterms:W3CDTF">2022-02-25T20:04:00Z</dcterms:modified>
</cp:coreProperties>
</file>