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B7ED7" w:rsidR="00836192" w:rsidP="00274839" w:rsidRDefault="00836192" w14:paraId="6A2027F0" w14:textId="55B97A8D">
      <w:pPr>
        <w:spacing w:line="360" w:lineRule="auto"/>
        <w:jc w:val="both"/>
        <w:rPr>
          <w:rFonts w:ascii="Palatino Linotype" w:hAnsi="Palatino Linotype" w:cs="Tahoma"/>
          <w:sz w:val="22"/>
          <w:szCs w:val="22"/>
        </w:rPr>
      </w:pPr>
      <w:r w:rsidRPr="000B7ED7">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w:t>
      </w:r>
      <w:r w:rsidRPr="00256752">
        <w:rPr>
          <w:rFonts w:ascii="Palatino Linotype" w:hAnsi="Palatino Linotype" w:cs="Tahoma"/>
          <w:bCs/>
          <w:sz w:val="22"/>
          <w:szCs w:val="22"/>
        </w:rPr>
        <w:t xml:space="preserve">de México, de fecha </w:t>
      </w:r>
      <w:r w:rsidR="00036721">
        <w:rPr>
          <w:rFonts w:ascii="Palatino Linotype" w:hAnsi="Palatino Linotype" w:cs="Tahoma"/>
          <w:bCs/>
          <w:sz w:val="22"/>
          <w:szCs w:val="22"/>
        </w:rPr>
        <w:t>dieciocho</w:t>
      </w:r>
      <w:r w:rsidRPr="00256752" w:rsidR="007D2BD0">
        <w:rPr>
          <w:rFonts w:ascii="Palatino Linotype" w:hAnsi="Palatino Linotype" w:cs="Tahoma"/>
          <w:bCs/>
          <w:sz w:val="22"/>
          <w:szCs w:val="22"/>
        </w:rPr>
        <w:t xml:space="preserve"> de </w:t>
      </w:r>
      <w:r w:rsidRPr="00256752" w:rsidR="00C43D9A">
        <w:rPr>
          <w:rFonts w:ascii="Palatino Linotype" w:hAnsi="Palatino Linotype" w:cs="Tahoma"/>
          <w:bCs/>
          <w:sz w:val="22"/>
          <w:szCs w:val="22"/>
        </w:rPr>
        <w:t>ma</w:t>
      </w:r>
      <w:r w:rsidRPr="00256752" w:rsidR="00F86B39">
        <w:rPr>
          <w:rFonts w:ascii="Palatino Linotype" w:hAnsi="Palatino Linotype" w:cs="Tahoma"/>
          <w:bCs/>
          <w:sz w:val="22"/>
          <w:szCs w:val="22"/>
        </w:rPr>
        <w:t xml:space="preserve">yo </w:t>
      </w:r>
      <w:r w:rsidRPr="00256752">
        <w:rPr>
          <w:rFonts w:ascii="Palatino Linotype" w:hAnsi="Palatino Linotype" w:cs="Tahoma"/>
          <w:bCs/>
          <w:sz w:val="22"/>
          <w:szCs w:val="22"/>
        </w:rPr>
        <w:t>de dos mil veinti</w:t>
      </w:r>
      <w:r w:rsidRPr="00256752" w:rsidR="00C43D9A">
        <w:rPr>
          <w:rFonts w:ascii="Palatino Linotype" w:hAnsi="Palatino Linotype" w:cs="Tahoma"/>
          <w:bCs/>
          <w:sz w:val="22"/>
          <w:szCs w:val="22"/>
        </w:rPr>
        <w:t>dós</w:t>
      </w:r>
      <w:r w:rsidRPr="00256752">
        <w:rPr>
          <w:rFonts w:ascii="Palatino Linotype" w:hAnsi="Palatino Linotype" w:cs="Tahoma"/>
          <w:bCs/>
          <w:sz w:val="22"/>
          <w:szCs w:val="22"/>
        </w:rPr>
        <w:t>.</w:t>
      </w:r>
      <w:r w:rsidRPr="000B7ED7">
        <w:rPr>
          <w:rFonts w:ascii="Palatino Linotype" w:hAnsi="Palatino Linotype" w:cs="Tahoma"/>
          <w:bCs/>
          <w:sz w:val="22"/>
          <w:szCs w:val="22"/>
        </w:rPr>
        <w:t xml:space="preserve"> </w:t>
      </w:r>
    </w:p>
    <w:p w:rsidRPr="000B7ED7" w:rsidR="00836192" w:rsidP="00274839" w:rsidRDefault="00836192" w14:paraId="6EA90397" w14:textId="77777777">
      <w:pPr>
        <w:spacing w:line="360" w:lineRule="auto"/>
        <w:rPr>
          <w:rFonts w:ascii="Palatino Linotype" w:hAnsi="Palatino Linotype" w:cs="Tahoma"/>
          <w:bCs/>
          <w:sz w:val="22"/>
          <w:szCs w:val="22"/>
        </w:rPr>
      </w:pPr>
    </w:p>
    <w:p w:rsidRPr="000B7ED7" w:rsidR="00836192" w:rsidP="0961FBB5" w:rsidRDefault="00836192" w14:paraId="64FBBD27" w14:textId="6208C528">
      <w:pPr>
        <w:spacing w:line="360" w:lineRule="auto"/>
        <w:jc w:val="both"/>
        <w:rPr>
          <w:rFonts w:ascii="Palatino Linotype" w:hAnsi="Palatino Linotype" w:cs="Tahoma"/>
          <w:sz w:val="22"/>
          <w:szCs w:val="22"/>
        </w:rPr>
      </w:pPr>
      <w:r w:rsidRPr="0961FBB5" w:rsidR="0961FBB5">
        <w:rPr>
          <w:rFonts w:ascii="Palatino Linotype" w:hAnsi="Palatino Linotype" w:cs="Tahoma"/>
          <w:b w:val="1"/>
          <w:bCs w:val="1"/>
          <w:color w:val="0D0D0D" w:themeColor="text1" w:themeTint="F2" w:themeShade="FF"/>
          <w:sz w:val="22"/>
          <w:szCs w:val="22"/>
        </w:rPr>
        <w:t xml:space="preserve">VISTO </w:t>
      </w:r>
      <w:r w:rsidRPr="0961FBB5" w:rsidR="0961FBB5">
        <w:rPr>
          <w:rFonts w:ascii="Palatino Linotype" w:hAnsi="Palatino Linotype" w:cs="Tahoma"/>
          <w:color w:val="0D0D0D" w:themeColor="text1" w:themeTint="F2" w:themeShade="FF"/>
          <w:sz w:val="22"/>
          <w:szCs w:val="22"/>
        </w:rPr>
        <w:t xml:space="preserve">el expediente conformado con motivo del Recurso de Revisión </w:t>
      </w:r>
      <w:bookmarkStart w:name="_Hlk103185727" w:id="0"/>
      <w:r w:rsidRPr="0961FBB5" w:rsidR="0961FBB5">
        <w:rPr>
          <w:rFonts w:ascii="Palatino Linotype" w:hAnsi="Palatino Linotype" w:eastAsia="Batang" w:cs="Tahoma"/>
          <w:sz w:val="22"/>
          <w:szCs w:val="22"/>
          <w:lang w:val="es-ES"/>
        </w:rPr>
        <w:t>03166/INFOEM/IP/RR/2022</w:t>
      </w:r>
      <w:bookmarkEnd w:id="0"/>
      <w:r w:rsidRPr="0961FBB5" w:rsidR="0961FBB5">
        <w:rPr>
          <w:rFonts w:ascii="Palatino Linotype" w:hAnsi="Palatino Linotype" w:cs="Tahoma"/>
          <w:color w:val="0D0D0D" w:themeColor="text1" w:themeTint="F2" w:themeShade="FF"/>
          <w:sz w:val="22"/>
          <w:szCs w:val="22"/>
        </w:rPr>
        <w:t xml:space="preserve">, interpuestos por </w:t>
      </w:r>
      <w:r w:rsidRPr="0961FBB5" w:rsidR="0961FBB5">
        <w:rPr>
          <w:rFonts w:ascii="Palatino Linotype" w:hAnsi="Palatino Linotype" w:cs="Tahoma"/>
          <w:color w:val="0D0D0D" w:themeColor="text1" w:themeTint="F2" w:themeShade="FF"/>
          <w:sz w:val="22"/>
          <w:szCs w:val="22"/>
          <w:highlight w:val="black"/>
        </w:rPr>
        <w:t>XXXXXXXXXXXXXXXXXXXXXXXX</w:t>
      </w:r>
      <w:r w:rsidRPr="0961FBB5" w:rsidR="0961FBB5">
        <w:rPr>
          <w:rFonts w:ascii="Palatino Linotype" w:hAnsi="Palatino Linotype" w:cs="Tahoma"/>
          <w:color w:val="0D0D0D" w:themeColor="text1" w:themeTint="F2" w:themeShade="FF"/>
          <w:sz w:val="22"/>
          <w:szCs w:val="22"/>
        </w:rPr>
        <w:t>, en lo sucesivo el Recurrente o Particular, en contra de la respuesta del Sujeto Obligado, Ayuntamiento de Teotihuacán, a la solicitud de acceso a la información pública 00015/TEOTIHUA/IP/2022 se emite la presente Resolución, con base en los Antecedentes y C</w:t>
      </w:r>
      <w:r w:rsidRPr="0961FBB5" w:rsidR="0961FBB5">
        <w:rPr>
          <w:rFonts w:ascii="Palatino Linotype" w:hAnsi="Palatino Linotype" w:cs="Tahoma"/>
          <w:sz w:val="22"/>
          <w:szCs w:val="22"/>
        </w:rPr>
        <w:t>onsiderandos que a continuación se exponen:</w:t>
      </w:r>
    </w:p>
    <w:p w:rsidRPr="000B7ED7" w:rsidR="00836192" w:rsidP="00274839" w:rsidRDefault="00836192" w14:paraId="28946067" w14:textId="77777777">
      <w:pPr>
        <w:spacing w:line="360" w:lineRule="auto"/>
        <w:rPr>
          <w:rFonts w:ascii="Palatino Linotype" w:hAnsi="Palatino Linotype" w:cs="Tahoma"/>
          <w:sz w:val="22"/>
          <w:szCs w:val="22"/>
        </w:rPr>
      </w:pPr>
    </w:p>
    <w:p w:rsidRPr="000B7ED7" w:rsidR="00836192" w:rsidP="00274839" w:rsidRDefault="00836192" w14:paraId="5F432416" w14:textId="77777777">
      <w:pPr>
        <w:tabs>
          <w:tab w:val="center" w:pos="4522"/>
          <w:tab w:val="left" w:pos="7245"/>
        </w:tabs>
        <w:spacing w:line="360" w:lineRule="auto"/>
        <w:jc w:val="center"/>
        <w:rPr>
          <w:rFonts w:ascii="Palatino Linotype" w:hAnsi="Palatino Linotype" w:cs="Tahoma"/>
          <w:b/>
          <w:sz w:val="22"/>
          <w:szCs w:val="22"/>
        </w:rPr>
      </w:pPr>
      <w:r w:rsidRPr="000B7ED7">
        <w:rPr>
          <w:rFonts w:ascii="Palatino Linotype" w:hAnsi="Palatino Linotype" w:cs="Tahoma"/>
          <w:b/>
          <w:sz w:val="22"/>
          <w:szCs w:val="22"/>
        </w:rPr>
        <w:t>A N T E C E D E N T E S:</w:t>
      </w:r>
    </w:p>
    <w:p w:rsidRPr="000B7ED7" w:rsidR="00836192" w:rsidP="00274839" w:rsidRDefault="00836192" w14:paraId="2DCC4393" w14:textId="77777777">
      <w:pPr>
        <w:pStyle w:val="Prrafodelista"/>
        <w:tabs>
          <w:tab w:val="left" w:pos="567"/>
        </w:tabs>
        <w:spacing w:line="360" w:lineRule="auto"/>
        <w:ind w:left="567"/>
        <w:jc w:val="both"/>
        <w:rPr>
          <w:rFonts w:ascii="Palatino Linotype" w:hAnsi="Palatino Linotype" w:cs="Tahoma"/>
          <w:szCs w:val="22"/>
        </w:rPr>
      </w:pPr>
    </w:p>
    <w:p w:rsidRPr="000B7ED7" w:rsidR="00836192" w:rsidP="00274839" w:rsidRDefault="00836192" w14:paraId="1049213E" w14:textId="5ED9B123">
      <w:pPr>
        <w:pStyle w:val="Prrafodelista"/>
        <w:tabs>
          <w:tab w:val="left" w:pos="567"/>
        </w:tabs>
        <w:spacing w:line="360" w:lineRule="auto"/>
        <w:ind w:left="0"/>
        <w:jc w:val="both"/>
        <w:rPr>
          <w:rFonts w:ascii="Palatino Linotype" w:hAnsi="Palatino Linotype" w:cs="Tahoma"/>
          <w:b/>
          <w:szCs w:val="22"/>
        </w:rPr>
      </w:pPr>
      <w:r w:rsidRPr="000B7ED7">
        <w:rPr>
          <w:rFonts w:ascii="Palatino Linotype" w:hAnsi="Palatino Linotype" w:cs="Tahoma"/>
          <w:b/>
          <w:szCs w:val="22"/>
        </w:rPr>
        <w:t xml:space="preserve">I. Presentación de la solicitud de información. </w:t>
      </w:r>
    </w:p>
    <w:p w:rsidRPr="000B7ED7" w:rsidR="00836192" w:rsidP="00274839" w:rsidRDefault="00836192" w14:paraId="608CFBE6" w14:textId="77777777">
      <w:pPr>
        <w:pStyle w:val="Prrafodelista"/>
        <w:tabs>
          <w:tab w:val="left" w:pos="567"/>
        </w:tabs>
        <w:spacing w:line="360" w:lineRule="auto"/>
        <w:ind w:left="0"/>
        <w:jc w:val="both"/>
        <w:rPr>
          <w:rFonts w:ascii="Palatino Linotype" w:hAnsi="Palatino Linotype" w:cs="Tahoma"/>
          <w:szCs w:val="22"/>
        </w:rPr>
      </w:pPr>
    </w:p>
    <w:p w:rsidR="00836192" w:rsidP="00274839" w:rsidRDefault="00836192" w14:paraId="1BA87F1F" w14:textId="1C0A2362">
      <w:pPr>
        <w:pStyle w:val="Prrafodelista"/>
        <w:tabs>
          <w:tab w:val="left" w:pos="567"/>
        </w:tabs>
        <w:spacing w:line="360" w:lineRule="auto"/>
        <w:ind w:left="0"/>
        <w:jc w:val="both"/>
        <w:rPr>
          <w:rFonts w:ascii="Palatino Linotype" w:hAnsi="Palatino Linotype" w:cs="Tahoma"/>
          <w:szCs w:val="22"/>
        </w:rPr>
      </w:pPr>
      <w:r w:rsidRPr="000B7ED7">
        <w:rPr>
          <w:rFonts w:ascii="Palatino Linotype" w:hAnsi="Palatino Linotype" w:cs="Tahoma"/>
          <w:szCs w:val="22"/>
        </w:rPr>
        <w:t xml:space="preserve">Con fecha </w:t>
      </w:r>
      <w:r w:rsidR="00CF40DA">
        <w:rPr>
          <w:rFonts w:ascii="Palatino Linotype" w:hAnsi="Palatino Linotype" w:cs="Tahoma"/>
          <w:szCs w:val="22"/>
        </w:rPr>
        <w:t>ocho</w:t>
      </w:r>
      <w:r w:rsidRPr="000B7ED7" w:rsidR="0086262C">
        <w:rPr>
          <w:rFonts w:ascii="Palatino Linotype" w:hAnsi="Palatino Linotype" w:cs="Tahoma"/>
          <w:szCs w:val="22"/>
        </w:rPr>
        <w:t xml:space="preserve"> de </w:t>
      </w:r>
      <w:r w:rsidR="00CF40DA">
        <w:rPr>
          <w:rFonts w:ascii="Palatino Linotype" w:hAnsi="Palatino Linotype" w:cs="Tahoma"/>
          <w:szCs w:val="22"/>
        </w:rPr>
        <w:t>febrero</w:t>
      </w:r>
      <w:r w:rsidRPr="000B7ED7">
        <w:rPr>
          <w:rFonts w:ascii="Palatino Linotype" w:hAnsi="Palatino Linotype" w:cs="Tahoma"/>
          <w:szCs w:val="22"/>
        </w:rPr>
        <w:t xml:space="preserve"> de dos mil veinti</w:t>
      </w:r>
      <w:r w:rsidR="00C43D9A">
        <w:rPr>
          <w:rFonts w:ascii="Palatino Linotype" w:hAnsi="Palatino Linotype" w:cs="Tahoma"/>
          <w:szCs w:val="22"/>
        </w:rPr>
        <w:t>dós</w:t>
      </w:r>
      <w:r w:rsidR="009303E9">
        <w:rPr>
          <w:rFonts w:ascii="Palatino Linotype" w:hAnsi="Palatino Linotype" w:cs="Tahoma"/>
          <w:szCs w:val="22"/>
        </w:rPr>
        <w:t xml:space="preserve">, el Particular presentó </w:t>
      </w:r>
      <w:r w:rsidR="00CF40DA">
        <w:rPr>
          <w:rFonts w:ascii="Palatino Linotype" w:hAnsi="Palatino Linotype" w:cs="Tahoma"/>
          <w:szCs w:val="22"/>
        </w:rPr>
        <w:t>una</w:t>
      </w:r>
      <w:r w:rsidRPr="000B7ED7">
        <w:rPr>
          <w:rFonts w:ascii="Palatino Linotype" w:hAnsi="Palatino Linotype" w:cs="Tahoma"/>
          <w:szCs w:val="22"/>
        </w:rPr>
        <w:t xml:space="preserve"> solicitud de acceso a la información pública, a través del Sistema de Acceso a la Información Mexiquense </w:t>
      </w:r>
      <w:r w:rsidRPr="000B7ED7">
        <w:rPr>
          <w:rFonts w:ascii="Palatino Linotype" w:hAnsi="Palatino Linotype" w:cs="Tahoma"/>
          <w:szCs w:val="22"/>
          <w:lang w:val="es-ES"/>
        </w:rPr>
        <w:t>(SAIMEX)</w:t>
      </w:r>
      <w:r w:rsidRPr="000B7ED7">
        <w:rPr>
          <w:rFonts w:ascii="Palatino Linotype" w:hAnsi="Palatino Linotype" w:cs="Tahoma"/>
          <w:szCs w:val="22"/>
        </w:rPr>
        <w:t xml:space="preserve">, ante </w:t>
      </w:r>
      <w:r w:rsidR="00C43D9A">
        <w:rPr>
          <w:rFonts w:ascii="Palatino Linotype" w:hAnsi="Palatino Linotype" w:cs="Tahoma"/>
          <w:szCs w:val="22"/>
        </w:rPr>
        <w:t>el</w:t>
      </w:r>
      <w:r w:rsidRPr="000B7ED7" w:rsidR="0086262C">
        <w:rPr>
          <w:rFonts w:ascii="Palatino Linotype" w:hAnsi="Palatino Linotype" w:cs="Tahoma"/>
          <w:szCs w:val="22"/>
        </w:rPr>
        <w:t xml:space="preserve"> </w:t>
      </w:r>
      <w:r w:rsidRPr="00CF40DA" w:rsidR="00CF40DA">
        <w:rPr>
          <w:rFonts w:ascii="Palatino Linotype" w:hAnsi="Palatino Linotype" w:cs="Tahoma"/>
          <w:szCs w:val="22"/>
        </w:rPr>
        <w:t>Ayuntamiento de Teotihuacán</w:t>
      </w:r>
      <w:r w:rsidRPr="000B7ED7">
        <w:rPr>
          <w:rFonts w:ascii="Palatino Linotype" w:hAnsi="Palatino Linotype" w:cs="Tahoma"/>
          <w:b/>
          <w:szCs w:val="22"/>
        </w:rPr>
        <w:t xml:space="preserve">, </w:t>
      </w:r>
      <w:r w:rsidRPr="000B7ED7">
        <w:rPr>
          <w:rFonts w:ascii="Palatino Linotype" w:hAnsi="Palatino Linotype" w:cs="Tahoma"/>
          <w:szCs w:val="22"/>
        </w:rPr>
        <w:t>en los siguientes términos:</w:t>
      </w:r>
    </w:p>
    <w:p w:rsidRPr="000B7ED7" w:rsidR="0057023C" w:rsidP="00274839" w:rsidRDefault="0057023C" w14:paraId="246129B2" w14:textId="77777777">
      <w:pPr>
        <w:pStyle w:val="Prrafodelista"/>
        <w:tabs>
          <w:tab w:val="left" w:pos="567"/>
        </w:tabs>
        <w:spacing w:line="360" w:lineRule="auto"/>
        <w:ind w:left="0"/>
        <w:jc w:val="both"/>
        <w:rPr>
          <w:rFonts w:ascii="Palatino Linotype" w:hAnsi="Palatino Linotype" w:cs="Tahoma"/>
          <w:b/>
          <w:szCs w:val="22"/>
        </w:rPr>
      </w:pPr>
    </w:p>
    <w:p w:rsidRPr="0057023C" w:rsidR="009303E9" w:rsidP="00274839" w:rsidRDefault="009303E9" w14:paraId="3B0EA855" w14:textId="4920268E">
      <w:pPr>
        <w:tabs>
          <w:tab w:val="left" w:pos="4667"/>
        </w:tabs>
        <w:spacing w:line="360" w:lineRule="auto"/>
        <w:ind w:left="567" w:right="567"/>
        <w:jc w:val="both"/>
        <w:rPr>
          <w:rFonts w:ascii="Palatino Linotype" w:hAnsi="Palatino Linotype" w:cs="Tahoma"/>
          <w:b/>
          <w:bCs/>
          <w:i/>
        </w:rPr>
      </w:pPr>
      <w:r w:rsidRPr="0057023C">
        <w:rPr>
          <w:rFonts w:ascii="Palatino Linotype" w:hAnsi="Palatino Linotype" w:cs="Tahoma"/>
          <w:b/>
          <w:bCs/>
          <w:i/>
        </w:rPr>
        <w:t>“DESCRIPCIÓN CLARA Y PRECISA DE LA INFORMACIÓN SOLICITADA</w:t>
      </w:r>
    </w:p>
    <w:p w:rsidRPr="0057023C" w:rsidR="009303E9" w:rsidP="00274839" w:rsidRDefault="00CF40DA" w14:paraId="3C5CA251" w14:textId="247C0F18">
      <w:pPr>
        <w:tabs>
          <w:tab w:val="left" w:pos="4667"/>
        </w:tabs>
        <w:spacing w:line="360" w:lineRule="auto"/>
        <w:ind w:left="567" w:right="567"/>
        <w:jc w:val="both"/>
        <w:rPr>
          <w:rFonts w:ascii="Palatino Linotype" w:hAnsi="Palatino Linotype" w:cs="Tahoma"/>
          <w:bCs/>
          <w:i/>
        </w:rPr>
      </w:pPr>
      <w:r w:rsidRPr="00CF40DA">
        <w:rPr>
          <w:rFonts w:ascii="Palatino Linotype" w:hAnsi="Palatino Linotype" w:cs="Tahoma"/>
          <w:bCs/>
          <w:i/>
        </w:rPr>
        <w:t xml:space="preserve">ESTIMADO (A) TITULAR DE LA UNIDAD DE TRANSPARENCIA POR ESTE MEDIO SOLICITO SE ME PROPORCIONE COPIA DE LOS CERTIFICADOS DE COMPETENCIA LABORAL, ASÍ COMO TELÉFONO Y CORREO INSTITUCIONAL DE LOS SIGUIENTES SERVIDORES PÚBLICOS: . SECRETARIO DEL AYUNTAMIENTO • TESORERO MUNICIPAL • CONTRALOR MUNICIPAL • DIRECTOR DE OBRAS PÚBLICAS O EQUIVALENTE • DIRECTOR DE DESARROLLO URBANO O EQUIVALENTE • TITULAR O EQUIVALENTE DE LA OFICIALÍA MEDIADORA-CALIFICADORA. . TITULAR O EQUIVALENTE DE LA DEFENSORÍA MUNICIPAL DE </w:t>
      </w:r>
      <w:r w:rsidRPr="00CF40DA">
        <w:rPr>
          <w:rFonts w:ascii="Palatino Linotype" w:hAnsi="Palatino Linotype" w:cs="Tahoma"/>
          <w:bCs/>
          <w:i/>
        </w:rPr>
        <w:lastRenderedPageBreak/>
        <w:t>DERECHOS HUMANOS. . TITULAR O EQUIVALENTE DE CATASTRO. . TITULAR O EQUIVALENTE DE MEJORA REGULATORIA. • TITULAR DE LA UNIDAD DE TRANSPARENCIA Y ACCESO A LA INFORMACIÓN O EQUIVALENTE AGRADEZCO LA ATENCIÓN AL PRESENTE</w:t>
      </w:r>
      <w:r w:rsidRPr="0057023C" w:rsidR="009303E9">
        <w:rPr>
          <w:rFonts w:ascii="Palatino Linotype" w:hAnsi="Palatino Linotype" w:cs="Tahoma"/>
          <w:bCs/>
          <w:i/>
        </w:rPr>
        <w:t>” (Sic)</w:t>
      </w:r>
    </w:p>
    <w:p w:rsidRPr="000B7ED7" w:rsidR="009303E9" w:rsidP="00274839" w:rsidRDefault="009303E9" w14:paraId="48CBC44F" w14:textId="77777777">
      <w:pPr>
        <w:tabs>
          <w:tab w:val="left" w:pos="4667"/>
        </w:tabs>
        <w:spacing w:line="360" w:lineRule="auto"/>
        <w:ind w:left="567" w:right="567"/>
        <w:jc w:val="both"/>
        <w:rPr>
          <w:rFonts w:ascii="Palatino Linotype" w:hAnsi="Palatino Linotype" w:cs="Tahoma"/>
          <w:bCs/>
          <w:i/>
        </w:rPr>
      </w:pPr>
    </w:p>
    <w:p w:rsidR="00CF40DA" w:rsidP="00274839" w:rsidRDefault="00CF40DA" w14:paraId="418FC3CB" w14:textId="77777777">
      <w:pPr>
        <w:tabs>
          <w:tab w:val="left" w:pos="4667"/>
        </w:tabs>
        <w:spacing w:line="360" w:lineRule="auto"/>
        <w:ind w:left="567"/>
        <w:jc w:val="both"/>
        <w:rPr>
          <w:rFonts w:ascii="Palatino Linotype" w:hAnsi="Palatino Linotype" w:cs="Tahoma"/>
          <w:b/>
          <w:bCs/>
          <w:i/>
        </w:rPr>
      </w:pPr>
      <w:r>
        <w:rPr>
          <w:rFonts w:ascii="Palatino Linotype" w:hAnsi="Palatino Linotype" w:cs="Tahoma"/>
          <w:b/>
          <w:bCs/>
          <w:i/>
        </w:rPr>
        <w:t xml:space="preserve">“Modalidad de Entrega: </w:t>
      </w:r>
    </w:p>
    <w:p w:rsidR="00CF40DA" w:rsidP="00274839" w:rsidRDefault="00CF40DA" w14:paraId="435717A4" w14:textId="77777777">
      <w:pPr>
        <w:tabs>
          <w:tab w:val="left" w:pos="567"/>
        </w:tabs>
        <w:spacing w:line="360" w:lineRule="auto"/>
        <w:ind w:left="567" w:right="-28"/>
        <w:jc w:val="both"/>
        <w:rPr>
          <w:rFonts w:ascii="Palatino Linotype" w:hAnsi="Palatino Linotype" w:cs="Tahoma"/>
          <w:bCs/>
          <w:i/>
        </w:rPr>
      </w:pPr>
      <w:r>
        <w:rPr>
          <w:rFonts w:ascii="Palatino Linotype" w:hAnsi="Palatino Linotype" w:cs="Tahoma"/>
          <w:b/>
          <w:bCs/>
          <w:i/>
        </w:rPr>
        <w:t xml:space="preserve"> </w:t>
      </w:r>
      <w:r>
        <w:rPr>
          <w:rFonts w:ascii="Palatino Linotype" w:hAnsi="Palatino Linotype" w:cs="Tahoma"/>
          <w:bCs/>
          <w:i/>
        </w:rPr>
        <w:t>A través de SAIMEX.”</w:t>
      </w:r>
    </w:p>
    <w:p w:rsidRPr="00585616" w:rsidR="00585616" w:rsidP="00274839" w:rsidRDefault="00585616" w14:paraId="7619638B" w14:textId="77777777">
      <w:pPr>
        <w:tabs>
          <w:tab w:val="left" w:pos="4667"/>
        </w:tabs>
        <w:spacing w:line="360" w:lineRule="auto"/>
        <w:ind w:right="567"/>
        <w:jc w:val="both"/>
        <w:rPr>
          <w:rFonts w:ascii="Palatino Linotype" w:hAnsi="Palatino Linotype" w:cs="Tahoma"/>
          <w:sz w:val="22"/>
          <w:szCs w:val="24"/>
        </w:rPr>
      </w:pPr>
    </w:p>
    <w:p w:rsidRPr="00495118" w:rsidR="005864BF" w:rsidP="00274839" w:rsidRDefault="00585616" w14:paraId="70419A07" w14:textId="055BA6E2">
      <w:pPr>
        <w:tabs>
          <w:tab w:val="left" w:pos="4667"/>
        </w:tabs>
        <w:spacing w:line="360" w:lineRule="auto"/>
        <w:ind w:right="567"/>
        <w:jc w:val="both"/>
        <w:rPr>
          <w:rFonts w:ascii="Palatino Linotype" w:hAnsi="Palatino Linotype" w:cs="Tahoma"/>
          <w:b/>
          <w:bCs/>
          <w:sz w:val="22"/>
          <w:szCs w:val="24"/>
        </w:rPr>
      </w:pPr>
      <w:r w:rsidRPr="00495118">
        <w:rPr>
          <w:rFonts w:ascii="Palatino Linotype" w:hAnsi="Palatino Linotype" w:cs="Tahoma"/>
          <w:b/>
          <w:bCs/>
          <w:sz w:val="22"/>
          <w:szCs w:val="24"/>
        </w:rPr>
        <w:t>I</w:t>
      </w:r>
      <w:r w:rsidR="00CF40DA">
        <w:rPr>
          <w:rFonts w:ascii="Palatino Linotype" w:hAnsi="Palatino Linotype" w:cs="Tahoma"/>
          <w:b/>
          <w:bCs/>
          <w:sz w:val="22"/>
          <w:szCs w:val="24"/>
        </w:rPr>
        <w:t>I</w:t>
      </w:r>
      <w:r w:rsidRPr="00495118" w:rsidR="005864BF">
        <w:rPr>
          <w:rFonts w:ascii="Palatino Linotype" w:hAnsi="Palatino Linotype" w:cs="Tahoma"/>
          <w:b/>
          <w:bCs/>
          <w:sz w:val="22"/>
          <w:szCs w:val="24"/>
        </w:rPr>
        <w:t xml:space="preserve">. </w:t>
      </w:r>
      <w:r w:rsidRPr="00495118" w:rsidR="005864BF">
        <w:rPr>
          <w:rFonts w:ascii="Palatino Linotype" w:hAnsi="Palatino Linotype" w:cs="Tahoma"/>
          <w:b/>
          <w:sz w:val="22"/>
          <w:szCs w:val="24"/>
        </w:rPr>
        <w:t>Respuesta</w:t>
      </w:r>
      <w:r w:rsidRPr="00495118" w:rsidR="005864BF">
        <w:rPr>
          <w:rFonts w:ascii="Palatino Linotype" w:hAnsi="Palatino Linotype" w:cs="Tahoma"/>
          <w:b/>
          <w:bCs/>
          <w:sz w:val="22"/>
          <w:szCs w:val="24"/>
        </w:rPr>
        <w:t xml:space="preserve"> del Sujeto Obligado.</w:t>
      </w:r>
    </w:p>
    <w:p w:rsidRPr="00495118" w:rsidR="00836192" w:rsidP="00274839" w:rsidRDefault="00836192" w14:paraId="41C1F271" w14:textId="77777777">
      <w:pPr>
        <w:pStyle w:val="Prrafodelista"/>
        <w:tabs>
          <w:tab w:val="left" w:pos="567"/>
        </w:tabs>
        <w:spacing w:line="360" w:lineRule="auto"/>
        <w:ind w:left="0"/>
        <w:jc w:val="both"/>
        <w:rPr>
          <w:rFonts w:ascii="Palatino Linotype" w:hAnsi="Palatino Linotype" w:cs="Tahoma"/>
          <w:bCs/>
          <w:szCs w:val="22"/>
        </w:rPr>
      </w:pPr>
    </w:p>
    <w:p w:rsidR="004B4A54" w:rsidP="00274839" w:rsidRDefault="004B4A54" w14:paraId="62EBE022" w14:textId="252160F3">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bCs/>
          <w:sz w:val="22"/>
          <w:szCs w:val="22"/>
        </w:rPr>
        <w:t>El primero de marzo de dos mil veintidós, el</w:t>
      </w:r>
      <w:r>
        <w:rPr>
          <w:rFonts w:ascii="Palatino Linotype" w:hAnsi="Palatino Linotype" w:cs="Tahoma"/>
          <w:b/>
          <w:sz w:val="22"/>
          <w:szCs w:val="22"/>
        </w:rPr>
        <w:t xml:space="preserve"> </w:t>
      </w:r>
      <w:r>
        <w:rPr>
          <w:rFonts w:ascii="Palatino Linotype" w:hAnsi="Palatino Linotype" w:cs="Tahoma"/>
          <w:sz w:val="22"/>
          <w:szCs w:val="22"/>
        </w:rPr>
        <w:t>Sujeto Obligado dio respuesta a la solicitud de acceso a la información a través del Sistema de Acceso a la Información Mexiquense (SAIMEX), a través del oficio número DA/0037/2022, del catorce de febrero de dos mil veintidós, suscrito por la Directora de Administración y dirigido al Titular de la Unidad de Transparencia y Acceso a la Información, en los siguientes términos:</w:t>
      </w:r>
    </w:p>
    <w:p w:rsidR="004B4A54" w:rsidP="00274839" w:rsidRDefault="004B4A54" w14:paraId="0E026ED1" w14:textId="77777777">
      <w:pPr>
        <w:tabs>
          <w:tab w:val="left" w:pos="4667"/>
        </w:tabs>
        <w:spacing w:line="360" w:lineRule="auto"/>
        <w:ind w:left="567"/>
        <w:jc w:val="both"/>
        <w:rPr>
          <w:rFonts w:ascii="Palatino Linotype" w:hAnsi="Palatino Linotype" w:cs="Tahoma"/>
          <w:bCs/>
          <w:i/>
        </w:rPr>
      </w:pPr>
    </w:p>
    <w:p w:rsidR="004B4A54" w:rsidP="00274839" w:rsidRDefault="004B4A54" w14:paraId="0E620213" w14:textId="350B472A">
      <w:pPr>
        <w:tabs>
          <w:tab w:val="left" w:pos="4667"/>
        </w:tabs>
        <w:spacing w:line="360" w:lineRule="auto"/>
        <w:ind w:left="567"/>
        <w:jc w:val="both"/>
        <w:rPr>
          <w:rFonts w:ascii="Palatino Linotype" w:hAnsi="Palatino Linotype" w:cs="Tahoma"/>
          <w:bCs/>
          <w:i/>
          <w:lang w:val="es-ES"/>
        </w:rPr>
      </w:pPr>
      <w:r>
        <w:rPr>
          <w:rFonts w:ascii="Palatino Linotype" w:hAnsi="Palatino Linotype" w:cs="Tahoma"/>
          <w:bCs/>
          <w:i/>
        </w:rPr>
        <w:t>“</w:t>
      </w:r>
      <w:r>
        <w:rPr>
          <w:rFonts w:ascii="Palatino Linotype" w:hAnsi="Palatino Linotype" w:cs="Tahoma"/>
          <w:bCs/>
          <w:i/>
          <w:lang w:val="es-ES"/>
        </w:rPr>
        <w:t>… hago de su conocimiento que anexo a la presente la información solicitada, con la finalidad de dar respuesta a la solicitud de información pública No. 00015/TEOTIHUA/2022.</w:t>
      </w:r>
    </w:p>
    <w:p w:rsidR="00676EC4" w:rsidP="00274839" w:rsidRDefault="00676EC4" w14:paraId="1F0C6CAC" w14:textId="77777777">
      <w:pPr>
        <w:tabs>
          <w:tab w:val="left" w:pos="4667"/>
        </w:tabs>
        <w:spacing w:line="360" w:lineRule="auto"/>
        <w:ind w:left="567"/>
        <w:jc w:val="both"/>
        <w:rPr>
          <w:noProof/>
        </w:rPr>
      </w:pPr>
    </w:p>
    <w:p w:rsidR="004B4A54" w:rsidP="00274839" w:rsidRDefault="00676EC4" w14:paraId="0CB5E16A" w14:textId="0F4D68D4">
      <w:pPr>
        <w:tabs>
          <w:tab w:val="left" w:pos="4667"/>
        </w:tabs>
        <w:spacing w:line="360" w:lineRule="auto"/>
        <w:ind w:left="567"/>
        <w:jc w:val="both"/>
        <w:rPr>
          <w:rFonts w:ascii="Palatino Linotype" w:hAnsi="Palatino Linotype" w:cs="Tahoma"/>
          <w:i/>
          <w:szCs w:val="22"/>
          <w:lang w:val="es-ES"/>
        </w:rPr>
      </w:pPr>
      <w:r>
        <w:rPr>
          <w:rFonts w:ascii="Palatino Linotype" w:hAnsi="Palatino Linotype" w:cs="Tahoma"/>
          <w:i/>
          <w:noProof/>
          <w:szCs w:val="22"/>
          <w:lang w:eastAsia="es-MX"/>
        </w:rPr>
        <w:drawing>
          <wp:inline distT="0" distB="0" distL="0" distR="0" wp14:anchorId="30B1A71A" wp14:editId="744B7ED3">
            <wp:extent cx="5023485" cy="2273935"/>
            <wp:effectExtent l="0" t="0" r="571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3485" cy="2273935"/>
                    </a:xfrm>
                    <a:prstGeom prst="rect">
                      <a:avLst/>
                    </a:prstGeom>
                    <a:noFill/>
                  </pic:spPr>
                </pic:pic>
              </a:graphicData>
            </a:graphic>
          </wp:inline>
        </w:drawing>
      </w:r>
    </w:p>
    <w:p w:rsidR="00676EC4" w:rsidP="00274839" w:rsidRDefault="00676EC4" w14:paraId="4767691A" w14:textId="77777777">
      <w:pPr>
        <w:tabs>
          <w:tab w:val="left" w:pos="4667"/>
        </w:tabs>
        <w:spacing w:line="360" w:lineRule="auto"/>
        <w:ind w:left="567"/>
        <w:jc w:val="both"/>
        <w:rPr>
          <w:noProof/>
        </w:rPr>
      </w:pPr>
    </w:p>
    <w:p w:rsidR="00676EC4" w:rsidP="00274839" w:rsidRDefault="00676EC4" w14:paraId="6DA09CA6" w14:textId="77777777">
      <w:pPr>
        <w:tabs>
          <w:tab w:val="left" w:pos="4667"/>
        </w:tabs>
        <w:spacing w:line="360" w:lineRule="auto"/>
        <w:ind w:left="567"/>
        <w:jc w:val="both"/>
        <w:rPr>
          <w:noProof/>
        </w:rPr>
      </w:pPr>
      <w:r>
        <w:rPr>
          <w:rFonts w:ascii="Palatino Linotype" w:hAnsi="Palatino Linotype" w:cs="Tahoma"/>
          <w:i/>
          <w:szCs w:val="22"/>
          <w:lang w:val="es-ES"/>
        </w:rPr>
        <w:lastRenderedPageBreak/>
        <w:t xml:space="preserve"> </w:t>
      </w:r>
    </w:p>
    <w:p w:rsidR="004B4A54" w:rsidP="00274839" w:rsidRDefault="00676EC4" w14:paraId="60F64494" w14:textId="65F7983A">
      <w:pPr>
        <w:tabs>
          <w:tab w:val="left" w:pos="4667"/>
        </w:tabs>
        <w:spacing w:line="360" w:lineRule="auto"/>
        <w:ind w:left="567"/>
        <w:jc w:val="both"/>
        <w:rPr>
          <w:rFonts w:ascii="Palatino Linotype" w:hAnsi="Palatino Linotype" w:cs="Tahoma"/>
          <w:i/>
          <w:szCs w:val="22"/>
          <w:lang w:val="es-ES"/>
        </w:rPr>
      </w:pPr>
      <w:r>
        <w:rPr>
          <w:rFonts w:ascii="Palatino Linotype" w:hAnsi="Palatino Linotype" w:cs="Tahoma"/>
          <w:i/>
          <w:noProof/>
          <w:szCs w:val="22"/>
          <w:lang w:eastAsia="es-MX"/>
        </w:rPr>
        <w:drawing>
          <wp:inline distT="0" distB="0" distL="0" distR="0" wp14:anchorId="6D632179" wp14:editId="289EDE94">
            <wp:extent cx="5066030" cy="2268220"/>
            <wp:effectExtent l="0" t="0" r="127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6030" cy="2268220"/>
                    </a:xfrm>
                    <a:prstGeom prst="rect">
                      <a:avLst/>
                    </a:prstGeom>
                    <a:noFill/>
                  </pic:spPr>
                </pic:pic>
              </a:graphicData>
            </a:graphic>
          </wp:inline>
        </w:drawing>
      </w:r>
      <w:r w:rsidR="004B4A54">
        <w:rPr>
          <w:rFonts w:ascii="Palatino Linotype" w:hAnsi="Palatino Linotype" w:cs="Tahoma"/>
          <w:i/>
          <w:szCs w:val="22"/>
          <w:lang w:val="es-ES"/>
        </w:rPr>
        <w:t>…” (sic.)</w:t>
      </w:r>
    </w:p>
    <w:p w:rsidR="00D369B2" w:rsidP="00274839" w:rsidRDefault="00D369B2" w14:paraId="6697D497" w14:textId="77777777">
      <w:pPr>
        <w:tabs>
          <w:tab w:val="left" w:pos="4667"/>
        </w:tabs>
        <w:spacing w:line="360" w:lineRule="auto"/>
        <w:ind w:left="567"/>
        <w:jc w:val="both"/>
        <w:rPr>
          <w:rFonts w:ascii="Palatino Linotype" w:hAnsi="Palatino Linotype" w:cs="Tahoma"/>
          <w:bCs/>
          <w:i/>
        </w:rPr>
      </w:pPr>
    </w:p>
    <w:p w:rsidR="008B0751" w:rsidP="00274839" w:rsidRDefault="0086262C" w14:paraId="204CAC43" w14:textId="2AC1129E">
      <w:pPr>
        <w:pStyle w:val="Prrafodelista"/>
        <w:tabs>
          <w:tab w:val="left" w:pos="567"/>
        </w:tabs>
        <w:spacing w:line="360" w:lineRule="auto"/>
        <w:ind w:left="0"/>
        <w:jc w:val="both"/>
        <w:rPr>
          <w:rFonts w:ascii="Palatino Linotype" w:hAnsi="Palatino Linotype" w:cs="Tahoma"/>
          <w:szCs w:val="22"/>
        </w:rPr>
      </w:pPr>
      <w:r w:rsidRPr="000B7ED7">
        <w:rPr>
          <w:rFonts w:ascii="Palatino Linotype" w:hAnsi="Palatino Linotype" w:cs="Tahoma"/>
          <w:szCs w:val="22"/>
        </w:rPr>
        <w:t xml:space="preserve"> </w:t>
      </w:r>
      <w:r w:rsidR="00747D50">
        <w:rPr>
          <w:rFonts w:ascii="Palatino Linotype" w:hAnsi="Palatino Linotype" w:cs="Tahoma"/>
          <w:szCs w:val="22"/>
        </w:rPr>
        <w:t xml:space="preserve">El Sujeto Obligado adjuntó la digitalización de los certificados de competencia laboral de la Defensora de los Derechos Humanos y el Titular de la Unidad de Transparencia </w:t>
      </w:r>
    </w:p>
    <w:p w:rsidRPr="000B7ED7" w:rsidR="00D477C2" w:rsidP="00274839" w:rsidRDefault="00D477C2" w14:paraId="4BF3F690" w14:textId="77777777">
      <w:pPr>
        <w:pStyle w:val="Prrafodelista"/>
        <w:tabs>
          <w:tab w:val="left" w:pos="567"/>
        </w:tabs>
        <w:spacing w:line="360" w:lineRule="auto"/>
        <w:ind w:left="0"/>
        <w:jc w:val="both"/>
        <w:rPr>
          <w:rFonts w:ascii="Palatino Linotype" w:hAnsi="Palatino Linotype" w:cs="Tahoma"/>
          <w:i/>
          <w:iCs/>
          <w:sz w:val="20"/>
          <w:szCs w:val="20"/>
        </w:rPr>
      </w:pPr>
    </w:p>
    <w:p w:rsidRPr="000B7ED7" w:rsidR="00836192" w:rsidP="00274839" w:rsidRDefault="00CF40DA" w14:paraId="200EA5F2" w14:textId="5472FB2B">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III</w:t>
      </w:r>
      <w:r w:rsidRPr="000B7ED7" w:rsidR="00836192">
        <w:rPr>
          <w:rFonts w:ascii="Palatino Linotype" w:hAnsi="Palatino Linotype" w:cs="Tahoma"/>
          <w:b/>
          <w:sz w:val="22"/>
          <w:szCs w:val="22"/>
        </w:rPr>
        <w:t>. Interposición del Recurso de Revisión.</w:t>
      </w:r>
    </w:p>
    <w:p w:rsidR="00B60565" w:rsidP="00274839" w:rsidRDefault="00B60565" w14:paraId="0F737B53" w14:textId="77777777">
      <w:pPr>
        <w:autoSpaceDE w:val="0"/>
        <w:autoSpaceDN w:val="0"/>
        <w:adjustRightInd w:val="0"/>
        <w:spacing w:line="360" w:lineRule="auto"/>
        <w:jc w:val="both"/>
        <w:rPr>
          <w:rFonts w:ascii="Palatino Linotype" w:hAnsi="Palatino Linotype" w:cs="Tahoma"/>
          <w:sz w:val="22"/>
          <w:szCs w:val="22"/>
        </w:rPr>
      </w:pPr>
    </w:p>
    <w:p w:rsidR="000B0C2A" w:rsidP="00274839" w:rsidRDefault="00836192" w14:paraId="2F23BF16" w14:textId="5209CB61">
      <w:pPr>
        <w:autoSpaceDE w:val="0"/>
        <w:autoSpaceDN w:val="0"/>
        <w:adjustRightInd w:val="0"/>
        <w:spacing w:line="360" w:lineRule="auto"/>
        <w:jc w:val="both"/>
        <w:rPr>
          <w:rFonts w:ascii="Palatino Linotype" w:hAnsi="Palatino Linotype" w:cs="Tahoma"/>
          <w:b/>
          <w:bCs/>
          <w:sz w:val="22"/>
          <w:szCs w:val="22"/>
          <w:lang w:val="es-ES"/>
        </w:rPr>
      </w:pPr>
      <w:r w:rsidRPr="000B7ED7">
        <w:rPr>
          <w:rFonts w:ascii="Palatino Linotype" w:hAnsi="Palatino Linotype" w:cs="Tahoma"/>
          <w:sz w:val="22"/>
          <w:szCs w:val="22"/>
        </w:rPr>
        <w:t xml:space="preserve">Con fecha </w:t>
      </w:r>
      <w:r w:rsidR="004A2C77">
        <w:rPr>
          <w:rFonts w:ascii="Palatino Linotype" w:hAnsi="Palatino Linotype" w:cs="Tahoma"/>
          <w:sz w:val="22"/>
          <w:szCs w:val="22"/>
        </w:rPr>
        <w:t>tres</w:t>
      </w:r>
      <w:r w:rsidR="004042A4">
        <w:rPr>
          <w:rFonts w:ascii="Palatino Linotype" w:hAnsi="Palatino Linotype" w:cs="Tahoma"/>
          <w:sz w:val="22"/>
          <w:szCs w:val="22"/>
        </w:rPr>
        <w:t xml:space="preserve"> </w:t>
      </w:r>
      <w:r w:rsidR="00A828B7">
        <w:rPr>
          <w:rFonts w:ascii="Palatino Linotype" w:hAnsi="Palatino Linotype" w:cs="Tahoma"/>
          <w:sz w:val="22"/>
          <w:szCs w:val="22"/>
        </w:rPr>
        <w:t>de</w:t>
      </w:r>
      <w:r w:rsidRPr="000B7ED7" w:rsidR="007B7A1E">
        <w:rPr>
          <w:rFonts w:ascii="Palatino Linotype" w:hAnsi="Palatino Linotype" w:cs="Tahoma"/>
          <w:sz w:val="22"/>
          <w:szCs w:val="22"/>
        </w:rPr>
        <w:t xml:space="preserve"> </w:t>
      </w:r>
      <w:r w:rsidR="004A2C77">
        <w:rPr>
          <w:rFonts w:ascii="Palatino Linotype" w:hAnsi="Palatino Linotype" w:cs="Tahoma"/>
          <w:sz w:val="22"/>
          <w:szCs w:val="22"/>
        </w:rPr>
        <w:t>marzo</w:t>
      </w:r>
      <w:r w:rsidRPr="000B7ED7">
        <w:rPr>
          <w:rFonts w:ascii="Palatino Linotype" w:hAnsi="Palatino Linotype" w:cs="Tahoma"/>
          <w:sz w:val="22"/>
          <w:szCs w:val="22"/>
        </w:rPr>
        <w:t xml:space="preserve"> de dos mil veinti</w:t>
      </w:r>
      <w:r w:rsidR="00A828B7">
        <w:rPr>
          <w:rFonts w:ascii="Palatino Linotype" w:hAnsi="Palatino Linotype" w:cs="Tahoma"/>
          <w:sz w:val="22"/>
          <w:szCs w:val="22"/>
        </w:rPr>
        <w:t>dós</w:t>
      </w:r>
      <w:r w:rsidRPr="000B7ED7">
        <w:rPr>
          <w:rFonts w:ascii="Palatino Linotype" w:hAnsi="Palatino Linotype" w:cs="Tahoma"/>
          <w:sz w:val="22"/>
          <w:szCs w:val="22"/>
        </w:rPr>
        <w:t xml:space="preserve">, se recibió en este </w:t>
      </w:r>
      <w:r w:rsidRPr="000B7ED7">
        <w:rPr>
          <w:rFonts w:ascii="Palatino Linotype" w:hAnsi="Palatino Linotype" w:eastAsia="Calibri" w:cs="Tahoma"/>
          <w:sz w:val="22"/>
          <w:szCs w:val="22"/>
          <w:lang w:eastAsia="en-US"/>
        </w:rPr>
        <w:t xml:space="preserve">Instituto, a través del </w:t>
      </w:r>
      <w:r w:rsidRPr="000B7ED7">
        <w:rPr>
          <w:rFonts w:ascii="Palatino Linotype" w:hAnsi="Palatino Linotype" w:cs="Tahoma"/>
          <w:sz w:val="22"/>
          <w:szCs w:val="22"/>
          <w:lang w:val="es-ES"/>
        </w:rPr>
        <w:t>Sistema de Acceso a la Información Mexiquense (SAIMEX)</w:t>
      </w:r>
      <w:r w:rsidR="000B0C2A">
        <w:rPr>
          <w:rFonts w:ascii="Palatino Linotype" w:hAnsi="Palatino Linotype" w:cs="Tahoma"/>
          <w:sz w:val="22"/>
          <w:szCs w:val="22"/>
        </w:rPr>
        <w:t xml:space="preserve">, </w:t>
      </w:r>
      <w:r w:rsidR="004A2C77">
        <w:rPr>
          <w:rFonts w:ascii="Palatino Linotype" w:hAnsi="Palatino Linotype" w:cs="Tahoma"/>
          <w:sz w:val="22"/>
          <w:szCs w:val="22"/>
        </w:rPr>
        <w:t>el</w:t>
      </w:r>
      <w:r w:rsidRPr="000B7ED7">
        <w:rPr>
          <w:rFonts w:ascii="Palatino Linotype" w:hAnsi="Palatino Linotype" w:cs="Tahoma"/>
          <w:sz w:val="22"/>
          <w:szCs w:val="22"/>
        </w:rPr>
        <w:t xml:space="preserve"> Recurso de Revisión interpuesto por la parte Recurrente, en contra de la respuesta del Sujeto Obligado, </w:t>
      </w:r>
      <w:r w:rsidR="009109FC">
        <w:rPr>
          <w:rFonts w:ascii="Palatino Linotype" w:hAnsi="Palatino Linotype" w:cs="Tahoma"/>
          <w:b/>
          <w:bCs/>
          <w:sz w:val="22"/>
          <w:szCs w:val="22"/>
        </w:rPr>
        <w:t xml:space="preserve">ya que si bien, se registró el dos 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veintidós, por lo que, se tuvo por presentado el día hábil subsecuente; </w:t>
      </w:r>
      <w:r w:rsidR="009109FC">
        <w:rPr>
          <w:rFonts w:ascii="Palatino Linotype" w:hAnsi="Palatino Linotype" w:cs="Tahoma"/>
          <w:b/>
          <w:bCs/>
          <w:sz w:val="22"/>
          <w:szCs w:val="22"/>
          <w:lang w:val="es-ES"/>
        </w:rPr>
        <w:t>mediante la cual requirió lo siguiente:</w:t>
      </w:r>
    </w:p>
    <w:p w:rsidR="009109FC" w:rsidP="00274839" w:rsidRDefault="009109FC" w14:paraId="09035BCD" w14:textId="02AE3E9D">
      <w:pPr>
        <w:autoSpaceDE w:val="0"/>
        <w:autoSpaceDN w:val="0"/>
        <w:adjustRightInd w:val="0"/>
        <w:spacing w:line="360" w:lineRule="auto"/>
        <w:jc w:val="both"/>
        <w:rPr>
          <w:rFonts w:ascii="Palatino Linotype" w:hAnsi="Palatino Linotype" w:cs="Tahoma"/>
          <w:sz w:val="22"/>
          <w:szCs w:val="22"/>
        </w:rPr>
      </w:pPr>
    </w:p>
    <w:p w:rsidR="00801AC2" w:rsidP="00274839" w:rsidRDefault="00801AC2" w14:paraId="0D9D7A79" w14:textId="77777777">
      <w:pPr>
        <w:autoSpaceDE w:val="0"/>
        <w:autoSpaceDN w:val="0"/>
        <w:adjustRightInd w:val="0"/>
        <w:spacing w:line="360" w:lineRule="auto"/>
        <w:jc w:val="both"/>
        <w:rPr>
          <w:rFonts w:ascii="Palatino Linotype" w:hAnsi="Palatino Linotype" w:cs="Tahoma"/>
          <w:sz w:val="22"/>
          <w:szCs w:val="22"/>
        </w:rPr>
      </w:pPr>
    </w:p>
    <w:p w:rsidRPr="000B7ED7" w:rsidR="00836192" w:rsidP="00274839" w:rsidRDefault="00D41CFA" w14:paraId="394C292B" w14:textId="2F24BAEC">
      <w:pPr>
        <w:autoSpaceDE w:val="0"/>
        <w:autoSpaceDN w:val="0"/>
        <w:adjustRightInd w:val="0"/>
        <w:spacing w:line="360" w:lineRule="auto"/>
        <w:ind w:left="567"/>
        <w:jc w:val="both"/>
        <w:rPr>
          <w:rFonts w:ascii="Palatino Linotype" w:hAnsi="Palatino Linotype" w:cs="Tahoma"/>
          <w:bCs/>
          <w:i/>
        </w:rPr>
      </w:pPr>
      <w:r w:rsidRPr="000B7ED7">
        <w:rPr>
          <w:rFonts w:ascii="Palatino Linotype" w:hAnsi="Palatino Linotype" w:cs="Tahoma"/>
          <w:b/>
          <w:bCs/>
          <w:i/>
        </w:rPr>
        <w:t>“</w:t>
      </w:r>
      <w:r w:rsidRPr="000B7ED7" w:rsidR="00836192">
        <w:rPr>
          <w:rFonts w:ascii="Palatino Linotype" w:hAnsi="Palatino Linotype" w:cs="Tahoma"/>
          <w:b/>
          <w:bCs/>
          <w:i/>
        </w:rPr>
        <w:t>ACTO IMPUGNADO</w:t>
      </w:r>
    </w:p>
    <w:p w:rsidRPr="000B7ED7" w:rsidR="00836192" w:rsidP="00274839" w:rsidRDefault="004A2C77" w14:paraId="39D421A0" w14:textId="411B0FA2">
      <w:pPr>
        <w:autoSpaceDE w:val="0"/>
        <w:autoSpaceDN w:val="0"/>
        <w:adjustRightInd w:val="0"/>
        <w:spacing w:line="360" w:lineRule="auto"/>
        <w:ind w:left="567" w:right="567"/>
        <w:jc w:val="both"/>
        <w:rPr>
          <w:rFonts w:ascii="Palatino Linotype" w:hAnsi="Palatino Linotype" w:cs="Tahoma"/>
          <w:i/>
        </w:rPr>
      </w:pPr>
      <w:r w:rsidRPr="004A2C77">
        <w:rPr>
          <w:rFonts w:ascii="Palatino Linotype" w:hAnsi="Palatino Linotype" w:cs="Tahoma"/>
          <w:i/>
        </w:rPr>
        <w:t>FALTA DE FUNDAMENTACIÓN Y MOTIVACIÓN Y UN FORMATO INCOMPRENSIBLE</w:t>
      </w:r>
      <w:r w:rsidRPr="000B7ED7" w:rsidR="00D41CFA">
        <w:rPr>
          <w:rFonts w:ascii="Palatino Linotype" w:hAnsi="Palatino Linotype" w:cs="Tahoma"/>
          <w:i/>
        </w:rPr>
        <w:t xml:space="preserve">” </w:t>
      </w:r>
      <w:r w:rsidRPr="000B7ED7" w:rsidR="00836192">
        <w:rPr>
          <w:rFonts w:ascii="Palatino Linotype" w:hAnsi="Palatino Linotype" w:cs="Tahoma"/>
          <w:i/>
        </w:rPr>
        <w:t>(Sic.)</w:t>
      </w:r>
    </w:p>
    <w:p w:rsidRPr="000B7ED7" w:rsidR="00836192" w:rsidP="00274839" w:rsidRDefault="00836192" w14:paraId="1A1ACA26" w14:textId="77777777">
      <w:pPr>
        <w:autoSpaceDE w:val="0"/>
        <w:autoSpaceDN w:val="0"/>
        <w:adjustRightInd w:val="0"/>
        <w:spacing w:line="360" w:lineRule="auto"/>
        <w:ind w:right="567"/>
        <w:jc w:val="both"/>
        <w:rPr>
          <w:rFonts w:ascii="Palatino Linotype" w:hAnsi="Palatino Linotype" w:cs="Tahoma"/>
          <w:i/>
        </w:rPr>
      </w:pPr>
    </w:p>
    <w:p w:rsidRPr="000B7ED7" w:rsidR="00836192" w:rsidP="00274839" w:rsidRDefault="00AB0CC4" w14:paraId="10C9D12D" w14:textId="237A5F6B">
      <w:pPr>
        <w:autoSpaceDE w:val="0"/>
        <w:autoSpaceDN w:val="0"/>
        <w:adjustRightInd w:val="0"/>
        <w:spacing w:line="360" w:lineRule="auto"/>
        <w:ind w:left="567" w:right="567"/>
        <w:jc w:val="both"/>
        <w:rPr>
          <w:rFonts w:ascii="Palatino Linotype" w:hAnsi="Palatino Linotype" w:cs="Tahoma"/>
          <w:b/>
          <w:i/>
        </w:rPr>
      </w:pPr>
      <w:r w:rsidRPr="000B7ED7">
        <w:rPr>
          <w:rFonts w:ascii="Palatino Linotype" w:hAnsi="Palatino Linotype" w:cs="Tahoma"/>
          <w:b/>
          <w:i/>
        </w:rPr>
        <w:t>“</w:t>
      </w:r>
      <w:r w:rsidRPr="000B7ED7" w:rsidR="00836192">
        <w:rPr>
          <w:rFonts w:ascii="Palatino Linotype" w:hAnsi="Palatino Linotype" w:cs="Tahoma"/>
          <w:b/>
          <w:i/>
        </w:rPr>
        <w:t>RAZONES O MOTIVOS DE LA INCONFORMIDAD</w:t>
      </w:r>
    </w:p>
    <w:p w:rsidRPr="000B7ED7" w:rsidR="00836192" w:rsidP="00274839" w:rsidRDefault="004A2C77" w14:paraId="296A55C2" w14:textId="3F15BE54">
      <w:pPr>
        <w:autoSpaceDE w:val="0"/>
        <w:autoSpaceDN w:val="0"/>
        <w:adjustRightInd w:val="0"/>
        <w:spacing w:line="360" w:lineRule="auto"/>
        <w:ind w:left="567" w:right="567"/>
        <w:jc w:val="both"/>
        <w:rPr>
          <w:rFonts w:ascii="Palatino Linotype" w:hAnsi="Palatino Linotype" w:cs="Tahoma"/>
          <w:i/>
        </w:rPr>
      </w:pPr>
      <w:r w:rsidRPr="004A2C77">
        <w:rPr>
          <w:rFonts w:ascii="Palatino Linotype" w:hAnsi="Palatino Linotype" w:cs="Tahoma"/>
          <w:i/>
        </w:rPr>
        <w:t xml:space="preserve">EN LA ENTREGA DE INFORMACIÓN SOLICITADA, DENTRO DEL OFICIO DA/0037/2022, EMITIDO POR LA DIRECCIÓN DE ADMINISTRACIÓN, FALTA FUNDAMENTACIÓN Y MOTIVACIÓN EN SU RESPUESTA DEL PORQUE ME PONEN </w:t>
      </w:r>
      <w:r w:rsidRPr="00801AC2">
        <w:rPr>
          <w:rFonts w:ascii="Palatino Linotype" w:hAnsi="Palatino Linotype" w:cs="Tahoma"/>
          <w:i/>
        </w:rPr>
        <w:t>QUE EN PROCESO Y POR ESO NO ME ENTREGAN LA INFORMACIÓN, Y EN SU ANEXO CORRESPONDIENTE AL CERTIFICADO DE COMPETENCIA LABORAL DEL TITULAR DE TRANSPARENCIA, NO SE ALCANZA A VER EL NOMBRE DEL TITULAR DE LOS DATOS PERSONALES ES DECIR DE LA PERSONA QUE SE CERTIFICO, SOLAMENTE SU CURP, ES UN DOCUMENTO BORROSO E INCOMPRENSIBLE.</w:t>
      </w:r>
      <w:r w:rsidRPr="00801AC2" w:rsidR="00AB0CC4">
        <w:rPr>
          <w:rFonts w:ascii="Palatino Linotype" w:hAnsi="Palatino Linotype" w:cs="Tahoma"/>
          <w:i/>
        </w:rPr>
        <w:t>”</w:t>
      </w:r>
      <w:r w:rsidRPr="000B7ED7" w:rsidR="00AB0CC4">
        <w:rPr>
          <w:rFonts w:ascii="Palatino Linotype" w:hAnsi="Palatino Linotype" w:cs="Tahoma"/>
          <w:i/>
        </w:rPr>
        <w:t xml:space="preserve"> </w:t>
      </w:r>
      <w:r w:rsidRPr="000B7ED7" w:rsidR="00836192">
        <w:rPr>
          <w:rFonts w:ascii="Palatino Linotype" w:hAnsi="Palatino Linotype" w:cs="Tahoma"/>
          <w:i/>
        </w:rPr>
        <w:t xml:space="preserve">(Sic) </w:t>
      </w:r>
    </w:p>
    <w:p w:rsidRPr="000B7ED7" w:rsidR="00836192" w:rsidP="00274839" w:rsidRDefault="00836192" w14:paraId="6F68C5F8" w14:textId="77777777">
      <w:pPr>
        <w:spacing w:line="360" w:lineRule="auto"/>
        <w:jc w:val="both"/>
        <w:rPr>
          <w:rFonts w:ascii="Palatino Linotype" w:hAnsi="Palatino Linotype" w:cs="Tahoma"/>
          <w:b/>
          <w:sz w:val="22"/>
          <w:szCs w:val="22"/>
        </w:rPr>
      </w:pPr>
    </w:p>
    <w:p w:rsidRPr="000B7ED7" w:rsidR="00836192" w:rsidP="00274839" w:rsidRDefault="00836192" w14:paraId="262CD250" w14:textId="77777777">
      <w:pPr>
        <w:spacing w:line="360" w:lineRule="auto"/>
        <w:jc w:val="both"/>
        <w:rPr>
          <w:rFonts w:ascii="Palatino Linotype" w:hAnsi="Palatino Linotype" w:eastAsia="Batang" w:cs="Tahoma"/>
          <w:b/>
          <w:bCs/>
          <w:sz w:val="22"/>
          <w:szCs w:val="22"/>
        </w:rPr>
      </w:pPr>
      <w:r w:rsidRPr="000B7ED7">
        <w:rPr>
          <w:rFonts w:ascii="Palatino Linotype" w:hAnsi="Palatino Linotype" w:cs="Tahoma"/>
          <w:b/>
          <w:sz w:val="22"/>
          <w:szCs w:val="22"/>
        </w:rPr>
        <w:t xml:space="preserve">IV. </w:t>
      </w:r>
      <w:r w:rsidRPr="000B7ED7">
        <w:rPr>
          <w:rFonts w:ascii="Palatino Linotype" w:hAnsi="Palatino Linotype" w:eastAsia="Batang" w:cs="Tahoma"/>
          <w:b/>
          <w:bCs/>
          <w:sz w:val="22"/>
          <w:szCs w:val="22"/>
        </w:rPr>
        <w:t xml:space="preserve">Trámite del </w:t>
      </w:r>
      <w:r w:rsidRPr="000B7ED7">
        <w:rPr>
          <w:rFonts w:ascii="Palatino Linotype" w:hAnsi="Palatino Linotype" w:cs="Tahoma"/>
          <w:b/>
          <w:sz w:val="22"/>
          <w:szCs w:val="22"/>
        </w:rPr>
        <w:t xml:space="preserve">Recurso de Revisión </w:t>
      </w:r>
      <w:r w:rsidRPr="000B7ED7">
        <w:rPr>
          <w:rFonts w:ascii="Palatino Linotype" w:hAnsi="Palatino Linotype" w:eastAsia="Batang" w:cs="Tahoma"/>
          <w:b/>
          <w:bCs/>
          <w:sz w:val="22"/>
          <w:szCs w:val="22"/>
        </w:rPr>
        <w:t>ante este Instituto.</w:t>
      </w:r>
    </w:p>
    <w:p w:rsidRPr="000B7ED7" w:rsidR="00836192" w:rsidP="00274839" w:rsidRDefault="00836192" w14:paraId="208D12AB" w14:textId="77777777">
      <w:pPr>
        <w:spacing w:line="360" w:lineRule="auto"/>
        <w:jc w:val="both"/>
        <w:rPr>
          <w:rFonts w:ascii="Palatino Linotype" w:hAnsi="Palatino Linotype" w:eastAsia="Batang" w:cs="Tahoma"/>
          <w:b/>
          <w:bCs/>
          <w:sz w:val="22"/>
          <w:szCs w:val="22"/>
        </w:rPr>
      </w:pPr>
    </w:p>
    <w:p w:rsidRPr="000B7ED7" w:rsidR="00836192" w:rsidP="00274839" w:rsidRDefault="00836192" w14:paraId="5F11E829" w14:textId="635DC3A8">
      <w:pPr>
        <w:spacing w:line="360" w:lineRule="auto"/>
        <w:jc w:val="both"/>
        <w:rPr>
          <w:rFonts w:ascii="Palatino Linotype" w:hAnsi="Palatino Linotype" w:eastAsia="Batang" w:cs="Tahoma"/>
          <w:bCs/>
          <w:sz w:val="22"/>
          <w:szCs w:val="22"/>
        </w:rPr>
      </w:pPr>
      <w:r w:rsidRPr="000B7ED7">
        <w:rPr>
          <w:rFonts w:ascii="Palatino Linotype" w:hAnsi="Palatino Linotype"/>
          <w:b/>
          <w:bCs/>
          <w:sz w:val="22"/>
          <w:szCs w:val="22"/>
        </w:rPr>
        <w:t xml:space="preserve">a) Turno del Recurso de Revisión. </w:t>
      </w:r>
      <w:r w:rsidRPr="000B7ED7">
        <w:rPr>
          <w:rFonts w:ascii="Palatino Linotype" w:hAnsi="Palatino Linotype" w:eastAsia="Batang" w:cs="Tahoma"/>
          <w:bCs/>
          <w:sz w:val="22"/>
          <w:szCs w:val="22"/>
          <w:lang w:val="es-ES_tradnl"/>
        </w:rPr>
        <w:t xml:space="preserve">El </w:t>
      </w:r>
      <w:r w:rsidR="009109FC">
        <w:rPr>
          <w:rFonts w:ascii="Palatino Linotype" w:hAnsi="Palatino Linotype" w:cs="Tahoma"/>
          <w:sz w:val="22"/>
          <w:szCs w:val="22"/>
        </w:rPr>
        <w:t>dos</w:t>
      </w:r>
      <w:r w:rsidRPr="00A828B7" w:rsidR="00A828B7">
        <w:rPr>
          <w:rFonts w:ascii="Palatino Linotype" w:hAnsi="Palatino Linotype" w:cs="Tahoma"/>
          <w:sz w:val="22"/>
          <w:szCs w:val="22"/>
        </w:rPr>
        <w:t xml:space="preserve"> de </w:t>
      </w:r>
      <w:r w:rsidR="009109FC">
        <w:rPr>
          <w:rFonts w:ascii="Palatino Linotype" w:hAnsi="Palatino Linotype" w:cs="Tahoma"/>
          <w:sz w:val="22"/>
          <w:szCs w:val="22"/>
        </w:rPr>
        <w:t>marz</w:t>
      </w:r>
      <w:r w:rsidR="00F70958">
        <w:rPr>
          <w:rFonts w:ascii="Palatino Linotype" w:hAnsi="Palatino Linotype" w:cs="Tahoma"/>
          <w:sz w:val="22"/>
          <w:szCs w:val="22"/>
        </w:rPr>
        <w:t>o</w:t>
      </w:r>
      <w:r w:rsidRPr="00A828B7" w:rsidR="00A828B7">
        <w:rPr>
          <w:rFonts w:ascii="Palatino Linotype" w:hAnsi="Palatino Linotype" w:cs="Tahoma"/>
          <w:sz w:val="22"/>
          <w:szCs w:val="22"/>
        </w:rPr>
        <w:t xml:space="preserve"> de dos mil veintidós</w:t>
      </w:r>
      <w:r w:rsidRPr="000B7ED7">
        <w:rPr>
          <w:rFonts w:ascii="Palatino Linotype" w:hAnsi="Palatino Linotype" w:eastAsia="Batang" w:cs="Tahoma"/>
          <w:bCs/>
          <w:sz w:val="22"/>
          <w:szCs w:val="22"/>
          <w:lang w:val="es-ES_tradnl"/>
        </w:rPr>
        <w:t>, el Sistema de Acceso a la Informació</w:t>
      </w:r>
      <w:r w:rsidR="000B0C2A">
        <w:rPr>
          <w:rFonts w:ascii="Palatino Linotype" w:hAnsi="Palatino Linotype" w:eastAsia="Batang" w:cs="Tahoma"/>
          <w:bCs/>
          <w:sz w:val="22"/>
          <w:szCs w:val="22"/>
          <w:lang w:val="es-ES_tradnl"/>
        </w:rPr>
        <w:t xml:space="preserve">n Mexiquense (SAIMEX), asignó </w:t>
      </w:r>
      <w:r w:rsidR="009109FC">
        <w:rPr>
          <w:rFonts w:ascii="Palatino Linotype" w:hAnsi="Palatino Linotype" w:eastAsia="Batang" w:cs="Tahoma"/>
          <w:bCs/>
          <w:sz w:val="22"/>
          <w:szCs w:val="22"/>
          <w:lang w:val="es-ES_tradnl"/>
        </w:rPr>
        <w:t>el</w:t>
      </w:r>
      <w:r w:rsidRPr="000B7ED7">
        <w:rPr>
          <w:rFonts w:ascii="Palatino Linotype" w:hAnsi="Palatino Linotype" w:eastAsia="Batang" w:cs="Tahoma"/>
          <w:bCs/>
          <w:sz w:val="22"/>
          <w:szCs w:val="22"/>
          <w:lang w:val="es-ES_tradnl"/>
        </w:rPr>
        <w:t xml:space="preserve"> número de expediente </w:t>
      </w:r>
      <w:r w:rsidRPr="009109FC" w:rsidR="009109FC">
        <w:rPr>
          <w:rFonts w:ascii="Palatino Linotype" w:hAnsi="Palatino Linotype" w:eastAsia="Batang" w:cs="Tahoma"/>
          <w:bCs/>
          <w:sz w:val="22"/>
          <w:szCs w:val="22"/>
          <w:lang w:val="es-ES_tradnl"/>
        </w:rPr>
        <w:t>03166/INFOEM/IP/RR/2022</w:t>
      </w:r>
      <w:r w:rsidR="009109FC">
        <w:rPr>
          <w:rFonts w:ascii="Palatino Linotype" w:hAnsi="Palatino Linotype" w:eastAsia="Batang" w:cs="Tahoma"/>
          <w:bCs/>
          <w:sz w:val="22"/>
          <w:szCs w:val="22"/>
          <w:lang w:val="es-ES_tradnl"/>
        </w:rPr>
        <w:t xml:space="preserve"> </w:t>
      </w:r>
      <w:r w:rsidR="000B0C2A">
        <w:rPr>
          <w:rFonts w:ascii="Palatino Linotype" w:hAnsi="Palatino Linotype" w:eastAsia="Batang" w:cs="Tahoma"/>
          <w:bCs/>
          <w:sz w:val="22"/>
          <w:szCs w:val="22"/>
          <w:lang w:val="es-ES_tradnl"/>
        </w:rPr>
        <w:t>a</w:t>
      </w:r>
      <w:r w:rsidR="002031D9">
        <w:rPr>
          <w:rFonts w:ascii="Palatino Linotype" w:hAnsi="Palatino Linotype" w:eastAsia="Batang" w:cs="Tahoma"/>
          <w:bCs/>
          <w:sz w:val="22"/>
          <w:szCs w:val="22"/>
          <w:lang w:val="es-ES_tradnl"/>
        </w:rPr>
        <w:t>l</w:t>
      </w:r>
      <w:r w:rsidR="000B0C2A">
        <w:rPr>
          <w:rFonts w:ascii="Palatino Linotype" w:hAnsi="Palatino Linotype" w:eastAsia="Batang" w:cs="Tahoma"/>
          <w:bCs/>
          <w:sz w:val="22"/>
          <w:szCs w:val="22"/>
          <w:lang w:val="es-ES_tradnl"/>
        </w:rPr>
        <w:t xml:space="preserve"> </w:t>
      </w:r>
      <w:r w:rsidRPr="000B7ED7">
        <w:rPr>
          <w:rFonts w:ascii="Palatino Linotype" w:hAnsi="Palatino Linotype" w:eastAsia="Batang" w:cs="Tahoma"/>
          <w:bCs/>
          <w:sz w:val="22"/>
          <w:szCs w:val="22"/>
          <w:lang w:val="es-ES_tradnl"/>
        </w:rPr>
        <w:t>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0B7ED7" w:rsidR="00836192" w:rsidP="00274839" w:rsidRDefault="00836192" w14:paraId="4D045605" w14:textId="77777777">
      <w:pPr>
        <w:spacing w:line="360" w:lineRule="auto"/>
        <w:jc w:val="both"/>
        <w:rPr>
          <w:rFonts w:ascii="Palatino Linotype" w:hAnsi="Palatino Linotype" w:eastAsia="Batang" w:cs="Tahoma"/>
          <w:b/>
          <w:bCs/>
          <w:sz w:val="22"/>
          <w:szCs w:val="22"/>
        </w:rPr>
      </w:pPr>
    </w:p>
    <w:p w:rsidR="00836192" w:rsidP="00274839" w:rsidRDefault="00836192" w14:paraId="3A64D196" w14:textId="71524D4C">
      <w:pPr>
        <w:spacing w:line="360" w:lineRule="auto"/>
        <w:jc w:val="both"/>
        <w:rPr>
          <w:rFonts w:ascii="Palatino Linotype" w:hAnsi="Palatino Linotype" w:eastAsia="Batang" w:cs="Tahoma"/>
          <w:bCs/>
          <w:sz w:val="22"/>
          <w:szCs w:val="22"/>
          <w:lang w:val="es-ES_tradnl"/>
        </w:rPr>
      </w:pPr>
      <w:r w:rsidRPr="000B7ED7">
        <w:rPr>
          <w:rFonts w:ascii="Palatino Linotype" w:hAnsi="Palatino Linotype" w:eastAsia="Batang" w:cs="Tahoma"/>
          <w:b/>
          <w:bCs/>
          <w:sz w:val="22"/>
          <w:szCs w:val="22"/>
        </w:rPr>
        <w:t xml:space="preserve">b) Admisión de los </w:t>
      </w:r>
      <w:r w:rsidRPr="000B7ED7">
        <w:rPr>
          <w:rFonts w:ascii="Palatino Linotype" w:hAnsi="Palatino Linotype" w:cs="Tahoma"/>
          <w:b/>
          <w:sz w:val="22"/>
          <w:szCs w:val="22"/>
        </w:rPr>
        <w:t>Recursos de Revisión</w:t>
      </w:r>
      <w:r w:rsidRPr="000B7ED7">
        <w:rPr>
          <w:rFonts w:ascii="Palatino Linotype" w:hAnsi="Palatino Linotype" w:eastAsia="Batang" w:cs="Tahoma"/>
          <w:b/>
          <w:bCs/>
          <w:sz w:val="22"/>
          <w:szCs w:val="22"/>
          <w:lang w:val="es-ES_tradnl"/>
        </w:rPr>
        <w:t xml:space="preserve">. </w:t>
      </w:r>
      <w:r w:rsidRPr="000B7ED7">
        <w:rPr>
          <w:rFonts w:ascii="Palatino Linotype" w:hAnsi="Palatino Linotype" w:eastAsia="Batang" w:cs="Tahoma"/>
          <w:bCs/>
          <w:sz w:val="22"/>
          <w:szCs w:val="22"/>
          <w:lang w:val="es-ES_tradnl"/>
        </w:rPr>
        <w:t>El</w:t>
      </w:r>
      <w:r w:rsidR="002031D9">
        <w:rPr>
          <w:rFonts w:ascii="Palatino Linotype" w:hAnsi="Palatino Linotype" w:eastAsia="Batang" w:cs="Tahoma"/>
          <w:bCs/>
          <w:sz w:val="22"/>
          <w:szCs w:val="22"/>
          <w:lang w:val="es-ES_tradnl"/>
        </w:rPr>
        <w:t xml:space="preserve"> </w:t>
      </w:r>
      <w:r w:rsidR="000B0C2A">
        <w:rPr>
          <w:rFonts w:ascii="Palatino Linotype" w:hAnsi="Palatino Linotype" w:eastAsia="Batang" w:cs="Tahoma"/>
          <w:bCs/>
          <w:sz w:val="22"/>
          <w:szCs w:val="22"/>
          <w:lang w:val="es-ES_tradnl"/>
        </w:rPr>
        <w:t xml:space="preserve">ocho de </w:t>
      </w:r>
      <w:r w:rsidR="002031D9">
        <w:rPr>
          <w:rFonts w:ascii="Palatino Linotype" w:hAnsi="Palatino Linotype" w:eastAsia="Batang" w:cs="Tahoma"/>
          <w:bCs/>
          <w:sz w:val="22"/>
          <w:szCs w:val="22"/>
          <w:lang w:val="es-ES_tradnl"/>
        </w:rPr>
        <w:t>marzo</w:t>
      </w:r>
      <w:r w:rsidR="000B0C2A">
        <w:rPr>
          <w:rFonts w:ascii="Palatino Linotype" w:hAnsi="Palatino Linotype" w:eastAsia="Batang" w:cs="Tahoma"/>
          <w:bCs/>
          <w:sz w:val="22"/>
          <w:szCs w:val="22"/>
          <w:lang w:val="es-ES_tradnl"/>
        </w:rPr>
        <w:t xml:space="preserve"> </w:t>
      </w:r>
      <w:r w:rsidRPr="000B7ED7">
        <w:rPr>
          <w:rFonts w:ascii="Palatino Linotype" w:hAnsi="Palatino Linotype" w:eastAsia="Batang" w:cs="Tahoma"/>
          <w:bCs/>
          <w:sz w:val="22"/>
          <w:szCs w:val="22"/>
          <w:lang w:val="es-ES_tradnl"/>
        </w:rPr>
        <w:t xml:space="preserve"> de dos mil veinti</w:t>
      </w:r>
      <w:r w:rsidR="00A828B7">
        <w:rPr>
          <w:rFonts w:ascii="Palatino Linotype" w:hAnsi="Palatino Linotype" w:eastAsia="Batang" w:cs="Tahoma"/>
          <w:bCs/>
          <w:sz w:val="22"/>
          <w:szCs w:val="22"/>
          <w:lang w:val="es-ES_tradnl"/>
        </w:rPr>
        <w:t>dós</w:t>
      </w:r>
      <w:r w:rsidR="000B0C2A">
        <w:rPr>
          <w:rFonts w:ascii="Palatino Linotype" w:hAnsi="Palatino Linotype" w:eastAsia="Batang" w:cs="Tahoma"/>
          <w:bCs/>
          <w:sz w:val="22"/>
          <w:szCs w:val="22"/>
          <w:lang w:val="es-ES_tradnl"/>
        </w:rPr>
        <w:t xml:space="preserve">, se acordó la admisión de los </w:t>
      </w:r>
      <w:r w:rsidRPr="000B7ED7">
        <w:rPr>
          <w:rFonts w:ascii="Palatino Linotype" w:hAnsi="Palatino Linotype" w:eastAsia="Batang" w:cs="Tahoma"/>
          <w:bCs/>
          <w:sz w:val="22"/>
          <w:szCs w:val="22"/>
          <w:lang w:val="es-ES_tradnl"/>
        </w:rPr>
        <w:t>Recurso</w:t>
      </w:r>
      <w:r w:rsidR="000B0C2A">
        <w:rPr>
          <w:rFonts w:ascii="Palatino Linotype" w:hAnsi="Palatino Linotype" w:eastAsia="Batang" w:cs="Tahoma"/>
          <w:bCs/>
          <w:sz w:val="22"/>
          <w:szCs w:val="22"/>
          <w:lang w:val="es-ES_tradnl"/>
        </w:rPr>
        <w:t>s</w:t>
      </w:r>
      <w:r w:rsidRPr="000B7ED7">
        <w:rPr>
          <w:rFonts w:ascii="Palatino Linotype" w:hAnsi="Palatino Linotype" w:eastAsia="Batang" w:cs="Tahoma"/>
          <w:bCs/>
          <w:sz w:val="22"/>
          <w:szCs w:val="22"/>
          <w:lang w:val="es-ES_tradnl"/>
        </w:rPr>
        <w:t xml:space="preserve"> de Revisión, interpuesto</w:t>
      </w:r>
      <w:r w:rsidR="000B0C2A">
        <w:rPr>
          <w:rFonts w:ascii="Palatino Linotype" w:hAnsi="Palatino Linotype" w:eastAsia="Batang" w:cs="Tahoma"/>
          <w:bCs/>
          <w:sz w:val="22"/>
          <w:szCs w:val="22"/>
          <w:lang w:val="es-ES_tradnl"/>
        </w:rPr>
        <w:t>s</w:t>
      </w:r>
      <w:r w:rsidRPr="000B7ED7">
        <w:rPr>
          <w:rFonts w:ascii="Palatino Linotype" w:hAnsi="Palatino Linotype" w:eastAsia="Batang" w:cs="Tahoma"/>
          <w:bCs/>
          <w:sz w:val="22"/>
          <w:szCs w:val="22"/>
          <w:lang w:val="es-ES_tradnl"/>
        </w:rPr>
        <w:t xml:space="preserve"> por el Recurrente, en contra del Sujeto Obligado, en términos del artículo 185, fracciones I y II de la Ley de Transparencia y Acceso </w:t>
      </w:r>
      <w:r w:rsidRPr="000B7ED7">
        <w:rPr>
          <w:rFonts w:ascii="Palatino Linotype" w:hAnsi="Palatino Linotype" w:eastAsia="Batang" w:cs="Tahoma"/>
          <w:bCs/>
          <w:sz w:val="22"/>
          <w:szCs w:val="22"/>
          <w:lang w:val="es-ES_tradnl"/>
        </w:rPr>
        <w:lastRenderedPageBreak/>
        <w:t>a la Información Pública del Es</w:t>
      </w:r>
      <w:r w:rsidR="000B0C2A">
        <w:rPr>
          <w:rFonts w:ascii="Palatino Linotype" w:hAnsi="Palatino Linotype" w:eastAsia="Batang" w:cs="Tahoma"/>
          <w:bCs/>
          <w:sz w:val="22"/>
          <w:szCs w:val="22"/>
          <w:lang w:val="es-ES_tradnl"/>
        </w:rPr>
        <w:t>tado de México y Municipios, lo</w:t>
      </w:r>
      <w:r w:rsidRPr="000B7ED7">
        <w:rPr>
          <w:rFonts w:ascii="Palatino Linotype" w:hAnsi="Palatino Linotype" w:eastAsia="Batang" w:cs="Tahoma"/>
          <w:bCs/>
          <w:sz w:val="22"/>
          <w:szCs w:val="22"/>
          <w:lang w:val="es-ES_tradnl"/>
        </w:rPr>
        <w:t xml:space="preserve"> cual fue notificado a las partes</w:t>
      </w:r>
      <w:r w:rsidR="002031D9">
        <w:rPr>
          <w:rFonts w:ascii="Palatino Linotype" w:hAnsi="Palatino Linotype" w:eastAsia="Batang" w:cs="Tahoma"/>
          <w:bCs/>
          <w:sz w:val="22"/>
          <w:szCs w:val="22"/>
          <w:lang w:val="es-ES_tradnl"/>
        </w:rPr>
        <w:t xml:space="preserve"> el mismo día</w:t>
      </w:r>
      <w:r w:rsidRPr="000B7ED7">
        <w:rPr>
          <w:rFonts w:ascii="Palatino Linotype" w:hAnsi="Palatino Linotype" w:eastAsia="Batang"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rsidRPr="000B7ED7" w:rsidR="000B0C2A" w:rsidP="00274839" w:rsidRDefault="000B0C2A" w14:paraId="39B15391" w14:textId="77777777">
      <w:pPr>
        <w:spacing w:line="360" w:lineRule="auto"/>
        <w:jc w:val="both"/>
        <w:rPr>
          <w:rFonts w:ascii="Palatino Linotype" w:hAnsi="Palatino Linotype" w:eastAsia="Batang" w:cs="Tahoma"/>
          <w:bCs/>
          <w:sz w:val="22"/>
          <w:szCs w:val="22"/>
          <w:lang w:val="es-ES_tradnl"/>
        </w:rPr>
      </w:pPr>
    </w:p>
    <w:p w:rsidR="00AA6887" w:rsidP="00274839" w:rsidRDefault="00AA6887" w14:paraId="0DA52810" w14:textId="16969B71">
      <w:pPr>
        <w:autoSpaceDE w:val="0"/>
        <w:autoSpaceDN w:val="0"/>
        <w:adjustRightInd w:val="0"/>
        <w:spacing w:line="360" w:lineRule="auto"/>
        <w:jc w:val="both"/>
        <w:rPr>
          <w:rFonts w:ascii="Palatino Linotype" w:hAnsi="Palatino Linotype" w:cs="Tahoma"/>
          <w:sz w:val="22"/>
          <w:szCs w:val="22"/>
        </w:rPr>
      </w:pPr>
      <w:r w:rsidRPr="00AA6887">
        <w:rPr>
          <w:rFonts w:ascii="Palatino Linotype" w:hAnsi="Palatino Linotype" w:cs="Tahoma"/>
          <w:b/>
          <w:sz w:val="22"/>
          <w:szCs w:val="22"/>
        </w:rPr>
        <w:t xml:space="preserve">c) Informe Justificado. </w:t>
      </w:r>
      <w:r w:rsidRPr="00AA6887">
        <w:rPr>
          <w:rFonts w:ascii="Palatino Linotype" w:hAnsi="Palatino Linotype" w:cs="Tahoma"/>
          <w:sz w:val="22"/>
          <w:szCs w:val="22"/>
        </w:rPr>
        <w:t xml:space="preserve">El </w:t>
      </w:r>
      <w:r>
        <w:rPr>
          <w:rFonts w:ascii="Palatino Linotype" w:hAnsi="Palatino Linotype" w:cs="Tahoma"/>
          <w:sz w:val="22"/>
          <w:szCs w:val="22"/>
        </w:rPr>
        <w:t>once</w:t>
      </w:r>
      <w:r w:rsidRPr="00AA6887">
        <w:rPr>
          <w:rFonts w:ascii="Palatino Linotype" w:hAnsi="Palatino Linotype" w:cs="Tahoma"/>
          <w:sz w:val="22"/>
          <w:szCs w:val="22"/>
        </w:rPr>
        <w:t xml:space="preserve"> de </w:t>
      </w:r>
      <w:r>
        <w:rPr>
          <w:rFonts w:ascii="Palatino Linotype" w:hAnsi="Palatino Linotype" w:cs="Tahoma"/>
          <w:sz w:val="22"/>
          <w:szCs w:val="22"/>
        </w:rPr>
        <w:t>marzo</w:t>
      </w:r>
      <w:r w:rsidRPr="00AA6887">
        <w:rPr>
          <w:rFonts w:ascii="Palatino Linotype" w:hAnsi="Palatino Linotype" w:cs="Tahoma"/>
          <w:sz w:val="22"/>
          <w:szCs w:val="22"/>
        </w:rPr>
        <w:t xml:space="preserve"> de dos mil veintidós, se recibió, a través del Sistema de Acceso a la Información Mexiquense (SAIMEX), el Informe Justificado del Sujeto Obligado, a través del oficio </w:t>
      </w:r>
      <w:r w:rsidR="001E54AE">
        <w:rPr>
          <w:rFonts w:ascii="Palatino Linotype" w:hAnsi="Palatino Linotype" w:cs="Tahoma"/>
          <w:sz w:val="22"/>
          <w:szCs w:val="22"/>
        </w:rPr>
        <w:t>127/TEOTIHUA/UT/2022</w:t>
      </w:r>
      <w:r w:rsidRPr="00AA6887">
        <w:rPr>
          <w:rFonts w:ascii="Palatino Linotype" w:hAnsi="Palatino Linotype" w:cs="Tahoma"/>
          <w:sz w:val="22"/>
          <w:szCs w:val="22"/>
        </w:rPr>
        <w:t xml:space="preserve">, de la misma fecha de recepción, </w:t>
      </w:r>
      <w:r w:rsidRPr="00AA6887">
        <w:rPr>
          <w:rFonts w:ascii="Palatino Linotype" w:hAnsi="Palatino Linotype" w:cs="Tahoma"/>
          <w:bCs/>
          <w:sz w:val="22"/>
          <w:szCs w:val="22"/>
        </w:rPr>
        <w:t>suscrito por la Titular de la Unidad de Transparencia y dirigido al Comisionado P</w:t>
      </w:r>
      <w:r w:rsidR="001E54AE">
        <w:rPr>
          <w:rFonts w:ascii="Palatino Linotype" w:hAnsi="Palatino Linotype" w:cs="Tahoma"/>
          <w:bCs/>
          <w:sz w:val="22"/>
          <w:szCs w:val="22"/>
        </w:rPr>
        <w:t>on</w:t>
      </w:r>
      <w:r w:rsidRPr="00AA6887">
        <w:rPr>
          <w:rFonts w:ascii="Palatino Linotype" w:hAnsi="Palatino Linotype" w:cs="Tahoma"/>
          <w:bCs/>
          <w:sz w:val="22"/>
          <w:szCs w:val="22"/>
        </w:rPr>
        <w:t>ente,</w:t>
      </w:r>
      <w:r w:rsidRPr="00AA6887">
        <w:rPr>
          <w:rFonts w:ascii="Palatino Linotype" w:hAnsi="Palatino Linotype" w:cs="Tahoma"/>
          <w:sz w:val="22"/>
          <w:szCs w:val="22"/>
        </w:rPr>
        <w:t xml:space="preserve"> por medio del cual </w:t>
      </w:r>
      <w:r w:rsidR="001E54AE">
        <w:rPr>
          <w:rFonts w:ascii="Palatino Linotype" w:hAnsi="Palatino Linotype" w:cs="Tahoma"/>
          <w:sz w:val="22"/>
          <w:szCs w:val="22"/>
        </w:rPr>
        <w:t>modificó</w:t>
      </w:r>
      <w:r w:rsidRPr="00AA6887">
        <w:rPr>
          <w:rFonts w:ascii="Palatino Linotype" w:hAnsi="Palatino Linotype" w:cs="Tahoma"/>
          <w:sz w:val="22"/>
          <w:szCs w:val="22"/>
        </w:rPr>
        <w:t xml:space="preserve"> la respuesta primigenia</w:t>
      </w:r>
      <w:r w:rsidR="001E54AE">
        <w:rPr>
          <w:rFonts w:ascii="Palatino Linotype" w:hAnsi="Palatino Linotype" w:cs="Tahoma"/>
          <w:sz w:val="22"/>
          <w:szCs w:val="22"/>
        </w:rPr>
        <w:t xml:space="preserve"> e informa remitir los siguientes documentos: </w:t>
      </w:r>
    </w:p>
    <w:p w:rsidRPr="00801AC2" w:rsidR="001E54AE" w:rsidP="00274839" w:rsidRDefault="001E54AE" w14:paraId="2AD60B9A" w14:textId="77777777">
      <w:pPr>
        <w:autoSpaceDE w:val="0"/>
        <w:autoSpaceDN w:val="0"/>
        <w:adjustRightInd w:val="0"/>
        <w:spacing w:line="360" w:lineRule="auto"/>
        <w:jc w:val="both"/>
        <w:rPr>
          <w:rFonts w:ascii="Palatino Linotype" w:hAnsi="Palatino Linotype" w:cs="Tahoma"/>
          <w:sz w:val="22"/>
          <w:szCs w:val="22"/>
        </w:rPr>
      </w:pPr>
    </w:p>
    <w:p w:rsidRPr="00801AC2" w:rsidR="00AA6887" w:rsidP="00274839" w:rsidRDefault="00801AC2" w14:paraId="13FEB140" w14:textId="08CA8439">
      <w:pPr>
        <w:autoSpaceDE w:val="0"/>
        <w:autoSpaceDN w:val="0"/>
        <w:adjustRightInd w:val="0"/>
        <w:spacing w:line="360" w:lineRule="auto"/>
        <w:jc w:val="both"/>
        <w:rPr>
          <w:rFonts w:ascii="Palatino Linotype" w:hAnsi="Palatino Linotype" w:cs="Tahoma"/>
          <w:sz w:val="22"/>
          <w:szCs w:val="22"/>
        </w:rPr>
      </w:pPr>
      <w:r w:rsidRPr="00801AC2">
        <w:rPr>
          <w:rFonts w:ascii="Palatino Linotype" w:hAnsi="Palatino Linotype" w:cs="Tahoma"/>
          <w:sz w:val="22"/>
          <w:szCs w:val="22"/>
        </w:rPr>
        <w:t xml:space="preserve">i) </w:t>
      </w:r>
      <w:r w:rsidRPr="00801AC2" w:rsidR="001E54AE">
        <w:rPr>
          <w:rFonts w:ascii="Palatino Linotype" w:hAnsi="Palatino Linotype" w:cs="Tahoma"/>
          <w:sz w:val="22"/>
          <w:szCs w:val="22"/>
        </w:rPr>
        <w:t>Oficio número DA/0090/2022, del siete de marzo de dos mil veintidós, suscrito por la Direc</w:t>
      </w:r>
      <w:r w:rsidRPr="00801AC2" w:rsidR="00357EA9">
        <w:rPr>
          <w:rFonts w:ascii="Palatino Linotype" w:hAnsi="Palatino Linotype" w:cs="Tahoma"/>
          <w:sz w:val="22"/>
          <w:szCs w:val="22"/>
        </w:rPr>
        <w:t>tora</w:t>
      </w:r>
      <w:r w:rsidRPr="00801AC2" w:rsidR="001E54AE">
        <w:rPr>
          <w:rFonts w:ascii="Palatino Linotype" w:hAnsi="Palatino Linotype" w:cs="Tahoma"/>
          <w:sz w:val="22"/>
          <w:szCs w:val="22"/>
        </w:rPr>
        <w:t xml:space="preserve"> de </w:t>
      </w:r>
      <w:r w:rsidRPr="00801AC2" w:rsidR="00357EA9">
        <w:rPr>
          <w:rFonts w:ascii="Palatino Linotype" w:hAnsi="Palatino Linotype" w:cs="Tahoma"/>
          <w:sz w:val="22"/>
          <w:szCs w:val="22"/>
        </w:rPr>
        <w:t>Administración</w:t>
      </w:r>
      <w:r w:rsidRPr="00801AC2" w:rsidR="001E54AE">
        <w:rPr>
          <w:rFonts w:ascii="Palatino Linotype" w:hAnsi="Palatino Linotype" w:cs="Tahoma"/>
          <w:sz w:val="22"/>
          <w:szCs w:val="22"/>
        </w:rPr>
        <w:t xml:space="preserve"> </w:t>
      </w:r>
      <w:r w:rsidRPr="00801AC2" w:rsidR="00357EA9">
        <w:rPr>
          <w:rFonts w:ascii="Palatino Linotype" w:hAnsi="Palatino Linotype" w:cs="Tahoma"/>
          <w:sz w:val="22"/>
          <w:szCs w:val="22"/>
        </w:rPr>
        <w:t xml:space="preserve">y dirigido al Titular de la Unidad de Transparencia, mediante el cual manifiesta lo siguiente: </w:t>
      </w:r>
    </w:p>
    <w:p w:rsidR="00E55230" w:rsidP="00274839" w:rsidRDefault="00E55230" w14:paraId="5E918D55" w14:textId="77777777">
      <w:pPr>
        <w:pStyle w:val="Prrafodelista"/>
        <w:autoSpaceDE w:val="0"/>
        <w:autoSpaceDN w:val="0"/>
        <w:adjustRightInd w:val="0"/>
        <w:spacing w:line="360" w:lineRule="auto"/>
        <w:jc w:val="both"/>
        <w:rPr>
          <w:rFonts w:ascii="Palatino Linotype" w:hAnsi="Palatino Linotype" w:cs="Tahoma"/>
          <w:szCs w:val="22"/>
        </w:rPr>
      </w:pPr>
    </w:p>
    <w:p w:rsidRPr="00E55230" w:rsidR="00357EA9" w:rsidP="00274839" w:rsidRDefault="00357EA9" w14:paraId="4EC14CF3" w14:textId="7B8B039B">
      <w:pPr>
        <w:pStyle w:val="Prrafodelista"/>
        <w:autoSpaceDE w:val="0"/>
        <w:autoSpaceDN w:val="0"/>
        <w:adjustRightInd w:val="0"/>
        <w:spacing w:line="360" w:lineRule="auto"/>
        <w:ind w:left="567" w:right="567"/>
        <w:jc w:val="both"/>
        <w:rPr>
          <w:rFonts w:ascii="Palatino Linotype" w:hAnsi="Palatino Linotype" w:cs="Tahoma"/>
          <w:i/>
          <w:iCs/>
          <w:sz w:val="20"/>
          <w:szCs w:val="20"/>
        </w:rPr>
      </w:pPr>
      <w:r w:rsidRPr="00E55230">
        <w:rPr>
          <w:rFonts w:ascii="Palatino Linotype" w:hAnsi="Palatino Linotype" w:cs="Tahoma"/>
          <w:i/>
          <w:iCs/>
          <w:sz w:val="20"/>
          <w:szCs w:val="20"/>
        </w:rPr>
        <w:t xml:space="preserve">“… en alcance al Oficio </w:t>
      </w:r>
      <w:r w:rsidRPr="00E55230" w:rsidR="001E3D7D">
        <w:rPr>
          <w:rFonts w:ascii="Palatino Linotype" w:hAnsi="Palatino Linotype" w:cs="Tahoma"/>
          <w:i/>
          <w:iCs/>
          <w:sz w:val="20"/>
          <w:szCs w:val="20"/>
        </w:rPr>
        <w:t xml:space="preserve">DA/0037/2022, le adjunto nuevamente el Certificado de Competencia Laboral del Titular de la Unidad de Transparencia en versión pública, así mismo con fundamento en el artículo 32 fracción V de la Ley Orgánica Municipal del Estado de México que a la letra dice “V. En su caso, contar con certificación de competencia laboral en la materia del cargo que se desempeñará, expedida por institución con reconocimiento de validez </w:t>
      </w:r>
      <w:r w:rsidRPr="00E55230" w:rsidR="00B507C6">
        <w:rPr>
          <w:rFonts w:ascii="Palatino Linotype" w:hAnsi="Palatino Linotype" w:cs="Tahoma"/>
          <w:i/>
          <w:iCs/>
          <w:sz w:val="20"/>
          <w:szCs w:val="20"/>
        </w:rPr>
        <w:t xml:space="preserve">oficial. Este requisito podrá acreditarse dentro de los seis meses siguientes a la fecha en que inicien sus funciones.” Y con motivo de que en los registros de esta Dirección únicamente obran los Certificados de Competencia Laboral de la Defensoría Municipal de Derechos Humanos y de la Unidad de Transparencia, al solicitar la información a los demás titulares que se encuentran obligados a certificarse exponen que se encuentran en proceso de certificación, ajustándose a lo establecido en dicho precepto legal, por lo que </w:t>
      </w:r>
      <w:r w:rsidRPr="00E55230" w:rsidR="00E55230">
        <w:rPr>
          <w:rFonts w:ascii="Palatino Linotype" w:hAnsi="Palatino Linotype" w:cs="Tahoma"/>
          <w:i/>
          <w:iCs/>
          <w:sz w:val="20"/>
          <w:szCs w:val="20"/>
        </w:rPr>
        <w:t xml:space="preserve">en este momento no se cuenta con la información solicitada, lo </w:t>
      </w:r>
      <w:r w:rsidRPr="00E55230" w:rsidR="00E55230">
        <w:rPr>
          <w:rFonts w:ascii="Palatino Linotype" w:hAnsi="Palatino Linotype" w:cs="Tahoma"/>
          <w:i/>
          <w:iCs/>
          <w:sz w:val="20"/>
          <w:szCs w:val="20"/>
        </w:rPr>
        <w:lastRenderedPageBreak/>
        <w:t>anterior es con la finalidad de dar respuesta a la solicitud de información pública No. 00015/TEOTIHUA/IP/2022.</w:t>
      </w:r>
    </w:p>
    <w:p w:rsidRPr="00801AC2" w:rsidR="00801AC2" w:rsidP="00274839" w:rsidRDefault="00E55230" w14:paraId="71A4B3C5" w14:textId="02FC0F6A">
      <w:pPr>
        <w:pStyle w:val="Prrafodelista"/>
        <w:autoSpaceDE w:val="0"/>
        <w:autoSpaceDN w:val="0"/>
        <w:adjustRightInd w:val="0"/>
        <w:spacing w:line="360" w:lineRule="auto"/>
        <w:ind w:left="567" w:right="567"/>
        <w:jc w:val="both"/>
        <w:rPr>
          <w:rFonts w:ascii="Palatino Linotype" w:hAnsi="Palatino Linotype" w:cs="Tahoma"/>
          <w:i/>
          <w:iCs/>
          <w:sz w:val="20"/>
          <w:szCs w:val="20"/>
        </w:rPr>
      </w:pPr>
      <w:r w:rsidRPr="00E55230">
        <w:rPr>
          <w:rFonts w:ascii="Palatino Linotype" w:hAnsi="Palatino Linotype" w:cs="Tahoma"/>
          <w:i/>
          <w:iCs/>
          <w:sz w:val="20"/>
          <w:szCs w:val="20"/>
        </w:rPr>
        <w:t xml:space="preserve">…” </w:t>
      </w:r>
    </w:p>
    <w:p w:rsidR="00801AC2" w:rsidP="00274839" w:rsidRDefault="00801AC2" w14:paraId="5CB6F3CF" w14:textId="77777777">
      <w:pPr>
        <w:autoSpaceDE w:val="0"/>
        <w:autoSpaceDN w:val="0"/>
        <w:adjustRightInd w:val="0"/>
        <w:spacing w:line="360" w:lineRule="auto"/>
        <w:ind w:right="567"/>
        <w:jc w:val="both"/>
        <w:rPr>
          <w:rFonts w:ascii="Palatino Linotype" w:hAnsi="Palatino Linotype" w:cs="Tahoma"/>
        </w:rPr>
      </w:pPr>
    </w:p>
    <w:p w:rsidRPr="00801AC2" w:rsidR="00E55230" w:rsidP="00274839" w:rsidRDefault="00801AC2" w14:paraId="294669F0" w14:textId="4E7BA41C">
      <w:pPr>
        <w:autoSpaceDE w:val="0"/>
        <w:autoSpaceDN w:val="0"/>
        <w:adjustRightInd w:val="0"/>
        <w:spacing w:line="360" w:lineRule="auto"/>
        <w:jc w:val="both"/>
        <w:rPr>
          <w:rFonts w:ascii="Palatino Linotype" w:hAnsi="Palatino Linotype" w:cs="Tahoma"/>
          <w:sz w:val="22"/>
        </w:rPr>
      </w:pPr>
      <w:r>
        <w:rPr>
          <w:rFonts w:ascii="Palatino Linotype" w:hAnsi="Palatino Linotype" w:cs="Tahoma"/>
          <w:sz w:val="22"/>
        </w:rPr>
        <w:t xml:space="preserve">ii) </w:t>
      </w:r>
      <w:r w:rsidRPr="00801AC2" w:rsidR="00E55230">
        <w:rPr>
          <w:rFonts w:ascii="Palatino Linotype" w:hAnsi="Palatino Linotype" w:cs="Tahoma"/>
          <w:sz w:val="22"/>
        </w:rPr>
        <w:t>Acta del Comité de Transparencia</w:t>
      </w:r>
      <w:r w:rsidRPr="00801AC2" w:rsidR="00321CAC">
        <w:rPr>
          <w:rFonts w:ascii="Palatino Linotype" w:hAnsi="Palatino Linotype" w:cs="Tahoma"/>
          <w:sz w:val="22"/>
        </w:rPr>
        <w:t xml:space="preserve"> número ACT/TEOTIHUA/CT/08/2022, </w:t>
      </w:r>
      <w:r w:rsidRPr="00801AC2" w:rsidR="00820AC0">
        <w:rPr>
          <w:rFonts w:ascii="Palatino Linotype" w:hAnsi="Palatino Linotype" w:cs="Tahoma"/>
          <w:sz w:val="22"/>
        </w:rPr>
        <w:t>en el que</w:t>
      </w:r>
      <w:r w:rsidRPr="00801AC2" w:rsidR="00321CAC">
        <w:rPr>
          <w:rFonts w:ascii="Palatino Linotype" w:hAnsi="Palatino Linotype" w:cs="Tahoma"/>
          <w:sz w:val="22"/>
        </w:rPr>
        <w:t xml:space="preserve"> se aprobó y acordó la clasificación </w:t>
      </w:r>
      <w:r w:rsidRPr="00801AC2" w:rsidR="00820AC0">
        <w:rPr>
          <w:rFonts w:ascii="Palatino Linotype" w:hAnsi="Palatino Linotype" w:cs="Tahoma"/>
          <w:sz w:val="22"/>
        </w:rPr>
        <w:t xml:space="preserve">de la CURP, del Certificado de Competencia Laboral del Titular de la Unidad de Transparencia, mediate acuerdo </w:t>
      </w:r>
      <w:r w:rsidRPr="00801AC2" w:rsidR="00565BF0">
        <w:rPr>
          <w:rFonts w:ascii="Palatino Linotype" w:hAnsi="Palatino Linotype" w:cs="Tahoma"/>
          <w:sz w:val="22"/>
        </w:rPr>
        <w:t>003/TEOTIHUA/CT/VP/2022</w:t>
      </w:r>
    </w:p>
    <w:p w:rsidRPr="00801AC2" w:rsidR="00801AC2" w:rsidP="00274839" w:rsidRDefault="00801AC2" w14:paraId="203CE960" w14:textId="77777777">
      <w:pPr>
        <w:autoSpaceDE w:val="0"/>
        <w:autoSpaceDN w:val="0"/>
        <w:adjustRightInd w:val="0"/>
        <w:spacing w:line="360" w:lineRule="auto"/>
        <w:jc w:val="both"/>
        <w:rPr>
          <w:rFonts w:ascii="Palatino Linotype" w:hAnsi="Palatino Linotype" w:cs="Tahoma"/>
          <w:sz w:val="22"/>
        </w:rPr>
      </w:pPr>
    </w:p>
    <w:p w:rsidRPr="00801AC2" w:rsidR="00565BF0" w:rsidP="00274839" w:rsidRDefault="007751B4" w14:paraId="71AA7A40" w14:textId="6206C782">
      <w:pPr>
        <w:autoSpaceDE w:val="0"/>
        <w:autoSpaceDN w:val="0"/>
        <w:adjustRightInd w:val="0"/>
        <w:spacing w:line="360" w:lineRule="auto"/>
        <w:jc w:val="both"/>
        <w:rPr>
          <w:rFonts w:ascii="Palatino Linotype" w:hAnsi="Palatino Linotype" w:cs="Tahoma"/>
          <w:sz w:val="22"/>
        </w:rPr>
      </w:pPr>
      <w:r>
        <w:rPr>
          <w:rFonts w:ascii="Palatino Linotype" w:hAnsi="Palatino Linotype" w:cs="Tahoma"/>
          <w:sz w:val="22"/>
        </w:rPr>
        <w:t>iii) Versión Pública del C</w:t>
      </w:r>
      <w:r w:rsidRPr="00801AC2" w:rsidR="00565BF0">
        <w:rPr>
          <w:rFonts w:ascii="Palatino Linotype" w:hAnsi="Palatino Linotype" w:cs="Tahoma"/>
          <w:sz w:val="22"/>
        </w:rPr>
        <w:t>ertificado de Competencia Laboral del Titular de la unidad de Transparencia</w:t>
      </w:r>
      <w:r>
        <w:rPr>
          <w:rFonts w:ascii="Palatino Linotype" w:hAnsi="Palatino Linotype" w:cs="Tahoma"/>
          <w:sz w:val="22"/>
        </w:rPr>
        <w:t>.</w:t>
      </w:r>
    </w:p>
    <w:p w:rsidR="00565BF0" w:rsidP="00274839" w:rsidRDefault="00565BF0" w14:paraId="5B84A127" w14:textId="77777777">
      <w:pPr>
        <w:pStyle w:val="Prrafodelista"/>
        <w:autoSpaceDE w:val="0"/>
        <w:autoSpaceDN w:val="0"/>
        <w:adjustRightInd w:val="0"/>
        <w:spacing w:line="360" w:lineRule="auto"/>
        <w:ind w:right="567"/>
        <w:jc w:val="both"/>
        <w:rPr>
          <w:noProof/>
        </w:rPr>
      </w:pPr>
    </w:p>
    <w:p w:rsidR="00885095" w:rsidP="00274839" w:rsidRDefault="00885095" w14:paraId="2838A712" w14:textId="2A2896E0">
      <w:pPr>
        <w:spacing w:line="360" w:lineRule="auto"/>
        <w:jc w:val="both"/>
        <w:rPr>
          <w:rFonts w:ascii="Palatino Linotype" w:hAnsi="Palatino Linotype" w:cs="Tahoma"/>
          <w:bCs/>
          <w:sz w:val="22"/>
          <w:szCs w:val="22"/>
        </w:rPr>
      </w:pPr>
      <w:r>
        <w:rPr>
          <w:rFonts w:ascii="Palatino Linotype" w:hAnsi="Palatino Linotype" w:cs="Tahoma"/>
          <w:b/>
          <w:sz w:val="22"/>
          <w:szCs w:val="22"/>
        </w:rPr>
        <w:t>d</w:t>
      </w:r>
      <w:r w:rsidRPr="002F21F7">
        <w:rPr>
          <w:rFonts w:ascii="Palatino Linotype" w:hAnsi="Palatino Linotype" w:cs="Tahoma"/>
          <w:b/>
          <w:sz w:val="22"/>
          <w:szCs w:val="22"/>
        </w:rPr>
        <w:t>) Ampliación de plazo para resolver.</w:t>
      </w:r>
      <w:r w:rsidRPr="002F21F7">
        <w:rPr>
          <w:rFonts w:ascii="Palatino Linotype" w:hAnsi="Palatino Linotype" w:cs="Tahoma"/>
          <w:bCs/>
          <w:sz w:val="22"/>
          <w:szCs w:val="22"/>
        </w:rPr>
        <w:t xml:space="preserve"> El </w:t>
      </w:r>
      <w:r>
        <w:rPr>
          <w:rFonts w:ascii="Palatino Linotype" w:hAnsi="Palatino Linotype" w:cs="Tahoma"/>
          <w:bCs/>
          <w:sz w:val="22"/>
          <w:szCs w:val="22"/>
        </w:rPr>
        <w:t>veintiséis</w:t>
      </w:r>
      <w:r w:rsidRPr="002F21F7">
        <w:rPr>
          <w:rFonts w:ascii="Palatino Linotype" w:hAnsi="Palatino Linotype" w:cs="Tahoma"/>
          <w:bCs/>
          <w:sz w:val="22"/>
          <w:szCs w:val="22"/>
        </w:rPr>
        <w:t xml:space="preserve"> de abril de dos mil veintidós, el</w:t>
      </w:r>
      <w:r>
        <w:rPr>
          <w:rFonts w:ascii="Palatino Linotype" w:hAnsi="Palatino Linotype" w:cs="Tahoma"/>
          <w:bCs/>
          <w:sz w:val="22"/>
          <w:szCs w:val="22"/>
        </w:rPr>
        <w:t xml:space="preserve"> </w:t>
      </w:r>
      <w:r w:rsidRPr="002F21F7">
        <w:rPr>
          <w:rFonts w:ascii="Palatino Linotype" w:hAnsi="Palatino Linotype" w:cs="Tahoma"/>
          <w:bCs/>
          <w:sz w:val="22"/>
          <w:szCs w:val="22"/>
        </w:rPr>
        <w:t>Comisionado Ponente, con fundamento en lo dispuesto por el artículo 181, párrafo tercero,</w:t>
      </w:r>
      <w:r>
        <w:rPr>
          <w:rFonts w:ascii="Palatino Linotype" w:hAnsi="Palatino Linotype" w:cs="Tahoma"/>
          <w:bCs/>
          <w:sz w:val="22"/>
          <w:szCs w:val="22"/>
        </w:rPr>
        <w:t xml:space="preserve"> </w:t>
      </w:r>
      <w:r w:rsidRPr="002F21F7">
        <w:rPr>
          <w:rFonts w:ascii="Palatino Linotype" w:hAnsi="Palatino Linotype" w:cs="Tahoma"/>
          <w:bCs/>
          <w:sz w:val="22"/>
          <w:szCs w:val="22"/>
        </w:rPr>
        <w:t>de la Ley de Transparencia y Acceso a la Información Pública del Estado de México y</w:t>
      </w:r>
      <w:r>
        <w:rPr>
          <w:rFonts w:ascii="Palatino Linotype" w:hAnsi="Palatino Linotype" w:cs="Tahoma"/>
          <w:bCs/>
          <w:sz w:val="22"/>
          <w:szCs w:val="22"/>
        </w:rPr>
        <w:t xml:space="preserve"> </w:t>
      </w:r>
      <w:r w:rsidRPr="002F21F7">
        <w:rPr>
          <w:rFonts w:ascii="Palatino Linotype" w:hAnsi="Palatino Linotype" w:cs="Tahoma"/>
          <w:bCs/>
          <w:sz w:val="22"/>
          <w:szCs w:val="22"/>
        </w:rPr>
        <w:t>Municipios, acordó ampliar por un periodo de quince días hábiles, el plazo para resolver el</w:t>
      </w:r>
      <w:r>
        <w:rPr>
          <w:rFonts w:ascii="Palatino Linotype" w:hAnsi="Palatino Linotype" w:cs="Tahoma"/>
          <w:bCs/>
          <w:sz w:val="22"/>
          <w:szCs w:val="22"/>
        </w:rPr>
        <w:t xml:space="preserve"> </w:t>
      </w:r>
      <w:r w:rsidRPr="002F21F7">
        <w:rPr>
          <w:rFonts w:ascii="Palatino Linotype" w:hAnsi="Palatino Linotype" w:cs="Tahoma"/>
          <w:bCs/>
          <w:sz w:val="22"/>
          <w:szCs w:val="22"/>
        </w:rPr>
        <w:t>Recurso de Revisión que nos ocupa; acto que fue notificado a las partes, mediante el</w:t>
      </w:r>
      <w:r>
        <w:rPr>
          <w:rFonts w:ascii="Palatino Linotype" w:hAnsi="Palatino Linotype" w:cs="Tahoma"/>
          <w:bCs/>
          <w:sz w:val="22"/>
          <w:szCs w:val="22"/>
        </w:rPr>
        <w:t xml:space="preserve"> </w:t>
      </w:r>
      <w:r w:rsidRPr="002F21F7">
        <w:rPr>
          <w:rFonts w:ascii="Palatino Linotype" w:hAnsi="Palatino Linotype" w:cs="Tahoma"/>
          <w:bCs/>
          <w:sz w:val="22"/>
          <w:szCs w:val="22"/>
        </w:rPr>
        <w:t>Sistema de Acceso a la Información Mexiquense (SAIMEX).</w:t>
      </w:r>
    </w:p>
    <w:p w:rsidR="00885095" w:rsidP="00274839" w:rsidRDefault="00885095" w14:paraId="2132782A" w14:textId="77777777">
      <w:pPr>
        <w:spacing w:line="360" w:lineRule="auto"/>
        <w:jc w:val="both"/>
        <w:rPr>
          <w:rFonts w:ascii="Palatino Linotype" w:hAnsi="Palatino Linotype" w:cs="Tahoma"/>
          <w:b/>
          <w:bCs/>
          <w:sz w:val="22"/>
          <w:szCs w:val="22"/>
        </w:rPr>
      </w:pPr>
    </w:p>
    <w:p w:rsidRPr="00AA6887" w:rsidR="00AA6887" w:rsidP="00274839" w:rsidRDefault="00885095" w14:paraId="05EB4997" w14:textId="55CC5E8E">
      <w:pPr>
        <w:spacing w:line="360" w:lineRule="auto"/>
        <w:jc w:val="both"/>
        <w:rPr>
          <w:rFonts w:ascii="Palatino Linotype" w:hAnsi="Palatino Linotype" w:cs="Tahoma"/>
          <w:b/>
          <w:bCs/>
          <w:color w:val="000000"/>
          <w:sz w:val="22"/>
          <w:szCs w:val="22"/>
        </w:rPr>
      </w:pPr>
      <w:r>
        <w:rPr>
          <w:rFonts w:ascii="Palatino Linotype" w:hAnsi="Palatino Linotype" w:cs="Tahoma"/>
          <w:b/>
          <w:bCs/>
          <w:sz w:val="22"/>
          <w:szCs w:val="22"/>
        </w:rPr>
        <w:t>e</w:t>
      </w:r>
      <w:r w:rsidRPr="00AA6887" w:rsidR="00AA6887">
        <w:rPr>
          <w:rFonts w:ascii="Palatino Linotype" w:hAnsi="Palatino Linotype" w:cs="Tahoma"/>
          <w:b/>
          <w:bCs/>
          <w:sz w:val="22"/>
          <w:szCs w:val="22"/>
        </w:rPr>
        <w:t xml:space="preserve">) Vista del informe justificado. </w:t>
      </w:r>
      <w:r w:rsidRPr="00AA6887" w:rsidR="00AA6887">
        <w:rPr>
          <w:rFonts w:ascii="Palatino Linotype" w:hAnsi="Palatino Linotype" w:cs="Tahoma"/>
          <w:sz w:val="22"/>
          <w:szCs w:val="22"/>
        </w:rPr>
        <w:t xml:space="preserve">El </w:t>
      </w:r>
      <w:r w:rsidR="00F20A43">
        <w:rPr>
          <w:rFonts w:ascii="Palatino Linotype" w:hAnsi="Palatino Linotype" w:cs="Tahoma"/>
          <w:sz w:val="22"/>
          <w:szCs w:val="22"/>
        </w:rPr>
        <w:t>once</w:t>
      </w:r>
      <w:r w:rsidRPr="00AA6887" w:rsidR="00AA6887">
        <w:rPr>
          <w:rFonts w:ascii="Palatino Linotype" w:hAnsi="Palatino Linotype" w:cs="Tahoma"/>
          <w:sz w:val="22"/>
          <w:szCs w:val="22"/>
        </w:rPr>
        <w:t xml:space="preserve"> de ma</w:t>
      </w:r>
      <w:r w:rsidR="00F20A43">
        <w:rPr>
          <w:rFonts w:ascii="Palatino Linotype" w:hAnsi="Palatino Linotype" w:cs="Tahoma"/>
          <w:sz w:val="22"/>
          <w:szCs w:val="22"/>
        </w:rPr>
        <w:t>y</w:t>
      </w:r>
      <w:r w:rsidRPr="00AA6887" w:rsidR="00AA6887">
        <w:rPr>
          <w:rFonts w:ascii="Palatino Linotype" w:hAnsi="Palatino Linotype" w:cs="Tahoma"/>
          <w:sz w:val="22"/>
          <w:szCs w:val="22"/>
        </w:rPr>
        <w:t xml:space="preserve">o de dos mil veintidós, se dictó acuerdo mediante el cual </w:t>
      </w:r>
      <w:r w:rsidRPr="00AA6887" w:rsidR="00AA6887">
        <w:rPr>
          <w:rFonts w:ascii="Palatino Linotype" w:hAnsi="Palatino Linotype" w:cs="Tahoma"/>
          <w:bCs/>
          <w:sz w:val="22"/>
          <w:szCs w:val="22"/>
        </w:rPr>
        <w:t>se puso a la vista del Particular el Informe Justificado</w:t>
      </w:r>
      <w:r w:rsidRPr="00AA6887" w:rsidR="00AA6887">
        <w:rPr>
          <w:rFonts w:ascii="Palatino Linotype" w:hAnsi="Palatino Linotype" w:cs="Tahoma"/>
          <w:sz w:val="22"/>
          <w:szCs w:val="22"/>
        </w:rPr>
        <w:t xml:space="preserve"> entregado por el Sujeto Obligado, el cual fue notificado, a través del Sistema de Acceso a la Información Mexiquense (SAIMEX), el mismo </w:t>
      </w:r>
      <w:r w:rsidR="00F20A43">
        <w:rPr>
          <w:rFonts w:ascii="Palatino Linotype" w:hAnsi="Palatino Linotype" w:cs="Tahoma"/>
          <w:sz w:val="22"/>
          <w:szCs w:val="22"/>
        </w:rPr>
        <w:t>día</w:t>
      </w:r>
      <w:r w:rsidRPr="00AA6887" w:rsidR="00AA6887">
        <w:rPr>
          <w:rFonts w:ascii="Palatino Linotype" w:hAnsi="Palatino Linotype" w:cs="Tahoma"/>
          <w:sz w:val="22"/>
          <w:szCs w:val="22"/>
        </w:rPr>
        <w:t xml:space="preserve">. </w:t>
      </w:r>
      <w:r w:rsidRPr="00AA6887" w:rsidR="00AA6887">
        <w:rPr>
          <w:rFonts w:ascii="Palatino Linotype" w:hAnsi="Palatino Linotype" w:cs="Tahoma"/>
          <w:b/>
          <w:bCs/>
          <w:color w:val="000000"/>
          <w:sz w:val="22"/>
          <w:szCs w:val="22"/>
        </w:rPr>
        <w:t>Cabe señalar que la parte Recurrente fue omisa en emitir manifestaciones.</w:t>
      </w:r>
    </w:p>
    <w:p w:rsidRPr="00D86214" w:rsidR="005864BF" w:rsidP="00274839" w:rsidRDefault="005864BF" w14:paraId="61477C3C" w14:textId="77777777">
      <w:pPr>
        <w:spacing w:line="360" w:lineRule="auto"/>
        <w:jc w:val="both"/>
        <w:rPr>
          <w:rFonts w:ascii="Palatino Linotype" w:hAnsi="Palatino Linotype" w:cs="Tahoma"/>
          <w:bCs/>
          <w:sz w:val="22"/>
          <w:szCs w:val="22"/>
        </w:rPr>
      </w:pPr>
    </w:p>
    <w:p w:rsidRPr="000B7ED7" w:rsidR="00836192" w:rsidP="00274839" w:rsidRDefault="00AA6887" w14:paraId="7C191B6E" w14:textId="25855F39">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f</w:t>
      </w:r>
      <w:r w:rsidRPr="000B7ED7" w:rsidR="00836192">
        <w:rPr>
          <w:rFonts w:ascii="Palatino Linotype" w:hAnsi="Palatino Linotype" w:cs="Tahoma"/>
          <w:b/>
          <w:sz w:val="22"/>
          <w:szCs w:val="22"/>
        </w:rPr>
        <w:t>) Cierre de instrucción.</w:t>
      </w:r>
      <w:r w:rsidRPr="000B7ED7" w:rsidR="00836192">
        <w:rPr>
          <w:rFonts w:ascii="Palatino Linotype" w:hAnsi="Palatino Linotype" w:cs="Tahoma"/>
          <w:sz w:val="22"/>
          <w:szCs w:val="22"/>
        </w:rPr>
        <w:t xml:space="preserve"> El </w:t>
      </w:r>
      <w:r w:rsidR="00C220C8">
        <w:rPr>
          <w:rFonts w:ascii="Palatino Linotype" w:hAnsi="Palatino Linotype" w:cs="Tahoma"/>
          <w:sz w:val="22"/>
          <w:szCs w:val="22"/>
        </w:rPr>
        <w:t>dieci</w:t>
      </w:r>
      <w:r w:rsidR="00D8045B">
        <w:rPr>
          <w:rFonts w:ascii="Palatino Linotype" w:hAnsi="Palatino Linotype" w:cs="Tahoma"/>
          <w:sz w:val="22"/>
          <w:szCs w:val="22"/>
        </w:rPr>
        <w:t>s</w:t>
      </w:r>
      <w:r w:rsidR="00C220C8">
        <w:rPr>
          <w:rFonts w:ascii="Palatino Linotype" w:hAnsi="Palatino Linotype" w:cs="Tahoma"/>
          <w:sz w:val="22"/>
          <w:szCs w:val="22"/>
        </w:rPr>
        <w:t>é</w:t>
      </w:r>
      <w:r w:rsidR="00D8045B">
        <w:rPr>
          <w:rFonts w:ascii="Palatino Linotype" w:hAnsi="Palatino Linotype" w:cs="Tahoma"/>
          <w:sz w:val="22"/>
          <w:szCs w:val="22"/>
        </w:rPr>
        <w:t xml:space="preserve">is de mayo </w:t>
      </w:r>
      <w:r w:rsidRPr="00D86214" w:rsidR="00D86214">
        <w:rPr>
          <w:rFonts w:ascii="Palatino Linotype" w:hAnsi="Palatino Linotype" w:cs="Tahoma"/>
          <w:sz w:val="22"/>
          <w:szCs w:val="22"/>
        </w:rPr>
        <w:t xml:space="preserve"> de dos mil veintidós</w:t>
      </w:r>
      <w:r w:rsidRPr="000B7ED7" w:rsidR="00836192">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w:t>
      </w:r>
      <w:r w:rsidRPr="000B7ED7" w:rsidR="00836192">
        <w:rPr>
          <w:rFonts w:ascii="Palatino Linotype" w:hAnsi="Palatino Linotype" w:cs="Tahoma"/>
          <w:sz w:val="22"/>
          <w:szCs w:val="22"/>
        </w:rPr>
        <w:lastRenderedPageBreak/>
        <w:t xml:space="preserve">los artículos 185, fracciones VI y VIII de la Ley de Transparencia y Acceso a la Información Pública del Estado de México y Municipios, mismo que fue notificado a las partes el mismo día, a través del </w:t>
      </w:r>
      <w:r w:rsidRPr="000B7ED7" w:rsidR="00836192">
        <w:rPr>
          <w:rFonts w:ascii="Palatino Linotype" w:hAnsi="Palatino Linotype" w:cs="Tahoma"/>
          <w:sz w:val="22"/>
          <w:szCs w:val="22"/>
          <w:lang w:val="es-ES"/>
        </w:rPr>
        <w:t>Sistema de Acceso a la Información Mexiquense (SAIMEX)</w:t>
      </w:r>
      <w:r w:rsidRPr="000B7ED7" w:rsidR="00836192">
        <w:rPr>
          <w:rFonts w:ascii="Palatino Linotype" w:hAnsi="Palatino Linotype" w:cs="Tahoma"/>
          <w:sz w:val="22"/>
          <w:szCs w:val="22"/>
        </w:rPr>
        <w:t>.</w:t>
      </w:r>
    </w:p>
    <w:p w:rsidRPr="000B7ED7" w:rsidR="00836192" w:rsidP="00274839" w:rsidRDefault="00836192" w14:paraId="6A3E3595" w14:textId="77777777">
      <w:pPr>
        <w:autoSpaceDE w:val="0"/>
        <w:autoSpaceDN w:val="0"/>
        <w:adjustRightInd w:val="0"/>
        <w:spacing w:line="360" w:lineRule="auto"/>
        <w:jc w:val="both"/>
        <w:rPr>
          <w:rFonts w:ascii="Palatino Linotype" w:hAnsi="Palatino Linotype" w:cs="Tahoma"/>
          <w:b/>
          <w:sz w:val="22"/>
          <w:szCs w:val="22"/>
          <w:lang w:val="es-ES"/>
        </w:rPr>
      </w:pPr>
    </w:p>
    <w:p w:rsidRPr="000B7ED7" w:rsidR="00836192" w:rsidP="00274839" w:rsidRDefault="00836192" w14:paraId="6F9A813F" w14:textId="77777777">
      <w:pPr>
        <w:spacing w:line="360" w:lineRule="auto"/>
        <w:jc w:val="both"/>
        <w:rPr>
          <w:rFonts w:ascii="Palatino Linotype" w:hAnsi="Palatino Linotype" w:cs="Tahoma"/>
          <w:color w:val="000000"/>
          <w:sz w:val="22"/>
          <w:szCs w:val="22"/>
        </w:rPr>
      </w:pPr>
      <w:r w:rsidRPr="000B7ED7">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rsidRPr="000B7ED7" w:rsidR="00836192" w:rsidP="00274839" w:rsidRDefault="00836192" w14:paraId="155D5237" w14:textId="77777777">
      <w:pPr>
        <w:spacing w:line="360" w:lineRule="auto"/>
        <w:jc w:val="center"/>
        <w:rPr>
          <w:rFonts w:ascii="Palatino Linotype" w:hAnsi="Palatino Linotype" w:cs="Tahoma"/>
          <w:b/>
          <w:sz w:val="22"/>
          <w:szCs w:val="22"/>
        </w:rPr>
      </w:pPr>
    </w:p>
    <w:p w:rsidRPr="00375C9E" w:rsidR="00C61EE1" w:rsidP="00274839" w:rsidRDefault="00C61EE1" w14:paraId="7BBD7C81" w14:textId="77777777">
      <w:pPr>
        <w:spacing w:line="360" w:lineRule="auto"/>
        <w:jc w:val="center"/>
        <w:rPr>
          <w:rFonts w:ascii="Palatino Linotype" w:hAnsi="Palatino Linotype" w:cs="Tahoma"/>
          <w:b/>
          <w:sz w:val="22"/>
          <w:szCs w:val="22"/>
        </w:rPr>
      </w:pPr>
      <w:r w:rsidRPr="00375C9E">
        <w:rPr>
          <w:rFonts w:ascii="Palatino Linotype" w:hAnsi="Palatino Linotype" w:cs="Tahoma"/>
          <w:b/>
          <w:sz w:val="22"/>
          <w:szCs w:val="22"/>
        </w:rPr>
        <w:t>C O N S I D E R A N D O S</w:t>
      </w:r>
    </w:p>
    <w:p w:rsidRPr="00375C9E" w:rsidR="00C61EE1" w:rsidP="00274839" w:rsidRDefault="00C61EE1" w14:paraId="2F5E6BA2" w14:textId="77777777">
      <w:pPr>
        <w:spacing w:line="360" w:lineRule="auto"/>
        <w:rPr>
          <w:rFonts w:ascii="Palatino Linotype" w:hAnsi="Palatino Linotype" w:cs="Tahoma"/>
          <w:b/>
          <w:sz w:val="22"/>
          <w:szCs w:val="22"/>
        </w:rPr>
      </w:pPr>
    </w:p>
    <w:p w:rsidRPr="00375C9E" w:rsidR="00C61EE1" w:rsidP="00274839" w:rsidRDefault="00C61EE1" w14:paraId="5453E89D" w14:textId="77777777">
      <w:pPr>
        <w:spacing w:line="360" w:lineRule="auto"/>
        <w:jc w:val="both"/>
        <w:rPr>
          <w:rFonts w:ascii="Palatino Linotype" w:hAnsi="Palatino Linotype" w:eastAsia="Batang" w:cs="Tahoma"/>
          <w:b/>
          <w:bCs/>
          <w:sz w:val="22"/>
          <w:szCs w:val="22"/>
        </w:rPr>
      </w:pPr>
      <w:r w:rsidRPr="00375C9E">
        <w:rPr>
          <w:rFonts w:ascii="Palatino Linotype" w:hAnsi="Palatino Linotype" w:eastAsia="Batang" w:cs="Tahoma"/>
          <w:b/>
          <w:bCs/>
          <w:sz w:val="22"/>
          <w:szCs w:val="22"/>
        </w:rPr>
        <w:t xml:space="preserve">PRIMERO. Competencia. </w:t>
      </w:r>
    </w:p>
    <w:p w:rsidRPr="00375C9E" w:rsidR="00C61EE1" w:rsidP="00274839" w:rsidRDefault="00C61EE1" w14:paraId="320FA2CE" w14:textId="77777777">
      <w:pPr>
        <w:spacing w:line="360" w:lineRule="auto"/>
        <w:jc w:val="both"/>
        <w:rPr>
          <w:rFonts w:ascii="Palatino Linotype" w:hAnsi="Palatino Linotype" w:eastAsia="Batang" w:cs="Tahoma"/>
          <w:b/>
          <w:bCs/>
          <w:sz w:val="22"/>
          <w:szCs w:val="22"/>
        </w:rPr>
      </w:pPr>
    </w:p>
    <w:p w:rsidRPr="00375C9E" w:rsidR="00C61EE1" w:rsidP="00274839" w:rsidRDefault="00C61EE1" w14:paraId="1CE59586" w14:textId="77777777">
      <w:pPr>
        <w:spacing w:line="360" w:lineRule="auto"/>
        <w:jc w:val="both"/>
        <w:rPr>
          <w:rFonts w:ascii="Palatino Linotype" w:hAnsi="Palatino Linotype" w:cs="Tahoma"/>
          <w:bCs/>
          <w:sz w:val="22"/>
          <w:szCs w:val="22"/>
        </w:rPr>
      </w:pPr>
      <w:bookmarkStart w:name="_Hlk63334754" w:id="1"/>
      <w:r w:rsidRPr="00375C9E">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Pr>
          <w:rFonts w:ascii="Palatino Linotype" w:hAnsi="Palatino Linotype" w:cs="Tahoma"/>
          <w:bCs/>
          <w:sz w:val="22"/>
          <w:szCs w:val="22"/>
        </w:rPr>
        <w:t>trigésimo, trigésimo primero y trigésimo segundo</w:t>
      </w:r>
      <w:r w:rsidRPr="00375C9E">
        <w:rPr>
          <w:rFonts w:ascii="Palatino Linotype" w:hAnsi="Palatino Linotype" w:cs="Tahoma"/>
          <w:bCs/>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375C9E">
        <w:rPr>
          <w:rFonts w:ascii="Palatino Linotype" w:hAnsi="Palatino Linotype"/>
          <w:bCs/>
          <w:sz w:val="22"/>
          <w:szCs w:val="22"/>
        </w:rPr>
        <w:t xml:space="preserve"> 7°, </w:t>
      </w:r>
      <w:r w:rsidRPr="00375C9E">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p>
    <w:bookmarkEnd w:id="1"/>
    <w:p w:rsidRPr="00375C9E" w:rsidR="00C61EE1" w:rsidP="00274839" w:rsidRDefault="00C61EE1" w14:paraId="2EA6039B" w14:textId="77777777">
      <w:pPr>
        <w:spacing w:line="360" w:lineRule="auto"/>
        <w:jc w:val="both"/>
        <w:rPr>
          <w:rFonts w:ascii="Palatino Linotype" w:hAnsi="Palatino Linotype" w:eastAsia="Calibri" w:cs="Tahoma"/>
          <w:bCs/>
          <w:color w:val="000000"/>
          <w:sz w:val="22"/>
          <w:szCs w:val="22"/>
          <w:lang w:eastAsia="es-ES_tradnl"/>
        </w:rPr>
      </w:pPr>
    </w:p>
    <w:p w:rsidRPr="0084610A" w:rsidR="00C61EE1" w:rsidP="00274839" w:rsidRDefault="00C61EE1" w14:paraId="31E5278D" w14:textId="77777777">
      <w:pPr>
        <w:spacing w:line="360" w:lineRule="auto"/>
        <w:jc w:val="both"/>
        <w:rPr>
          <w:rFonts w:ascii="Palatino Linotype" w:hAnsi="Palatino Linotype" w:cs="Tahoma"/>
          <w:b/>
          <w:bCs/>
          <w:sz w:val="22"/>
          <w:szCs w:val="24"/>
          <w:lang w:val="es-ES"/>
        </w:rPr>
      </w:pPr>
      <w:r w:rsidRPr="0084610A">
        <w:rPr>
          <w:rFonts w:ascii="Palatino Linotype" w:hAnsi="Palatino Linotype" w:eastAsia="Calibri" w:cs="Tahoma"/>
          <w:b/>
          <w:color w:val="000000"/>
          <w:sz w:val="22"/>
          <w:szCs w:val="24"/>
          <w:lang w:val="es-ES" w:eastAsia="es-MX"/>
        </w:rPr>
        <w:t>SEGUNDO</w:t>
      </w:r>
      <w:r w:rsidRPr="0084610A">
        <w:rPr>
          <w:rFonts w:ascii="Palatino Linotype" w:hAnsi="Palatino Linotype" w:eastAsia="Calibri" w:cs="Tahoma"/>
          <w:color w:val="000000"/>
          <w:sz w:val="22"/>
          <w:szCs w:val="24"/>
          <w:lang w:val="es-ES" w:eastAsia="es-MX"/>
        </w:rPr>
        <w:t xml:space="preserve">. </w:t>
      </w:r>
      <w:r w:rsidRPr="0084610A">
        <w:rPr>
          <w:rFonts w:ascii="Palatino Linotype" w:hAnsi="Palatino Linotype" w:cs="Tahoma"/>
          <w:b/>
          <w:bCs/>
          <w:sz w:val="22"/>
          <w:szCs w:val="24"/>
          <w:lang w:val="es-ES"/>
        </w:rPr>
        <w:t>Causales de improcedencia.</w:t>
      </w:r>
    </w:p>
    <w:p w:rsidRPr="0084610A" w:rsidR="00C61EE1" w:rsidP="00274839" w:rsidRDefault="00C61EE1" w14:paraId="3F2B28AF" w14:textId="77777777">
      <w:pPr>
        <w:spacing w:line="360" w:lineRule="auto"/>
        <w:jc w:val="both"/>
        <w:rPr>
          <w:rFonts w:ascii="Palatino Linotype" w:hAnsi="Palatino Linotype" w:cs="Tahoma"/>
          <w:sz w:val="22"/>
          <w:szCs w:val="24"/>
          <w:lang w:val="es-ES"/>
        </w:rPr>
      </w:pPr>
    </w:p>
    <w:p w:rsidRPr="0084610A" w:rsidR="00C61EE1" w:rsidP="00274839" w:rsidRDefault="00C61EE1" w14:paraId="75C4A0F4" w14:textId="77777777">
      <w:pPr>
        <w:spacing w:line="360" w:lineRule="auto"/>
        <w:jc w:val="both"/>
        <w:rPr>
          <w:rFonts w:ascii="Palatino Linotype" w:hAnsi="Palatino Linotype" w:cs="Tahoma"/>
          <w:sz w:val="22"/>
          <w:szCs w:val="24"/>
          <w:lang w:val="es-ES"/>
        </w:rPr>
      </w:pPr>
      <w:r w:rsidRPr="0084610A">
        <w:rPr>
          <w:rFonts w:ascii="Palatino Linotype" w:hAnsi="Palatino Linotype" w:cs="Tahoma"/>
          <w:sz w:val="22"/>
          <w:szCs w:val="24"/>
          <w:lang w:val="es-ES"/>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84610A" w:rsidR="00C61EE1" w:rsidP="00274839" w:rsidRDefault="00C61EE1" w14:paraId="135FB99D" w14:textId="77777777">
      <w:pPr>
        <w:spacing w:line="360" w:lineRule="auto"/>
        <w:jc w:val="both"/>
        <w:rPr>
          <w:rFonts w:ascii="Palatino Linotype" w:hAnsi="Palatino Linotype" w:cs="Tahoma"/>
          <w:sz w:val="22"/>
          <w:szCs w:val="24"/>
          <w:lang w:val="es-ES"/>
        </w:rPr>
      </w:pPr>
    </w:p>
    <w:p w:rsidRPr="0084610A" w:rsidR="00C61EE1" w:rsidP="00274839" w:rsidRDefault="00C61EE1" w14:paraId="5A607102" w14:textId="77777777">
      <w:pPr>
        <w:spacing w:line="360" w:lineRule="auto"/>
        <w:jc w:val="both"/>
        <w:rPr>
          <w:rFonts w:ascii="Palatino Linotype" w:hAnsi="Palatino Linotype" w:cs="Tahoma"/>
          <w:sz w:val="22"/>
          <w:szCs w:val="24"/>
          <w:lang w:val="es-ES"/>
        </w:rPr>
      </w:pPr>
      <w:r w:rsidRPr="0084610A">
        <w:rPr>
          <w:rFonts w:ascii="Palatino Linotype" w:hAnsi="Palatino Linotype" w:cs="Tahoma"/>
          <w:sz w:val="22"/>
          <w:szCs w:val="24"/>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rsidRPr="0084610A" w:rsidR="00C61EE1" w:rsidP="00274839" w:rsidRDefault="00C61EE1" w14:paraId="40DC43AD" w14:textId="77777777">
      <w:pPr>
        <w:spacing w:line="360" w:lineRule="auto"/>
        <w:jc w:val="both"/>
        <w:rPr>
          <w:rFonts w:ascii="Palatino Linotype" w:hAnsi="Palatino Linotype" w:cs="Tahoma"/>
          <w:sz w:val="22"/>
          <w:szCs w:val="24"/>
          <w:lang w:val="es-ES"/>
        </w:rPr>
      </w:pPr>
    </w:p>
    <w:p w:rsidR="00C61EE1" w:rsidP="00274839" w:rsidRDefault="00C61EE1" w14:paraId="5D1D178B" w14:textId="66FBA901">
      <w:pPr>
        <w:spacing w:line="360" w:lineRule="auto"/>
        <w:jc w:val="both"/>
        <w:rPr>
          <w:rFonts w:ascii="Palatino Linotype" w:hAnsi="Palatino Linotype" w:cs="Tahoma"/>
          <w:sz w:val="22"/>
          <w:szCs w:val="24"/>
          <w:lang w:val="es-ES"/>
        </w:rPr>
      </w:pPr>
      <w:r w:rsidRPr="0084610A">
        <w:rPr>
          <w:rFonts w:ascii="Palatino Linotype" w:hAnsi="Palatino Linotype" w:cs="Tahoma"/>
          <w:sz w:val="22"/>
          <w:szCs w:val="24"/>
          <w:lang w:val="es-ES"/>
        </w:rPr>
        <w:t>Asimismo, se actualiza</w:t>
      </w:r>
      <w:r w:rsidR="00B03886">
        <w:rPr>
          <w:rFonts w:ascii="Palatino Linotype" w:hAnsi="Palatino Linotype" w:cs="Tahoma"/>
          <w:sz w:val="22"/>
          <w:szCs w:val="24"/>
          <w:lang w:val="es-ES"/>
        </w:rPr>
        <w:t>n</w:t>
      </w:r>
      <w:r w:rsidRPr="0084610A">
        <w:rPr>
          <w:rFonts w:ascii="Palatino Linotype" w:hAnsi="Palatino Linotype" w:cs="Tahoma"/>
          <w:sz w:val="22"/>
          <w:szCs w:val="24"/>
          <w:lang w:val="es-ES"/>
        </w:rPr>
        <w:t xml:space="preserve"> la</w:t>
      </w:r>
      <w:r w:rsidR="00B03886">
        <w:rPr>
          <w:rFonts w:ascii="Palatino Linotype" w:hAnsi="Palatino Linotype" w:cs="Tahoma"/>
          <w:sz w:val="22"/>
          <w:szCs w:val="24"/>
          <w:lang w:val="es-ES"/>
        </w:rPr>
        <w:t>s</w:t>
      </w:r>
      <w:r w:rsidRPr="0084610A">
        <w:rPr>
          <w:rFonts w:ascii="Palatino Linotype" w:hAnsi="Palatino Linotype" w:cs="Tahoma"/>
          <w:sz w:val="22"/>
          <w:szCs w:val="24"/>
          <w:lang w:val="es-ES"/>
        </w:rPr>
        <w:t xml:space="preserve"> causal</w:t>
      </w:r>
      <w:r w:rsidR="00B03886">
        <w:rPr>
          <w:rFonts w:ascii="Palatino Linotype" w:hAnsi="Palatino Linotype" w:cs="Tahoma"/>
          <w:sz w:val="22"/>
          <w:szCs w:val="24"/>
          <w:lang w:val="es-ES"/>
        </w:rPr>
        <w:t>es</w:t>
      </w:r>
      <w:r w:rsidRPr="0084610A">
        <w:rPr>
          <w:rFonts w:ascii="Palatino Linotype" w:hAnsi="Palatino Linotype" w:cs="Tahoma"/>
          <w:sz w:val="22"/>
          <w:szCs w:val="24"/>
          <w:lang w:val="es-ES"/>
        </w:rPr>
        <w:t xml:space="preserve"> de procedencia del Recurso de Revisión </w:t>
      </w:r>
      <w:r>
        <w:rPr>
          <w:rFonts w:ascii="Palatino Linotype" w:hAnsi="Palatino Linotype" w:cs="Tahoma"/>
          <w:sz w:val="22"/>
          <w:szCs w:val="24"/>
          <w:lang w:val="es-ES"/>
        </w:rPr>
        <w:t>establecida</w:t>
      </w:r>
      <w:r w:rsidR="00B03886">
        <w:rPr>
          <w:rFonts w:ascii="Palatino Linotype" w:hAnsi="Palatino Linotype" w:cs="Tahoma"/>
          <w:sz w:val="22"/>
          <w:szCs w:val="24"/>
          <w:lang w:val="es-ES"/>
        </w:rPr>
        <w:t>s</w:t>
      </w:r>
      <w:r w:rsidRPr="0084610A">
        <w:rPr>
          <w:rFonts w:ascii="Palatino Linotype" w:hAnsi="Palatino Linotype" w:cs="Tahoma"/>
          <w:sz w:val="22"/>
          <w:szCs w:val="24"/>
          <w:lang w:val="es-ES"/>
        </w:rPr>
        <w:t xml:space="preserve"> en el artículo 179, fracci</w:t>
      </w:r>
      <w:r w:rsidR="00274839">
        <w:rPr>
          <w:rFonts w:ascii="Palatino Linotype" w:hAnsi="Palatino Linotype" w:cs="Tahoma"/>
          <w:sz w:val="22"/>
          <w:szCs w:val="24"/>
          <w:lang w:val="es-ES"/>
        </w:rPr>
        <w:t>ón</w:t>
      </w:r>
      <w:r w:rsidR="00B03886">
        <w:rPr>
          <w:rFonts w:ascii="Palatino Linotype" w:hAnsi="Palatino Linotype" w:cs="Tahoma"/>
          <w:sz w:val="22"/>
          <w:szCs w:val="24"/>
          <w:lang w:val="es-ES"/>
        </w:rPr>
        <w:t xml:space="preserve"> V</w:t>
      </w:r>
      <w:r w:rsidRPr="0084610A">
        <w:rPr>
          <w:rFonts w:ascii="Palatino Linotype" w:hAnsi="Palatino Linotype" w:cs="Tahoma"/>
          <w:sz w:val="22"/>
          <w:szCs w:val="24"/>
          <w:lang w:val="es-ES"/>
        </w:rPr>
        <w:t xml:space="preserve">, </w:t>
      </w:r>
      <w:r w:rsidRPr="006E19AF">
        <w:rPr>
          <w:rFonts w:ascii="Palatino Linotype" w:hAnsi="Palatino Linotype" w:cs="Tahoma"/>
          <w:sz w:val="22"/>
          <w:szCs w:val="24"/>
          <w:lang w:val="es-ES"/>
        </w:rPr>
        <w:t>de la Ley de Transparencia y Acceso a la</w:t>
      </w:r>
      <w:r>
        <w:rPr>
          <w:rFonts w:ascii="Palatino Linotype" w:hAnsi="Palatino Linotype" w:cs="Tahoma"/>
          <w:sz w:val="22"/>
          <w:szCs w:val="24"/>
          <w:lang w:val="es-ES"/>
        </w:rPr>
        <w:t xml:space="preserve"> </w:t>
      </w:r>
      <w:r w:rsidRPr="006E19AF">
        <w:rPr>
          <w:rFonts w:ascii="Palatino Linotype" w:hAnsi="Palatino Linotype" w:cs="Tahoma"/>
          <w:sz w:val="22"/>
          <w:szCs w:val="24"/>
          <w:lang w:val="es-ES"/>
        </w:rPr>
        <w:t>Información Pública del Estado de México y Municipios</w:t>
      </w:r>
      <w:r>
        <w:rPr>
          <w:rFonts w:ascii="Palatino Linotype" w:hAnsi="Palatino Linotype" w:cs="Tahoma"/>
          <w:sz w:val="22"/>
          <w:szCs w:val="24"/>
          <w:lang w:val="es-ES"/>
        </w:rPr>
        <w:t xml:space="preserve">, referente a la </w:t>
      </w:r>
      <w:r w:rsidR="00B03886">
        <w:rPr>
          <w:rFonts w:ascii="Palatino Linotype" w:hAnsi="Palatino Linotype" w:cs="Tahoma"/>
          <w:sz w:val="22"/>
          <w:szCs w:val="24"/>
          <w:lang w:val="es-ES"/>
        </w:rPr>
        <w:t>en</w:t>
      </w:r>
      <w:r w:rsidR="00274839">
        <w:rPr>
          <w:rFonts w:ascii="Palatino Linotype" w:hAnsi="Palatino Linotype" w:cs="Tahoma"/>
          <w:sz w:val="22"/>
          <w:szCs w:val="24"/>
          <w:lang w:val="es-ES"/>
        </w:rPr>
        <w:t>trega de información incompleta.</w:t>
      </w:r>
    </w:p>
    <w:p w:rsidRPr="0084610A" w:rsidR="00C61EE1" w:rsidP="00274839" w:rsidRDefault="00C61EE1" w14:paraId="401D0537" w14:textId="77777777">
      <w:pPr>
        <w:spacing w:line="360" w:lineRule="auto"/>
        <w:jc w:val="both"/>
        <w:rPr>
          <w:rFonts w:ascii="Palatino Linotype" w:hAnsi="Palatino Linotype" w:cs="Tahoma"/>
          <w:sz w:val="22"/>
          <w:szCs w:val="24"/>
          <w:lang w:val="es-ES"/>
        </w:rPr>
      </w:pPr>
    </w:p>
    <w:p w:rsidRPr="0084610A" w:rsidR="00C61EE1" w:rsidP="00274839" w:rsidRDefault="00C61EE1" w14:paraId="345DE107" w14:textId="77777777">
      <w:pPr>
        <w:spacing w:line="360" w:lineRule="auto"/>
        <w:jc w:val="both"/>
        <w:rPr>
          <w:rFonts w:ascii="Palatino Linotype" w:hAnsi="Palatino Linotype" w:cs="Tahoma"/>
          <w:b/>
          <w:bCs/>
          <w:sz w:val="22"/>
          <w:szCs w:val="24"/>
          <w:lang w:val="es-ES"/>
        </w:rPr>
      </w:pPr>
      <w:r w:rsidRPr="0084610A">
        <w:rPr>
          <w:rFonts w:ascii="Palatino Linotype" w:hAnsi="Palatino Linotype" w:cs="Tahoma"/>
          <w:b/>
          <w:bCs/>
          <w:sz w:val="22"/>
          <w:szCs w:val="24"/>
          <w:lang w:val="es-ES"/>
        </w:rPr>
        <w:t>TERCERO. Causales de sobreseimiento.</w:t>
      </w:r>
    </w:p>
    <w:p w:rsidRPr="0084610A" w:rsidR="00C61EE1" w:rsidP="00274839" w:rsidRDefault="00C61EE1" w14:paraId="108E9F6A" w14:textId="77777777">
      <w:pPr>
        <w:spacing w:line="360" w:lineRule="auto"/>
        <w:jc w:val="both"/>
        <w:rPr>
          <w:rFonts w:ascii="Palatino Linotype" w:hAnsi="Palatino Linotype" w:cs="Tahoma"/>
          <w:sz w:val="22"/>
          <w:szCs w:val="24"/>
          <w:lang w:val="es-ES"/>
        </w:rPr>
      </w:pPr>
      <w:r w:rsidRPr="0084610A">
        <w:rPr>
          <w:rFonts w:ascii="Palatino Linotype" w:hAnsi="Palatino Linotype" w:cs="Tahoma"/>
          <w:sz w:val="22"/>
          <w:szCs w:val="24"/>
          <w:lang w:val="es-ES"/>
        </w:rPr>
        <w:t xml:space="preserve"> </w:t>
      </w:r>
    </w:p>
    <w:p w:rsidRPr="00E837C8" w:rsidR="00E837C8" w:rsidP="00274839" w:rsidRDefault="00E837C8" w14:paraId="0A2CA81B" w14:textId="77777777">
      <w:pPr>
        <w:spacing w:line="360" w:lineRule="auto"/>
        <w:jc w:val="both"/>
        <w:rPr>
          <w:rFonts w:ascii="Palatino Linotype" w:hAnsi="Palatino Linotype" w:cs="Tahoma"/>
          <w:bCs/>
          <w:sz w:val="22"/>
          <w:szCs w:val="22"/>
        </w:rPr>
      </w:pPr>
      <w:r w:rsidRPr="00E837C8">
        <w:rPr>
          <w:rFonts w:ascii="Palatino Linotype" w:hAnsi="Palatino Linotype" w:cs="Tahoma"/>
          <w:bCs/>
          <w:sz w:val="22"/>
          <w:szCs w:val="22"/>
        </w:rPr>
        <w:t>Por ser de previo y especial pronunciamiento, este Instituto analiza si se actualiza alguna causal de sobreseimiento.</w:t>
      </w:r>
    </w:p>
    <w:p w:rsidRPr="00E837C8" w:rsidR="00E837C8" w:rsidP="00274839" w:rsidRDefault="00E837C8" w14:paraId="6E39D85E" w14:textId="77777777">
      <w:pPr>
        <w:spacing w:line="360" w:lineRule="auto"/>
        <w:jc w:val="both"/>
        <w:rPr>
          <w:rFonts w:ascii="Palatino Linotype" w:hAnsi="Palatino Linotype" w:cs="Tahoma"/>
          <w:bCs/>
          <w:sz w:val="22"/>
          <w:szCs w:val="22"/>
        </w:rPr>
      </w:pPr>
    </w:p>
    <w:p w:rsidRPr="00E837C8" w:rsidR="00E837C8" w:rsidP="00274839" w:rsidRDefault="00E837C8" w14:paraId="3C2E6FB5" w14:textId="77777777">
      <w:pPr>
        <w:spacing w:line="360" w:lineRule="auto"/>
        <w:jc w:val="both"/>
        <w:rPr>
          <w:rFonts w:ascii="Palatino Linotype" w:hAnsi="Palatino Linotype" w:cs="Tahoma"/>
          <w:bCs/>
          <w:sz w:val="22"/>
          <w:szCs w:val="22"/>
        </w:rPr>
      </w:pPr>
      <w:r w:rsidRPr="00E837C8">
        <w:rPr>
          <w:rFonts w:ascii="Palatino Linotype" w:hAnsi="Palatino Linotype" w:cs="Tahoma"/>
          <w:bCs/>
          <w:sz w:val="22"/>
          <w:szCs w:val="22"/>
        </w:rPr>
        <w:lastRenderedPageBreak/>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w:t>
      </w:r>
      <w:r w:rsidRPr="00E837C8">
        <w:rPr>
          <w:rFonts w:ascii="Palatino Linotype" w:hAnsi="Palatino Linotype" w:cs="Tahoma"/>
          <w:b/>
          <w:bCs/>
          <w:sz w:val="22"/>
          <w:szCs w:val="22"/>
        </w:rPr>
        <w:t>que no se actualizan los supuestos de sobreseimiento previstos en las fracciones I, II, IV y V</w:t>
      </w:r>
      <w:r w:rsidRPr="00E837C8">
        <w:rPr>
          <w:rFonts w:ascii="Palatino Linotype" w:hAnsi="Palatino Linotype" w:cs="Tahoma"/>
          <w:bCs/>
          <w:sz w:val="22"/>
          <w:szCs w:val="22"/>
        </w:rPr>
        <w:t xml:space="preserve">, del artículo en comento, lo anterior, en virtud de que no hay constancias en el expediente en que se actúa, de que la Recurrente se haya desistido del recurso, haya fallecido, o bien, se haya actualizado alguna causal de improcedencia. </w:t>
      </w:r>
    </w:p>
    <w:p w:rsidRPr="00E837C8" w:rsidR="00E837C8" w:rsidP="00274839" w:rsidRDefault="00E837C8" w14:paraId="5C803969" w14:textId="77777777">
      <w:pPr>
        <w:spacing w:line="360" w:lineRule="auto"/>
        <w:jc w:val="both"/>
        <w:rPr>
          <w:rFonts w:ascii="Palatino Linotype" w:hAnsi="Palatino Linotype" w:cs="Tahoma"/>
          <w:bCs/>
          <w:sz w:val="22"/>
          <w:szCs w:val="22"/>
        </w:rPr>
      </w:pPr>
    </w:p>
    <w:p w:rsidRPr="00E837C8" w:rsidR="00E837C8" w:rsidP="00274839" w:rsidRDefault="00E837C8" w14:paraId="3E275600" w14:textId="77777777">
      <w:pPr>
        <w:spacing w:line="360" w:lineRule="auto"/>
        <w:jc w:val="both"/>
        <w:rPr>
          <w:rFonts w:ascii="Palatino Linotype" w:hAnsi="Palatino Linotype" w:cs="Tahoma"/>
          <w:bCs/>
          <w:sz w:val="22"/>
          <w:szCs w:val="22"/>
        </w:rPr>
      </w:pPr>
      <w:r w:rsidRPr="00E837C8">
        <w:rPr>
          <w:rFonts w:ascii="Palatino Linotype" w:hAnsi="Palatino Linotype" w:cs="Tahoma"/>
          <w:bCs/>
          <w:sz w:val="22"/>
          <w:szCs w:val="22"/>
        </w:rPr>
        <w:t xml:space="preserve">No obstante, por lo que hace a la hipótesis prevista en la fracción III, del artículo 192 de la Ley de la Materia, a saber, que el Sujeto Obligado durante la sustanciación del Recurso de Revisión modifique su respuesta </w:t>
      </w:r>
    </w:p>
    <w:p w:rsidRPr="00E837C8" w:rsidR="00E837C8" w:rsidP="00274839" w:rsidRDefault="00E837C8" w14:paraId="061B0436" w14:textId="77777777">
      <w:pPr>
        <w:spacing w:line="360" w:lineRule="auto"/>
        <w:jc w:val="both"/>
        <w:rPr>
          <w:rFonts w:ascii="Palatino Linotype" w:hAnsi="Palatino Linotype" w:cs="Tahoma"/>
          <w:bCs/>
          <w:sz w:val="22"/>
          <w:szCs w:val="22"/>
        </w:rPr>
      </w:pPr>
    </w:p>
    <w:p w:rsidR="00E837C8" w:rsidP="00274839" w:rsidRDefault="00E837C8" w14:paraId="557D46A9" w14:textId="02BB3613">
      <w:pPr>
        <w:spacing w:line="360" w:lineRule="auto"/>
        <w:jc w:val="both"/>
        <w:rPr>
          <w:rFonts w:ascii="Palatino Linotype" w:hAnsi="Palatino Linotype" w:eastAsia="Calibri" w:cs="Tahoma"/>
          <w:color w:val="000000" w:themeColor="text1"/>
          <w:sz w:val="22"/>
          <w:szCs w:val="22"/>
          <w:lang w:eastAsia="en-US"/>
        </w:rPr>
      </w:pPr>
      <w:r>
        <w:rPr>
          <w:rFonts w:ascii="Palatino Linotype" w:hAnsi="Palatino Linotype" w:eastAsia="Calibri" w:cs="Tahoma"/>
          <w:color w:val="000000" w:themeColor="text1"/>
          <w:sz w:val="22"/>
          <w:szCs w:val="22"/>
          <w:lang w:eastAsia="en-US"/>
        </w:rPr>
        <w:t>En ese contexto</w:t>
      </w:r>
      <w:r w:rsidRPr="00E837C8">
        <w:rPr>
          <w:rFonts w:ascii="Palatino Linotype" w:hAnsi="Palatino Linotype" w:eastAsia="Calibri" w:cs="Tahoma"/>
          <w:color w:val="000000" w:themeColor="text1"/>
          <w:sz w:val="22"/>
          <w:szCs w:val="22"/>
          <w:lang w:eastAsia="en-US"/>
        </w:rPr>
        <w:t xml:space="preserve">, toda vez que durante la sustanciación del Recurso de Revisión 03166/INFOEM/IP/RR/2022, </w:t>
      </w:r>
      <w:r>
        <w:rPr>
          <w:rFonts w:ascii="Palatino Linotype" w:hAnsi="Palatino Linotype" w:eastAsia="Calibri" w:cs="Tahoma"/>
          <w:color w:val="000000" w:themeColor="text1"/>
          <w:sz w:val="22"/>
          <w:szCs w:val="22"/>
          <w:lang w:eastAsia="en-US"/>
        </w:rPr>
        <w:t>el</w:t>
      </w:r>
      <w:r w:rsidRPr="00E837C8">
        <w:rPr>
          <w:rFonts w:ascii="Palatino Linotype" w:hAnsi="Palatino Linotype" w:eastAsia="Calibri" w:cs="Tahoma"/>
          <w:color w:val="000000" w:themeColor="text1"/>
          <w:sz w:val="22"/>
          <w:szCs w:val="22"/>
          <w:lang w:eastAsia="en-US"/>
        </w:rPr>
        <w:t xml:space="preserve"> Ayuntamiento de Teotihuacán modificó su respuesta, a través del Informe Justificado, se estima procedente entrar al estudio de la causal de sobreseimiento prevista en la </w:t>
      </w:r>
      <w:r w:rsidRPr="00E837C8">
        <w:rPr>
          <w:rFonts w:ascii="Palatino Linotype" w:hAnsi="Palatino Linotype" w:eastAsia="Calibri" w:cs="Tahoma"/>
          <w:b/>
          <w:color w:val="000000" w:themeColor="text1"/>
          <w:sz w:val="22"/>
          <w:szCs w:val="22"/>
          <w:lang w:eastAsia="en-US"/>
        </w:rPr>
        <w:t>fracción III</w:t>
      </w:r>
      <w:r w:rsidRPr="00E837C8">
        <w:rPr>
          <w:rFonts w:ascii="Palatino Linotype" w:hAnsi="Palatino Linotype" w:eastAsia="Calibri" w:cs="Tahoma"/>
          <w:color w:val="000000" w:themeColor="text1"/>
          <w:sz w:val="22"/>
          <w:szCs w:val="22"/>
          <w:lang w:eastAsia="en-US"/>
        </w:rPr>
        <w:t xml:space="preserve"> del artículo 192 de la Ley de la Materia.</w:t>
      </w:r>
    </w:p>
    <w:p w:rsidRPr="00E837C8" w:rsidR="00E837C8" w:rsidP="00274839" w:rsidRDefault="00E837C8" w14:paraId="63161FA9" w14:textId="77777777">
      <w:pPr>
        <w:spacing w:line="360" w:lineRule="auto"/>
        <w:jc w:val="both"/>
        <w:rPr>
          <w:rFonts w:ascii="Palatino Linotype" w:hAnsi="Palatino Linotype" w:eastAsia="Calibri" w:cs="Tahoma"/>
          <w:color w:val="000000" w:themeColor="text1"/>
          <w:sz w:val="22"/>
          <w:szCs w:val="22"/>
          <w:lang w:eastAsia="en-US"/>
        </w:rPr>
      </w:pPr>
    </w:p>
    <w:p w:rsidR="00E837C8" w:rsidP="00274839" w:rsidRDefault="00E837C8" w14:paraId="420CA054" w14:textId="39E45726">
      <w:pPr>
        <w:spacing w:line="360" w:lineRule="auto"/>
        <w:jc w:val="both"/>
        <w:rPr>
          <w:rFonts w:ascii="Palatino Linotype" w:hAnsi="Palatino Linotype" w:cs="Tahoma"/>
          <w:bCs/>
          <w:sz w:val="22"/>
          <w:szCs w:val="22"/>
        </w:rPr>
      </w:pPr>
      <w:r w:rsidRPr="00E837C8">
        <w:rPr>
          <w:rFonts w:ascii="Palatino Linotype" w:hAnsi="Palatino Linotype" w:cs="Tahoma"/>
          <w:bCs/>
          <w:sz w:val="22"/>
          <w:szCs w:val="22"/>
        </w:rPr>
        <w:t>En razón de lo anterior, y con la finalidad de verificar si se actualiza la causal de sobreseimiento, es necesario recapitul</w:t>
      </w:r>
      <w:r w:rsidR="00DE4327">
        <w:rPr>
          <w:rFonts w:ascii="Palatino Linotype" w:hAnsi="Palatino Linotype" w:cs="Tahoma"/>
          <w:bCs/>
          <w:sz w:val="22"/>
          <w:szCs w:val="22"/>
        </w:rPr>
        <w:t>ar que el hoy Recurrente requirió los</w:t>
      </w:r>
      <w:r w:rsidRPr="00E837C8">
        <w:rPr>
          <w:rFonts w:ascii="Palatino Linotype" w:hAnsi="Palatino Linotype" w:cs="Tahoma"/>
          <w:bCs/>
          <w:sz w:val="22"/>
          <w:szCs w:val="22"/>
        </w:rPr>
        <w:t xml:space="preserve"> </w:t>
      </w:r>
      <w:r>
        <w:rPr>
          <w:rFonts w:ascii="Palatino Linotype" w:hAnsi="Palatino Linotype" w:cs="Tahoma"/>
          <w:bCs/>
          <w:sz w:val="22"/>
          <w:szCs w:val="22"/>
        </w:rPr>
        <w:t xml:space="preserve">certificados de competencia laboral, teléfono y correo institucional </w:t>
      </w:r>
      <w:r w:rsidR="00682FB5">
        <w:rPr>
          <w:rFonts w:ascii="Palatino Linotype" w:hAnsi="Palatino Linotype" w:cs="Tahoma"/>
          <w:bCs/>
          <w:sz w:val="22"/>
          <w:szCs w:val="22"/>
        </w:rPr>
        <w:t>de los siguientes servidores públicos:</w:t>
      </w:r>
    </w:p>
    <w:p w:rsidR="00682FB5" w:rsidP="00274839" w:rsidRDefault="00682FB5" w14:paraId="631A03D0" w14:textId="77777777">
      <w:pPr>
        <w:spacing w:line="360" w:lineRule="auto"/>
        <w:jc w:val="both"/>
        <w:rPr>
          <w:rFonts w:ascii="Palatino Linotype" w:hAnsi="Palatino Linotype" w:cs="Tahoma"/>
          <w:bCs/>
          <w:sz w:val="22"/>
          <w:szCs w:val="22"/>
        </w:rPr>
      </w:pPr>
    </w:p>
    <w:p w:rsidRPr="00FC1774" w:rsidR="00682FB5" w:rsidP="00274839" w:rsidRDefault="00682FB5" w14:paraId="3093471C" w14:textId="407775B2">
      <w:pPr>
        <w:pStyle w:val="Prrafodelista"/>
        <w:numPr>
          <w:ilvl w:val="0"/>
          <w:numId w:val="39"/>
        </w:numPr>
        <w:spacing w:line="360" w:lineRule="auto"/>
        <w:jc w:val="both"/>
        <w:rPr>
          <w:rFonts w:ascii="Palatino Linotype" w:hAnsi="Palatino Linotype" w:cs="Tahoma"/>
          <w:bCs/>
          <w:szCs w:val="22"/>
        </w:rPr>
      </w:pPr>
      <w:r w:rsidRPr="00FC1774">
        <w:rPr>
          <w:rFonts w:ascii="Palatino Linotype" w:hAnsi="Palatino Linotype" w:cs="Tahoma"/>
          <w:bCs/>
          <w:szCs w:val="22"/>
        </w:rPr>
        <w:t>Secretario del Ayuntamiento</w:t>
      </w:r>
      <w:r w:rsidR="00FC1774">
        <w:rPr>
          <w:rFonts w:ascii="Palatino Linotype" w:hAnsi="Palatino Linotype" w:cs="Tahoma"/>
          <w:bCs/>
          <w:szCs w:val="22"/>
        </w:rPr>
        <w:t>;</w:t>
      </w:r>
    </w:p>
    <w:p w:rsidRPr="00FC1774" w:rsidR="00682FB5" w:rsidP="00274839" w:rsidRDefault="00682FB5" w14:paraId="449D202B" w14:textId="41EB0508">
      <w:pPr>
        <w:pStyle w:val="Prrafodelista"/>
        <w:numPr>
          <w:ilvl w:val="0"/>
          <w:numId w:val="39"/>
        </w:numPr>
        <w:spacing w:line="360" w:lineRule="auto"/>
        <w:jc w:val="both"/>
        <w:rPr>
          <w:rFonts w:ascii="Palatino Linotype" w:hAnsi="Palatino Linotype" w:cs="Tahoma"/>
          <w:bCs/>
          <w:szCs w:val="22"/>
        </w:rPr>
      </w:pPr>
      <w:r w:rsidRPr="00FC1774">
        <w:rPr>
          <w:rFonts w:ascii="Palatino Linotype" w:hAnsi="Palatino Linotype" w:cs="Tahoma"/>
          <w:bCs/>
          <w:szCs w:val="22"/>
        </w:rPr>
        <w:t>Tesorero Municipal</w:t>
      </w:r>
      <w:r w:rsidR="00FC1774">
        <w:rPr>
          <w:rFonts w:ascii="Palatino Linotype" w:hAnsi="Palatino Linotype" w:cs="Tahoma"/>
          <w:bCs/>
          <w:szCs w:val="22"/>
        </w:rPr>
        <w:t>;</w:t>
      </w:r>
    </w:p>
    <w:p w:rsidRPr="00FC1774" w:rsidR="00682FB5" w:rsidP="00274839" w:rsidRDefault="00682FB5" w14:paraId="353D6094" w14:textId="031307C5">
      <w:pPr>
        <w:pStyle w:val="Prrafodelista"/>
        <w:numPr>
          <w:ilvl w:val="0"/>
          <w:numId w:val="39"/>
        </w:numPr>
        <w:spacing w:line="360" w:lineRule="auto"/>
        <w:jc w:val="both"/>
        <w:rPr>
          <w:rFonts w:ascii="Palatino Linotype" w:hAnsi="Palatino Linotype" w:cs="Tahoma"/>
          <w:bCs/>
          <w:szCs w:val="22"/>
        </w:rPr>
      </w:pPr>
      <w:r w:rsidRPr="00FC1774">
        <w:rPr>
          <w:rFonts w:ascii="Palatino Linotype" w:hAnsi="Palatino Linotype" w:cs="Tahoma"/>
          <w:bCs/>
          <w:szCs w:val="22"/>
        </w:rPr>
        <w:t>Contralor Municipal</w:t>
      </w:r>
      <w:r w:rsidR="00FC1774">
        <w:rPr>
          <w:rFonts w:ascii="Palatino Linotype" w:hAnsi="Palatino Linotype" w:cs="Tahoma"/>
          <w:bCs/>
          <w:szCs w:val="22"/>
        </w:rPr>
        <w:t>;</w:t>
      </w:r>
    </w:p>
    <w:p w:rsidRPr="00FC1774" w:rsidR="00682FB5" w:rsidP="00274839" w:rsidRDefault="00682FB5" w14:paraId="42596AE5" w14:textId="6F1E92D6">
      <w:pPr>
        <w:pStyle w:val="Prrafodelista"/>
        <w:numPr>
          <w:ilvl w:val="0"/>
          <w:numId w:val="39"/>
        </w:numPr>
        <w:spacing w:line="360" w:lineRule="auto"/>
        <w:jc w:val="both"/>
        <w:rPr>
          <w:rFonts w:ascii="Palatino Linotype" w:hAnsi="Palatino Linotype" w:cs="Tahoma"/>
          <w:bCs/>
          <w:szCs w:val="22"/>
        </w:rPr>
      </w:pPr>
      <w:r w:rsidRPr="00FC1774">
        <w:rPr>
          <w:rFonts w:ascii="Palatino Linotype" w:hAnsi="Palatino Linotype" w:cs="Tahoma"/>
          <w:bCs/>
          <w:szCs w:val="22"/>
        </w:rPr>
        <w:t>Director de Obras Públicas</w:t>
      </w:r>
      <w:r w:rsidR="00FC1774">
        <w:rPr>
          <w:rFonts w:ascii="Palatino Linotype" w:hAnsi="Palatino Linotype" w:cs="Tahoma"/>
          <w:bCs/>
          <w:szCs w:val="22"/>
        </w:rPr>
        <w:t>;</w:t>
      </w:r>
    </w:p>
    <w:p w:rsidRPr="00FC1774" w:rsidR="00682FB5" w:rsidP="00274839" w:rsidRDefault="00682FB5" w14:paraId="007C3766" w14:textId="02F41A84">
      <w:pPr>
        <w:pStyle w:val="Prrafodelista"/>
        <w:numPr>
          <w:ilvl w:val="0"/>
          <w:numId w:val="39"/>
        </w:numPr>
        <w:spacing w:line="360" w:lineRule="auto"/>
        <w:jc w:val="both"/>
        <w:rPr>
          <w:rFonts w:ascii="Palatino Linotype" w:hAnsi="Palatino Linotype" w:cs="Tahoma"/>
          <w:bCs/>
          <w:szCs w:val="22"/>
        </w:rPr>
      </w:pPr>
      <w:r w:rsidRPr="00FC1774">
        <w:rPr>
          <w:rFonts w:ascii="Palatino Linotype" w:hAnsi="Palatino Linotype" w:cs="Tahoma"/>
          <w:bCs/>
          <w:szCs w:val="22"/>
        </w:rPr>
        <w:t>Director de Desarrollo Urbano</w:t>
      </w:r>
      <w:r w:rsidR="00FC1774">
        <w:rPr>
          <w:rFonts w:ascii="Palatino Linotype" w:hAnsi="Palatino Linotype" w:cs="Tahoma"/>
          <w:bCs/>
          <w:szCs w:val="22"/>
        </w:rPr>
        <w:t>;</w:t>
      </w:r>
    </w:p>
    <w:p w:rsidRPr="00FC1774" w:rsidR="00682FB5" w:rsidP="00274839" w:rsidRDefault="00682FB5" w14:paraId="528A078B" w14:textId="69A9EB2E">
      <w:pPr>
        <w:pStyle w:val="Prrafodelista"/>
        <w:numPr>
          <w:ilvl w:val="0"/>
          <w:numId w:val="39"/>
        </w:numPr>
        <w:spacing w:line="360" w:lineRule="auto"/>
        <w:jc w:val="both"/>
        <w:rPr>
          <w:rFonts w:ascii="Palatino Linotype" w:hAnsi="Palatino Linotype" w:cs="Tahoma"/>
          <w:bCs/>
          <w:szCs w:val="22"/>
        </w:rPr>
      </w:pPr>
      <w:r w:rsidRPr="00FC1774">
        <w:rPr>
          <w:rFonts w:ascii="Palatino Linotype" w:hAnsi="Palatino Linotype" w:cs="Tahoma"/>
          <w:bCs/>
          <w:szCs w:val="22"/>
        </w:rPr>
        <w:t>Oficialía Mediadora- Calificadora</w:t>
      </w:r>
      <w:r w:rsidR="00FC1774">
        <w:rPr>
          <w:rFonts w:ascii="Palatino Linotype" w:hAnsi="Palatino Linotype" w:cs="Tahoma"/>
          <w:bCs/>
          <w:szCs w:val="22"/>
        </w:rPr>
        <w:t>;</w:t>
      </w:r>
    </w:p>
    <w:p w:rsidRPr="00FC1774" w:rsidR="00682FB5" w:rsidP="00274839" w:rsidRDefault="00682FB5" w14:paraId="730C06B6" w14:textId="36B02A84">
      <w:pPr>
        <w:pStyle w:val="Prrafodelista"/>
        <w:numPr>
          <w:ilvl w:val="0"/>
          <w:numId w:val="39"/>
        </w:numPr>
        <w:spacing w:line="360" w:lineRule="auto"/>
        <w:jc w:val="both"/>
        <w:rPr>
          <w:rFonts w:ascii="Palatino Linotype" w:hAnsi="Palatino Linotype" w:cs="Tahoma"/>
          <w:bCs/>
          <w:szCs w:val="22"/>
        </w:rPr>
      </w:pPr>
      <w:r w:rsidRPr="00FC1774">
        <w:rPr>
          <w:rFonts w:ascii="Palatino Linotype" w:hAnsi="Palatino Linotype" w:cs="Tahoma"/>
          <w:bCs/>
          <w:szCs w:val="22"/>
        </w:rPr>
        <w:lastRenderedPageBreak/>
        <w:t>Defensoría Municipal de Derechos Humanos</w:t>
      </w:r>
      <w:r w:rsidR="00FC1774">
        <w:rPr>
          <w:rFonts w:ascii="Palatino Linotype" w:hAnsi="Palatino Linotype" w:cs="Tahoma"/>
          <w:bCs/>
          <w:szCs w:val="22"/>
        </w:rPr>
        <w:t>;</w:t>
      </w:r>
    </w:p>
    <w:p w:rsidRPr="00FC1774" w:rsidR="00682FB5" w:rsidP="00274839" w:rsidRDefault="00682FB5" w14:paraId="4AE1CDD5" w14:textId="1F5BDC87">
      <w:pPr>
        <w:pStyle w:val="Prrafodelista"/>
        <w:numPr>
          <w:ilvl w:val="0"/>
          <w:numId w:val="39"/>
        </w:numPr>
        <w:spacing w:line="360" w:lineRule="auto"/>
        <w:jc w:val="both"/>
        <w:rPr>
          <w:rFonts w:ascii="Palatino Linotype" w:hAnsi="Palatino Linotype" w:cs="Tahoma"/>
          <w:bCs/>
          <w:szCs w:val="22"/>
        </w:rPr>
      </w:pPr>
      <w:r w:rsidRPr="00FC1774">
        <w:rPr>
          <w:rFonts w:ascii="Palatino Linotype" w:hAnsi="Palatino Linotype" w:cs="Tahoma"/>
          <w:bCs/>
          <w:szCs w:val="22"/>
        </w:rPr>
        <w:t>Titular de Catastro</w:t>
      </w:r>
      <w:r w:rsidR="00FC1774">
        <w:rPr>
          <w:rFonts w:ascii="Palatino Linotype" w:hAnsi="Palatino Linotype" w:cs="Tahoma"/>
          <w:bCs/>
          <w:szCs w:val="22"/>
        </w:rPr>
        <w:t>;</w:t>
      </w:r>
    </w:p>
    <w:p w:rsidRPr="00FC1774" w:rsidR="00682FB5" w:rsidP="00274839" w:rsidRDefault="00682FB5" w14:paraId="29E423F3" w14:textId="50F471E2">
      <w:pPr>
        <w:pStyle w:val="Prrafodelista"/>
        <w:numPr>
          <w:ilvl w:val="0"/>
          <w:numId w:val="39"/>
        </w:numPr>
        <w:spacing w:line="360" w:lineRule="auto"/>
        <w:jc w:val="both"/>
        <w:rPr>
          <w:rFonts w:ascii="Palatino Linotype" w:hAnsi="Palatino Linotype" w:cs="Tahoma"/>
          <w:bCs/>
          <w:szCs w:val="22"/>
        </w:rPr>
      </w:pPr>
      <w:r w:rsidRPr="00FC1774">
        <w:rPr>
          <w:rFonts w:ascii="Palatino Linotype" w:hAnsi="Palatino Linotype" w:cs="Tahoma"/>
          <w:bCs/>
          <w:szCs w:val="22"/>
        </w:rPr>
        <w:t>Titular de Mejora Regulatoria</w:t>
      </w:r>
      <w:r w:rsidR="00FC1774">
        <w:rPr>
          <w:rFonts w:ascii="Palatino Linotype" w:hAnsi="Palatino Linotype" w:cs="Tahoma"/>
          <w:bCs/>
          <w:szCs w:val="22"/>
        </w:rPr>
        <w:t>; y</w:t>
      </w:r>
    </w:p>
    <w:p w:rsidRPr="00682FB5" w:rsidR="00682FB5" w:rsidP="00274839" w:rsidRDefault="00DE4327" w14:paraId="2A75EF40" w14:textId="2077F71A">
      <w:pPr>
        <w:pStyle w:val="Prrafodelista"/>
        <w:numPr>
          <w:ilvl w:val="0"/>
          <w:numId w:val="39"/>
        </w:numPr>
        <w:spacing w:line="360" w:lineRule="auto"/>
        <w:jc w:val="both"/>
        <w:rPr>
          <w:rFonts w:ascii="Palatino Linotype" w:hAnsi="Palatino Linotype" w:cs="Tahoma"/>
          <w:bCs/>
          <w:szCs w:val="22"/>
        </w:rPr>
      </w:pPr>
      <w:r>
        <w:rPr>
          <w:rFonts w:ascii="Palatino Linotype" w:hAnsi="Palatino Linotype" w:cs="Tahoma"/>
          <w:bCs/>
          <w:szCs w:val="22"/>
        </w:rPr>
        <w:t>Titu</w:t>
      </w:r>
      <w:r w:rsidR="00682FB5">
        <w:rPr>
          <w:rFonts w:ascii="Palatino Linotype" w:hAnsi="Palatino Linotype" w:cs="Tahoma"/>
          <w:bCs/>
          <w:szCs w:val="22"/>
        </w:rPr>
        <w:t>lar de la Unidad de Transparencia y Acceso a la Información</w:t>
      </w:r>
    </w:p>
    <w:p w:rsidRPr="00E837C8" w:rsidR="00E837C8" w:rsidP="00274839" w:rsidRDefault="00E837C8" w14:paraId="796F95AC" w14:textId="77777777">
      <w:pPr>
        <w:spacing w:line="360" w:lineRule="auto"/>
        <w:jc w:val="both"/>
        <w:rPr>
          <w:rFonts w:ascii="Palatino Linotype" w:hAnsi="Palatino Linotype" w:cs="Tahoma"/>
          <w:bCs/>
          <w:sz w:val="22"/>
          <w:szCs w:val="22"/>
        </w:rPr>
      </w:pPr>
    </w:p>
    <w:p w:rsidRPr="00E837C8" w:rsidR="00E837C8" w:rsidP="00274839" w:rsidRDefault="00E837C8" w14:paraId="48CDDB8C" w14:textId="5CE54051">
      <w:pPr>
        <w:spacing w:line="360" w:lineRule="auto"/>
        <w:jc w:val="both"/>
        <w:rPr>
          <w:rFonts w:ascii="Palatino Linotype" w:hAnsi="Palatino Linotype" w:cs="Tahoma"/>
          <w:bCs/>
          <w:sz w:val="22"/>
          <w:szCs w:val="22"/>
        </w:rPr>
      </w:pPr>
      <w:r w:rsidRPr="00E837C8">
        <w:rPr>
          <w:rFonts w:ascii="Palatino Linotype" w:hAnsi="Palatino Linotype" w:cs="Tahoma"/>
          <w:bCs/>
          <w:sz w:val="22"/>
          <w:szCs w:val="22"/>
        </w:rPr>
        <w:t xml:space="preserve">En respuesta el Sujeto Obligado por medio de la </w:t>
      </w:r>
      <w:r w:rsidR="007D6106">
        <w:rPr>
          <w:rFonts w:ascii="Palatino Linotype" w:hAnsi="Palatino Linotype" w:cs="Tahoma"/>
          <w:bCs/>
          <w:sz w:val="22"/>
          <w:szCs w:val="22"/>
        </w:rPr>
        <w:t>Dirección de Administración</w:t>
      </w:r>
      <w:r w:rsidR="00DE4327">
        <w:rPr>
          <w:rFonts w:ascii="Palatino Linotype" w:hAnsi="Palatino Linotype" w:cs="Tahoma"/>
          <w:bCs/>
          <w:sz w:val="22"/>
          <w:szCs w:val="22"/>
        </w:rPr>
        <w:t>, proporcionó</w:t>
      </w:r>
      <w:r w:rsidRPr="00E837C8">
        <w:rPr>
          <w:rFonts w:ascii="Palatino Linotype" w:hAnsi="Palatino Linotype" w:cs="Tahoma"/>
          <w:bCs/>
          <w:sz w:val="22"/>
          <w:szCs w:val="22"/>
        </w:rPr>
        <w:t xml:space="preserve"> </w:t>
      </w:r>
      <w:r w:rsidR="007D6106">
        <w:rPr>
          <w:rFonts w:ascii="Palatino Linotype" w:hAnsi="Palatino Linotype" w:cs="Tahoma"/>
          <w:bCs/>
          <w:sz w:val="22"/>
          <w:szCs w:val="22"/>
        </w:rPr>
        <w:t xml:space="preserve">una relación </w:t>
      </w:r>
      <w:r w:rsidR="00DE4327">
        <w:rPr>
          <w:rFonts w:ascii="Palatino Linotype" w:hAnsi="Palatino Linotype" w:cs="Tahoma"/>
          <w:bCs/>
          <w:sz w:val="22"/>
          <w:szCs w:val="22"/>
        </w:rPr>
        <w:t>con el nombre,</w:t>
      </w:r>
      <w:r w:rsidR="007D6106">
        <w:rPr>
          <w:rFonts w:ascii="Palatino Linotype" w:hAnsi="Palatino Linotype" w:cs="Tahoma"/>
          <w:bCs/>
          <w:sz w:val="22"/>
          <w:szCs w:val="22"/>
        </w:rPr>
        <w:t xml:space="preserve"> cargo, teléfono, correo institucional y el estatus </w:t>
      </w:r>
      <w:r w:rsidR="00DE4327">
        <w:rPr>
          <w:rFonts w:ascii="Palatino Linotype" w:hAnsi="Palatino Linotype" w:cs="Tahoma"/>
          <w:bCs/>
          <w:sz w:val="22"/>
          <w:szCs w:val="22"/>
        </w:rPr>
        <w:t>de la certificación</w:t>
      </w:r>
      <w:r w:rsidR="007D6106">
        <w:rPr>
          <w:rFonts w:ascii="Palatino Linotype" w:hAnsi="Palatino Linotype" w:cs="Tahoma"/>
          <w:bCs/>
          <w:sz w:val="22"/>
          <w:szCs w:val="22"/>
        </w:rPr>
        <w:t xml:space="preserve"> de competencia laboral, así mismo remitió los </w:t>
      </w:r>
      <w:r w:rsidRPr="007D6106" w:rsidR="007D6106">
        <w:rPr>
          <w:rFonts w:ascii="Palatino Linotype" w:hAnsi="Palatino Linotype" w:cs="Tahoma"/>
          <w:bCs/>
          <w:sz w:val="22"/>
          <w:szCs w:val="22"/>
        </w:rPr>
        <w:t>certificados de competencia laboral de la Defensora de los Derechos Humanos y el Titular de la Unidad de Transparencia</w:t>
      </w:r>
      <w:r w:rsidR="00274839">
        <w:rPr>
          <w:rFonts w:ascii="Palatino Linotype" w:hAnsi="Palatino Linotype" w:cs="Tahoma"/>
          <w:bCs/>
          <w:sz w:val="22"/>
          <w:szCs w:val="22"/>
        </w:rPr>
        <w:t>; ante dicha circunstancia</w:t>
      </w:r>
      <w:r w:rsidRPr="00E837C8">
        <w:rPr>
          <w:rFonts w:ascii="Palatino Linotype" w:hAnsi="Palatino Linotype" w:cs="Tahoma"/>
          <w:bCs/>
          <w:sz w:val="22"/>
          <w:szCs w:val="22"/>
        </w:rPr>
        <w:t xml:space="preserve">, el Particular interpuso Recurso de Revisión inconformándose de </w:t>
      </w:r>
      <w:r w:rsidR="007D6106">
        <w:rPr>
          <w:rFonts w:ascii="Palatino Linotype" w:hAnsi="Palatino Linotype" w:cs="Tahoma"/>
          <w:bCs/>
          <w:sz w:val="22"/>
          <w:szCs w:val="22"/>
        </w:rPr>
        <w:t>la entrega de información incompleta respecto a los certificados que se encuentran en proceso, y de la entrega de</w:t>
      </w:r>
      <w:r w:rsidR="00BE2A5E">
        <w:rPr>
          <w:rFonts w:ascii="Palatino Linotype" w:hAnsi="Palatino Linotype" w:cs="Tahoma"/>
          <w:bCs/>
          <w:sz w:val="22"/>
          <w:szCs w:val="22"/>
        </w:rPr>
        <w:t>l certificado de competencia laboral del Titular de la Unidad de Transparencia en un formato incomprensible, pues no se logra ver el nombre de la persona que se certific</w:t>
      </w:r>
      <w:r w:rsidR="00274839">
        <w:rPr>
          <w:rFonts w:ascii="Palatino Linotype" w:hAnsi="Palatino Linotype" w:cs="Tahoma"/>
          <w:bCs/>
          <w:sz w:val="22"/>
          <w:szCs w:val="22"/>
        </w:rPr>
        <w:t>a, al ser un documento borroso, lo cual actualiza la causal de procedencia establecida en el artículo 179, fracción V, de la Ley de la materia.</w:t>
      </w:r>
    </w:p>
    <w:p w:rsidRPr="00E837C8" w:rsidR="00E837C8" w:rsidP="00274839" w:rsidRDefault="00E837C8" w14:paraId="1C6C71A3" w14:textId="77777777">
      <w:pPr>
        <w:spacing w:line="360" w:lineRule="auto"/>
        <w:jc w:val="both"/>
        <w:rPr>
          <w:rFonts w:ascii="Palatino Linotype" w:hAnsi="Palatino Linotype" w:cs="Tahoma"/>
          <w:bCs/>
          <w:sz w:val="22"/>
          <w:szCs w:val="22"/>
        </w:rPr>
      </w:pPr>
    </w:p>
    <w:p w:rsidRPr="00E837C8" w:rsidR="00E837C8" w:rsidP="00274839" w:rsidRDefault="00E837C8" w14:paraId="075043A6" w14:textId="30CA28E8">
      <w:pPr>
        <w:spacing w:line="360" w:lineRule="auto"/>
        <w:jc w:val="both"/>
        <w:rPr>
          <w:rFonts w:ascii="Palatino Linotype" w:hAnsi="Palatino Linotype" w:cs="Tahoma"/>
          <w:bCs/>
          <w:iCs/>
          <w:sz w:val="22"/>
          <w:szCs w:val="22"/>
        </w:rPr>
      </w:pPr>
      <w:r w:rsidRPr="00E837C8">
        <w:rPr>
          <w:rFonts w:ascii="Palatino Linotype" w:hAnsi="Palatino Linotype" w:cs="Tahoma"/>
          <w:bCs/>
          <w:iCs/>
          <w:sz w:val="22"/>
          <w:szCs w:val="22"/>
        </w:rPr>
        <w:t xml:space="preserve">Conforme a lo analizado, se puede advertir que el ahora Recurrente no se inconformó </w:t>
      </w:r>
      <w:r w:rsidR="00F32120">
        <w:rPr>
          <w:rFonts w:ascii="Palatino Linotype" w:hAnsi="Palatino Linotype" w:cs="Tahoma"/>
          <w:bCs/>
          <w:iCs/>
          <w:sz w:val="22"/>
          <w:szCs w:val="22"/>
        </w:rPr>
        <w:t>del teléfono</w:t>
      </w:r>
      <w:r w:rsidR="00A85342">
        <w:rPr>
          <w:rFonts w:ascii="Palatino Linotype" w:hAnsi="Palatino Linotype" w:cs="Tahoma"/>
          <w:bCs/>
          <w:iCs/>
          <w:sz w:val="22"/>
          <w:szCs w:val="22"/>
        </w:rPr>
        <w:t xml:space="preserve"> y </w:t>
      </w:r>
      <w:r w:rsidR="00F32120">
        <w:rPr>
          <w:rFonts w:ascii="Palatino Linotype" w:hAnsi="Palatino Linotype" w:cs="Tahoma"/>
          <w:bCs/>
          <w:iCs/>
          <w:sz w:val="22"/>
          <w:szCs w:val="22"/>
        </w:rPr>
        <w:t>correo institucional</w:t>
      </w:r>
      <w:r w:rsidR="00A85342">
        <w:rPr>
          <w:rFonts w:ascii="Palatino Linotype" w:hAnsi="Palatino Linotype" w:cs="Tahoma"/>
          <w:bCs/>
          <w:iCs/>
          <w:sz w:val="22"/>
          <w:szCs w:val="22"/>
        </w:rPr>
        <w:t xml:space="preserve"> de los servidores públicos, así como </w:t>
      </w:r>
      <w:r w:rsidR="00F32120">
        <w:rPr>
          <w:rFonts w:ascii="Palatino Linotype" w:hAnsi="Palatino Linotype" w:cs="Tahoma"/>
          <w:bCs/>
          <w:iCs/>
          <w:sz w:val="22"/>
          <w:szCs w:val="22"/>
        </w:rPr>
        <w:t>del certificado de competencia laboral de la Defe</w:t>
      </w:r>
      <w:r w:rsidR="00A85342">
        <w:rPr>
          <w:rFonts w:ascii="Palatino Linotype" w:hAnsi="Palatino Linotype" w:cs="Tahoma"/>
          <w:bCs/>
          <w:iCs/>
          <w:sz w:val="22"/>
          <w:szCs w:val="22"/>
        </w:rPr>
        <w:t>nsora Municipal de Derechos Humanos</w:t>
      </w:r>
      <w:r w:rsidR="00274839">
        <w:rPr>
          <w:rFonts w:ascii="Palatino Linotype" w:hAnsi="Palatino Linotype" w:cs="Tahoma"/>
          <w:bCs/>
          <w:iCs/>
          <w:sz w:val="22"/>
          <w:szCs w:val="22"/>
        </w:rPr>
        <w:t>; p</w:t>
      </w:r>
      <w:r w:rsidRPr="00E837C8">
        <w:rPr>
          <w:rFonts w:ascii="Palatino Linotype" w:hAnsi="Palatino Linotype" w:cs="Tahoma"/>
          <w:bCs/>
          <w:iCs/>
          <w:sz w:val="22"/>
          <w:szCs w:val="22"/>
        </w:rPr>
        <w:t xml:space="preserve">or lo que, </w:t>
      </w:r>
      <w:r w:rsidRPr="00E837C8">
        <w:rPr>
          <w:rFonts w:ascii="Palatino Linotype" w:hAnsi="Palatino Linotype" w:cs="Tahoma"/>
          <w:b/>
          <w:iCs/>
          <w:sz w:val="22"/>
          <w:szCs w:val="22"/>
        </w:rPr>
        <w:t>no se hará pronunciamiento alguno de</w:t>
      </w:r>
      <w:r w:rsidR="00A85342">
        <w:rPr>
          <w:rFonts w:ascii="Palatino Linotype" w:hAnsi="Palatino Linotype" w:cs="Tahoma"/>
          <w:b/>
          <w:iCs/>
          <w:sz w:val="22"/>
          <w:szCs w:val="22"/>
        </w:rPr>
        <w:t xml:space="preserve"> la información previamente referida </w:t>
      </w:r>
      <w:r w:rsidRPr="00E837C8">
        <w:rPr>
          <w:rFonts w:ascii="Palatino Linotype" w:hAnsi="Palatino Linotype" w:cs="Tahoma"/>
          <w:bCs/>
          <w:iCs/>
          <w:sz w:val="22"/>
          <w:szCs w:val="22"/>
        </w:rPr>
        <w:t xml:space="preserve">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E837C8">
        <w:rPr>
          <w:rFonts w:ascii="Palatino Linotype" w:hAnsi="Palatino Linotype" w:cs="Tahoma"/>
          <w:b/>
          <w:bCs/>
          <w:iCs/>
          <w:sz w:val="22"/>
          <w:szCs w:val="22"/>
        </w:rPr>
        <w:t>los actos que se hayan consentido tácitamente,</w:t>
      </w:r>
      <w:r w:rsidRPr="00E837C8">
        <w:rPr>
          <w:rFonts w:ascii="Palatino Linotype" w:hAnsi="Palatino Linotype" w:cs="Tahoma"/>
          <w:bCs/>
          <w:iCs/>
          <w:sz w:val="22"/>
          <w:szCs w:val="22"/>
        </w:rPr>
        <w:t xml:space="preserve"> entendiéndose por estos cuando el agravio no se haya promovido en el plazo señalado para el efecto.</w:t>
      </w:r>
    </w:p>
    <w:p w:rsidRPr="00E837C8" w:rsidR="00E837C8" w:rsidP="00274839" w:rsidRDefault="00E837C8" w14:paraId="2D3FEB15" w14:textId="77777777">
      <w:pPr>
        <w:spacing w:line="360" w:lineRule="auto"/>
        <w:jc w:val="both"/>
        <w:rPr>
          <w:rFonts w:ascii="Palatino Linotype" w:hAnsi="Palatino Linotype" w:cs="Tahoma"/>
          <w:bCs/>
          <w:sz w:val="22"/>
          <w:szCs w:val="22"/>
        </w:rPr>
      </w:pPr>
    </w:p>
    <w:p w:rsidRPr="00E837C8" w:rsidR="00E837C8" w:rsidP="00274839" w:rsidRDefault="00E837C8" w14:paraId="082A4BD1" w14:textId="77777777">
      <w:pPr>
        <w:spacing w:line="360" w:lineRule="auto"/>
        <w:jc w:val="both"/>
        <w:rPr>
          <w:rFonts w:ascii="Palatino Linotype" w:hAnsi="Palatino Linotype" w:cs="Tahoma"/>
          <w:bCs/>
          <w:iCs/>
          <w:sz w:val="22"/>
          <w:szCs w:val="22"/>
        </w:rPr>
      </w:pPr>
      <w:r w:rsidRPr="00E837C8">
        <w:rPr>
          <w:rFonts w:ascii="Palatino Linotype" w:hAnsi="Palatino Linotype" w:cs="Tahoma"/>
          <w:bCs/>
          <w:iCs/>
          <w:sz w:val="22"/>
          <w:szCs w:val="22"/>
        </w:rPr>
        <w:lastRenderedPageBreak/>
        <w:t xml:space="preserve">De la misma manera resulta aplicable el criterio sostenido por el Poder Judicial de la Federación de rubro </w:t>
      </w:r>
      <w:r w:rsidRPr="00E837C8">
        <w:rPr>
          <w:rFonts w:ascii="Palatino Linotype" w:hAnsi="Palatino Linotype" w:cs="Tahoma"/>
          <w:b/>
          <w:bCs/>
          <w:iCs/>
          <w:sz w:val="22"/>
          <w:szCs w:val="22"/>
        </w:rPr>
        <w:t>ACTOS CONSENTIDOS TÁCITAMENTE</w:t>
      </w:r>
      <w:r w:rsidRPr="00E837C8">
        <w:rPr>
          <w:rFonts w:ascii="Palatino Linotype" w:hAnsi="Palatino Linotype" w:cs="Tahoma"/>
          <w:bCs/>
          <w:iCs/>
          <w:sz w:val="22"/>
          <w:szCs w:val="22"/>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rsidRPr="00E837C8" w:rsidR="00E837C8" w:rsidP="00274839" w:rsidRDefault="00E837C8" w14:paraId="59AB3377" w14:textId="77777777">
      <w:pPr>
        <w:spacing w:line="360" w:lineRule="auto"/>
        <w:jc w:val="both"/>
        <w:rPr>
          <w:rFonts w:ascii="Palatino Linotype" w:hAnsi="Palatino Linotype" w:cs="Tahoma"/>
          <w:bCs/>
          <w:iCs/>
          <w:sz w:val="22"/>
          <w:szCs w:val="22"/>
        </w:rPr>
      </w:pPr>
    </w:p>
    <w:p w:rsidRPr="00E837C8" w:rsidR="00E837C8" w:rsidP="00274839" w:rsidRDefault="00E837C8" w14:paraId="17E25252" w14:textId="77777777">
      <w:pPr>
        <w:spacing w:line="360" w:lineRule="auto"/>
        <w:jc w:val="both"/>
        <w:rPr>
          <w:rFonts w:ascii="Palatino Linotype" w:hAnsi="Palatino Linotype" w:cs="Tahoma"/>
          <w:bCs/>
          <w:iCs/>
          <w:sz w:val="22"/>
          <w:szCs w:val="22"/>
        </w:rPr>
      </w:pPr>
      <w:r w:rsidRPr="00E837C8">
        <w:rPr>
          <w:rFonts w:ascii="Palatino Linotype" w:hAnsi="Palatino Linotype" w:cs="Tahoma"/>
          <w:bCs/>
          <w:iCs/>
          <w:sz w:val="22"/>
          <w:szCs w:val="22"/>
        </w:rPr>
        <w:t>De acuerdo con el criterio en comento, en el caso de que la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w:t>
      </w:r>
      <w:r w:rsidRPr="00E837C8">
        <w:rPr>
          <w:rFonts w:ascii="Palatino Linotype" w:hAnsi="Palatino Linotype" w:cs="Tahoma"/>
          <w:b/>
          <w:bCs/>
          <w:iCs/>
          <w:sz w:val="22"/>
          <w:szCs w:val="22"/>
        </w:rPr>
        <w:t xml:space="preserve"> quedaron firmes. </w:t>
      </w:r>
    </w:p>
    <w:p w:rsidRPr="00E837C8" w:rsidR="00E837C8" w:rsidP="00274839" w:rsidRDefault="00E837C8" w14:paraId="607CD174" w14:textId="77777777">
      <w:pPr>
        <w:spacing w:line="360" w:lineRule="auto"/>
        <w:jc w:val="both"/>
        <w:rPr>
          <w:rFonts w:ascii="Palatino Linotype" w:hAnsi="Palatino Linotype" w:cs="Tahoma"/>
          <w:bCs/>
          <w:iCs/>
          <w:sz w:val="22"/>
          <w:szCs w:val="22"/>
        </w:rPr>
      </w:pPr>
    </w:p>
    <w:p w:rsidRPr="00E837C8" w:rsidR="00E837C8" w:rsidP="00274839" w:rsidRDefault="00E837C8" w14:paraId="2F7C3BCA" w14:textId="77777777">
      <w:pPr>
        <w:spacing w:line="360" w:lineRule="auto"/>
        <w:jc w:val="both"/>
        <w:rPr>
          <w:rFonts w:ascii="Palatino Linotype" w:hAnsi="Palatino Linotype" w:cs="Tahoma"/>
          <w:bCs/>
          <w:iCs/>
          <w:sz w:val="22"/>
          <w:szCs w:val="22"/>
        </w:rPr>
      </w:pPr>
      <w:r w:rsidRPr="00E837C8">
        <w:rPr>
          <w:rFonts w:ascii="Palatino Linotype" w:hAnsi="Palatino Linotype" w:cs="Tahoma"/>
          <w:bCs/>
          <w:iCs/>
          <w:sz w:val="22"/>
          <w:szCs w:val="22"/>
        </w:rPr>
        <w:t>Asimismo, resulta relevante traer a colación el Criterio 01/20, emitido por el Instituto Nacional de Transparencia, Acceso a la Información y Protección de Datos Personales, que establece lo siguiente:</w:t>
      </w:r>
    </w:p>
    <w:p w:rsidRPr="00E837C8" w:rsidR="00E837C8" w:rsidP="00274839" w:rsidRDefault="00E837C8" w14:paraId="4C0E7665" w14:textId="77777777">
      <w:pPr>
        <w:spacing w:line="360" w:lineRule="auto"/>
        <w:jc w:val="both"/>
        <w:rPr>
          <w:rFonts w:ascii="Palatino Linotype" w:hAnsi="Palatino Linotype" w:cs="Tahoma"/>
          <w:bCs/>
          <w:iCs/>
          <w:sz w:val="22"/>
          <w:szCs w:val="22"/>
        </w:rPr>
      </w:pPr>
    </w:p>
    <w:p w:rsidRPr="00E837C8" w:rsidR="00E837C8" w:rsidP="00274839" w:rsidRDefault="00E837C8" w14:paraId="61E0DB81" w14:textId="77777777">
      <w:pPr>
        <w:spacing w:line="360" w:lineRule="auto"/>
        <w:ind w:left="567" w:right="567"/>
        <w:jc w:val="both"/>
        <w:rPr>
          <w:rFonts w:ascii="Palatino Linotype" w:hAnsi="Palatino Linotype" w:cs="Tahoma"/>
          <w:bCs/>
          <w:i/>
        </w:rPr>
      </w:pPr>
      <w:r w:rsidRPr="00E837C8">
        <w:rPr>
          <w:rFonts w:ascii="Palatino Linotype" w:hAnsi="Palatino Linotype" w:cs="Tahoma"/>
          <w:b/>
          <w:bCs/>
          <w:i/>
        </w:rPr>
        <w:t xml:space="preserve">“Actos consentidos tácitamente. Improcedencia de su análisis. </w:t>
      </w:r>
      <w:r w:rsidRPr="00E837C8">
        <w:rPr>
          <w:rFonts w:ascii="Palatino Linotype" w:hAnsi="Palatino Linotype" w:cs="Tahoma"/>
          <w:bCs/>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Pr="00E837C8" w:rsidR="00E837C8" w:rsidP="00274839" w:rsidRDefault="00E837C8" w14:paraId="0A51C367" w14:textId="77777777">
      <w:pPr>
        <w:spacing w:line="360" w:lineRule="auto"/>
        <w:jc w:val="both"/>
        <w:rPr>
          <w:rFonts w:ascii="Palatino Linotype" w:hAnsi="Palatino Linotype" w:cs="Tahoma"/>
          <w:bCs/>
          <w:iCs/>
          <w:sz w:val="22"/>
          <w:szCs w:val="22"/>
        </w:rPr>
      </w:pPr>
    </w:p>
    <w:p w:rsidRPr="00E837C8" w:rsidR="00E837C8" w:rsidP="00274839" w:rsidRDefault="00E837C8" w14:paraId="7DC1EA3B" w14:textId="05044DE4">
      <w:pPr>
        <w:spacing w:line="360" w:lineRule="auto"/>
        <w:jc w:val="both"/>
        <w:rPr>
          <w:rFonts w:ascii="Palatino Linotype" w:hAnsi="Palatino Linotype" w:cs="Tahoma"/>
          <w:bCs/>
          <w:iCs/>
          <w:sz w:val="22"/>
          <w:szCs w:val="22"/>
        </w:rPr>
      </w:pPr>
      <w:r w:rsidRPr="00E837C8">
        <w:rPr>
          <w:rFonts w:ascii="Palatino Linotype" w:hAnsi="Palatino Linotype" w:cs="Tahoma"/>
          <w:bCs/>
          <w:iCs/>
          <w:sz w:val="22"/>
          <w:szCs w:val="22"/>
        </w:rPr>
        <w:t xml:space="preserve">Conforme al Criterio establecido, es improcedente entrar al análisis de las partes de la respuesta del Sujeto Obligado que no fueron impugnadas por el Recurrente; por lo que, en el presente caso, se tiene por consentida la información </w:t>
      </w:r>
      <w:r w:rsidR="00274839">
        <w:rPr>
          <w:rFonts w:ascii="Palatino Linotype" w:hAnsi="Palatino Linotype" w:cs="Tahoma"/>
          <w:bCs/>
          <w:iCs/>
          <w:sz w:val="22"/>
          <w:szCs w:val="22"/>
        </w:rPr>
        <w:t xml:space="preserve">referente al </w:t>
      </w:r>
      <w:r w:rsidRPr="00274839" w:rsidR="00274839">
        <w:rPr>
          <w:rFonts w:ascii="Palatino Linotype" w:hAnsi="Palatino Linotype" w:cs="Tahoma"/>
          <w:bCs/>
          <w:iCs/>
          <w:sz w:val="22"/>
          <w:szCs w:val="22"/>
        </w:rPr>
        <w:t xml:space="preserve">teléfono y correo </w:t>
      </w:r>
      <w:r w:rsidRPr="00274839" w:rsidR="00274839">
        <w:rPr>
          <w:rFonts w:ascii="Palatino Linotype" w:hAnsi="Palatino Linotype" w:cs="Tahoma"/>
          <w:bCs/>
          <w:iCs/>
          <w:sz w:val="22"/>
          <w:szCs w:val="22"/>
        </w:rPr>
        <w:lastRenderedPageBreak/>
        <w:t>institucional de los servidores públicos, así como del certificado de competencia laboral de la Defensora Municipal de Derechos Humanos</w:t>
      </w:r>
    </w:p>
    <w:p w:rsidRPr="00E837C8" w:rsidR="00E837C8" w:rsidP="00274839" w:rsidRDefault="00E837C8" w14:paraId="1343D2E5" w14:textId="77777777">
      <w:pPr>
        <w:spacing w:line="360" w:lineRule="auto"/>
        <w:jc w:val="both"/>
        <w:rPr>
          <w:rFonts w:ascii="Palatino Linotype" w:hAnsi="Palatino Linotype" w:cs="Tahoma"/>
          <w:bCs/>
          <w:sz w:val="22"/>
          <w:szCs w:val="22"/>
        </w:rPr>
      </w:pPr>
    </w:p>
    <w:p w:rsidR="00493D74" w:rsidP="00274839" w:rsidRDefault="00E837C8" w14:paraId="1C0DBE35" w14:textId="44A494F9">
      <w:pPr>
        <w:spacing w:line="360" w:lineRule="auto"/>
        <w:jc w:val="both"/>
        <w:rPr>
          <w:rFonts w:ascii="Palatino Linotype" w:hAnsi="Palatino Linotype" w:eastAsia="Calibri" w:cs="Tahoma"/>
          <w:bCs/>
          <w:color w:val="000000" w:themeColor="text1"/>
          <w:sz w:val="22"/>
          <w:szCs w:val="24"/>
          <w:lang w:eastAsia="en-US"/>
        </w:rPr>
      </w:pPr>
      <w:r w:rsidRPr="00E837C8">
        <w:rPr>
          <w:rFonts w:ascii="Palatino Linotype" w:hAnsi="Palatino Linotype" w:eastAsia="Calibri" w:cs="Tahoma"/>
          <w:iCs/>
          <w:color w:val="000000" w:themeColor="text1"/>
          <w:sz w:val="22"/>
          <w:szCs w:val="24"/>
          <w:lang w:eastAsia="en-US"/>
        </w:rPr>
        <w:t xml:space="preserve">Lo anterior, se desprende de las documentales que obran en los expedientes de referencia, materia de la presente resolución, consistente en: la solicitud de acceso a la </w:t>
      </w:r>
      <w:r w:rsidRPr="00E837C8" w:rsidR="00493D74">
        <w:rPr>
          <w:rFonts w:ascii="Palatino Linotype" w:hAnsi="Palatino Linotype" w:eastAsia="Calibri" w:cs="Tahoma"/>
          <w:iCs/>
          <w:color w:val="000000" w:themeColor="text1"/>
          <w:sz w:val="22"/>
          <w:szCs w:val="24"/>
          <w:lang w:eastAsia="en-US"/>
        </w:rPr>
        <w:t>información;</w:t>
      </w:r>
      <w:r w:rsidR="00493D74">
        <w:rPr>
          <w:rFonts w:ascii="Palatino Linotype" w:hAnsi="Palatino Linotype" w:eastAsia="Calibri" w:cs="Tahoma"/>
          <w:iCs/>
          <w:color w:val="000000" w:themeColor="text1"/>
          <w:sz w:val="22"/>
          <w:szCs w:val="24"/>
          <w:lang w:eastAsia="en-US"/>
        </w:rPr>
        <w:t xml:space="preserve"> la</w:t>
      </w:r>
      <w:r w:rsidR="009A026A">
        <w:rPr>
          <w:rFonts w:ascii="Palatino Linotype" w:hAnsi="Palatino Linotype" w:eastAsia="Calibri" w:cs="Tahoma"/>
          <w:iCs/>
          <w:color w:val="000000" w:themeColor="text1"/>
          <w:sz w:val="22"/>
          <w:szCs w:val="24"/>
          <w:lang w:eastAsia="en-US"/>
        </w:rPr>
        <w:t xml:space="preserve"> respuesta;</w:t>
      </w:r>
      <w:r w:rsidRPr="00E837C8">
        <w:rPr>
          <w:rFonts w:ascii="Palatino Linotype" w:hAnsi="Palatino Linotype" w:eastAsia="Calibri" w:cs="Tahoma"/>
          <w:iCs/>
          <w:color w:val="000000" w:themeColor="text1"/>
          <w:sz w:val="22"/>
          <w:szCs w:val="24"/>
          <w:lang w:eastAsia="en-US"/>
        </w:rPr>
        <w:t xml:space="preserve"> el escrito recursal</w:t>
      </w:r>
      <w:r w:rsidR="00493D74">
        <w:rPr>
          <w:rFonts w:ascii="Palatino Linotype" w:hAnsi="Palatino Linotype" w:eastAsia="Calibri" w:cs="Tahoma"/>
          <w:iCs/>
          <w:color w:val="000000" w:themeColor="text1"/>
          <w:sz w:val="22"/>
          <w:szCs w:val="24"/>
          <w:lang w:eastAsia="en-US"/>
        </w:rPr>
        <w:t xml:space="preserve"> y</w:t>
      </w:r>
      <w:r w:rsidRPr="00E837C8">
        <w:rPr>
          <w:rFonts w:ascii="Palatino Linotype" w:hAnsi="Palatino Linotype" w:eastAsia="Calibri" w:cs="Tahoma"/>
          <w:iCs/>
          <w:color w:val="000000" w:themeColor="text1"/>
          <w:sz w:val="22"/>
          <w:szCs w:val="24"/>
          <w:lang w:eastAsia="en-US"/>
        </w:rPr>
        <w:t xml:space="preserve"> el Informe Justificado; </w:t>
      </w:r>
      <w:r w:rsidRPr="00E837C8">
        <w:rPr>
          <w:rFonts w:ascii="Palatino Linotype" w:hAnsi="Palatino Linotype" w:eastAsia="Calibri" w:cs="Tahoma"/>
          <w:bCs/>
          <w:color w:val="000000" w:themeColor="text1"/>
          <w:sz w:val="22"/>
          <w:szCs w:val="24"/>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rsidRPr="00493D74" w:rsidR="00966AD4" w:rsidP="00274839" w:rsidRDefault="00966AD4" w14:paraId="78F3E394" w14:textId="77777777">
      <w:pPr>
        <w:spacing w:line="360" w:lineRule="auto"/>
        <w:jc w:val="both"/>
        <w:rPr>
          <w:rFonts w:ascii="Palatino Linotype" w:hAnsi="Palatino Linotype" w:eastAsia="Calibri" w:cs="Tahoma"/>
          <w:bCs/>
          <w:color w:val="000000" w:themeColor="text1"/>
          <w:sz w:val="22"/>
          <w:szCs w:val="24"/>
          <w:lang w:eastAsia="en-US"/>
        </w:rPr>
      </w:pPr>
    </w:p>
    <w:p w:rsidR="00E34B51" w:rsidP="00E34B51" w:rsidRDefault="00C61EE1" w14:paraId="3E4C2A01" w14:textId="77777777">
      <w:pPr>
        <w:spacing w:line="360" w:lineRule="auto"/>
        <w:jc w:val="both"/>
        <w:rPr>
          <w:rFonts w:ascii="Palatino Linotype" w:hAnsi="Palatino Linotype" w:eastAsia="Calibri"/>
          <w:sz w:val="22"/>
          <w:szCs w:val="22"/>
        </w:rPr>
      </w:pPr>
      <w:r>
        <w:rPr>
          <w:rFonts w:ascii="Palatino Linotype" w:hAnsi="Palatino Linotype" w:cs="Tahoma"/>
          <w:sz w:val="22"/>
          <w:szCs w:val="24"/>
          <w:lang w:val="es-ES"/>
        </w:rPr>
        <w:t>Establecido lo anterior, se procede a contextualizar la solicitud de información; s</w:t>
      </w:r>
      <w:r w:rsidRPr="00CA3603">
        <w:rPr>
          <w:rFonts w:ascii="Palatino Linotype" w:hAnsi="Palatino Linotype" w:eastAsia="Calibri" w:cs="Tahoma"/>
          <w:bCs/>
          <w:color w:val="000000" w:themeColor="text1"/>
          <w:sz w:val="22"/>
          <w:szCs w:val="22"/>
          <w:lang w:eastAsia="en-US"/>
        </w:rPr>
        <w:t xml:space="preserve">obre el tema, </w:t>
      </w:r>
      <w:r w:rsidRPr="0008143B" w:rsidR="0008143B">
        <w:rPr>
          <w:rFonts w:ascii="Palatino Linotype" w:hAnsi="Palatino Linotype" w:eastAsia="Calibri" w:cs="Tahoma"/>
          <w:bCs/>
          <w:color w:val="000000" w:themeColor="text1"/>
          <w:sz w:val="22"/>
          <w:szCs w:val="22"/>
          <w:lang w:eastAsia="en-US"/>
        </w:rPr>
        <w:t xml:space="preserve">el artículo </w:t>
      </w:r>
      <w:r w:rsidRPr="004E7583" w:rsidR="004E7583">
        <w:rPr>
          <w:rFonts w:ascii="Palatino Linotype" w:hAnsi="Palatino Linotype" w:eastAsia="Calibri" w:cs="Tahoma"/>
          <w:bCs/>
          <w:color w:val="000000" w:themeColor="text1"/>
          <w:sz w:val="22"/>
          <w:szCs w:val="22"/>
          <w:lang w:eastAsia="en-US"/>
        </w:rPr>
        <w:t>32, fracción IV</w:t>
      </w:r>
      <w:r w:rsidR="004E7583">
        <w:rPr>
          <w:rFonts w:ascii="Palatino Linotype" w:hAnsi="Palatino Linotype" w:eastAsia="Calibri" w:cs="Tahoma"/>
          <w:bCs/>
          <w:color w:val="000000" w:themeColor="text1"/>
          <w:sz w:val="22"/>
          <w:szCs w:val="22"/>
          <w:lang w:eastAsia="en-US"/>
        </w:rPr>
        <w:t>,</w:t>
      </w:r>
      <w:r w:rsidRPr="0008143B" w:rsidR="0008143B">
        <w:rPr>
          <w:rFonts w:ascii="Palatino Linotype" w:hAnsi="Palatino Linotype" w:eastAsia="Calibri" w:cs="Tahoma"/>
          <w:bCs/>
          <w:color w:val="000000" w:themeColor="text1"/>
          <w:sz w:val="22"/>
          <w:szCs w:val="22"/>
          <w:lang w:eastAsia="en-US"/>
        </w:rPr>
        <w:t xml:space="preserve"> de la Ley Orgánica Municipal del</w:t>
      </w:r>
      <w:r w:rsidR="0008143B">
        <w:rPr>
          <w:rFonts w:ascii="Palatino Linotype" w:hAnsi="Palatino Linotype" w:eastAsia="Calibri" w:cs="Tahoma"/>
          <w:bCs/>
          <w:color w:val="000000" w:themeColor="text1"/>
          <w:sz w:val="22"/>
          <w:szCs w:val="22"/>
          <w:lang w:eastAsia="en-US"/>
        </w:rPr>
        <w:t xml:space="preserve"> </w:t>
      </w:r>
      <w:r w:rsidRPr="0008143B" w:rsidR="0008143B">
        <w:rPr>
          <w:rFonts w:ascii="Palatino Linotype" w:hAnsi="Palatino Linotype" w:eastAsia="Calibri" w:cs="Tahoma"/>
          <w:bCs/>
          <w:color w:val="000000" w:themeColor="text1"/>
          <w:sz w:val="22"/>
          <w:szCs w:val="22"/>
          <w:lang w:eastAsia="en-US"/>
        </w:rPr>
        <w:t>Estado de México, para ocupar los cargos de Secretario, Tesorero</w:t>
      </w:r>
      <w:r w:rsidR="004E7583">
        <w:rPr>
          <w:rFonts w:ascii="Palatino Linotype" w:hAnsi="Palatino Linotype" w:eastAsia="Calibri" w:cs="Tahoma"/>
          <w:bCs/>
          <w:color w:val="000000" w:themeColor="text1"/>
          <w:sz w:val="22"/>
          <w:szCs w:val="22"/>
          <w:lang w:eastAsia="en-US"/>
        </w:rPr>
        <w:t>,</w:t>
      </w:r>
      <w:r w:rsidRPr="0008143B" w:rsidR="0008143B">
        <w:rPr>
          <w:rFonts w:ascii="Palatino Linotype" w:hAnsi="Palatino Linotype" w:eastAsia="Calibri" w:cs="Tahoma"/>
          <w:bCs/>
          <w:color w:val="000000" w:themeColor="text1"/>
          <w:sz w:val="22"/>
          <w:szCs w:val="22"/>
          <w:lang w:eastAsia="en-US"/>
        </w:rPr>
        <w:t xml:space="preserve"> Director de Obras</w:t>
      </w:r>
      <w:r w:rsidR="0008143B">
        <w:rPr>
          <w:rFonts w:ascii="Palatino Linotype" w:hAnsi="Palatino Linotype" w:eastAsia="Calibri" w:cs="Tahoma"/>
          <w:bCs/>
          <w:color w:val="000000" w:themeColor="text1"/>
          <w:sz w:val="22"/>
          <w:szCs w:val="22"/>
          <w:lang w:eastAsia="en-US"/>
        </w:rPr>
        <w:t xml:space="preserve"> </w:t>
      </w:r>
      <w:r w:rsidRPr="0008143B" w:rsidR="0008143B">
        <w:rPr>
          <w:rFonts w:ascii="Palatino Linotype" w:hAnsi="Palatino Linotype" w:eastAsia="Calibri" w:cs="Tahoma"/>
          <w:bCs/>
          <w:color w:val="000000" w:themeColor="text1"/>
          <w:sz w:val="22"/>
          <w:szCs w:val="22"/>
          <w:lang w:eastAsia="en-US"/>
        </w:rPr>
        <w:t>Públicas, de Desarrollo Económico, Director de Turismo, Coordinador General Municipal de</w:t>
      </w:r>
      <w:r w:rsidR="0008143B">
        <w:rPr>
          <w:rFonts w:ascii="Palatino Linotype" w:hAnsi="Palatino Linotype" w:eastAsia="Calibri" w:cs="Tahoma"/>
          <w:bCs/>
          <w:color w:val="000000" w:themeColor="text1"/>
          <w:sz w:val="22"/>
          <w:szCs w:val="22"/>
          <w:lang w:eastAsia="en-US"/>
        </w:rPr>
        <w:t xml:space="preserve"> </w:t>
      </w:r>
      <w:r w:rsidRPr="0008143B" w:rsidR="0008143B">
        <w:rPr>
          <w:rFonts w:ascii="Palatino Linotype" w:hAnsi="Palatino Linotype" w:eastAsia="Calibri" w:cs="Tahoma"/>
          <w:bCs/>
          <w:color w:val="000000" w:themeColor="text1"/>
          <w:sz w:val="22"/>
          <w:szCs w:val="22"/>
          <w:lang w:eastAsia="en-US"/>
        </w:rPr>
        <w:t>Mejora Regulatoria, Ecología, Desarrollo Urbano, de Desarrollo Social, titulares de las unidades administrativas, de Protección Civil y de los organismos</w:t>
      </w:r>
      <w:r w:rsidR="0008143B">
        <w:rPr>
          <w:rFonts w:ascii="Palatino Linotype" w:hAnsi="Palatino Linotype" w:eastAsia="Calibri" w:cs="Tahoma"/>
          <w:bCs/>
          <w:color w:val="000000" w:themeColor="text1"/>
          <w:sz w:val="22"/>
          <w:szCs w:val="22"/>
          <w:lang w:eastAsia="en-US"/>
        </w:rPr>
        <w:t xml:space="preserve"> </w:t>
      </w:r>
      <w:r w:rsidRPr="0008143B" w:rsidR="0008143B">
        <w:rPr>
          <w:rFonts w:ascii="Palatino Linotype" w:hAnsi="Palatino Linotype" w:eastAsia="Calibri" w:cs="Tahoma"/>
          <w:bCs/>
          <w:color w:val="000000" w:themeColor="text1"/>
          <w:sz w:val="22"/>
          <w:szCs w:val="22"/>
          <w:lang w:eastAsia="en-US"/>
        </w:rPr>
        <w:t>auxiliares</w:t>
      </w:r>
      <w:r w:rsidR="00E34B51">
        <w:rPr>
          <w:rFonts w:ascii="Palatino Linotype" w:hAnsi="Palatino Linotype" w:eastAsia="Calibri" w:cs="Tahoma"/>
          <w:bCs/>
          <w:color w:val="000000" w:themeColor="text1"/>
          <w:sz w:val="22"/>
          <w:szCs w:val="22"/>
          <w:lang w:eastAsia="en-US"/>
        </w:rPr>
        <w:t xml:space="preserve">, </w:t>
      </w:r>
      <w:r w:rsidR="00E34B51">
        <w:rPr>
          <w:rFonts w:ascii="Palatino Linotype" w:hAnsi="Palatino Linotype" w:eastAsia="Calibri"/>
          <w:sz w:val="22"/>
          <w:szCs w:val="22"/>
        </w:rPr>
        <w:t>tendrán que satisfacer diversos requisitos, entre los cuales, se encuentra contar con certificación de competencia laboral en materia del cargo que desempeñará, mismo que deberá acreditarse dentro de los seis meses siguientes a la fecha en que inicien sus funciones.</w:t>
      </w:r>
    </w:p>
    <w:p w:rsidRPr="00CA3603" w:rsidR="0008143B" w:rsidP="00274839" w:rsidRDefault="0008143B" w14:paraId="2F6C9D0A" w14:textId="1C2DFBFF">
      <w:pPr>
        <w:spacing w:line="360" w:lineRule="auto"/>
        <w:jc w:val="both"/>
        <w:rPr>
          <w:rFonts w:ascii="Palatino Linotype" w:hAnsi="Palatino Linotype" w:eastAsia="Calibri" w:cs="Tahoma"/>
          <w:bCs/>
          <w:color w:val="000000" w:themeColor="text1"/>
          <w:sz w:val="22"/>
          <w:szCs w:val="22"/>
          <w:lang w:eastAsia="en-US"/>
        </w:rPr>
      </w:pPr>
      <w:r>
        <w:rPr>
          <w:rFonts w:ascii="Palatino Linotype" w:hAnsi="Palatino Linotype" w:eastAsia="Calibri" w:cs="Tahoma"/>
          <w:bCs/>
          <w:color w:val="000000" w:themeColor="text1"/>
          <w:sz w:val="22"/>
          <w:szCs w:val="22"/>
          <w:lang w:eastAsia="en-US"/>
        </w:rPr>
        <w:t xml:space="preserve"> </w:t>
      </w:r>
    </w:p>
    <w:p w:rsidR="00084F91" w:rsidP="00274839" w:rsidRDefault="006F692C" w14:paraId="18B6B102" w14:textId="0E9498CD">
      <w:pPr>
        <w:spacing w:line="360" w:lineRule="auto"/>
        <w:jc w:val="both"/>
        <w:rPr>
          <w:rFonts w:ascii="Palatino Linotype" w:hAnsi="Palatino Linotype" w:eastAsia="Calibri" w:cs="Tahoma"/>
          <w:bCs/>
          <w:color w:val="000000" w:themeColor="text1"/>
          <w:sz w:val="22"/>
          <w:szCs w:val="22"/>
          <w:lang w:eastAsia="en-US"/>
        </w:rPr>
      </w:pPr>
      <w:r>
        <w:rPr>
          <w:rFonts w:ascii="Palatino Linotype" w:hAnsi="Palatino Linotype" w:eastAsia="Calibri" w:cs="Tahoma"/>
          <w:bCs/>
          <w:color w:val="000000" w:themeColor="text1"/>
          <w:sz w:val="22"/>
          <w:szCs w:val="22"/>
          <w:lang w:eastAsia="en-US"/>
        </w:rPr>
        <w:t xml:space="preserve">Así mismo, los artículos </w:t>
      </w:r>
      <w:r w:rsidR="0016426E">
        <w:rPr>
          <w:rFonts w:ascii="Palatino Linotype" w:hAnsi="Palatino Linotype" w:eastAsia="Calibri" w:cs="Tahoma"/>
          <w:bCs/>
          <w:color w:val="000000" w:themeColor="text1"/>
          <w:sz w:val="22"/>
          <w:szCs w:val="22"/>
          <w:lang w:eastAsia="en-US"/>
        </w:rPr>
        <w:t xml:space="preserve">85 </w:t>
      </w:r>
      <w:proofErr w:type="spellStart"/>
      <w:r w:rsidR="0016426E">
        <w:rPr>
          <w:rFonts w:ascii="Palatino Linotype" w:hAnsi="Palatino Linotype" w:eastAsia="Calibri" w:cs="Tahoma"/>
          <w:bCs/>
          <w:color w:val="000000" w:themeColor="text1"/>
          <w:sz w:val="22"/>
          <w:szCs w:val="22"/>
          <w:lang w:eastAsia="en-US"/>
        </w:rPr>
        <w:t>Sexies</w:t>
      </w:r>
      <w:proofErr w:type="spellEnd"/>
      <w:r w:rsidR="0016426E">
        <w:rPr>
          <w:rFonts w:ascii="Palatino Linotype" w:hAnsi="Palatino Linotype" w:eastAsia="Calibri" w:cs="Tahoma"/>
          <w:bCs/>
          <w:color w:val="000000" w:themeColor="text1"/>
          <w:sz w:val="22"/>
          <w:szCs w:val="22"/>
          <w:lang w:eastAsia="en-US"/>
        </w:rPr>
        <w:t>, 92, 96</w:t>
      </w:r>
      <w:r w:rsidR="00E34B51">
        <w:rPr>
          <w:rFonts w:ascii="Palatino Linotype" w:hAnsi="Palatino Linotype" w:eastAsia="Calibri" w:cs="Tahoma"/>
          <w:bCs/>
          <w:color w:val="000000" w:themeColor="text1"/>
          <w:sz w:val="22"/>
          <w:szCs w:val="22"/>
          <w:lang w:eastAsia="en-US"/>
        </w:rPr>
        <w:t>,</w:t>
      </w:r>
      <w:r w:rsidR="00907391">
        <w:rPr>
          <w:rFonts w:ascii="Palatino Linotype" w:hAnsi="Palatino Linotype" w:eastAsia="Calibri" w:cs="Tahoma"/>
          <w:bCs/>
          <w:color w:val="000000" w:themeColor="text1"/>
          <w:sz w:val="22"/>
          <w:szCs w:val="22"/>
          <w:lang w:eastAsia="en-US"/>
        </w:rPr>
        <w:t xml:space="preserve"> fracción I, 96 Ter,</w:t>
      </w:r>
      <w:r w:rsidR="0016426E">
        <w:rPr>
          <w:rFonts w:ascii="Palatino Linotype" w:hAnsi="Palatino Linotype" w:eastAsia="Calibri" w:cs="Tahoma"/>
          <w:bCs/>
          <w:color w:val="000000" w:themeColor="text1"/>
          <w:sz w:val="22"/>
          <w:szCs w:val="22"/>
          <w:lang w:eastAsia="en-US"/>
        </w:rPr>
        <w:t xml:space="preserve"> 96 </w:t>
      </w:r>
      <w:proofErr w:type="spellStart"/>
      <w:r w:rsidR="0016426E">
        <w:rPr>
          <w:rFonts w:ascii="Palatino Linotype" w:hAnsi="Palatino Linotype" w:eastAsia="Calibri" w:cs="Tahoma"/>
          <w:bCs/>
          <w:color w:val="000000" w:themeColor="text1"/>
          <w:sz w:val="22"/>
          <w:szCs w:val="22"/>
          <w:lang w:eastAsia="en-US"/>
        </w:rPr>
        <w:t>Septies</w:t>
      </w:r>
      <w:proofErr w:type="spellEnd"/>
      <w:r w:rsidR="00907391">
        <w:rPr>
          <w:rFonts w:ascii="Palatino Linotype" w:hAnsi="Palatino Linotype" w:eastAsia="Calibri" w:cs="Tahoma"/>
          <w:bCs/>
          <w:color w:val="000000" w:themeColor="text1"/>
          <w:sz w:val="22"/>
          <w:szCs w:val="22"/>
          <w:lang w:eastAsia="en-US"/>
        </w:rPr>
        <w:t>,</w:t>
      </w:r>
      <w:r w:rsidR="007637BE">
        <w:rPr>
          <w:rFonts w:ascii="Palatino Linotype" w:hAnsi="Palatino Linotype" w:eastAsia="Calibri" w:cs="Tahoma"/>
          <w:bCs/>
          <w:color w:val="000000" w:themeColor="text1"/>
          <w:sz w:val="22"/>
          <w:szCs w:val="22"/>
          <w:lang w:eastAsia="en-US"/>
        </w:rPr>
        <w:t xml:space="preserve"> 113</w:t>
      </w:r>
      <w:r w:rsidR="00BC6566">
        <w:rPr>
          <w:rFonts w:ascii="Palatino Linotype" w:hAnsi="Palatino Linotype" w:eastAsia="Calibri" w:cs="Tahoma"/>
          <w:bCs/>
          <w:color w:val="000000" w:themeColor="text1"/>
          <w:sz w:val="22"/>
          <w:szCs w:val="22"/>
          <w:lang w:eastAsia="en-US"/>
        </w:rPr>
        <w:t>,</w:t>
      </w:r>
      <w:r w:rsidR="00907391">
        <w:rPr>
          <w:rFonts w:ascii="Palatino Linotype" w:hAnsi="Palatino Linotype" w:eastAsia="Calibri" w:cs="Tahoma"/>
          <w:bCs/>
          <w:color w:val="000000" w:themeColor="text1"/>
          <w:sz w:val="22"/>
          <w:szCs w:val="22"/>
          <w:lang w:eastAsia="en-US"/>
        </w:rPr>
        <w:t xml:space="preserve"> 149, fracci</w:t>
      </w:r>
      <w:r w:rsidR="00BC6566">
        <w:rPr>
          <w:rFonts w:ascii="Palatino Linotype" w:hAnsi="Palatino Linotype" w:eastAsia="Calibri" w:cs="Tahoma"/>
          <w:bCs/>
          <w:color w:val="000000" w:themeColor="text1"/>
          <w:sz w:val="22"/>
          <w:szCs w:val="22"/>
          <w:lang w:eastAsia="en-US"/>
        </w:rPr>
        <w:t>ón I</w:t>
      </w:r>
      <w:r w:rsidR="00907391">
        <w:rPr>
          <w:rFonts w:ascii="Palatino Linotype" w:hAnsi="Palatino Linotype" w:eastAsia="Calibri" w:cs="Tahoma"/>
          <w:bCs/>
          <w:color w:val="000000" w:themeColor="text1"/>
          <w:sz w:val="22"/>
          <w:szCs w:val="22"/>
          <w:lang w:eastAsia="en-US"/>
        </w:rPr>
        <w:t>,</w:t>
      </w:r>
      <w:r w:rsidR="0016426E">
        <w:rPr>
          <w:rFonts w:ascii="Palatino Linotype" w:hAnsi="Palatino Linotype" w:eastAsia="Calibri" w:cs="Tahoma"/>
          <w:bCs/>
          <w:color w:val="000000" w:themeColor="text1"/>
          <w:sz w:val="22"/>
          <w:szCs w:val="22"/>
          <w:lang w:eastAsia="en-US"/>
        </w:rPr>
        <w:t xml:space="preserve"> </w:t>
      </w:r>
      <w:r>
        <w:rPr>
          <w:rFonts w:ascii="Palatino Linotype" w:hAnsi="Palatino Linotype" w:eastAsia="Calibri" w:cs="Tahoma"/>
          <w:bCs/>
          <w:color w:val="000000" w:themeColor="text1"/>
          <w:sz w:val="22"/>
          <w:szCs w:val="22"/>
          <w:lang w:eastAsia="en-US"/>
        </w:rPr>
        <w:t>de la Ley en cita, prevé los requisitos que deberán cumplir los titulares de las áreas administrativas que integran la administración pública municipal</w:t>
      </w:r>
      <w:r w:rsidR="00084F91">
        <w:rPr>
          <w:rFonts w:ascii="Palatino Linotype" w:hAnsi="Palatino Linotype" w:eastAsia="Calibri" w:cs="Tahoma"/>
          <w:bCs/>
          <w:color w:val="000000" w:themeColor="text1"/>
          <w:sz w:val="22"/>
          <w:szCs w:val="22"/>
          <w:lang w:eastAsia="en-US"/>
        </w:rPr>
        <w:t xml:space="preserve">, como el </w:t>
      </w:r>
      <w:r w:rsidR="0016426E">
        <w:rPr>
          <w:rFonts w:ascii="Palatino Linotype" w:hAnsi="Palatino Linotype" w:eastAsia="Calibri" w:cs="Tahoma"/>
          <w:bCs/>
          <w:color w:val="000000" w:themeColor="text1"/>
          <w:sz w:val="22"/>
          <w:szCs w:val="22"/>
          <w:lang w:eastAsia="en-US"/>
        </w:rPr>
        <w:t>Coordinador General de Mejora Regulatoria,</w:t>
      </w:r>
      <w:r w:rsidR="00AF6779">
        <w:rPr>
          <w:rFonts w:ascii="Palatino Linotype" w:hAnsi="Palatino Linotype" w:eastAsia="Calibri" w:cs="Tahoma"/>
          <w:bCs/>
          <w:color w:val="000000" w:themeColor="text1"/>
          <w:sz w:val="22"/>
          <w:szCs w:val="22"/>
          <w:lang w:eastAsia="en-US"/>
        </w:rPr>
        <w:t xml:space="preserve"> </w:t>
      </w:r>
      <w:r w:rsidR="00084F91">
        <w:rPr>
          <w:rFonts w:ascii="Palatino Linotype" w:hAnsi="Palatino Linotype" w:eastAsia="Calibri" w:cs="Tahoma"/>
          <w:bCs/>
          <w:color w:val="000000" w:themeColor="text1"/>
          <w:sz w:val="22"/>
          <w:szCs w:val="22"/>
          <w:lang w:eastAsia="en-US"/>
        </w:rPr>
        <w:t>Secretario del Ayuntamiento, Tesorero Municipal</w:t>
      </w:r>
      <w:r w:rsidR="00BC6566">
        <w:rPr>
          <w:rFonts w:ascii="Palatino Linotype" w:hAnsi="Palatino Linotype" w:eastAsia="Calibri" w:cs="Tahoma"/>
          <w:bCs/>
          <w:color w:val="000000" w:themeColor="text1"/>
          <w:sz w:val="22"/>
          <w:szCs w:val="22"/>
          <w:lang w:eastAsia="en-US"/>
        </w:rPr>
        <w:t>, Contralor Municipal</w:t>
      </w:r>
      <w:r w:rsidR="00084F91">
        <w:rPr>
          <w:rFonts w:ascii="Palatino Linotype" w:hAnsi="Palatino Linotype" w:eastAsia="Calibri" w:cs="Tahoma"/>
          <w:bCs/>
          <w:color w:val="000000" w:themeColor="text1"/>
          <w:sz w:val="22"/>
          <w:szCs w:val="22"/>
          <w:lang w:eastAsia="en-US"/>
        </w:rPr>
        <w:t>, Director de Obras Públicas</w:t>
      </w:r>
      <w:r w:rsidR="00BC6566">
        <w:rPr>
          <w:rFonts w:ascii="Palatino Linotype" w:hAnsi="Palatino Linotype" w:eastAsia="Calibri" w:cs="Tahoma"/>
          <w:bCs/>
          <w:color w:val="000000" w:themeColor="text1"/>
          <w:sz w:val="22"/>
          <w:szCs w:val="22"/>
          <w:lang w:eastAsia="en-US"/>
        </w:rPr>
        <w:t>,</w:t>
      </w:r>
      <w:r w:rsidR="0016426E">
        <w:rPr>
          <w:rFonts w:ascii="Palatino Linotype" w:hAnsi="Palatino Linotype" w:eastAsia="Calibri" w:cs="Tahoma"/>
          <w:bCs/>
          <w:color w:val="000000" w:themeColor="text1"/>
          <w:sz w:val="22"/>
          <w:szCs w:val="22"/>
          <w:lang w:eastAsia="en-US"/>
        </w:rPr>
        <w:t xml:space="preserve"> </w:t>
      </w:r>
      <w:r w:rsidR="00084F91">
        <w:rPr>
          <w:rFonts w:ascii="Palatino Linotype" w:hAnsi="Palatino Linotype" w:eastAsia="Calibri" w:cs="Tahoma"/>
          <w:bCs/>
          <w:color w:val="000000" w:themeColor="text1"/>
          <w:sz w:val="22"/>
          <w:szCs w:val="22"/>
          <w:lang w:eastAsia="en-US"/>
        </w:rPr>
        <w:t>Director de Desarrollo Urbano</w:t>
      </w:r>
      <w:r w:rsidR="00BC6566">
        <w:rPr>
          <w:rFonts w:ascii="Palatino Linotype" w:hAnsi="Palatino Linotype" w:eastAsia="Calibri" w:cs="Tahoma"/>
          <w:bCs/>
          <w:color w:val="000000" w:themeColor="text1"/>
          <w:sz w:val="22"/>
          <w:szCs w:val="22"/>
          <w:lang w:eastAsia="en-US"/>
        </w:rPr>
        <w:t>, Oficial Mediador-Calificador</w:t>
      </w:r>
      <w:r w:rsidR="00084F91">
        <w:rPr>
          <w:rFonts w:ascii="Palatino Linotype" w:hAnsi="Palatino Linotype" w:eastAsia="Calibri" w:cs="Tahoma"/>
          <w:bCs/>
          <w:color w:val="000000" w:themeColor="text1"/>
          <w:sz w:val="22"/>
          <w:szCs w:val="22"/>
          <w:lang w:eastAsia="en-US"/>
        </w:rPr>
        <w:t>,</w:t>
      </w:r>
      <w:r w:rsidR="003A33AB">
        <w:rPr>
          <w:rFonts w:ascii="Palatino Linotype" w:hAnsi="Palatino Linotype" w:eastAsia="Calibri" w:cs="Tahoma"/>
          <w:bCs/>
          <w:color w:val="000000" w:themeColor="text1"/>
          <w:sz w:val="22"/>
          <w:szCs w:val="22"/>
          <w:lang w:eastAsia="en-US"/>
        </w:rPr>
        <w:t xml:space="preserve"> entre los cuales, deberán de contar con certificación de competencia </w:t>
      </w:r>
      <w:r w:rsidR="003A33AB">
        <w:rPr>
          <w:rFonts w:ascii="Palatino Linotype" w:hAnsi="Palatino Linotype" w:eastAsia="Calibri" w:cs="Tahoma"/>
          <w:bCs/>
          <w:color w:val="000000" w:themeColor="text1"/>
          <w:sz w:val="22"/>
          <w:szCs w:val="22"/>
          <w:lang w:eastAsia="en-US"/>
        </w:rPr>
        <w:lastRenderedPageBreak/>
        <w:t>laboral expedida por el Instituto Hacendario del Estado de México o por otra institución de validez oficial, dentro de los seis meses siguientes a la fecha en que inicien funciones.</w:t>
      </w:r>
    </w:p>
    <w:p w:rsidR="00C61EE1" w:rsidP="00274839" w:rsidRDefault="006F692C" w14:paraId="072F46B3" w14:textId="54F1C820">
      <w:pPr>
        <w:spacing w:line="360" w:lineRule="auto"/>
        <w:jc w:val="both"/>
        <w:rPr>
          <w:rFonts w:ascii="Palatino Linotype" w:hAnsi="Palatino Linotype" w:eastAsia="Calibri" w:cs="Tahoma"/>
          <w:bCs/>
          <w:color w:val="000000" w:themeColor="text1"/>
          <w:sz w:val="22"/>
          <w:szCs w:val="22"/>
          <w:lang w:eastAsia="en-US"/>
        </w:rPr>
      </w:pPr>
      <w:r>
        <w:rPr>
          <w:rFonts w:ascii="Palatino Linotype" w:hAnsi="Palatino Linotype" w:eastAsia="Calibri" w:cs="Tahoma"/>
          <w:bCs/>
          <w:color w:val="000000" w:themeColor="text1"/>
          <w:sz w:val="22"/>
          <w:szCs w:val="22"/>
          <w:lang w:eastAsia="en-US"/>
        </w:rPr>
        <w:t xml:space="preserve">  </w:t>
      </w:r>
    </w:p>
    <w:p w:rsidR="0006795B" w:rsidP="0006795B" w:rsidRDefault="0006795B" w14:paraId="746EE5DB" w14:textId="51CF9BF9">
      <w:pPr>
        <w:spacing w:line="360" w:lineRule="auto"/>
        <w:jc w:val="both"/>
        <w:rPr>
          <w:rFonts w:ascii="Palatino Linotype" w:hAnsi="Palatino Linotype" w:eastAsia="Calibri" w:cs="Tahoma"/>
          <w:bCs/>
          <w:color w:val="000000" w:themeColor="text1"/>
          <w:sz w:val="22"/>
          <w:szCs w:val="22"/>
          <w:lang w:eastAsia="en-US"/>
        </w:rPr>
      </w:pPr>
      <w:r>
        <w:rPr>
          <w:rFonts w:ascii="Palatino Linotype" w:hAnsi="Palatino Linotype" w:eastAsia="Calibri" w:cs="Tahoma"/>
          <w:bCs/>
          <w:color w:val="000000" w:themeColor="text1"/>
          <w:sz w:val="22"/>
          <w:szCs w:val="22"/>
          <w:lang w:eastAsia="en-US"/>
        </w:rPr>
        <w:t>Además, el artículo 169, fracción IV, del Código financiero del Estado de México y Municipios, establece que el servidor público que sea designado como titular de la Unidad encargada del catastro municipal deberá estar certificado al momento de su nombramiento, o bien, obtener la certificación en un plazo máximo de seis meses, contados a partir de su designación, ante la Comisión Certificadora de Competencia Laboral de los Servidores Públicos del Estado de México, en relación con la Norma Insti</w:t>
      </w:r>
      <w:r w:rsidRPr="0006795B">
        <w:rPr>
          <w:rFonts w:ascii="Palatino Linotype" w:hAnsi="Palatino Linotype" w:eastAsia="Calibri" w:cs="Tahoma"/>
          <w:bCs/>
          <w:color w:val="000000" w:themeColor="text1"/>
          <w:sz w:val="22"/>
          <w:szCs w:val="22"/>
          <w:lang w:eastAsia="en-US"/>
        </w:rPr>
        <w:t>tucional de Competencia Laboral, denominada</w:t>
      </w:r>
      <w:r>
        <w:rPr>
          <w:rFonts w:ascii="Palatino Linotype" w:hAnsi="Palatino Linotype" w:eastAsia="Calibri" w:cs="Tahoma"/>
          <w:bCs/>
          <w:color w:val="000000" w:themeColor="text1"/>
          <w:sz w:val="22"/>
          <w:szCs w:val="22"/>
          <w:lang w:eastAsia="en-US"/>
        </w:rPr>
        <w:t xml:space="preserve"> </w:t>
      </w:r>
      <w:r w:rsidRPr="0006795B">
        <w:rPr>
          <w:rFonts w:ascii="Palatino Linotype" w:hAnsi="Palatino Linotype" w:eastAsia="Calibri" w:cs="Tahoma"/>
          <w:bCs/>
          <w:color w:val="000000" w:themeColor="text1"/>
          <w:sz w:val="22"/>
          <w:szCs w:val="22"/>
          <w:lang w:eastAsia="en-US"/>
        </w:rPr>
        <w:t>Administración de la Actividad Catastral en el Estado de México y Municipios</w:t>
      </w:r>
      <w:r>
        <w:rPr>
          <w:rFonts w:ascii="Palatino Linotype" w:hAnsi="Palatino Linotype" w:eastAsia="Calibri" w:cs="Tahoma"/>
          <w:bCs/>
          <w:color w:val="000000" w:themeColor="text1"/>
          <w:sz w:val="22"/>
          <w:szCs w:val="22"/>
          <w:lang w:eastAsia="en-US"/>
        </w:rPr>
        <w:t>.</w:t>
      </w:r>
    </w:p>
    <w:p w:rsidR="0006795B" w:rsidP="0006795B" w:rsidRDefault="0006795B" w14:paraId="06BB12DF" w14:textId="77777777">
      <w:pPr>
        <w:spacing w:line="360" w:lineRule="auto"/>
        <w:jc w:val="both"/>
        <w:rPr>
          <w:rFonts w:ascii="Palatino Linotype" w:hAnsi="Palatino Linotype" w:eastAsia="Calibri" w:cs="Tahoma"/>
          <w:bCs/>
          <w:color w:val="000000" w:themeColor="text1"/>
          <w:sz w:val="22"/>
          <w:szCs w:val="22"/>
          <w:lang w:eastAsia="en-US"/>
        </w:rPr>
      </w:pPr>
    </w:p>
    <w:p w:rsidRPr="00EE6F77" w:rsidR="0006795B" w:rsidP="0006795B" w:rsidRDefault="0006795B" w14:paraId="6E988C98" w14:textId="369819E8">
      <w:pPr>
        <w:spacing w:line="360" w:lineRule="auto"/>
        <w:ind w:right="49"/>
        <w:jc w:val="both"/>
        <w:rPr>
          <w:rFonts w:ascii="Palatino Linotype" w:hAnsi="Palatino Linotype" w:cs="Tahoma"/>
          <w:b/>
          <w:bCs/>
          <w:sz w:val="22"/>
          <w:szCs w:val="22"/>
        </w:rPr>
      </w:pPr>
      <w:r>
        <w:rPr>
          <w:rFonts w:ascii="Palatino Linotype" w:hAnsi="Palatino Linotype" w:cs="Tahoma"/>
          <w:sz w:val="22"/>
          <w:szCs w:val="22"/>
        </w:rPr>
        <w:t xml:space="preserve">Por otra parte, </w:t>
      </w:r>
      <w:r w:rsidRPr="00E33783">
        <w:rPr>
          <w:rFonts w:ascii="Palatino Linotype" w:hAnsi="Palatino Linotype" w:cs="Tahoma"/>
          <w:sz w:val="22"/>
          <w:szCs w:val="22"/>
        </w:rPr>
        <w:t xml:space="preserve">el artículo 57, fracción I, de la Ley de Transparencia y Acceso a la Información Pública del Estado de México y Municipios, establece que para que una persona pueda ser nombrada, debe contar con la certificación en materia de acceso a la información, transparencia y protección de datos personales, </w:t>
      </w:r>
      <w:r w:rsidRPr="00EE6F77">
        <w:rPr>
          <w:rFonts w:ascii="Palatino Linotype" w:hAnsi="Palatino Linotype" w:cs="Tahoma"/>
          <w:b/>
          <w:bCs/>
          <w:sz w:val="22"/>
          <w:szCs w:val="22"/>
        </w:rPr>
        <w:t>que para tal efecto emita el Instituto.</w:t>
      </w:r>
    </w:p>
    <w:p w:rsidR="0006795B" w:rsidP="00274839" w:rsidRDefault="0006795B" w14:paraId="5D74F845" w14:textId="77777777">
      <w:pPr>
        <w:spacing w:line="360" w:lineRule="auto"/>
        <w:jc w:val="both"/>
        <w:rPr>
          <w:rFonts w:ascii="Palatino Linotype" w:hAnsi="Palatino Linotype" w:eastAsia="Calibri" w:cs="Tahoma"/>
          <w:bCs/>
          <w:color w:val="000000" w:themeColor="text1"/>
          <w:sz w:val="22"/>
          <w:szCs w:val="22"/>
          <w:lang w:eastAsia="en-US"/>
        </w:rPr>
      </w:pPr>
    </w:p>
    <w:p w:rsidR="00315452" w:rsidP="00274839" w:rsidRDefault="00315452" w14:paraId="5A975781" w14:textId="5744460B">
      <w:pPr>
        <w:spacing w:line="360" w:lineRule="auto"/>
        <w:jc w:val="both"/>
        <w:rPr>
          <w:rFonts w:ascii="Palatino Linotype" w:hAnsi="Palatino Linotype" w:eastAsia="Calibri" w:cs="Tahoma"/>
          <w:bCs/>
          <w:color w:val="000000" w:themeColor="text1"/>
          <w:sz w:val="22"/>
          <w:szCs w:val="22"/>
          <w:lang w:eastAsia="en-US"/>
        </w:rPr>
      </w:pPr>
      <w:r w:rsidRPr="00315452">
        <w:rPr>
          <w:rFonts w:ascii="Palatino Linotype" w:hAnsi="Palatino Linotype" w:eastAsia="Calibri" w:cs="Tahoma"/>
          <w:bCs/>
          <w:color w:val="000000" w:themeColor="text1"/>
          <w:sz w:val="22"/>
          <w:szCs w:val="22"/>
          <w:lang w:eastAsia="en-US"/>
        </w:rPr>
        <w:t>En ese contexto, conforme el apartado de Certificación, de la página oficial del Instituto</w:t>
      </w:r>
      <w:r>
        <w:rPr>
          <w:rFonts w:ascii="Palatino Linotype" w:hAnsi="Palatino Linotype" w:eastAsia="Calibri" w:cs="Tahoma"/>
          <w:bCs/>
          <w:color w:val="000000" w:themeColor="text1"/>
          <w:sz w:val="22"/>
          <w:szCs w:val="22"/>
          <w:lang w:eastAsia="en-US"/>
        </w:rPr>
        <w:t xml:space="preserve"> </w:t>
      </w:r>
      <w:r w:rsidRPr="00315452">
        <w:rPr>
          <w:rFonts w:ascii="Palatino Linotype" w:hAnsi="Palatino Linotype" w:eastAsia="Calibri" w:cs="Tahoma"/>
          <w:bCs/>
          <w:color w:val="000000" w:themeColor="text1"/>
          <w:sz w:val="22"/>
          <w:szCs w:val="22"/>
          <w:lang w:eastAsia="en-US"/>
        </w:rPr>
        <w:t>Hacendario del Estado de México (consulta</w:t>
      </w:r>
      <w:r>
        <w:rPr>
          <w:rFonts w:ascii="Palatino Linotype" w:hAnsi="Palatino Linotype" w:eastAsia="Calibri" w:cs="Tahoma"/>
          <w:bCs/>
          <w:color w:val="000000" w:themeColor="text1"/>
          <w:sz w:val="22"/>
          <w:szCs w:val="22"/>
          <w:lang w:eastAsia="en-US"/>
        </w:rPr>
        <w:t>do</w:t>
      </w:r>
      <w:r w:rsidRPr="00315452">
        <w:rPr>
          <w:rFonts w:ascii="Palatino Linotype" w:hAnsi="Palatino Linotype" w:eastAsia="Calibri" w:cs="Tahoma"/>
          <w:bCs/>
          <w:color w:val="000000" w:themeColor="text1"/>
          <w:sz w:val="22"/>
          <w:szCs w:val="22"/>
          <w:lang w:eastAsia="en-US"/>
        </w:rPr>
        <w:t xml:space="preserve"> el </w:t>
      </w:r>
      <w:r>
        <w:rPr>
          <w:rFonts w:ascii="Palatino Linotype" w:hAnsi="Palatino Linotype" w:eastAsia="Calibri" w:cs="Tahoma"/>
          <w:bCs/>
          <w:color w:val="000000" w:themeColor="text1"/>
          <w:sz w:val="22"/>
          <w:szCs w:val="22"/>
          <w:lang w:eastAsia="en-US"/>
        </w:rPr>
        <w:t>dos</w:t>
      </w:r>
      <w:r w:rsidRPr="00315452">
        <w:rPr>
          <w:rFonts w:ascii="Palatino Linotype" w:hAnsi="Palatino Linotype" w:eastAsia="Calibri" w:cs="Tahoma"/>
          <w:bCs/>
          <w:color w:val="000000" w:themeColor="text1"/>
          <w:sz w:val="22"/>
          <w:szCs w:val="22"/>
          <w:lang w:eastAsia="en-US"/>
        </w:rPr>
        <w:t xml:space="preserve"> de </w:t>
      </w:r>
      <w:r>
        <w:rPr>
          <w:rFonts w:ascii="Palatino Linotype" w:hAnsi="Palatino Linotype" w:eastAsia="Calibri" w:cs="Tahoma"/>
          <w:bCs/>
          <w:color w:val="000000" w:themeColor="text1"/>
          <w:sz w:val="22"/>
          <w:szCs w:val="22"/>
          <w:lang w:eastAsia="en-US"/>
        </w:rPr>
        <w:t>mayo</w:t>
      </w:r>
      <w:r w:rsidRPr="00315452">
        <w:rPr>
          <w:rFonts w:ascii="Palatino Linotype" w:hAnsi="Palatino Linotype" w:eastAsia="Calibri" w:cs="Tahoma"/>
          <w:bCs/>
          <w:color w:val="000000" w:themeColor="text1"/>
          <w:sz w:val="22"/>
          <w:szCs w:val="22"/>
          <w:lang w:eastAsia="en-US"/>
        </w:rPr>
        <w:t xml:space="preserve"> de dos mil veintidós, a las</w:t>
      </w:r>
      <w:r>
        <w:rPr>
          <w:rFonts w:ascii="Palatino Linotype" w:hAnsi="Palatino Linotype" w:eastAsia="Calibri" w:cs="Tahoma"/>
          <w:bCs/>
          <w:color w:val="000000" w:themeColor="text1"/>
          <w:sz w:val="22"/>
          <w:szCs w:val="22"/>
          <w:lang w:eastAsia="en-US"/>
        </w:rPr>
        <w:t xml:space="preserve"> </w:t>
      </w:r>
      <w:r w:rsidRPr="00315452">
        <w:rPr>
          <w:rFonts w:ascii="Palatino Linotype" w:hAnsi="Palatino Linotype" w:eastAsia="Calibri" w:cs="Tahoma"/>
          <w:bCs/>
          <w:color w:val="000000" w:themeColor="text1"/>
          <w:sz w:val="22"/>
          <w:szCs w:val="22"/>
          <w:lang w:eastAsia="en-US"/>
        </w:rPr>
        <w:t xml:space="preserve">catorce horas, en la página </w:t>
      </w:r>
      <w:hyperlink w:history="1" r:id="rId10">
        <w:r w:rsidRPr="00A96249">
          <w:rPr>
            <w:rStyle w:val="Hipervnculo"/>
            <w:rFonts w:ascii="Palatino Linotype" w:hAnsi="Palatino Linotype" w:eastAsia="Calibri" w:cs="Tahoma"/>
            <w:bCs/>
            <w:sz w:val="22"/>
            <w:szCs w:val="22"/>
            <w:lang w:eastAsia="en-US"/>
          </w:rPr>
          <w:t>http://ihaem.edomex.gob.mx/certificacion_cocertem</w:t>
        </w:r>
      </w:hyperlink>
      <w:r w:rsidRPr="00315452">
        <w:rPr>
          <w:rFonts w:ascii="Palatino Linotype" w:hAnsi="Palatino Linotype" w:eastAsia="Calibri" w:cs="Tahoma"/>
          <w:bCs/>
          <w:color w:val="000000" w:themeColor="text1"/>
          <w:sz w:val="22"/>
          <w:szCs w:val="22"/>
          <w:lang w:eastAsia="en-US"/>
        </w:rPr>
        <w:t>),</w:t>
      </w:r>
      <w:r>
        <w:rPr>
          <w:rFonts w:ascii="Palatino Linotype" w:hAnsi="Palatino Linotype" w:eastAsia="Calibri" w:cs="Tahoma"/>
          <w:bCs/>
          <w:color w:val="000000" w:themeColor="text1"/>
          <w:sz w:val="22"/>
          <w:szCs w:val="22"/>
          <w:lang w:eastAsia="en-US"/>
        </w:rPr>
        <w:t xml:space="preserve"> </w:t>
      </w:r>
      <w:r w:rsidRPr="00315452">
        <w:rPr>
          <w:rFonts w:ascii="Palatino Linotype" w:hAnsi="Palatino Linotype" w:eastAsia="Calibri" w:cs="Tahoma"/>
          <w:bCs/>
          <w:color w:val="000000" w:themeColor="text1"/>
          <w:sz w:val="22"/>
          <w:szCs w:val="22"/>
          <w:lang w:eastAsia="en-US"/>
        </w:rPr>
        <w:t>establece</w:t>
      </w:r>
      <w:r>
        <w:rPr>
          <w:rFonts w:ascii="Palatino Linotype" w:hAnsi="Palatino Linotype" w:eastAsia="Calibri" w:cs="Tahoma"/>
          <w:bCs/>
          <w:color w:val="000000" w:themeColor="text1"/>
          <w:sz w:val="22"/>
          <w:szCs w:val="22"/>
          <w:lang w:eastAsia="en-US"/>
        </w:rPr>
        <w:t xml:space="preserve"> </w:t>
      </w:r>
      <w:r w:rsidRPr="00315452">
        <w:rPr>
          <w:rFonts w:ascii="Palatino Linotype" w:hAnsi="Palatino Linotype" w:eastAsia="Calibri" w:cs="Tahoma"/>
          <w:bCs/>
          <w:color w:val="000000" w:themeColor="text1"/>
          <w:sz w:val="22"/>
          <w:szCs w:val="22"/>
          <w:lang w:eastAsia="en-US"/>
        </w:rPr>
        <w:t>que la certificación de competencia laboral, es el proceso mediante el cual un organismo</w:t>
      </w:r>
      <w:r>
        <w:rPr>
          <w:rFonts w:ascii="Palatino Linotype" w:hAnsi="Palatino Linotype" w:eastAsia="Calibri" w:cs="Tahoma"/>
          <w:bCs/>
          <w:color w:val="000000" w:themeColor="text1"/>
          <w:sz w:val="22"/>
          <w:szCs w:val="22"/>
          <w:lang w:eastAsia="en-US"/>
        </w:rPr>
        <w:t xml:space="preserve"> </w:t>
      </w:r>
      <w:r w:rsidRPr="00315452">
        <w:rPr>
          <w:rFonts w:ascii="Palatino Linotype" w:hAnsi="Palatino Linotype" w:eastAsia="Calibri" w:cs="Tahoma"/>
          <w:bCs/>
          <w:color w:val="000000" w:themeColor="text1"/>
          <w:sz w:val="22"/>
          <w:szCs w:val="22"/>
          <w:lang w:eastAsia="en-US"/>
        </w:rPr>
        <w:t>acreditado, reconoce que una persona ha demostrado su competencia, para desempeñar</w:t>
      </w:r>
      <w:r>
        <w:rPr>
          <w:rFonts w:ascii="Palatino Linotype" w:hAnsi="Palatino Linotype" w:eastAsia="Calibri" w:cs="Tahoma"/>
          <w:bCs/>
          <w:color w:val="000000" w:themeColor="text1"/>
          <w:sz w:val="22"/>
          <w:szCs w:val="22"/>
          <w:lang w:eastAsia="en-US"/>
        </w:rPr>
        <w:t xml:space="preserve"> </w:t>
      </w:r>
      <w:r w:rsidRPr="00315452">
        <w:rPr>
          <w:rFonts w:ascii="Palatino Linotype" w:hAnsi="Palatino Linotype" w:eastAsia="Calibri" w:cs="Tahoma"/>
          <w:bCs/>
          <w:color w:val="000000" w:themeColor="text1"/>
          <w:sz w:val="22"/>
          <w:szCs w:val="22"/>
          <w:lang w:eastAsia="en-US"/>
        </w:rPr>
        <w:t>una función productiva determinada, con base en una Norma Institucional de Competencia</w:t>
      </w:r>
      <w:r>
        <w:rPr>
          <w:rFonts w:ascii="Palatino Linotype" w:hAnsi="Palatino Linotype" w:eastAsia="Calibri" w:cs="Tahoma"/>
          <w:bCs/>
          <w:color w:val="000000" w:themeColor="text1"/>
          <w:sz w:val="22"/>
          <w:szCs w:val="22"/>
          <w:lang w:eastAsia="en-US"/>
        </w:rPr>
        <w:t xml:space="preserve"> </w:t>
      </w:r>
      <w:r w:rsidRPr="00315452">
        <w:rPr>
          <w:rFonts w:ascii="Palatino Linotype" w:hAnsi="Palatino Linotype" w:eastAsia="Calibri" w:cs="Tahoma"/>
          <w:bCs/>
          <w:color w:val="000000" w:themeColor="text1"/>
          <w:sz w:val="22"/>
          <w:szCs w:val="22"/>
          <w:lang w:eastAsia="en-US"/>
        </w:rPr>
        <w:t>Laboral aprobada.</w:t>
      </w:r>
      <w:r w:rsidR="00052EA5">
        <w:rPr>
          <w:rFonts w:ascii="Palatino Linotype" w:hAnsi="Palatino Linotype" w:eastAsia="Calibri" w:cs="Tahoma"/>
          <w:bCs/>
          <w:color w:val="000000" w:themeColor="text1"/>
          <w:sz w:val="22"/>
          <w:szCs w:val="22"/>
          <w:lang w:eastAsia="en-US"/>
        </w:rPr>
        <w:t xml:space="preserve"> </w:t>
      </w:r>
    </w:p>
    <w:p w:rsidR="00052EA5" w:rsidP="00274839" w:rsidRDefault="00052EA5" w14:paraId="2C9E7D93" w14:textId="77777777">
      <w:pPr>
        <w:spacing w:line="360" w:lineRule="auto"/>
        <w:jc w:val="both"/>
        <w:rPr>
          <w:rFonts w:ascii="Palatino Linotype" w:hAnsi="Palatino Linotype" w:eastAsia="Calibri" w:cs="Tahoma"/>
          <w:bCs/>
          <w:color w:val="000000" w:themeColor="text1"/>
          <w:sz w:val="22"/>
          <w:szCs w:val="22"/>
          <w:lang w:eastAsia="en-US"/>
        </w:rPr>
      </w:pPr>
    </w:p>
    <w:p w:rsidRPr="00315452" w:rsidR="00315452" w:rsidP="00274839" w:rsidRDefault="00315452" w14:paraId="2F11B2D9" w14:textId="77777777">
      <w:pPr>
        <w:spacing w:line="360" w:lineRule="auto"/>
        <w:jc w:val="both"/>
        <w:rPr>
          <w:rFonts w:ascii="Palatino Linotype" w:hAnsi="Palatino Linotype" w:eastAsia="Calibri" w:cs="Tahoma"/>
          <w:bCs/>
          <w:color w:val="000000" w:themeColor="text1"/>
          <w:sz w:val="22"/>
          <w:szCs w:val="22"/>
          <w:lang w:eastAsia="en-US"/>
        </w:rPr>
      </w:pPr>
      <w:r w:rsidRPr="00315452">
        <w:rPr>
          <w:rFonts w:ascii="Palatino Linotype" w:hAnsi="Palatino Linotype" w:eastAsia="Calibri" w:cs="Tahoma"/>
          <w:bCs/>
          <w:color w:val="000000" w:themeColor="text1"/>
          <w:sz w:val="22"/>
          <w:szCs w:val="22"/>
          <w:lang w:eastAsia="en-US"/>
        </w:rPr>
        <w:t>Además, que la competencia laboral es el conjunto de habilidades, aptitudes y destrezas</w:t>
      </w:r>
    </w:p>
    <w:p w:rsidR="00315452" w:rsidP="00274839" w:rsidRDefault="00315452" w14:paraId="31013C6C" w14:textId="7FB0AEDF">
      <w:pPr>
        <w:spacing w:line="360" w:lineRule="auto"/>
        <w:jc w:val="both"/>
        <w:rPr>
          <w:rFonts w:ascii="Palatino Linotype" w:hAnsi="Palatino Linotype" w:eastAsia="Calibri" w:cs="Tahoma"/>
          <w:bCs/>
          <w:color w:val="000000" w:themeColor="text1"/>
          <w:sz w:val="22"/>
          <w:szCs w:val="22"/>
          <w:lang w:eastAsia="en-US"/>
        </w:rPr>
      </w:pPr>
      <w:r w:rsidRPr="00315452">
        <w:rPr>
          <w:rFonts w:ascii="Palatino Linotype" w:hAnsi="Palatino Linotype" w:eastAsia="Calibri" w:cs="Tahoma"/>
          <w:bCs/>
          <w:color w:val="000000" w:themeColor="text1"/>
          <w:sz w:val="22"/>
          <w:szCs w:val="22"/>
          <w:lang w:eastAsia="en-US"/>
        </w:rPr>
        <w:t>para desempeñar una función productiva.</w:t>
      </w:r>
    </w:p>
    <w:p w:rsidRPr="00A159B9" w:rsidR="00A159B9" w:rsidP="00A159B9" w:rsidRDefault="00A159B9" w14:paraId="00085306" w14:textId="407F9D7F">
      <w:pPr>
        <w:spacing w:line="360" w:lineRule="auto"/>
        <w:jc w:val="both"/>
        <w:rPr>
          <w:rFonts w:ascii="Palatino Linotype" w:hAnsi="Palatino Linotype" w:eastAsia="Calibri" w:cs="Tahoma"/>
          <w:bCs/>
          <w:color w:val="000000" w:themeColor="text1"/>
          <w:sz w:val="22"/>
          <w:szCs w:val="22"/>
          <w:lang w:val="es-ES" w:eastAsia="en-US"/>
        </w:rPr>
      </w:pPr>
      <w:r>
        <w:rPr>
          <w:rFonts w:ascii="Palatino Linotype" w:hAnsi="Palatino Linotype" w:eastAsia="Calibri" w:cs="Tahoma"/>
          <w:bCs/>
          <w:color w:val="000000" w:themeColor="text1"/>
          <w:sz w:val="22"/>
          <w:szCs w:val="22"/>
          <w:lang w:val="es-ES" w:eastAsia="en-US"/>
        </w:rPr>
        <w:lastRenderedPageBreak/>
        <w:t>Ahora bien</w:t>
      </w:r>
      <w:r w:rsidRPr="00A159B9">
        <w:rPr>
          <w:rFonts w:ascii="Palatino Linotype" w:hAnsi="Palatino Linotype" w:eastAsia="Calibri" w:cs="Tahoma"/>
          <w:bCs/>
          <w:color w:val="000000" w:themeColor="text1"/>
          <w:sz w:val="22"/>
          <w:szCs w:val="22"/>
          <w:lang w:val="es-ES" w:eastAsia="en-US"/>
        </w:rPr>
        <w:t xml:space="preserve">, este Instituto realizó una búsqueda en la fracción VII “Directorio de todos los servidores públicos”, del artículo 92, del Portal de Información Pública de Oficio Mexiquense (IPOMEX) del Sujeto Obligado, (consultado el tres de mayo de dos mil veintidós a las once horas, en la liga </w:t>
      </w:r>
      <w:r w:rsidRPr="00CF4D2F" w:rsidR="00CF4D2F">
        <w:rPr>
          <w:rFonts w:ascii="Palatino Linotype" w:hAnsi="Palatino Linotype" w:eastAsia="Calibri" w:cs="Tahoma"/>
          <w:bCs/>
          <w:color w:val="000000" w:themeColor="text1"/>
          <w:sz w:val="22"/>
          <w:szCs w:val="22"/>
          <w:u w:val="single"/>
          <w:lang w:val="es-ES" w:eastAsia="en-US"/>
        </w:rPr>
        <w:t>https://www.ipomex.org.mx/ipo3/lgt/infoExcel/TEOTIHUACAN/art_92_vii/4.web</w:t>
      </w:r>
      <w:r w:rsidRPr="00A159B9">
        <w:rPr>
          <w:rFonts w:ascii="Palatino Linotype" w:hAnsi="Palatino Linotype" w:eastAsia="Calibri" w:cs="Tahoma"/>
          <w:bCs/>
          <w:color w:val="000000" w:themeColor="text1"/>
          <w:sz w:val="22"/>
          <w:szCs w:val="22"/>
          <w:lang w:val="es-ES" w:eastAsia="en-US"/>
        </w:rPr>
        <w:t xml:space="preserve">), del cual se logra advertir </w:t>
      </w:r>
      <w:r w:rsidR="00CF4D2F">
        <w:rPr>
          <w:rFonts w:ascii="Palatino Linotype" w:hAnsi="Palatino Linotype" w:eastAsia="Calibri" w:cs="Tahoma"/>
          <w:bCs/>
          <w:color w:val="000000" w:themeColor="text1"/>
          <w:sz w:val="22"/>
          <w:szCs w:val="22"/>
          <w:lang w:val="es-ES" w:eastAsia="en-US"/>
        </w:rPr>
        <w:t>que los servidores públicos solicitados, fueron dados de alta en enero de dos mil veintidós</w:t>
      </w:r>
      <w:r w:rsidRPr="00A159B9">
        <w:rPr>
          <w:rFonts w:ascii="Palatino Linotype" w:hAnsi="Palatino Linotype" w:eastAsia="Calibri" w:cs="Tahoma"/>
          <w:bCs/>
          <w:color w:val="000000" w:themeColor="text1"/>
          <w:sz w:val="22"/>
          <w:szCs w:val="22"/>
          <w:lang w:val="es-ES" w:eastAsia="en-US"/>
        </w:rPr>
        <w:t>, tal como se muestra a continuación:</w:t>
      </w:r>
    </w:p>
    <w:p w:rsidRPr="00A159B9" w:rsidR="00A159B9" w:rsidP="00A159B9" w:rsidRDefault="00A159B9" w14:paraId="5A65BA96" w14:textId="77777777">
      <w:pPr>
        <w:spacing w:line="360" w:lineRule="auto"/>
        <w:jc w:val="both"/>
        <w:rPr>
          <w:rFonts w:ascii="Palatino Linotype" w:hAnsi="Palatino Linotype" w:eastAsia="Calibri" w:cs="Tahoma"/>
          <w:bCs/>
          <w:color w:val="000000" w:themeColor="text1"/>
          <w:sz w:val="22"/>
          <w:szCs w:val="22"/>
          <w:lang w:eastAsia="en-US"/>
        </w:rPr>
      </w:pPr>
    </w:p>
    <w:p w:rsidRPr="00A159B9" w:rsidR="00A159B9" w:rsidP="00A159B9" w:rsidRDefault="007777A9" w14:paraId="0BB3F78E" w14:textId="7F9A249E">
      <w:pPr>
        <w:spacing w:line="360" w:lineRule="auto"/>
        <w:jc w:val="both"/>
        <w:rPr>
          <w:rFonts w:ascii="Palatino Linotype" w:hAnsi="Palatino Linotype" w:eastAsia="Calibri" w:cs="Tahoma"/>
          <w:bCs/>
          <w:color w:val="000000" w:themeColor="text1"/>
          <w:sz w:val="22"/>
          <w:szCs w:val="22"/>
          <w:lang w:eastAsia="en-US"/>
        </w:rPr>
      </w:pPr>
      <w:r>
        <w:rPr>
          <w:noProof/>
          <w:lang w:eastAsia="es-MX"/>
        </w:rPr>
        <w:drawing>
          <wp:inline distT="0" distB="0" distL="0" distR="0" wp14:anchorId="577BB5D6" wp14:editId="3D76DEE6">
            <wp:extent cx="5612130" cy="345313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3453130"/>
                    </a:xfrm>
                    <a:prstGeom prst="rect">
                      <a:avLst/>
                    </a:prstGeom>
                  </pic:spPr>
                </pic:pic>
              </a:graphicData>
            </a:graphic>
          </wp:inline>
        </w:drawing>
      </w:r>
    </w:p>
    <w:p w:rsidR="00A159B9" w:rsidP="00274839" w:rsidRDefault="00A159B9" w14:paraId="38161244" w14:textId="77777777">
      <w:pPr>
        <w:spacing w:line="360" w:lineRule="auto"/>
        <w:jc w:val="both"/>
        <w:rPr>
          <w:rFonts w:ascii="Palatino Linotype" w:hAnsi="Palatino Linotype" w:eastAsia="Calibri" w:cs="Tahoma"/>
          <w:bCs/>
          <w:color w:val="000000" w:themeColor="text1"/>
          <w:sz w:val="22"/>
          <w:szCs w:val="22"/>
          <w:lang w:eastAsia="en-US"/>
        </w:rPr>
      </w:pPr>
    </w:p>
    <w:p w:rsidR="007777A9" w:rsidP="00274839" w:rsidRDefault="00CF4D2F" w14:paraId="11E9270E" w14:textId="29855F95">
      <w:pPr>
        <w:spacing w:line="360" w:lineRule="auto"/>
        <w:jc w:val="both"/>
        <w:rPr>
          <w:rFonts w:ascii="Palatino Linotype" w:hAnsi="Palatino Linotype" w:eastAsia="Calibri" w:cs="Tahoma"/>
          <w:bCs/>
          <w:color w:val="000000" w:themeColor="text1"/>
          <w:sz w:val="22"/>
          <w:szCs w:val="22"/>
          <w:lang w:eastAsia="en-US"/>
        </w:rPr>
      </w:pPr>
      <w:r>
        <w:rPr>
          <w:rFonts w:ascii="Palatino Linotype" w:hAnsi="Palatino Linotype" w:eastAsia="Calibri" w:cs="Tahoma"/>
          <w:bCs/>
          <w:color w:val="000000" w:themeColor="text1"/>
          <w:sz w:val="22"/>
          <w:szCs w:val="22"/>
          <w:lang w:eastAsia="en-US"/>
        </w:rPr>
        <w:t>C</w:t>
      </w:r>
      <w:r w:rsidR="00E14286">
        <w:rPr>
          <w:rFonts w:ascii="Palatino Linotype" w:hAnsi="Palatino Linotype" w:eastAsia="Calibri" w:cs="Tahoma"/>
          <w:bCs/>
          <w:color w:val="000000" w:themeColor="text1"/>
          <w:sz w:val="22"/>
          <w:szCs w:val="22"/>
          <w:lang w:eastAsia="en-US"/>
        </w:rPr>
        <w:t xml:space="preserve">onforme a lo anterior, se logra vislumbrar que la pretensión del ahora Recurrente es obtener los Certificados de Competencia Laboral </w:t>
      </w:r>
      <w:r>
        <w:rPr>
          <w:rFonts w:ascii="Palatino Linotype" w:hAnsi="Palatino Linotype" w:eastAsia="Calibri" w:cs="Tahoma"/>
          <w:bCs/>
          <w:color w:val="000000" w:themeColor="text1"/>
          <w:sz w:val="22"/>
          <w:szCs w:val="22"/>
          <w:lang w:eastAsia="en-US"/>
        </w:rPr>
        <w:t xml:space="preserve">del </w:t>
      </w:r>
      <w:r w:rsidR="005749B1">
        <w:rPr>
          <w:rFonts w:ascii="Palatino Linotype" w:hAnsi="Palatino Linotype" w:eastAsia="Calibri" w:cs="Tahoma"/>
          <w:bCs/>
          <w:color w:val="000000" w:themeColor="text1"/>
          <w:sz w:val="22"/>
          <w:szCs w:val="22"/>
          <w:lang w:eastAsia="en-US"/>
        </w:rPr>
        <w:t xml:space="preserve">actual </w:t>
      </w:r>
      <w:r>
        <w:rPr>
          <w:rFonts w:ascii="Palatino Linotype" w:hAnsi="Palatino Linotype" w:eastAsia="Calibri" w:cs="Tahoma"/>
          <w:bCs/>
          <w:color w:val="000000" w:themeColor="text1"/>
          <w:sz w:val="22"/>
          <w:szCs w:val="22"/>
          <w:lang w:eastAsia="en-US"/>
        </w:rPr>
        <w:t xml:space="preserve">Secretario del Ayuntamiento, </w:t>
      </w:r>
      <w:r w:rsidR="005749B1">
        <w:rPr>
          <w:rFonts w:ascii="Palatino Linotype" w:hAnsi="Palatino Linotype" w:eastAsia="Calibri" w:cs="Tahoma"/>
          <w:bCs/>
          <w:color w:val="000000" w:themeColor="text1"/>
          <w:sz w:val="22"/>
          <w:szCs w:val="22"/>
          <w:lang w:eastAsia="en-US"/>
        </w:rPr>
        <w:t xml:space="preserve">del </w:t>
      </w:r>
      <w:r>
        <w:rPr>
          <w:rFonts w:ascii="Palatino Linotype" w:hAnsi="Palatino Linotype" w:eastAsia="Calibri" w:cs="Tahoma"/>
          <w:bCs/>
          <w:color w:val="000000" w:themeColor="text1"/>
          <w:sz w:val="22"/>
          <w:szCs w:val="22"/>
          <w:lang w:eastAsia="en-US"/>
        </w:rPr>
        <w:t>Contralor Municipal,</w:t>
      </w:r>
      <w:r w:rsidR="005749B1">
        <w:rPr>
          <w:rFonts w:ascii="Palatino Linotype" w:hAnsi="Palatino Linotype" w:eastAsia="Calibri" w:cs="Tahoma"/>
          <w:bCs/>
          <w:color w:val="000000" w:themeColor="text1"/>
          <w:sz w:val="22"/>
          <w:szCs w:val="22"/>
          <w:lang w:eastAsia="en-US"/>
        </w:rPr>
        <w:t xml:space="preserve"> de la</w:t>
      </w:r>
      <w:r>
        <w:rPr>
          <w:rFonts w:ascii="Palatino Linotype" w:hAnsi="Palatino Linotype" w:eastAsia="Calibri" w:cs="Tahoma"/>
          <w:bCs/>
          <w:color w:val="000000" w:themeColor="text1"/>
          <w:sz w:val="22"/>
          <w:szCs w:val="22"/>
          <w:lang w:eastAsia="en-US"/>
        </w:rPr>
        <w:t xml:space="preserve"> Tesorer</w:t>
      </w:r>
      <w:r w:rsidR="007777A9">
        <w:rPr>
          <w:rFonts w:ascii="Palatino Linotype" w:hAnsi="Palatino Linotype" w:eastAsia="Calibri" w:cs="Tahoma"/>
          <w:bCs/>
          <w:color w:val="000000" w:themeColor="text1"/>
          <w:sz w:val="22"/>
          <w:szCs w:val="22"/>
          <w:lang w:eastAsia="en-US"/>
        </w:rPr>
        <w:t>a</w:t>
      </w:r>
      <w:r>
        <w:rPr>
          <w:rFonts w:ascii="Palatino Linotype" w:hAnsi="Palatino Linotype" w:eastAsia="Calibri" w:cs="Tahoma"/>
          <w:bCs/>
          <w:color w:val="000000" w:themeColor="text1"/>
          <w:sz w:val="22"/>
          <w:szCs w:val="22"/>
          <w:lang w:eastAsia="en-US"/>
        </w:rPr>
        <w:t xml:space="preserve"> Municipal,</w:t>
      </w:r>
      <w:r w:rsidR="005749B1">
        <w:rPr>
          <w:rFonts w:ascii="Palatino Linotype" w:hAnsi="Palatino Linotype" w:eastAsia="Calibri" w:cs="Tahoma"/>
          <w:bCs/>
          <w:color w:val="000000" w:themeColor="text1"/>
          <w:sz w:val="22"/>
          <w:szCs w:val="22"/>
          <w:lang w:eastAsia="en-US"/>
        </w:rPr>
        <w:t xml:space="preserve"> del</w:t>
      </w:r>
      <w:r>
        <w:rPr>
          <w:rFonts w:ascii="Palatino Linotype" w:hAnsi="Palatino Linotype" w:eastAsia="Calibri" w:cs="Tahoma"/>
          <w:bCs/>
          <w:color w:val="000000" w:themeColor="text1"/>
          <w:sz w:val="22"/>
          <w:szCs w:val="22"/>
          <w:lang w:eastAsia="en-US"/>
        </w:rPr>
        <w:t xml:space="preserve"> Director de Desarrollo Urbano</w:t>
      </w:r>
      <w:r w:rsidR="007777A9">
        <w:rPr>
          <w:rFonts w:ascii="Palatino Linotype" w:hAnsi="Palatino Linotype" w:eastAsia="Calibri" w:cs="Tahoma"/>
          <w:bCs/>
          <w:color w:val="000000" w:themeColor="text1"/>
          <w:sz w:val="22"/>
          <w:szCs w:val="22"/>
          <w:lang w:eastAsia="en-US"/>
        </w:rPr>
        <w:t xml:space="preserve">, de Obras Públicas y de Catastro y Tenencia de la Tierra, del Coordinador de Mejora </w:t>
      </w:r>
      <w:r w:rsidR="007777A9">
        <w:rPr>
          <w:rFonts w:ascii="Palatino Linotype" w:hAnsi="Palatino Linotype" w:eastAsia="Calibri" w:cs="Tahoma"/>
          <w:bCs/>
          <w:color w:val="000000" w:themeColor="text1"/>
          <w:sz w:val="22"/>
          <w:szCs w:val="22"/>
          <w:lang w:eastAsia="en-US"/>
        </w:rPr>
        <w:lastRenderedPageBreak/>
        <w:t>Regulatoria, del Titul</w:t>
      </w:r>
      <w:r w:rsidR="005749B1">
        <w:rPr>
          <w:rFonts w:ascii="Palatino Linotype" w:hAnsi="Palatino Linotype" w:eastAsia="Calibri" w:cs="Tahoma"/>
          <w:bCs/>
          <w:color w:val="000000" w:themeColor="text1"/>
          <w:sz w:val="22"/>
          <w:szCs w:val="22"/>
          <w:lang w:eastAsia="en-US"/>
        </w:rPr>
        <w:t>ar de la Unidad de Transparencia y del Oficial Mediador, Conciliador y Calificador.</w:t>
      </w:r>
    </w:p>
    <w:p w:rsidR="00E14286" w:rsidP="00274839" w:rsidRDefault="00E14286" w14:paraId="4E501504" w14:textId="77777777">
      <w:pPr>
        <w:spacing w:line="360" w:lineRule="auto"/>
        <w:jc w:val="both"/>
        <w:rPr>
          <w:rFonts w:ascii="Palatino Linotype" w:hAnsi="Palatino Linotype" w:eastAsia="Calibri" w:cs="Tahoma"/>
          <w:bCs/>
          <w:color w:val="000000" w:themeColor="text1"/>
          <w:sz w:val="22"/>
          <w:szCs w:val="22"/>
          <w:lang w:eastAsia="en-US"/>
        </w:rPr>
      </w:pPr>
    </w:p>
    <w:p w:rsidRPr="0084610A" w:rsidR="00C61EE1" w:rsidP="00274839" w:rsidRDefault="00C61EE1" w14:paraId="2D64001D" w14:textId="07366267">
      <w:pPr>
        <w:spacing w:line="360" w:lineRule="auto"/>
        <w:jc w:val="both"/>
        <w:rPr>
          <w:rFonts w:ascii="Palatino Linotype" w:hAnsi="Palatino Linotype" w:eastAsia="Calibri" w:cs="Tahoma"/>
          <w:bCs/>
          <w:color w:val="000000"/>
          <w:sz w:val="22"/>
          <w:szCs w:val="22"/>
          <w:lang w:eastAsia="en-US"/>
        </w:rPr>
      </w:pPr>
      <w:r w:rsidRPr="0084610A">
        <w:rPr>
          <w:rFonts w:ascii="Palatino Linotype" w:hAnsi="Palatino Linotype" w:eastAsia="Calibri" w:cs="Tahoma"/>
          <w:color w:val="000000"/>
          <w:sz w:val="22"/>
          <w:szCs w:val="22"/>
          <w:lang w:eastAsia="en-US"/>
        </w:rPr>
        <w:t>Ahora bien,</w:t>
      </w:r>
      <w:r>
        <w:rPr>
          <w:rFonts w:ascii="Palatino Linotype" w:hAnsi="Palatino Linotype" w:eastAsia="Calibri" w:cs="Tahoma"/>
          <w:color w:val="000000"/>
          <w:sz w:val="22"/>
          <w:szCs w:val="22"/>
          <w:lang w:eastAsia="en-US"/>
        </w:rPr>
        <w:t xml:space="preserve"> se procede analizar la información proporcionada por el Sujeto Obligado, para lo cual,</w:t>
      </w:r>
      <w:r w:rsidRPr="0084610A">
        <w:rPr>
          <w:rFonts w:ascii="Palatino Linotype" w:hAnsi="Palatino Linotype" w:eastAsia="Calibri" w:cs="Tahoma"/>
          <w:color w:val="000000"/>
          <w:sz w:val="22"/>
          <w:szCs w:val="22"/>
          <w:lang w:eastAsia="en-US"/>
        </w:rPr>
        <w:t xml:space="preserve"> cabe señalar</w:t>
      </w:r>
      <w:r w:rsidRPr="0084610A">
        <w:rPr>
          <w:rFonts w:ascii="Palatino Linotype" w:hAnsi="Palatino Linotype" w:cs="Tahoma" w:eastAsiaTheme="minorHAnsi"/>
          <w:bCs/>
          <w:color w:val="0D0D0D"/>
          <w:sz w:val="22"/>
          <w:szCs w:val="22"/>
          <w:lang w:eastAsia="en-US"/>
        </w:rPr>
        <w:t xml:space="preserve"> que </w:t>
      </w:r>
      <w:r>
        <w:rPr>
          <w:rFonts w:ascii="Palatino Linotype" w:hAnsi="Palatino Linotype" w:cs="Tahoma" w:eastAsiaTheme="minorHAnsi"/>
          <w:bCs/>
          <w:color w:val="0D0D0D"/>
          <w:sz w:val="22"/>
          <w:szCs w:val="22"/>
          <w:lang w:eastAsia="en-US"/>
        </w:rPr>
        <w:t>este</w:t>
      </w:r>
      <w:r w:rsidRPr="0084610A">
        <w:rPr>
          <w:rFonts w:ascii="Palatino Linotype" w:hAnsi="Palatino Linotype" w:cs="Tahoma" w:eastAsiaTheme="minorHAnsi"/>
          <w:bCs/>
          <w:color w:val="0D0D0D"/>
          <w:sz w:val="22"/>
          <w:szCs w:val="22"/>
          <w:lang w:eastAsia="en-US"/>
        </w:rPr>
        <w:t xml:space="preserve">, turnó la solicitud de información, tanto en respuesta, como </w:t>
      </w:r>
      <w:r>
        <w:rPr>
          <w:rFonts w:ascii="Palatino Linotype" w:hAnsi="Palatino Linotype" w:cs="Tahoma" w:eastAsiaTheme="minorHAnsi"/>
          <w:bCs/>
          <w:color w:val="0D0D0D"/>
          <w:sz w:val="22"/>
          <w:szCs w:val="22"/>
          <w:lang w:eastAsia="en-US"/>
        </w:rPr>
        <w:t>en Informe Justificado</w:t>
      </w:r>
      <w:r w:rsidRPr="0084610A">
        <w:rPr>
          <w:rFonts w:ascii="Palatino Linotype" w:hAnsi="Palatino Linotype" w:cs="Tahoma" w:eastAsiaTheme="minorHAnsi"/>
          <w:bCs/>
          <w:color w:val="0D0D0D"/>
          <w:sz w:val="22"/>
          <w:szCs w:val="22"/>
          <w:lang w:eastAsia="en-US"/>
        </w:rPr>
        <w:t xml:space="preserve">, a la </w:t>
      </w:r>
      <w:r w:rsidR="00C615FB">
        <w:rPr>
          <w:rFonts w:ascii="Palatino Linotype" w:hAnsi="Palatino Linotype" w:cs="Tahoma"/>
          <w:sz w:val="22"/>
          <w:szCs w:val="24"/>
          <w:lang w:val="es-ES"/>
        </w:rPr>
        <w:t>Dirección de Administración</w:t>
      </w:r>
      <w:r w:rsidRPr="0084610A">
        <w:rPr>
          <w:rFonts w:ascii="Palatino Linotype" w:hAnsi="Palatino Linotype" w:eastAsia="Calibri" w:cs="Arial"/>
          <w:bCs/>
          <w:color w:val="000000"/>
          <w:sz w:val="22"/>
          <w:szCs w:val="22"/>
          <w:lang w:val="es-ES" w:eastAsia="en-US"/>
        </w:rPr>
        <w:t xml:space="preserve">; </w:t>
      </w:r>
      <w:r w:rsidRPr="0084610A">
        <w:rPr>
          <w:rFonts w:ascii="Palatino Linotype" w:hAnsi="Palatino Linotype" w:eastAsiaTheme="minorHAnsi" w:cstheme="minorBidi"/>
          <w:bCs/>
          <w:color w:val="000000" w:themeColor="text1"/>
          <w:sz w:val="22"/>
          <w:szCs w:val="22"/>
          <w:lang w:val="es-ES" w:eastAsia="en-US"/>
        </w:rPr>
        <w:t xml:space="preserve">por lo que, es oportuno </w:t>
      </w:r>
      <w:r w:rsidRPr="0084610A">
        <w:rPr>
          <w:rFonts w:ascii="Palatino Linotype" w:hAnsi="Palatino Linotype" w:eastAsiaTheme="minorHAnsi" w:cstheme="minorBidi"/>
          <w:bCs/>
          <w:color w:val="000000" w:themeColor="text1"/>
          <w:sz w:val="22"/>
          <w:szCs w:val="22"/>
          <w:lang w:eastAsia="en-US"/>
        </w:rPr>
        <w:t xml:space="preserve">hacer referencia al </w:t>
      </w:r>
      <w:r w:rsidRPr="0084610A">
        <w:rPr>
          <w:rFonts w:ascii="Palatino Linotype" w:hAnsi="Palatino Linotype" w:eastAsiaTheme="minorHAnsi" w:cstheme="minorBidi"/>
          <w:b/>
          <w:bCs/>
          <w:color w:val="000000" w:themeColor="text1"/>
          <w:sz w:val="22"/>
          <w:szCs w:val="22"/>
          <w:lang w:eastAsia="en-US"/>
        </w:rPr>
        <w:t>procedimiento de búsqueda que deben de seguir los Sujetos Obligados para localizar la información</w:t>
      </w:r>
      <w:r w:rsidRPr="0084610A">
        <w:rPr>
          <w:rFonts w:ascii="Palatino Linotype" w:hAnsi="Palatino Linotype" w:eastAsiaTheme="minorHAnsi" w:cstheme="minorBidi"/>
          <w:bCs/>
          <w:color w:val="000000" w:themeColor="text1"/>
          <w:sz w:val="22"/>
          <w:szCs w:val="22"/>
          <w:lang w:eastAsia="en-US"/>
        </w:rPr>
        <w:t xml:space="preserve">, el cual se encuentra previsto en los artículos 160 y 162 de la Ley de Transparencia y Acceso a la Información Pública del Estado de México y Municipios, mismo que es el </w:t>
      </w:r>
      <w:r w:rsidRPr="0084610A">
        <w:rPr>
          <w:rFonts w:ascii="Palatino Linotype" w:hAnsi="Palatino Linotype" w:eastAsia="Calibri" w:cs="Tahoma"/>
          <w:bCs/>
          <w:color w:val="000000"/>
          <w:sz w:val="22"/>
          <w:szCs w:val="22"/>
          <w:lang w:eastAsia="en-US"/>
        </w:rPr>
        <w:t>siguiente:</w:t>
      </w:r>
    </w:p>
    <w:p w:rsidRPr="0084610A" w:rsidR="00C61EE1" w:rsidP="00274839" w:rsidRDefault="00C61EE1" w14:paraId="70652855" w14:textId="77777777">
      <w:pPr>
        <w:spacing w:line="360" w:lineRule="auto"/>
        <w:jc w:val="both"/>
        <w:rPr>
          <w:rFonts w:ascii="Palatino Linotype" w:hAnsi="Palatino Linotype" w:eastAsia="Calibri" w:cs="Tahoma"/>
          <w:bCs/>
          <w:color w:val="000000"/>
          <w:sz w:val="22"/>
          <w:szCs w:val="22"/>
          <w:lang w:eastAsia="en-US"/>
        </w:rPr>
      </w:pPr>
    </w:p>
    <w:p w:rsidRPr="0084610A" w:rsidR="00C61EE1" w:rsidP="00274839" w:rsidRDefault="00C61EE1" w14:paraId="73C92FE0" w14:textId="77777777">
      <w:pPr>
        <w:numPr>
          <w:ilvl w:val="0"/>
          <w:numId w:val="22"/>
        </w:numPr>
        <w:spacing w:line="360" w:lineRule="auto"/>
        <w:jc w:val="both"/>
        <w:rPr>
          <w:rFonts w:ascii="Palatino Linotype" w:hAnsi="Palatino Linotype" w:eastAsiaTheme="minorHAnsi" w:cstheme="minorBidi"/>
          <w:bCs/>
          <w:color w:val="000000" w:themeColor="text1"/>
          <w:sz w:val="22"/>
          <w:szCs w:val="22"/>
          <w:lang w:val="es-ES" w:eastAsia="en-US"/>
        </w:rPr>
      </w:pPr>
      <w:r w:rsidRPr="0084610A">
        <w:rPr>
          <w:rFonts w:ascii="Palatino Linotype" w:hAnsi="Palatino Linotype" w:eastAsiaTheme="minorHAnsi" w:cstheme="minorBidi"/>
          <w:bCs/>
          <w:color w:val="000000" w:themeColor="text1"/>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84610A" w:rsidR="00C61EE1" w:rsidP="00274839" w:rsidRDefault="00C61EE1" w14:paraId="083E8CE7" w14:textId="77777777">
      <w:pPr>
        <w:spacing w:line="360" w:lineRule="auto"/>
        <w:jc w:val="both"/>
        <w:rPr>
          <w:rFonts w:ascii="Palatino Linotype" w:hAnsi="Palatino Linotype" w:eastAsiaTheme="minorHAnsi" w:cstheme="minorBidi"/>
          <w:bCs/>
          <w:color w:val="000000" w:themeColor="text1"/>
          <w:sz w:val="22"/>
          <w:szCs w:val="22"/>
          <w:lang w:val="es-ES" w:eastAsia="en-US"/>
        </w:rPr>
      </w:pPr>
    </w:p>
    <w:p w:rsidRPr="0084610A" w:rsidR="00C61EE1" w:rsidP="00274839" w:rsidRDefault="00C61EE1" w14:paraId="62B03C61" w14:textId="77777777">
      <w:pPr>
        <w:numPr>
          <w:ilvl w:val="0"/>
          <w:numId w:val="22"/>
        </w:numPr>
        <w:spacing w:line="360" w:lineRule="auto"/>
        <w:jc w:val="both"/>
        <w:rPr>
          <w:rFonts w:ascii="Palatino Linotype" w:hAnsi="Palatino Linotype" w:eastAsiaTheme="minorHAnsi" w:cstheme="minorBidi"/>
          <w:bCs/>
          <w:color w:val="000000" w:themeColor="text1"/>
          <w:sz w:val="22"/>
          <w:szCs w:val="22"/>
          <w:lang w:val="es-ES" w:eastAsia="en-US"/>
        </w:rPr>
      </w:pPr>
      <w:r w:rsidRPr="0084610A">
        <w:rPr>
          <w:rFonts w:ascii="Palatino Linotype" w:hAnsi="Palatino Linotype" w:eastAsiaTheme="minorHAnsi" w:cstheme="minorBidi"/>
          <w:bCs/>
          <w:color w:val="000000" w:themeColor="text1"/>
          <w:sz w:val="22"/>
          <w:szCs w:val="22"/>
          <w:lang w:val="es-ES" w:eastAsia="en-U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84610A" w:rsidR="00C61EE1" w:rsidP="00274839" w:rsidRDefault="00C61EE1" w14:paraId="1E093380" w14:textId="77777777">
      <w:pPr>
        <w:spacing w:line="360" w:lineRule="auto"/>
        <w:jc w:val="both"/>
        <w:rPr>
          <w:rFonts w:ascii="Palatino Linotype" w:hAnsi="Palatino Linotype" w:eastAsia="Calibri" w:cs="Tahoma"/>
          <w:bCs/>
          <w:color w:val="000000"/>
          <w:sz w:val="22"/>
          <w:szCs w:val="22"/>
          <w:highlight w:val="green"/>
          <w:lang w:val="es-ES" w:eastAsia="en-US"/>
        </w:rPr>
      </w:pPr>
    </w:p>
    <w:p w:rsidR="00C61EE1" w:rsidP="00274839" w:rsidRDefault="00C61EE1" w14:paraId="62097C4E" w14:textId="42C3199A">
      <w:pPr>
        <w:autoSpaceDE w:val="0"/>
        <w:autoSpaceDN w:val="0"/>
        <w:adjustRightInd w:val="0"/>
        <w:spacing w:line="360" w:lineRule="auto"/>
        <w:jc w:val="both"/>
        <w:rPr>
          <w:rFonts w:ascii="Palatino Linotype" w:hAnsi="Palatino Linotype"/>
          <w:bCs/>
          <w:sz w:val="22"/>
          <w:szCs w:val="22"/>
        </w:rPr>
      </w:pPr>
      <w:r>
        <w:rPr>
          <w:rFonts w:ascii="Palatino Linotype" w:hAnsi="Palatino Linotype"/>
          <w:bCs/>
          <w:sz w:val="22"/>
          <w:szCs w:val="22"/>
          <w:lang w:val="es-ES"/>
        </w:rPr>
        <w:t>Así</w:t>
      </w:r>
      <w:r w:rsidRPr="003F0623">
        <w:rPr>
          <w:rFonts w:ascii="Palatino Linotype" w:hAnsi="Palatino Linotype"/>
          <w:bCs/>
          <w:sz w:val="22"/>
          <w:szCs w:val="22"/>
          <w:lang w:val="es-ES"/>
        </w:rPr>
        <w:t>, a efecto de determinar si el Sujeto Obligado siguió el procedimiento antes descrito, es necesario traer a c</w:t>
      </w:r>
      <w:r>
        <w:rPr>
          <w:rFonts w:ascii="Palatino Linotype" w:hAnsi="Palatino Linotype"/>
          <w:bCs/>
          <w:sz w:val="22"/>
          <w:szCs w:val="22"/>
          <w:lang w:val="es-ES"/>
        </w:rPr>
        <w:t>olación</w:t>
      </w:r>
      <w:r w:rsidRPr="003F0623">
        <w:rPr>
          <w:rFonts w:ascii="Palatino Linotype" w:hAnsi="Palatino Linotype"/>
          <w:bCs/>
          <w:sz w:val="22"/>
          <w:szCs w:val="22"/>
          <w:lang w:val="x-none"/>
        </w:rPr>
        <w:t xml:space="preserve"> </w:t>
      </w:r>
      <w:r>
        <w:rPr>
          <w:rFonts w:ascii="Palatino Linotype" w:hAnsi="Palatino Linotype"/>
          <w:bCs/>
          <w:sz w:val="22"/>
          <w:szCs w:val="22"/>
        </w:rPr>
        <w:t xml:space="preserve">los artículos </w:t>
      </w:r>
      <w:r w:rsidR="00F93428">
        <w:rPr>
          <w:rFonts w:ascii="Palatino Linotype" w:hAnsi="Palatino Linotype"/>
          <w:bCs/>
          <w:sz w:val="22"/>
          <w:szCs w:val="22"/>
        </w:rPr>
        <w:t>33</w:t>
      </w:r>
      <w:r>
        <w:rPr>
          <w:rFonts w:ascii="Palatino Linotype" w:hAnsi="Palatino Linotype"/>
          <w:bCs/>
          <w:sz w:val="22"/>
          <w:szCs w:val="22"/>
        </w:rPr>
        <w:t xml:space="preserve"> y </w:t>
      </w:r>
      <w:r w:rsidR="00C615FB">
        <w:rPr>
          <w:rFonts w:ascii="Palatino Linotype" w:hAnsi="Palatino Linotype"/>
          <w:bCs/>
          <w:sz w:val="22"/>
          <w:szCs w:val="22"/>
        </w:rPr>
        <w:t>61 fracción V</w:t>
      </w:r>
      <w:r>
        <w:rPr>
          <w:rFonts w:ascii="Palatino Linotype" w:hAnsi="Palatino Linotype"/>
          <w:bCs/>
          <w:sz w:val="22"/>
          <w:szCs w:val="22"/>
        </w:rPr>
        <w:t xml:space="preserve"> del </w:t>
      </w:r>
      <w:r w:rsidR="00F93428">
        <w:rPr>
          <w:rFonts w:ascii="Palatino Linotype" w:hAnsi="Palatino Linotype"/>
          <w:bCs/>
          <w:sz w:val="22"/>
          <w:szCs w:val="22"/>
        </w:rPr>
        <w:t>Bando Municipal, dos mil veintidós, del Ayuntamiento de Teotihuacán</w:t>
      </w:r>
      <w:r>
        <w:rPr>
          <w:rFonts w:ascii="Palatino Linotype" w:hAnsi="Palatino Linotype"/>
          <w:bCs/>
          <w:sz w:val="22"/>
          <w:szCs w:val="22"/>
        </w:rPr>
        <w:t xml:space="preserve"> que precisa que el Sujeto Obligado cuenta con diversas unidades administrativas para el ejercicio de sus funciones, entre las cuales se encuentra la Dirección de Administración, encargada de </w:t>
      </w:r>
      <w:r w:rsidR="00F93428">
        <w:rPr>
          <w:rFonts w:ascii="Palatino Linotype" w:hAnsi="Palatino Linotype"/>
          <w:bCs/>
          <w:sz w:val="22"/>
          <w:szCs w:val="22"/>
        </w:rPr>
        <w:t xml:space="preserve">llevar el registro del personal que </w:t>
      </w:r>
      <w:r w:rsidR="00F93428">
        <w:rPr>
          <w:rFonts w:ascii="Palatino Linotype" w:hAnsi="Palatino Linotype"/>
          <w:bCs/>
          <w:sz w:val="22"/>
          <w:szCs w:val="22"/>
        </w:rPr>
        <w:lastRenderedPageBreak/>
        <w:t xml:space="preserve">labora en la Administración Pública Municipal, asegurándose que todos los expedientes estén completos en documentos. </w:t>
      </w:r>
    </w:p>
    <w:p w:rsidR="00C61EE1" w:rsidP="00274839" w:rsidRDefault="00C61EE1" w14:paraId="20F2AF21" w14:textId="77777777">
      <w:pPr>
        <w:autoSpaceDE w:val="0"/>
        <w:autoSpaceDN w:val="0"/>
        <w:adjustRightInd w:val="0"/>
        <w:spacing w:line="360" w:lineRule="auto"/>
        <w:jc w:val="both"/>
        <w:rPr>
          <w:rFonts w:ascii="Palatino Linotype" w:hAnsi="Palatino Linotype"/>
          <w:bCs/>
          <w:sz w:val="22"/>
          <w:szCs w:val="22"/>
        </w:rPr>
      </w:pPr>
    </w:p>
    <w:p w:rsidR="005749B1" w:rsidP="005749B1" w:rsidRDefault="00C61EE1" w14:paraId="6C70024B" w14:textId="77777777">
      <w:pPr>
        <w:spacing w:line="360" w:lineRule="auto"/>
        <w:jc w:val="both"/>
        <w:rPr>
          <w:rFonts w:ascii="Palatino Linotype" w:hAnsi="Palatino Linotype" w:cs="Tahoma"/>
          <w:bCs/>
          <w:color w:val="0D0D0D"/>
          <w:sz w:val="22"/>
          <w:szCs w:val="22"/>
          <w:lang w:val="es-ES"/>
        </w:rPr>
      </w:pPr>
      <w:r>
        <w:rPr>
          <w:rFonts w:ascii="Palatino Linotype" w:hAnsi="Palatino Linotype" w:cs="Tahoma"/>
          <w:bCs/>
          <w:color w:val="0D0D0D"/>
          <w:sz w:val="22"/>
          <w:szCs w:val="22"/>
          <w:lang w:val="es-ES"/>
        </w:rPr>
        <w:t>De tal situación</w:t>
      </w:r>
      <w:r w:rsidRPr="003F0623">
        <w:rPr>
          <w:rFonts w:ascii="Palatino Linotype" w:hAnsi="Palatino Linotype" w:cs="Tahoma"/>
          <w:bCs/>
          <w:color w:val="0D0D0D"/>
          <w:sz w:val="22"/>
          <w:szCs w:val="22"/>
          <w:lang w:val="es-ES"/>
        </w:rPr>
        <w:t xml:space="preserve">, se logra advertir que el Sujeto Obligado cuenta </w:t>
      </w:r>
      <w:r w:rsidR="005749B1">
        <w:rPr>
          <w:rFonts w:ascii="Palatino Linotype" w:hAnsi="Palatino Linotype" w:cs="Tahoma"/>
          <w:bCs/>
          <w:color w:val="0D0D0D"/>
          <w:sz w:val="22"/>
          <w:szCs w:val="22"/>
          <w:lang w:val="es-ES"/>
        </w:rPr>
        <w:t>con una unidad administrativa</w:t>
      </w:r>
      <w:r w:rsidRPr="003F0623">
        <w:rPr>
          <w:rFonts w:ascii="Palatino Linotype" w:hAnsi="Palatino Linotype" w:cs="Tahoma"/>
          <w:bCs/>
          <w:color w:val="0D0D0D"/>
          <w:sz w:val="22"/>
          <w:szCs w:val="22"/>
          <w:lang w:val="es-ES"/>
        </w:rPr>
        <w:t xml:space="preserve"> idónea para conocer de la información solicitada, a saber, </w:t>
      </w:r>
      <w:r w:rsidR="00F01E88">
        <w:rPr>
          <w:rFonts w:ascii="Palatino Linotype" w:hAnsi="Palatino Linotype" w:cs="Tahoma"/>
          <w:bCs/>
          <w:color w:val="0D0D0D"/>
          <w:sz w:val="22"/>
          <w:szCs w:val="22"/>
          <w:lang w:val="es-ES"/>
        </w:rPr>
        <w:t>la Dirección de Administración</w:t>
      </w:r>
      <w:r>
        <w:rPr>
          <w:rFonts w:ascii="Palatino Linotype" w:hAnsi="Palatino Linotype" w:cs="Tahoma"/>
          <w:bCs/>
          <w:color w:val="0D0D0D"/>
          <w:sz w:val="22"/>
          <w:szCs w:val="22"/>
        </w:rPr>
        <w:t xml:space="preserve">, pues </w:t>
      </w:r>
      <w:r>
        <w:rPr>
          <w:rFonts w:ascii="Palatino Linotype" w:hAnsi="Palatino Linotype" w:cs="Tahoma"/>
          <w:bCs/>
          <w:color w:val="0D0D0D"/>
          <w:sz w:val="22"/>
          <w:szCs w:val="22"/>
          <w:lang w:val="es-ES"/>
        </w:rPr>
        <w:t xml:space="preserve">ve todas las cuestiones relacionadas con </w:t>
      </w:r>
      <w:r w:rsidR="00001D24">
        <w:rPr>
          <w:rFonts w:ascii="Palatino Linotype" w:hAnsi="Palatino Linotype" w:cs="Tahoma"/>
          <w:bCs/>
          <w:color w:val="0D0D0D"/>
          <w:sz w:val="22"/>
          <w:szCs w:val="22"/>
          <w:lang w:val="es-ES"/>
        </w:rPr>
        <w:t>los documentos para integrar los expedientes de los</w:t>
      </w:r>
      <w:r>
        <w:rPr>
          <w:rFonts w:ascii="Palatino Linotype" w:hAnsi="Palatino Linotype" w:cs="Tahoma"/>
          <w:bCs/>
          <w:color w:val="0D0D0D"/>
          <w:sz w:val="22"/>
          <w:szCs w:val="22"/>
          <w:lang w:val="es-ES"/>
        </w:rPr>
        <w:t xml:space="preserve"> servidores públicos adscritos al </w:t>
      </w:r>
      <w:r w:rsidRPr="00727C33">
        <w:rPr>
          <w:rFonts w:ascii="Palatino Linotype" w:hAnsi="Palatino Linotype" w:cs="Tahoma"/>
          <w:bCs/>
          <w:color w:val="0D0D0D"/>
          <w:sz w:val="22"/>
          <w:szCs w:val="22"/>
          <w:lang w:val="es-ES"/>
        </w:rPr>
        <w:t xml:space="preserve">Ayuntamiento de </w:t>
      </w:r>
      <w:r w:rsidR="00001D24">
        <w:rPr>
          <w:rFonts w:ascii="Palatino Linotype" w:hAnsi="Palatino Linotype" w:cs="Tahoma"/>
          <w:bCs/>
          <w:color w:val="0D0D0D"/>
          <w:sz w:val="22"/>
          <w:szCs w:val="22"/>
          <w:lang w:val="es-ES"/>
        </w:rPr>
        <w:t>Teotihuacán</w:t>
      </w:r>
      <w:r w:rsidRPr="003F0623">
        <w:rPr>
          <w:rFonts w:ascii="Palatino Linotype" w:hAnsi="Palatino Linotype" w:cs="Tahoma"/>
          <w:bCs/>
          <w:color w:val="0D0D0D"/>
          <w:sz w:val="22"/>
          <w:szCs w:val="22"/>
          <w:lang w:val="es-ES"/>
        </w:rPr>
        <w:t>; por lo que, se colige que cumplió con parte de lo establecido en el artículo 162 de la Ley de Transparencia y Acceso a la Información Pública del Estado de México y Municipios.</w:t>
      </w:r>
    </w:p>
    <w:p w:rsidR="005749B1" w:rsidP="005749B1" w:rsidRDefault="005749B1" w14:paraId="5CF044C5" w14:textId="77777777">
      <w:pPr>
        <w:spacing w:line="360" w:lineRule="auto"/>
        <w:jc w:val="both"/>
        <w:rPr>
          <w:rFonts w:ascii="Palatino Linotype" w:hAnsi="Palatino Linotype" w:cs="Tahoma"/>
          <w:bCs/>
          <w:color w:val="0D0D0D"/>
          <w:sz w:val="22"/>
          <w:szCs w:val="22"/>
          <w:lang w:val="es-ES"/>
        </w:rPr>
      </w:pPr>
    </w:p>
    <w:p w:rsidRPr="003D18B6" w:rsidR="003D18B6" w:rsidP="003D18B6" w:rsidRDefault="00C61EE1" w14:paraId="1DE8D7BA" w14:textId="452F43F4">
      <w:pPr>
        <w:spacing w:line="360" w:lineRule="auto"/>
        <w:jc w:val="both"/>
        <w:rPr>
          <w:rFonts w:ascii="Palatino Linotype" w:hAnsi="Palatino Linotype" w:cs="Tahoma"/>
          <w:bCs/>
          <w:color w:val="0D0D0D" w:themeColor="text1" w:themeTint="F2"/>
          <w:sz w:val="22"/>
          <w:szCs w:val="24"/>
        </w:rPr>
      </w:pPr>
      <w:r>
        <w:rPr>
          <w:rFonts w:ascii="Palatino Linotype" w:hAnsi="Palatino Linotype" w:cs="Tahoma"/>
          <w:bCs/>
          <w:color w:val="0D0D0D" w:themeColor="text1" w:themeTint="F2"/>
          <w:sz w:val="22"/>
          <w:szCs w:val="24"/>
          <w:lang w:val="es-ES"/>
        </w:rPr>
        <w:t>Ahora bien, dicha área</w:t>
      </w:r>
      <w:r w:rsidR="005749B1">
        <w:rPr>
          <w:rFonts w:ascii="Palatino Linotype" w:hAnsi="Palatino Linotype" w:cs="Tahoma"/>
          <w:bCs/>
          <w:color w:val="0D0D0D" w:themeColor="text1" w:themeTint="F2"/>
          <w:sz w:val="22"/>
          <w:szCs w:val="24"/>
          <w:lang w:val="es-ES"/>
        </w:rPr>
        <w:t>,</w:t>
      </w:r>
      <w:r>
        <w:rPr>
          <w:rFonts w:ascii="Palatino Linotype" w:hAnsi="Palatino Linotype" w:cs="Tahoma"/>
          <w:bCs/>
          <w:color w:val="0D0D0D" w:themeColor="text1" w:themeTint="F2"/>
          <w:sz w:val="22"/>
          <w:szCs w:val="24"/>
          <w:lang w:val="es-ES"/>
        </w:rPr>
        <w:t xml:space="preserve"> </w:t>
      </w:r>
      <w:r w:rsidR="006D10AE">
        <w:rPr>
          <w:rFonts w:ascii="Palatino Linotype" w:hAnsi="Palatino Linotype" w:cs="Tahoma"/>
          <w:bCs/>
          <w:color w:val="0D0D0D" w:themeColor="text1" w:themeTint="F2"/>
          <w:sz w:val="22"/>
          <w:szCs w:val="24"/>
          <w:lang w:val="es-ES"/>
        </w:rPr>
        <w:t xml:space="preserve">tanto </w:t>
      </w:r>
      <w:r w:rsidR="005749B1">
        <w:rPr>
          <w:rFonts w:ascii="Palatino Linotype" w:hAnsi="Palatino Linotype" w:cs="Tahoma"/>
          <w:bCs/>
          <w:color w:val="0D0D0D" w:themeColor="text1" w:themeTint="F2"/>
          <w:sz w:val="22"/>
          <w:szCs w:val="24"/>
          <w:lang w:val="es-ES"/>
        </w:rPr>
        <w:t>en</w:t>
      </w:r>
      <w:r>
        <w:rPr>
          <w:rFonts w:ascii="Palatino Linotype" w:hAnsi="Palatino Linotype" w:cs="Tahoma"/>
          <w:bCs/>
          <w:color w:val="0D0D0D" w:themeColor="text1" w:themeTint="F2"/>
          <w:sz w:val="22"/>
          <w:szCs w:val="24"/>
          <w:lang w:val="es-ES"/>
        </w:rPr>
        <w:t xml:space="preserve"> respuesta</w:t>
      </w:r>
      <w:r w:rsidR="005749B1">
        <w:rPr>
          <w:rFonts w:ascii="Palatino Linotype" w:hAnsi="Palatino Linotype" w:cs="Tahoma"/>
          <w:bCs/>
          <w:color w:val="0D0D0D" w:themeColor="text1" w:themeTint="F2"/>
          <w:sz w:val="22"/>
          <w:szCs w:val="24"/>
          <w:lang w:val="es-ES"/>
        </w:rPr>
        <w:t>, como</w:t>
      </w:r>
      <w:r w:rsidR="006D10AE">
        <w:rPr>
          <w:rFonts w:ascii="Palatino Linotype" w:hAnsi="Palatino Linotype" w:cs="Tahoma"/>
          <w:bCs/>
          <w:color w:val="0D0D0D" w:themeColor="text1" w:themeTint="F2"/>
          <w:sz w:val="22"/>
          <w:szCs w:val="24"/>
          <w:lang w:val="es-ES"/>
        </w:rPr>
        <w:t xml:space="preserve"> </w:t>
      </w:r>
      <w:r w:rsidR="005749B1">
        <w:rPr>
          <w:rFonts w:ascii="Palatino Linotype" w:hAnsi="Palatino Linotype" w:cs="Tahoma"/>
          <w:bCs/>
          <w:color w:val="0D0D0D" w:themeColor="text1" w:themeTint="F2"/>
          <w:sz w:val="22"/>
          <w:szCs w:val="24"/>
          <w:lang w:val="es-ES"/>
        </w:rPr>
        <w:t>I</w:t>
      </w:r>
      <w:r w:rsidR="006D10AE">
        <w:rPr>
          <w:rFonts w:ascii="Palatino Linotype" w:hAnsi="Palatino Linotype" w:cs="Tahoma"/>
          <w:bCs/>
          <w:color w:val="0D0D0D" w:themeColor="text1" w:themeTint="F2"/>
          <w:sz w:val="22"/>
          <w:szCs w:val="24"/>
          <w:lang w:val="es-ES"/>
        </w:rPr>
        <w:t>nforme Justificado</w:t>
      </w:r>
      <w:r w:rsidR="000C1AA2">
        <w:rPr>
          <w:rFonts w:ascii="Palatino Linotype" w:hAnsi="Palatino Linotype" w:cs="Tahoma"/>
          <w:bCs/>
          <w:color w:val="0D0D0D" w:themeColor="text1" w:themeTint="F2"/>
          <w:sz w:val="22"/>
          <w:szCs w:val="24"/>
          <w:lang w:val="es-ES"/>
        </w:rPr>
        <w:t xml:space="preserve"> </w:t>
      </w:r>
      <w:r>
        <w:rPr>
          <w:rFonts w:ascii="Palatino Linotype" w:hAnsi="Palatino Linotype" w:cs="Tahoma"/>
          <w:bCs/>
          <w:color w:val="0D0D0D" w:themeColor="text1" w:themeTint="F2"/>
          <w:sz w:val="22"/>
          <w:szCs w:val="24"/>
          <w:lang w:val="es-ES"/>
        </w:rPr>
        <w:t xml:space="preserve">refirió </w:t>
      </w:r>
      <w:r w:rsidR="000C1AA2">
        <w:rPr>
          <w:rFonts w:ascii="Palatino Linotype" w:hAnsi="Palatino Linotype" w:cs="Tahoma"/>
          <w:bCs/>
          <w:color w:val="0D0D0D" w:themeColor="text1" w:themeTint="F2"/>
          <w:sz w:val="22"/>
          <w:szCs w:val="24"/>
          <w:lang w:val="es-ES"/>
        </w:rPr>
        <w:t xml:space="preserve">que los Certificados de competencia laboral del </w:t>
      </w:r>
      <w:r w:rsidRPr="003D18B6" w:rsidR="003D18B6">
        <w:rPr>
          <w:rFonts w:ascii="Palatino Linotype" w:hAnsi="Palatino Linotype" w:cs="Tahoma"/>
          <w:bCs/>
          <w:color w:val="0D0D0D" w:themeColor="text1" w:themeTint="F2"/>
          <w:sz w:val="22"/>
          <w:szCs w:val="24"/>
        </w:rPr>
        <w:t>Secretario del Ayuntamiento, del Contralor Municipal, de la Tesorera Municipal, del Director de Desarrollo Urbano, de Obras Públicas y de Catastro y Tenencia de la Tierra, del Coordinador de Mejora Regulatoria, del Titular y del Oficial Mediador, Conciliador y C</w:t>
      </w:r>
      <w:r w:rsidR="003D18B6">
        <w:rPr>
          <w:rFonts w:ascii="Palatino Linotype" w:hAnsi="Palatino Linotype" w:cs="Tahoma"/>
          <w:bCs/>
          <w:color w:val="0D0D0D" w:themeColor="text1" w:themeTint="F2"/>
          <w:sz w:val="22"/>
          <w:szCs w:val="24"/>
        </w:rPr>
        <w:t>alificador, se encontraban en proceso, es decir, que se encontraba realizado el proceso de certificación para obtener dicho documento.</w:t>
      </w:r>
    </w:p>
    <w:p w:rsidR="0073572E" w:rsidP="003D18B6" w:rsidRDefault="0073572E" w14:paraId="7E5B932D" w14:textId="54640395">
      <w:pPr>
        <w:spacing w:line="360" w:lineRule="auto"/>
        <w:jc w:val="both"/>
        <w:rPr>
          <w:rFonts w:ascii="Palatino Linotype" w:hAnsi="Palatino Linotype" w:cs="Tahoma"/>
          <w:bCs/>
          <w:color w:val="0D0D0D" w:themeColor="text1" w:themeTint="F2"/>
          <w:sz w:val="22"/>
          <w:szCs w:val="24"/>
          <w:lang w:val="es-ES"/>
        </w:rPr>
      </w:pPr>
    </w:p>
    <w:p w:rsidRPr="00B52B5A" w:rsidR="00620EF7" w:rsidP="00274839" w:rsidRDefault="00620EF7" w14:paraId="0E838373" w14:textId="77777777">
      <w:pPr>
        <w:spacing w:line="360" w:lineRule="auto"/>
        <w:jc w:val="both"/>
        <w:rPr>
          <w:rFonts w:ascii="Palatino Linotype" w:hAnsi="Palatino Linotype" w:cs="Tahoma"/>
          <w:sz w:val="22"/>
          <w:szCs w:val="22"/>
          <w:lang w:val="es-ES"/>
        </w:rPr>
      </w:pPr>
      <w:r>
        <w:rPr>
          <w:rFonts w:ascii="Palatino Linotype" w:hAnsi="Palatino Linotype" w:eastAsia="Calibri" w:cs="Tahoma"/>
          <w:color w:val="000000"/>
          <w:sz w:val="22"/>
          <w:szCs w:val="22"/>
          <w:lang w:val="es-ES" w:eastAsia="en-US"/>
        </w:rPr>
        <w:t>Al respecto</w:t>
      </w:r>
      <w:r w:rsidRPr="00B52B5A">
        <w:rPr>
          <w:rFonts w:ascii="Palatino Linotype" w:hAnsi="Palatino Linotype" w:eastAsia="Calibri" w:cs="Tahoma"/>
          <w:bCs/>
          <w:sz w:val="22"/>
          <w:szCs w:val="22"/>
          <w:lang w:val="es-ES" w:eastAsia="en-US"/>
        </w:rPr>
        <w:t xml:space="preserve">, cabe señalar que </w:t>
      </w:r>
      <w:r w:rsidRPr="00B52B5A">
        <w:rPr>
          <w:rFonts w:ascii="Palatino Linotype" w:hAnsi="Palatino Linotype" w:cs="Tahoma"/>
          <w:sz w:val="22"/>
          <w:szCs w:val="22"/>
          <w:lang w:val="es-ES"/>
        </w:rPr>
        <w:t>este Instituto, no tiene atribuciones para pronunciarse sobre la veracidad de la información</w:t>
      </w:r>
      <w:r>
        <w:rPr>
          <w:rFonts w:ascii="Palatino Linotype" w:hAnsi="Palatino Linotype" w:cs="Tahoma"/>
          <w:sz w:val="22"/>
          <w:szCs w:val="22"/>
          <w:lang w:val="es-ES"/>
        </w:rPr>
        <w:t>, sobre todo si se pronuncia el área competente</w:t>
      </w:r>
      <w:r w:rsidRPr="00B52B5A">
        <w:rPr>
          <w:rFonts w:ascii="Palatino Linotype" w:hAnsi="Palatino Linotype" w:cs="Tahoma"/>
          <w:sz w:val="22"/>
          <w:szCs w:val="22"/>
          <w:lang w:val="es-ES"/>
        </w:rPr>
        <w:t>; apoya lo anterior, el Criterio histórico 31/10, emitido por el Pleno del entonces Instituto Federal de Acceso a la Información y Protección de Datos, que a continuación se cita:</w:t>
      </w:r>
    </w:p>
    <w:p w:rsidRPr="00B52B5A" w:rsidR="00620EF7" w:rsidP="00274839" w:rsidRDefault="00620EF7" w14:paraId="665687F9" w14:textId="77777777">
      <w:pPr>
        <w:spacing w:line="360" w:lineRule="auto"/>
        <w:jc w:val="both"/>
        <w:rPr>
          <w:rFonts w:ascii="Palatino Linotype" w:hAnsi="Palatino Linotype" w:cs="Tahoma"/>
          <w:sz w:val="22"/>
          <w:szCs w:val="22"/>
          <w:lang w:val="es-ES"/>
        </w:rPr>
      </w:pPr>
    </w:p>
    <w:p w:rsidRPr="000C2231" w:rsidR="00620EF7" w:rsidP="00274839" w:rsidRDefault="00620EF7" w14:paraId="6078E544" w14:textId="0E9CF536">
      <w:pPr>
        <w:spacing w:line="360" w:lineRule="auto"/>
        <w:ind w:left="567" w:right="567"/>
        <w:jc w:val="both"/>
        <w:rPr>
          <w:rFonts w:ascii="Palatino Linotype" w:hAnsi="Palatino Linotype" w:cs="Tahoma"/>
          <w:i/>
          <w:lang w:val="es-ES"/>
        </w:rPr>
      </w:pPr>
      <w:r w:rsidRPr="00B52B5A">
        <w:rPr>
          <w:rFonts w:ascii="Palatino Linotype" w:hAnsi="Palatino Linotype" w:cs="Tahoma"/>
          <w:b/>
          <w:i/>
          <w:lang w:val="es-ES"/>
        </w:rPr>
        <w:t xml:space="preserve">“El Instituto Federal de Acceso a la Información y Protección de Datos </w:t>
      </w:r>
      <w:r w:rsidRPr="00B52B5A">
        <w:rPr>
          <w:rFonts w:ascii="Palatino Linotype" w:hAnsi="Palatino Linotype" w:cs="Tahoma"/>
          <w:b/>
          <w:i/>
          <w:u w:val="single"/>
          <w:lang w:val="es-ES"/>
        </w:rPr>
        <w:t xml:space="preserve">no cuenta con facultades para pronunciarse respecto de la veracidad de los documentos proporcionados por los sujetos obligados. </w:t>
      </w:r>
      <w:r w:rsidRPr="00B52B5A">
        <w:rPr>
          <w:rFonts w:ascii="Palatino Linotype" w:hAnsi="Palatino Linotype" w:cs="Tahoma"/>
          <w:i/>
          <w:lang w:val="es-ES"/>
        </w:rPr>
        <w:t xml:space="preserve">El Instituto Federal de Acceso a la Información y Protección de Datos es un órgano de la Administración Pública Federal con autonomía operativa, presupuestaria y de decisión, encargado de promover y difundir el ejercicio del derecho de acceso </w:t>
      </w:r>
      <w:r w:rsidRPr="00B52B5A">
        <w:rPr>
          <w:rFonts w:ascii="Palatino Linotype" w:hAnsi="Palatino Linotype" w:cs="Tahoma"/>
          <w:i/>
          <w:lang w:val="es-ES"/>
        </w:rPr>
        <w:lastRenderedPageBreak/>
        <w:t>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0C2231" w:rsidP="00274839" w:rsidRDefault="000C2231" w14:paraId="2E3F167C" w14:textId="454E6445">
      <w:pPr>
        <w:spacing w:line="360" w:lineRule="auto"/>
        <w:jc w:val="both"/>
        <w:rPr>
          <w:rFonts w:ascii="Palatino Linotype" w:hAnsi="Palatino Linotype" w:eastAsia="Calibri"/>
          <w:color w:val="000000" w:themeColor="text1"/>
          <w:sz w:val="22"/>
          <w:szCs w:val="22"/>
          <w:lang w:eastAsia="en-US"/>
        </w:rPr>
      </w:pPr>
    </w:p>
    <w:p w:rsidRPr="003D18B6" w:rsidR="003D18B6" w:rsidP="003D18B6" w:rsidRDefault="003D18B6" w14:paraId="6A904B12" w14:textId="77777777">
      <w:pPr>
        <w:spacing w:line="360" w:lineRule="auto"/>
        <w:jc w:val="both"/>
        <w:rPr>
          <w:rFonts w:ascii="Palatino Linotype" w:hAnsi="Palatino Linotype" w:cs="Tahoma"/>
          <w:sz w:val="22"/>
          <w:szCs w:val="22"/>
        </w:rPr>
      </w:pPr>
      <w:r w:rsidRPr="003D18B6">
        <w:rPr>
          <w:rFonts w:ascii="Palatino Linotype" w:hAnsi="Palatino Linotype"/>
          <w:iCs/>
          <w:sz w:val="22"/>
        </w:rPr>
        <w:t xml:space="preserve">Conforme a lo anterior, el Sujeto Obligado aludió a que la información era inexistente; </w:t>
      </w:r>
      <w:r w:rsidRPr="003D18B6">
        <w:rPr>
          <w:rFonts w:ascii="Palatino Linotype" w:hAnsi="Palatino Linotype" w:eastAsia="Calibri" w:cs="Tahoma"/>
          <w:bCs/>
          <w:sz w:val="22"/>
          <w:szCs w:val="22"/>
          <w:lang w:eastAsia="en-US"/>
        </w:rPr>
        <w:t>sobre el tema</w:t>
      </w:r>
      <w:r w:rsidRPr="003D18B6">
        <w:rPr>
          <w:rFonts w:ascii="Palatino Linotype" w:hAnsi="Palatino Linotype" w:cs="Tahoma"/>
          <w:bCs/>
          <w:sz w:val="22"/>
          <w:szCs w:val="22"/>
        </w:rPr>
        <w:t xml:space="preserve">, resulta necesario traer por analogía el Criterio 20/13, emitido por el Pleno del entonces </w:t>
      </w:r>
      <w:r w:rsidRPr="003D18B6">
        <w:rPr>
          <w:rFonts w:ascii="Palatino Linotype" w:hAnsi="Palatino Linotype" w:cs="Tahoma"/>
          <w:sz w:val="22"/>
          <w:szCs w:val="22"/>
        </w:rPr>
        <w:t>Instituto Federal de Acceso a la Información y Protección de Datos, que establece que cuando un documento, sea producto de un proceso deliberativo, este será inexistente hasta en tanto, no concluya la deliberación.</w:t>
      </w:r>
    </w:p>
    <w:p w:rsidRPr="003D18B6" w:rsidR="003D18B6" w:rsidP="003D18B6" w:rsidRDefault="003D18B6" w14:paraId="3C9CE168" w14:textId="77777777">
      <w:pPr>
        <w:spacing w:line="360" w:lineRule="auto"/>
        <w:jc w:val="both"/>
        <w:rPr>
          <w:rFonts w:ascii="Palatino Linotype" w:hAnsi="Palatino Linotype" w:cs="Tahoma"/>
          <w:sz w:val="22"/>
          <w:szCs w:val="22"/>
        </w:rPr>
      </w:pPr>
    </w:p>
    <w:p w:rsidRPr="003D18B6" w:rsidR="003D18B6" w:rsidP="003D18B6" w:rsidRDefault="003D18B6" w14:paraId="698033E3" w14:textId="77777777">
      <w:pPr>
        <w:spacing w:line="360" w:lineRule="auto"/>
        <w:jc w:val="both"/>
        <w:rPr>
          <w:rFonts w:ascii="Palatino Linotype" w:hAnsi="Palatino Linotype" w:cs="Tahoma"/>
          <w:sz w:val="22"/>
          <w:szCs w:val="22"/>
        </w:rPr>
      </w:pPr>
      <w:r w:rsidRPr="003D18B6">
        <w:rPr>
          <w:rFonts w:ascii="Palatino Linotype" w:hAnsi="Palatino Linotype" w:cs="Tahoma"/>
          <w:bCs/>
          <w:sz w:val="22"/>
          <w:szCs w:val="22"/>
        </w:rPr>
        <w:t>En ese orden de ideas</w:t>
      </w:r>
      <w:r w:rsidRPr="003D18B6">
        <w:rPr>
          <w:rFonts w:ascii="Palatino Linotype" w:hAnsi="Palatino Linotype" w:cs="Tahoma"/>
          <w:sz w:val="22"/>
          <w:szCs w:val="22"/>
        </w:rPr>
        <w:t>, el Criterio 14/17, emitido por el Instituto Nacional de Transparencia, Acceso a la Información Pública y Protección de Datos Personales en el Estado de México y Municipios, señala lo siguiente:</w:t>
      </w:r>
    </w:p>
    <w:p w:rsidRPr="003D18B6" w:rsidR="003D18B6" w:rsidP="003D18B6" w:rsidRDefault="003D18B6" w14:paraId="765374E3" w14:textId="77777777">
      <w:pPr>
        <w:spacing w:line="360" w:lineRule="auto"/>
        <w:jc w:val="both"/>
        <w:rPr>
          <w:rFonts w:ascii="Palatino Linotype" w:hAnsi="Palatino Linotype" w:cs="Tahoma"/>
          <w:sz w:val="22"/>
          <w:szCs w:val="22"/>
        </w:rPr>
      </w:pPr>
    </w:p>
    <w:p w:rsidRPr="003D18B6" w:rsidR="003D18B6" w:rsidP="003D18B6" w:rsidRDefault="003D18B6" w14:paraId="7AB8181B" w14:textId="77777777">
      <w:pPr>
        <w:spacing w:line="360" w:lineRule="auto"/>
        <w:ind w:left="567" w:right="567"/>
        <w:jc w:val="both"/>
        <w:rPr>
          <w:rFonts w:ascii="Palatino Linotype" w:hAnsi="Palatino Linotype" w:cs="Tahoma"/>
          <w:bCs/>
          <w:i/>
          <w:lang w:val="es-ES"/>
        </w:rPr>
      </w:pPr>
      <w:r w:rsidRPr="003D18B6">
        <w:rPr>
          <w:rFonts w:ascii="Palatino Linotype" w:hAnsi="Palatino Linotype" w:cs="Tahoma"/>
          <w:bCs/>
          <w:i/>
          <w:lang w:val="es-ES"/>
        </w:rPr>
        <w:t>“</w:t>
      </w:r>
      <w:r w:rsidRPr="003D18B6">
        <w:rPr>
          <w:rFonts w:ascii="Palatino Linotype" w:hAnsi="Palatino Linotype" w:cs="Tahoma"/>
          <w:b/>
          <w:bCs/>
          <w:i/>
          <w:lang w:val="es-ES"/>
        </w:rPr>
        <w:t xml:space="preserve">Inexistencia. </w:t>
      </w:r>
      <w:r w:rsidRPr="003D18B6">
        <w:rPr>
          <w:rFonts w:ascii="Palatino Linotype" w:hAnsi="Palatino Linotype" w:cs="Tahoma"/>
          <w:bCs/>
          <w:i/>
          <w:lang w:val="es-ES"/>
        </w:rPr>
        <w:t>La inexistencia es una cuestión de hecho que se atribuye a la información solicitada e implica que ésta no se encuentra en los archivos del sujeto obligado, no obstante que cuenta con facultades para poseerla.”</w:t>
      </w:r>
    </w:p>
    <w:p w:rsidRPr="003D18B6" w:rsidR="003D18B6" w:rsidP="003D18B6" w:rsidRDefault="003D18B6" w14:paraId="0381B687" w14:textId="77777777">
      <w:pPr>
        <w:spacing w:line="360" w:lineRule="auto"/>
        <w:jc w:val="both"/>
        <w:rPr>
          <w:rFonts w:ascii="Palatino Linotype" w:hAnsi="Palatino Linotype" w:cs="Tahoma"/>
          <w:sz w:val="22"/>
          <w:szCs w:val="22"/>
        </w:rPr>
      </w:pPr>
    </w:p>
    <w:p w:rsidRPr="003D18B6" w:rsidR="003D18B6" w:rsidP="003D18B6" w:rsidRDefault="003D18B6" w14:paraId="2244101E" w14:textId="77777777">
      <w:pPr>
        <w:spacing w:line="360" w:lineRule="auto"/>
        <w:jc w:val="both"/>
        <w:rPr>
          <w:rFonts w:ascii="Palatino Linotype" w:hAnsi="Palatino Linotype" w:cs="Tahoma"/>
          <w:sz w:val="22"/>
          <w:szCs w:val="22"/>
        </w:rPr>
      </w:pPr>
      <w:r w:rsidRPr="003D18B6">
        <w:rPr>
          <w:rFonts w:ascii="Palatino Linotype" w:hAnsi="Palatino Linotype" w:cs="Tahoma"/>
          <w:sz w:val="22"/>
          <w:szCs w:val="22"/>
        </w:rPr>
        <w:t>Del citado criterio, se desprende que la inexistencia de la información, es una cuestión de hecho que se le atribuye a la misma, cuando ésta no se encuentra en los archivos del Sujeto Obligado.</w:t>
      </w:r>
    </w:p>
    <w:p w:rsidRPr="003D18B6" w:rsidR="003D18B6" w:rsidP="003D18B6" w:rsidRDefault="003D18B6" w14:paraId="282B15C8" w14:textId="77777777">
      <w:pPr>
        <w:spacing w:line="360" w:lineRule="auto"/>
        <w:jc w:val="both"/>
        <w:rPr>
          <w:rFonts w:ascii="Palatino Linotype" w:hAnsi="Palatino Linotype" w:cs="Tahoma"/>
          <w:sz w:val="22"/>
          <w:szCs w:val="22"/>
          <w:lang w:val="es-ES"/>
        </w:rPr>
      </w:pPr>
    </w:p>
    <w:p w:rsidRPr="003D18B6" w:rsidR="003D18B6" w:rsidP="003D18B6" w:rsidRDefault="003D18B6" w14:paraId="17EF6D0E" w14:textId="77777777">
      <w:pPr>
        <w:spacing w:line="360" w:lineRule="auto"/>
        <w:jc w:val="both"/>
        <w:rPr>
          <w:rFonts w:ascii="Palatino Linotype" w:hAnsi="Palatino Linotype" w:cs="Tahoma"/>
          <w:sz w:val="22"/>
          <w:szCs w:val="22"/>
          <w:lang w:val="es-ES"/>
        </w:rPr>
      </w:pPr>
      <w:r w:rsidRPr="003D18B6">
        <w:rPr>
          <w:rFonts w:ascii="Palatino Linotype" w:hAnsi="Palatino Linotype" w:cs="Tahoma"/>
          <w:sz w:val="22"/>
          <w:szCs w:val="22"/>
          <w:lang w:val="es-ES"/>
        </w:rPr>
        <w:t xml:space="preserve">En ese orden de ideas, según Trujillo, Humberto (2019), en el “Diccionario de Transparencia y Acceso a la Información Pública” (p. 171), la inexistencia de la información, es cuando la </w:t>
      </w:r>
      <w:r w:rsidRPr="003D18B6">
        <w:rPr>
          <w:rFonts w:ascii="Palatino Linotype" w:hAnsi="Palatino Linotype" w:cs="Tahoma"/>
          <w:sz w:val="22"/>
          <w:szCs w:val="22"/>
          <w:lang w:val="es-ES"/>
        </w:rPr>
        <w:lastRenderedPageBreak/>
        <w:t>información requerida no se encuentra en los archivos públicos, reservados o clasificados, de los sujetos obligados.</w:t>
      </w:r>
    </w:p>
    <w:p w:rsidRPr="003D18B6" w:rsidR="003D18B6" w:rsidP="003D18B6" w:rsidRDefault="003D18B6" w14:paraId="57376BEE" w14:textId="77777777">
      <w:pPr>
        <w:spacing w:line="360" w:lineRule="auto"/>
        <w:jc w:val="both"/>
        <w:rPr>
          <w:rFonts w:ascii="Palatino Linotype" w:hAnsi="Palatino Linotype" w:cs="Tahoma"/>
          <w:sz w:val="22"/>
          <w:szCs w:val="22"/>
          <w:lang w:val="es-ES"/>
        </w:rPr>
      </w:pPr>
    </w:p>
    <w:p w:rsidR="003D18B6" w:rsidP="003D18B6" w:rsidRDefault="003D18B6" w14:paraId="04346BFF" w14:textId="1ED7C428">
      <w:pPr>
        <w:spacing w:line="360" w:lineRule="auto"/>
        <w:jc w:val="both"/>
        <w:rPr>
          <w:rFonts w:ascii="Palatino Linotype" w:hAnsi="Palatino Linotype" w:eastAsia="Calibri"/>
          <w:color w:val="000000" w:themeColor="text1"/>
          <w:sz w:val="22"/>
          <w:szCs w:val="22"/>
          <w:lang w:eastAsia="en-US"/>
        </w:rPr>
      </w:pPr>
      <w:r w:rsidRPr="003D18B6">
        <w:rPr>
          <w:rFonts w:ascii="Palatino Linotype" w:hAnsi="Palatino Linotype" w:cs="Tahoma"/>
          <w:sz w:val="22"/>
          <w:szCs w:val="22"/>
          <w:lang w:val="es-ES"/>
        </w:rPr>
        <w:t>Así</w:t>
      </w:r>
      <w:r w:rsidRPr="003D18B6">
        <w:rPr>
          <w:rFonts w:ascii="Palatino Linotype" w:hAnsi="Palatino Linotype" w:cs="Tahoma"/>
          <w:sz w:val="22"/>
          <w:szCs w:val="22"/>
        </w:rPr>
        <w:t xml:space="preserve">, es posible concluir que la </w:t>
      </w:r>
      <w:r w:rsidRPr="003D18B6">
        <w:rPr>
          <w:rFonts w:ascii="Palatino Linotype" w:hAnsi="Palatino Linotype" w:cs="Tahoma"/>
          <w:b/>
          <w:sz w:val="22"/>
          <w:szCs w:val="22"/>
        </w:rPr>
        <w:t>inexistencia</w:t>
      </w:r>
      <w:r w:rsidRPr="003D18B6">
        <w:rPr>
          <w:rFonts w:ascii="Palatino Linotype" w:hAnsi="Palatino Linotype" w:cs="Tahoma"/>
          <w:sz w:val="22"/>
          <w:szCs w:val="22"/>
        </w:rPr>
        <w:t xml:space="preserve"> presupone la competencia del sujeto obligado para conocer de la información, pero por alguna circunstancia, la documentación solicitada no obra en sus archivos; sin embargo, </w:t>
      </w:r>
      <w:r w:rsidRPr="003D18B6">
        <w:rPr>
          <w:rFonts w:ascii="Palatino Linotype" w:hAnsi="Palatino Linotype" w:cs="Tahoma"/>
          <w:bCs/>
          <w:sz w:val="22"/>
          <w:szCs w:val="22"/>
        </w:rPr>
        <w:t>no basta con que los sujetos obligados señalen dicha circunstancia, sino que también debe de señalar las razones por las cuales no cuentan con lo peticionado, es decir, las circunstancias que dan lugar a la inexistencia,</w:t>
      </w:r>
      <w:r w:rsidRPr="003D18B6">
        <w:rPr>
          <w:rFonts w:ascii="Palatino Linotype" w:hAnsi="Palatino Linotype" w:eastAsia="Calibri"/>
          <w:color w:val="000000" w:themeColor="text1"/>
          <w:sz w:val="22"/>
          <w:szCs w:val="22"/>
          <w:lang w:eastAsia="en-US"/>
        </w:rPr>
        <w:t xml:space="preserve"> lo cual aconteció, en el presente caso, </w:t>
      </w:r>
      <w:r w:rsidR="00780BA6">
        <w:rPr>
          <w:rFonts w:ascii="Palatino Linotype" w:hAnsi="Palatino Linotype" w:eastAsia="Calibri"/>
          <w:color w:val="000000" w:themeColor="text1"/>
          <w:sz w:val="22"/>
          <w:szCs w:val="22"/>
          <w:lang w:eastAsia="en-US"/>
        </w:rPr>
        <w:t>la Dirección de Administración precisó que los servidores públicos, señalados se encontraban en proceso de certificación.</w:t>
      </w:r>
    </w:p>
    <w:p w:rsidR="00780BA6" w:rsidP="003D18B6" w:rsidRDefault="00780BA6" w14:paraId="11204A86" w14:textId="77777777">
      <w:pPr>
        <w:spacing w:line="360" w:lineRule="auto"/>
        <w:jc w:val="both"/>
        <w:rPr>
          <w:rFonts w:ascii="Palatino Linotype" w:hAnsi="Palatino Linotype" w:eastAsia="Calibri"/>
          <w:color w:val="000000" w:themeColor="text1"/>
          <w:sz w:val="22"/>
          <w:szCs w:val="22"/>
          <w:lang w:eastAsia="en-US"/>
        </w:rPr>
      </w:pPr>
    </w:p>
    <w:p w:rsidRPr="003D18B6" w:rsidR="00780BA6" w:rsidP="003D18B6" w:rsidRDefault="00780BA6" w14:paraId="568D0553" w14:textId="3DC96C71">
      <w:pPr>
        <w:spacing w:line="360" w:lineRule="auto"/>
        <w:jc w:val="both"/>
        <w:rPr>
          <w:rFonts w:ascii="Palatino Linotype" w:hAnsi="Palatino Linotype" w:cs="Tahoma"/>
          <w:sz w:val="22"/>
          <w:szCs w:val="22"/>
        </w:rPr>
      </w:pPr>
      <w:r>
        <w:rPr>
          <w:rFonts w:ascii="Palatino Linotype" w:hAnsi="Palatino Linotype" w:eastAsia="Calibri"/>
          <w:color w:val="000000" w:themeColor="text1"/>
          <w:sz w:val="22"/>
          <w:szCs w:val="22"/>
          <w:lang w:eastAsia="en-US"/>
        </w:rPr>
        <w:t>Lo cual, guarda relevancia pues es de señalar que estos entraron en funciones, el primero de enero de dos mil veintidós, por lo que, a la fecha de presentación de la solicitud, se encontraban a tiempo para obtener y entregar el plazo, pues es de recordar que estos cuentan con seis meses, a partir de la alta para acreditar el requisito legal.</w:t>
      </w:r>
    </w:p>
    <w:p w:rsidR="003D18B6" w:rsidP="00274839" w:rsidRDefault="003D18B6" w14:paraId="57B0A7DE" w14:textId="77777777">
      <w:pPr>
        <w:spacing w:line="360" w:lineRule="auto"/>
        <w:jc w:val="both"/>
        <w:rPr>
          <w:rFonts w:ascii="Palatino Linotype" w:hAnsi="Palatino Linotype" w:eastAsia="Calibri"/>
          <w:color w:val="000000" w:themeColor="text1"/>
          <w:sz w:val="22"/>
          <w:szCs w:val="22"/>
          <w:lang w:eastAsia="en-US"/>
        </w:rPr>
      </w:pPr>
    </w:p>
    <w:p w:rsidRPr="000506E9" w:rsidR="00780BA6" w:rsidP="00780BA6" w:rsidRDefault="00780BA6" w14:paraId="501A88E2" w14:textId="7B524261">
      <w:pPr>
        <w:spacing w:line="360" w:lineRule="auto"/>
        <w:jc w:val="both"/>
        <w:rPr>
          <w:rFonts w:ascii="Palatino Linotype" w:hAnsi="Palatino Linotype" w:cs="Tahoma"/>
          <w:sz w:val="22"/>
          <w:szCs w:val="22"/>
          <w:lang w:val="es-ES"/>
        </w:rPr>
      </w:pPr>
      <w:r w:rsidRPr="000506E9">
        <w:rPr>
          <w:rFonts w:ascii="Palatino Linotype" w:hAnsi="Palatino Linotype" w:cs="Tahoma"/>
          <w:sz w:val="22"/>
          <w:szCs w:val="22"/>
          <w:lang w:val="es-ES"/>
        </w:rPr>
        <w:t>Así, se logra colegir que la información solicitada por el ahora Recurrente es inexistente, pues el Sujeto Obligado, realizó una búsqueda de manera exhaustiva y razonable en sus archivos, al gestionar la solicitud de información a</w:t>
      </w:r>
      <w:r>
        <w:rPr>
          <w:rFonts w:ascii="Palatino Linotype" w:hAnsi="Palatino Linotype" w:cs="Tahoma"/>
          <w:sz w:val="22"/>
          <w:szCs w:val="22"/>
          <w:lang w:val="es-ES"/>
        </w:rPr>
        <w:t xml:space="preserve"> </w:t>
      </w:r>
      <w:r w:rsidRPr="000506E9">
        <w:rPr>
          <w:rFonts w:ascii="Palatino Linotype" w:hAnsi="Palatino Linotype" w:cs="Tahoma"/>
          <w:sz w:val="22"/>
          <w:szCs w:val="22"/>
          <w:lang w:val="es-ES"/>
        </w:rPr>
        <w:t>l</w:t>
      </w:r>
      <w:r>
        <w:rPr>
          <w:rFonts w:ascii="Palatino Linotype" w:hAnsi="Palatino Linotype" w:cs="Tahoma"/>
          <w:sz w:val="22"/>
          <w:szCs w:val="22"/>
          <w:lang w:val="es-ES"/>
        </w:rPr>
        <w:t>a</w:t>
      </w:r>
      <w:r w:rsidRPr="000506E9">
        <w:rPr>
          <w:rFonts w:ascii="Palatino Linotype" w:hAnsi="Palatino Linotype" w:cs="Tahoma"/>
          <w:sz w:val="22"/>
          <w:szCs w:val="22"/>
          <w:lang w:val="es-ES"/>
        </w:rPr>
        <w:t xml:space="preserve"> área competente, esta efectuar la indagación minuciosa en todos sus archivos y finalmente, señalar los motivos por las cuales no contaba con la peticionado, a saber, </w:t>
      </w:r>
      <w:r w:rsidR="003A3858">
        <w:rPr>
          <w:rFonts w:ascii="Palatino Linotype" w:hAnsi="Palatino Linotype" w:cs="Tahoma"/>
          <w:sz w:val="22"/>
          <w:szCs w:val="22"/>
          <w:lang w:val="es-ES"/>
        </w:rPr>
        <w:t xml:space="preserve">que los </w:t>
      </w:r>
      <w:r>
        <w:rPr>
          <w:rFonts w:ascii="Palatino Linotype" w:hAnsi="Palatino Linotype" w:cs="Tahoma"/>
          <w:sz w:val="22"/>
          <w:szCs w:val="22"/>
          <w:lang w:val="es-ES"/>
        </w:rPr>
        <w:t>servidores públicos se encontraban en proceso de certificación.</w:t>
      </w:r>
    </w:p>
    <w:p w:rsidRPr="000506E9" w:rsidR="00780BA6" w:rsidP="00780BA6" w:rsidRDefault="00780BA6" w14:paraId="25022F0A" w14:textId="77777777">
      <w:pPr>
        <w:spacing w:line="360" w:lineRule="auto"/>
        <w:jc w:val="both"/>
        <w:rPr>
          <w:rFonts w:ascii="Palatino Linotype" w:hAnsi="Palatino Linotype" w:cs="Tahoma"/>
          <w:sz w:val="22"/>
          <w:szCs w:val="22"/>
          <w:lang w:val="es-ES"/>
        </w:rPr>
      </w:pPr>
    </w:p>
    <w:p w:rsidR="00780BA6" w:rsidP="00780BA6" w:rsidRDefault="00780BA6" w14:paraId="5FD36833" w14:textId="77777777">
      <w:pPr>
        <w:widowControl w:val="0"/>
        <w:spacing w:line="360" w:lineRule="auto"/>
        <w:jc w:val="both"/>
        <w:rPr>
          <w:rFonts w:ascii="Palatino Linotype" w:hAnsi="Palatino Linotype" w:eastAsia="Calibri"/>
          <w:color w:val="000000" w:themeColor="text1"/>
          <w:sz w:val="22"/>
          <w:szCs w:val="22"/>
          <w:lang w:eastAsia="en-US"/>
        </w:rPr>
      </w:pPr>
      <w:r w:rsidRPr="000506E9">
        <w:rPr>
          <w:rFonts w:ascii="Palatino Linotype" w:hAnsi="Palatino Linotype" w:eastAsia="Calibri"/>
          <w:color w:val="000000" w:themeColor="text1"/>
          <w:sz w:val="22"/>
          <w:szCs w:val="22"/>
          <w:lang w:eastAsia="en-US"/>
        </w:rPr>
        <w:t xml:space="preserve">Por tales consideraciones, se desprende el Sujeto Obligado precisó las razones por las cuales no contaba con lo peticionado; al respecto, se trae a colación, el artículo 19, segundo párrafo, de la Ley de Transparencia y Acceso a la Información Pública del Estado de México y Municipios, que establece que en el caso de que ciertas facultades, competencias o funciones </w:t>
      </w:r>
      <w:r w:rsidRPr="000506E9">
        <w:rPr>
          <w:rFonts w:ascii="Palatino Linotype" w:hAnsi="Palatino Linotype" w:eastAsia="Calibri"/>
          <w:color w:val="000000" w:themeColor="text1"/>
          <w:sz w:val="22"/>
          <w:szCs w:val="22"/>
          <w:lang w:eastAsia="en-US"/>
        </w:rPr>
        <w:lastRenderedPageBreak/>
        <w:t xml:space="preserve">no se hayan ejercido, se debe motivar la respuesta en función de las causas que motiven tal circunstancia. </w:t>
      </w:r>
    </w:p>
    <w:p w:rsidRPr="000506E9" w:rsidR="00780BA6" w:rsidP="00780BA6" w:rsidRDefault="00780BA6" w14:paraId="4C515700" w14:textId="77777777">
      <w:pPr>
        <w:widowControl w:val="0"/>
        <w:spacing w:line="360" w:lineRule="auto"/>
        <w:jc w:val="both"/>
        <w:rPr>
          <w:rFonts w:ascii="Palatino Linotype" w:hAnsi="Palatino Linotype" w:eastAsia="Calibri"/>
          <w:color w:val="000000" w:themeColor="text1"/>
          <w:sz w:val="22"/>
          <w:szCs w:val="22"/>
          <w:lang w:eastAsia="en-US"/>
        </w:rPr>
      </w:pPr>
    </w:p>
    <w:p w:rsidRPr="000506E9" w:rsidR="00780BA6" w:rsidP="00780BA6" w:rsidRDefault="00780BA6" w14:paraId="6783791C" w14:textId="77777777">
      <w:pPr>
        <w:spacing w:line="360" w:lineRule="auto"/>
        <w:jc w:val="both"/>
        <w:rPr>
          <w:rFonts w:ascii="Palatino Linotype" w:hAnsi="Palatino Linotype" w:cs="Tahoma"/>
          <w:bCs/>
          <w:sz w:val="22"/>
          <w:szCs w:val="22"/>
        </w:rPr>
      </w:pPr>
      <w:r w:rsidRPr="000506E9">
        <w:rPr>
          <w:rFonts w:ascii="Palatino Linotype" w:hAnsi="Palatino Linotype" w:cs="Tahoma"/>
          <w:sz w:val="22"/>
          <w:szCs w:val="22"/>
          <w:lang w:val="es-ES"/>
        </w:rPr>
        <w:t xml:space="preserve">De la misma manera, </w:t>
      </w:r>
      <w:r w:rsidRPr="000506E9">
        <w:rPr>
          <w:rFonts w:ascii="Palatino Linotype" w:hAnsi="Palatino Linotype" w:cs="Tahoma"/>
          <w:bCs/>
          <w:sz w:val="22"/>
          <w:szCs w:val="22"/>
        </w:rPr>
        <w:t>el Criterio 07/17,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rsidRPr="000506E9" w:rsidR="00780BA6" w:rsidP="00780BA6" w:rsidRDefault="00780BA6" w14:paraId="39CA0668" w14:textId="77777777">
      <w:pPr>
        <w:spacing w:line="360" w:lineRule="auto"/>
        <w:jc w:val="both"/>
        <w:rPr>
          <w:rFonts w:ascii="Palatino Linotype" w:hAnsi="Palatino Linotype" w:cs="Tahoma"/>
          <w:sz w:val="22"/>
          <w:szCs w:val="22"/>
          <w:lang w:val="es-ES"/>
        </w:rPr>
      </w:pPr>
    </w:p>
    <w:p w:rsidR="00780BA6" w:rsidP="00780BA6" w:rsidRDefault="00780BA6" w14:paraId="16649874" w14:textId="77777777">
      <w:pPr>
        <w:spacing w:line="360" w:lineRule="auto"/>
        <w:jc w:val="both"/>
        <w:rPr>
          <w:rFonts w:ascii="Palatino Linotype" w:hAnsi="Palatino Linotype" w:eastAsia="Calibri" w:cs="Tahoma"/>
          <w:iCs/>
          <w:sz w:val="22"/>
          <w:szCs w:val="22"/>
          <w:lang w:eastAsia="es-ES_tradnl"/>
        </w:rPr>
      </w:pPr>
      <w:r w:rsidRPr="000506E9">
        <w:rPr>
          <w:rFonts w:ascii="Palatino Linotype" w:hAnsi="Palatino Linotype" w:cs="Tahoma"/>
          <w:color w:val="000000" w:themeColor="text1"/>
          <w:sz w:val="22"/>
          <w:szCs w:val="22"/>
        </w:rPr>
        <w:t xml:space="preserve">Al respecto, dicho criterio aplica al caso en concreto, ya que, no se localizó </w:t>
      </w:r>
      <w:r>
        <w:rPr>
          <w:rFonts w:ascii="Palatino Linotype" w:hAnsi="Palatino Linotype" w:cs="Tahoma"/>
          <w:color w:val="000000" w:themeColor="text1"/>
          <w:sz w:val="22"/>
          <w:szCs w:val="22"/>
        </w:rPr>
        <w:t xml:space="preserve">algún indicio de que los servidores públicos a la fecha de la solicitud contarán con el Certificado de Competencia Laboral; por lo que, </w:t>
      </w:r>
      <w:r w:rsidRPr="000506E9">
        <w:rPr>
          <w:rFonts w:ascii="Palatino Linotype" w:hAnsi="Palatino Linotype" w:eastAsia="Calibri" w:cs="Tahoma"/>
          <w:iCs/>
          <w:sz w:val="22"/>
          <w:szCs w:val="22"/>
          <w:lang w:eastAsia="es-ES_tradnl"/>
        </w:rPr>
        <w:t>se considera que desde respuesta el Sujeto Obligado precisó las razones por las cuales no contaba con la información peticionada, en términos del artículo 19, párrafo segundo de la Ley de Transparencia y Acceso a la Información Pública del Estado de México y Municipios</w:t>
      </w:r>
      <w:r>
        <w:rPr>
          <w:rFonts w:ascii="Palatino Linotype" w:hAnsi="Palatino Linotype" w:eastAsia="Calibri" w:cs="Tahoma"/>
          <w:iCs/>
          <w:sz w:val="22"/>
          <w:szCs w:val="22"/>
          <w:lang w:eastAsia="es-ES_tradnl"/>
        </w:rPr>
        <w:t>.</w:t>
      </w:r>
    </w:p>
    <w:p w:rsidR="003D18B6" w:rsidP="00274839" w:rsidRDefault="003D18B6" w14:paraId="2F24CA3D" w14:textId="77777777">
      <w:pPr>
        <w:spacing w:line="360" w:lineRule="auto"/>
        <w:jc w:val="both"/>
        <w:rPr>
          <w:rFonts w:ascii="Palatino Linotype" w:hAnsi="Palatino Linotype" w:eastAsia="Calibri"/>
          <w:color w:val="000000" w:themeColor="text1"/>
          <w:sz w:val="22"/>
          <w:szCs w:val="22"/>
          <w:lang w:eastAsia="en-US"/>
        </w:rPr>
      </w:pPr>
    </w:p>
    <w:p w:rsidR="00FE15D5" w:rsidP="00274839" w:rsidRDefault="003A3858" w14:paraId="5E380D8C" w14:textId="0F3EDBC9">
      <w:pPr>
        <w:spacing w:line="360" w:lineRule="auto"/>
        <w:jc w:val="both"/>
        <w:rPr>
          <w:rFonts w:ascii="Palatino Linotype" w:hAnsi="Palatino Linotype" w:eastAsia="Calibri"/>
          <w:color w:val="000000" w:themeColor="text1"/>
          <w:sz w:val="22"/>
          <w:szCs w:val="22"/>
          <w:lang w:eastAsia="en-US"/>
        </w:rPr>
      </w:pPr>
      <w:r>
        <w:rPr>
          <w:rFonts w:ascii="Palatino Linotype" w:hAnsi="Palatino Linotype" w:eastAsia="Calibri"/>
          <w:color w:val="000000" w:themeColor="text1"/>
          <w:sz w:val="22"/>
          <w:szCs w:val="22"/>
          <w:lang w:eastAsia="en-US"/>
        </w:rPr>
        <w:t>Ahora bien, por lo que hace al Certificado de Competencia Laboral del Titular de la Unidad de Transparencia, se logra vislumbrar que en respuesta, el Sujeto Obligador proporcionó dicho documento</w:t>
      </w:r>
      <w:r w:rsidR="00A651DE">
        <w:rPr>
          <w:rFonts w:ascii="Palatino Linotype" w:hAnsi="Palatino Linotype" w:eastAsia="Calibri"/>
          <w:color w:val="000000" w:themeColor="text1"/>
          <w:sz w:val="22"/>
          <w:szCs w:val="22"/>
          <w:lang w:eastAsia="en-US"/>
        </w:rPr>
        <w:t>, por lo que, se logra vislumbrar que desde respuesta, el Ente Recurrido entregó el documento que obraba en sus archivos y da cuenta de lo peticionado.</w:t>
      </w:r>
    </w:p>
    <w:p w:rsidRPr="004D5FA9" w:rsidR="00C61EE1" w:rsidP="00274839" w:rsidRDefault="00C61EE1" w14:paraId="1CDBAE5A" w14:textId="1DC96A7E">
      <w:pPr>
        <w:spacing w:line="360" w:lineRule="auto"/>
        <w:jc w:val="center"/>
        <w:rPr>
          <w:rFonts w:ascii="Palatino Linotype" w:hAnsi="Palatino Linotype" w:cs="Tahoma"/>
          <w:b/>
          <w:bCs/>
          <w:sz w:val="22"/>
          <w:szCs w:val="22"/>
        </w:rPr>
      </w:pPr>
    </w:p>
    <w:p w:rsidRPr="00D835BF" w:rsidR="00D835BF" w:rsidP="00274839" w:rsidRDefault="00D835BF" w14:paraId="4D8237E1" w14:textId="07F6C50A">
      <w:pPr>
        <w:spacing w:line="360" w:lineRule="auto"/>
        <w:jc w:val="both"/>
        <w:rPr>
          <w:rFonts w:ascii="Palatino Linotype" w:hAnsi="Palatino Linotype"/>
          <w:color w:val="000000" w:themeColor="text1"/>
          <w:sz w:val="22"/>
          <w:szCs w:val="22"/>
          <w:lang w:val="es-ES"/>
        </w:rPr>
      </w:pPr>
      <w:r w:rsidRPr="00D835BF">
        <w:rPr>
          <w:rFonts w:ascii="Palatino Linotype" w:hAnsi="Palatino Linotype"/>
          <w:color w:val="000000" w:themeColor="text1"/>
          <w:sz w:val="22"/>
          <w:szCs w:val="22"/>
          <w:lang w:val="es-ES"/>
        </w:rPr>
        <w:t>Dicha situación toma sustento en el artículo 12 de la Ley de Transparencia y Acceso a la</w:t>
      </w:r>
      <w:r w:rsidR="005D0BBF">
        <w:rPr>
          <w:rFonts w:ascii="Palatino Linotype" w:hAnsi="Palatino Linotype"/>
          <w:color w:val="000000" w:themeColor="text1"/>
          <w:sz w:val="22"/>
          <w:szCs w:val="22"/>
          <w:lang w:val="es-ES"/>
        </w:rPr>
        <w:t xml:space="preserve"> </w:t>
      </w:r>
      <w:r w:rsidRPr="00D835BF">
        <w:rPr>
          <w:rFonts w:ascii="Palatino Linotype" w:hAnsi="Palatino Linotype"/>
          <w:color w:val="000000" w:themeColor="text1"/>
          <w:sz w:val="22"/>
          <w:szCs w:val="22"/>
          <w:lang w:val="es-ES"/>
        </w:rPr>
        <w:t>Información Pública del Estado de México y Municipios, que establece que los sujetos</w:t>
      </w:r>
      <w:r w:rsidR="005D0BBF">
        <w:rPr>
          <w:rFonts w:ascii="Palatino Linotype" w:hAnsi="Palatino Linotype"/>
          <w:color w:val="000000" w:themeColor="text1"/>
          <w:sz w:val="22"/>
          <w:szCs w:val="22"/>
          <w:lang w:val="es-ES"/>
        </w:rPr>
        <w:t xml:space="preserve"> </w:t>
      </w:r>
      <w:r w:rsidRPr="00D835BF">
        <w:rPr>
          <w:rFonts w:ascii="Palatino Linotype" w:hAnsi="Palatino Linotype"/>
          <w:color w:val="000000" w:themeColor="text1"/>
          <w:sz w:val="22"/>
          <w:szCs w:val="22"/>
          <w:lang w:val="es-ES"/>
        </w:rPr>
        <w:t>obligados sólo están constreñidos a proporcionar la información pública que obre en sus</w:t>
      </w:r>
      <w:r w:rsidR="005D0BBF">
        <w:rPr>
          <w:rFonts w:ascii="Palatino Linotype" w:hAnsi="Palatino Linotype"/>
          <w:color w:val="000000" w:themeColor="text1"/>
          <w:sz w:val="22"/>
          <w:szCs w:val="22"/>
          <w:lang w:val="es-ES"/>
        </w:rPr>
        <w:t xml:space="preserve"> </w:t>
      </w:r>
      <w:r w:rsidRPr="00D835BF">
        <w:rPr>
          <w:rFonts w:ascii="Palatino Linotype" w:hAnsi="Palatino Linotype"/>
          <w:color w:val="000000" w:themeColor="text1"/>
          <w:sz w:val="22"/>
          <w:szCs w:val="22"/>
          <w:lang w:val="es-ES"/>
        </w:rPr>
        <w:t>archivos, en el estado en que esta se encuentre; por lo que, la entrega no comprende el</w:t>
      </w:r>
      <w:r w:rsidR="005D0BBF">
        <w:rPr>
          <w:rFonts w:ascii="Palatino Linotype" w:hAnsi="Palatino Linotype"/>
          <w:color w:val="000000" w:themeColor="text1"/>
          <w:sz w:val="22"/>
          <w:szCs w:val="22"/>
          <w:lang w:val="es-ES"/>
        </w:rPr>
        <w:t xml:space="preserve"> </w:t>
      </w:r>
      <w:r w:rsidRPr="00D835BF">
        <w:rPr>
          <w:rFonts w:ascii="Palatino Linotype" w:hAnsi="Palatino Linotype"/>
          <w:color w:val="000000" w:themeColor="text1"/>
          <w:sz w:val="22"/>
          <w:szCs w:val="22"/>
          <w:lang w:val="es-ES"/>
        </w:rPr>
        <w:t>procesamiento de la misma, ni presentarla conforme al interés del Solicitante.</w:t>
      </w:r>
    </w:p>
    <w:p w:rsidRPr="00D835BF" w:rsidR="00D835BF" w:rsidP="00274839" w:rsidRDefault="00D835BF" w14:paraId="17A68F81" w14:textId="77777777">
      <w:pPr>
        <w:spacing w:line="360" w:lineRule="auto"/>
        <w:jc w:val="both"/>
        <w:rPr>
          <w:rFonts w:ascii="Palatino Linotype" w:hAnsi="Palatino Linotype"/>
          <w:color w:val="000000" w:themeColor="text1"/>
          <w:sz w:val="22"/>
          <w:szCs w:val="22"/>
          <w:lang w:val="es-ES"/>
        </w:rPr>
      </w:pPr>
    </w:p>
    <w:p w:rsidR="003B122A" w:rsidP="00274839" w:rsidRDefault="00D835BF" w14:paraId="336B22D5" w14:textId="32A3B80E">
      <w:pPr>
        <w:tabs>
          <w:tab w:val="left" w:pos="4962"/>
        </w:tabs>
        <w:spacing w:line="360" w:lineRule="auto"/>
        <w:jc w:val="both"/>
        <w:rPr>
          <w:rFonts w:ascii="Palatino Linotype" w:hAnsi="Palatino Linotype" w:cs="Tahoma"/>
          <w:sz w:val="22"/>
          <w:szCs w:val="22"/>
        </w:rPr>
      </w:pPr>
      <w:r w:rsidRPr="00D835BF">
        <w:rPr>
          <w:rFonts w:ascii="Palatino Linotype" w:hAnsi="Palatino Linotype"/>
          <w:color w:val="000000" w:themeColor="text1"/>
          <w:sz w:val="22"/>
          <w:szCs w:val="22"/>
          <w:lang w:val="es-ES"/>
        </w:rPr>
        <w:lastRenderedPageBreak/>
        <w:t>De esta manera, el derecho de acceso a la información pública se satisface en aquellos</w:t>
      </w:r>
      <w:r w:rsidR="003B122A">
        <w:rPr>
          <w:rFonts w:ascii="Palatino Linotype" w:hAnsi="Palatino Linotype"/>
          <w:color w:val="000000" w:themeColor="text1"/>
          <w:sz w:val="22"/>
          <w:szCs w:val="22"/>
          <w:lang w:val="es-ES"/>
        </w:rPr>
        <w:t xml:space="preserve"> </w:t>
      </w:r>
      <w:r w:rsidRPr="00D835BF">
        <w:rPr>
          <w:rFonts w:ascii="Palatino Linotype" w:hAnsi="Palatino Linotype"/>
          <w:color w:val="000000" w:themeColor="text1"/>
          <w:sz w:val="22"/>
          <w:szCs w:val="22"/>
          <w:lang w:val="es-ES"/>
        </w:rPr>
        <w:t>casos en que se entregue el soporte documental en el que conste la información solicitada,</w:t>
      </w:r>
      <w:r w:rsidR="003B122A">
        <w:rPr>
          <w:rFonts w:ascii="Palatino Linotype" w:hAnsi="Palatino Linotype"/>
          <w:color w:val="000000" w:themeColor="text1"/>
          <w:sz w:val="22"/>
          <w:szCs w:val="22"/>
          <w:lang w:val="es-ES"/>
        </w:rPr>
        <w:t xml:space="preserve"> </w:t>
      </w:r>
      <w:r w:rsidRPr="00D835BF">
        <w:rPr>
          <w:rFonts w:ascii="Palatino Linotype" w:hAnsi="Palatino Linotype"/>
          <w:color w:val="000000" w:themeColor="text1"/>
          <w:sz w:val="22"/>
          <w:szCs w:val="22"/>
          <w:lang w:val="es-ES"/>
        </w:rPr>
        <w:t>sin necesidad de elaborar documentos ad hoc; lo cual, de conformidad con en el artículo</w:t>
      </w:r>
      <w:r w:rsidR="003B122A">
        <w:rPr>
          <w:rFonts w:ascii="Palatino Linotype" w:hAnsi="Palatino Linotype"/>
          <w:color w:val="000000" w:themeColor="text1"/>
          <w:sz w:val="22"/>
          <w:szCs w:val="22"/>
          <w:lang w:val="es-ES"/>
        </w:rPr>
        <w:t xml:space="preserve"> </w:t>
      </w:r>
      <w:r w:rsidRPr="00D835BF">
        <w:rPr>
          <w:rFonts w:ascii="Palatino Linotype" w:hAnsi="Palatino Linotype"/>
          <w:color w:val="000000" w:themeColor="text1"/>
          <w:sz w:val="22"/>
          <w:szCs w:val="22"/>
          <w:lang w:val="es-ES"/>
        </w:rPr>
        <w:t>160 de la Ley de Transparencia y Acceso a la Información Pública del Estado de México y</w:t>
      </w:r>
      <w:r w:rsidRPr="003B122A" w:rsidR="003B122A">
        <w:rPr>
          <w:rFonts w:ascii="Palatino Linotype" w:hAnsi="Palatino Linotype" w:cs="Tahoma"/>
          <w:sz w:val="22"/>
          <w:szCs w:val="22"/>
        </w:rPr>
        <w:t xml:space="preserve"> </w:t>
      </w:r>
      <w:r w:rsidR="003B122A">
        <w:rPr>
          <w:rFonts w:ascii="Palatino Linotype" w:hAnsi="Palatino Linotype" w:cs="Tahoma"/>
          <w:sz w:val="22"/>
          <w:szCs w:val="22"/>
        </w:rPr>
        <w:t xml:space="preserve">Municipios, el cual refiere que los sujetos obligados deberán entregar la información que obre en sus archivos. </w:t>
      </w:r>
    </w:p>
    <w:p w:rsidR="003B122A" w:rsidP="00274839" w:rsidRDefault="003B122A" w14:paraId="302406F1" w14:textId="77777777">
      <w:pPr>
        <w:tabs>
          <w:tab w:val="left" w:pos="4962"/>
        </w:tabs>
        <w:spacing w:line="360" w:lineRule="auto"/>
        <w:jc w:val="both"/>
        <w:rPr>
          <w:rFonts w:ascii="Palatino Linotype" w:hAnsi="Palatino Linotype" w:cs="Tahoma"/>
          <w:sz w:val="22"/>
          <w:szCs w:val="22"/>
        </w:rPr>
      </w:pPr>
    </w:p>
    <w:p w:rsidR="003B122A" w:rsidP="00274839" w:rsidRDefault="003B122A" w14:paraId="712B22EA" w14:textId="77777777">
      <w:pPr>
        <w:spacing w:line="360" w:lineRule="auto"/>
        <w:jc w:val="both"/>
        <w:rPr>
          <w:rFonts w:ascii="Palatino Linotype" w:hAnsi="Palatino Linotype" w:cs="Tahoma"/>
          <w:sz w:val="22"/>
          <w:szCs w:val="22"/>
          <w:lang w:val="es-ES" w:eastAsia="es-MX"/>
        </w:rPr>
      </w:pPr>
      <w:r>
        <w:rPr>
          <w:rFonts w:ascii="Palatino Linotype" w:hAnsi="Palatino Linotype" w:cs="Tahoma"/>
          <w:sz w:val="22"/>
          <w:szCs w:val="22"/>
          <w:lang w:val="es-ES" w:eastAsia="es-MX"/>
        </w:rPr>
        <w:t>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proporcionó la documentación que da cuenta de lo solicitado.</w:t>
      </w:r>
    </w:p>
    <w:p w:rsidR="00A651DE" w:rsidP="00274839" w:rsidRDefault="00A651DE" w14:paraId="7982664A" w14:textId="77777777">
      <w:pPr>
        <w:spacing w:line="360" w:lineRule="auto"/>
        <w:jc w:val="both"/>
        <w:rPr>
          <w:rFonts w:ascii="Palatino Linotype" w:hAnsi="Palatino Linotype" w:cs="Tahoma"/>
          <w:sz w:val="22"/>
          <w:szCs w:val="22"/>
          <w:lang w:val="es-ES" w:eastAsia="es-MX"/>
        </w:rPr>
      </w:pPr>
    </w:p>
    <w:p w:rsidR="00A651DE" w:rsidP="00274839" w:rsidRDefault="00A651DE" w14:paraId="1A9B0E89" w14:textId="4624454D">
      <w:pPr>
        <w:spacing w:line="360" w:lineRule="auto"/>
        <w:jc w:val="both"/>
        <w:rPr>
          <w:rFonts w:ascii="Palatino Linotype" w:hAnsi="Palatino Linotype" w:cs="Tahoma"/>
          <w:sz w:val="22"/>
          <w:szCs w:val="22"/>
          <w:lang w:val="es-ES" w:eastAsia="es-MX"/>
        </w:rPr>
      </w:pPr>
      <w:r>
        <w:rPr>
          <w:rFonts w:ascii="Palatino Linotype" w:hAnsi="Palatino Linotype" w:cs="Tahoma"/>
          <w:sz w:val="22"/>
          <w:szCs w:val="22"/>
          <w:lang w:val="es-ES" w:eastAsia="es-MX"/>
        </w:rPr>
        <w:t>No obstante, lo anterior es de señalar que el Certificad de Competencia laboral fue entregado en versión pública, por lo que, de su revisión se logra vislumbrar que contiene los siguientes datos:</w:t>
      </w:r>
    </w:p>
    <w:p w:rsidR="00A651DE" w:rsidP="00274839" w:rsidRDefault="00A651DE" w14:paraId="7883769B" w14:textId="77777777">
      <w:pPr>
        <w:spacing w:line="360" w:lineRule="auto"/>
        <w:jc w:val="both"/>
        <w:rPr>
          <w:rFonts w:ascii="Palatino Linotype" w:hAnsi="Palatino Linotype" w:cs="Tahoma"/>
          <w:sz w:val="22"/>
          <w:szCs w:val="22"/>
          <w:lang w:val="es-ES" w:eastAsia="es-MX"/>
        </w:rPr>
      </w:pPr>
    </w:p>
    <w:p w:rsidR="00A651DE" w:rsidP="00A651DE" w:rsidRDefault="00A651DE" w14:paraId="666A1E21" w14:textId="713EC6FB">
      <w:pPr>
        <w:pStyle w:val="Prrafodelista"/>
        <w:numPr>
          <w:ilvl w:val="0"/>
          <w:numId w:val="40"/>
        </w:numPr>
        <w:spacing w:line="360" w:lineRule="auto"/>
        <w:jc w:val="both"/>
        <w:rPr>
          <w:rFonts w:ascii="Palatino Linotype" w:hAnsi="Palatino Linotype" w:cs="Tahoma"/>
          <w:szCs w:val="22"/>
          <w:lang w:val="es-ES" w:eastAsia="es-MX"/>
        </w:rPr>
      </w:pPr>
      <w:r>
        <w:rPr>
          <w:rFonts w:ascii="Palatino Linotype" w:hAnsi="Palatino Linotype" w:cs="Tahoma"/>
          <w:szCs w:val="22"/>
          <w:lang w:val="es-ES" w:eastAsia="es-MX"/>
        </w:rPr>
        <w:t>Nombre del servidor público, y</w:t>
      </w:r>
    </w:p>
    <w:p w:rsidR="00A651DE" w:rsidP="00A651DE" w:rsidRDefault="00A651DE" w14:paraId="78A1C63B" w14:textId="77777777">
      <w:pPr>
        <w:pStyle w:val="Prrafodelista"/>
        <w:spacing w:line="360" w:lineRule="auto"/>
        <w:jc w:val="both"/>
        <w:rPr>
          <w:rFonts w:ascii="Palatino Linotype" w:hAnsi="Palatino Linotype" w:cs="Tahoma"/>
          <w:szCs w:val="22"/>
          <w:lang w:val="es-ES" w:eastAsia="es-MX"/>
        </w:rPr>
      </w:pPr>
    </w:p>
    <w:p w:rsidRPr="00A651DE" w:rsidR="00A651DE" w:rsidP="00A651DE" w:rsidRDefault="00A651DE" w14:paraId="3187B95C" w14:textId="5E1BF7EC">
      <w:pPr>
        <w:pStyle w:val="Prrafodelista"/>
        <w:numPr>
          <w:ilvl w:val="0"/>
          <w:numId w:val="40"/>
        </w:numPr>
        <w:spacing w:line="360" w:lineRule="auto"/>
        <w:jc w:val="both"/>
        <w:rPr>
          <w:rFonts w:ascii="Palatino Linotype" w:hAnsi="Palatino Linotype" w:cs="Tahoma"/>
          <w:szCs w:val="22"/>
          <w:lang w:val="es-ES" w:eastAsia="es-MX"/>
        </w:rPr>
      </w:pPr>
      <w:r>
        <w:rPr>
          <w:rFonts w:ascii="Palatino Linotype" w:hAnsi="Palatino Linotype" w:cs="Tahoma"/>
          <w:szCs w:val="22"/>
          <w:lang w:val="es-ES" w:eastAsia="es-MX"/>
        </w:rPr>
        <w:t>Clave Única de Registro de Población.</w:t>
      </w:r>
    </w:p>
    <w:p w:rsidR="00A651DE" w:rsidP="00274839" w:rsidRDefault="00A651DE" w14:paraId="498955BE" w14:textId="77777777">
      <w:pPr>
        <w:spacing w:line="360" w:lineRule="auto"/>
        <w:jc w:val="both"/>
        <w:rPr>
          <w:rFonts w:ascii="Palatino Linotype" w:hAnsi="Palatino Linotype" w:cs="Tahoma"/>
          <w:sz w:val="22"/>
          <w:szCs w:val="22"/>
          <w:lang w:val="es-ES" w:eastAsia="es-MX"/>
        </w:rPr>
      </w:pPr>
    </w:p>
    <w:p w:rsidRPr="0063793F" w:rsidR="0063793F" w:rsidP="0063793F" w:rsidRDefault="0063793F" w14:paraId="5E4A857D" w14:textId="77777777">
      <w:pPr>
        <w:spacing w:line="360" w:lineRule="auto"/>
        <w:jc w:val="both"/>
        <w:rPr>
          <w:rFonts w:ascii="Palatino Linotype" w:hAnsi="Palatino Linotype" w:eastAsiaTheme="minorHAnsi" w:cstheme="minorBidi"/>
          <w:bCs/>
          <w:color w:val="000000" w:themeColor="text1"/>
          <w:sz w:val="22"/>
          <w:szCs w:val="22"/>
          <w:lang w:eastAsia="en-US"/>
        </w:rPr>
      </w:pPr>
      <w:r w:rsidRPr="0063793F">
        <w:rPr>
          <w:rFonts w:ascii="Palatino Linotype" w:hAnsi="Palatino Linotype" w:eastAsiaTheme="minorHAnsi" w:cstheme="minorBidi"/>
          <w:bCs/>
          <w:color w:val="000000" w:themeColor="text1"/>
          <w:sz w:val="22"/>
          <w:szCs w:val="22"/>
          <w:lang w:eastAsia="en-US"/>
        </w:rPr>
        <w:t xml:space="preserve">Así, se procede analizar si dichos datos son confidenciales o públicos; 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w:t>
      </w:r>
      <w:r w:rsidRPr="0063793F">
        <w:rPr>
          <w:rFonts w:ascii="Palatino Linotype" w:hAnsi="Palatino Linotype" w:eastAsiaTheme="minorHAnsi" w:cstheme="minorBidi"/>
          <w:bCs/>
          <w:color w:val="000000" w:themeColor="text1"/>
          <w:sz w:val="22"/>
          <w:szCs w:val="22"/>
          <w:lang w:eastAsia="en-US"/>
        </w:rPr>
        <w:lastRenderedPageBreak/>
        <w:t>ley, la cual establecerá los supuestos de excepción a los principios que rijan el tratamiento de datos, por razones de seguridad nacional, disposiciones de orden público, seguridad y salud públicas o para proteger los derechos de terceros.</w:t>
      </w:r>
    </w:p>
    <w:p w:rsidRPr="0063793F" w:rsidR="0063793F" w:rsidP="0063793F" w:rsidRDefault="0063793F" w14:paraId="6BEFF30F" w14:textId="77777777">
      <w:pPr>
        <w:spacing w:line="360" w:lineRule="auto"/>
        <w:jc w:val="both"/>
        <w:rPr>
          <w:rFonts w:ascii="Palatino Linotype" w:hAnsi="Palatino Linotype" w:eastAsiaTheme="minorHAnsi" w:cstheme="minorBidi"/>
          <w:bCs/>
          <w:color w:val="000000" w:themeColor="text1"/>
          <w:sz w:val="22"/>
          <w:szCs w:val="22"/>
          <w:lang w:eastAsia="en-US"/>
        </w:rPr>
      </w:pPr>
    </w:p>
    <w:p w:rsidRPr="0063793F" w:rsidR="0063793F" w:rsidP="0063793F" w:rsidRDefault="0063793F" w14:paraId="6F4C80CE" w14:textId="77777777">
      <w:pPr>
        <w:spacing w:line="360" w:lineRule="auto"/>
        <w:jc w:val="both"/>
        <w:rPr>
          <w:rFonts w:ascii="Palatino Linotype" w:hAnsi="Palatino Linotype" w:eastAsiaTheme="minorHAnsi" w:cstheme="minorBidi"/>
          <w:bCs/>
          <w:color w:val="000000" w:themeColor="text1"/>
          <w:sz w:val="22"/>
          <w:szCs w:val="22"/>
          <w:lang w:eastAsia="en-US"/>
        </w:rPr>
      </w:pPr>
      <w:r w:rsidRPr="0063793F">
        <w:rPr>
          <w:rFonts w:ascii="Palatino Linotype" w:hAnsi="Palatino Linotype" w:eastAsiaTheme="minorHAnsi" w:cstheme="minorBidi"/>
          <w:bCs/>
          <w:color w:val="000000" w:themeColor="text1"/>
          <w:sz w:val="22"/>
          <w:szCs w:val="22"/>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Pr="0063793F" w:rsidR="0063793F" w:rsidP="0063793F" w:rsidRDefault="0063793F" w14:paraId="64F65080" w14:textId="77777777">
      <w:pPr>
        <w:spacing w:line="360" w:lineRule="auto"/>
        <w:jc w:val="both"/>
        <w:rPr>
          <w:rFonts w:ascii="Palatino Linotype" w:hAnsi="Palatino Linotype" w:eastAsiaTheme="minorHAnsi" w:cstheme="minorBidi"/>
          <w:bCs/>
          <w:color w:val="000000" w:themeColor="text1"/>
          <w:sz w:val="22"/>
          <w:szCs w:val="22"/>
          <w:lang w:eastAsia="en-US"/>
        </w:rPr>
      </w:pPr>
    </w:p>
    <w:p w:rsidRPr="0063793F" w:rsidR="0063793F" w:rsidP="0063793F" w:rsidRDefault="0063793F" w14:paraId="587B2D78" w14:textId="77777777">
      <w:pPr>
        <w:spacing w:line="360" w:lineRule="auto"/>
        <w:jc w:val="both"/>
        <w:rPr>
          <w:rFonts w:ascii="Palatino Linotype" w:hAnsi="Palatino Linotype" w:eastAsiaTheme="minorHAnsi" w:cstheme="minorBidi"/>
          <w:bCs/>
          <w:color w:val="000000" w:themeColor="text1"/>
          <w:sz w:val="22"/>
          <w:szCs w:val="22"/>
          <w:lang w:eastAsia="en-US"/>
        </w:rPr>
      </w:pPr>
      <w:r w:rsidRPr="0063793F">
        <w:rPr>
          <w:rFonts w:ascii="Palatino Linotype" w:hAnsi="Palatino Linotype" w:eastAsiaTheme="minorHAnsi" w:cstheme="minorBidi"/>
          <w:bCs/>
          <w:color w:val="000000" w:themeColor="text1"/>
          <w:sz w:val="22"/>
          <w:szCs w:val="22"/>
          <w:lang w:eastAsia="en-U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63793F" w:rsidR="0063793F" w:rsidP="0063793F" w:rsidRDefault="0063793F" w14:paraId="088C2ED0" w14:textId="77777777">
      <w:pPr>
        <w:spacing w:line="360" w:lineRule="auto"/>
        <w:jc w:val="both"/>
        <w:rPr>
          <w:rFonts w:ascii="Palatino Linotype" w:hAnsi="Palatino Linotype" w:eastAsiaTheme="minorHAnsi" w:cstheme="minorBidi"/>
          <w:bCs/>
          <w:color w:val="000000" w:themeColor="text1"/>
          <w:sz w:val="22"/>
          <w:szCs w:val="22"/>
          <w:lang w:eastAsia="en-US"/>
        </w:rPr>
      </w:pPr>
    </w:p>
    <w:p w:rsidRPr="0063793F" w:rsidR="0063793F" w:rsidP="0063793F" w:rsidRDefault="0063793F" w14:paraId="04EC895A" w14:textId="77777777">
      <w:pPr>
        <w:spacing w:line="360" w:lineRule="auto"/>
        <w:jc w:val="both"/>
        <w:rPr>
          <w:rFonts w:ascii="Palatino Linotype" w:hAnsi="Palatino Linotype" w:eastAsiaTheme="minorHAnsi" w:cstheme="minorBidi"/>
          <w:bCs/>
          <w:color w:val="000000" w:themeColor="text1"/>
          <w:sz w:val="22"/>
          <w:szCs w:val="22"/>
          <w:lang w:eastAsia="en-US"/>
        </w:rPr>
      </w:pPr>
      <w:r w:rsidRPr="0063793F">
        <w:rPr>
          <w:rFonts w:ascii="Palatino Linotype" w:hAnsi="Palatino Linotype" w:eastAsiaTheme="minorHAnsi" w:cstheme="minorBidi"/>
          <w:bCs/>
          <w:color w:val="000000" w:themeColor="text1"/>
          <w:sz w:val="22"/>
          <w:szCs w:val="22"/>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63793F" w:rsidR="0063793F" w:rsidP="0063793F" w:rsidRDefault="0063793F" w14:paraId="015E067C" w14:textId="77777777">
      <w:pPr>
        <w:spacing w:line="360" w:lineRule="auto"/>
        <w:jc w:val="both"/>
        <w:rPr>
          <w:rFonts w:ascii="Palatino Linotype" w:hAnsi="Palatino Linotype" w:eastAsiaTheme="minorHAnsi" w:cstheme="minorBidi"/>
          <w:bCs/>
          <w:color w:val="000000" w:themeColor="text1"/>
          <w:sz w:val="22"/>
          <w:szCs w:val="22"/>
          <w:lang w:eastAsia="en-US"/>
        </w:rPr>
      </w:pPr>
    </w:p>
    <w:p w:rsidRPr="0063793F" w:rsidR="0063793F" w:rsidP="0063793F" w:rsidRDefault="0063793F" w14:paraId="0F2B6CC9" w14:textId="77777777">
      <w:pPr>
        <w:spacing w:line="360" w:lineRule="auto"/>
        <w:jc w:val="both"/>
        <w:rPr>
          <w:rFonts w:ascii="Palatino Linotype" w:hAnsi="Palatino Linotype" w:eastAsiaTheme="minorHAnsi" w:cstheme="minorBidi"/>
          <w:bCs/>
          <w:color w:val="000000" w:themeColor="text1"/>
          <w:sz w:val="22"/>
          <w:szCs w:val="22"/>
          <w:lang w:eastAsia="en-US"/>
        </w:rPr>
      </w:pPr>
      <w:r w:rsidRPr="0063793F">
        <w:rPr>
          <w:rFonts w:ascii="Palatino Linotype" w:hAnsi="Palatino Linotype" w:eastAsiaTheme="minorHAnsi" w:cstheme="minorBidi"/>
          <w:bCs/>
          <w:color w:val="000000" w:themeColor="text1"/>
          <w:sz w:val="22"/>
          <w:szCs w:val="22"/>
          <w:lang w:eastAsia="en-US"/>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63793F" w:rsidR="0063793F" w:rsidP="0063793F" w:rsidRDefault="0063793F" w14:paraId="0FF9152B" w14:textId="77777777">
      <w:pPr>
        <w:spacing w:line="360" w:lineRule="auto"/>
        <w:jc w:val="both"/>
        <w:rPr>
          <w:rFonts w:ascii="Palatino Linotype" w:hAnsi="Palatino Linotype" w:eastAsiaTheme="minorHAnsi" w:cstheme="minorBidi"/>
          <w:bCs/>
          <w:color w:val="000000" w:themeColor="text1"/>
          <w:sz w:val="22"/>
          <w:szCs w:val="22"/>
          <w:lang w:eastAsia="en-US"/>
        </w:rPr>
      </w:pPr>
    </w:p>
    <w:p w:rsidRPr="0063793F" w:rsidR="0063793F" w:rsidP="0063793F" w:rsidRDefault="0063793F" w14:paraId="61ADCFCC" w14:textId="77777777">
      <w:pPr>
        <w:spacing w:line="360" w:lineRule="auto"/>
        <w:jc w:val="both"/>
        <w:rPr>
          <w:rFonts w:ascii="Palatino Linotype" w:hAnsi="Palatino Linotype" w:eastAsiaTheme="minorHAnsi" w:cstheme="minorBidi"/>
          <w:bCs/>
          <w:color w:val="000000" w:themeColor="text1"/>
          <w:sz w:val="22"/>
          <w:szCs w:val="22"/>
          <w:lang w:eastAsia="en-US"/>
        </w:rPr>
      </w:pPr>
      <w:r w:rsidRPr="0063793F">
        <w:rPr>
          <w:rFonts w:ascii="Palatino Linotype" w:hAnsi="Palatino Linotype" w:eastAsiaTheme="minorHAnsi" w:cstheme="minorBidi"/>
          <w:bCs/>
          <w:color w:val="000000" w:themeColor="text1"/>
          <w:sz w:val="22"/>
          <w:szCs w:val="22"/>
          <w:lang w:eastAsia="en-US"/>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w:t>
      </w:r>
      <w:r w:rsidRPr="0063793F">
        <w:rPr>
          <w:rFonts w:ascii="Palatino Linotype" w:hAnsi="Palatino Linotype" w:eastAsiaTheme="minorHAnsi" w:cstheme="minorBidi"/>
          <w:bCs/>
          <w:color w:val="000000" w:themeColor="text1"/>
          <w:sz w:val="22"/>
          <w:szCs w:val="22"/>
          <w:lang w:eastAsia="en-US"/>
        </w:rPr>
        <w:lastRenderedPageBreak/>
        <w:t>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63793F" w:rsidR="0063793F" w:rsidP="0063793F" w:rsidRDefault="0063793F" w14:paraId="6409BE01" w14:textId="77777777">
      <w:pPr>
        <w:spacing w:line="360" w:lineRule="auto"/>
        <w:jc w:val="both"/>
        <w:rPr>
          <w:rFonts w:ascii="Palatino Linotype" w:hAnsi="Palatino Linotype" w:eastAsiaTheme="minorHAnsi" w:cstheme="minorBidi"/>
          <w:bCs/>
          <w:color w:val="000000" w:themeColor="text1"/>
          <w:sz w:val="22"/>
          <w:szCs w:val="22"/>
          <w:lang w:eastAsia="en-US"/>
        </w:rPr>
      </w:pPr>
    </w:p>
    <w:p w:rsidRPr="0063793F" w:rsidR="0063793F" w:rsidP="0063793F" w:rsidRDefault="0063793F" w14:paraId="64CB1C4E" w14:textId="77777777">
      <w:pPr>
        <w:spacing w:line="360" w:lineRule="auto"/>
        <w:jc w:val="both"/>
        <w:rPr>
          <w:rFonts w:ascii="Palatino Linotype" w:hAnsi="Palatino Linotype" w:eastAsiaTheme="minorHAnsi" w:cstheme="minorBidi"/>
          <w:bCs/>
          <w:color w:val="000000" w:themeColor="text1"/>
          <w:sz w:val="22"/>
          <w:szCs w:val="22"/>
          <w:lang w:eastAsia="en-US"/>
        </w:rPr>
      </w:pPr>
      <w:r w:rsidRPr="0063793F">
        <w:rPr>
          <w:rFonts w:ascii="Palatino Linotype" w:hAnsi="Palatino Linotype" w:eastAsiaTheme="minorHAnsi" w:cstheme="minorBidi"/>
          <w:bCs/>
          <w:color w:val="000000" w:themeColor="text1"/>
          <w:sz w:val="22"/>
          <w:szCs w:val="22"/>
          <w:lang w:eastAsia="en-US"/>
        </w:rPr>
        <w:t>En términos de lo expuesto, la documentación y aquellos datos que se consideren confidenciales, serán una limitante del derecho de acceso a la información, siempre y cuando:</w:t>
      </w:r>
    </w:p>
    <w:p w:rsidRPr="0063793F" w:rsidR="0063793F" w:rsidP="0063793F" w:rsidRDefault="0063793F" w14:paraId="5F09C469" w14:textId="77777777">
      <w:pPr>
        <w:spacing w:line="360" w:lineRule="auto"/>
        <w:jc w:val="both"/>
        <w:rPr>
          <w:rFonts w:ascii="Palatino Linotype" w:hAnsi="Palatino Linotype" w:eastAsiaTheme="minorHAnsi" w:cstheme="minorBidi"/>
          <w:bCs/>
          <w:color w:val="000000" w:themeColor="text1"/>
          <w:sz w:val="22"/>
          <w:szCs w:val="22"/>
          <w:lang w:eastAsia="en-US"/>
        </w:rPr>
      </w:pPr>
    </w:p>
    <w:p w:rsidRPr="0063793F" w:rsidR="0063793F" w:rsidP="0063793F" w:rsidRDefault="0063793F" w14:paraId="14C0D573" w14:textId="77777777">
      <w:pPr>
        <w:numPr>
          <w:ilvl w:val="0"/>
          <w:numId w:val="41"/>
        </w:numPr>
        <w:spacing w:line="360" w:lineRule="auto"/>
        <w:jc w:val="both"/>
        <w:rPr>
          <w:rFonts w:ascii="Palatino Linotype" w:hAnsi="Palatino Linotype" w:eastAsiaTheme="minorHAnsi" w:cstheme="minorBidi"/>
          <w:bCs/>
          <w:color w:val="000000" w:themeColor="text1"/>
          <w:sz w:val="22"/>
          <w:szCs w:val="22"/>
          <w:lang w:eastAsia="en-US"/>
        </w:rPr>
      </w:pPr>
      <w:r w:rsidRPr="0063793F">
        <w:rPr>
          <w:rFonts w:ascii="Palatino Linotype" w:hAnsi="Palatino Linotype" w:eastAsiaTheme="minorHAnsi" w:cstheme="minorBidi"/>
          <w:bCs/>
          <w:color w:val="000000" w:themeColor="text1"/>
          <w:sz w:val="22"/>
          <w:szCs w:val="22"/>
          <w:lang w:eastAsia="en-US"/>
        </w:rPr>
        <w:t xml:space="preserve">Se trate de datos personales o información privada; esto es, información concerniente a una persona física o jurídico colectiva y que esta sea identificada o identificable. </w:t>
      </w:r>
    </w:p>
    <w:p w:rsidRPr="0063793F" w:rsidR="0063793F" w:rsidP="0063793F" w:rsidRDefault="0063793F" w14:paraId="44C9666F" w14:textId="77777777">
      <w:pPr>
        <w:spacing w:line="360" w:lineRule="auto"/>
        <w:jc w:val="both"/>
        <w:rPr>
          <w:rFonts w:ascii="Palatino Linotype" w:hAnsi="Palatino Linotype" w:eastAsiaTheme="minorHAnsi" w:cstheme="minorBidi"/>
          <w:bCs/>
          <w:color w:val="000000" w:themeColor="text1"/>
          <w:sz w:val="22"/>
          <w:szCs w:val="22"/>
          <w:lang w:eastAsia="en-US"/>
        </w:rPr>
      </w:pPr>
    </w:p>
    <w:p w:rsidRPr="0063793F" w:rsidR="0063793F" w:rsidP="0063793F" w:rsidRDefault="0063793F" w14:paraId="7D6B7900" w14:textId="77777777">
      <w:pPr>
        <w:numPr>
          <w:ilvl w:val="0"/>
          <w:numId w:val="41"/>
        </w:numPr>
        <w:spacing w:line="360" w:lineRule="auto"/>
        <w:jc w:val="both"/>
        <w:rPr>
          <w:rFonts w:ascii="Palatino Linotype" w:hAnsi="Palatino Linotype" w:eastAsiaTheme="minorHAnsi" w:cstheme="minorBidi"/>
          <w:bCs/>
          <w:color w:val="000000" w:themeColor="text1"/>
          <w:sz w:val="22"/>
          <w:szCs w:val="22"/>
          <w:lang w:eastAsia="en-US"/>
        </w:rPr>
      </w:pPr>
      <w:r w:rsidRPr="0063793F">
        <w:rPr>
          <w:rFonts w:ascii="Palatino Linotype" w:hAnsi="Palatino Linotype" w:eastAsiaTheme="minorHAnsi" w:cstheme="minorBidi"/>
          <w:bCs/>
          <w:color w:val="000000" w:themeColor="text1"/>
          <w:sz w:val="22"/>
          <w:szCs w:val="22"/>
          <w:lang w:eastAsia="en-US"/>
        </w:rPr>
        <w:t xml:space="preserve">Para la difusión de los datos, se requiera el consentimiento del titular. </w:t>
      </w:r>
    </w:p>
    <w:p w:rsidRPr="0063793F" w:rsidR="0063793F" w:rsidP="0063793F" w:rsidRDefault="0063793F" w14:paraId="1F0DFC8C" w14:textId="77777777">
      <w:pPr>
        <w:spacing w:line="360" w:lineRule="auto"/>
        <w:jc w:val="both"/>
        <w:rPr>
          <w:rFonts w:ascii="Palatino Linotype" w:hAnsi="Palatino Linotype" w:eastAsiaTheme="minorHAnsi" w:cstheme="minorBidi"/>
          <w:bCs/>
          <w:color w:val="000000" w:themeColor="text1"/>
          <w:sz w:val="22"/>
          <w:szCs w:val="22"/>
          <w:lang w:eastAsia="en-US"/>
        </w:rPr>
      </w:pPr>
    </w:p>
    <w:p w:rsidRPr="0063793F" w:rsidR="0063793F" w:rsidP="0063793F" w:rsidRDefault="0063793F" w14:paraId="769E50F6" w14:textId="77777777">
      <w:pPr>
        <w:spacing w:line="360" w:lineRule="auto"/>
        <w:jc w:val="both"/>
        <w:rPr>
          <w:rFonts w:ascii="Palatino Linotype" w:hAnsi="Palatino Linotype" w:eastAsiaTheme="minorHAnsi" w:cstheme="minorBidi"/>
          <w:bCs/>
          <w:color w:val="000000" w:themeColor="text1"/>
          <w:sz w:val="22"/>
          <w:szCs w:val="22"/>
          <w:lang w:eastAsia="en-US"/>
        </w:rPr>
      </w:pPr>
      <w:r w:rsidRPr="0063793F">
        <w:rPr>
          <w:rFonts w:ascii="Palatino Linotype" w:hAnsi="Palatino Linotype" w:eastAsiaTheme="minorHAnsi" w:cstheme="minorBidi"/>
          <w:bCs/>
          <w:color w:val="000000" w:themeColor="text1"/>
          <w:sz w:val="22"/>
          <w:szCs w:val="22"/>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rsidRPr="0063793F" w:rsidR="0063793F" w:rsidP="0063793F" w:rsidRDefault="0063793F" w14:paraId="3294DFDC" w14:textId="77777777">
      <w:pPr>
        <w:spacing w:line="360" w:lineRule="auto"/>
        <w:jc w:val="both"/>
        <w:rPr>
          <w:rFonts w:ascii="Palatino Linotype" w:hAnsi="Palatino Linotype" w:eastAsiaTheme="minorHAnsi" w:cstheme="minorBidi"/>
          <w:bCs/>
          <w:color w:val="000000" w:themeColor="text1"/>
          <w:sz w:val="22"/>
          <w:szCs w:val="22"/>
          <w:lang w:eastAsia="en-US"/>
        </w:rPr>
      </w:pPr>
    </w:p>
    <w:p w:rsidRPr="0063793F" w:rsidR="0063793F" w:rsidP="0063793F" w:rsidRDefault="0063793F" w14:paraId="145CC361" w14:textId="77777777">
      <w:pPr>
        <w:spacing w:line="360" w:lineRule="auto"/>
        <w:jc w:val="both"/>
        <w:rPr>
          <w:rFonts w:ascii="Palatino Linotype" w:hAnsi="Palatino Linotype" w:eastAsiaTheme="minorHAnsi" w:cstheme="minorBidi"/>
          <w:bCs/>
          <w:color w:val="000000" w:themeColor="text1"/>
          <w:sz w:val="22"/>
          <w:szCs w:val="22"/>
          <w:lang w:eastAsia="en-US"/>
        </w:rPr>
      </w:pPr>
      <w:r w:rsidRPr="0063793F">
        <w:rPr>
          <w:rFonts w:ascii="Palatino Linotype" w:hAnsi="Palatino Linotype" w:eastAsiaTheme="minorHAnsi" w:cstheme="minorBidi"/>
          <w:bCs/>
          <w:color w:val="000000" w:themeColor="text1"/>
          <w:sz w:val="22"/>
          <w:szCs w:val="22"/>
          <w:lang w:eastAsia="en-US"/>
        </w:rPr>
        <w:t>Además, en el artículo 5° de dicho ordenamiento jurídico, establece que es la Ley aplicable para todo tratamiento de datos personales.</w:t>
      </w:r>
    </w:p>
    <w:p w:rsidRPr="0063793F" w:rsidR="0063793F" w:rsidP="0063793F" w:rsidRDefault="0063793F" w14:paraId="45C02C84" w14:textId="77777777">
      <w:pPr>
        <w:spacing w:line="360" w:lineRule="auto"/>
        <w:jc w:val="both"/>
        <w:rPr>
          <w:rFonts w:ascii="Palatino Linotype" w:hAnsi="Palatino Linotype" w:eastAsiaTheme="minorHAnsi" w:cstheme="minorBidi"/>
          <w:bCs/>
          <w:color w:val="000000" w:themeColor="text1"/>
          <w:sz w:val="22"/>
          <w:szCs w:val="22"/>
          <w:lang w:eastAsia="en-US"/>
        </w:rPr>
      </w:pPr>
    </w:p>
    <w:p w:rsidRPr="0063793F" w:rsidR="0063793F" w:rsidP="0063793F" w:rsidRDefault="0063793F" w14:paraId="78789A58" w14:textId="77777777">
      <w:pPr>
        <w:spacing w:line="360" w:lineRule="auto"/>
        <w:jc w:val="both"/>
        <w:rPr>
          <w:rFonts w:ascii="Palatino Linotype" w:hAnsi="Palatino Linotype" w:eastAsiaTheme="minorHAnsi" w:cstheme="minorBidi"/>
          <w:bCs/>
          <w:color w:val="000000" w:themeColor="text1"/>
          <w:sz w:val="22"/>
          <w:szCs w:val="22"/>
          <w:lang w:eastAsia="en-US"/>
        </w:rPr>
      </w:pPr>
      <w:r w:rsidRPr="0063793F">
        <w:rPr>
          <w:rFonts w:ascii="Palatino Linotype" w:hAnsi="Palatino Linotype" w:eastAsiaTheme="minorHAnsi" w:cstheme="minorBidi"/>
          <w:bCs/>
          <w:color w:val="000000" w:themeColor="text1"/>
          <w:sz w:val="22"/>
          <w:szCs w:val="22"/>
          <w:lang w:eastAsia="en-US"/>
        </w:rPr>
        <w:lastRenderedPageBreak/>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63793F" w:rsidR="0063793F" w:rsidP="0063793F" w:rsidRDefault="0063793F" w14:paraId="45C60C5E" w14:textId="77777777">
      <w:pPr>
        <w:spacing w:line="360" w:lineRule="auto"/>
        <w:jc w:val="both"/>
        <w:rPr>
          <w:rFonts w:ascii="Palatino Linotype" w:hAnsi="Palatino Linotype" w:eastAsiaTheme="minorHAnsi" w:cstheme="minorBidi"/>
          <w:bCs/>
          <w:color w:val="000000" w:themeColor="text1"/>
          <w:sz w:val="22"/>
          <w:szCs w:val="22"/>
          <w:lang w:eastAsia="en-US"/>
        </w:rPr>
      </w:pPr>
    </w:p>
    <w:p w:rsidRPr="0063793F" w:rsidR="0063793F" w:rsidP="0063793F" w:rsidRDefault="0063793F" w14:paraId="59D5494A" w14:textId="77777777">
      <w:pPr>
        <w:spacing w:line="360" w:lineRule="auto"/>
        <w:jc w:val="both"/>
        <w:rPr>
          <w:rFonts w:ascii="Palatino Linotype" w:hAnsi="Palatino Linotype" w:eastAsiaTheme="minorHAnsi" w:cstheme="minorBidi"/>
          <w:bCs/>
          <w:color w:val="000000" w:themeColor="text1"/>
          <w:sz w:val="22"/>
          <w:szCs w:val="22"/>
          <w:lang w:eastAsia="en-US"/>
        </w:rPr>
      </w:pPr>
      <w:r w:rsidRPr="0063793F">
        <w:rPr>
          <w:rFonts w:ascii="Palatino Linotype" w:hAnsi="Palatino Linotype" w:eastAsiaTheme="minorHAnsi" w:cstheme="minorBidi"/>
          <w:bCs/>
          <w:color w:val="000000" w:themeColor="text1"/>
          <w:sz w:val="22"/>
          <w:szCs w:val="22"/>
          <w:lang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63793F" w:rsidR="0063793F" w:rsidP="0063793F" w:rsidRDefault="0063793F" w14:paraId="66697F3C" w14:textId="77777777">
      <w:pPr>
        <w:spacing w:line="360" w:lineRule="auto"/>
        <w:jc w:val="both"/>
        <w:rPr>
          <w:rFonts w:ascii="Palatino Linotype" w:hAnsi="Palatino Linotype" w:eastAsiaTheme="minorHAnsi" w:cstheme="minorBidi"/>
          <w:bCs/>
          <w:color w:val="000000" w:themeColor="text1"/>
          <w:sz w:val="22"/>
          <w:szCs w:val="22"/>
          <w:lang w:eastAsia="en-US"/>
        </w:rPr>
      </w:pPr>
    </w:p>
    <w:p w:rsidRPr="0063793F" w:rsidR="0063793F" w:rsidP="0063793F" w:rsidRDefault="0063793F" w14:paraId="78431B74" w14:textId="77777777">
      <w:pPr>
        <w:spacing w:line="360" w:lineRule="auto"/>
        <w:jc w:val="both"/>
        <w:rPr>
          <w:rFonts w:ascii="Palatino Linotype" w:hAnsi="Palatino Linotype" w:eastAsiaTheme="minorHAnsi" w:cstheme="minorBidi"/>
          <w:bCs/>
          <w:color w:val="000000" w:themeColor="text1"/>
          <w:sz w:val="22"/>
          <w:szCs w:val="22"/>
          <w:lang w:eastAsia="en-US"/>
        </w:rPr>
      </w:pPr>
      <w:r w:rsidRPr="0063793F">
        <w:rPr>
          <w:rFonts w:ascii="Palatino Linotype" w:hAnsi="Palatino Linotype" w:eastAsiaTheme="minorHAnsi" w:cstheme="minorBidi"/>
          <w:bCs/>
          <w:color w:val="000000" w:themeColor="text1"/>
          <w:sz w:val="22"/>
          <w:szCs w:val="22"/>
          <w:lang w:eastAsia="en-US"/>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63793F" w:rsidR="0063793F" w:rsidP="0063793F" w:rsidRDefault="0063793F" w14:paraId="4181183E" w14:textId="77777777">
      <w:pPr>
        <w:spacing w:line="360" w:lineRule="auto"/>
        <w:jc w:val="both"/>
        <w:rPr>
          <w:rFonts w:ascii="Palatino Linotype" w:hAnsi="Palatino Linotype" w:eastAsiaTheme="minorHAnsi" w:cstheme="minorBidi"/>
          <w:bCs/>
          <w:color w:val="000000" w:themeColor="text1"/>
          <w:sz w:val="22"/>
          <w:szCs w:val="22"/>
          <w:lang w:eastAsia="en-US"/>
        </w:rPr>
      </w:pPr>
    </w:p>
    <w:p w:rsidRPr="0063793F" w:rsidR="0063793F" w:rsidP="0063793F" w:rsidRDefault="0063793F" w14:paraId="108BD9F8" w14:textId="77777777">
      <w:pPr>
        <w:spacing w:line="360" w:lineRule="auto"/>
        <w:jc w:val="both"/>
        <w:rPr>
          <w:rFonts w:ascii="Palatino Linotype" w:hAnsi="Palatino Linotype" w:eastAsiaTheme="minorHAnsi" w:cstheme="minorBidi"/>
          <w:bCs/>
          <w:color w:val="000000" w:themeColor="text1"/>
          <w:sz w:val="22"/>
          <w:szCs w:val="22"/>
          <w:lang w:eastAsia="en-US"/>
        </w:rPr>
      </w:pPr>
      <w:r w:rsidRPr="0063793F">
        <w:rPr>
          <w:rFonts w:ascii="Palatino Linotype" w:hAnsi="Palatino Linotype" w:eastAsiaTheme="minorHAnsi" w:cstheme="minorBidi"/>
          <w:bCs/>
          <w:color w:val="000000" w:themeColor="text1"/>
          <w:sz w:val="22"/>
          <w:szCs w:val="22"/>
          <w:lang w:eastAsia="en-US"/>
        </w:rPr>
        <w:t>De tal suerte, las instituciones públicas tienen la doble responsabilidad, por un lado, de proteger los datos personales y por otro, darles publicidad cuando la relevancia de esos datos sea de interés público.</w:t>
      </w:r>
    </w:p>
    <w:p w:rsidRPr="0063793F" w:rsidR="0063793F" w:rsidP="0063793F" w:rsidRDefault="0063793F" w14:paraId="6035B198" w14:textId="77777777">
      <w:pPr>
        <w:spacing w:line="360" w:lineRule="auto"/>
        <w:jc w:val="both"/>
        <w:rPr>
          <w:rFonts w:ascii="Palatino Linotype" w:hAnsi="Palatino Linotype" w:eastAsiaTheme="minorHAnsi" w:cstheme="minorBidi"/>
          <w:bCs/>
          <w:color w:val="000000" w:themeColor="text1"/>
          <w:sz w:val="22"/>
          <w:szCs w:val="22"/>
          <w:lang w:eastAsia="en-US"/>
        </w:rPr>
      </w:pPr>
    </w:p>
    <w:p w:rsidRPr="0063793F" w:rsidR="0063793F" w:rsidP="0063793F" w:rsidRDefault="0063793F" w14:paraId="06EAFE65" w14:textId="77777777">
      <w:pPr>
        <w:spacing w:line="360" w:lineRule="auto"/>
        <w:jc w:val="both"/>
        <w:rPr>
          <w:rFonts w:ascii="Palatino Linotype" w:hAnsi="Palatino Linotype" w:eastAsiaTheme="minorHAnsi" w:cstheme="minorBidi"/>
          <w:bCs/>
          <w:color w:val="000000" w:themeColor="text1"/>
          <w:sz w:val="22"/>
          <w:szCs w:val="22"/>
          <w:lang w:eastAsia="en-US"/>
        </w:rPr>
      </w:pPr>
      <w:r w:rsidRPr="0063793F">
        <w:rPr>
          <w:rFonts w:ascii="Palatino Linotype" w:hAnsi="Palatino Linotype" w:eastAsiaTheme="minorHAnsi" w:cstheme="minorBidi"/>
          <w:bCs/>
          <w:color w:val="000000" w:themeColor="text1"/>
          <w:sz w:val="22"/>
          <w:szCs w:val="22"/>
          <w:lang w:eastAsia="en-US"/>
        </w:rPr>
        <w:lastRenderedPageBreak/>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rsidRPr="0063793F" w:rsidR="0063793F" w:rsidP="0063793F" w:rsidRDefault="0063793F" w14:paraId="002E2AEF" w14:textId="77777777">
      <w:pPr>
        <w:spacing w:line="360" w:lineRule="auto"/>
        <w:jc w:val="both"/>
        <w:rPr>
          <w:rFonts w:ascii="Palatino Linotype" w:hAnsi="Palatino Linotype" w:eastAsiaTheme="minorHAnsi" w:cstheme="minorBidi"/>
          <w:bCs/>
          <w:color w:val="000000" w:themeColor="text1"/>
          <w:sz w:val="22"/>
          <w:szCs w:val="22"/>
          <w:lang w:eastAsia="en-US"/>
        </w:rPr>
      </w:pPr>
    </w:p>
    <w:p w:rsidRPr="0063793F" w:rsidR="0063793F" w:rsidP="0063793F" w:rsidRDefault="0063793F" w14:paraId="0631B5D2" w14:textId="77777777">
      <w:pPr>
        <w:spacing w:line="360" w:lineRule="auto"/>
        <w:jc w:val="both"/>
        <w:rPr>
          <w:rFonts w:ascii="Palatino Linotype" w:hAnsi="Palatino Linotype" w:eastAsiaTheme="minorHAnsi" w:cstheme="minorBidi"/>
          <w:bCs/>
          <w:color w:val="000000" w:themeColor="text1"/>
          <w:sz w:val="22"/>
          <w:szCs w:val="22"/>
          <w:lang w:eastAsia="en-US"/>
        </w:rPr>
      </w:pPr>
      <w:r w:rsidRPr="0063793F">
        <w:rPr>
          <w:rFonts w:ascii="Palatino Linotype" w:hAnsi="Palatino Linotype" w:eastAsiaTheme="minorHAnsi" w:cstheme="minorBidi"/>
          <w:bCs/>
          <w:color w:val="000000" w:themeColor="text1"/>
          <w:sz w:val="22"/>
          <w:szCs w:val="22"/>
          <w:lang w:eastAsia="en-U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63793F" w:rsidR="0063793F" w:rsidP="0063793F" w:rsidRDefault="0063793F" w14:paraId="3C18E619" w14:textId="77777777">
      <w:pPr>
        <w:spacing w:line="360" w:lineRule="auto"/>
        <w:jc w:val="both"/>
        <w:rPr>
          <w:rFonts w:ascii="Palatino Linotype" w:hAnsi="Palatino Linotype" w:eastAsiaTheme="minorHAnsi" w:cstheme="minorBidi"/>
          <w:bCs/>
          <w:color w:val="000000" w:themeColor="text1"/>
          <w:sz w:val="22"/>
          <w:szCs w:val="22"/>
          <w:lang w:eastAsia="en-US"/>
        </w:rPr>
      </w:pPr>
    </w:p>
    <w:p w:rsidRPr="0063793F" w:rsidR="0063793F" w:rsidP="0063793F" w:rsidRDefault="0063793F" w14:paraId="224026C2" w14:textId="77777777">
      <w:pPr>
        <w:spacing w:line="360" w:lineRule="auto"/>
        <w:jc w:val="both"/>
        <w:rPr>
          <w:rFonts w:ascii="Palatino Linotype" w:hAnsi="Palatino Linotype" w:eastAsiaTheme="minorHAnsi" w:cstheme="minorBidi"/>
          <w:bCs/>
          <w:color w:val="000000" w:themeColor="text1"/>
          <w:sz w:val="22"/>
          <w:szCs w:val="22"/>
          <w:lang w:eastAsia="en-US"/>
        </w:rPr>
      </w:pPr>
      <w:r w:rsidRPr="0063793F">
        <w:rPr>
          <w:rFonts w:ascii="Palatino Linotype" w:hAnsi="Palatino Linotype" w:eastAsiaTheme="minorHAnsi" w:cstheme="minorBidi"/>
          <w:bCs/>
          <w:color w:val="000000" w:themeColor="text1"/>
          <w:sz w:val="22"/>
          <w:szCs w:val="22"/>
          <w:lang w:eastAsia="en-U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63793F" w:rsidR="0063793F" w:rsidP="0063793F" w:rsidRDefault="0063793F" w14:paraId="121BB3BA" w14:textId="77777777">
      <w:pPr>
        <w:spacing w:line="360" w:lineRule="auto"/>
        <w:jc w:val="both"/>
        <w:rPr>
          <w:rFonts w:ascii="Palatino Linotype" w:hAnsi="Palatino Linotype" w:eastAsiaTheme="minorHAnsi" w:cstheme="minorBidi"/>
          <w:bCs/>
          <w:color w:val="000000" w:themeColor="text1"/>
          <w:sz w:val="22"/>
          <w:szCs w:val="22"/>
          <w:lang w:eastAsia="en-US"/>
        </w:rPr>
      </w:pPr>
    </w:p>
    <w:p w:rsidRPr="0063793F" w:rsidR="0063793F" w:rsidP="0063793F" w:rsidRDefault="0063793F" w14:paraId="4BCA927A" w14:textId="77777777">
      <w:pPr>
        <w:spacing w:line="360" w:lineRule="auto"/>
        <w:jc w:val="both"/>
        <w:rPr>
          <w:rFonts w:ascii="Palatino Linotype" w:hAnsi="Palatino Linotype" w:eastAsiaTheme="minorHAnsi" w:cstheme="minorBidi"/>
          <w:bCs/>
          <w:color w:val="000000" w:themeColor="text1"/>
          <w:sz w:val="22"/>
          <w:szCs w:val="22"/>
          <w:lang w:eastAsia="en-US"/>
        </w:rPr>
      </w:pPr>
      <w:r w:rsidRPr="0063793F">
        <w:rPr>
          <w:rFonts w:ascii="Palatino Linotype" w:hAnsi="Palatino Linotype" w:eastAsiaTheme="minorHAnsi" w:cstheme="minorBidi"/>
          <w:bCs/>
          <w:color w:val="000000" w:themeColor="text1"/>
          <w:sz w:val="22"/>
          <w:szCs w:val="22"/>
          <w:lang w:eastAsia="en-US"/>
        </w:rPr>
        <w:t>Bajo ese contexto, se analizarán si los datos mencionados, deben ser considerados confidenciales, en términos del artículo 143, fracción I, de la Ley de Transparencia y Acceso a la Información Pública del Estado de México y Municipios, o públicos.</w:t>
      </w:r>
    </w:p>
    <w:p w:rsidR="0063793F" w:rsidP="0063793F" w:rsidRDefault="0063793F" w14:paraId="35623D18" w14:textId="77777777">
      <w:pPr>
        <w:spacing w:line="360" w:lineRule="auto"/>
        <w:jc w:val="both"/>
        <w:rPr>
          <w:rFonts w:ascii="Palatino Linotype" w:hAnsi="Palatino Linotype" w:eastAsiaTheme="minorHAnsi" w:cstheme="minorBidi"/>
          <w:bCs/>
          <w:color w:val="000000" w:themeColor="text1"/>
          <w:sz w:val="22"/>
          <w:szCs w:val="22"/>
          <w:lang w:eastAsia="en-US"/>
        </w:rPr>
      </w:pPr>
    </w:p>
    <w:p w:rsidRPr="0063793F" w:rsidR="0063793F" w:rsidP="0063793F" w:rsidRDefault="0063793F" w14:paraId="6E4D028A" w14:textId="3233675C">
      <w:pPr>
        <w:numPr>
          <w:ilvl w:val="0"/>
          <w:numId w:val="6"/>
        </w:numPr>
        <w:spacing w:line="360" w:lineRule="auto"/>
        <w:jc w:val="both"/>
        <w:rPr>
          <w:rFonts w:ascii="Palatino Linotype" w:hAnsi="Palatino Linotype" w:eastAsia="Calibri" w:cs="Tahoma"/>
          <w:b/>
          <w:bCs/>
          <w:color w:val="000000"/>
          <w:sz w:val="22"/>
          <w:szCs w:val="24"/>
          <w:lang w:eastAsia="es-MX"/>
        </w:rPr>
      </w:pPr>
      <w:r w:rsidRPr="0063793F">
        <w:rPr>
          <w:rFonts w:ascii="Palatino Linotype" w:hAnsi="Palatino Linotype" w:eastAsiaTheme="minorHAnsi" w:cstheme="minorBidi"/>
          <w:b/>
          <w:bCs/>
          <w:iCs/>
          <w:color w:val="000000" w:themeColor="text1"/>
          <w:sz w:val="22"/>
          <w:szCs w:val="22"/>
          <w:lang w:eastAsia="en-US"/>
        </w:rPr>
        <w:t>Nombre</w:t>
      </w:r>
      <w:r w:rsidRPr="0063793F">
        <w:rPr>
          <w:rFonts w:ascii="Palatino Linotype" w:hAnsi="Palatino Linotype" w:eastAsia="Calibri" w:cs="Tahoma"/>
          <w:b/>
          <w:bCs/>
          <w:color w:val="000000"/>
          <w:sz w:val="22"/>
          <w:szCs w:val="24"/>
          <w:lang w:eastAsia="es-MX"/>
        </w:rPr>
        <w:t xml:space="preserve"> de servidores pú</w:t>
      </w:r>
      <w:r w:rsidR="0099171E">
        <w:rPr>
          <w:rFonts w:ascii="Palatino Linotype" w:hAnsi="Palatino Linotype" w:eastAsia="Calibri" w:cs="Tahoma"/>
          <w:b/>
          <w:bCs/>
          <w:color w:val="000000"/>
          <w:sz w:val="22"/>
          <w:szCs w:val="24"/>
          <w:lang w:eastAsia="es-MX"/>
        </w:rPr>
        <w:t>blicos.</w:t>
      </w:r>
    </w:p>
    <w:p w:rsidRPr="0063793F" w:rsidR="0063793F" w:rsidP="0063793F" w:rsidRDefault="0063793F" w14:paraId="1B676065" w14:textId="77777777">
      <w:pPr>
        <w:spacing w:line="360" w:lineRule="auto"/>
        <w:jc w:val="both"/>
        <w:rPr>
          <w:rFonts w:ascii="Palatino Linotype" w:hAnsi="Palatino Linotype" w:eastAsia="Calibri" w:cs="Tahoma"/>
          <w:color w:val="000000"/>
          <w:sz w:val="22"/>
          <w:szCs w:val="24"/>
          <w:lang w:eastAsia="es-MX"/>
        </w:rPr>
      </w:pPr>
    </w:p>
    <w:p w:rsidRPr="0063793F" w:rsidR="0063793F" w:rsidP="0063793F" w:rsidRDefault="0063793F" w14:paraId="67E9CAB2" w14:textId="77777777">
      <w:pPr>
        <w:spacing w:line="360" w:lineRule="auto"/>
        <w:jc w:val="both"/>
        <w:rPr>
          <w:rFonts w:ascii="Palatino Linotype" w:hAnsi="Palatino Linotype" w:eastAsia="Calibri" w:cs="Tahoma"/>
          <w:b/>
          <w:bCs/>
          <w:color w:val="000000"/>
          <w:sz w:val="22"/>
          <w:szCs w:val="24"/>
          <w:lang w:val="es-ES_tradnl" w:eastAsia="es-MX"/>
        </w:rPr>
      </w:pPr>
      <w:r w:rsidRPr="0063793F">
        <w:rPr>
          <w:rFonts w:ascii="Palatino Linotype" w:hAnsi="Palatino Linotype" w:eastAsia="Calibri" w:cs="Tahoma"/>
          <w:bCs/>
          <w:color w:val="000000"/>
          <w:sz w:val="22"/>
          <w:szCs w:val="24"/>
          <w:lang w:eastAsia="es-MX"/>
        </w:rPr>
        <w:t xml:space="preserve">Al respecto, se considera que el nombre de una persona se integra </w:t>
      </w:r>
      <w:r w:rsidRPr="0063793F">
        <w:rPr>
          <w:rFonts w:ascii="Palatino Linotype" w:hAnsi="Palatino Linotype" w:eastAsia="Calibri" w:cs="Tahoma"/>
          <w:bCs/>
          <w:color w:val="000000"/>
          <w:sz w:val="22"/>
          <w:szCs w:val="24"/>
          <w:lang w:val="es-ES_tradnl" w:eastAsia="es-MX"/>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63793F">
        <w:rPr>
          <w:rFonts w:ascii="Palatino Linotype" w:hAnsi="Palatino Linotype" w:eastAsia="Calibri" w:cs="Tahoma"/>
          <w:bCs/>
          <w:i/>
          <w:color w:val="000000"/>
          <w:sz w:val="22"/>
          <w:szCs w:val="24"/>
          <w:lang w:val="es-ES_tradnl" w:eastAsia="es-MX"/>
        </w:rPr>
        <w:t>per se</w:t>
      </w:r>
      <w:r w:rsidRPr="0063793F">
        <w:rPr>
          <w:rFonts w:ascii="Palatino Linotype" w:hAnsi="Palatino Linotype" w:eastAsia="Calibri" w:cs="Tahoma"/>
          <w:bCs/>
          <w:color w:val="000000"/>
          <w:sz w:val="22"/>
          <w:szCs w:val="24"/>
          <w:lang w:val="es-ES_tradnl" w:eastAsia="es-MX"/>
        </w:rPr>
        <w:t xml:space="preserve"> es un elemento que hace a una persona física identificada o identificable, por lo que, </w:t>
      </w:r>
      <w:r w:rsidRPr="0063793F">
        <w:rPr>
          <w:rFonts w:ascii="Palatino Linotype" w:hAnsi="Palatino Linotype" w:eastAsia="Calibri" w:cs="Tahoma"/>
          <w:b/>
          <w:bCs/>
          <w:color w:val="000000"/>
          <w:sz w:val="22"/>
          <w:szCs w:val="24"/>
          <w:lang w:val="es-ES_tradnl" w:eastAsia="es-MX"/>
        </w:rPr>
        <w:t>se considera un dato personal.</w:t>
      </w:r>
    </w:p>
    <w:p w:rsidRPr="0063793F" w:rsidR="0063793F" w:rsidP="0063793F" w:rsidRDefault="0063793F" w14:paraId="0F11FDDC" w14:textId="77777777">
      <w:pPr>
        <w:spacing w:line="360" w:lineRule="auto"/>
        <w:jc w:val="both"/>
        <w:rPr>
          <w:rFonts w:ascii="Palatino Linotype" w:hAnsi="Palatino Linotype" w:eastAsia="Calibri" w:cs="Tahoma"/>
          <w:b/>
          <w:bCs/>
          <w:color w:val="000000"/>
          <w:sz w:val="22"/>
          <w:szCs w:val="24"/>
          <w:lang w:val="es-ES_tradnl" w:eastAsia="es-MX"/>
        </w:rPr>
      </w:pPr>
    </w:p>
    <w:p w:rsidRPr="0063793F" w:rsidR="0063793F" w:rsidP="0063793F" w:rsidRDefault="0063793F" w14:paraId="4044A9AD" w14:textId="77777777">
      <w:pPr>
        <w:spacing w:line="360" w:lineRule="auto"/>
        <w:jc w:val="both"/>
        <w:rPr>
          <w:rFonts w:ascii="Palatino Linotype" w:hAnsi="Palatino Linotype" w:eastAsia="Calibri" w:cs="Tahoma"/>
          <w:bCs/>
          <w:color w:val="000000"/>
          <w:sz w:val="22"/>
          <w:szCs w:val="24"/>
          <w:lang w:val="es-ES_tradnl" w:eastAsia="es-MX"/>
        </w:rPr>
      </w:pPr>
      <w:r w:rsidRPr="0063793F">
        <w:rPr>
          <w:rFonts w:ascii="Palatino Linotype" w:hAnsi="Palatino Linotype" w:eastAsia="Calibri" w:cs="Tahoma"/>
          <w:color w:val="000000"/>
          <w:sz w:val="22"/>
          <w:szCs w:val="24"/>
          <w:lang w:val="es-ES" w:eastAsia="es-MX"/>
        </w:rPr>
        <w:t xml:space="preserve">No obstante, </w:t>
      </w:r>
      <w:r w:rsidRPr="0063793F">
        <w:rPr>
          <w:rFonts w:ascii="Palatino Linotype" w:hAnsi="Palatino Linotype" w:eastAsia="Calibri" w:cs="Tahoma"/>
          <w:bCs/>
          <w:color w:val="000000"/>
          <w:sz w:val="22"/>
          <w:szCs w:val="24"/>
          <w:lang w:val="es-ES_tradnl" w:eastAsia="es-MX"/>
        </w:rPr>
        <w:t>la Ley General de Transparencia y Acceso a la Información Pública y la Ley de Transparencia y Acceso a la Información Pública del Estado de México y Municipios ha establecido un régimen de excepción tratándose de los nombres de servidores públicos, ya que la difusión de dicho dato constituye una obligación de transparencia por parte de los sujetos obligados.</w:t>
      </w:r>
    </w:p>
    <w:p w:rsidRPr="0063793F" w:rsidR="0063793F" w:rsidP="0063793F" w:rsidRDefault="0063793F" w14:paraId="252E3A00" w14:textId="77777777">
      <w:pPr>
        <w:spacing w:line="360" w:lineRule="auto"/>
        <w:jc w:val="both"/>
        <w:rPr>
          <w:rFonts w:ascii="Palatino Linotype" w:hAnsi="Palatino Linotype" w:eastAsia="Calibri" w:cs="Tahoma"/>
          <w:bCs/>
          <w:color w:val="000000"/>
          <w:sz w:val="22"/>
          <w:szCs w:val="24"/>
          <w:lang w:val="es-ES_tradnl" w:eastAsia="es-MX"/>
        </w:rPr>
      </w:pPr>
    </w:p>
    <w:p w:rsidRPr="0063793F" w:rsidR="0063793F" w:rsidP="0063793F" w:rsidRDefault="0063793F" w14:paraId="7973D7E8" w14:textId="77777777">
      <w:pPr>
        <w:spacing w:line="360" w:lineRule="auto"/>
        <w:jc w:val="both"/>
        <w:rPr>
          <w:rFonts w:ascii="Palatino Linotype" w:hAnsi="Palatino Linotype" w:eastAsia="Calibri" w:cs="Tahoma"/>
          <w:b/>
          <w:bCs/>
          <w:color w:val="000000"/>
          <w:sz w:val="22"/>
          <w:szCs w:val="24"/>
          <w:lang w:val="es-ES_tradnl" w:eastAsia="es-MX"/>
        </w:rPr>
      </w:pPr>
      <w:r w:rsidRPr="0063793F">
        <w:rPr>
          <w:rFonts w:ascii="Palatino Linotype" w:hAnsi="Palatino Linotype" w:eastAsia="Calibri" w:cs="Tahoma"/>
          <w:bCs/>
          <w:color w:val="000000"/>
          <w:sz w:val="22"/>
          <w:szCs w:val="24"/>
          <w:lang w:val="es-ES_tradnl" w:eastAsia="es-MX"/>
        </w:rPr>
        <w:t xml:space="preserve">Lo anterior, toma sustento con el artículo 70, fracción VII, de la Ley General de Transparencia y Acceso a la Información Pública y el 92, fracción VII, de la Ley de Transparencia y Acceso a la Información Pública del Estado de México y Municipios, establece que los sujetos obligados tienen la obligación de poner a disposición del público y mantener actualizada de acuerdo con sus facultades, atribuciones, funciones u objeto social, según corresponda el directorio, que deberá incluir al menos, entre otros datos, </w:t>
      </w:r>
      <w:r w:rsidRPr="0063793F">
        <w:rPr>
          <w:rFonts w:ascii="Palatino Linotype" w:hAnsi="Palatino Linotype" w:eastAsia="Calibri" w:cs="Tahoma"/>
          <w:b/>
          <w:bCs/>
          <w:color w:val="000000"/>
          <w:sz w:val="22"/>
          <w:szCs w:val="24"/>
          <w:lang w:val="es-ES_tradnl" w:eastAsia="es-MX"/>
        </w:rPr>
        <w:t>el nombre del servidor público.</w:t>
      </w:r>
    </w:p>
    <w:p w:rsidRPr="0063793F" w:rsidR="0063793F" w:rsidP="0063793F" w:rsidRDefault="0063793F" w14:paraId="6C2ECB2D" w14:textId="77777777">
      <w:pPr>
        <w:spacing w:line="360" w:lineRule="auto"/>
        <w:jc w:val="both"/>
        <w:rPr>
          <w:rFonts w:ascii="Palatino Linotype" w:hAnsi="Palatino Linotype" w:eastAsia="Calibri" w:cs="Tahoma"/>
          <w:b/>
          <w:bCs/>
          <w:color w:val="000000"/>
          <w:sz w:val="22"/>
          <w:szCs w:val="24"/>
          <w:lang w:val="es-ES_tradnl" w:eastAsia="es-MX"/>
        </w:rPr>
      </w:pPr>
    </w:p>
    <w:p w:rsidRPr="0063793F" w:rsidR="0063793F" w:rsidP="0063793F" w:rsidRDefault="0063793F" w14:paraId="5A356CC4" w14:textId="1D8DFB53">
      <w:pPr>
        <w:spacing w:line="360" w:lineRule="auto"/>
        <w:jc w:val="both"/>
        <w:rPr>
          <w:rFonts w:ascii="Palatino Linotype" w:hAnsi="Palatino Linotype" w:eastAsia="Calibri" w:cs="Tahoma"/>
          <w:bCs/>
          <w:color w:val="000000"/>
          <w:sz w:val="22"/>
          <w:szCs w:val="24"/>
          <w:lang w:val="es-ES_tradnl" w:eastAsia="es-MX"/>
        </w:rPr>
      </w:pPr>
      <w:r w:rsidRPr="0063793F">
        <w:rPr>
          <w:rFonts w:ascii="Palatino Linotype" w:hAnsi="Palatino Linotype" w:eastAsia="Calibri" w:cs="Tahoma"/>
          <w:bCs/>
          <w:color w:val="000000"/>
          <w:sz w:val="22"/>
          <w:szCs w:val="24"/>
          <w:lang w:val="es-ES_tradnl" w:eastAsia="es-MX"/>
        </w:rPr>
        <w:t xml:space="preserve">Por lo tanto, las Leyes de Transparencia, considera que </w:t>
      </w:r>
      <w:r w:rsidRPr="0063793F">
        <w:rPr>
          <w:rFonts w:ascii="Palatino Linotype" w:hAnsi="Palatino Linotype" w:eastAsia="Calibri" w:cs="Tahoma"/>
          <w:b/>
          <w:bCs/>
          <w:color w:val="000000"/>
          <w:sz w:val="22"/>
          <w:szCs w:val="24"/>
          <w:lang w:val="es-ES_tradnl" w:eastAsia="es-MX"/>
        </w:rPr>
        <w:t xml:space="preserve">los datos, como el nombre de servidores públicos, por regla general, </w:t>
      </w:r>
      <w:r w:rsidRPr="0063793F">
        <w:rPr>
          <w:rFonts w:ascii="Palatino Linotype" w:hAnsi="Palatino Linotype" w:eastAsia="Calibri" w:cs="Tahoma"/>
          <w:bCs/>
          <w:color w:val="000000"/>
          <w:sz w:val="22"/>
          <w:szCs w:val="24"/>
          <w:lang w:val="es-ES_tradnl" w:eastAsia="es-MX"/>
        </w:rPr>
        <w:t>son de naturaleza pública, ya que su publicidad orienta a cumplir los objetivos que persigue la Ley y, por lo tanto, no procede la clasificación en términos del artículo 143, fracción I, de la Ley Local; situación que se robustece con el hecho de que el dato en cuestión, se encuentra publicado en el Portal de Información Públic</w:t>
      </w:r>
      <w:r w:rsidR="0099171E">
        <w:rPr>
          <w:rFonts w:ascii="Palatino Linotype" w:hAnsi="Palatino Linotype" w:eastAsia="Calibri" w:cs="Tahoma"/>
          <w:bCs/>
          <w:color w:val="000000"/>
          <w:sz w:val="22"/>
          <w:szCs w:val="24"/>
          <w:lang w:val="es-ES_tradnl" w:eastAsia="es-MX"/>
        </w:rPr>
        <w:t>a de Oficio Mexiquense (IPOMEX), e inclusive fue entregado en respuesta.</w:t>
      </w:r>
    </w:p>
    <w:p w:rsidRPr="0063793F" w:rsidR="0063793F" w:rsidP="0063793F" w:rsidRDefault="0063793F" w14:paraId="6BB0E85A" w14:textId="77777777">
      <w:pPr>
        <w:spacing w:line="360" w:lineRule="auto"/>
        <w:jc w:val="both"/>
        <w:rPr>
          <w:rFonts w:ascii="Palatino Linotype" w:hAnsi="Palatino Linotype" w:eastAsiaTheme="minorHAnsi" w:cstheme="minorBidi"/>
          <w:bCs/>
          <w:color w:val="000000" w:themeColor="text1"/>
          <w:sz w:val="22"/>
          <w:szCs w:val="22"/>
          <w:lang w:eastAsia="en-US"/>
        </w:rPr>
      </w:pPr>
    </w:p>
    <w:p w:rsidRPr="0063793F" w:rsidR="0063793F" w:rsidP="0063793F" w:rsidRDefault="0063793F" w14:paraId="14CE9557" w14:textId="77777777">
      <w:pPr>
        <w:numPr>
          <w:ilvl w:val="0"/>
          <w:numId w:val="6"/>
        </w:numPr>
        <w:spacing w:line="360" w:lineRule="auto"/>
        <w:jc w:val="both"/>
        <w:rPr>
          <w:rFonts w:ascii="Palatino Linotype" w:hAnsi="Palatino Linotype" w:eastAsiaTheme="minorHAnsi" w:cstheme="minorBidi"/>
          <w:b/>
          <w:bCs/>
          <w:iCs/>
          <w:color w:val="000000" w:themeColor="text1"/>
          <w:sz w:val="22"/>
          <w:szCs w:val="22"/>
          <w:lang w:val="es-ES_tradnl" w:eastAsia="en-US"/>
        </w:rPr>
      </w:pPr>
      <w:r w:rsidRPr="0063793F">
        <w:rPr>
          <w:rFonts w:ascii="Palatino Linotype" w:hAnsi="Palatino Linotype" w:eastAsiaTheme="minorHAnsi" w:cstheme="minorBidi"/>
          <w:b/>
          <w:bCs/>
          <w:iCs/>
          <w:color w:val="000000" w:themeColor="text1"/>
          <w:sz w:val="22"/>
          <w:szCs w:val="22"/>
          <w:lang w:eastAsia="en-US"/>
        </w:rPr>
        <w:t>C</w:t>
      </w:r>
      <w:r w:rsidRPr="0063793F">
        <w:rPr>
          <w:rFonts w:ascii="Palatino Linotype" w:hAnsi="Palatino Linotype" w:eastAsiaTheme="minorHAnsi" w:cstheme="minorBidi"/>
          <w:b/>
          <w:bCs/>
          <w:iCs/>
          <w:color w:val="000000" w:themeColor="text1"/>
          <w:sz w:val="22"/>
          <w:szCs w:val="22"/>
          <w:lang w:val="es-ES_tradnl" w:eastAsia="en-US"/>
        </w:rPr>
        <w:t>lave Única de Registro de Población (CURP).</w:t>
      </w:r>
    </w:p>
    <w:p w:rsidRPr="0063793F" w:rsidR="0063793F" w:rsidP="0063793F" w:rsidRDefault="0063793F" w14:paraId="5443F95B" w14:textId="77777777">
      <w:pPr>
        <w:spacing w:line="360" w:lineRule="auto"/>
        <w:jc w:val="both"/>
        <w:rPr>
          <w:rFonts w:ascii="Palatino Linotype" w:hAnsi="Palatino Linotype" w:eastAsiaTheme="minorHAnsi" w:cstheme="minorBidi"/>
          <w:bCs/>
          <w:iCs/>
          <w:color w:val="000000" w:themeColor="text1"/>
          <w:sz w:val="22"/>
          <w:szCs w:val="22"/>
          <w:lang w:eastAsia="en-US"/>
        </w:rPr>
      </w:pPr>
    </w:p>
    <w:p w:rsidRPr="0063793F" w:rsidR="0063793F" w:rsidP="0063793F" w:rsidRDefault="0063793F" w14:paraId="4EC1EE3A" w14:textId="77777777">
      <w:pPr>
        <w:spacing w:line="360" w:lineRule="auto"/>
        <w:jc w:val="both"/>
        <w:rPr>
          <w:rFonts w:ascii="Palatino Linotype" w:hAnsi="Palatino Linotype" w:eastAsiaTheme="minorHAnsi" w:cstheme="minorBidi"/>
          <w:bCs/>
          <w:iCs/>
          <w:color w:val="000000" w:themeColor="text1"/>
          <w:sz w:val="22"/>
          <w:szCs w:val="22"/>
          <w:lang w:eastAsia="en-US"/>
        </w:rPr>
      </w:pPr>
      <w:r w:rsidRPr="0063793F">
        <w:rPr>
          <w:rFonts w:ascii="Palatino Linotype" w:hAnsi="Palatino Linotype" w:eastAsiaTheme="minorHAnsi" w:cstheme="minorBidi"/>
          <w:bCs/>
          <w:iCs/>
          <w:color w:val="000000" w:themeColor="text1"/>
          <w:sz w:val="22"/>
          <w:szCs w:val="22"/>
          <w:lang w:eastAsia="en-U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rsidRPr="0063793F" w:rsidR="0063793F" w:rsidP="0063793F" w:rsidRDefault="0063793F" w14:paraId="00DCFC91" w14:textId="77777777">
      <w:pPr>
        <w:spacing w:line="360" w:lineRule="auto"/>
        <w:jc w:val="both"/>
        <w:rPr>
          <w:rFonts w:ascii="Palatino Linotype" w:hAnsi="Palatino Linotype" w:eastAsiaTheme="minorHAnsi" w:cstheme="minorBidi"/>
          <w:bCs/>
          <w:iCs/>
          <w:color w:val="000000" w:themeColor="text1"/>
          <w:sz w:val="22"/>
          <w:szCs w:val="22"/>
          <w:lang w:eastAsia="en-US"/>
        </w:rPr>
      </w:pPr>
    </w:p>
    <w:p w:rsidRPr="0063793F" w:rsidR="0063793F" w:rsidP="0063793F" w:rsidRDefault="0063793F" w14:paraId="38D203D1" w14:textId="77777777">
      <w:pPr>
        <w:spacing w:line="360" w:lineRule="auto"/>
        <w:jc w:val="both"/>
        <w:rPr>
          <w:rFonts w:ascii="Palatino Linotype" w:hAnsi="Palatino Linotype" w:eastAsiaTheme="minorHAnsi" w:cstheme="minorBidi"/>
          <w:bCs/>
          <w:iCs/>
          <w:color w:val="000000" w:themeColor="text1"/>
          <w:sz w:val="22"/>
          <w:szCs w:val="22"/>
          <w:lang w:eastAsia="en-US"/>
        </w:rPr>
      </w:pPr>
      <w:r w:rsidRPr="0063793F">
        <w:rPr>
          <w:rFonts w:ascii="Palatino Linotype" w:hAnsi="Palatino Linotype" w:eastAsiaTheme="minorHAnsi" w:cstheme="minorBidi"/>
          <w:bCs/>
          <w:iCs/>
          <w:color w:val="000000" w:themeColor="text1"/>
          <w:sz w:val="22"/>
          <w:szCs w:val="22"/>
          <w:lang w:eastAsia="en-U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Pr="0063793F" w:rsidR="0063793F" w:rsidP="0063793F" w:rsidRDefault="0063793F" w14:paraId="6BE94B28" w14:textId="77777777">
      <w:pPr>
        <w:spacing w:line="360" w:lineRule="auto"/>
        <w:jc w:val="both"/>
        <w:rPr>
          <w:rFonts w:ascii="Palatino Linotype" w:hAnsi="Palatino Linotype" w:eastAsiaTheme="minorHAnsi" w:cstheme="minorBidi"/>
          <w:bCs/>
          <w:iCs/>
          <w:color w:val="000000" w:themeColor="text1"/>
          <w:sz w:val="22"/>
          <w:szCs w:val="22"/>
          <w:lang w:eastAsia="en-US"/>
        </w:rPr>
      </w:pPr>
    </w:p>
    <w:p w:rsidRPr="0063793F" w:rsidR="0063793F" w:rsidP="0063793F" w:rsidRDefault="0063793F" w14:paraId="6FF527DA" w14:textId="052E29C4">
      <w:pPr>
        <w:spacing w:line="360" w:lineRule="auto"/>
        <w:jc w:val="both"/>
        <w:rPr>
          <w:rFonts w:ascii="Palatino Linotype" w:hAnsi="Palatino Linotype" w:eastAsiaTheme="minorHAnsi" w:cstheme="minorBidi"/>
          <w:bCs/>
          <w:iCs/>
          <w:color w:val="000000" w:themeColor="text1"/>
          <w:sz w:val="22"/>
          <w:szCs w:val="22"/>
          <w:lang w:eastAsia="en-US"/>
        </w:rPr>
      </w:pPr>
      <w:r w:rsidRPr="0063793F">
        <w:rPr>
          <w:rFonts w:ascii="Palatino Linotype" w:hAnsi="Palatino Linotype" w:eastAsiaTheme="minorHAnsi" w:cstheme="minorBidi"/>
          <w:bCs/>
          <w:iCs/>
          <w:color w:val="000000" w:themeColor="text1"/>
          <w:sz w:val="22"/>
          <w:szCs w:val="22"/>
          <w:lang w:eastAsia="en-US"/>
        </w:rPr>
        <w:t xml:space="preserve">En ese orden de ideas, la Secretaría de Gobernación en las direcciones </w:t>
      </w:r>
      <w:hyperlink w:history="1" r:id="rId12">
        <w:r w:rsidRPr="0063793F">
          <w:rPr>
            <w:rFonts w:ascii="Palatino Linotype" w:hAnsi="Palatino Linotype" w:eastAsiaTheme="minorHAnsi" w:cstheme="minorBidi"/>
            <w:bCs/>
            <w:iCs/>
            <w:color w:val="0563C1" w:themeColor="hyperlink"/>
            <w:sz w:val="22"/>
            <w:szCs w:val="22"/>
            <w:u w:val="single"/>
            <w:lang w:eastAsia="en-US"/>
          </w:rPr>
          <w:t>https://consultas.curp.gob.mx/CurpSP/html/informacionecurpPS.html</w:t>
        </w:r>
      </w:hyperlink>
      <w:r w:rsidRPr="0063793F">
        <w:rPr>
          <w:rFonts w:ascii="Palatino Linotype" w:hAnsi="Palatino Linotype" w:eastAsiaTheme="minorHAnsi" w:cstheme="minorBidi"/>
          <w:bCs/>
          <w:iCs/>
          <w:color w:val="000000" w:themeColor="text1"/>
          <w:sz w:val="22"/>
          <w:szCs w:val="22"/>
          <w:lang w:eastAsia="en-US"/>
        </w:rPr>
        <w:t xml:space="preserve"> y </w:t>
      </w:r>
      <w:hyperlink w:history="1" r:id="rId13">
        <w:r w:rsidRPr="0063793F">
          <w:rPr>
            <w:rFonts w:ascii="Palatino Linotype" w:hAnsi="Palatino Linotype" w:eastAsiaTheme="minorHAnsi" w:cstheme="minorBidi"/>
            <w:bCs/>
            <w:iCs/>
            <w:color w:val="0563C1" w:themeColor="hyperlink"/>
            <w:sz w:val="22"/>
            <w:szCs w:val="22"/>
            <w:u w:val="single"/>
            <w:lang w:eastAsia="en-US"/>
          </w:rPr>
          <w:t>https://www.gob.mx/segob/renapo/acciones-y-programas/clave-unica-de-registro-de-poblacion-curp-142226</w:t>
        </w:r>
      </w:hyperlink>
      <w:r w:rsidR="0099171E">
        <w:rPr>
          <w:rFonts w:ascii="Palatino Linotype" w:hAnsi="Palatino Linotype" w:eastAsiaTheme="minorHAnsi" w:cstheme="minorBidi"/>
          <w:bCs/>
          <w:iCs/>
          <w:color w:val="000000" w:themeColor="text1"/>
          <w:sz w:val="22"/>
          <w:szCs w:val="22"/>
          <w:lang w:eastAsia="en-US"/>
        </w:rPr>
        <w:t xml:space="preserve"> (consultadas el once</w:t>
      </w:r>
      <w:r w:rsidRPr="0063793F">
        <w:rPr>
          <w:rFonts w:ascii="Palatino Linotype" w:hAnsi="Palatino Linotype" w:eastAsiaTheme="minorHAnsi" w:cstheme="minorBidi"/>
          <w:bCs/>
          <w:iCs/>
          <w:color w:val="000000" w:themeColor="text1"/>
          <w:sz w:val="22"/>
          <w:szCs w:val="22"/>
          <w:lang w:eastAsia="en-US"/>
        </w:rPr>
        <w:t xml:space="preserve"> de mayo de dos mil veintidós), estableció que la Clave Única del Registro de Población, es un instrumento de registro que se asigna a todas </w:t>
      </w:r>
      <w:r w:rsidRPr="0063793F">
        <w:rPr>
          <w:rFonts w:ascii="Palatino Linotype" w:hAnsi="Palatino Linotype" w:eastAsiaTheme="minorHAnsi" w:cstheme="minorBidi"/>
          <w:bCs/>
          <w:iCs/>
          <w:color w:val="000000" w:themeColor="text1"/>
          <w:sz w:val="22"/>
          <w:szCs w:val="22"/>
          <w:lang w:eastAsia="en-US"/>
        </w:rPr>
        <w:lastRenderedPageBreak/>
        <w:t xml:space="preserve">las personas que viven en el territorio nacional, así como a los mexicanos que residen en el extranjero y se compone de dieciocho elementos, representados por letras y números, que </w:t>
      </w:r>
      <w:r w:rsidRPr="0063793F">
        <w:rPr>
          <w:rFonts w:ascii="Palatino Linotype" w:hAnsi="Palatino Linotype" w:eastAsiaTheme="minorHAnsi" w:cstheme="minorBidi"/>
          <w:b/>
          <w:bCs/>
          <w:iCs/>
          <w:color w:val="000000" w:themeColor="text1"/>
          <w:sz w:val="22"/>
          <w:szCs w:val="22"/>
          <w:lang w:eastAsia="en-US"/>
        </w:rPr>
        <w:t>se generan a partir de los datos contenidos en el documento probatorio de la identidad</w:t>
      </w:r>
      <w:r w:rsidRPr="0063793F">
        <w:rPr>
          <w:rFonts w:ascii="Palatino Linotype" w:hAnsi="Palatino Linotype" w:eastAsiaTheme="minorHAnsi" w:cstheme="minorBidi"/>
          <w:bCs/>
          <w:iCs/>
          <w:color w:val="000000" w:themeColor="text1"/>
          <w:sz w:val="22"/>
          <w:szCs w:val="22"/>
          <w:lang w:eastAsia="en-US"/>
        </w:rPr>
        <w:t xml:space="preserve"> </w:t>
      </w:r>
      <w:r w:rsidRPr="0063793F">
        <w:rPr>
          <w:rFonts w:ascii="Palatino Linotype" w:hAnsi="Palatino Linotype" w:eastAsiaTheme="minorHAnsi" w:cstheme="minorBidi"/>
          <w:b/>
          <w:bCs/>
          <w:iCs/>
          <w:color w:val="000000" w:themeColor="text1"/>
          <w:sz w:val="22"/>
          <w:szCs w:val="22"/>
          <w:lang w:eastAsia="en-US"/>
        </w:rPr>
        <w:t xml:space="preserve">del interesado </w:t>
      </w:r>
      <w:r w:rsidRPr="0063793F">
        <w:rPr>
          <w:rFonts w:ascii="Palatino Linotype" w:hAnsi="Palatino Linotype" w:eastAsiaTheme="minorHAnsi" w:cstheme="minorBidi"/>
          <w:bCs/>
          <w:iCs/>
          <w:color w:val="000000" w:themeColor="text1"/>
          <w:sz w:val="22"/>
          <w:szCs w:val="22"/>
          <w:lang w:eastAsia="en-US"/>
        </w:rPr>
        <w:t>(acta de nacimiento, carta de naturalización o documento migratorio) de la siguiente forma:</w:t>
      </w:r>
    </w:p>
    <w:p w:rsidRPr="0063793F" w:rsidR="0063793F" w:rsidP="0063793F" w:rsidRDefault="0063793F" w14:paraId="2B06CCCF" w14:textId="77777777">
      <w:pPr>
        <w:spacing w:line="360" w:lineRule="auto"/>
        <w:jc w:val="both"/>
        <w:rPr>
          <w:rFonts w:ascii="Palatino Linotype" w:hAnsi="Palatino Linotype" w:eastAsiaTheme="minorHAnsi" w:cstheme="minorBidi"/>
          <w:bCs/>
          <w:iCs/>
          <w:color w:val="000000" w:themeColor="text1"/>
          <w:sz w:val="22"/>
          <w:szCs w:val="22"/>
          <w:lang w:eastAsia="en-US"/>
        </w:rPr>
      </w:pPr>
    </w:p>
    <w:p w:rsidRPr="0063793F" w:rsidR="0063793F" w:rsidP="0063793F" w:rsidRDefault="0063793F" w14:paraId="3EEBE95B" w14:textId="77777777">
      <w:pPr>
        <w:numPr>
          <w:ilvl w:val="0"/>
          <w:numId w:val="8"/>
        </w:numPr>
        <w:spacing w:line="360" w:lineRule="auto"/>
        <w:jc w:val="both"/>
        <w:rPr>
          <w:rFonts w:ascii="Palatino Linotype" w:hAnsi="Palatino Linotype" w:eastAsiaTheme="minorHAnsi" w:cstheme="minorBidi"/>
          <w:bCs/>
          <w:iCs/>
          <w:color w:val="000000" w:themeColor="text1"/>
          <w:sz w:val="22"/>
          <w:szCs w:val="22"/>
          <w:lang w:eastAsia="en-US"/>
        </w:rPr>
      </w:pPr>
      <w:r w:rsidRPr="0063793F">
        <w:rPr>
          <w:rFonts w:ascii="Palatino Linotype" w:hAnsi="Palatino Linotype" w:eastAsiaTheme="minorHAnsi" w:cstheme="minorBidi"/>
          <w:bCs/>
          <w:iCs/>
          <w:color w:val="000000" w:themeColor="text1"/>
          <w:sz w:val="22"/>
          <w:szCs w:val="22"/>
          <w:lang w:eastAsia="en-US"/>
        </w:rPr>
        <w:t>El primero y segundo apellidos, así como al nombre de pila;</w:t>
      </w:r>
    </w:p>
    <w:p w:rsidRPr="0063793F" w:rsidR="0063793F" w:rsidP="0063793F" w:rsidRDefault="0063793F" w14:paraId="7B641ED2" w14:textId="77777777">
      <w:pPr>
        <w:numPr>
          <w:ilvl w:val="0"/>
          <w:numId w:val="8"/>
        </w:numPr>
        <w:spacing w:line="360" w:lineRule="auto"/>
        <w:jc w:val="both"/>
        <w:rPr>
          <w:rFonts w:ascii="Palatino Linotype" w:hAnsi="Palatino Linotype" w:eastAsiaTheme="minorHAnsi" w:cstheme="minorBidi"/>
          <w:bCs/>
          <w:iCs/>
          <w:color w:val="000000" w:themeColor="text1"/>
          <w:sz w:val="22"/>
          <w:szCs w:val="22"/>
          <w:lang w:eastAsia="en-US"/>
        </w:rPr>
      </w:pPr>
      <w:r w:rsidRPr="0063793F">
        <w:rPr>
          <w:rFonts w:ascii="Palatino Linotype" w:hAnsi="Palatino Linotype" w:eastAsiaTheme="minorHAnsi" w:cstheme="minorBidi"/>
          <w:bCs/>
          <w:iCs/>
          <w:color w:val="000000" w:themeColor="text1"/>
          <w:sz w:val="22"/>
          <w:szCs w:val="22"/>
          <w:lang w:eastAsia="en-US"/>
        </w:rPr>
        <w:t>La fecha de nacimiento;</w:t>
      </w:r>
    </w:p>
    <w:p w:rsidRPr="0063793F" w:rsidR="0063793F" w:rsidP="0063793F" w:rsidRDefault="0063793F" w14:paraId="4AFF6B87" w14:textId="77777777">
      <w:pPr>
        <w:numPr>
          <w:ilvl w:val="0"/>
          <w:numId w:val="8"/>
        </w:numPr>
        <w:spacing w:line="360" w:lineRule="auto"/>
        <w:jc w:val="both"/>
        <w:rPr>
          <w:rFonts w:ascii="Palatino Linotype" w:hAnsi="Palatino Linotype" w:eastAsiaTheme="minorHAnsi" w:cstheme="minorBidi"/>
          <w:bCs/>
          <w:iCs/>
          <w:color w:val="000000" w:themeColor="text1"/>
          <w:sz w:val="22"/>
          <w:szCs w:val="22"/>
          <w:lang w:eastAsia="en-US"/>
        </w:rPr>
      </w:pPr>
      <w:r w:rsidRPr="0063793F">
        <w:rPr>
          <w:rFonts w:ascii="Palatino Linotype" w:hAnsi="Palatino Linotype" w:eastAsiaTheme="minorHAnsi" w:cstheme="minorBidi"/>
          <w:bCs/>
          <w:iCs/>
          <w:color w:val="000000" w:themeColor="text1"/>
          <w:sz w:val="22"/>
          <w:szCs w:val="22"/>
          <w:lang w:eastAsia="en-US"/>
        </w:rPr>
        <w:t>El sexo, y</w:t>
      </w:r>
    </w:p>
    <w:p w:rsidRPr="0063793F" w:rsidR="0063793F" w:rsidP="0063793F" w:rsidRDefault="0063793F" w14:paraId="43CD0305" w14:textId="77777777">
      <w:pPr>
        <w:numPr>
          <w:ilvl w:val="0"/>
          <w:numId w:val="8"/>
        </w:numPr>
        <w:spacing w:line="360" w:lineRule="auto"/>
        <w:jc w:val="both"/>
        <w:rPr>
          <w:rFonts w:ascii="Palatino Linotype" w:hAnsi="Palatino Linotype" w:eastAsiaTheme="minorHAnsi" w:cstheme="minorBidi"/>
          <w:bCs/>
          <w:iCs/>
          <w:color w:val="000000" w:themeColor="text1"/>
          <w:sz w:val="22"/>
          <w:szCs w:val="22"/>
          <w:lang w:eastAsia="en-US"/>
        </w:rPr>
      </w:pPr>
      <w:r w:rsidRPr="0063793F">
        <w:rPr>
          <w:rFonts w:ascii="Palatino Linotype" w:hAnsi="Palatino Linotype" w:eastAsiaTheme="minorHAnsi" w:cstheme="minorBidi"/>
          <w:bCs/>
          <w:iCs/>
          <w:color w:val="000000" w:themeColor="text1"/>
          <w:sz w:val="22"/>
          <w:szCs w:val="22"/>
          <w:lang w:eastAsia="en-US"/>
        </w:rPr>
        <w:t>La entidad federativa de nacimiento.</w:t>
      </w:r>
    </w:p>
    <w:p w:rsidRPr="0063793F" w:rsidR="0063793F" w:rsidP="0063793F" w:rsidRDefault="0063793F" w14:paraId="2AF99CA7" w14:textId="77777777">
      <w:pPr>
        <w:spacing w:line="360" w:lineRule="auto"/>
        <w:jc w:val="both"/>
        <w:rPr>
          <w:rFonts w:ascii="Palatino Linotype" w:hAnsi="Palatino Linotype" w:eastAsiaTheme="minorHAnsi" w:cstheme="minorBidi"/>
          <w:bCs/>
          <w:iCs/>
          <w:color w:val="000000" w:themeColor="text1"/>
          <w:sz w:val="22"/>
          <w:szCs w:val="22"/>
          <w:lang w:eastAsia="en-US"/>
        </w:rPr>
      </w:pPr>
    </w:p>
    <w:p w:rsidRPr="0063793F" w:rsidR="0063793F" w:rsidP="0063793F" w:rsidRDefault="0063793F" w14:paraId="44FB713C" w14:textId="77777777">
      <w:pPr>
        <w:spacing w:line="360" w:lineRule="auto"/>
        <w:jc w:val="both"/>
        <w:rPr>
          <w:rFonts w:ascii="Palatino Linotype" w:hAnsi="Palatino Linotype" w:eastAsiaTheme="minorHAnsi" w:cstheme="minorBidi"/>
          <w:bCs/>
          <w:iCs/>
          <w:color w:val="000000" w:themeColor="text1"/>
          <w:sz w:val="22"/>
          <w:szCs w:val="22"/>
          <w:lang w:eastAsia="en-US"/>
        </w:rPr>
      </w:pPr>
      <w:r w:rsidRPr="0063793F">
        <w:rPr>
          <w:rFonts w:ascii="Palatino Linotype" w:hAnsi="Palatino Linotype" w:eastAsiaTheme="minorHAnsi" w:cstheme="minorBidi"/>
          <w:bCs/>
          <w:iCs/>
          <w:color w:val="000000" w:themeColor="text1"/>
          <w:sz w:val="22"/>
          <w:szCs w:val="22"/>
          <w:lang w:eastAsia="en-US"/>
        </w:rPr>
        <w:t>Los dos últimos elementos de la Clave Única de Registro de Población evitan la duplicidad de la Clave y garantizan su correcta integración.</w:t>
      </w:r>
    </w:p>
    <w:p w:rsidRPr="0063793F" w:rsidR="0063793F" w:rsidP="0063793F" w:rsidRDefault="0063793F" w14:paraId="7D33D7F8" w14:textId="77777777">
      <w:pPr>
        <w:spacing w:line="360" w:lineRule="auto"/>
        <w:jc w:val="both"/>
        <w:rPr>
          <w:rFonts w:ascii="Palatino Linotype" w:hAnsi="Palatino Linotype" w:eastAsiaTheme="minorHAnsi" w:cstheme="minorBidi"/>
          <w:bCs/>
          <w:iCs/>
          <w:color w:val="000000" w:themeColor="text1"/>
          <w:sz w:val="22"/>
          <w:szCs w:val="22"/>
          <w:lang w:eastAsia="en-US"/>
        </w:rPr>
      </w:pPr>
    </w:p>
    <w:p w:rsidRPr="0063793F" w:rsidR="0063793F" w:rsidP="0063793F" w:rsidRDefault="0063793F" w14:paraId="48F148BE" w14:textId="77777777">
      <w:pPr>
        <w:spacing w:line="360" w:lineRule="auto"/>
        <w:jc w:val="both"/>
        <w:rPr>
          <w:rFonts w:ascii="Palatino Linotype" w:hAnsi="Palatino Linotype" w:eastAsiaTheme="minorHAnsi" w:cstheme="minorBidi"/>
          <w:bCs/>
          <w:iCs/>
          <w:color w:val="000000" w:themeColor="text1"/>
          <w:sz w:val="22"/>
          <w:szCs w:val="22"/>
          <w:lang w:eastAsia="en-US"/>
        </w:rPr>
      </w:pPr>
      <w:r w:rsidRPr="0063793F">
        <w:rPr>
          <w:rFonts w:ascii="Palatino Linotype" w:hAnsi="Palatino Linotype" w:eastAsiaTheme="minorHAnsi" w:cstheme="minorBidi"/>
          <w:bCs/>
          <w:iCs/>
          <w:color w:val="000000" w:themeColor="text1"/>
          <w:sz w:val="22"/>
          <w:szCs w:val="22"/>
          <w:lang w:eastAsia="en-U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Pr="0063793F" w:rsidR="0063793F" w:rsidP="0063793F" w:rsidRDefault="0063793F" w14:paraId="6B808068" w14:textId="77777777">
      <w:pPr>
        <w:spacing w:line="360" w:lineRule="auto"/>
        <w:jc w:val="both"/>
        <w:rPr>
          <w:rFonts w:ascii="Palatino Linotype" w:hAnsi="Palatino Linotype" w:eastAsiaTheme="minorHAnsi" w:cstheme="minorBidi"/>
          <w:bCs/>
          <w:iCs/>
          <w:color w:val="000000" w:themeColor="text1"/>
          <w:sz w:val="22"/>
          <w:szCs w:val="22"/>
          <w:lang w:eastAsia="en-US"/>
        </w:rPr>
      </w:pPr>
    </w:p>
    <w:p w:rsidRPr="0063793F" w:rsidR="0063793F" w:rsidP="0063793F" w:rsidRDefault="0063793F" w14:paraId="3BCAF863" w14:textId="77777777">
      <w:pPr>
        <w:spacing w:line="360" w:lineRule="auto"/>
        <w:jc w:val="both"/>
        <w:rPr>
          <w:rFonts w:ascii="Palatino Linotype" w:hAnsi="Palatino Linotype" w:eastAsiaTheme="minorHAnsi" w:cstheme="minorBidi"/>
          <w:bCs/>
          <w:iCs/>
          <w:color w:val="000000" w:themeColor="text1"/>
          <w:sz w:val="22"/>
          <w:szCs w:val="22"/>
          <w:lang w:eastAsia="en-US"/>
        </w:rPr>
      </w:pPr>
      <w:r w:rsidRPr="0063793F">
        <w:rPr>
          <w:rFonts w:ascii="Palatino Linotype" w:hAnsi="Palatino Linotype" w:eastAsiaTheme="minorHAnsi" w:cstheme="minorBidi"/>
          <w:bCs/>
          <w:iCs/>
          <w:color w:val="000000" w:themeColor="text1"/>
          <w:sz w:val="22"/>
          <w:szCs w:val="22"/>
          <w:lang w:eastAsia="en-US"/>
        </w:rPr>
        <w:t>Situación que se robustece, con el Criterio 18/17, emitido por el Instituto Nacional de Transparencia, Acceso a la Información y Protección de Datos Personales, que establece lo siguiente:</w:t>
      </w:r>
    </w:p>
    <w:p w:rsidRPr="0063793F" w:rsidR="0063793F" w:rsidP="0063793F" w:rsidRDefault="0063793F" w14:paraId="74A7C94D" w14:textId="77777777">
      <w:pPr>
        <w:spacing w:line="360" w:lineRule="auto"/>
        <w:jc w:val="both"/>
        <w:rPr>
          <w:rFonts w:ascii="Palatino Linotype" w:hAnsi="Palatino Linotype" w:eastAsiaTheme="minorHAnsi" w:cstheme="minorBidi"/>
          <w:bCs/>
          <w:iCs/>
          <w:color w:val="000000" w:themeColor="text1"/>
          <w:sz w:val="22"/>
          <w:szCs w:val="22"/>
          <w:lang w:eastAsia="en-US"/>
        </w:rPr>
      </w:pPr>
    </w:p>
    <w:p w:rsidRPr="0063793F" w:rsidR="0063793F" w:rsidP="0063793F" w:rsidRDefault="0063793F" w14:paraId="63E278EB" w14:textId="77777777">
      <w:pPr>
        <w:spacing w:line="360" w:lineRule="auto"/>
        <w:ind w:left="567" w:right="567"/>
        <w:jc w:val="both"/>
        <w:rPr>
          <w:rFonts w:ascii="Palatino Linotype" w:hAnsi="Palatino Linotype" w:eastAsiaTheme="minorHAnsi" w:cstheme="minorBidi"/>
          <w:bCs/>
          <w:i/>
          <w:iCs/>
          <w:color w:val="000000" w:themeColor="text1"/>
          <w:lang w:eastAsia="en-US"/>
        </w:rPr>
      </w:pPr>
      <w:r w:rsidRPr="0063793F">
        <w:rPr>
          <w:rFonts w:ascii="Palatino Linotype" w:hAnsi="Palatino Linotype" w:eastAsiaTheme="minorHAnsi" w:cstheme="minorBidi"/>
          <w:b/>
          <w:bCs/>
          <w:i/>
          <w:iCs/>
          <w:color w:val="000000" w:themeColor="text1"/>
          <w:lang w:eastAsia="en-US"/>
        </w:rPr>
        <w:t xml:space="preserve">“Clave Única de Registro de Población (CURP). </w:t>
      </w:r>
      <w:r w:rsidRPr="0063793F">
        <w:rPr>
          <w:rFonts w:ascii="Palatino Linotype" w:hAnsi="Palatino Linotype" w:eastAsiaTheme="minorHAnsi" w:cstheme="minorBidi"/>
          <w:bCs/>
          <w:i/>
          <w:iCs/>
          <w:color w:val="000000" w:themeColor="text1"/>
          <w:lang w:eastAsia="en-US"/>
        </w:rPr>
        <w:t xml:space="preserve">La Clave Única de Registro de Población se integra por datos personales que sólo conciernen al particular titular de la misma, como lo son </w:t>
      </w:r>
      <w:r w:rsidRPr="0063793F">
        <w:rPr>
          <w:rFonts w:ascii="Palatino Linotype" w:hAnsi="Palatino Linotype" w:eastAsiaTheme="minorHAnsi" w:cstheme="minorBidi"/>
          <w:bCs/>
          <w:i/>
          <w:iCs/>
          <w:color w:val="000000" w:themeColor="text1"/>
          <w:lang w:eastAsia="en-US"/>
        </w:rPr>
        <w:lastRenderedPageBreak/>
        <w:t xml:space="preserve">su nombre, apellidos, fecha de nacimiento, lugar de nacimiento y sexo. Dichos datos, constituyen información que distingue plenamente a una persona física del resto de los habitantes del país, por lo que la CURP está considerada como información confidencial.” </w:t>
      </w:r>
    </w:p>
    <w:p w:rsidRPr="0063793F" w:rsidR="0063793F" w:rsidP="0063793F" w:rsidRDefault="0063793F" w14:paraId="0245C995" w14:textId="77777777">
      <w:pPr>
        <w:spacing w:line="360" w:lineRule="auto"/>
        <w:jc w:val="both"/>
        <w:rPr>
          <w:rFonts w:ascii="Palatino Linotype" w:hAnsi="Palatino Linotype" w:eastAsiaTheme="minorHAnsi" w:cstheme="minorBidi"/>
          <w:bCs/>
          <w:iCs/>
          <w:color w:val="000000" w:themeColor="text1"/>
          <w:sz w:val="22"/>
          <w:szCs w:val="22"/>
          <w:lang w:eastAsia="en-US"/>
        </w:rPr>
      </w:pPr>
    </w:p>
    <w:p w:rsidRPr="0099171E" w:rsidR="0063793F" w:rsidP="0063793F" w:rsidRDefault="0063793F" w14:paraId="4A53166C" w14:textId="03DAA80C">
      <w:pPr>
        <w:spacing w:line="360" w:lineRule="auto"/>
        <w:jc w:val="both"/>
        <w:rPr>
          <w:rFonts w:ascii="Palatino Linotype" w:hAnsi="Palatino Linotype" w:eastAsiaTheme="minorHAnsi" w:cstheme="minorBidi"/>
          <w:b/>
          <w:bCs/>
          <w:iCs/>
          <w:color w:val="000000" w:themeColor="text1"/>
          <w:sz w:val="22"/>
          <w:szCs w:val="22"/>
          <w:lang w:eastAsia="en-US"/>
        </w:rPr>
      </w:pPr>
      <w:r w:rsidRPr="0063793F">
        <w:rPr>
          <w:rFonts w:ascii="Palatino Linotype" w:hAnsi="Palatino Linotype" w:eastAsiaTheme="minorHAnsi" w:cstheme="minorBidi"/>
          <w:bCs/>
          <w:iCs/>
          <w:color w:val="000000" w:themeColor="text1"/>
          <w:sz w:val="22"/>
          <w:szCs w:val="22"/>
          <w:lang w:eastAsia="en-US"/>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r w:rsidR="0099171E">
        <w:rPr>
          <w:rFonts w:ascii="Palatino Linotype" w:hAnsi="Palatino Linotype" w:eastAsiaTheme="minorHAnsi" w:cstheme="minorBidi"/>
          <w:b/>
          <w:bCs/>
          <w:iCs/>
          <w:color w:val="000000" w:themeColor="text1"/>
          <w:sz w:val="22"/>
          <w:szCs w:val="22"/>
          <w:lang w:eastAsia="en-US"/>
        </w:rPr>
        <w:t>Cabe señalar que dicho dato se dejó visible en el documento entregado en respuesta.</w:t>
      </w:r>
    </w:p>
    <w:p w:rsidR="003B122A" w:rsidP="00274839" w:rsidRDefault="003B122A" w14:paraId="1EE76345" w14:textId="77777777">
      <w:pPr>
        <w:spacing w:line="360" w:lineRule="auto"/>
        <w:jc w:val="both"/>
        <w:rPr>
          <w:rFonts w:ascii="Palatino Linotype" w:hAnsi="Palatino Linotype" w:cs="Tahoma"/>
          <w:bCs/>
          <w:iCs/>
          <w:sz w:val="22"/>
          <w:szCs w:val="22"/>
          <w:lang w:val="es-ES"/>
        </w:rPr>
      </w:pPr>
    </w:p>
    <w:p w:rsidR="0063793F" w:rsidP="00274839" w:rsidRDefault="0099171E" w14:paraId="2DFA4969" w14:textId="598566CB">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 xml:space="preserve">Conforme a lo anterior, se logra vislumbrar que el Sujeto Obligado testó de manera incorrecta los datos contenidos en el Certificado de Competencia Laboral, pues clasificó el nombre del servidor público y </w:t>
      </w:r>
      <w:r w:rsidR="00C74AED">
        <w:rPr>
          <w:rFonts w:ascii="Palatino Linotype" w:hAnsi="Palatino Linotype" w:cs="Tahoma"/>
          <w:bCs/>
          <w:iCs/>
          <w:sz w:val="22"/>
          <w:szCs w:val="22"/>
          <w:lang w:val="es-ES"/>
        </w:rPr>
        <w:t>dejó visible la Clave Única de Registro de Población; no obstante, lo anterior durante la sustanciación del Medio de Impugnación, modificó su actuar y entregó la versión pública de manera correcta, tal como se muestra a continuación:</w:t>
      </w:r>
    </w:p>
    <w:p w:rsidR="00C74AED" w:rsidP="00274839" w:rsidRDefault="00C74AED" w14:paraId="6DC56544" w14:textId="77777777">
      <w:pPr>
        <w:spacing w:line="360" w:lineRule="auto"/>
        <w:jc w:val="both"/>
        <w:rPr>
          <w:rFonts w:ascii="Palatino Linotype" w:hAnsi="Palatino Linotype" w:cs="Tahoma"/>
          <w:bCs/>
          <w:iCs/>
          <w:sz w:val="22"/>
          <w:szCs w:val="22"/>
          <w:lang w:val="es-ES"/>
        </w:rPr>
      </w:pPr>
    </w:p>
    <w:p w:rsidR="00C74AED" w:rsidP="00C74AED" w:rsidRDefault="00C74AED" w14:paraId="48CAD4A5" w14:textId="43CB0EF6">
      <w:pPr>
        <w:spacing w:line="360" w:lineRule="auto"/>
        <w:jc w:val="center"/>
        <w:rPr>
          <w:rFonts w:ascii="Palatino Linotype" w:hAnsi="Palatino Linotype" w:cs="Tahoma"/>
          <w:bCs/>
          <w:iCs/>
          <w:sz w:val="22"/>
          <w:szCs w:val="22"/>
          <w:lang w:val="es-ES"/>
        </w:rPr>
      </w:pPr>
      <w:r>
        <w:rPr>
          <w:noProof/>
          <w:lang w:eastAsia="es-MX"/>
        </w:rPr>
        <w:drawing>
          <wp:inline distT="0" distB="0" distL="0" distR="0" wp14:anchorId="6009CE67" wp14:editId="2ED4FF5A">
            <wp:extent cx="4354241" cy="3057525"/>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61459" cy="3062593"/>
                    </a:xfrm>
                    <a:prstGeom prst="rect">
                      <a:avLst/>
                    </a:prstGeom>
                  </pic:spPr>
                </pic:pic>
              </a:graphicData>
            </a:graphic>
          </wp:inline>
        </w:drawing>
      </w:r>
    </w:p>
    <w:p w:rsidR="00EF4B54" w:rsidP="00C74AED" w:rsidRDefault="00EF4B54" w14:paraId="25926054" w14:textId="77777777">
      <w:pPr>
        <w:spacing w:line="360" w:lineRule="auto"/>
        <w:jc w:val="center"/>
        <w:rPr>
          <w:rFonts w:ascii="Palatino Linotype" w:hAnsi="Palatino Linotype" w:cs="Tahoma"/>
          <w:bCs/>
          <w:iCs/>
          <w:sz w:val="22"/>
          <w:szCs w:val="22"/>
          <w:lang w:val="es-ES"/>
        </w:rPr>
      </w:pPr>
    </w:p>
    <w:p w:rsidRPr="006B0AB4" w:rsidR="008B0944" w:rsidP="008B0944" w:rsidRDefault="008B0944" w14:paraId="0E89077A" w14:textId="26A2AE47">
      <w:pPr>
        <w:tabs>
          <w:tab w:val="left" w:pos="3962"/>
        </w:tabs>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Conforme a lo expuesto,</w:t>
      </w:r>
      <w:r w:rsidRPr="006B0AB4">
        <w:rPr>
          <w:rFonts w:ascii="Palatino Linotype" w:hAnsi="Palatino Linotype" w:eastAsia="Calibri" w:cs="Tahoma"/>
          <w:bCs/>
          <w:sz w:val="22"/>
          <w:szCs w:val="22"/>
          <w:lang w:eastAsia="en-US"/>
        </w:rPr>
        <w:t xml:space="preserve"> resulta procedente la clasificación </w:t>
      </w:r>
      <w:r>
        <w:rPr>
          <w:rFonts w:ascii="Palatino Linotype" w:hAnsi="Palatino Linotype" w:eastAsia="Calibri" w:cs="Tahoma"/>
          <w:bCs/>
          <w:sz w:val="22"/>
          <w:szCs w:val="22"/>
          <w:lang w:eastAsia="en-US"/>
        </w:rPr>
        <w:t>de la Clave Única de Registro de Población del servidor público, localizada en el Certificado de Competencia Laboral</w:t>
      </w:r>
      <w:r>
        <w:rPr>
          <w:rFonts w:ascii="Palatino Linotype" w:hAnsi="Palatino Linotype" w:eastAsia="Calibri" w:cs="Tahoma"/>
          <w:sz w:val="22"/>
          <w:szCs w:val="22"/>
          <w:lang w:eastAsia="en-US"/>
        </w:rPr>
        <w:t>; para lo cual</w:t>
      </w:r>
      <w:r w:rsidRPr="006B0AB4">
        <w:rPr>
          <w:rFonts w:ascii="Palatino Linotype" w:hAnsi="Palatino Linotype" w:eastAsia="Calibri" w:cs="Tahoma"/>
          <w:bCs/>
          <w:sz w:val="22"/>
          <w:szCs w:val="22"/>
          <w:lang w:eastAsia="en-US"/>
        </w:rPr>
        <w:t>, debe traerse a colación lo dispuesto en el artículo 168 de la Ley de Transparencia y Acceso a la Información Pública del Estado de México y Municipios, que precisa que</w:t>
      </w:r>
      <w:r w:rsidRPr="006B0AB4">
        <w:rPr>
          <w:rFonts w:ascii="Arial" w:hAnsi="Arial" w:cs="Arial" w:eastAsiaTheme="minorHAnsi"/>
        </w:rPr>
        <w:t xml:space="preserve"> </w:t>
      </w:r>
      <w:r w:rsidRPr="006B0AB4">
        <w:rPr>
          <w:rFonts w:ascii="Palatino Linotype" w:hAnsi="Palatino Linotype" w:eastAsia="Calibri" w:cs="Tahoma"/>
          <w:bCs/>
          <w:sz w:val="22"/>
          <w:szCs w:val="22"/>
          <w:lang w:eastAsia="en-US"/>
        </w:rPr>
        <w:t>en caso de que los sujetos obligados consideren que los documentos o la información requerida deban ser clasificados, el área deberá remitir la solicitud, así como un escrito en el que funde y motive dicha situación al Comité de Transparencia, mismo que deberá resolver para:</w:t>
      </w:r>
    </w:p>
    <w:p w:rsidRPr="006B0AB4" w:rsidR="008B0944" w:rsidP="008B0944" w:rsidRDefault="008B0944" w14:paraId="39F09AE1" w14:textId="77777777">
      <w:pPr>
        <w:tabs>
          <w:tab w:val="left" w:pos="3962"/>
        </w:tabs>
        <w:spacing w:line="360" w:lineRule="auto"/>
        <w:jc w:val="both"/>
        <w:rPr>
          <w:rFonts w:ascii="Palatino Linotype" w:hAnsi="Palatino Linotype" w:eastAsia="Calibri" w:cs="Tahoma"/>
          <w:bCs/>
          <w:sz w:val="22"/>
          <w:szCs w:val="22"/>
          <w:lang w:eastAsia="en-US"/>
        </w:rPr>
      </w:pPr>
    </w:p>
    <w:p w:rsidRPr="006B0AB4" w:rsidR="008B0944" w:rsidP="008B0944" w:rsidRDefault="008B0944" w14:paraId="5E726F1F" w14:textId="77777777">
      <w:pPr>
        <w:pStyle w:val="Prrafodelista"/>
        <w:numPr>
          <w:ilvl w:val="0"/>
          <w:numId w:val="34"/>
        </w:numPr>
        <w:tabs>
          <w:tab w:val="left" w:pos="3962"/>
        </w:tabs>
        <w:spacing w:line="360" w:lineRule="auto"/>
        <w:jc w:val="both"/>
        <w:rPr>
          <w:rFonts w:ascii="Palatino Linotype" w:hAnsi="Palatino Linotype" w:eastAsia="Calibri" w:cs="Tahoma"/>
          <w:bCs/>
          <w:szCs w:val="22"/>
          <w:lang w:eastAsia="en-US"/>
        </w:rPr>
      </w:pPr>
      <w:r w:rsidRPr="006B0AB4">
        <w:rPr>
          <w:rFonts w:ascii="Palatino Linotype" w:hAnsi="Palatino Linotype" w:eastAsia="Calibri" w:cs="Tahoma"/>
          <w:bCs/>
          <w:szCs w:val="22"/>
          <w:lang w:eastAsia="en-US"/>
        </w:rPr>
        <w:t>Confirmar la clasificación;</w:t>
      </w:r>
    </w:p>
    <w:p w:rsidRPr="006B0AB4" w:rsidR="008B0944" w:rsidP="008B0944" w:rsidRDefault="008B0944" w14:paraId="671DD9BE" w14:textId="77777777">
      <w:pPr>
        <w:tabs>
          <w:tab w:val="left" w:pos="3962"/>
        </w:tabs>
        <w:spacing w:line="360" w:lineRule="auto"/>
        <w:jc w:val="both"/>
        <w:rPr>
          <w:rFonts w:ascii="Palatino Linotype" w:hAnsi="Palatino Linotype" w:eastAsia="Calibri" w:cs="Tahoma"/>
          <w:bCs/>
          <w:sz w:val="22"/>
          <w:szCs w:val="22"/>
          <w:lang w:eastAsia="en-US"/>
        </w:rPr>
      </w:pPr>
    </w:p>
    <w:p w:rsidRPr="006B0AB4" w:rsidR="008B0944" w:rsidP="008B0944" w:rsidRDefault="008B0944" w14:paraId="7F3733EC" w14:textId="77777777">
      <w:pPr>
        <w:pStyle w:val="Prrafodelista"/>
        <w:numPr>
          <w:ilvl w:val="0"/>
          <w:numId w:val="34"/>
        </w:numPr>
        <w:tabs>
          <w:tab w:val="left" w:pos="3962"/>
        </w:tabs>
        <w:spacing w:line="360" w:lineRule="auto"/>
        <w:jc w:val="both"/>
        <w:rPr>
          <w:rFonts w:ascii="Palatino Linotype" w:hAnsi="Palatino Linotype" w:eastAsia="Calibri" w:cs="Tahoma"/>
          <w:bCs/>
          <w:szCs w:val="22"/>
          <w:lang w:eastAsia="en-US"/>
        </w:rPr>
      </w:pPr>
      <w:r w:rsidRPr="006B0AB4">
        <w:rPr>
          <w:rFonts w:ascii="Palatino Linotype" w:hAnsi="Palatino Linotype" w:eastAsia="Calibri" w:cs="Tahoma"/>
          <w:bCs/>
          <w:szCs w:val="22"/>
          <w:lang w:eastAsia="en-US"/>
        </w:rPr>
        <w:t>Modificar la clasificación y, otorgar total o parcialmente el acceso a la información, o</w:t>
      </w:r>
    </w:p>
    <w:p w:rsidRPr="006B0AB4" w:rsidR="008B0944" w:rsidP="008B0944" w:rsidRDefault="008B0944" w14:paraId="03CFE624" w14:textId="77777777">
      <w:pPr>
        <w:tabs>
          <w:tab w:val="left" w:pos="3962"/>
        </w:tabs>
        <w:spacing w:line="360" w:lineRule="auto"/>
        <w:jc w:val="both"/>
        <w:rPr>
          <w:rFonts w:ascii="Palatino Linotype" w:hAnsi="Palatino Linotype" w:eastAsia="Calibri" w:cs="Tahoma"/>
          <w:bCs/>
          <w:sz w:val="22"/>
          <w:szCs w:val="22"/>
          <w:lang w:eastAsia="en-US"/>
        </w:rPr>
      </w:pPr>
    </w:p>
    <w:p w:rsidRPr="006B0AB4" w:rsidR="008B0944" w:rsidP="008B0944" w:rsidRDefault="008B0944" w14:paraId="59BC9ADD" w14:textId="77777777">
      <w:pPr>
        <w:pStyle w:val="Prrafodelista"/>
        <w:numPr>
          <w:ilvl w:val="0"/>
          <w:numId w:val="34"/>
        </w:numPr>
        <w:tabs>
          <w:tab w:val="left" w:pos="3962"/>
        </w:tabs>
        <w:spacing w:line="360" w:lineRule="auto"/>
        <w:jc w:val="both"/>
        <w:rPr>
          <w:rFonts w:ascii="Palatino Linotype" w:hAnsi="Palatino Linotype" w:eastAsia="Calibri" w:cs="Tahoma"/>
          <w:bCs/>
          <w:szCs w:val="22"/>
          <w:lang w:eastAsia="en-US"/>
        </w:rPr>
      </w:pPr>
      <w:r w:rsidRPr="006B0AB4">
        <w:rPr>
          <w:rFonts w:ascii="Palatino Linotype" w:hAnsi="Palatino Linotype" w:eastAsia="Calibri" w:cs="Tahoma"/>
          <w:bCs/>
          <w:szCs w:val="22"/>
          <w:lang w:eastAsia="en-US"/>
        </w:rPr>
        <w:t>Revocar la clasificación y conceder el acceso a la información.</w:t>
      </w:r>
    </w:p>
    <w:p w:rsidRPr="006B0AB4" w:rsidR="008B0944" w:rsidP="008B0944" w:rsidRDefault="008B0944" w14:paraId="338DFB6F" w14:textId="77777777">
      <w:pPr>
        <w:tabs>
          <w:tab w:val="left" w:pos="3962"/>
        </w:tabs>
        <w:spacing w:line="360" w:lineRule="auto"/>
        <w:jc w:val="both"/>
        <w:rPr>
          <w:rFonts w:ascii="Palatino Linotype" w:hAnsi="Palatino Linotype" w:eastAsia="Calibri" w:cs="Tahoma"/>
          <w:bCs/>
          <w:sz w:val="22"/>
          <w:szCs w:val="22"/>
          <w:lang w:eastAsia="en-US"/>
        </w:rPr>
      </w:pPr>
    </w:p>
    <w:p w:rsidRPr="006B0AB4" w:rsidR="008B0944" w:rsidP="008B0944" w:rsidRDefault="008B0944" w14:paraId="68F3A16C" w14:textId="77777777">
      <w:pPr>
        <w:tabs>
          <w:tab w:val="left" w:pos="3962"/>
        </w:tabs>
        <w:spacing w:line="360" w:lineRule="auto"/>
        <w:jc w:val="both"/>
        <w:rPr>
          <w:rFonts w:ascii="Palatino Linotype" w:hAnsi="Palatino Linotype" w:eastAsia="Calibri" w:cs="Tahoma"/>
          <w:bCs/>
          <w:sz w:val="22"/>
          <w:szCs w:val="22"/>
          <w:lang w:eastAsia="en-US"/>
        </w:rPr>
      </w:pPr>
      <w:r w:rsidRPr="006B0AB4">
        <w:rPr>
          <w:rFonts w:ascii="Palatino Linotype" w:hAnsi="Palatino Linotype" w:eastAsia="Calibri" w:cs="Tahoma"/>
          <w:bCs/>
          <w:sz w:val="22"/>
          <w:szCs w:val="22"/>
          <w:lang w:eastAsia="en-US"/>
        </w:rPr>
        <w:t xml:space="preserve">Para motivar la confirmación de la clasificación de la información, se deberán señalar las razones, motivos o circunstancias especiales que llevaron al sujeto obligado a concluir que el caso particular se ajusta al supuesto previsto por la norma legal invocada como fundamento, lo que en el presente caso sucedió. </w:t>
      </w:r>
    </w:p>
    <w:p w:rsidRPr="006B0AB4" w:rsidR="008B0944" w:rsidP="008B0944" w:rsidRDefault="008B0944" w14:paraId="65848CBD" w14:textId="77777777">
      <w:pPr>
        <w:tabs>
          <w:tab w:val="left" w:pos="3962"/>
        </w:tabs>
        <w:spacing w:line="360" w:lineRule="auto"/>
        <w:jc w:val="both"/>
        <w:rPr>
          <w:rFonts w:ascii="Palatino Linotype" w:hAnsi="Palatino Linotype" w:eastAsia="Calibri" w:cs="Tahoma"/>
          <w:sz w:val="22"/>
          <w:szCs w:val="22"/>
          <w:lang w:eastAsia="en-US"/>
        </w:rPr>
      </w:pPr>
    </w:p>
    <w:p w:rsidRPr="00EF4B54" w:rsidR="0063793F" w:rsidP="00EF4B54" w:rsidRDefault="008B0944" w14:paraId="75DF0481" w14:textId="6BA46110">
      <w:pPr>
        <w:tabs>
          <w:tab w:val="left" w:pos="3962"/>
        </w:tabs>
        <w:spacing w:line="360" w:lineRule="auto"/>
        <w:jc w:val="both"/>
        <w:rPr>
          <w:rFonts w:ascii="Palatino Linotype" w:hAnsi="Palatino Linotype" w:eastAsia="Calibri" w:cs="Tahoma"/>
          <w:bCs/>
          <w:sz w:val="22"/>
          <w:szCs w:val="22"/>
          <w:lang w:val="es-ES" w:eastAsia="en-US"/>
        </w:rPr>
      </w:pPr>
      <w:r>
        <w:rPr>
          <w:rFonts w:ascii="Palatino Linotype" w:hAnsi="Palatino Linotype" w:eastAsia="Calibri" w:cs="Tahoma"/>
          <w:bCs/>
          <w:sz w:val="22"/>
          <w:szCs w:val="22"/>
          <w:lang w:val="es-ES" w:eastAsia="en-US"/>
        </w:rPr>
        <w:t>En ese contexto, de las constancias que obran en el expediente, se advierte que el Sujeto Obligado proporcionó el Acta número ACT/TEOTIHUACAN/CT/08/2022,</w:t>
      </w:r>
      <w:r w:rsidR="008D43FC">
        <w:rPr>
          <w:rFonts w:ascii="Palatino Linotype" w:hAnsi="Palatino Linotype" w:eastAsia="Calibri" w:cs="Tahoma"/>
          <w:bCs/>
          <w:sz w:val="22"/>
          <w:szCs w:val="22"/>
          <w:lang w:val="es-ES" w:eastAsia="en-US"/>
        </w:rPr>
        <w:t xml:space="preserve"> del tres de marzo de dos mil veintidós, suscrita por el Comité de Transparencia, por medio de la cual, de manera fundada y motivada, se conforma la clasificación de la Clave Única de Registro de Población del Certificado de Competencia Laboral del Titular de la Unidad de Transparencia, tal como se muestra a continuación:</w:t>
      </w:r>
    </w:p>
    <w:p w:rsidR="0063793F" w:rsidP="00EF4B54" w:rsidRDefault="0040401A" w14:paraId="07BCAE05" w14:textId="0E989AA7">
      <w:pPr>
        <w:spacing w:line="360" w:lineRule="auto"/>
        <w:jc w:val="center"/>
        <w:rPr>
          <w:rFonts w:ascii="Palatino Linotype" w:hAnsi="Palatino Linotype" w:cs="Tahoma"/>
          <w:bCs/>
          <w:iCs/>
          <w:sz w:val="22"/>
          <w:szCs w:val="22"/>
          <w:lang w:val="es-ES"/>
        </w:rPr>
      </w:pPr>
      <w:r>
        <w:rPr>
          <w:noProof/>
          <w:lang w:eastAsia="es-MX"/>
        </w:rPr>
        <w:lastRenderedPageBreak/>
        <w:drawing>
          <wp:inline distT="0" distB="0" distL="0" distR="0" wp14:anchorId="0F71BA76" wp14:editId="0D2CAB46">
            <wp:extent cx="4162425" cy="68620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191935" cy="691067"/>
                    </a:xfrm>
                    <a:prstGeom prst="rect">
                      <a:avLst/>
                    </a:prstGeom>
                  </pic:spPr>
                </pic:pic>
              </a:graphicData>
            </a:graphic>
          </wp:inline>
        </w:drawing>
      </w:r>
    </w:p>
    <w:p w:rsidR="0063793F" w:rsidP="00274839" w:rsidRDefault="0063793F" w14:paraId="6C6CB1AF" w14:textId="77777777">
      <w:pPr>
        <w:spacing w:line="360" w:lineRule="auto"/>
        <w:jc w:val="both"/>
        <w:rPr>
          <w:rFonts w:ascii="Palatino Linotype" w:hAnsi="Palatino Linotype" w:cs="Tahoma"/>
          <w:bCs/>
          <w:iCs/>
          <w:sz w:val="22"/>
          <w:szCs w:val="22"/>
          <w:lang w:val="es-ES"/>
        </w:rPr>
      </w:pPr>
    </w:p>
    <w:p w:rsidR="003B122A" w:rsidP="00274839" w:rsidRDefault="0040401A" w14:paraId="2DD81613" w14:textId="4C0BB48B">
      <w:pPr>
        <w:spacing w:line="360" w:lineRule="auto"/>
        <w:jc w:val="both"/>
        <w:rPr>
          <w:rFonts w:ascii="Palatino Linotype" w:hAnsi="Palatino Linotype" w:cs="Tahoma"/>
          <w:b/>
          <w:bCs/>
          <w:sz w:val="22"/>
          <w:szCs w:val="22"/>
        </w:rPr>
      </w:pPr>
      <w:r w:rsidRPr="0040401A">
        <w:rPr>
          <w:rFonts w:ascii="Palatino Linotype" w:hAnsi="Palatino Linotype" w:cs="Tahoma"/>
          <w:bCs/>
          <w:iCs/>
          <w:sz w:val="22"/>
          <w:szCs w:val="22"/>
        </w:rPr>
        <w:t>Por todo lo expuesto y toda vez que el Sujeto Obligado</w:t>
      </w:r>
      <w:r>
        <w:rPr>
          <w:rFonts w:ascii="Palatino Linotype" w:hAnsi="Palatino Linotype" w:cs="Tahoma"/>
          <w:bCs/>
          <w:iCs/>
          <w:sz w:val="22"/>
          <w:szCs w:val="22"/>
        </w:rPr>
        <w:t xml:space="preserve"> </w:t>
      </w:r>
      <w:r w:rsidR="002E7546">
        <w:rPr>
          <w:rFonts w:ascii="Palatino Linotype" w:hAnsi="Palatino Linotype" w:cs="Tahoma"/>
          <w:bCs/>
          <w:iCs/>
          <w:sz w:val="22"/>
          <w:szCs w:val="22"/>
        </w:rPr>
        <w:t xml:space="preserve">desde respuesta </w:t>
      </w:r>
      <w:r w:rsidRPr="002E7546" w:rsidR="002E7546">
        <w:rPr>
          <w:rFonts w:ascii="Palatino Linotype" w:hAnsi="Palatino Linotype" w:cs="Tahoma"/>
          <w:bCs/>
          <w:iCs/>
          <w:sz w:val="22"/>
          <w:szCs w:val="22"/>
        </w:rPr>
        <w:t>razones por las cuales no contaba con determinada información</w:t>
      </w:r>
      <w:r w:rsidR="002E7546">
        <w:rPr>
          <w:rFonts w:ascii="Palatino Linotype" w:hAnsi="Palatino Linotype" w:cs="Tahoma"/>
          <w:bCs/>
          <w:iCs/>
          <w:sz w:val="22"/>
          <w:szCs w:val="22"/>
        </w:rPr>
        <w:t xml:space="preserve"> y en Informe Justificado proporcionó de manera correcta, la información que daba cuenta de lo solicitado, se considera que </w:t>
      </w:r>
      <w:r w:rsidRPr="0040401A">
        <w:rPr>
          <w:rFonts w:ascii="Palatino Linotype" w:hAnsi="Palatino Linotype" w:cs="Tahoma"/>
          <w:bCs/>
          <w:iCs/>
          <w:sz w:val="22"/>
          <w:szCs w:val="22"/>
        </w:rPr>
        <w:t xml:space="preserve">cumplió con los artículos 12, 19, párrafo segundo, 160 y 162 de la Ley de la materia, </w:t>
      </w:r>
      <w:r w:rsidR="003B122A">
        <w:rPr>
          <w:rFonts w:ascii="Palatino Linotype" w:hAnsi="Palatino Linotype" w:cs="Tahoma"/>
          <w:b/>
          <w:bCs/>
          <w:sz w:val="22"/>
          <w:szCs w:val="22"/>
        </w:rPr>
        <w:t>se considera que la impugnación que se dirime ha quedado sin materia.</w:t>
      </w:r>
    </w:p>
    <w:p w:rsidR="003B122A" w:rsidP="00274839" w:rsidRDefault="003B122A" w14:paraId="58B491B7" w14:textId="77777777">
      <w:pPr>
        <w:spacing w:line="360" w:lineRule="auto"/>
        <w:jc w:val="both"/>
        <w:rPr>
          <w:rFonts w:ascii="Palatino Linotype" w:hAnsi="Palatino Linotype"/>
          <w:color w:val="000000" w:themeColor="text1"/>
          <w:sz w:val="22"/>
          <w:szCs w:val="22"/>
          <w:lang w:val="es-ES"/>
        </w:rPr>
      </w:pPr>
    </w:p>
    <w:p w:rsidRPr="003B122A" w:rsidR="00C61EE1" w:rsidP="00274839" w:rsidRDefault="00C61EE1" w14:paraId="027462F8" w14:textId="2FE3FED9">
      <w:pPr>
        <w:spacing w:line="360" w:lineRule="auto"/>
        <w:jc w:val="both"/>
        <w:rPr>
          <w:rFonts w:ascii="Palatino Linotype" w:hAnsi="Palatino Linotype"/>
          <w:color w:val="000000" w:themeColor="text1"/>
          <w:sz w:val="22"/>
          <w:szCs w:val="22"/>
          <w:lang w:val="es-ES"/>
        </w:rPr>
      </w:pPr>
      <w:r w:rsidRPr="0084610A">
        <w:rPr>
          <w:rFonts w:ascii="Palatino Linotype" w:hAnsi="Palatino Linotype" w:cs="Tahoma"/>
          <w:b/>
          <w:sz w:val="22"/>
          <w:szCs w:val="22"/>
          <w:lang w:val="es-ES"/>
        </w:rPr>
        <w:t xml:space="preserve">CUARTO. Decisión. </w:t>
      </w:r>
    </w:p>
    <w:p w:rsidRPr="0084610A" w:rsidR="00C61EE1" w:rsidP="00274839" w:rsidRDefault="00C61EE1" w14:paraId="46056FED" w14:textId="77777777">
      <w:pPr>
        <w:spacing w:line="360" w:lineRule="auto"/>
        <w:jc w:val="both"/>
        <w:rPr>
          <w:rFonts w:ascii="Palatino Linotype" w:hAnsi="Palatino Linotype" w:cs="Tahoma"/>
          <w:b/>
          <w:sz w:val="22"/>
          <w:szCs w:val="22"/>
          <w:lang w:val="es-ES"/>
        </w:rPr>
      </w:pPr>
    </w:p>
    <w:p w:rsidRPr="0084610A" w:rsidR="00C61EE1" w:rsidP="00274839" w:rsidRDefault="00C61EE1" w14:paraId="59A3BAE7" w14:textId="77777777">
      <w:pPr>
        <w:widowControl w:val="0"/>
        <w:spacing w:line="360" w:lineRule="auto"/>
        <w:jc w:val="both"/>
        <w:rPr>
          <w:rFonts w:ascii="Palatino Linotype" w:hAnsi="Palatino Linotype" w:cs="Tahoma"/>
          <w:sz w:val="22"/>
          <w:szCs w:val="22"/>
        </w:rPr>
      </w:pPr>
      <w:r w:rsidRPr="0084610A">
        <w:rPr>
          <w:rFonts w:ascii="Palatino Linotype" w:hAnsi="Palatino Linotype" w:cs="Tahoma"/>
          <w:sz w:val="22"/>
          <w:szCs w:val="22"/>
        </w:rPr>
        <w:t xml:space="preserve">Con fundamento en lo dispuesto en el artículo 186, fracción I, de la Ley de Transparencia y Acceso a la Información Pública del Estado de México y Municipios, se considera procedente </w:t>
      </w:r>
      <w:r w:rsidRPr="0084610A">
        <w:rPr>
          <w:rFonts w:ascii="Palatino Linotype" w:hAnsi="Palatino Linotype" w:cs="Tahoma"/>
          <w:b/>
          <w:sz w:val="22"/>
          <w:szCs w:val="22"/>
        </w:rPr>
        <w:t xml:space="preserve">SOBRESEER </w:t>
      </w:r>
      <w:r w:rsidRPr="0084610A">
        <w:rPr>
          <w:rFonts w:ascii="Palatino Linotype" w:hAnsi="Palatino Linotype" w:cs="Tahoma"/>
          <w:sz w:val="22"/>
          <w:szCs w:val="22"/>
        </w:rPr>
        <w:t>el Recurso de Revisión, en virtud de que se actualiza la hipótesis normativa prevista en la fracción III, del artículo 192, del citado ordenamiento legal.</w:t>
      </w:r>
    </w:p>
    <w:p w:rsidRPr="0084610A" w:rsidR="00C61EE1" w:rsidP="00274839" w:rsidRDefault="00C61EE1" w14:paraId="79461EA9" w14:textId="77777777">
      <w:pPr>
        <w:spacing w:line="360" w:lineRule="auto"/>
        <w:jc w:val="both"/>
        <w:rPr>
          <w:rFonts w:ascii="Palatino Linotype" w:hAnsi="Palatino Linotype" w:cs="Tahoma"/>
          <w:sz w:val="22"/>
          <w:szCs w:val="22"/>
          <w:lang w:val="es-ES"/>
        </w:rPr>
      </w:pPr>
    </w:p>
    <w:p w:rsidRPr="0084610A" w:rsidR="00C61EE1" w:rsidP="00274839" w:rsidRDefault="00C61EE1" w14:paraId="12132512" w14:textId="77777777">
      <w:pPr>
        <w:autoSpaceDE w:val="0"/>
        <w:autoSpaceDN w:val="0"/>
        <w:adjustRightInd w:val="0"/>
        <w:spacing w:line="360" w:lineRule="auto"/>
        <w:contextualSpacing/>
        <w:jc w:val="both"/>
        <w:rPr>
          <w:rFonts w:ascii="Palatino Linotype" w:hAnsi="Palatino Linotype" w:eastAsia="Calibri" w:cs="Tahoma"/>
          <w:b/>
          <w:bCs/>
          <w:iCs/>
          <w:sz w:val="22"/>
          <w:szCs w:val="22"/>
          <w:lang w:val="es-ES" w:eastAsia="es-ES_tradnl"/>
        </w:rPr>
      </w:pPr>
      <w:r w:rsidRPr="0084610A">
        <w:rPr>
          <w:rFonts w:ascii="Palatino Linotype" w:hAnsi="Palatino Linotype" w:eastAsia="Calibri" w:cs="Tahoma"/>
          <w:b/>
          <w:bCs/>
          <w:iCs/>
          <w:sz w:val="22"/>
          <w:szCs w:val="22"/>
          <w:lang w:val="es-ES" w:eastAsia="es-ES_tradnl"/>
        </w:rPr>
        <w:t>Términos de la Resolución para conocimiento del Particular.</w:t>
      </w:r>
    </w:p>
    <w:p w:rsidRPr="0084610A" w:rsidR="00C61EE1" w:rsidP="00274839" w:rsidRDefault="00C61EE1" w14:paraId="0381D7C5" w14:textId="77777777">
      <w:pPr>
        <w:spacing w:line="360" w:lineRule="auto"/>
        <w:jc w:val="both"/>
        <w:rPr>
          <w:rFonts w:ascii="Palatino Linotype" w:hAnsi="Palatino Linotype" w:cs="Tahoma"/>
          <w:sz w:val="22"/>
          <w:szCs w:val="22"/>
          <w:lang w:val="es-ES"/>
        </w:rPr>
      </w:pPr>
    </w:p>
    <w:p w:rsidR="00EF4B54" w:rsidP="00274839" w:rsidRDefault="00C61EE1" w14:paraId="19018DAA" w14:textId="05B34E30">
      <w:pPr>
        <w:spacing w:line="360" w:lineRule="auto"/>
        <w:jc w:val="both"/>
        <w:rPr>
          <w:rFonts w:ascii="Palatino Linotype" w:hAnsi="Palatino Linotype" w:cs="Tahoma"/>
          <w:sz w:val="22"/>
          <w:szCs w:val="22"/>
          <w:lang w:val="es-ES"/>
        </w:rPr>
      </w:pPr>
      <w:r w:rsidRPr="0084610A">
        <w:rPr>
          <w:rFonts w:ascii="Palatino Linotype" w:hAnsi="Palatino Linotype" w:cs="Tahoma"/>
          <w:sz w:val="22"/>
          <w:szCs w:val="22"/>
          <w:lang w:val="es-ES"/>
        </w:rPr>
        <w:t>Se le hace del conocimiento al Particular, que si bien, en el presente caso se le daba la razón</w:t>
      </w:r>
      <w:r>
        <w:rPr>
          <w:rFonts w:ascii="Palatino Linotype" w:hAnsi="Palatino Linotype" w:cs="Tahoma"/>
          <w:sz w:val="22"/>
          <w:szCs w:val="22"/>
          <w:lang w:val="es-ES"/>
        </w:rPr>
        <w:t xml:space="preserve">, lo cierto es que, durante la sustanciación del Medio de Impugnación, el Sujeto Obligado informó </w:t>
      </w:r>
      <w:r w:rsidR="00165E6B">
        <w:rPr>
          <w:rFonts w:ascii="Palatino Linotype" w:hAnsi="Palatino Linotype" w:cs="Tahoma"/>
          <w:sz w:val="22"/>
          <w:szCs w:val="22"/>
          <w:lang w:val="es-ES"/>
        </w:rPr>
        <w:t>las razones por las cuales no cuenta con las certificaci</w:t>
      </w:r>
      <w:r w:rsidR="002E7546">
        <w:rPr>
          <w:rFonts w:ascii="Palatino Linotype" w:hAnsi="Palatino Linotype" w:cs="Tahoma"/>
          <w:sz w:val="22"/>
          <w:szCs w:val="22"/>
          <w:lang w:val="es-ES"/>
        </w:rPr>
        <w:t>ones, además remitió de manera correcta</w:t>
      </w:r>
      <w:r w:rsidR="00165E6B">
        <w:rPr>
          <w:rFonts w:ascii="Palatino Linotype" w:hAnsi="Palatino Linotype" w:cs="Tahoma"/>
          <w:sz w:val="22"/>
          <w:szCs w:val="22"/>
          <w:lang w:val="es-ES"/>
        </w:rPr>
        <w:t xml:space="preserve"> la certificación de competencia laboral del Titular de la Unidad de Transparencia. </w:t>
      </w:r>
      <w:r>
        <w:rPr>
          <w:rFonts w:ascii="Palatino Linotype" w:hAnsi="Palatino Linotype" w:cs="Tahoma"/>
          <w:sz w:val="22"/>
          <w:szCs w:val="22"/>
          <w:lang w:val="es-ES"/>
        </w:rPr>
        <w:t xml:space="preserve">  </w:t>
      </w:r>
    </w:p>
    <w:p w:rsidRPr="0084610A" w:rsidR="00EF4B54" w:rsidP="00274839" w:rsidRDefault="00EF4B54" w14:paraId="4ACB2BED" w14:textId="77777777">
      <w:pPr>
        <w:spacing w:line="360" w:lineRule="auto"/>
        <w:jc w:val="both"/>
        <w:rPr>
          <w:rFonts w:ascii="Palatino Linotype" w:hAnsi="Palatino Linotype" w:cs="Tahoma"/>
          <w:sz w:val="22"/>
          <w:szCs w:val="22"/>
          <w:lang w:val="es-ES"/>
        </w:rPr>
      </w:pPr>
    </w:p>
    <w:p w:rsidRPr="0084610A" w:rsidR="00C61EE1" w:rsidP="00274839" w:rsidRDefault="00C61EE1" w14:paraId="60F8B0B4" w14:textId="6F610E8B">
      <w:pPr>
        <w:spacing w:line="360" w:lineRule="auto"/>
        <w:jc w:val="both"/>
        <w:rPr>
          <w:rFonts w:ascii="Palatino Linotype" w:hAnsi="Palatino Linotype" w:eastAsia="Calibri" w:cs="Tahoma"/>
          <w:bCs/>
          <w:iCs/>
          <w:sz w:val="22"/>
          <w:szCs w:val="22"/>
          <w:lang w:eastAsia="en-US"/>
        </w:rPr>
      </w:pPr>
      <w:r w:rsidRPr="0084610A">
        <w:rPr>
          <w:rFonts w:ascii="Palatino Linotype" w:hAnsi="Palatino Linotype" w:eastAsia="Calibri" w:cs="Tahoma"/>
          <w:bCs/>
          <w:iCs/>
          <w:sz w:val="22"/>
          <w:szCs w:val="22"/>
          <w:lang w:eastAsia="en-US"/>
        </w:rPr>
        <w:t xml:space="preserve">Finalmente, labor </w:t>
      </w:r>
      <w:r>
        <w:rPr>
          <w:rFonts w:ascii="Palatino Linotype" w:hAnsi="Palatino Linotype" w:eastAsia="Calibri" w:cs="Tahoma"/>
          <w:bCs/>
          <w:iCs/>
          <w:sz w:val="22"/>
          <w:szCs w:val="22"/>
          <w:lang w:eastAsia="en-US"/>
        </w:rPr>
        <w:t>del Instituto</w:t>
      </w:r>
      <w:r w:rsidRPr="0084610A">
        <w:rPr>
          <w:rFonts w:ascii="Palatino Linotype" w:hAnsi="Palatino Linotype" w:eastAsia="Calibri" w:cs="Tahoma"/>
          <w:bCs/>
          <w:iCs/>
          <w:sz w:val="22"/>
          <w:szCs w:val="22"/>
          <w:lang w:eastAsia="en-US"/>
        </w:rPr>
        <w:t>, es apoyar a la población a acceder a la información pública y garantizar la protección de sus datos personales.</w:t>
      </w:r>
    </w:p>
    <w:p w:rsidRPr="00832A26" w:rsidR="00A017A3" w:rsidP="00A017A3" w:rsidRDefault="00A017A3" w14:paraId="10CEFF7C" w14:textId="77777777">
      <w:pPr>
        <w:spacing w:line="360" w:lineRule="auto"/>
        <w:jc w:val="both"/>
        <w:rPr>
          <w:rFonts w:ascii="Palatino Linotype" w:hAnsi="Palatino Linotype"/>
          <w:color w:val="000000"/>
          <w:sz w:val="22"/>
          <w:szCs w:val="22"/>
          <w:lang w:eastAsia="es-MX"/>
        </w:rPr>
      </w:pPr>
      <w:r w:rsidRPr="00832A26">
        <w:rPr>
          <w:rFonts w:ascii="Palatino Linotype" w:hAnsi="Palatino Linotype"/>
          <w:b/>
          <w:bCs/>
          <w:color w:val="000000"/>
          <w:sz w:val="22"/>
          <w:szCs w:val="22"/>
          <w:lang w:eastAsia="es-MX"/>
        </w:rPr>
        <w:lastRenderedPageBreak/>
        <w:t xml:space="preserve">SÉPTIMO. Vista </w:t>
      </w:r>
      <w:r w:rsidRPr="00832A26">
        <w:rPr>
          <w:rFonts w:ascii="Palatino Linotype" w:hAnsi="Palatino Linotype"/>
          <w:b/>
          <w:bCs/>
          <w:color w:val="000000"/>
          <w:sz w:val="22"/>
          <w:szCs w:val="22"/>
          <w:lang w:val="es-ES_tradnl" w:eastAsia="es-MX"/>
        </w:rPr>
        <w:t>la Dirección General de Protección de Datos Personales</w:t>
      </w:r>
      <w:r w:rsidRPr="00832A26">
        <w:rPr>
          <w:rFonts w:ascii="Palatino Linotype" w:hAnsi="Palatino Linotype"/>
          <w:b/>
          <w:bCs/>
          <w:color w:val="000000"/>
          <w:sz w:val="22"/>
          <w:szCs w:val="22"/>
          <w:lang w:eastAsia="es-MX"/>
        </w:rPr>
        <w:t>.</w:t>
      </w:r>
    </w:p>
    <w:p w:rsidRPr="00832A26" w:rsidR="00A017A3" w:rsidP="00A017A3" w:rsidRDefault="00A017A3" w14:paraId="702C04FF" w14:textId="77777777">
      <w:pPr>
        <w:spacing w:line="360" w:lineRule="auto"/>
        <w:jc w:val="both"/>
        <w:rPr>
          <w:rFonts w:ascii="Palatino Linotype" w:hAnsi="Palatino Linotype" w:eastAsia="Calibri" w:cs="Tahoma"/>
          <w:bCs/>
          <w:color w:val="000000"/>
          <w:sz w:val="22"/>
          <w:szCs w:val="22"/>
          <w:lang w:eastAsia="en-US"/>
        </w:rPr>
      </w:pPr>
    </w:p>
    <w:p w:rsidRPr="00832A26" w:rsidR="00A017A3" w:rsidP="00A017A3" w:rsidRDefault="00A017A3" w14:paraId="63C89961" w14:textId="4B24A07E">
      <w:pPr>
        <w:spacing w:line="360" w:lineRule="auto"/>
        <w:jc w:val="both"/>
        <w:rPr>
          <w:rFonts w:ascii="Palatino Linotype" w:hAnsi="Palatino Linotype" w:eastAsia="Calibri" w:cs="Tahoma"/>
          <w:bCs/>
          <w:color w:val="000000"/>
          <w:sz w:val="22"/>
          <w:szCs w:val="22"/>
          <w:lang w:eastAsia="en-US"/>
        </w:rPr>
      </w:pPr>
      <w:r w:rsidRPr="00832A26">
        <w:rPr>
          <w:rFonts w:ascii="Palatino Linotype" w:hAnsi="Palatino Linotype" w:eastAsia="Calibri" w:cs="Tahoma"/>
          <w:bCs/>
          <w:color w:val="000000"/>
          <w:sz w:val="22"/>
          <w:szCs w:val="22"/>
          <w:lang w:eastAsia="en-US"/>
        </w:rPr>
        <w:t xml:space="preserve">Ahora bien, de la revisión de </w:t>
      </w:r>
      <w:r w:rsidRPr="000B4DAA">
        <w:rPr>
          <w:rFonts w:ascii="Palatino Linotype" w:hAnsi="Palatino Linotype" w:eastAsia="Calibri" w:cs="Tahoma"/>
          <w:bCs/>
          <w:color w:val="000000"/>
          <w:sz w:val="22"/>
          <w:szCs w:val="22"/>
          <w:lang w:eastAsia="en-US"/>
        </w:rPr>
        <w:t>la información remitida en respuesta</w:t>
      </w:r>
      <w:r w:rsidRPr="00832A26">
        <w:rPr>
          <w:rFonts w:ascii="Palatino Linotype" w:hAnsi="Palatino Linotype" w:eastAsia="Calibri" w:cs="Tahoma"/>
          <w:bCs/>
          <w:color w:val="000000"/>
          <w:sz w:val="22"/>
          <w:szCs w:val="22"/>
          <w:lang w:eastAsia="en-US"/>
        </w:rPr>
        <w:t xml:space="preserve">, se logró advertir que el Sujeto Obligado dejó visible </w:t>
      </w:r>
      <w:r>
        <w:rPr>
          <w:rFonts w:ascii="Palatino Linotype" w:hAnsi="Palatino Linotype" w:eastAsia="Calibri" w:cs="Tahoma"/>
          <w:bCs/>
          <w:color w:val="000000"/>
          <w:sz w:val="22"/>
          <w:szCs w:val="22"/>
          <w:lang w:eastAsia="en-US"/>
        </w:rPr>
        <w:t>la Clave Única de Registro de Población</w:t>
      </w:r>
      <w:r w:rsidRPr="00832A26">
        <w:rPr>
          <w:rFonts w:ascii="Palatino Linotype" w:hAnsi="Palatino Linotype" w:cs="Tahoma"/>
          <w:sz w:val="22"/>
          <w:szCs w:val="22"/>
          <w:lang w:val="es-ES"/>
        </w:rPr>
        <w:t>,</w:t>
      </w:r>
      <w:r w:rsidRPr="00832A26">
        <w:rPr>
          <w:rFonts w:ascii="Palatino Linotype" w:hAnsi="Palatino Linotype" w:eastAsia="Calibri" w:cs="Tahoma"/>
          <w:bCs/>
          <w:color w:val="000000"/>
          <w:sz w:val="22"/>
          <w:szCs w:val="22"/>
          <w:lang w:eastAsia="en-US"/>
        </w:rPr>
        <w:t xml:space="preserve"> en contra, del artículo 143, fracción I, de la Ley de Transparencia y Acceso a la Información Pública del Estado de México y Municipios, y, por lo tanto, inobservó la Ley de Transparencia y Acceso a la Información Pública del Estado de México y Municipios y la Ley de Protección de Datos Personales en Posesión de Sujetos Obligados del Estado de México y Municipios.</w:t>
      </w:r>
    </w:p>
    <w:p w:rsidRPr="00832A26" w:rsidR="00A017A3" w:rsidP="00A017A3" w:rsidRDefault="00A017A3" w14:paraId="21B10A10" w14:textId="77777777">
      <w:pPr>
        <w:spacing w:line="360" w:lineRule="auto"/>
        <w:jc w:val="both"/>
        <w:rPr>
          <w:rFonts w:ascii="Palatino Linotype" w:hAnsi="Palatino Linotype" w:eastAsia="Calibri" w:cs="Tahoma"/>
          <w:bCs/>
          <w:color w:val="000000"/>
          <w:sz w:val="22"/>
          <w:szCs w:val="22"/>
          <w:lang w:eastAsia="en-US"/>
        </w:rPr>
      </w:pPr>
    </w:p>
    <w:p w:rsidRPr="00832A26" w:rsidR="00A017A3" w:rsidP="00A017A3" w:rsidRDefault="00A017A3" w14:paraId="1FDBC9E7" w14:textId="77777777">
      <w:pPr>
        <w:spacing w:line="360" w:lineRule="auto"/>
        <w:jc w:val="both"/>
        <w:rPr>
          <w:rFonts w:ascii="Palatino Linotype" w:hAnsi="Palatino Linotype" w:eastAsia="Calibri" w:cs="Tahoma"/>
          <w:bCs/>
          <w:color w:val="000000"/>
          <w:sz w:val="22"/>
          <w:szCs w:val="22"/>
          <w:lang w:eastAsia="en-US"/>
        </w:rPr>
      </w:pPr>
      <w:r w:rsidRPr="00832A26">
        <w:rPr>
          <w:rFonts w:ascii="Palatino Linotype" w:hAnsi="Palatino Linotype" w:eastAsia="Calibri" w:cs="Tahoma"/>
          <w:bCs/>
          <w:color w:val="000000"/>
          <w:sz w:val="22"/>
          <w:szCs w:val="22"/>
          <w:lang w:eastAsia="en-US"/>
        </w:rPr>
        <w:t>Sobre el particular, si bien, la presente resolución no tiene por objetivo investigar y determinar posibles violaciones al derecho de acceso a la información; toda vez que este Organismo Autónomo, advirtió la posible publicación de información susceptible de clasificarse como confidencial, 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w:t>
      </w:r>
    </w:p>
    <w:p w:rsidR="00A017A3" w:rsidP="00274839" w:rsidRDefault="00A017A3" w14:paraId="4E2E94FF" w14:textId="77777777">
      <w:pPr>
        <w:spacing w:line="360" w:lineRule="auto"/>
        <w:jc w:val="both"/>
        <w:rPr>
          <w:rFonts w:ascii="Palatino Linotype" w:hAnsi="Palatino Linotype" w:eastAsia="Calibri" w:cs="Tahoma"/>
          <w:bCs/>
          <w:sz w:val="22"/>
          <w:szCs w:val="22"/>
          <w:lang w:eastAsia="en-US"/>
        </w:rPr>
      </w:pPr>
    </w:p>
    <w:p w:rsidRPr="0084610A" w:rsidR="00C61EE1" w:rsidP="00274839" w:rsidRDefault="00C61EE1" w14:paraId="732D90C5" w14:textId="2035E212">
      <w:pPr>
        <w:spacing w:line="360" w:lineRule="auto"/>
        <w:jc w:val="both"/>
        <w:rPr>
          <w:rFonts w:ascii="Palatino Linotype" w:hAnsi="Palatino Linotype" w:eastAsia="Calibri" w:cs="Tahoma"/>
          <w:bCs/>
          <w:sz w:val="22"/>
          <w:szCs w:val="22"/>
          <w:lang w:eastAsia="en-US"/>
        </w:rPr>
      </w:pPr>
      <w:r w:rsidRPr="0084610A">
        <w:rPr>
          <w:rFonts w:ascii="Palatino Linotype" w:hAnsi="Palatino Linotype" w:eastAsia="Calibri" w:cs="Tahoma"/>
          <w:bCs/>
          <w:sz w:val="22"/>
          <w:szCs w:val="22"/>
          <w:lang w:eastAsia="en-US"/>
        </w:rPr>
        <w:t>Por lo expuesto y fundado, este Pleno:</w:t>
      </w:r>
    </w:p>
    <w:p w:rsidR="00C61EE1" w:rsidP="00274839" w:rsidRDefault="00C61EE1" w14:paraId="3617C92F" w14:textId="77777777">
      <w:pPr>
        <w:spacing w:line="360" w:lineRule="auto"/>
        <w:ind w:right="-91"/>
        <w:jc w:val="center"/>
        <w:rPr>
          <w:rFonts w:ascii="Palatino Linotype" w:hAnsi="Palatino Linotype" w:eastAsia="Calibri" w:cs="Tahoma"/>
          <w:b/>
          <w:bCs/>
          <w:sz w:val="22"/>
          <w:szCs w:val="22"/>
          <w:lang w:eastAsia="en-US"/>
        </w:rPr>
      </w:pPr>
    </w:p>
    <w:p w:rsidRPr="0084610A" w:rsidR="00C61EE1" w:rsidP="00274839" w:rsidRDefault="00C61EE1" w14:paraId="498DCE0A" w14:textId="77777777">
      <w:pPr>
        <w:spacing w:line="360" w:lineRule="auto"/>
        <w:ind w:right="-91"/>
        <w:jc w:val="center"/>
        <w:rPr>
          <w:rFonts w:ascii="Palatino Linotype" w:hAnsi="Palatino Linotype" w:eastAsia="Calibri" w:cs="Tahoma"/>
          <w:b/>
          <w:bCs/>
          <w:sz w:val="22"/>
          <w:szCs w:val="22"/>
          <w:lang w:eastAsia="en-US"/>
        </w:rPr>
      </w:pPr>
      <w:r w:rsidRPr="0084610A">
        <w:rPr>
          <w:rFonts w:ascii="Palatino Linotype" w:hAnsi="Palatino Linotype" w:eastAsia="Calibri" w:cs="Tahoma"/>
          <w:b/>
          <w:bCs/>
          <w:sz w:val="22"/>
          <w:szCs w:val="22"/>
          <w:lang w:eastAsia="en-US"/>
        </w:rPr>
        <w:t>RESUELVE:</w:t>
      </w:r>
    </w:p>
    <w:p w:rsidRPr="0084610A" w:rsidR="00C61EE1" w:rsidP="00274839" w:rsidRDefault="00C61EE1" w14:paraId="602637CA" w14:textId="77777777">
      <w:pPr>
        <w:spacing w:line="360" w:lineRule="auto"/>
        <w:jc w:val="both"/>
        <w:rPr>
          <w:rFonts w:ascii="Palatino Linotype" w:hAnsi="Palatino Linotype" w:cs="Arial"/>
          <w:b/>
          <w:bCs/>
          <w:color w:val="000000"/>
          <w:sz w:val="22"/>
          <w:szCs w:val="22"/>
          <w:lang w:val="es-ES"/>
        </w:rPr>
      </w:pPr>
    </w:p>
    <w:p w:rsidRPr="0084610A" w:rsidR="00C61EE1" w:rsidP="00274839" w:rsidRDefault="00C61EE1" w14:paraId="35371846" w14:textId="39BA7789">
      <w:pPr>
        <w:spacing w:line="360" w:lineRule="auto"/>
        <w:jc w:val="both"/>
        <w:rPr>
          <w:rFonts w:ascii="Palatino Linotype" w:hAnsi="Palatino Linotype" w:cs="Tahoma"/>
          <w:b/>
          <w:bCs/>
          <w:iCs/>
          <w:sz w:val="22"/>
          <w:szCs w:val="24"/>
          <w:lang w:val="es-ES_tradnl"/>
        </w:rPr>
      </w:pPr>
      <w:r w:rsidRPr="0084610A">
        <w:rPr>
          <w:rFonts w:ascii="Palatino Linotype" w:hAnsi="Palatino Linotype" w:cs="Arial"/>
          <w:b/>
          <w:bCs/>
          <w:color w:val="000000"/>
          <w:sz w:val="22"/>
          <w:szCs w:val="22"/>
          <w:lang w:val="es-ES"/>
        </w:rPr>
        <w:t xml:space="preserve">PRIMERO. </w:t>
      </w:r>
      <w:r w:rsidRPr="0084610A">
        <w:rPr>
          <w:rFonts w:ascii="Palatino Linotype" w:hAnsi="Palatino Linotype" w:cs="Arial"/>
          <w:bCs/>
          <w:color w:val="000000"/>
          <w:sz w:val="22"/>
          <w:szCs w:val="22"/>
          <w:lang w:val="es-ES"/>
        </w:rPr>
        <w:t xml:space="preserve">Se </w:t>
      </w:r>
      <w:r w:rsidRPr="0084610A">
        <w:rPr>
          <w:rFonts w:ascii="Palatino Linotype" w:hAnsi="Palatino Linotype" w:cs="Arial"/>
          <w:b/>
          <w:bCs/>
          <w:color w:val="000000"/>
          <w:sz w:val="22"/>
          <w:szCs w:val="22"/>
          <w:lang w:val="es-ES"/>
        </w:rPr>
        <w:t>SOBRESEE</w:t>
      </w:r>
      <w:r w:rsidRPr="0084610A">
        <w:rPr>
          <w:rFonts w:ascii="Palatino Linotype" w:hAnsi="Palatino Linotype" w:cs="Arial"/>
          <w:bCs/>
          <w:color w:val="000000"/>
          <w:sz w:val="22"/>
          <w:szCs w:val="22"/>
          <w:lang w:val="es-ES"/>
        </w:rPr>
        <w:t xml:space="preserve"> el Recurso de Revisión número </w:t>
      </w:r>
      <w:r w:rsidRPr="002E7546" w:rsidR="00E41C8C">
        <w:rPr>
          <w:rFonts w:ascii="Palatino Linotype" w:hAnsi="Palatino Linotype" w:cs="Arial"/>
          <w:bCs/>
          <w:color w:val="000000"/>
          <w:sz w:val="22"/>
          <w:szCs w:val="22"/>
        </w:rPr>
        <w:t>03166/INFOEM/IP/RR/2022</w:t>
      </w:r>
      <w:r w:rsidRPr="002E7546">
        <w:rPr>
          <w:rFonts w:ascii="Palatino Linotype" w:hAnsi="Palatino Linotype" w:cs="Arial"/>
          <w:bCs/>
          <w:color w:val="000000"/>
          <w:sz w:val="22"/>
          <w:szCs w:val="22"/>
          <w:lang w:val="es-ES"/>
        </w:rPr>
        <w:t>,</w:t>
      </w:r>
      <w:r w:rsidRPr="0084610A">
        <w:rPr>
          <w:rFonts w:ascii="Palatino Linotype" w:hAnsi="Palatino Linotype" w:cs="Arial"/>
          <w:bCs/>
          <w:color w:val="000000"/>
          <w:sz w:val="22"/>
          <w:szCs w:val="22"/>
          <w:lang w:val="es-ES"/>
        </w:rPr>
        <w:t xml:space="preserve"> </w:t>
      </w:r>
      <w:r w:rsidRPr="0084610A">
        <w:rPr>
          <w:rFonts w:ascii="Palatino Linotype" w:hAnsi="Palatino Linotype" w:cs="Tahoma"/>
          <w:bCs/>
          <w:iCs/>
          <w:sz w:val="22"/>
          <w:szCs w:val="24"/>
          <w:lang w:val="es-ES_tradnl"/>
        </w:rPr>
        <w:t xml:space="preserve">porque el Sujeto Obligado al modificar la respuesta de la solicitud de acceso a la información con número de folio </w:t>
      </w:r>
      <w:r w:rsidRPr="00E41C8C" w:rsidR="00E41C8C">
        <w:rPr>
          <w:rFonts w:ascii="Palatino Linotype" w:hAnsi="Palatino Linotype" w:eastAsia="Calibri" w:cs="Tahoma"/>
          <w:color w:val="000000"/>
          <w:sz w:val="22"/>
          <w:szCs w:val="22"/>
          <w:lang w:eastAsia="en-US"/>
        </w:rPr>
        <w:t>00015/TEOTIHUA/IP/2022</w:t>
      </w:r>
      <w:r w:rsidRPr="0084610A">
        <w:rPr>
          <w:rFonts w:ascii="Palatino Linotype" w:hAnsi="Palatino Linotype" w:cs="Tahoma"/>
          <w:bCs/>
          <w:iCs/>
          <w:sz w:val="22"/>
          <w:szCs w:val="24"/>
          <w:lang w:val="es-ES_tradnl"/>
        </w:rPr>
        <w:t xml:space="preserve">, el Medio de Impugnación quedó sin materia, en términos de los Considerandos </w:t>
      </w:r>
      <w:r w:rsidRPr="00FD2411">
        <w:rPr>
          <w:rFonts w:ascii="Palatino Linotype" w:hAnsi="Palatino Linotype" w:cs="Tahoma"/>
          <w:iCs/>
          <w:sz w:val="22"/>
          <w:szCs w:val="24"/>
          <w:lang w:val="es-ES_tradnl"/>
        </w:rPr>
        <w:t>TERCERO y CUARTO</w:t>
      </w:r>
      <w:r w:rsidRPr="0084610A">
        <w:rPr>
          <w:rFonts w:ascii="Palatino Linotype" w:hAnsi="Palatino Linotype" w:cs="Tahoma"/>
          <w:bCs/>
          <w:iCs/>
          <w:sz w:val="22"/>
          <w:szCs w:val="24"/>
          <w:lang w:val="es-ES_tradnl"/>
        </w:rPr>
        <w:t xml:space="preserve"> de la presente Resolución.    </w:t>
      </w:r>
    </w:p>
    <w:p w:rsidR="00C61EE1" w:rsidP="00274839" w:rsidRDefault="00C61EE1" w14:paraId="1DAB11BE" w14:textId="3FE615AA">
      <w:pPr>
        <w:spacing w:line="360" w:lineRule="auto"/>
        <w:jc w:val="both"/>
        <w:rPr>
          <w:rFonts w:ascii="Palatino Linotype" w:hAnsi="Palatino Linotype" w:cs="Arial"/>
          <w:b/>
          <w:bCs/>
          <w:color w:val="000000"/>
          <w:sz w:val="22"/>
          <w:szCs w:val="22"/>
          <w:lang w:val="es-ES"/>
        </w:rPr>
      </w:pPr>
    </w:p>
    <w:p w:rsidRPr="0084610A" w:rsidR="00A017A3" w:rsidP="00274839" w:rsidRDefault="00A017A3" w14:paraId="78D9E35C" w14:textId="77777777">
      <w:pPr>
        <w:spacing w:line="360" w:lineRule="auto"/>
        <w:jc w:val="both"/>
        <w:rPr>
          <w:rFonts w:ascii="Palatino Linotype" w:hAnsi="Palatino Linotype" w:cs="Arial"/>
          <w:b/>
          <w:bCs/>
          <w:color w:val="000000"/>
          <w:sz w:val="22"/>
          <w:szCs w:val="22"/>
          <w:lang w:val="es-ES"/>
        </w:rPr>
      </w:pPr>
    </w:p>
    <w:p w:rsidRPr="0084610A" w:rsidR="00C61EE1" w:rsidP="00274839" w:rsidRDefault="00C61EE1" w14:paraId="46D47778" w14:textId="72F514E1">
      <w:pPr>
        <w:spacing w:line="360" w:lineRule="auto"/>
        <w:jc w:val="both"/>
        <w:rPr>
          <w:rFonts w:ascii="Palatino Linotype" w:hAnsi="Palatino Linotype" w:cs="Arial"/>
          <w:bCs/>
          <w:color w:val="000000"/>
          <w:sz w:val="22"/>
          <w:szCs w:val="22"/>
          <w:lang w:val="es-ES"/>
        </w:rPr>
      </w:pPr>
      <w:r w:rsidRPr="0084610A">
        <w:rPr>
          <w:rFonts w:ascii="Palatino Linotype" w:hAnsi="Palatino Linotype" w:cs="Arial"/>
          <w:b/>
          <w:bCs/>
          <w:color w:val="000000"/>
          <w:sz w:val="22"/>
          <w:szCs w:val="22"/>
          <w:lang w:val="es-ES"/>
        </w:rPr>
        <w:t>SEGUNDO.</w:t>
      </w:r>
      <w:r w:rsidRPr="0084610A">
        <w:rPr>
          <w:rFonts w:ascii="Palatino Linotype" w:hAnsi="Palatino Linotype" w:cs="Arial"/>
          <w:bCs/>
          <w:color w:val="000000"/>
          <w:sz w:val="22"/>
          <w:szCs w:val="22"/>
          <w:lang w:val="es-ES"/>
        </w:rPr>
        <w:t xml:space="preserve"> </w:t>
      </w:r>
      <w:r w:rsidRPr="0084610A">
        <w:rPr>
          <w:rFonts w:ascii="Palatino Linotype" w:hAnsi="Palatino Linotype" w:cs="Arial"/>
          <w:b/>
          <w:bCs/>
          <w:color w:val="000000"/>
          <w:sz w:val="22"/>
          <w:szCs w:val="22"/>
          <w:lang w:val="es-ES"/>
        </w:rPr>
        <w:t xml:space="preserve">NOTIFÍQUESE </w:t>
      </w:r>
      <w:r w:rsidRPr="0084610A">
        <w:rPr>
          <w:rFonts w:ascii="Palatino Linotype" w:hAnsi="Palatino Linotype" w:cs="Arial"/>
          <w:bCs/>
          <w:color w:val="000000"/>
          <w:sz w:val="22"/>
          <w:szCs w:val="22"/>
          <w:lang w:val="es-ES"/>
        </w:rPr>
        <w:t>la presente Resolución</w:t>
      </w:r>
      <w:r w:rsidRPr="0084610A">
        <w:rPr>
          <w:rFonts w:ascii="Palatino Linotype" w:hAnsi="Palatino Linotype" w:cs="Arial"/>
          <w:b/>
          <w:bCs/>
          <w:color w:val="000000"/>
          <w:sz w:val="22"/>
          <w:szCs w:val="22"/>
          <w:lang w:val="es-ES"/>
        </w:rPr>
        <w:t xml:space="preserve"> </w:t>
      </w:r>
      <w:r w:rsidRPr="0084610A">
        <w:rPr>
          <w:rFonts w:ascii="Palatino Linotype" w:hAnsi="Palatino Linotype" w:cs="Arial"/>
          <w:bCs/>
          <w:color w:val="000000"/>
          <w:sz w:val="22"/>
          <w:szCs w:val="22"/>
          <w:lang w:val="es-ES"/>
        </w:rPr>
        <w:t xml:space="preserve">al Titular de la Unidad de Transparencia </w:t>
      </w:r>
      <w:r>
        <w:rPr>
          <w:rFonts w:ascii="Palatino Linotype" w:hAnsi="Palatino Linotype" w:cs="Arial"/>
          <w:bCs/>
          <w:color w:val="000000"/>
          <w:sz w:val="22"/>
          <w:szCs w:val="22"/>
          <w:lang w:val="es-ES"/>
        </w:rPr>
        <w:t xml:space="preserve">del </w:t>
      </w:r>
      <w:r w:rsidRPr="008C5F8E">
        <w:rPr>
          <w:rFonts w:ascii="Palatino Linotype" w:hAnsi="Palatino Linotype" w:cs="Arial"/>
          <w:bCs/>
          <w:color w:val="000000"/>
          <w:sz w:val="22"/>
          <w:szCs w:val="22"/>
          <w:lang w:val="es-ES"/>
        </w:rPr>
        <w:t xml:space="preserve">Ayuntamiento de </w:t>
      </w:r>
      <w:r w:rsidRPr="00E41C8C" w:rsidR="00E41C8C">
        <w:rPr>
          <w:rFonts w:ascii="Palatino Linotype" w:hAnsi="Palatino Linotype" w:cs="Arial"/>
          <w:bCs/>
          <w:color w:val="000000"/>
          <w:sz w:val="22"/>
          <w:szCs w:val="22"/>
          <w:lang w:val="es-ES"/>
        </w:rPr>
        <w:t>Teotihuacán</w:t>
      </w:r>
      <w:r>
        <w:rPr>
          <w:rFonts w:ascii="Palatino Linotype" w:hAnsi="Palatino Linotype" w:cs="Arial"/>
          <w:bCs/>
          <w:color w:val="000000"/>
          <w:sz w:val="22"/>
          <w:szCs w:val="22"/>
          <w:lang w:val="es-ES"/>
        </w:rPr>
        <w:t>.</w:t>
      </w:r>
    </w:p>
    <w:p w:rsidRPr="0084610A" w:rsidR="00C61EE1" w:rsidP="00274839" w:rsidRDefault="00C61EE1" w14:paraId="5FF82171" w14:textId="77777777">
      <w:pPr>
        <w:spacing w:line="360" w:lineRule="auto"/>
        <w:jc w:val="both"/>
        <w:rPr>
          <w:rFonts w:ascii="Palatino Linotype" w:hAnsi="Palatino Linotype" w:cs="Arial"/>
          <w:bCs/>
          <w:color w:val="000000"/>
          <w:sz w:val="22"/>
          <w:szCs w:val="22"/>
          <w:lang w:val="es-ES"/>
        </w:rPr>
      </w:pPr>
    </w:p>
    <w:p w:rsidRPr="0084610A" w:rsidR="00C61EE1" w:rsidP="00274839" w:rsidRDefault="00C61EE1" w14:paraId="4D27C6A3" w14:textId="77777777">
      <w:pPr>
        <w:spacing w:line="360" w:lineRule="auto"/>
        <w:jc w:val="both"/>
        <w:rPr>
          <w:rFonts w:ascii="Palatino Linotype" w:hAnsi="Palatino Linotype" w:cs="Tahoma"/>
          <w:sz w:val="22"/>
          <w:szCs w:val="22"/>
        </w:rPr>
      </w:pPr>
      <w:r w:rsidRPr="0084610A">
        <w:rPr>
          <w:rFonts w:ascii="Palatino Linotype" w:hAnsi="Palatino Linotype" w:cs="Arial"/>
          <w:b/>
          <w:bCs/>
          <w:color w:val="000000"/>
          <w:sz w:val="22"/>
          <w:szCs w:val="22"/>
          <w:lang w:val="es-ES"/>
        </w:rPr>
        <w:t>TERCERO.</w:t>
      </w:r>
      <w:r w:rsidRPr="0084610A">
        <w:rPr>
          <w:rFonts w:ascii="Palatino Linotype" w:hAnsi="Palatino Linotype" w:cs="Arial"/>
          <w:bCs/>
          <w:color w:val="000000"/>
          <w:sz w:val="22"/>
          <w:szCs w:val="22"/>
          <w:lang w:val="es-ES"/>
        </w:rPr>
        <w:t xml:space="preserve"> </w:t>
      </w:r>
      <w:r w:rsidRPr="0084610A">
        <w:rPr>
          <w:rFonts w:ascii="Palatino Linotype" w:hAnsi="Palatino Linotype" w:cs="Tahoma"/>
          <w:b/>
          <w:sz w:val="22"/>
          <w:szCs w:val="22"/>
        </w:rPr>
        <w:t xml:space="preserve">NOTIFÍQUESE </w:t>
      </w:r>
      <w:r w:rsidRPr="0084610A">
        <w:rPr>
          <w:rFonts w:ascii="Palatino Linotype" w:hAnsi="Palatino Linotype" w:cs="Tahoma"/>
          <w:sz w:val="22"/>
          <w:szCs w:val="22"/>
        </w:rPr>
        <w:t xml:space="preserve">al Recurrente la presente Resolución, </w:t>
      </w:r>
      <w:r w:rsidRPr="0084610A">
        <w:rPr>
          <w:rFonts w:ascii="Palatino Linotype" w:hAnsi="Palatino Linotype" w:cs="Tahoma"/>
          <w:sz w:val="22"/>
        </w:rPr>
        <w:t>a través del Sistema de Acceso a la Información Mexiquense (SAIMEX),</w:t>
      </w:r>
      <w:r w:rsidRPr="0084610A">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C61EE1" w:rsidP="00274839" w:rsidRDefault="00C61EE1" w14:paraId="09FC4C36" w14:textId="13FBB6F8">
      <w:pPr>
        <w:spacing w:line="360" w:lineRule="auto"/>
        <w:ind w:right="-93"/>
        <w:jc w:val="both"/>
        <w:rPr>
          <w:rFonts w:ascii="Palatino Linotype" w:hAnsi="Palatino Linotype" w:cs="Tahoma"/>
          <w:sz w:val="22"/>
          <w:szCs w:val="22"/>
        </w:rPr>
      </w:pPr>
    </w:p>
    <w:p w:rsidRPr="00A017A3" w:rsidR="00A017A3" w:rsidP="00A017A3" w:rsidRDefault="00A017A3" w14:paraId="02AABA65" w14:textId="77777777">
      <w:pPr>
        <w:spacing w:line="360" w:lineRule="auto"/>
        <w:jc w:val="both"/>
        <w:rPr>
          <w:rFonts w:ascii="Palatino Linotype" w:hAnsi="Palatino Linotype" w:cs="Arial"/>
          <w:color w:val="000000"/>
          <w:sz w:val="22"/>
          <w:szCs w:val="22"/>
          <w:lang w:val="es-ES"/>
        </w:rPr>
      </w:pPr>
      <w:r w:rsidRPr="00A017A3">
        <w:rPr>
          <w:rFonts w:ascii="Palatino Linotype" w:hAnsi="Palatino Linotype" w:cs="Arial"/>
          <w:b/>
          <w:bCs/>
          <w:color w:val="000000"/>
          <w:sz w:val="22"/>
          <w:szCs w:val="22"/>
          <w:lang w:val="es-ES"/>
        </w:rPr>
        <w:t xml:space="preserve">QUINTO. </w:t>
      </w:r>
      <w:r w:rsidRPr="00A017A3">
        <w:rPr>
          <w:rFonts w:ascii="Palatino Linotype" w:hAnsi="Palatino Linotype" w:cs="Arial"/>
          <w:color w:val="000000"/>
          <w:sz w:val="22"/>
          <w:szCs w:val="22"/>
          <w:lang w:val="es-ES"/>
        </w:rPr>
        <w:t xml:space="preserve">Con fundamento en lo dispuesto en el artículo 24, fracciones XI, XII y XIII del Reglamento Interior del Instituto de Transparencia, Acceso a la Información Pública y Protección de Datos Personales del Estado de México y Municipios, gírese oficio a la Dirección General de Protección de Datos Personales de este Instituto, en términos de lo dispuesto en el Considerando </w:t>
      </w:r>
      <w:r w:rsidRPr="00FD2411">
        <w:rPr>
          <w:rFonts w:ascii="Palatino Linotype" w:hAnsi="Palatino Linotype" w:cs="Arial"/>
          <w:color w:val="000000"/>
          <w:sz w:val="22"/>
          <w:szCs w:val="22"/>
          <w:lang w:val="es-ES"/>
        </w:rPr>
        <w:t>SÉPTIMO</w:t>
      </w:r>
      <w:r w:rsidRPr="00A017A3">
        <w:rPr>
          <w:rFonts w:ascii="Palatino Linotype" w:hAnsi="Palatino Linotype" w:cs="Arial"/>
          <w:b/>
          <w:bCs/>
          <w:color w:val="000000"/>
          <w:sz w:val="22"/>
          <w:szCs w:val="22"/>
          <w:lang w:val="es-ES"/>
        </w:rPr>
        <w:t xml:space="preserve"> </w:t>
      </w:r>
      <w:r w:rsidRPr="00A017A3">
        <w:rPr>
          <w:rFonts w:ascii="Palatino Linotype" w:hAnsi="Palatino Linotype" w:cs="Arial"/>
          <w:color w:val="000000"/>
          <w:sz w:val="22"/>
          <w:szCs w:val="22"/>
          <w:lang w:val="es-ES"/>
        </w:rPr>
        <w:t>de la presente Resolución.</w:t>
      </w:r>
    </w:p>
    <w:p w:rsidR="00A017A3" w:rsidP="00274839" w:rsidRDefault="00A017A3" w14:paraId="3AA7150C" w14:textId="36DF35BE">
      <w:pPr>
        <w:spacing w:line="360" w:lineRule="auto"/>
        <w:ind w:right="-93"/>
        <w:jc w:val="both"/>
        <w:rPr>
          <w:rFonts w:ascii="Palatino Linotype" w:hAnsi="Palatino Linotype" w:cs="Tahoma"/>
          <w:sz w:val="22"/>
          <w:szCs w:val="22"/>
        </w:rPr>
      </w:pPr>
    </w:p>
    <w:p w:rsidR="0081726A" w:rsidP="00274839" w:rsidRDefault="00C61EE1" w14:paraId="2F0463CC" w14:textId="43068526">
      <w:pPr>
        <w:spacing w:line="360" w:lineRule="auto"/>
        <w:contextualSpacing/>
        <w:jc w:val="both"/>
        <w:rPr>
          <w:rFonts w:ascii="Palatino Linotype" w:hAnsi="Palatino Linotype" w:cs="Tahoma"/>
          <w:sz w:val="22"/>
          <w:szCs w:val="22"/>
        </w:rPr>
      </w:pPr>
      <w:r w:rsidRPr="0033487D">
        <w:rPr>
          <w:rFonts w:ascii="Palatino Linotype" w:hAnsi="Palatino Linotype" w:cs="Tahoma"/>
          <w:sz w:val="22"/>
          <w:szCs w:val="22"/>
        </w:rPr>
        <w:t xml:space="preserve">ASÍ LO RESUELVE, POR </w:t>
      </w:r>
      <w:r w:rsidRPr="0033487D">
        <w:rPr>
          <w:rFonts w:ascii="Palatino Linotype" w:hAnsi="Palatino Linotype" w:eastAsia="Calibri" w:cs="Tahoma"/>
          <w:b/>
          <w:bCs/>
          <w:sz w:val="22"/>
          <w:szCs w:val="22"/>
        </w:rPr>
        <w:t>UNANIMIDAD</w:t>
      </w:r>
      <w:r w:rsidRPr="0033487D">
        <w:rPr>
          <w:rFonts w:ascii="Palatino Linotype" w:hAnsi="Palatino Linotype" w:cs="Tahoma"/>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Pr="00936848">
        <w:rPr>
          <w:rFonts w:ascii="Palatino Linotype" w:hAnsi="Palatino Linotype" w:cs="Tahoma"/>
          <w:sz w:val="22"/>
          <w:szCs w:val="22"/>
        </w:rPr>
        <w:t xml:space="preserve">LA </w:t>
      </w:r>
      <w:r>
        <w:rPr>
          <w:rFonts w:ascii="Palatino Linotype" w:hAnsi="Palatino Linotype" w:cs="Tahoma"/>
          <w:sz w:val="22"/>
          <w:szCs w:val="22"/>
        </w:rPr>
        <w:t>DÉCIMA</w:t>
      </w:r>
      <w:r w:rsidRPr="00936848">
        <w:rPr>
          <w:rFonts w:ascii="Palatino Linotype" w:hAnsi="Palatino Linotype" w:cs="Tahoma"/>
          <w:sz w:val="22"/>
          <w:szCs w:val="22"/>
        </w:rPr>
        <w:t xml:space="preserve"> </w:t>
      </w:r>
      <w:r w:rsidR="00E41C8C">
        <w:rPr>
          <w:rFonts w:ascii="Palatino Linotype" w:hAnsi="Palatino Linotype" w:cs="Tahoma"/>
          <w:sz w:val="22"/>
          <w:szCs w:val="22"/>
        </w:rPr>
        <w:t>OCTAVA SESIÓN</w:t>
      </w:r>
      <w:r w:rsidRPr="00936848">
        <w:rPr>
          <w:rFonts w:ascii="Palatino Linotype" w:hAnsi="Palatino Linotype" w:cs="Tahoma"/>
          <w:sz w:val="22"/>
          <w:szCs w:val="22"/>
        </w:rPr>
        <w:t xml:space="preserve"> ORDINARIA CELEBRADA EL </w:t>
      </w:r>
      <w:r>
        <w:rPr>
          <w:rFonts w:ascii="Palatino Linotype" w:hAnsi="Palatino Linotype" w:cs="Tahoma"/>
          <w:sz w:val="22"/>
          <w:szCs w:val="22"/>
        </w:rPr>
        <w:t>DIECI</w:t>
      </w:r>
      <w:r w:rsidR="00E41C8C">
        <w:rPr>
          <w:rFonts w:ascii="Palatino Linotype" w:hAnsi="Palatino Linotype" w:cs="Tahoma"/>
          <w:sz w:val="22"/>
          <w:szCs w:val="22"/>
        </w:rPr>
        <w:t>OCHO</w:t>
      </w:r>
      <w:r w:rsidRPr="00936848">
        <w:rPr>
          <w:rFonts w:ascii="Palatino Linotype" w:hAnsi="Palatino Linotype" w:cs="Tahoma"/>
          <w:sz w:val="22"/>
          <w:szCs w:val="22"/>
        </w:rPr>
        <w:t xml:space="preserve"> DE MA</w:t>
      </w:r>
      <w:r w:rsidR="00E41C8C">
        <w:rPr>
          <w:rFonts w:ascii="Palatino Linotype" w:hAnsi="Palatino Linotype" w:cs="Tahoma"/>
          <w:sz w:val="22"/>
          <w:szCs w:val="22"/>
        </w:rPr>
        <w:t>Y</w:t>
      </w:r>
      <w:r w:rsidRPr="00936848">
        <w:rPr>
          <w:rFonts w:ascii="Palatino Linotype" w:hAnsi="Palatino Linotype" w:cs="Tahoma"/>
          <w:sz w:val="22"/>
          <w:szCs w:val="22"/>
        </w:rPr>
        <w:t>O DE DOS MIL VEINTIDÓS,</w:t>
      </w:r>
      <w:r w:rsidRPr="0033487D">
        <w:rPr>
          <w:rFonts w:ascii="Palatino Linotype" w:hAnsi="Palatino Linotype" w:cs="Tahoma"/>
          <w:sz w:val="22"/>
          <w:szCs w:val="22"/>
        </w:rPr>
        <w:t xml:space="preserve"> ANTE EL SECRETARIO TÉCNICO DEL PLENO, ALEXIS TAPIA RAMÍREZ.</w:t>
      </w:r>
    </w:p>
    <w:p w:rsidR="0081726A" w:rsidP="00274839" w:rsidRDefault="0081726A" w14:paraId="6C2EE9AE" w14:textId="77777777">
      <w:pPr>
        <w:spacing w:line="259" w:lineRule="auto"/>
        <w:rPr>
          <w:rFonts w:ascii="Palatino Linotype" w:hAnsi="Palatino Linotype" w:cs="Tahoma"/>
          <w:sz w:val="22"/>
          <w:szCs w:val="22"/>
        </w:rPr>
      </w:pPr>
      <w:r>
        <w:rPr>
          <w:rFonts w:ascii="Palatino Linotype" w:hAnsi="Palatino Linotype" w:cs="Tahoma"/>
          <w:sz w:val="22"/>
          <w:szCs w:val="22"/>
        </w:rPr>
        <w:br w:type="page"/>
      </w:r>
    </w:p>
    <w:p w:rsidRPr="003A6755" w:rsidR="00C61EE1" w:rsidP="00274839" w:rsidRDefault="00C61EE1" w14:paraId="57A07DCA" w14:textId="77777777">
      <w:pPr>
        <w:spacing w:line="360" w:lineRule="auto"/>
        <w:contextualSpacing/>
        <w:jc w:val="both"/>
        <w:rPr>
          <w:rFonts w:ascii="Palatino Linotype" w:hAnsi="Palatino Linotype" w:cs="Tahoma"/>
          <w:sz w:val="22"/>
          <w:szCs w:val="22"/>
        </w:rPr>
      </w:pPr>
    </w:p>
    <w:p w:rsidR="00C8221B" w:rsidP="00274839" w:rsidRDefault="00C8221B" w14:paraId="41B0C142" w14:textId="77777777">
      <w:pPr>
        <w:spacing w:line="360" w:lineRule="auto"/>
        <w:ind w:right="-93"/>
        <w:jc w:val="both"/>
        <w:rPr>
          <w:rFonts w:ascii="Palatino Linotype" w:hAnsi="Palatino Linotype" w:eastAsia="Calibri" w:cs="Tahoma"/>
          <w:bCs/>
          <w:sz w:val="22"/>
          <w:szCs w:val="22"/>
          <w:lang w:eastAsia="en-US"/>
        </w:rPr>
      </w:pPr>
    </w:p>
    <w:p w:rsidR="00C8221B" w:rsidP="00274839" w:rsidRDefault="00C8221B" w14:paraId="34F2DF76" w14:textId="77777777">
      <w:pPr>
        <w:spacing w:line="360" w:lineRule="auto"/>
        <w:ind w:right="-93"/>
        <w:jc w:val="both"/>
        <w:rPr>
          <w:rFonts w:ascii="Palatino Linotype" w:hAnsi="Palatino Linotype" w:eastAsia="Calibri" w:cs="Tahoma"/>
          <w:bCs/>
          <w:sz w:val="22"/>
          <w:szCs w:val="22"/>
          <w:lang w:eastAsia="en-US"/>
        </w:rPr>
      </w:pPr>
    </w:p>
    <w:p w:rsidRPr="00E70AC4" w:rsidR="00C8221B" w:rsidP="00274839" w:rsidRDefault="00C8221B" w14:paraId="64738D94" w14:textId="77777777">
      <w:pPr>
        <w:spacing w:line="360" w:lineRule="auto"/>
        <w:ind w:right="-93"/>
        <w:jc w:val="both"/>
        <w:rPr>
          <w:rFonts w:ascii="Palatino Linotype" w:hAnsi="Palatino Linotype" w:eastAsia="Calibri" w:cs="Tahoma"/>
          <w:bCs/>
          <w:sz w:val="22"/>
          <w:szCs w:val="22"/>
          <w:lang w:eastAsia="en-US"/>
        </w:rPr>
      </w:pPr>
    </w:p>
    <w:p w:rsidR="00C8221B" w:rsidP="00274839" w:rsidRDefault="00C8221B" w14:paraId="400B4D31" w14:textId="77777777">
      <w:pPr>
        <w:widowControl w:val="0"/>
        <w:spacing w:line="360" w:lineRule="auto"/>
        <w:jc w:val="both"/>
        <w:rPr>
          <w:rFonts w:ascii="Palatino Linotype" w:hAnsi="Palatino Linotype" w:eastAsia="Calibri"/>
          <w:sz w:val="22"/>
          <w:szCs w:val="22"/>
        </w:rPr>
      </w:pPr>
    </w:p>
    <w:p w:rsidRPr="000B38B9" w:rsidR="00C8221B" w:rsidP="00274839" w:rsidRDefault="00C8221B" w14:paraId="0C9D3642" w14:textId="77777777">
      <w:pPr>
        <w:spacing w:line="360" w:lineRule="auto"/>
        <w:jc w:val="both"/>
        <w:rPr>
          <w:rFonts w:ascii="Palatino Linotype" w:hAnsi="Palatino Linotype" w:eastAsiaTheme="minorHAnsi" w:cstheme="minorBidi"/>
          <w:color w:val="000000" w:themeColor="text1"/>
          <w:sz w:val="22"/>
          <w:szCs w:val="22"/>
          <w:lang w:eastAsia="en-US"/>
        </w:rPr>
      </w:pPr>
    </w:p>
    <w:p w:rsidRPr="000B7ED7" w:rsidR="00836192" w:rsidP="00274839" w:rsidRDefault="00836192" w14:paraId="254B19D8" w14:textId="77777777">
      <w:pPr>
        <w:spacing w:line="360" w:lineRule="auto"/>
        <w:jc w:val="both"/>
        <w:rPr>
          <w:rFonts w:ascii="Palatino Linotype" w:hAnsi="Palatino Linotype" w:cs="Tahoma"/>
          <w:iCs/>
          <w:sz w:val="22"/>
          <w:szCs w:val="22"/>
        </w:rPr>
      </w:pPr>
    </w:p>
    <w:sectPr w:rsidRPr="000B7ED7" w:rsidR="00836192" w:rsidSect="00495118">
      <w:headerReference w:type="even" r:id="rId16"/>
      <w:headerReference w:type="default" r:id="rId17"/>
      <w:footerReference w:type="even" r:id="rId18"/>
      <w:footerReference w:type="default" r:id="rId19"/>
      <w:headerReference w:type="first" r:id="rId20"/>
      <w:footerReference w:type="first" r:id="rId21"/>
      <w:pgSz w:w="12240" w:h="15840" w:orient="portrait"/>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021B9" w:rsidP="0095634C" w:rsidRDefault="001021B9" w14:paraId="3D799865" w14:textId="77777777">
      <w:r>
        <w:separator/>
      </w:r>
    </w:p>
  </w:endnote>
  <w:endnote w:type="continuationSeparator" w:id="0">
    <w:p w:rsidR="001021B9" w:rsidP="0095634C" w:rsidRDefault="001021B9" w14:paraId="0BC349D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793F" w:rsidRDefault="0063793F" w14:paraId="5F8E97D8" w14:textId="77777777">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p>
  <w:p w:rsidR="0063793F" w:rsidRDefault="0063793F" w14:paraId="7C6413FB"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576908"/>
      <w:docPartObj>
        <w:docPartGallery w:val="Page Numbers (Bottom of Page)"/>
        <w:docPartUnique/>
      </w:docPartObj>
    </w:sdtPr>
    <w:sdtEndPr/>
    <w:sdtContent>
      <w:sdt>
        <w:sdtPr>
          <w:id w:val="736206068"/>
          <w:docPartObj>
            <w:docPartGallery w:val="Page Numbers (Top of Page)"/>
            <w:docPartUnique/>
          </w:docPartObj>
        </w:sdtPr>
        <w:sdtEndPr/>
        <w:sdtContent>
          <w:p w:rsidR="0063793F" w:rsidRDefault="0063793F" w14:paraId="3613C1FE" w14:textId="77777777">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EF4B54">
              <w:rPr>
                <w:rFonts w:ascii="Palatino Linotype" w:hAnsi="Palatino Linotype"/>
                <w:b/>
                <w:bCs/>
                <w:noProof/>
                <w:sz w:val="22"/>
                <w:szCs w:val="22"/>
              </w:rPr>
              <w:t>32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EF4B54">
              <w:rPr>
                <w:rFonts w:ascii="Palatino Linotype" w:hAnsi="Palatino Linotype"/>
                <w:b/>
                <w:bCs/>
                <w:noProof/>
                <w:sz w:val="22"/>
                <w:szCs w:val="22"/>
              </w:rPr>
              <w:t>33</w:t>
            </w:r>
            <w:r w:rsidRPr="00AA25BA">
              <w:rPr>
                <w:rFonts w:ascii="Palatino Linotype" w:hAnsi="Palatino Linotype"/>
                <w:b/>
                <w:bCs/>
                <w:sz w:val="22"/>
                <w:szCs w:val="22"/>
              </w:rPr>
              <w:fldChar w:fldCharType="end"/>
            </w:r>
          </w:p>
        </w:sdtContent>
      </w:sdt>
    </w:sdtContent>
  </w:sdt>
  <w:p w:rsidR="0063793F" w:rsidRDefault="0063793F" w14:paraId="2F0605D7"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A25BA" w:rsidR="0063793F" w:rsidRDefault="0063793F" w14:paraId="76DDF1F7" w14:textId="77777777">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EF4B54">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EF4B54">
      <w:rPr>
        <w:rFonts w:ascii="Palatino Linotype" w:hAnsi="Palatino Linotype"/>
        <w:b/>
        <w:bCs/>
        <w:noProof/>
        <w:sz w:val="22"/>
        <w:szCs w:val="22"/>
      </w:rPr>
      <w:t>33</w:t>
    </w:r>
    <w:r w:rsidRPr="00AA25BA">
      <w:rPr>
        <w:rFonts w:ascii="Palatino Linotype" w:hAnsi="Palatino Linotype"/>
        <w:b/>
        <w:bCs/>
        <w:sz w:val="22"/>
        <w:szCs w:val="22"/>
      </w:rPr>
      <w:fldChar w:fldCharType="end"/>
    </w:r>
  </w:p>
  <w:p w:rsidR="0063793F" w:rsidRDefault="0063793F" w14:paraId="3B988A6A"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021B9" w:rsidP="0095634C" w:rsidRDefault="001021B9" w14:paraId="639EAF69" w14:textId="77777777">
      <w:r>
        <w:separator/>
      </w:r>
    </w:p>
  </w:footnote>
  <w:footnote w:type="continuationSeparator" w:id="0">
    <w:p w:rsidR="001021B9" w:rsidP="0095634C" w:rsidRDefault="001021B9" w14:paraId="2606947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705" w:type="dxa"/>
      <w:tblLayout w:type="fixed"/>
      <w:tblLook w:val="04A0" w:firstRow="1" w:lastRow="0" w:firstColumn="1" w:lastColumn="0" w:noHBand="0" w:noVBand="1"/>
    </w:tblPr>
    <w:tblGrid>
      <w:gridCol w:w="2972"/>
      <w:gridCol w:w="6733"/>
    </w:tblGrid>
    <w:tr w:rsidR="0063793F" w:rsidTr="00495118" w14:paraId="79D54291" w14:textId="77777777">
      <w:trPr>
        <w:trHeight w:val="1435"/>
      </w:trPr>
      <w:tc>
        <w:tcPr>
          <w:tcW w:w="2972" w:type="dxa"/>
        </w:tcPr>
        <w:p w:rsidR="0063793F" w:rsidP="00495118" w:rsidRDefault="0063793F" w14:paraId="09131A3E" w14:textId="77777777">
          <w:pPr>
            <w:tabs>
              <w:tab w:val="right" w:pos="4273"/>
            </w:tabs>
            <w:spacing w:line="256" w:lineRule="auto"/>
            <w:rPr>
              <w:rFonts w:ascii="Garamond" w:hAnsi="Garamond" w:eastAsia="Calibri"/>
              <w:sz w:val="22"/>
              <w:szCs w:val="22"/>
              <w:lang w:eastAsia="en-US"/>
            </w:rPr>
          </w:pPr>
        </w:p>
      </w:tc>
      <w:tc>
        <w:tcPr>
          <w:tcW w:w="6733" w:type="dxa"/>
          <w:hideMark/>
        </w:tcPr>
        <w:tbl>
          <w:tblPr>
            <w:tblStyle w:val="Tablaconcuadrcula"/>
            <w:tblW w:w="5535" w:type="dxa"/>
            <w:tblInd w:w="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47"/>
            <w:gridCol w:w="3088"/>
          </w:tblGrid>
          <w:tr w:rsidR="0063793F" w:rsidTr="00495118" w14:paraId="3B03FB1C" w14:textId="77777777">
            <w:trPr>
              <w:trHeight w:val="144"/>
            </w:trPr>
            <w:tc>
              <w:tcPr>
                <w:tcW w:w="2447" w:type="dxa"/>
                <w:hideMark/>
              </w:tcPr>
              <w:p w:rsidRPr="008A245E" w:rsidR="0063793F" w:rsidP="00495118" w:rsidRDefault="0063793F" w14:paraId="3CE26B04" w14:textId="77777777">
                <w:pPr>
                  <w:tabs>
                    <w:tab w:val="right" w:pos="8838"/>
                  </w:tabs>
                  <w:ind w:left="-69"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Recurso de Revisión:</w:t>
                </w:r>
              </w:p>
            </w:tc>
            <w:tc>
              <w:tcPr>
                <w:tcW w:w="3088" w:type="dxa"/>
                <w:hideMark/>
              </w:tcPr>
              <w:p w:rsidRPr="008A245E" w:rsidR="0063793F" w:rsidP="00495118" w:rsidRDefault="0063793F" w14:paraId="55305A45" w14:textId="77777777">
                <w:pPr>
                  <w:tabs>
                    <w:tab w:val="right" w:pos="8838"/>
                  </w:tabs>
                  <w:ind w:left="-74" w:right="-105"/>
                  <w:jc w:val="both"/>
                  <w:rPr>
                    <w:rFonts w:ascii="Palatino Linotype" w:hAnsi="Palatino Linotype" w:eastAsia="Calibri" w:cs="Tahoma"/>
                    <w:bCs/>
                    <w:sz w:val="22"/>
                    <w:szCs w:val="22"/>
                    <w:lang w:eastAsia="en-US"/>
                  </w:rPr>
                </w:pPr>
                <w:r w:rsidRPr="008A245E">
                  <w:rPr>
                    <w:rFonts w:ascii="Palatino Linotype" w:hAnsi="Palatino Linotype" w:eastAsia="Calibri" w:cs="Tahoma"/>
                    <w:bCs/>
                    <w:sz w:val="22"/>
                    <w:szCs w:val="22"/>
                    <w:lang w:val="es-MX" w:eastAsia="en-US"/>
                  </w:rPr>
                  <w:t>02946/INFOEM/IP/RR/2021</w:t>
                </w:r>
              </w:p>
            </w:tc>
          </w:tr>
          <w:tr w:rsidR="0063793F" w:rsidTr="00495118" w14:paraId="15071BA1" w14:textId="77777777">
            <w:trPr>
              <w:trHeight w:val="283"/>
            </w:trPr>
            <w:tc>
              <w:tcPr>
                <w:tcW w:w="2447" w:type="dxa"/>
                <w:hideMark/>
              </w:tcPr>
              <w:p w:rsidRPr="008A245E" w:rsidR="0063793F" w:rsidP="00495118" w:rsidRDefault="0063793F" w14:paraId="22C5262F" w14:textId="77777777">
                <w:pPr>
                  <w:tabs>
                    <w:tab w:val="right" w:pos="8838"/>
                  </w:tabs>
                  <w:ind w:left="-74"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Sujeto Obligado:</w:t>
                </w:r>
              </w:p>
            </w:tc>
            <w:tc>
              <w:tcPr>
                <w:tcW w:w="3088" w:type="dxa"/>
                <w:hideMark/>
              </w:tcPr>
              <w:p w:rsidRPr="008A245E" w:rsidR="0063793F" w:rsidP="00495118" w:rsidRDefault="0063793F" w14:paraId="005697B8" w14:textId="77777777">
                <w:pPr>
                  <w:tabs>
                    <w:tab w:val="left" w:pos="2834"/>
                    <w:tab w:val="right" w:pos="8838"/>
                  </w:tabs>
                  <w:ind w:left="-74" w:right="-105"/>
                  <w:jc w:val="both"/>
                  <w:rPr>
                    <w:rFonts w:ascii="Palatino Linotype" w:hAnsi="Palatino Linotype" w:eastAsia="Calibri" w:cs="Tahoma"/>
                    <w:b/>
                    <w:sz w:val="22"/>
                    <w:szCs w:val="22"/>
                    <w:lang w:eastAsia="en-US"/>
                  </w:rPr>
                </w:pPr>
                <w:r w:rsidRPr="008A245E">
                  <w:rPr>
                    <w:rFonts w:ascii="Palatino Linotype" w:hAnsi="Palatino Linotype" w:eastAsia="Calibri" w:cs="Tahoma"/>
                    <w:sz w:val="22"/>
                    <w:szCs w:val="22"/>
                    <w:lang w:val="es-MX" w:eastAsia="en-US"/>
                  </w:rPr>
                  <w:t>Ayuntamiento de San Antonio la Isla</w:t>
                </w:r>
              </w:p>
            </w:tc>
          </w:tr>
          <w:tr w:rsidR="0063793F" w:rsidTr="00495118" w14:paraId="4E4D191A" w14:textId="77777777">
            <w:trPr>
              <w:trHeight w:val="283"/>
            </w:trPr>
            <w:tc>
              <w:tcPr>
                <w:tcW w:w="2447" w:type="dxa"/>
                <w:hideMark/>
              </w:tcPr>
              <w:p w:rsidRPr="008A245E" w:rsidR="0063793F" w:rsidP="00495118" w:rsidRDefault="0063793F" w14:paraId="4CBBA24A" w14:textId="77777777">
                <w:pPr>
                  <w:tabs>
                    <w:tab w:val="right" w:pos="8838"/>
                  </w:tabs>
                  <w:ind w:left="-74"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Comisionado Ponente:</w:t>
                </w:r>
              </w:p>
            </w:tc>
            <w:tc>
              <w:tcPr>
                <w:tcW w:w="3088" w:type="dxa"/>
              </w:tcPr>
              <w:p w:rsidRPr="008A245E" w:rsidR="0063793F" w:rsidP="00495118" w:rsidRDefault="0063793F" w14:paraId="554DDEEF" w14:textId="77777777">
                <w:pPr>
                  <w:tabs>
                    <w:tab w:val="right" w:pos="8838"/>
                  </w:tabs>
                  <w:ind w:left="-74" w:right="-105"/>
                  <w:jc w:val="both"/>
                  <w:rPr>
                    <w:rFonts w:ascii="Palatino Linotype" w:hAnsi="Palatino Linotype" w:eastAsia="Calibri" w:cs="Tahoma"/>
                    <w:sz w:val="22"/>
                    <w:szCs w:val="22"/>
                    <w:lang w:eastAsia="en-US"/>
                  </w:rPr>
                </w:pPr>
                <w:r w:rsidRPr="008A245E">
                  <w:rPr>
                    <w:rFonts w:ascii="Palatino Linotype" w:hAnsi="Palatino Linotype" w:eastAsia="Calibri" w:cs="Tahoma"/>
                    <w:sz w:val="22"/>
                    <w:szCs w:val="22"/>
                    <w:lang w:eastAsia="en-US"/>
                  </w:rPr>
                  <w:t>Luis Gustavo Parra Noriega</w:t>
                </w:r>
              </w:p>
              <w:p w:rsidRPr="008A245E" w:rsidR="0063793F" w:rsidP="00495118" w:rsidRDefault="0063793F" w14:paraId="276E5204" w14:textId="77777777">
                <w:pPr>
                  <w:tabs>
                    <w:tab w:val="right" w:pos="8838"/>
                  </w:tabs>
                  <w:ind w:left="-74" w:right="-105"/>
                  <w:jc w:val="both"/>
                  <w:rPr>
                    <w:rFonts w:ascii="Palatino Linotype" w:hAnsi="Palatino Linotype" w:eastAsia="Calibri" w:cs="Tahoma"/>
                    <w:b/>
                    <w:sz w:val="22"/>
                    <w:szCs w:val="22"/>
                    <w:lang w:eastAsia="en-US"/>
                  </w:rPr>
                </w:pPr>
              </w:p>
            </w:tc>
          </w:tr>
        </w:tbl>
        <w:p w:rsidR="0063793F" w:rsidP="00495118" w:rsidRDefault="0063793F" w14:paraId="7EC8D661" w14:textId="77777777">
          <w:pPr>
            <w:tabs>
              <w:tab w:val="right" w:pos="8838"/>
            </w:tabs>
            <w:spacing w:line="256" w:lineRule="auto"/>
            <w:ind w:left="-28"/>
            <w:jc w:val="both"/>
            <w:rPr>
              <w:rFonts w:ascii="Arial" w:hAnsi="Arial" w:eastAsia="Calibri" w:cs="Arial"/>
              <w:b/>
              <w:sz w:val="22"/>
              <w:szCs w:val="22"/>
              <w:lang w:eastAsia="en-US"/>
            </w:rPr>
          </w:pPr>
        </w:p>
      </w:tc>
    </w:tr>
  </w:tbl>
  <w:p w:rsidR="0063793F" w:rsidRDefault="0063793F" w14:paraId="0567B448" w14:textId="61DE527E">
    <w:pPr>
      <w:pStyle w:val="Encabezado"/>
    </w:pPr>
    <w:r>
      <w:rPr>
        <w:rFonts w:ascii="Garamond" w:hAnsi="Garamond" w:eastAsia="Calibri"/>
        <w:noProof/>
        <w:sz w:val="22"/>
        <w:szCs w:val="22"/>
        <w:lang w:eastAsia="es-MX"/>
      </w:rPr>
      <w:drawing>
        <wp:anchor distT="0" distB="0" distL="114300" distR="114300" simplePos="0" relativeHeight="251656704" behindDoc="1" locked="0" layoutInCell="0" allowOverlap="1" wp14:anchorId="00BE5D96" wp14:editId="7F04452A">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8718" w:type="dxa"/>
      <w:tblLayout w:type="fixed"/>
      <w:tblLook w:val="04A0" w:firstRow="1" w:lastRow="0" w:firstColumn="1" w:lastColumn="0" w:noHBand="0" w:noVBand="1"/>
    </w:tblPr>
    <w:tblGrid>
      <w:gridCol w:w="1985"/>
      <w:gridCol w:w="6733"/>
    </w:tblGrid>
    <w:tr w:rsidR="0063793F" w:rsidTr="004B52AC" w14:paraId="6E062579" w14:textId="77777777">
      <w:trPr>
        <w:trHeight w:val="1435"/>
      </w:trPr>
      <w:tc>
        <w:tcPr>
          <w:tcW w:w="1985" w:type="dxa"/>
        </w:tcPr>
        <w:p w:rsidR="0063793F" w:rsidP="00495118" w:rsidRDefault="0063793F" w14:paraId="0B7A3F48" w14:textId="64A3DF7F">
          <w:pPr>
            <w:tabs>
              <w:tab w:val="right" w:pos="4273"/>
            </w:tabs>
            <w:spacing w:line="256" w:lineRule="auto"/>
            <w:rPr>
              <w:rFonts w:ascii="Garamond" w:hAnsi="Garamond" w:eastAsia="Calibri"/>
              <w:sz w:val="22"/>
              <w:szCs w:val="22"/>
              <w:lang w:eastAsia="en-US"/>
            </w:rPr>
          </w:pPr>
        </w:p>
      </w:tc>
      <w:tc>
        <w:tcPr>
          <w:tcW w:w="6733" w:type="dxa"/>
          <w:hideMark/>
        </w:tcPr>
        <w:p w:rsidRPr="007D2BD0" w:rsidR="0063793F" w:rsidRDefault="0063793F" w14:paraId="4A35EA01" w14:textId="77777777">
          <w:pPr>
            <w:rPr>
              <w:sz w:val="28"/>
              <w:szCs w:val="28"/>
            </w:rPr>
          </w:pPr>
        </w:p>
        <w:tbl>
          <w:tblPr>
            <w:tblStyle w:val="Tablaconcuadrcula"/>
            <w:tblW w:w="6388" w:type="dxa"/>
            <w:tblInd w:w="12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325"/>
            <w:gridCol w:w="4063"/>
          </w:tblGrid>
          <w:tr w:rsidR="0063793F" w:rsidTr="000B68CC" w14:paraId="391D395B" w14:textId="77777777">
            <w:trPr>
              <w:trHeight w:val="194"/>
            </w:trPr>
            <w:tc>
              <w:tcPr>
                <w:tcW w:w="2325" w:type="dxa"/>
                <w:hideMark/>
              </w:tcPr>
              <w:p w:rsidRPr="008A245E" w:rsidR="0063793F" w:rsidP="00495118" w:rsidRDefault="0063793F" w14:paraId="6BDA7469" w14:textId="77777777">
                <w:pPr>
                  <w:tabs>
                    <w:tab w:val="right" w:pos="8838"/>
                  </w:tabs>
                  <w:ind w:left="-69"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Recurso de Revisión:</w:t>
                </w:r>
              </w:p>
            </w:tc>
            <w:tc>
              <w:tcPr>
                <w:tcW w:w="4063" w:type="dxa"/>
                <w:hideMark/>
              </w:tcPr>
              <w:p w:rsidRPr="008A245E" w:rsidR="0063793F" w:rsidP="004B52AC" w:rsidRDefault="0063793F" w14:paraId="36B0D662" w14:textId="5C6E3E77">
                <w:pPr>
                  <w:tabs>
                    <w:tab w:val="right" w:pos="8838"/>
                  </w:tabs>
                  <w:ind w:left="-74" w:right="-105"/>
                  <w:jc w:val="both"/>
                  <w:rPr>
                    <w:rFonts w:ascii="Palatino Linotype" w:hAnsi="Palatino Linotype" w:eastAsia="Calibri" w:cs="Tahoma"/>
                    <w:bCs/>
                    <w:sz w:val="22"/>
                    <w:szCs w:val="22"/>
                    <w:lang w:eastAsia="en-US"/>
                  </w:rPr>
                </w:pPr>
                <w:r w:rsidRPr="00036721">
                  <w:rPr>
                    <w:rFonts w:ascii="Palatino Linotype" w:hAnsi="Palatino Linotype" w:eastAsia="Calibri" w:cs="Tahoma"/>
                    <w:bCs/>
                    <w:sz w:val="22"/>
                    <w:szCs w:val="22"/>
                    <w:lang w:val="es-MX" w:eastAsia="en-US"/>
                  </w:rPr>
                  <w:t>03166/INFOEM/IP/RR/2022</w:t>
                </w:r>
              </w:p>
            </w:tc>
          </w:tr>
          <w:tr w:rsidR="0063793F" w:rsidTr="000B68CC" w14:paraId="15A802B1" w14:textId="77777777">
            <w:trPr>
              <w:trHeight w:val="383"/>
            </w:trPr>
            <w:tc>
              <w:tcPr>
                <w:tcW w:w="2325" w:type="dxa"/>
                <w:hideMark/>
              </w:tcPr>
              <w:p w:rsidRPr="008A245E" w:rsidR="0063793F" w:rsidP="00495118" w:rsidRDefault="0063793F" w14:paraId="312E240A" w14:textId="1DA7AB79">
                <w:pPr>
                  <w:tabs>
                    <w:tab w:val="right" w:pos="8838"/>
                  </w:tabs>
                  <w:ind w:left="-74"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Sujeto Obligado:</w:t>
                </w:r>
              </w:p>
            </w:tc>
            <w:tc>
              <w:tcPr>
                <w:tcW w:w="4063" w:type="dxa"/>
                <w:hideMark/>
              </w:tcPr>
              <w:p w:rsidRPr="008A245E" w:rsidR="0063793F" w:rsidP="004B52AC" w:rsidRDefault="0063793F" w14:paraId="52294E27" w14:textId="11B1AFB9">
                <w:pPr>
                  <w:tabs>
                    <w:tab w:val="left" w:pos="2834"/>
                    <w:tab w:val="right" w:pos="8838"/>
                  </w:tabs>
                  <w:ind w:left="-74"/>
                  <w:jc w:val="both"/>
                  <w:rPr>
                    <w:rFonts w:ascii="Palatino Linotype" w:hAnsi="Palatino Linotype" w:eastAsia="Calibri" w:cs="Tahoma"/>
                    <w:b/>
                    <w:sz w:val="22"/>
                    <w:szCs w:val="22"/>
                    <w:lang w:eastAsia="en-US"/>
                  </w:rPr>
                </w:pPr>
                <w:r w:rsidRPr="00036721">
                  <w:rPr>
                    <w:rFonts w:ascii="Palatino Linotype" w:hAnsi="Palatino Linotype" w:eastAsia="Calibri" w:cs="Tahoma"/>
                    <w:sz w:val="22"/>
                    <w:szCs w:val="22"/>
                    <w:lang w:val="es-MX" w:eastAsia="en-US"/>
                  </w:rPr>
                  <w:t>Ayuntamiento de Teotihuacán</w:t>
                </w:r>
              </w:p>
            </w:tc>
          </w:tr>
          <w:tr w:rsidR="0063793F" w:rsidTr="000B68CC" w14:paraId="445FEB22" w14:textId="77777777">
            <w:trPr>
              <w:trHeight w:val="383"/>
            </w:trPr>
            <w:tc>
              <w:tcPr>
                <w:tcW w:w="2325" w:type="dxa"/>
                <w:hideMark/>
              </w:tcPr>
              <w:p w:rsidRPr="008A245E" w:rsidR="0063793F" w:rsidP="00495118" w:rsidRDefault="0063793F" w14:paraId="697BEF94" w14:textId="77777777">
                <w:pPr>
                  <w:tabs>
                    <w:tab w:val="right" w:pos="8838"/>
                  </w:tabs>
                  <w:ind w:left="-74"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Comisionado Ponente:</w:t>
                </w:r>
              </w:p>
            </w:tc>
            <w:tc>
              <w:tcPr>
                <w:tcW w:w="4063" w:type="dxa"/>
              </w:tcPr>
              <w:p w:rsidRPr="007D2BD0" w:rsidR="0063793F" w:rsidP="007D2BD0" w:rsidRDefault="0063793F" w14:paraId="5032B53E" w14:textId="3D883E2B">
                <w:pPr>
                  <w:tabs>
                    <w:tab w:val="right" w:pos="8838"/>
                  </w:tabs>
                  <w:ind w:left="-74" w:right="-105"/>
                  <w:jc w:val="both"/>
                  <w:rPr>
                    <w:rFonts w:ascii="Palatino Linotype" w:hAnsi="Palatino Linotype" w:eastAsia="Calibri" w:cs="Tahoma"/>
                    <w:sz w:val="22"/>
                    <w:szCs w:val="22"/>
                    <w:lang w:eastAsia="en-US"/>
                  </w:rPr>
                </w:pPr>
                <w:r w:rsidRPr="008A245E">
                  <w:rPr>
                    <w:rFonts w:ascii="Palatino Linotype" w:hAnsi="Palatino Linotype" w:eastAsia="Calibri" w:cs="Tahoma"/>
                    <w:sz w:val="22"/>
                    <w:szCs w:val="22"/>
                    <w:lang w:eastAsia="en-US"/>
                  </w:rPr>
                  <w:t>Luis Gustavo Parra Noriega</w:t>
                </w:r>
              </w:p>
            </w:tc>
          </w:tr>
        </w:tbl>
        <w:p w:rsidR="0063793F" w:rsidP="00495118" w:rsidRDefault="0063793F" w14:paraId="2ECC4880" w14:textId="77777777">
          <w:pPr>
            <w:tabs>
              <w:tab w:val="right" w:pos="8838"/>
            </w:tabs>
            <w:spacing w:line="256" w:lineRule="auto"/>
            <w:ind w:left="-28"/>
            <w:jc w:val="both"/>
            <w:rPr>
              <w:rFonts w:ascii="Arial" w:hAnsi="Arial" w:eastAsia="Calibri" w:cs="Arial"/>
              <w:b/>
              <w:sz w:val="22"/>
              <w:szCs w:val="22"/>
              <w:lang w:eastAsia="en-US"/>
            </w:rPr>
          </w:pPr>
        </w:p>
      </w:tc>
    </w:tr>
  </w:tbl>
  <w:p w:rsidR="0063793F" w:rsidRDefault="0063793F" w14:paraId="7CD87E07" w14:textId="7DC1E8DE">
    <w:pPr>
      <w:pStyle w:val="Encabezado"/>
    </w:pPr>
    <w:r>
      <w:rPr>
        <w:rFonts w:ascii="Garamond" w:hAnsi="Garamond" w:eastAsia="Calibri"/>
        <w:noProof/>
        <w:sz w:val="22"/>
        <w:szCs w:val="22"/>
        <w:lang w:eastAsia="es-MX"/>
      </w:rPr>
      <w:drawing>
        <wp:anchor distT="0" distB="0" distL="114300" distR="114300" simplePos="0" relativeHeight="251657728" behindDoc="1" locked="0" layoutInCell="0" allowOverlap="1" wp14:anchorId="2218FD0A" wp14:editId="41EF1FA3">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01" w:type="dxa"/>
      <w:tblLayout w:type="fixed"/>
      <w:tblLook w:val="04A0" w:firstRow="1" w:lastRow="0" w:firstColumn="1" w:lastColumn="0" w:noHBand="0" w:noVBand="1"/>
    </w:tblPr>
    <w:tblGrid>
      <w:gridCol w:w="2268"/>
      <w:gridCol w:w="6733"/>
    </w:tblGrid>
    <w:tr w:rsidR="0063793F" w:rsidTr="0961FBB5" w14:paraId="3DF2FA98" w14:textId="77777777">
      <w:trPr>
        <w:trHeight w:val="1435"/>
      </w:trPr>
      <w:tc>
        <w:tcPr>
          <w:tcW w:w="2268" w:type="dxa"/>
          <w:tcMar/>
        </w:tcPr>
        <w:p w:rsidR="0063793F" w:rsidP="00495118" w:rsidRDefault="0063793F" w14:paraId="41C68381" w14:textId="77777777">
          <w:pPr>
            <w:tabs>
              <w:tab w:val="right" w:pos="4273"/>
            </w:tabs>
            <w:spacing w:line="256" w:lineRule="auto"/>
            <w:rPr>
              <w:rFonts w:ascii="Garamond" w:hAnsi="Garamond" w:eastAsia="Calibri"/>
              <w:sz w:val="22"/>
              <w:szCs w:val="22"/>
              <w:lang w:eastAsia="en-US"/>
            </w:rPr>
          </w:pPr>
        </w:p>
      </w:tc>
      <w:tc>
        <w:tcPr>
          <w:tcW w:w="6733" w:type="dxa"/>
          <w:tcMar/>
          <w:hideMark/>
        </w:tcPr>
        <w:tbl>
          <w:tblPr>
            <w:tblStyle w:val="Tablaconcuadrcula"/>
            <w:tblW w:w="6315" w:type="dxa"/>
            <w:tblInd w:w="8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319"/>
            <w:gridCol w:w="3996"/>
          </w:tblGrid>
          <w:tr w:rsidRPr="0095634C" w:rsidR="0063793F" w:rsidTr="0961FBB5" w14:paraId="37156598" w14:textId="77777777">
            <w:trPr>
              <w:trHeight w:val="132"/>
            </w:trPr>
            <w:tc>
              <w:tcPr>
                <w:tcW w:w="2319" w:type="dxa"/>
                <w:tcMar/>
                <w:hideMark/>
              </w:tcPr>
              <w:p w:rsidRPr="0095634C" w:rsidR="0063793F" w:rsidP="00495118" w:rsidRDefault="0063793F" w14:paraId="77AFB3B7" w14:textId="77777777">
                <w:pPr>
                  <w:tabs>
                    <w:tab w:val="right" w:pos="8838"/>
                  </w:tabs>
                  <w:ind w:left="-69" w:right="-105"/>
                  <w:rPr>
                    <w:rFonts w:ascii="Palatino Linotype" w:hAnsi="Palatino Linotype" w:eastAsia="Calibri" w:cs="Tahoma"/>
                    <w:b/>
                    <w:sz w:val="22"/>
                    <w:szCs w:val="22"/>
                    <w:lang w:eastAsia="en-US"/>
                  </w:rPr>
                </w:pPr>
                <w:r w:rsidRPr="0095634C">
                  <w:rPr>
                    <w:rFonts w:ascii="Palatino Linotype" w:hAnsi="Palatino Linotype" w:eastAsia="Calibri" w:cs="Tahoma"/>
                    <w:b/>
                    <w:sz w:val="22"/>
                    <w:szCs w:val="22"/>
                    <w:lang w:eastAsia="en-US"/>
                  </w:rPr>
                  <w:t>Recurso de Revisión:</w:t>
                </w:r>
              </w:p>
            </w:tc>
            <w:tc>
              <w:tcPr>
                <w:tcW w:w="3996" w:type="dxa"/>
                <w:tcMar/>
                <w:hideMark/>
              </w:tcPr>
              <w:p w:rsidRPr="0095634C" w:rsidR="0063793F" w:rsidP="0057023C" w:rsidRDefault="0063793F" w14:paraId="2A8E7B1A" w14:textId="4B7750E7">
                <w:pPr>
                  <w:tabs>
                    <w:tab w:val="right" w:pos="8838"/>
                  </w:tabs>
                  <w:ind w:left="-74" w:right="-105"/>
                  <w:jc w:val="both"/>
                  <w:rPr>
                    <w:rFonts w:ascii="Palatino Linotype" w:hAnsi="Palatino Linotype" w:eastAsia="Calibri" w:cs="Tahoma"/>
                    <w:sz w:val="22"/>
                    <w:szCs w:val="22"/>
                    <w:lang w:eastAsia="en-US"/>
                  </w:rPr>
                </w:pPr>
                <w:r w:rsidRPr="00036721">
                  <w:rPr>
                    <w:rFonts w:ascii="Palatino Linotype" w:hAnsi="Palatino Linotype" w:eastAsia="Calibri" w:cs="Tahoma"/>
                    <w:sz w:val="22"/>
                    <w:szCs w:val="22"/>
                    <w:lang w:val="es-MX" w:eastAsia="en-US"/>
                  </w:rPr>
                  <w:t>03166/INFOEM/IP/RR/2022</w:t>
                </w:r>
              </w:p>
            </w:tc>
          </w:tr>
          <w:tr w:rsidRPr="0095634C" w:rsidR="0063793F" w:rsidTr="0961FBB5" w14:paraId="7B581380" w14:textId="77777777">
            <w:trPr>
              <w:trHeight w:val="132"/>
            </w:trPr>
            <w:tc>
              <w:tcPr>
                <w:tcW w:w="2319" w:type="dxa"/>
                <w:tcMar/>
                <w:hideMark/>
              </w:tcPr>
              <w:p w:rsidRPr="0095634C" w:rsidR="0063793F" w:rsidP="00495118" w:rsidRDefault="0063793F" w14:paraId="4AE74731" w14:textId="77777777">
                <w:pPr>
                  <w:tabs>
                    <w:tab w:val="right" w:pos="8838"/>
                  </w:tabs>
                  <w:ind w:left="-74" w:right="-105"/>
                  <w:rPr>
                    <w:rFonts w:ascii="Palatino Linotype" w:hAnsi="Palatino Linotype" w:eastAsia="Calibri" w:cs="Tahoma"/>
                    <w:b/>
                    <w:sz w:val="22"/>
                    <w:szCs w:val="22"/>
                    <w:lang w:eastAsia="en-US"/>
                  </w:rPr>
                </w:pPr>
                <w:r w:rsidRPr="0095634C">
                  <w:rPr>
                    <w:rFonts w:ascii="Palatino Linotype" w:hAnsi="Palatino Linotype" w:eastAsia="Calibri" w:cs="Tahoma"/>
                    <w:b/>
                    <w:sz w:val="22"/>
                    <w:szCs w:val="22"/>
                    <w:lang w:eastAsia="en-US"/>
                  </w:rPr>
                  <w:t>Recurrente:</w:t>
                </w:r>
              </w:p>
            </w:tc>
            <w:tc>
              <w:tcPr>
                <w:tcW w:w="3996" w:type="dxa"/>
                <w:tcMar/>
              </w:tcPr>
              <w:p w:rsidRPr="0095634C" w:rsidR="0063793F" w:rsidP="0961FBB5" w:rsidRDefault="0063793F" w14:paraId="25A30DE0" w14:textId="0A24C51B">
                <w:pPr>
                  <w:pStyle w:val="Normal"/>
                  <w:tabs>
                    <w:tab w:val="left" w:leader="none" w:pos="3122"/>
                    <w:tab w:val="right" w:leader="none" w:pos="8838"/>
                  </w:tabs>
                  <w:bidi w:val="0"/>
                  <w:spacing w:before="0" w:beforeAutospacing="off" w:after="0" w:afterAutospacing="off" w:line="240" w:lineRule="auto"/>
                  <w:ind w:left="-74" w:right="-105"/>
                  <w:jc w:val="both"/>
                  <w:rPr>
                    <w:rFonts w:ascii="Palatino Linotype" w:hAnsi="Palatino Linotype" w:eastAsia="Calibri" w:cs="Tahoma"/>
                    <w:sz w:val="22"/>
                    <w:szCs w:val="22"/>
                    <w:highlight w:val="black"/>
                    <w:lang w:eastAsia="en-US"/>
                  </w:rPr>
                </w:pPr>
                <w:r w:rsidRPr="0961FBB5" w:rsidR="0961FBB5">
                  <w:rPr>
                    <w:rFonts w:ascii="Palatino Linotype" w:hAnsi="Palatino Linotype" w:eastAsia="Calibri" w:cs="Tahoma"/>
                    <w:sz w:val="22"/>
                    <w:szCs w:val="22"/>
                    <w:highlight w:val="black"/>
                    <w:lang w:eastAsia="en-US"/>
                  </w:rPr>
                  <w:t>XXXXXXXXXXXXXXXXXXXXXXX</w:t>
                </w:r>
              </w:p>
            </w:tc>
          </w:tr>
          <w:tr w:rsidRPr="0095634C" w:rsidR="0063793F" w:rsidTr="0961FBB5" w14:paraId="290EEB68" w14:textId="77777777">
            <w:trPr>
              <w:trHeight w:val="261"/>
            </w:trPr>
            <w:tc>
              <w:tcPr>
                <w:tcW w:w="2319" w:type="dxa"/>
                <w:tcMar/>
                <w:hideMark/>
              </w:tcPr>
              <w:p w:rsidRPr="0095634C" w:rsidR="0063793F" w:rsidP="00495118" w:rsidRDefault="0063793F" w14:paraId="7CF1207D" w14:textId="77777777">
                <w:pPr>
                  <w:tabs>
                    <w:tab w:val="right" w:pos="8838"/>
                  </w:tabs>
                  <w:ind w:left="-74" w:right="-105"/>
                  <w:rPr>
                    <w:rFonts w:ascii="Palatino Linotype" w:hAnsi="Palatino Linotype" w:eastAsia="Calibri" w:cs="Tahoma"/>
                    <w:b/>
                    <w:sz w:val="22"/>
                    <w:szCs w:val="22"/>
                    <w:lang w:eastAsia="en-US"/>
                  </w:rPr>
                </w:pPr>
                <w:r w:rsidRPr="0095634C">
                  <w:rPr>
                    <w:rFonts w:ascii="Palatino Linotype" w:hAnsi="Palatino Linotype" w:eastAsia="Calibri" w:cs="Tahoma"/>
                    <w:b/>
                    <w:sz w:val="22"/>
                    <w:szCs w:val="22"/>
                    <w:lang w:eastAsia="en-US"/>
                  </w:rPr>
                  <w:t>Sujeto Obligado:</w:t>
                </w:r>
              </w:p>
            </w:tc>
            <w:tc>
              <w:tcPr>
                <w:tcW w:w="3996" w:type="dxa"/>
                <w:tcMar/>
                <w:hideMark/>
              </w:tcPr>
              <w:p w:rsidRPr="0095634C" w:rsidR="0063793F" w:rsidP="0057023C" w:rsidRDefault="0063793F" w14:paraId="49785984" w14:textId="061927D2">
                <w:pPr>
                  <w:tabs>
                    <w:tab w:val="left" w:pos="2834"/>
                    <w:tab w:val="right" w:pos="8838"/>
                  </w:tabs>
                  <w:ind w:left="-74"/>
                  <w:jc w:val="both"/>
                  <w:rPr>
                    <w:rFonts w:ascii="Palatino Linotype" w:hAnsi="Palatino Linotype" w:eastAsia="Calibri" w:cs="Tahoma"/>
                    <w:sz w:val="22"/>
                    <w:szCs w:val="22"/>
                    <w:lang w:eastAsia="en-US"/>
                  </w:rPr>
                </w:pPr>
                <w:r w:rsidRPr="00036721">
                  <w:rPr>
                    <w:rFonts w:ascii="Palatino Linotype" w:hAnsi="Palatino Linotype" w:eastAsia="Calibri" w:cs="Tahoma"/>
                    <w:sz w:val="22"/>
                    <w:szCs w:val="22"/>
                    <w:lang w:val="es-MX" w:eastAsia="en-US"/>
                  </w:rPr>
                  <w:t>Ayuntamiento de Teotihuacán</w:t>
                </w:r>
              </w:p>
            </w:tc>
          </w:tr>
          <w:tr w:rsidRPr="0095634C" w:rsidR="0063793F" w:rsidTr="0961FBB5" w14:paraId="02379758" w14:textId="77777777">
            <w:trPr>
              <w:trHeight w:val="261"/>
            </w:trPr>
            <w:tc>
              <w:tcPr>
                <w:tcW w:w="2319" w:type="dxa"/>
                <w:tcMar/>
                <w:hideMark/>
              </w:tcPr>
              <w:p w:rsidRPr="0095634C" w:rsidR="0063793F" w:rsidP="00495118" w:rsidRDefault="0063793F" w14:paraId="3C69AF13" w14:textId="77777777">
                <w:pPr>
                  <w:tabs>
                    <w:tab w:val="right" w:pos="8838"/>
                  </w:tabs>
                  <w:ind w:left="-74" w:right="-105"/>
                  <w:rPr>
                    <w:rFonts w:ascii="Palatino Linotype" w:hAnsi="Palatino Linotype" w:eastAsia="Calibri" w:cs="Tahoma"/>
                    <w:b/>
                    <w:sz w:val="22"/>
                    <w:szCs w:val="22"/>
                    <w:lang w:eastAsia="en-US"/>
                  </w:rPr>
                </w:pPr>
                <w:r w:rsidRPr="0095634C">
                  <w:rPr>
                    <w:rFonts w:ascii="Palatino Linotype" w:hAnsi="Palatino Linotype" w:eastAsia="Calibri" w:cs="Tahoma"/>
                    <w:b/>
                    <w:sz w:val="22"/>
                    <w:szCs w:val="22"/>
                    <w:lang w:eastAsia="en-US"/>
                  </w:rPr>
                  <w:t>Comisionado Ponente:</w:t>
                </w:r>
              </w:p>
            </w:tc>
            <w:tc>
              <w:tcPr>
                <w:tcW w:w="3996" w:type="dxa"/>
                <w:tcMar/>
              </w:tcPr>
              <w:p w:rsidRPr="0057023C" w:rsidR="0063793F" w:rsidP="0057023C" w:rsidRDefault="0063793F" w14:paraId="4C4806BE" w14:textId="09F87BEB">
                <w:pPr>
                  <w:tabs>
                    <w:tab w:val="right" w:pos="8838"/>
                  </w:tabs>
                  <w:ind w:left="-74" w:right="-105"/>
                  <w:jc w:val="both"/>
                  <w:rPr>
                    <w:rFonts w:ascii="Palatino Linotype" w:hAnsi="Palatino Linotype" w:eastAsia="Calibri" w:cs="Tahoma"/>
                    <w:sz w:val="22"/>
                    <w:szCs w:val="22"/>
                    <w:lang w:eastAsia="en-US"/>
                  </w:rPr>
                </w:pPr>
                <w:r w:rsidRPr="0095634C">
                  <w:rPr>
                    <w:rFonts w:ascii="Palatino Linotype" w:hAnsi="Palatino Linotype" w:eastAsia="Calibri" w:cs="Tahoma"/>
                    <w:sz w:val="22"/>
                    <w:szCs w:val="22"/>
                    <w:lang w:eastAsia="en-US"/>
                  </w:rPr>
                  <w:t>Luis Gustavo Parra Noriega</w:t>
                </w:r>
              </w:p>
            </w:tc>
          </w:tr>
        </w:tbl>
        <w:p w:rsidR="0063793F" w:rsidP="00495118" w:rsidRDefault="0063793F" w14:paraId="29B5C929" w14:textId="77777777">
          <w:pPr>
            <w:tabs>
              <w:tab w:val="right" w:pos="8838"/>
            </w:tabs>
            <w:spacing w:line="256" w:lineRule="auto"/>
            <w:ind w:left="-28"/>
            <w:jc w:val="both"/>
            <w:rPr>
              <w:rFonts w:ascii="Arial" w:hAnsi="Arial" w:eastAsia="Calibri" w:cs="Arial"/>
              <w:b/>
              <w:sz w:val="22"/>
              <w:szCs w:val="22"/>
              <w:lang w:eastAsia="en-US"/>
            </w:rPr>
          </w:pPr>
        </w:p>
      </w:tc>
    </w:tr>
  </w:tbl>
  <w:p w:rsidR="0063793F" w:rsidP="0057023C" w:rsidRDefault="001021B9" w14:paraId="2D847BC0" w14:textId="77777777">
    <w:pPr>
      <w:pStyle w:val="Encabezado"/>
    </w:pPr>
    <w:r>
      <w:rPr>
        <w:rFonts w:ascii="Garamond" w:hAnsi="Garamond" w:eastAsia="Calibri"/>
        <w:noProof/>
        <w:sz w:val="22"/>
        <w:szCs w:val="22"/>
        <w:lang w:eastAsia="en-US"/>
      </w:rPr>
      <w:pict w14:anchorId="33B02F4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1953267" style="position:absolute;margin-left:-57.75pt;margin-top:-133.35pt;width:663.5pt;height:12in;z-index:-251657728;mso-position-horizontal-relative:margin;mso-position-vertical-relative:margin"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10123A9D"/>
    <w:multiLevelType w:val="hybridMultilevel"/>
    <w:tmpl w:val="CA8CFCC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500648"/>
    <w:multiLevelType w:val="hybridMultilevel"/>
    <w:tmpl w:val="5D060CC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7DC7849"/>
    <w:multiLevelType w:val="hybridMultilevel"/>
    <w:tmpl w:val="D5EE99A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99B087C"/>
    <w:multiLevelType w:val="hybridMultilevel"/>
    <w:tmpl w:val="7AC8EEC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6" w15:restartNumberingAfterBreak="0">
    <w:nsid w:val="1C4F3F89"/>
    <w:multiLevelType w:val="hybridMultilevel"/>
    <w:tmpl w:val="507E6F4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1DD355A7"/>
    <w:multiLevelType w:val="hybridMultilevel"/>
    <w:tmpl w:val="3710B69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1E2B1400"/>
    <w:multiLevelType w:val="hybridMultilevel"/>
    <w:tmpl w:val="11CE74C8"/>
    <w:lvl w:ilvl="0" w:tplc="7480C6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345828"/>
    <w:multiLevelType w:val="hybridMultilevel"/>
    <w:tmpl w:val="704EDE8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2" w15:restartNumberingAfterBreak="0">
    <w:nsid w:val="2F2D0CBB"/>
    <w:multiLevelType w:val="hybridMultilevel"/>
    <w:tmpl w:val="1C7E7F2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546DC5"/>
    <w:multiLevelType w:val="hybridMultilevel"/>
    <w:tmpl w:val="B8644C7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3A005391"/>
    <w:multiLevelType w:val="hybridMultilevel"/>
    <w:tmpl w:val="2D7691E2"/>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15" w15:restartNumberingAfterBreak="0">
    <w:nsid w:val="3C716E83"/>
    <w:multiLevelType w:val="hybridMultilevel"/>
    <w:tmpl w:val="F144814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3DFD6483"/>
    <w:multiLevelType w:val="hybridMultilevel"/>
    <w:tmpl w:val="9BB4DB4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40B5342B"/>
    <w:multiLevelType w:val="hybridMultilevel"/>
    <w:tmpl w:val="2CECA69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47FF4E58"/>
    <w:multiLevelType w:val="hybridMultilevel"/>
    <w:tmpl w:val="92681EF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490B5EE6"/>
    <w:multiLevelType w:val="hybridMultilevel"/>
    <w:tmpl w:val="00808E5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4B651E0F"/>
    <w:multiLevelType w:val="hybridMultilevel"/>
    <w:tmpl w:val="D5DC0712"/>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1" w15:restartNumberingAfterBreak="0">
    <w:nsid w:val="4D9460B7"/>
    <w:multiLevelType w:val="hybridMultilevel"/>
    <w:tmpl w:val="4BAC538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5076001E"/>
    <w:multiLevelType w:val="hybridMultilevel"/>
    <w:tmpl w:val="41B4ECA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525A10EE"/>
    <w:multiLevelType w:val="hybridMultilevel"/>
    <w:tmpl w:val="6C4283F2"/>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24"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017AF5"/>
    <w:multiLevelType w:val="hybridMultilevel"/>
    <w:tmpl w:val="9AEA926A"/>
    <w:lvl w:ilvl="0" w:tplc="8A988F1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E97014E"/>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5ECA45D3"/>
    <w:multiLevelType w:val="hybridMultilevel"/>
    <w:tmpl w:val="C4E0628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61A00AF4"/>
    <w:multiLevelType w:val="hybridMultilevel"/>
    <w:tmpl w:val="3B50DFA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9" w15:restartNumberingAfterBreak="0">
    <w:nsid w:val="63087DEA"/>
    <w:multiLevelType w:val="hybridMultilevel"/>
    <w:tmpl w:val="9A2642AE"/>
    <w:lvl w:ilvl="0" w:tplc="F2D2F9A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8B7853"/>
    <w:multiLevelType w:val="hybridMultilevel"/>
    <w:tmpl w:val="1F428196"/>
    <w:lvl w:ilvl="0" w:tplc="080A0001">
      <w:start w:val="1"/>
      <w:numFmt w:val="bullet"/>
      <w:lvlText w:val=""/>
      <w:lvlJc w:val="left"/>
      <w:pPr>
        <w:ind w:left="1500" w:hanging="360"/>
      </w:pPr>
      <w:rPr>
        <w:rFonts w:hint="default" w:ascii="Symbol" w:hAnsi="Symbol"/>
      </w:rPr>
    </w:lvl>
    <w:lvl w:ilvl="1" w:tplc="080A0003" w:tentative="1">
      <w:start w:val="1"/>
      <w:numFmt w:val="bullet"/>
      <w:lvlText w:val="o"/>
      <w:lvlJc w:val="left"/>
      <w:pPr>
        <w:ind w:left="2220" w:hanging="360"/>
      </w:pPr>
      <w:rPr>
        <w:rFonts w:hint="default" w:ascii="Courier New" w:hAnsi="Courier New" w:cs="Courier New"/>
      </w:rPr>
    </w:lvl>
    <w:lvl w:ilvl="2" w:tplc="080A0005" w:tentative="1">
      <w:start w:val="1"/>
      <w:numFmt w:val="bullet"/>
      <w:lvlText w:val=""/>
      <w:lvlJc w:val="left"/>
      <w:pPr>
        <w:ind w:left="2940" w:hanging="360"/>
      </w:pPr>
      <w:rPr>
        <w:rFonts w:hint="default" w:ascii="Wingdings" w:hAnsi="Wingdings"/>
      </w:rPr>
    </w:lvl>
    <w:lvl w:ilvl="3" w:tplc="080A0001" w:tentative="1">
      <w:start w:val="1"/>
      <w:numFmt w:val="bullet"/>
      <w:lvlText w:val=""/>
      <w:lvlJc w:val="left"/>
      <w:pPr>
        <w:ind w:left="3660" w:hanging="360"/>
      </w:pPr>
      <w:rPr>
        <w:rFonts w:hint="default" w:ascii="Symbol" w:hAnsi="Symbol"/>
      </w:rPr>
    </w:lvl>
    <w:lvl w:ilvl="4" w:tplc="080A0003" w:tentative="1">
      <w:start w:val="1"/>
      <w:numFmt w:val="bullet"/>
      <w:lvlText w:val="o"/>
      <w:lvlJc w:val="left"/>
      <w:pPr>
        <w:ind w:left="4380" w:hanging="360"/>
      </w:pPr>
      <w:rPr>
        <w:rFonts w:hint="default" w:ascii="Courier New" w:hAnsi="Courier New" w:cs="Courier New"/>
      </w:rPr>
    </w:lvl>
    <w:lvl w:ilvl="5" w:tplc="080A0005" w:tentative="1">
      <w:start w:val="1"/>
      <w:numFmt w:val="bullet"/>
      <w:lvlText w:val=""/>
      <w:lvlJc w:val="left"/>
      <w:pPr>
        <w:ind w:left="5100" w:hanging="360"/>
      </w:pPr>
      <w:rPr>
        <w:rFonts w:hint="default" w:ascii="Wingdings" w:hAnsi="Wingdings"/>
      </w:rPr>
    </w:lvl>
    <w:lvl w:ilvl="6" w:tplc="080A0001" w:tentative="1">
      <w:start w:val="1"/>
      <w:numFmt w:val="bullet"/>
      <w:lvlText w:val=""/>
      <w:lvlJc w:val="left"/>
      <w:pPr>
        <w:ind w:left="5820" w:hanging="360"/>
      </w:pPr>
      <w:rPr>
        <w:rFonts w:hint="default" w:ascii="Symbol" w:hAnsi="Symbol"/>
      </w:rPr>
    </w:lvl>
    <w:lvl w:ilvl="7" w:tplc="080A0003" w:tentative="1">
      <w:start w:val="1"/>
      <w:numFmt w:val="bullet"/>
      <w:lvlText w:val="o"/>
      <w:lvlJc w:val="left"/>
      <w:pPr>
        <w:ind w:left="6540" w:hanging="360"/>
      </w:pPr>
      <w:rPr>
        <w:rFonts w:hint="default" w:ascii="Courier New" w:hAnsi="Courier New" w:cs="Courier New"/>
      </w:rPr>
    </w:lvl>
    <w:lvl w:ilvl="8" w:tplc="080A0005" w:tentative="1">
      <w:start w:val="1"/>
      <w:numFmt w:val="bullet"/>
      <w:lvlText w:val=""/>
      <w:lvlJc w:val="left"/>
      <w:pPr>
        <w:ind w:left="7260" w:hanging="360"/>
      </w:pPr>
      <w:rPr>
        <w:rFonts w:hint="default" w:ascii="Wingdings" w:hAnsi="Wingdings"/>
      </w:rPr>
    </w:lvl>
  </w:abstractNum>
  <w:abstractNum w:abstractNumId="31" w15:restartNumberingAfterBreak="0">
    <w:nsid w:val="6D437203"/>
    <w:multiLevelType w:val="hybridMultilevel"/>
    <w:tmpl w:val="50F41C9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3" w15:restartNumberingAfterBreak="0">
    <w:nsid w:val="71B3368F"/>
    <w:multiLevelType w:val="hybridMultilevel"/>
    <w:tmpl w:val="6EECB1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2EE5368"/>
    <w:multiLevelType w:val="hybridMultilevel"/>
    <w:tmpl w:val="2506A47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5"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6" w15:restartNumberingAfterBreak="0">
    <w:nsid w:val="75CC7057"/>
    <w:multiLevelType w:val="hybridMultilevel"/>
    <w:tmpl w:val="13DEB03E"/>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7" w15:restartNumberingAfterBreak="0">
    <w:nsid w:val="78193A00"/>
    <w:multiLevelType w:val="hybridMultilevel"/>
    <w:tmpl w:val="8088485C"/>
    <w:lvl w:ilvl="0" w:tplc="0C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E196450"/>
    <w:multiLevelType w:val="hybridMultilevel"/>
    <w:tmpl w:val="28A4AA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7117351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9704134">
    <w:abstractNumId w:val="20"/>
  </w:num>
  <w:num w:numId="3" w16cid:durableId="1697923188">
    <w:abstractNumId w:val="2"/>
  </w:num>
  <w:num w:numId="4" w16cid:durableId="946229874">
    <w:abstractNumId w:val="17"/>
  </w:num>
  <w:num w:numId="5" w16cid:durableId="343634247">
    <w:abstractNumId w:val="16"/>
  </w:num>
  <w:num w:numId="6" w16cid:durableId="1907841544">
    <w:abstractNumId w:val="10"/>
  </w:num>
  <w:num w:numId="7" w16cid:durableId="1319260846">
    <w:abstractNumId w:val="36"/>
  </w:num>
  <w:num w:numId="8" w16cid:durableId="1619951425">
    <w:abstractNumId w:val="0"/>
  </w:num>
  <w:num w:numId="9" w16cid:durableId="846869629">
    <w:abstractNumId w:val="26"/>
  </w:num>
  <w:num w:numId="10" w16cid:durableId="407773019">
    <w:abstractNumId w:val="27"/>
  </w:num>
  <w:num w:numId="11" w16cid:durableId="915477331">
    <w:abstractNumId w:val="9"/>
  </w:num>
  <w:num w:numId="12" w16cid:durableId="425033192">
    <w:abstractNumId w:val="23"/>
  </w:num>
  <w:num w:numId="13" w16cid:durableId="2076927250">
    <w:abstractNumId w:val="34"/>
  </w:num>
  <w:num w:numId="14" w16cid:durableId="1650288187">
    <w:abstractNumId w:val="13"/>
  </w:num>
  <w:num w:numId="15" w16cid:durableId="271939726">
    <w:abstractNumId w:val="28"/>
  </w:num>
  <w:num w:numId="16" w16cid:durableId="2082285666">
    <w:abstractNumId w:val="37"/>
  </w:num>
  <w:num w:numId="17" w16cid:durableId="181364865">
    <w:abstractNumId w:val="4"/>
  </w:num>
  <w:num w:numId="18" w16cid:durableId="1672222742">
    <w:abstractNumId w:val="25"/>
  </w:num>
  <w:num w:numId="19" w16cid:durableId="148718269">
    <w:abstractNumId w:val="11"/>
  </w:num>
  <w:num w:numId="20" w16cid:durableId="777263745">
    <w:abstractNumId w:val="35"/>
  </w:num>
  <w:num w:numId="21" w16cid:durableId="1915238914">
    <w:abstractNumId w:val="15"/>
  </w:num>
  <w:num w:numId="22" w16cid:durableId="3149167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6417312">
    <w:abstractNumId w:val="18"/>
  </w:num>
  <w:num w:numId="24" w16cid:durableId="290332551">
    <w:abstractNumId w:val="22"/>
  </w:num>
  <w:num w:numId="25" w16cid:durableId="773092211">
    <w:abstractNumId w:val="38"/>
  </w:num>
  <w:num w:numId="26" w16cid:durableId="175119948">
    <w:abstractNumId w:val="6"/>
  </w:num>
  <w:num w:numId="27" w16cid:durableId="1988241219">
    <w:abstractNumId w:val="5"/>
  </w:num>
  <w:num w:numId="28" w16cid:durableId="1044016247">
    <w:abstractNumId w:val="14"/>
  </w:num>
  <w:num w:numId="29" w16cid:durableId="1405179017">
    <w:abstractNumId w:val="3"/>
  </w:num>
  <w:num w:numId="30" w16cid:durableId="555312915">
    <w:abstractNumId w:val="30"/>
  </w:num>
  <w:num w:numId="31" w16cid:durableId="1577589156">
    <w:abstractNumId w:val="19"/>
  </w:num>
  <w:num w:numId="32" w16cid:durableId="1242132392">
    <w:abstractNumId w:val="31"/>
  </w:num>
  <w:num w:numId="33" w16cid:durableId="8897341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39171199">
    <w:abstractNumId w:val="8"/>
  </w:num>
  <w:num w:numId="35" w16cid:durableId="227497455">
    <w:abstractNumId w:val="24"/>
  </w:num>
  <w:num w:numId="36" w16cid:durableId="2129661797">
    <w:abstractNumId w:val="21"/>
  </w:num>
  <w:num w:numId="37" w16cid:durableId="635453293">
    <w:abstractNumId w:val="7"/>
  </w:num>
  <w:num w:numId="38" w16cid:durableId="385956646">
    <w:abstractNumId w:val="33"/>
  </w:num>
  <w:num w:numId="39" w16cid:durableId="1993170011">
    <w:abstractNumId w:val="29"/>
  </w:num>
  <w:num w:numId="40" w16cid:durableId="204218774">
    <w:abstractNumId w:val="1"/>
  </w:num>
  <w:num w:numId="41" w16cid:durableId="11815527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192"/>
    <w:rsid w:val="00001D24"/>
    <w:rsid w:val="00007534"/>
    <w:rsid w:val="00036721"/>
    <w:rsid w:val="00047219"/>
    <w:rsid w:val="00050606"/>
    <w:rsid w:val="000506E9"/>
    <w:rsid w:val="00052EA5"/>
    <w:rsid w:val="000565F2"/>
    <w:rsid w:val="000608EB"/>
    <w:rsid w:val="000626F3"/>
    <w:rsid w:val="00066610"/>
    <w:rsid w:val="0006795B"/>
    <w:rsid w:val="0008143B"/>
    <w:rsid w:val="00084F91"/>
    <w:rsid w:val="000A3F89"/>
    <w:rsid w:val="000A4F1B"/>
    <w:rsid w:val="000A6377"/>
    <w:rsid w:val="000B0C2A"/>
    <w:rsid w:val="000B3087"/>
    <w:rsid w:val="000B3A22"/>
    <w:rsid w:val="000B68CC"/>
    <w:rsid w:val="000B7ED7"/>
    <w:rsid w:val="000C1AA2"/>
    <w:rsid w:val="000C2231"/>
    <w:rsid w:val="000C553C"/>
    <w:rsid w:val="000C6A5E"/>
    <w:rsid w:val="000D1272"/>
    <w:rsid w:val="000D42FE"/>
    <w:rsid w:val="000D77EA"/>
    <w:rsid w:val="000E0240"/>
    <w:rsid w:val="000F2857"/>
    <w:rsid w:val="001021B9"/>
    <w:rsid w:val="00104D7E"/>
    <w:rsid w:val="00121F26"/>
    <w:rsid w:val="00130F94"/>
    <w:rsid w:val="0013794C"/>
    <w:rsid w:val="00141242"/>
    <w:rsid w:val="00142915"/>
    <w:rsid w:val="001570EB"/>
    <w:rsid w:val="00160192"/>
    <w:rsid w:val="00160BED"/>
    <w:rsid w:val="00161E09"/>
    <w:rsid w:val="0016426E"/>
    <w:rsid w:val="00165E6B"/>
    <w:rsid w:val="00181DDD"/>
    <w:rsid w:val="00185DBF"/>
    <w:rsid w:val="00194313"/>
    <w:rsid w:val="001A160F"/>
    <w:rsid w:val="001A2DD6"/>
    <w:rsid w:val="001A6B7A"/>
    <w:rsid w:val="001A75F6"/>
    <w:rsid w:val="001B290B"/>
    <w:rsid w:val="001B6873"/>
    <w:rsid w:val="001D7603"/>
    <w:rsid w:val="001E3D7D"/>
    <w:rsid w:val="001E54AE"/>
    <w:rsid w:val="001F4A4B"/>
    <w:rsid w:val="001F5C48"/>
    <w:rsid w:val="002031D9"/>
    <w:rsid w:val="00211B95"/>
    <w:rsid w:val="00213A5A"/>
    <w:rsid w:val="00230E40"/>
    <w:rsid w:val="00230F62"/>
    <w:rsid w:val="00231A8C"/>
    <w:rsid w:val="00235CE7"/>
    <w:rsid w:val="0024466A"/>
    <w:rsid w:val="002476E5"/>
    <w:rsid w:val="00256752"/>
    <w:rsid w:val="00257CC5"/>
    <w:rsid w:val="002637CE"/>
    <w:rsid w:val="002747DD"/>
    <w:rsid w:val="00274839"/>
    <w:rsid w:val="00276C92"/>
    <w:rsid w:val="00281696"/>
    <w:rsid w:val="002907E0"/>
    <w:rsid w:val="002A07CF"/>
    <w:rsid w:val="002A1427"/>
    <w:rsid w:val="002A4913"/>
    <w:rsid w:val="002D2338"/>
    <w:rsid w:val="002E7546"/>
    <w:rsid w:val="002E75CA"/>
    <w:rsid w:val="002F4964"/>
    <w:rsid w:val="0030752D"/>
    <w:rsid w:val="00307A43"/>
    <w:rsid w:val="00310DE3"/>
    <w:rsid w:val="00315452"/>
    <w:rsid w:val="00316110"/>
    <w:rsid w:val="00321CAC"/>
    <w:rsid w:val="00351FB0"/>
    <w:rsid w:val="003542E5"/>
    <w:rsid w:val="00357EA9"/>
    <w:rsid w:val="00361539"/>
    <w:rsid w:val="00375D3D"/>
    <w:rsid w:val="00383E91"/>
    <w:rsid w:val="003843D7"/>
    <w:rsid w:val="00392421"/>
    <w:rsid w:val="00394135"/>
    <w:rsid w:val="00396CB6"/>
    <w:rsid w:val="003A1940"/>
    <w:rsid w:val="003A3252"/>
    <w:rsid w:val="003A3346"/>
    <w:rsid w:val="003A33AB"/>
    <w:rsid w:val="003A3625"/>
    <w:rsid w:val="003A3858"/>
    <w:rsid w:val="003B122A"/>
    <w:rsid w:val="003D0DA5"/>
    <w:rsid w:val="003D1134"/>
    <w:rsid w:val="003D18B6"/>
    <w:rsid w:val="003D1F3F"/>
    <w:rsid w:val="003D4E7B"/>
    <w:rsid w:val="003D6308"/>
    <w:rsid w:val="003E1986"/>
    <w:rsid w:val="003F04D2"/>
    <w:rsid w:val="003F735A"/>
    <w:rsid w:val="0040040C"/>
    <w:rsid w:val="0040401A"/>
    <w:rsid w:val="004042A4"/>
    <w:rsid w:val="00404C68"/>
    <w:rsid w:val="00410D13"/>
    <w:rsid w:val="00414E74"/>
    <w:rsid w:val="0042103F"/>
    <w:rsid w:val="00423962"/>
    <w:rsid w:val="004247F0"/>
    <w:rsid w:val="004255FE"/>
    <w:rsid w:val="00433EFC"/>
    <w:rsid w:val="004417B6"/>
    <w:rsid w:val="0044419C"/>
    <w:rsid w:val="00454419"/>
    <w:rsid w:val="00465127"/>
    <w:rsid w:val="00471953"/>
    <w:rsid w:val="004763E5"/>
    <w:rsid w:val="0048127C"/>
    <w:rsid w:val="00493D74"/>
    <w:rsid w:val="00495118"/>
    <w:rsid w:val="004A0BF6"/>
    <w:rsid w:val="004A19A7"/>
    <w:rsid w:val="004A2C77"/>
    <w:rsid w:val="004A6B19"/>
    <w:rsid w:val="004B218A"/>
    <w:rsid w:val="004B4916"/>
    <w:rsid w:val="004B4A54"/>
    <w:rsid w:val="004B5166"/>
    <w:rsid w:val="004B52AC"/>
    <w:rsid w:val="004C3562"/>
    <w:rsid w:val="004D6299"/>
    <w:rsid w:val="004E02C5"/>
    <w:rsid w:val="004E6E14"/>
    <w:rsid w:val="004E7583"/>
    <w:rsid w:val="004F07FB"/>
    <w:rsid w:val="00502E9F"/>
    <w:rsid w:val="00504814"/>
    <w:rsid w:val="00507592"/>
    <w:rsid w:val="00514206"/>
    <w:rsid w:val="005153DD"/>
    <w:rsid w:val="0051795D"/>
    <w:rsid w:val="00522842"/>
    <w:rsid w:val="00523125"/>
    <w:rsid w:val="00530E2A"/>
    <w:rsid w:val="00534797"/>
    <w:rsid w:val="00545AC9"/>
    <w:rsid w:val="00546555"/>
    <w:rsid w:val="00557323"/>
    <w:rsid w:val="00557E2C"/>
    <w:rsid w:val="005626A1"/>
    <w:rsid w:val="00565BF0"/>
    <w:rsid w:val="0057023C"/>
    <w:rsid w:val="005726A2"/>
    <w:rsid w:val="005749B1"/>
    <w:rsid w:val="00585616"/>
    <w:rsid w:val="005864BF"/>
    <w:rsid w:val="005914CC"/>
    <w:rsid w:val="005933AE"/>
    <w:rsid w:val="00596B4A"/>
    <w:rsid w:val="00597A7F"/>
    <w:rsid w:val="005A1F35"/>
    <w:rsid w:val="005A79E2"/>
    <w:rsid w:val="005C07B0"/>
    <w:rsid w:val="005D0BBF"/>
    <w:rsid w:val="005D2E5D"/>
    <w:rsid w:val="005E073D"/>
    <w:rsid w:val="005E3569"/>
    <w:rsid w:val="005E4A8A"/>
    <w:rsid w:val="005E4EE4"/>
    <w:rsid w:val="005F4A06"/>
    <w:rsid w:val="006046B1"/>
    <w:rsid w:val="006157BB"/>
    <w:rsid w:val="006208B0"/>
    <w:rsid w:val="00620EF7"/>
    <w:rsid w:val="00621704"/>
    <w:rsid w:val="006248CB"/>
    <w:rsid w:val="00630EB5"/>
    <w:rsid w:val="0063471E"/>
    <w:rsid w:val="0063793F"/>
    <w:rsid w:val="00647F54"/>
    <w:rsid w:val="00650F54"/>
    <w:rsid w:val="00651A66"/>
    <w:rsid w:val="0066126D"/>
    <w:rsid w:val="00672ADC"/>
    <w:rsid w:val="00675A95"/>
    <w:rsid w:val="00676EC4"/>
    <w:rsid w:val="00682FB5"/>
    <w:rsid w:val="0069089F"/>
    <w:rsid w:val="006950C7"/>
    <w:rsid w:val="006B45B2"/>
    <w:rsid w:val="006B5A03"/>
    <w:rsid w:val="006B5DC1"/>
    <w:rsid w:val="006C1911"/>
    <w:rsid w:val="006C59AB"/>
    <w:rsid w:val="006D10AE"/>
    <w:rsid w:val="006D4281"/>
    <w:rsid w:val="006E69F4"/>
    <w:rsid w:val="006F1504"/>
    <w:rsid w:val="006F1A32"/>
    <w:rsid w:val="006F29FC"/>
    <w:rsid w:val="006F692C"/>
    <w:rsid w:val="00713AA7"/>
    <w:rsid w:val="00715A13"/>
    <w:rsid w:val="0071724E"/>
    <w:rsid w:val="0073572E"/>
    <w:rsid w:val="00746888"/>
    <w:rsid w:val="00747D50"/>
    <w:rsid w:val="007563E0"/>
    <w:rsid w:val="007637BE"/>
    <w:rsid w:val="00765BA5"/>
    <w:rsid w:val="00770878"/>
    <w:rsid w:val="00775120"/>
    <w:rsid w:val="007751B4"/>
    <w:rsid w:val="007777A9"/>
    <w:rsid w:val="00780BA6"/>
    <w:rsid w:val="007A7DE9"/>
    <w:rsid w:val="007B1E8E"/>
    <w:rsid w:val="007B4264"/>
    <w:rsid w:val="007B7200"/>
    <w:rsid w:val="007B7A1E"/>
    <w:rsid w:val="007D06F3"/>
    <w:rsid w:val="007D2BD0"/>
    <w:rsid w:val="007D3EE1"/>
    <w:rsid w:val="007D6106"/>
    <w:rsid w:val="007E3F9F"/>
    <w:rsid w:val="007E611F"/>
    <w:rsid w:val="007F7D7B"/>
    <w:rsid w:val="00801AC2"/>
    <w:rsid w:val="008110DA"/>
    <w:rsid w:val="0081726A"/>
    <w:rsid w:val="00820AC0"/>
    <w:rsid w:val="00831399"/>
    <w:rsid w:val="00836192"/>
    <w:rsid w:val="00836CE5"/>
    <w:rsid w:val="008455E3"/>
    <w:rsid w:val="0086262C"/>
    <w:rsid w:val="00871DE3"/>
    <w:rsid w:val="00885095"/>
    <w:rsid w:val="008912D9"/>
    <w:rsid w:val="008A30AE"/>
    <w:rsid w:val="008B0751"/>
    <w:rsid w:val="008B0944"/>
    <w:rsid w:val="008B0ADF"/>
    <w:rsid w:val="008B5B2C"/>
    <w:rsid w:val="008C4879"/>
    <w:rsid w:val="008D065B"/>
    <w:rsid w:val="008D43FC"/>
    <w:rsid w:val="00901698"/>
    <w:rsid w:val="00907391"/>
    <w:rsid w:val="009109FC"/>
    <w:rsid w:val="00917F65"/>
    <w:rsid w:val="00920B51"/>
    <w:rsid w:val="009219A8"/>
    <w:rsid w:val="009220A2"/>
    <w:rsid w:val="00924DE1"/>
    <w:rsid w:val="00926AED"/>
    <w:rsid w:val="009303E9"/>
    <w:rsid w:val="00932E46"/>
    <w:rsid w:val="0093476C"/>
    <w:rsid w:val="00940F71"/>
    <w:rsid w:val="00942E82"/>
    <w:rsid w:val="009447E4"/>
    <w:rsid w:val="009473E5"/>
    <w:rsid w:val="00954786"/>
    <w:rsid w:val="0095634C"/>
    <w:rsid w:val="00966AD4"/>
    <w:rsid w:val="00971DE8"/>
    <w:rsid w:val="00984FE7"/>
    <w:rsid w:val="00985BD9"/>
    <w:rsid w:val="00987E45"/>
    <w:rsid w:val="009914FC"/>
    <w:rsid w:val="0099171E"/>
    <w:rsid w:val="0099190D"/>
    <w:rsid w:val="00993A49"/>
    <w:rsid w:val="009A026A"/>
    <w:rsid w:val="009A6A7F"/>
    <w:rsid w:val="009D0B60"/>
    <w:rsid w:val="009D0EAF"/>
    <w:rsid w:val="009E36CA"/>
    <w:rsid w:val="009E7D9C"/>
    <w:rsid w:val="009F3053"/>
    <w:rsid w:val="00A017A3"/>
    <w:rsid w:val="00A047C2"/>
    <w:rsid w:val="00A10051"/>
    <w:rsid w:val="00A12F9C"/>
    <w:rsid w:val="00A159B9"/>
    <w:rsid w:val="00A264D5"/>
    <w:rsid w:val="00A317C4"/>
    <w:rsid w:val="00A6038A"/>
    <w:rsid w:val="00A6169C"/>
    <w:rsid w:val="00A61B02"/>
    <w:rsid w:val="00A63A85"/>
    <w:rsid w:val="00A651DE"/>
    <w:rsid w:val="00A828B7"/>
    <w:rsid w:val="00A84C18"/>
    <w:rsid w:val="00A85342"/>
    <w:rsid w:val="00A8545A"/>
    <w:rsid w:val="00A8670F"/>
    <w:rsid w:val="00A9311D"/>
    <w:rsid w:val="00AA6887"/>
    <w:rsid w:val="00AB0CC4"/>
    <w:rsid w:val="00AB1859"/>
    <w:rsid w:val="00AB1DB6"/>
    <w:rsid w:val="00AD79BE"/>
    <w:rsid w:val="00AE38E0"/>
    <w:rsid w:val="00AE4DEB"/>
    <w:rsid w:val="00AE5D0C"/>
    <w:rsid w:val="00AE6491"/>
    <w:rsid w:val="00AF1BE3"/>
    <w:rsid w:val="00AF331C"/>
    <w:rsid w:val="00AF6779"/>
    <w:rsid w:val="00B00F8E"/>
    <w:rsid w:val="00B03886"/>
    <w:rsid w:val="00B133DD"/>
    <w:rsid w:val="00B16987"/>
    <w:rsid w:val="00B204C6"/>
    <w:rsid w:val="00B312A0"/>
    <w:rsid w:val="00B3415C"/>
    <w:rsid w:val="00B350F7"/>
    <w:rsid w:val="00B43DA9"/>
    <w:rsid w:val="00B5029F"/>
    <w:rsid w:val="00B507C6"/>
    <w:rsid w:val="00B51BBC"/>
    <w:rsid w:val="00B60565"/>
    <w:rsid w:val="00B61001"/>
    <w:rsid w:val="00B62828"/>
    <w:rsid w:val="00B633C1"/>
    <w:rsid w:val="00B6391B"/>
    <w:rsid w:val="00B64B2F"/>
    <w:rsid w:val="00B725E2"/>
    <w:rsid w:val="00B867F6"/>
    <w:rsid w:val="00B86CB4"/>
    <w:rsid w:val="00BB3D12"/>
    <w:rsid w:val="00BB6DA1"/>
    <w:rsid w:val="00BC1956"/>
    <w:rsid w:val="00BC6566"/>
    <w:rsid w:val="00BD402D"/>
    <w:rsid w:val="00BD4AC9"/>
    <w:rsid w:val="00BE2A5E"/>
    <w:rsid w:val="00BE3FD4"/>
    <w:rsid w:val="00BE6B4C"/>
    <w:rsid w:val="00BF1A54"/>
    <w:rsid w:val="00BF2061"/>
    <w:rsid w:val="00BF2B49"/>
    <w:rsid w:val="00C108A7"/>
    <w:rsid w:val="00C220C8"/>
    <w:rsid w:val="00C31A94"/>
    <w:rsid w:val="00C43D9A"/>
    <w:rsid w:val="00C45523"/>
    <w:rsid w:val="00C54A2A"/>
    <w:rsid w:val="00C550BF"/>
    <w:rsid w:val="00C615FB"/>
    <w:rsid w:val="00C61EE1"/>
    <w:rsid w:val="00C63B22"/>
    <w:rsid w:val="00C74AED"/>
    <w:rsid w:val="00C808F2"/>
    <w:rsid w:val="00C80901"/>
    <w:rsid w:val="00C8221B"/>
    <w:rsid w:val="00CB7549"/>
    <w:rsid w:val="00CC409B"/>
    <w:rsid w:val="00CD4DB4"/>
    <w:rsid w:val="00CD7D3C"/>
    <w:rsid w:val="00CF2A60"/>
    <w:rsid w:val="00CF40DA"/>
    <w:rsid w:val="00CF4D2F"/>
    <w:rsid w:val="00CF6D4F"/>
    <w:rsid w:val="00D06AB1"/>
    <w:rsid w:val="00D251D1"/>
    <w:rsid w:val="00D33435"/>
    <w:rsid w:val="00D33CDC"/>
    <w:rsid w:val="00D369B2"/>
    <w:rsid w:val="00D37132"/>
    <w:rsid w:val="00D41CFA"/>
    <w:rsid w:val="00D42E58"/>
    <w:rsid w:val="00D454C3"/>
    <w:rsid w:val="00D4637F"/>
    <w:rsid w:val="00D477C2"/>
    <w:rsid w:val="00D550D6"/>
    <w:rsid w:val="00D5551D"/>
    <w:rsid w:val="00D618BD"/>
    <w:rsid w:val="00D772FA"/>
    <w:rsid w:val="00D8045B"/>
    <w:rsid w:val="00D835BF"/>
    <w:rsid w:val="00D86214"/>
    <w:rsid w:val="00D9643B"/>
    <w:rsid w:val="00DA15E4"/>
    <w:rsid w:val="00DB299F"/>
    <w:rsid w:val="00DB3B13"/>
    <w:rsid w:val="00DC23F9"/>
    <w:rsid w:val="00DD5B01"/>
    <w:rsid w:val="00DD6F15"/>
    <w:rsid w:val="00DE25AA"/>
    <w:rsid w:val="00DE4327"/>
    <w:rsid w:val="00DF3B6F"/>
    <w:rsid w:val="00DF4C52"/>
    <w:rsid w:val="00E03B6C"/>
    <w:rsid w:val="00E102F7"/>
    <w:rsid w:val="00E10784"/>
    <w:rsid w:val="00E12FF2"/>
    <w:rsid w:val="00E14286"/>
    <w:rsid w:val="00E34B51"/>
    <w:rsid w:val="00E40B0B"/>
    <w:rsid w:val="00E40D83"/>
    <w:rsid w:val="00E4176B"/>
    <w:rsid w:val="00E41C8C"/>
    <w:rsid w:val="00E438B3"/>
    <w:rsid w:val="00E4516B"/>
    <w:rsid w:val="00E55230"/>
    <w:rsid w:val="00E66FD9"/>
    <w:rsid w:val="00E749CF"/>
    <w:rsid w:val="00E82D16"/>
    <w:rsid w:val="00E837C8"/>
    <w:rsid w:val="00E87C5B"/>
    <w:rsid w:val="00EB70C4"/>
    <w:rsid w:val="00EE1986"/>
    <w:rsid w:val="00EE21F3"/>
    <w:rsid w:val="00EF4936"/>
    <w:rsid w:val="00EF4B54"/>
    <w:rsid w:val="00F01E88"/>
    <w:rsid w:val="00F03C15"/>
    <w:rsid w:val="00F17764"/>
    <w:rsid w:val="00F20A43"/>
    <w:rsid w:val="00F245A5"/>
    <w:rsid w:val="00F316A7"/>
    <w:rsid w:val="00F32120"/>
    <w:rsid w:val="00F50AD9"/>
    <w:rsid w:val="00F52199"/>
    <w:rsid w:val="00F55277"/>
    <w:rsid w:val="00F56BE6"/>
    <w:rsid w:val="00F57945"/>
    <w:rsid w:val="00F642A7"/>
    <w:rsid w:val="00F67994"/>
    <w:rsid w:val="00F70958"/>
    <w:rsid w:val="00F83F45"/>
    <w:rsid w:val="00F8437C"/>
    <w:rsid w:val="00F846C1"/>
    <w:rsid w:val="00F86B39"/>
    <w:rsid w:val="00F93428"/>
    <w:rsid w:val="00F95318"/>
    <w:rsid w:val="00FA2832"/>
    <w:rsid w:val="00FA367F"/>
    <w:rsid w:val="00FB29B2"/>
    <w:rsid w:val="00FB4630"/>
    <w:rsid w:val="00FC1774"/>
    <w:rsid w:val="00FC2A43"/>
    <w:rsid w:val="00FD1C19"/>
    <w:rsid w:val="00FD238F"/>
    <w:rsid w:val="00FD2411"/>
    <w:rsid w:val="00FD3144"/>
    <w:rsid w:val="00FD6DF3"/>
    <w:rsid w:val="00FE0DFB"/>
    <w:rsid w:val="00FE15D5"/>
    <w:rsid w:val="00FE4004"/>
    <w:rsid w:val="00FE7D5E"/>
    <w:rsid w:val="0961FB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BB918"/>
  <w15:docId w15:val="{3D6DC9C6-D9D3-4432-9793-91F954001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E3F9F"/>
    <w:pPr>
      <w:spacing w:after="0" w:line="240" w:lineRule="auto"/>
    </w:pPr>
    <w:rPr>
      <w:rFonts w:ascii="Times New Roman" w:hAnsi="Times New Roman" w:eastAsia="Times New Roman" w:cs="Times New Roman"/>
      <w:sz w:val="20"/>
      <w:szCs w:val="20"/>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Hipervnculo">
    <w:name w:val="Hyperlink"/>
    <w:aliases w:val="Hipervínculo1,Hipervínculo11,Hipervínculo12,Hipervínculo13,Hipervínculo14,Hipervínculo15"/>
    <w:basedOn w:val="Fuentedeprrafopredeter"/>
    <w:uiPriority w:val="99"/>
    <w:unhideWhenUsed/>
    <w:qFormat/>
    <w:rsid w:val="00836192"/>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836192"/>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6192"/>
    <w:pPr>
      <w:ind w:left="720"/>
      <w:contextualSpacing/>
    </w:pPr>
    <w:rPr>
      <w:rFonts w:ascii="Century Gothic" w:hAnsi="Century Gothic"/>
      <w:sz w:val="22"/>
      <w:szCs w:val="24"/>
    </w:rPr>
  </w:style>
  <w:style w:type="table" w:styleId="Tablaconcuadrcula">
    <w:name w:val="Table Grid"/>
    <w:basedOn w:val="Tablanormal"/>
    <w:uiPriority w:val="39"/>
    <w:rsid w:val="0083619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
    <w:name w:val="header"/>
    <w:basedOn w:val="Normal"/>
    <w:link w:val="EncabezadoCar"/>
    <w:uiPriority w:val="99"/>
    <w:unhideWhenUsed/>
    <w:rsid w:val="00836192"/>
    <w:pPr>
      <w:tabs>
        <w:tab w:val="center" w:pos="4419"/>
        <w:tab w:val="right" w:pos="8838"/>
      </w:tabs>
    </w:pPr>
  </w:style>
  <w:style w:type="character" w:styleId="EncabezadoCar" w:customStyle="1">
    <w:name w:val="Encabezado Car"/>
    <w:basedOn w:val="Fuentedeprrafopredeter"/>
    <w:link w:val="Encabezado"/>
    <w:uiPriority w:val="99"/>
    <w:rsid w:val="00836192"/>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836192"/>
    <w:pPr>
      <w:tabs>
        <w:tab w:val="center" w:pos="4419"/>
        <w:tab w:val="right" w:pos="8838"/>
      </w:tabs>
    </w:pPr>
  </w:style>
  <w:style w:type="character" w:styleId="PiedepginaCar" w:customStyle="1">
    <w:name w:val="Pie de página Car"/>
    <w:basedOn w:val="Fuentedeprrafopredeter"/>
    <w:link w:val="Piedepgina"/>
    <w:uiPriority w:val="99"/>
    <w:rsid w:val="00836192"/>
    <w:rPr>
      <w:rFonts w:ascii="Times New Roman" w:hAnsi="Times New Roman" w:eastAsia="Times New Roman" w:cs="Times New Roman"/>
      <w:sz w:val="20"/>
      <w:szCs w:val="20"/>
      <w:lang w:eastAsia="es-ES"/>
    </w:rPr>
  </w:style>
  <w:style w:type="paragraph" w:styleId="NormalWeb">
    <w:name w:val="Normal (Web)"/>
    <w:basedOn w:val="Normal"/>
    <w:uiPriority w:val="99"/>
    <w:unhideWhenUsed/>
    <w:rsid w:val="00836192"/>
    <w:pPr>
      <w:spacing w:after="160" w:line="259" w:lineRule="auto"/>
      <w:jc w:val="both"/>
    </w:pPr>
    <w:rPr>
      <w:rFonts w:eastAsiaTheme="minorHAnsi"/>
      <w:color w:val="000000" w:themeColor="text1"/>
      <w:sz w:val="24"/>
      <w:szCs w:val="24"/>
      <w:lang w:eastAsia="en-US"/>
    </w:rPr>
  </w:style>
  <w:style w:type="character" w:styleId="Hipervnculovisitado">
    <w:name w:val="FollowedHyperlink"/>
    <w:basedOn w:val="Fuentedeprrafopredeter"/>
    <w:uiPriority w:val="99"/>
    <w:semiHidden/>
    <w:unhideWhenUsed/>
    <w:rsid w:val="00504814"/>
    <w:rPr>
      <w:color w:val="954F72" w:themeColor="followedHyperlink"/>
      <w:u w:val="single"/>
    </w:rPr>
  </w:style>
  <w:style w:type="character" w:styleId="Mencinsinresolver1" w:customStyle="1">
    <w:name w:val="Mención sin resolver1"/>
    <w:basedOn w:val="Fuentedeprrafopredeter"/>
    <w:uiPriority w:val="99"/>
    <w:semiHidden/>
    <w:unhideWhenUsed/>
    <w:rsid w:val="00410D13"/>
    <w:rPr>
      <w:color w:val="605E5C"/>
      <w:shd w:val="clear" w:color="auto" w:fill="E1DFDD"/>
    </w:rPr>
  </w:style>
  <w:style w:type="character" w:styleId="Mencinsinresolver2" w:customStyle="1">
    <w:name w:val="Mención sin resolver2"/>
    <w:basedOn w:val="Fuentedeprrafopredeter"/>
    <w:uiPriority w:val="99"/>
    <w:semiHidden/>
    <w:unhideWhenUsed/>
    <w:rsid w:val="00A63A85"/>
    <w:rPr>
      <w:color w:val="605E5C"/>
      <w:shd w:val="clear" w:color="auto" w:fill="E1DFDD"/>
    </w:rPr>
  </w:style>
  <w:style w:type="character" w:styleId="Mencinsinresolver3" w:customStyle="1">
    <w:name w:val="Mención sin resolver3"/>
    <w:basedOn w:val="Fuentedeprrafopredeter"/>
    <w:uiPriority w:val="99"/>
    <w:semiHidden/>
    <w:unhideWhenUsed/>
    <w:rsid w:val="00315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3145">
      <w:bodyDiv w:val="1"/>
      <w:marLeft w:val="0"/>
      <w:marRight w:val="0"/>
      <w:marTop w:val="0"/>
      <w:marBottom w:val="0"/>
      <w:divBdr>
        <w:top w:val="none" w:sz="0" w:space="0" w:color="auto"/>
        <w:left w:val="none" w:sz="0" w:space="0" w:color="auto"/>
        <w:bottom w:val="none" w:sz="0" w:space="0" w:color="auto"/>
        <w:right w:val="none" w:sz="0" w:space="0" w:color="auto"/>
      </w:divBdr>
    </w:div>
    <w:div w:id="136841091">
      <w:bodyDiv w:val="1"/>
      <w:marLeft w:val="0"/>
      <w:marRight w:val="0"/>
      <w:marTop w:val="0"/>
      <w:marBottom w:val="0"/>
      <w:divBdr>
        <w:top w:val="none" w:sz="0" w:space="0" w:color="auto"/>
        <w:left w:val="none" w:sz="0" w:space="0" w:color="auto"/>
        <w:bottom w:val="none" w:sz="0" w:space="0" w:color="auto"/>
        <w:right w:val="none" w:sz="0" w:space="0" w:color="auto"/>
      </w:divBdr>
    </w:div>
    <w:div w:id="438645319">
      <w:bodyDiv w:val="1"/>
      <w:marLeft w:val="0"/>
      <w:marRight w:val="0"/>
      <w:marTop w:val="0"/>
      <w:marBottom w:val="0"/>
      <w:divBdr>
        <w:top w:val="none" w:sz="0" w:space="0" w:color="auto"/>
        <w:left w:val="none" w:sz="0" w:space="0" w:color="auto"/>
        <w:bottom w:val="none" w:sz="0" w:space="0" w:color="auto"/>
        <w:right w:val="none" w:sz="0" w:space="0" w:color="auto"/>
      </w:divBdr>
    </w:div>
    <w:div w:id="459805247">
      <w:bodyDiv w:val="1"/>
      <w:marLeft w:val="0"/>
      <w:marRight w:val="0"/>
      <w:marTop w:val="0"/>
      <w:marBottom w:val="0"/>
      <w:divBdr>
        <w:top w:val="none" w:sz="0" w:space="0" w:color="auto"/>
        <w:left w:val="none" w:sz="0" w:space="0" w:color="auto"/>
        <w:bottom w:val="none" w:sz="0" w:space="0" w:color="auto"/>
        <w:right w:val="none" w:sz="0" w:space="0" w:color="auto"/>
      </w:divBdr>
    </w:div>
    <w:div w:id="937179938">
      <w:bodyDiv w:val="1"/>
      <w:marLeft w:val="0"/>
      <w:marRight w:val="0"/>
      <w:marTop w:val="0"/>
      <w:marBottom w:val="0"/>
      <w:divBdr>
        <w:top w:val="none" w:sz="0" w:space="0" w:color="auto"/>
        <w:left w:val="none" w:sz="0" w:space="0" w:color="auto"/>
        <w:bottom w:val="none" w:sz="0" w:space="0" w:color="auto"/>
        <w:right w:val="none" w:sz="0" w:space="0" w:color="auto"/>
      </w:divBdr>
    </w:div>
    <w:div w:id="960183657">
      <w:bodyDiv w:val="1"/>
      <w:marLeft w:val="0"/>
      <w:marRight w:val="0"/>
      <w:marTop w:val="0"/>
      <w:marBottom w:val="0"/>
      <w:divBdr>
        <w:top w:val="none" w:sz="0" w:space="0" w:color="auto"/>
        <w:left w:val="none" w:sz="0" w:space="0" w:color="auto"/>
        <w:bottom w:val="none" w:sz="0" w:space="0" w:color="auto"/>
        <w:right w:val="none" w:sz="0" w:space="0" w:color="auto"/>
      </w:divBdr>
    </w:div>
    <w:div w:id="968046747">
      <w:bodyDiv w:val="1"/>
      <w:marLeft w:val="0"/>
      <w:marRight w:val="0"/>
      <w:marTop w:val="0"/>
      <w:marBottom w:val="0"/>
      <w:divBdr>
        <w:top w:val="none" w:sz="0" w:space="0" w:color="auto"/>
        <w:left w:val="none" w:sz="0" w:space="0" w:color="auto"/>
        <w:bottom w:val="none" w:sz="0" w:space="0" w:color="auto"/>
        <w:right w:val="none" w:sz="0" w:space="0" w:color="auto"/>
      </w:divBdr>
    </w:div>
    <w:div w:id="1024332659">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373262029">
      <w:bodyDiv w:val="1"/>
      <w:marLeft w:val="0"/>
      <w:marRight w:val="0"/>
      <w:marTop w:val="0"/>
      <w:marBottom w:val="0"/>
      <w:divBdr>
        <w:top w:val="none" w:sz="0" w:space="0" w:color="auto"/>
        <w:left w:val="none" w:sz="0" w:space="0" w:color="auto"/>
        <w:bottom w:val="none" w:sz="0" w:space="0" w:color="auto"/>
        <w:right w:val="none" w:sz="0" w:space="0" w:color="auto"/>
      </w:divBdr>
    </w:div>
    <w:div w:id="1507597338">
      <w:bodyDiv w:val="1"/>
      <w:marLeft w:val="0"/>
      <w:marRight w:val="0"/>
      <w:marTop w:val="0"/>
      <w:marBottom w:val="0"/>
      <w:divBdr>
        <w:top w:val="none" w:sz="0" w:space="0" w:color="auto"/>
        <w:left w:val="none" w:sz="0" w:space="0" w:color="auto"/>
        <w:bottom w:val="none" w:sz="0" w:space="0" w:color="auto"/>
        <w:right w:val="none" w:sz="0" w:space="0" w:color="auto"/>
      </w:divBdr>
    </w:div>
    <w:div w:id="1674913033">
      <w:bodyDiv w:val="1"/>
      <w:marLeft w:val="0"/>
      <w:marRight w:val="0"/>
      <w:marTop w:val="0"/>
      <w:marBottom w:val="0"/>
      <w:divBdr>
        <w:top w:val="none" w:sz="0" w:space="0" w:color="auto"/>
        <w:left w:val="none" w:sz="0" w:space="0" w:color="auto"/>
        <w:bottom w:val="none" w:sz="0" w:space="0" w:color="auto"/>
        <w:right w:val="none" w:sz="0" w:space="0" w:color="auto"/>
      </w:divBdr>
    </w:div>
    <w:div w:id="1682782398">
      <w:bodyDiv w:val="1"/>
      <w:marLeft w:val="0"/>
      <w:marRight w:val="0"/>
      <w:marTop w:val="0"/>
      <w:marBottom w:val="0"/>
      <w:divBdr>
        <w:top w:val="none" w:sz="0" w:space="0" w:color="auto"/>
        <w:left w:val="none" w:sz="0" w:space="0" w:color="auto"/>
        <w:bottom w:val="none" w:sz="0" w:space="0" w:color="auto"/>
        <w:right w:val="none" w:sz="0" w:space="0" w:color="auto"/>
      </w:divBdr>
    </w:div>
    <w:div w:id="1797484080">
      <w:bodyDiv w:val="1"/>
      <w:marLeft w:val="0"/>
      <w:marRight w:val="0"/>
      <w:marTop w:val="0"/>
      <w:marBottom w:val="0"/>
      <w:divBdr>
        <w:top w:val="none" w:sz="0" w:space="0" w:color="auto"/>
        <w:left w:val="none" w:sz="0" w:space="0" w:color="auto"/>
        <w:bottom w:val="none" w:sz="0" w:space="0" w:color="auto"/>
        <w:right w:val="none" w:sz="0" w:space="0" w:color="auto"/>
      </w:divBdr>
    </w:div>
    <w:div w:id="1851484890">
      <w:bodyDiv w:val="1"/>
      <w:marLeft w:val="0"/>
      <w:marRight w:val="0"/>
      <w:marTop w:val="0"/>
      <w:marBottom w:val="0"/>
      <w:divBdr>
        <w:top w:val="none" w:sz="0" w:space="0" w:color="auto"/>
        <w:left w:val="none" w:sz="0" w:space="0" w:color="auto"/>
        <w:bottom w:val="none" w:sz="0" w:space="0" w:color="auto"/>
        <w:right w:val="none" w:sz="0" w:space="0" w:color="auto"/>
      </w:divBdr>
    </w:div>
    <w:div w:id="1913391181">
      <w:bodyDiv w:val="1"/>
      <w:marLeft w:val="0"/>
      <w:marRight w:val="0"/>
      <w:marTop w:val="0"/>
      <w:marBottom w:val="0"/>
      <w:divBdr>
        <w:top w:val="none" w:sz="0" w:space="0" w:color="auto"/>
        <w:left w:val="none" w:sz="0" w:space="0" w:color="auto"/>
        <w:bottom w:val="none" w:sz="0" w:space="0" w:color="auto"/>
        <w:right w:val="none" w:sz="0" w:space="0" w:color="auto"/>
      </w:divBdr>
    </w:div>
    <w:div w:id="1984313276">
      <w:bodyDiv w:val="1"/>
      <w:marLeft w:val="0"/>
      <w:marRight w:val="0"/>
      <w:marTop w:val="0"/>
      <w:marBottom w:val="0"/>
      <w:divBdr>
        <w:top w:val="none" w:sz="0" w:space="0" w:color="auto"/>
        <w:left w:val="none" w:sz="0" w:space="0" w:color="auto"/>
        <w:bottom w:val="none" w:sz="0" w:space="0" w:color="auto"/>
        <w:right w:val="none" w:sz="0" w:space="0" w:color="auto"/>
      </w:divBdr>
    </w:div>
    <w:div w:id="2113353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www.gob.mx/segob/renapo/acciones-y-programas/clave-unica-de-registro-de-poblacion-curp-142226" TargetMode="External" Id="rId13" /><Relationship Type="http://schemas.openxmlformats.org/officeDocument/2006/relationships/footer" Target="footer1.xml" Id="rId18" /><Relationship Type="http://schemas.openxmlformats.org/officeDocument/2006/relationships/styles" Target="styles.xml" Id="rId3" /><Relationship Type="http://schemas.openxmlformats.org/officeDocument/2006/relationships/footer" Target="footer3.xml" Id="rId21" /><Relationship Type="http://schemas.openxmlformats.org/officeDocument/2006/relationships/endnotes" Target="endnotes.xml" Id="rId7" /><Relationship Type="http://schemas.openxmlformats.org/officeDocument/2006/relationships/hyperlink" Target="https://consultas.curp.gob.mx/CurpSP/html/informacionecurpPS.html" TargetMode="External" Id="rId12" /><Relationship Type="http://schemas.openxmlformats.org/officeDocument/2006/relationships/header" Target="header2.xml" Id="rId17" /><Relationship Type="http://schemas.openxmlformats.org/officeDocument/2006/relationships/numbering" Target="numbering.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webSettings" Target="webSettings.xml" Id="rId5" /><Relationship Type="http://schemas.openxmlformats.org/officeDocument/2006/relationships/image" Target="media/image5.png" Id="rId15" /><Relationship Type="http://schemas.openxmlformats.org/officeDocument/2006/relationships/theme" Target="theme/theme1.xml" Id="rId23" /><Relationship Type="http://schemas.openxmlformats.org/officeDocument/2006/relationships/hyperlink" Target="http://ihaem.edomex.gob.mx/certificacion_cocertem" TargetMode="External" Id="rId10" /><Relationship Type="http://schemas.openxmlformats.org/officeDocument/2006/relationships/footer" Target="footer2.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image" Target="media/image4.png" Id="rId14" /><Relationship Type="http://schemas.openxmlformats.org/officeDocument/2006/relationships/fontTable" Target="fontTable.xml" Id="rId22" /><Relationship Type="http://schemas.openxmlformats.org/officeDocument/2006/relationships/glossaryDocument" Target="glossary/document.xml" Id="R4a6f9df21456430a" /></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91e2495-b86d-45f4-b999-f2ffbc64df75}"/>
      </w:docPartPr>
      <w:docPartBody>
        <w:p w14:paraId="5B74A8FC">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123A5-DA8C-42E8-A909-85AD6602076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5</revision>
  <dcterms:created xsi:type="dcterms:W3CDTF">2022-05-12T17:59:00.0000000Z</dcterms:created>
  <dcterms:modified xsi:type="dcterms:W3CDTF">2022-05-26T22:21:56.2951849Z</dcterms:modified>
</coreProperties>
</file>