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42953" w:rsidP="00742953" w:rsidRDefault="00742953" w14:paraId="1B5A403C" w14:textId="77777777">
      <w:pPr>
        <w:spacing w:line="360" w:lineRule="auto"/>
        <w:ind w:right="-28"/>
        <w:jc w:val="both"/>
        <w:rPr>
          <w:rFonts w:ascii="Palatino Linotype" w:hAnsi="Palatino Linotype" w:cs="Tahoma"/>
          <w:bCs/>
          <w:sz w:val="22"/>
          <w:szCs w:val="22"/>
        </w:rPr>
      </w:pPr>
    </w:p>
    <w:p w:rsidRPr="0054626B" w:rsidR="00742953" w:rsidP="00742953" w:rsidRDefault="00742953" w14:paraId="705EF76A" w14:textId="6AD64268">
      <w:pPr>
        <w:spacing w:line="360" w:lineRule="auto"/>
        <w:ind w:right="-28"/>
        <w:jc w:val="both"/>
        <w:rPr>
          <w:rFonts w:ascii="Palatino Linotype" w:hAnsi="Palatino Linotype"/>
          <w:noProof/>
          <w:sz w:val="22"/>
          <w:szCs w:val="22"/>
          <w:lang w:val="es-ES"/>
        </w:rPr>
      </w:pPr>
      <w:r w:rsidRPr="0054626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54626B" w:rsidR="0029613A">
        <w:rPr>
          <w:rFonts w:ascii="Palatino Linotype" w:hAnsi="Palatino Linotype" w:cs="Tahoma"/>
          <w:bCs/>
          <w:sz w:val="22"/>
          <w:szCs w:val="22"/>
        </w:rPr>
        <w:t>cuatro de mayo</w:t>
      </w:r>
      <w:r w:rsidRPr="0054626B">
        <w:rPr>
          <w:rFonts w:ascii="Palatino Linotype" w:hAnsi="Palatino Linotype" w:cs="Tahoma"/>
          <w:bCs/>
          <w:sz w:val="22"/>
          <w:szCs w:val="22"/>
        </w:rPr>
        <w:t xml:space="preserve"> de dos mil veintidós.</w:t>
      </w:r>
    </w:p>
    <w:p w:rsidRPr="0054626B" w:rsidR="00742953" w:rsidP="00742953" w:rsidRDefault="00742953" w14:paraId="06469180" w14:textId="77777777">
      <w:pPr>
        <w:spacing w:line="360" w:lineRule="auto"/>
        <w:ind w:right="-28"/>
        <w:jc w:val="both"/>
        <w:rPr>
          <w:rFonts w:ascii="Palatino Linotype" w:hAnsi="Palatino Linotype"/>
          <w:noProof/>
          <w:sz w:val="22"/>
          <w:szCs w:val="22"/>
          <w:lang w:val="es-ES"/>
        </w:rPr>
      </w:pPr>
    </w:p>
    <w:p w:rsidRPr="0054626B" w:rsidR="00742953" w:rsidP="5419E25F" w:rsidRDefault="00742953" w14:paraId="5C4895DE" w14:textId="60BC6B44">
      <w:pPr>
        <w:spacing w:line="360" w:lineRule="auto"/>
        <w:ind w:right="-28"/>
        <w:jc w:val="both"/>
        <w:rPr>
          <w:rFonts w:ascii="Palatino Linotype" w:hAnsi="Palatino Linotype" w:cs="Tahoma"/>
          <w:sz w:val="22"/>
          <w:szCs w:val="22"/>
        </w:rPr>
      </w:pPr>
      <w:r w:rsidRPr="5419E25F" w:rsidR="5419E25F">
        <w:rPr>
          <w:rFonts w:ascii="Palatino Linotype" w:hAnsi="Palatino Linotype" w:cs="Tahoma"/>
          <w:sz w:val="22"/>
          <w:szCs w:val="22"/>
        </w:rPr>
        <w:t xml:space="preserve">VISTO el expediente conformado con motivo del Recurso de Revisión </w:t>
      </w:r>
      <w:r w:rsidRPr="5419E25F" w:rsidR="5419E25F">
        <w:rPr>
          <w:rFonts w:ascii="Palatino Linotype" w:hAnsi="Palatino Linotype" w:cs="Tahoma"/>
          <w:color w:val="0D0D0D" w:themeColor="text1" w:themeTint="F2" w:themeShade="FF"/>
          <w:sz w:val="22"/>
          <w:szCs w:val="22"/>
        </w:rPr>
        <w:t>01946/INFOEM/IP/RR/2022</w:t>
      </w:r>
      <w:r w:rsidRPr="5419E25F" w:rsidR="5419E25F">
        <w:rPr>
          <w:rFonts w:ascii="Palatino Linotype" w:hAnsi="Palatino Linotype" w:cs="Tahoma"/>
          <w:sz w:val="22"/>
          <w:szCs w:val="22"/>
        </w:rPr>
        <w:t xml:space="preserve">, interpuesto por </w:t>
      </w:r>
      <w:r w:rsidRPr="5419E25F" w:rsidR="5419E25F">
        <w:rPr>
          <w:rFonts w:ascii="Palatino Linotype" w:hAnsi="Palatino Linotype" w:cs="Tahoma"/>
          <w:sz w:val="22"/>
          <w:szCs w:val="22"/>
          <w:highlight w:val="black"/>
        </w:rPr>
        <w:t>XXXXXXXXXXXXXXXXXXX</w:t>
      </w:r>
      <w:r w:rsidRPr="5419E25F" w:rsidR="5419E25F">
        <w:rPr>
          <w:rFonts w:ascii="Palatino Linotype" w:hAnsi="Palatino Linotype" w:cs="Tahoma"/>
          <w:sz w:val="22"/>
          <w:szCs w:val="22"/>
        </w:rPr>
        <w:t xml:space="preserve">, en lo sucesivo Recurrente o Particular, en contra de la respuesta del Sujeto Obligado, </w:t>
      </w:r>
      <w:bookmarkStart w:name="_Hlk97027252" w:id="0"/>
      <w:r w:rsidRPr="5419E25F" w:rsidR="5419E25F">
        <w:rPr>
          <w:rFonts w:ascii="Palatino Linotype" w:hAnsi="Palatino Linotype" w:cs="Tahoma"/>
          <w:sz w:val="22"/>
          <w:szCs w:val="22"/>
        </w:rPr>
        <w:t xml:space="preserve">Ayuntamiento de </w:t>
      </w:r>
      <w:bookmarkEnd w:id="0"/>
      <w:r w:rsidRPr="5419E25F" w:rsidR="5419E25F">
        <w:rPr>
          <w:rFonts w:ascii="Palatino Linotype" w:hAnsi="Palatino Linotype" w:cs="Tahoma"/>
          <w:sz w:val="22"/>
          <w:szCs w:val="22"/>
        </w:rPr>
        <w:t>Tepetlixpa, a la solicitud de acceso a la información pública con número de folio 00019/TEPETLIX/IP/2022, se emite la presente Resolución, con base en los Antecedentes y Considerandos que se exponen a continuación:</w:t>
      </w:r>
    </w:p>
    <w:p w:rsidRPr="0054626B" w:rsidR="00742953" w:rsidP="00742953" w:rsidRDefault="00742953" w14:paraId="67AA5298" w14:textId="77777777">
      <w:pPr>
        <w:spacing w:line="360" w:lineRule="auto"/>
        <w:ind w:right="-28"/>
        <w:jc w:val="both"/>
        <w:rPr>
          <w:rFonts w:ascii="Palatino Linotype" w:hAnsi="Palatino Linotype" w:cs="Tahoma"/>
          <w:b/>
          <w:bCs/>
          <w:color w:val="0D0D0D" w:themeColor="text1" w:themeTint="F2"/>
          <w:sz w:val="22"/>
          <w:szCs w:val="22"/>
        </w:rPr>
      </w:pPr>
    </w:p>
    <w:p w:rsidRPr="0054626B" w:rsidR="00742953" w:rsidP="00742953" w:rsidRDefault="00742953" w14:paraId="0C2F6F1B"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54626B">
        <w:rPr>
          <w:rFonts w:ascii="Palatino Linotype" w:hAnsi="Palatino Linotype" w:cs="Tahoma"/>
          <w:b/>
          <w:sz w:val="22"/>
          <w:szCs w:val="22"/>
        </w:rPr>
        <w:t>A N T E C E D E N T E S</w:t>
      </w:r>
    </w:p>
    <w:p w:rsidRPr="0054626B" w:rsidR="00742953" w:rsidP="00742953" w:rsidRDefault="00742953" w14:paraId="12C62924" w14:textId="77777777">
      <w:pPr>
        <w:tabs>
          <w:tab w:val="center" w:pos="4522"/>
          <w:tab w:val="left" w:pos="7245"/>
          <w:tab w:val="right" w:pos="9044"/>
        </w:tabs>
        <w:spacing w:line="360" w:lineRule="auto"/>
        <w:ind w:right="-28"/>
        <w:rPr>
          <w:rFonts w:ascii="Palatino Linotype" w:hAnsi="Palatino Linotype" w:cs="Tahoma"/>
          <w:b/>
          <w:sz w:val="22"/>
          <w:szCs w:val="22"/>
        </w:rPr>
      </w:pPr>
    </w:p>
    <w:p w:rsidRPr="0054626B" w:rsidR="00742953" w:rsidP="00742953" w:rsidRDefault="00742953" w14:paraId="572504BF" w14:textId="77777777">
      <w:pPr>
        <w:spacing w:line="360" w:lineRule="auto"/>
        <w:contextualSpacing/>
        <w:jc w:val="both"/>
        <w:rPr>
          <w:rFonts w:ascii="Palatino Linotype" w:hAnsi="Palatino Linotype" w:eastAsia="Calibri" w:cs="Tahoma"/>
          <w:b/>
          <w:bCs/>
          <w:sz w:val="22"/>
          <w:szCs w:val="22"/>
          <w:lang w:eastAsia="en-US"/>
        </w:rPr>
      </w:pPr>
      <w:r w:rsidRPr="0054626B">
        <w:rPr>
          <w:rFonts w:ascii="Palatino Linotype" w:hAnsi="Palatino Linotype" w:eastAsia="Calibri" w:cs="Tahoma"/>
          <w:b/>
          <w:bCs/>
          <w:sz w:val="22"/>
          <w:szCs w:val="22"/>
          <w:lang w:eastAsia="en-US"/>
        </w:rPr>
        <w:t xml:space="preserve">I. Presentación de la solicitud de información. </w:t>
      </w:r>
    </w:p>
    <w:p w:rsidRPr="0054626B" w:rsidR="00742953" w:rsidP="00742953" w:rsidRDefault="00742953" w14:paraId="4233F5D8" w14:textId="77777777">
      <w:pPr>
        <w:autoSpaceDE w:val="0"/>
        <w:autoSpaceDN w:val="0"/>
        <w:adjustRightInd w:val="0"/>
        <w:spacing w:line="360" w:lineRule="auto"/>
        <w:jc w:val="both"/>
        <w:rPr>
          <w:rFonts w:ascii="Palatino Linotype" w:hAnsi="Palatino Linotype" w:cs="Tahoma"/>
          <w:sz w:val="22"/>
          <w:szCs w:val="22"/>
        </w:rPr>
      </w:pPr>
    </w:p>
    <w:p w:rsidRPr="0054626B" w:rsidR="00742953" w:rsidP="00742953" w:rsidRDefault="00742953" w14:paraId="5E6B2CDE" w14:textId="641727CC">
      <w:pPr>
        <w:autoSpaceDE w:val="0"/>
        <w:autoSpaceDN w:val="0"/>
        <w:adjustRightInd w:val="0"/>
        <w:spacing w:line="360" w:lineRule="auto"/>
        <w:jc w:val="both"/>
        <w:rPr>
          <w:rFonts w:ascii="Palatino Linotype" w:hAnsi="Palatino Linotype" w:eastAsia="Calibri" w:cs="Tahoma"/>
          <w:bCs/>
          <w:sz w:val="22"/>
          <w:szCs w:val="22"/>
          <w:lang w:eastAsia="en-US"/>
        </w:rPr>
      </w:pPr>
      <w:r w:rsidRPr="0054626B">
        <w:rPr>
          <w:rFonts w:ascii="Palatino Linotype" w:hAnsi="Palatino Linotype" w:cs="Tahoma"/>
          <w:sz w:val="22"/>
          <w:szCs w:val="22"/>
        </w:rPr>
        <w:t xml:space="preserve">Con fecha dos de febrero de dos mil veintidós, la Particular presentó una solicitud de acceso a la información pública, a través del Sistema de Acceso a la Información Mexiquense (SAIMEX), ante el </w:t>
      </w:r>
      <w:r w:rsidRPr="0054626B">
        <w:rPr>
          <w:rFonts w:ascii="Palatino Linotype" w:hAnsi="Palatino Linotype" w:cs="Tahoma"/>
          <w:bCs/>
          <w:sz w:val="22"/>
          <w:szCs w:val="22"/>
        </w:rPr>
        <w:t xml:space="preserve">Ayuntamiento de Tepetlixpa, </w:t>
      </w:r>
      <w:r w:rsidRPr="0054626B">
        <w:rPr>
          <w:rFonts w:ascii="Palatino Linotype" w:hAnsi="Palatino Linotype" w:eastAsia="Calibri" w:cs="Tahoma"/>
          <w:bCs/>
          <w:sz w:val="22"/>
          <w:szCs w:val="22"/>
          <w:lang w:eastAsia="en-US"/>
        </w:rPr>
        <w:t>en la cual requirió lo siguiente:</w:t>
      </w:r>
    </w:p>
    <w:p w:rsidRPr="0054626B" w:rsidR="00742953" w:rsidP="00742953" w:rsidRDefault="00742953" w14:paraId="50A532D7" w14:textId="77777777">
      <w:pPr>
        <w:spacing w:line="360" w:lineRule="auto"/>
        <w:ind w:left="567" w:right="567"/>
        <w:contextualSpacing/>
        <w:jc w:val="both"/>
        <w:rPr>
          <w:rFonts w:ascii="Palatino Linotype" w:hAnsi="Palatino Linotype" w:cs="Tahoma"/>
          <w:b/>
          <w:i/>
          <w:iCs/>
          <w:sz w:val="22"/>
          <w:szCs w:val="22"/>
        </w:rPr>
      </w:pPr>
    </w:p>
    <w:p w:rsidRPr="0054626B" w:rsidR="00742953" w:rsidP="00742953" w:rsidRDefault="00742953" w14:paraId="6C9C350C" w14:textId="77777777">
      <w:pPr>
        <w:spacing w:line="360" w:lineRule="auto"/>
        <w:ind w:left="567" w:right="567"/>
        <w:contextualSpacing/>
        <w:jc w:val="both"/>
        <w:rPr>
          <w:rFonts w:ascii="Palatino Linotype" w:hAnsi="Palatino Linotype" w:cs="Tahoma"/>
          <w:b/>
          <w:i/>
          <w:iCs/>
        </w:rPr>
      </w:pPr>
      <w:r w:rsidRPr="0054626B">
        <w:rPr>
          <w:rFonts w:ascii="Palatino Linotype" w:hAnsi="Palatino Linotype" w:cs="Tahoma"/>
          <w:b/>
          <w:i/>
          <w:iCs/>
        </w:rPr>
        <w:t xml:space="preserve"> “DESCRIPCIÓN CLARA Y PRECISA DE LA INFORMACIÓN SOLICITADA</w:t>
      </w:r>
    </w:p>
    <w:p w:rsidRPr="0054626B" w:rsidR="00EF7FD9" w:rsidP="00EF7FD9" w:rsidRDefault="00EF7FD9" w14:paraId="7294646E" w14:textId="6C6A4663">
      <w:pPr>
        <w:widowControl w:val="0"/>
        <w:spacing w:line="360" w:lineRule="auto"/>
        <w:ind w:left="567" w:right="567"/>
        <w:contextualSpacing/>
        <w:jc w:val="both"/>
        <w:rPr>
          <w:rFonts w:ascii="Palatino Linotype" w:hAnsi="Palatino Linotype"/>
          <w:bCs/>
          <w:i/>
          <w:iCs/>
          <w:color w:val="000000"/>
          <w:sz w:val="22"/>
          <w:szCs w:val="22"/>
        </w:rPr>
      </w:pPr>
      <w:r w:rsidRPr="0054626B">
        <w:rPr>
          <w:rFonts w:ascii="Palatino Linotype" w:hAnsi="Palatino Linotype"/>
          <w:i/>
          <w:iCs/>
          <w:color w:val="000000"/>
          <w:sz w:val="22"/>
          <w:szCs w:val="22"/>
        </w:rPr>
        <w:t>SOLICITO INFORMACIÓN ARCHIVISTICA MUNICIPAL, MISMA QUE SE DETALLA EN EL ARCHIVO ADJUNTO, CON RESPUESTA EN MI CORREO ELECTRÓNICO EN COPIAS SIMPLES</w:t>
      </w:r>
      <w:r w:rsidRPr="0054626B" w:rsidR="00742953">
        <w:rPr>
          <w:rFonts w:ascii="Palatino Linotype" w:hAnsi="Palatino Linotype"/>
          <w:bCs/>
          <w:i/>
          <w:iCs/>
          <w:color w:val="000000"/>
          <w:sz w:val="22"/>
          <w:szCs w:val="22"/>
        </w:rPr>
        <w:t>.” (Sic.)</w:t>
      </w:r>
    </w:p>
    <w:p w:rsidRPr="0054626B" w:rsidR="00EF7FD9" w:rsidP="00EF7FD9" w:rsidRDefault="00EF7FD9" w14:paraId="35A84FC0" w14:textId="77777777">
      <w:pPr>
        <w:widowControl w:val="0"/>
        <w:spacing w:line="360" w:lineRule="auto"/>
        <w:ind w:left="567" w:right="567"/>
        <w:contextualSpacing/>
        <w:jc w:val="both"/>
        <w:rPr>
          <w:rFonts w:ascii="Palatino Linotype" w:hAnsi="Palatino Linotype"/>
          <w:bCs/>
          <w:i/>
          <w:iCs/>
          <w:color w:val="000000"/>
          <w:sz w:val="22"/>
          <w:szCs w:val="22"/>
        </w:rPr>
      </w:pPr>
    </w:p>
    <w:p w:rsidRPr="0054626B" w:rsidR="00742953" w:rsidP="007D01E8" w:rsidRDefault="00742953" w14:paraId="151E646B" w14:textId="357CD1CC">
      <w:pPr>
        <w:tabs>
          <w:tab w:val="left" w:pos="4667"/>
        </w:tabs>
        <w:spacing w:line="360" w:lineRule="auto"/>
        <w:ind w:left="567"/>
        <w:jc w:val="both"/>
        <w:rPr>
          <w:rFonts w:ascii="Palatino Linotype" w:hAnsi="Palatino Linotype" w:cs="Tahoma"/>
          <w:b/>
          <w:bCs/>
          <w:i/>
        </w:rPr>
      </w:pPr>
      <w:r w:rsidRPr="0054626B">
        <w:rPr>
          <w:rFonts w:ascii="Palatino Linotype" w:hAnsi="Palatino Linotype" w:cs="Tahoma"/>
          <w:b/>
          <w:bCs/>
          <w:i/>
        </w:rPr>
        <w:t>“</w:t>
      </w:r>
      <w:r w:rsidRPr="0054626B" w:rsidR="007D01E8">
        <w:rPr>
          <w:rFonts w:ascii="Palatino Linotype" w:hAnsi="Palatino Linotype" w:cs="Tahoma"/>
          <w:b/>
          <w:bCs/>
          <w:i/>
        </w:rPr>
        <w:t>MODALIDAD DE ENTREGA</w:t>
      </w:r>
    </w:p>
    <w:p w:rsidRPr="0054626B" w:rsidR="005E6681" w:rsidP="005E6681" w:rsidRDefault="00742953" w14:paraId="3C947FF1" w14:textId="48F6202D">
      <w:pPr>
        <w:tabs>
          <w:tab w:val="left" w:pos="567"/>
        </w:tabs>
        <w:spacing w:line="360" w:lineRule="auto"/>
        <w:ind w:left="567" w:right="-28"/>
        <w:jc w:val="both"/>
        <w:rPr>
          <w:rFonts w:ascii="Palatino Linotype" w:hAnsi="Palatino Linotype" w:cs="Tahoma"/>
          <w:bCs/>
          <w:i/>
        </w:rPr>
      </w:pPr>
      <w:r w:rsidRPr="0054626B" w:rsidDel="006544EC">
        <w:rPr>
          <w:rFonts w:ascii="Palatino Linotype" w:hAnsi="Palatino Linotype" w:cs="Tahoma"/>
          <w:b/>
          <w:bCs/>
          <w:i/>
        </w:rPr>
        <w:t xml:space="preserve"> </w:t>
      </w:r>
      <w:r w:rsidRPr="0054626B">
        <w:rPr>
          <w:rFonts w:ascii="Palatino Linotype" w:hAnsi="Palatino Linotype" w:cs="Tahoma"/>
          <w:bCs/>
          <w:i/>
        </w:rPr>
        <w:t>A través del SAIMEX”</w:t>
      </w:r>
      <w:bookmarkStart w:name="_Hlk16082333" w:id="1"/>
    </w:p>
    <w:p w:rsidRPr="0054626B" w:rsidR="005E6681" w:rsidP="00742953" w:rsidRDefault="005E6681" w14:paraId="4A4CE414" w14:textId="0515FB16">
      <w:pPr>
        <w:autoSpaceDE w:val="0"/>
        <w:autoSpaceDN w:val="0"/>
        <w:adjustRightInd w:val="0"/>
        <w:spacing w:line="360" w:lineRule="auto"/>
        <w:ind w:right="-28"/>
        <w:jc w:val="both"/>
        <w:rPr>
          <w:rFonts w:ascii="Palatino Linotype" w:hAnsi="Palatino Linotype" w:cs="Tahoma"/>
          <w:bCs/>
          <w:sz w:val="22"/>
          <w:szCs w:val="22"/>
        </w:rPr>
      </w:pPr>
      <w:r w:rsidRPr="0054626B">
        <w:rPr>
          <w:rFonts w:ascii="Palatino Linotype" w:hAnsi="Palatino Linotype" w:cs="Tahoma"/>
          <w:bCs/>
          <w:sz w:val="22"/>
          <w:szCs w:val="22"/>
        </w:rPr>
        <w:lastRenderedPageBreak/>
        <w:t>El Particular adjuntó la digitalización de un escrito libre</w:t>
      </w:r>
      <w:r w:rsidRPr="0054626B" w:rsidR="008B5420">
        <w:rPr>
          <w:rFonts w:ascii="Palatino Linotype" w:hAnsi="Palatino Linotype" w:cs="Tahoma"/>
          <w:bCs/>
          <w:sz w:val="22"/>
          <w:szCs w:val="22"/>
        </w:rPr>
        <w:t>, mediante el cual el Particular precisa su solicitud de información centrada en treinta y dos temas, con diversos cuestionamientos.</w:t>
      </w:r>
    </w:p>
    <w:p w:rsidRPr="0054626B" w:rsidR="005E6681" w:rsidP="00742953" w:rsidRDefault="005E6681" w14:paraId="207B74AE" w14:textId="77777777">
      <w:pPr>
        <w:autoSpaceDE w:val="0"/>
        <w:autoSpaceDN w:val="0"/>
        <w:adjustRightInd w:val="0"/>
        <w:spacing w:line="360" w:lineRule="auto"/>
        <w:ind w:right="-28"/>
        <w:jc w:val="both"/>
        <w:rPr>
          <w:rFonts w:ascii="Palatino Linotype" w:hAnsi="Palatino Linotype" w:cs="Tahoma"/>
          <w:b/>
          <w:sz w:val="22"/>
          <w:szCs w:val="22"/>
        </w:rPr>
      </w:pPr>
    </w:p>
    <w:p w:rsidRPr="0054626B" w:rsidR="00742953" w:rsidP="00742953" w:rsidRDefault="00742953" w14:paraId="06502369" w14:textId="63572035">
      <w:pPr>
        <w:autoSpaceDE w:val="0"/>
        <w:autoSpaceDN w:val="0"/>
        <w:adjustRightInd w:val="0"/>
        <w:spacing w:line="360" w:lineRule="auto"/>
        <w:ind w:right="-28"/>
        <w:jc w:val="both"/>
        <w:rPr>
          <w:rFonts w:ascii="Palatino Linotype" w:hAnsi="Palatino Linotype" w:cs="Tahoma"/>
          <w:b/>
          <w:sz w:val="22"/>
          <w:szCs w:val="22"/>
        </w:rPr>
      </w:pPr>
      <w:r w:rsidRPr="0054626B">
        <w:rPr>
          <w:rFonts w:ascii="Palatino Linotype" w:hAnsi="Palatino Linotype" w:cs="Tahoma"/>
          <w:b/>
          <w:sz w:val="22"/>
          <w:szCs w:val="22"/>
        </w:rPr>
        <w:t>II. Respuesta del Sujeto Obligado.</w:t>
      </w:r>
      <w:bookmarkEnd w:id="1"/>
    </w:p>
    <w:p w:rsidRPr="0054626B" w:rsidR="00742953" w:rsidP="00742953" w:rsidRDefault="00742953" w14:paraId="4B6B2725" w14:textId="77777777">
      <w:pPr>
        <w:autoSpaceDE w:val="0"/>
        <w:autoSpaceDN w:val="0"/>
        <w:adjustRightInd w:val="0"/>
        <w:spacing w:line="360" w:lineRule="auto"/>
        <w:contextualSpacing/>
        <w:jc w:val="both"/>
        <w:rPr>
          <w:rFonts w:ascii="Palatino Linotype" w:hAnsi="Palatino Linotype" w:cs="Tahoma"/>
          <w:b/>
          <w:sz w:val="22"/>
          <w:szCs w:val="22"/>
        </w:rPr>
      </w:pPr>
    </w:p>
    <w:p w:rsidRPr="0054626B" w:rsidR="00742953" w:rsidP="00742953" w:rsidRDefault="00742953" w14:paraId="180727F3" w14:textId="22D0C4B0">
      <w:pPr>
        <w:autoSpaceDE w:val="0"/>
        <w:autoSpaceDN w:val="0"/>
        <w:adjustRightInd w:val="0"/>
        <w:spacing w:line="360" w:lineRule="auto"/>
        <w:jc w:val="both"/>
        <w:rPr>
          <w:rFonts w:ascii="Palatino Linotype" w:hAnsi="Palatino Linotype" w:eastAsia="Calibri" w:cs="Tahoma"/>
          <w:color w:val="000000"/>
          <w:sz w:val="22"/>
          <w:lang w:val="es-ES"/>
        </w:rPr>
      </w:pPr>
      <w:r w:rsidRPr="0054626B">
        <w:rPr>
          <w:rFonts w:ascii="Palatino Linotype" w:hAnsi="Palatino Linotype" w:eastAsia="Calibri"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4626B">
        <w:rPr>
          <w:rFonts w:ascii="Palatino Linotype" w:hAnsi="Palatino Linotype" w:eastAsia="Calibri" w:cs="Tahoma"/>
          <w:color w:val="000000"/>
          <w:sz w:val="22"/>
          <w:lang w:val="es-ES"/>
        </w:rPr>
        <w:t xml:space="preserve">Sistema de Acceso a la Información Mexiquense (SAIMEX), se advierte que el </w:t>
      </w:r>
      <w:r w:rsidRPr="0054626B">
        <w:rPr>
          <w:rFonts w:ascii="Palatino Linotype" w:hAnsi="Palatino Linotype" w:eastAsia="Calibri" w:cs="Tahoma"/>
          <w:b/>
          <w:bCs/>
          <w:sz w:val="22"/>
        </w:rPr>
        <w:t>Ayuntamiento de Te</w:t>
      </w:r>
      <w:r w:rsidRPr="0054626B" w:rsidR="009E438D">
        <w:rPr>
          <w:rFonts w:ascii="Palatino Linotype" w:hAnsi="Palatino Linotype" w:eastAsia="Calibri" w:cs="Tahoma"/>
          <w:b/>
          <w:bCs/>
          <w:sz w:val="22"/>
        </w:rPr>
        <w:t>pe</w:t>
      </w:r>
      <w:r w:rsidRPr="0054626B" w:rsidR="000621C5">
        <w:rPr>
          <w:rFonts w:ascii="Palatino Linotype" w:hAnsi="Palatino Linotype" w:eastAsia="Calibri" w:cs="Tahoma"/>
          <w:b/>
          <w:bCs/>
          <w:sz w:val="22"/>
        </w:rPr>
        <w:t>t</w:t>
      </w:r>
      <w:r w:rsidRPr="0054626B" w:rsidR="009E438D">
        <w:rPr>
          <w:rFonts w:ascii="Palatino Linotype" w:hAnsi="Palatino Linotype" w:eastAsia="Calibri" w:cs="Tahoma"/>
          <w:b/>
          <w:bCs/>
          <w:sz w:val="22"/>
        </w:rPr>
        <w:t>lixpa</w:t>
      </w:r>
      <w:r w:rsidRPr="0054626B">
        <w:rPr>
          <w:rFonts w:ascii="Palatino Linotype" w:hAnsi="Palatino Linotype" w:eastAsia="Calibri" w:cs="Tahoma"/>
          <w:bCs/>
          <w:color w:val="000000"/>
          <w:sz w:val="22"/>
        </w:rPr>
        <w:t xml:space="preserve">, omitió dar respuesta, por lo que </w:t>
      </w:r>
      <w:r w:rsidRPr="0054626B">
        <w:rPr>
          <w:rFonts w:ascii="Palatino Linotype" w:hAnsi="Palatino Linotype" w:eastAsia="Calibri" w:cs="Tahoma"/>
          <w:b/>
          <w:color w:val="000000"/>
          <w:sz w:val="22"/>
        </w:rPr>
        <w:t xml:space="preserve">se configura la </w:t>
      </w:r>
      <w:r w:rsidRPr="0054626B">
        <w:rPr>
          <w:rFonts w:ascii="Palatino Linotype" w:hAnsi="Palatino Linotype" w:eastAsia="Calibri" w:cs="Tahoma"/>
          <w:b/>
          <w:color w:val="000000"/>
          <w:sz w:val="22"/>
          <w:lang w:val="es-ES"/>
        </w:rPr>
        <w:t>negativa ficta</w:t>
      </w:r>
      <w:r w:rsidRPr="0054626B">
        <w:rPr>
          <w:rFonts w:ascii="Palatino Linotype" w:hAnsi="Palatino Linotype" w:eastAsia="Calibri"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rsidRPr="0054626B" w:rsidR="00742953" w:rsidP="00742953" w:rsidRDefault="00742953" w14:paraId="6594661F"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54626B" w:rsidR="00742953" w:rsidP="00742953" w:rsidRDefault="00742953" w14:paraId="091EB318" w14:textId="77777777">
      <w:pPr>
        <w:autoSpaceDE w:val="0"/>
        <w:autoSpaceDN w:val="0"/>
        <w:adjustRightInd w:val="0"/>
        <w:spacing w:line="360" w:lineRule="auto"/>
        <w:ind w:right="-28"/>
        <w:jc w:val="both"/>
        <w:rPr>
          <w:rFonts w:ascii="Palatino Linotype" w:hAnsi="Palatino Linotype" w:cs="Tahoma"/>
          <w:b/>
          <w:sz w:val="22"/>
          <w:szCs w:val="22"/>
        </w:rPr>
      </w:pPr>
      <w:r w:rsidRPr="0054626B">
        <w:rPr>
          <w:rFonts w:ascii="Palatino Linotype" w:hAnsi="Palatino Linotype" w:cs="Tahoma"/>
          <w:b/>
          <w:sz w:val="22"/>
          <w:szCs w:val="22"/>
        </w:rPr>
        <w:t xml:space="preserve">III. Interposición del Recurso de Revisión. </w:t>
      </w:r>
    </w:p>
    <w:p w:rsidRPr="0054626B" w:rsidR="00742953" w:rsidP="00742953" w:rsidRDefault="00742953" w14:paraId="79C94E8C" w14:textId="77777777">
      <w:pPr>
        <w:autoSpaceDE w:val="0"/>
        <w:autoSpaceDN w:val="0"/>
        <w:adjustRightInd w:val="0"/>
        <w:spacing w:line="360" w:lineRule="auto"/>
        <w:ind w:right="-28"/>
        <w:jc w:val="both"/>
        <w:rPr>
          <w:rFonts w:ascii="Palatino Linotype" w:hAnsi="Palatino Linotype" w:cs="Tahoma"/>
          <w:sz w:val="22"/>
          <w:szCs w:val="22"/>
        </w:rPr>
      </w:pPr>
    </w:p>
    <w:p w:rsidRPr="0054626B" w:rsidR="00742953" w:rsidP="009E438D" w:rsidRDefault="00742953" w14:paraId="6E9323E8" w14:textId="0B7C161F">
      <w:pPr>
        <w:spacing w:line="360" w:lineRule="auto"/>
        <w:jc w:val="both"/>
        <w:rPr>
          <w:rFonts w:ascii="Palatino Linotype" w:hAnsi="Palatino Linotype" w:cs="Tahoma"/>
          <w:bCs/>
          <w:sz w:val="22"/>
          <w:szCs w:val="22"/>
          <w:lang w:val="es-ES"/>
        </w:rPr>
      </w:pPr>
      <w:r w:rsidRPr="0054626B">
        <w:rPr>
          <w:rFonts w:ascii="Palatino Linotype" w:hAnsi="Palatino Linotype" w:cs="Tahoma"/>
          <w:bCs/>
          <w:sz w:val="22"/>
          <w:szCs w:val="22"/>
          <w:lang w:val="es-ES"/>
        </w:rPr>
        <w:t xml:space="preserve">Con fecha veinticinco de febrero de dos mil veintidós </w:t>
      </w:r>
      <w:r w:rsidRPr="0054626B">
        <w:rPr>
          <w:rFonts w:ascii="Palatino Linotype" w:hAnsi="Palatino Linotype" w:cs="Tahoma"/>
          <w:bCs/>
          <w:sz w:val="22"/>
          <w:szCs w:val="22"/>
        </w:rPr>
        <w:t xml:space="preserve">se recibió en este Instituto, a través del </w:t>
      </w:r>
      <w:r w:rsidRPr="0054626B">
        <w:rPr>
          <w:rFonts w:ascii="Palatino Linotype" w:hAnsi="Palatino Linotype" w:cs="Tahoma"/>
          <w:bCs/>
          <w:sz w:val="22"/>
          <w:szCs w:val="22"/>
          <w:lang w:val="es-ES"/>
        </w:rPr>
        <w:t>Sistema de Acceso a la Información Mexiquense (SAIMEX)</w:t>
      </w:r>
      <w:r w:rsidRPr="0054626B">
        <w:rPr>
          <w:rFonts w:ascii="Palatino Linotype" w:hAnsi="Palatino Linotype" w:cs="Tahoma"/>
          <w:bCs/>
          <w:sz w:val="22"/>
          <w:szCs w:val="22"/>
        </w:rPr>
        <w:t xml:space="preserve">, el Recurso de Revisión interpuesto por </w:t>
      </w:r>
      <w:r w:rsidRPr="0054626B" w:rsidR="009E438D">
        <w:rPr>
          <w:rFonts w:ascii="Palatino Linotype" w:hAnsi="Palatino Linotype" w:cs="Tahoma"/>
          <w:bCs/>
          <w:sz w:val="22"/>
          <w:szCs w:val="22"/>
        </w:rPr>
        <w:t>el</w:t>
      </w:r>
      <w:r w:rsidRPr="0054626B">
        <w:rPr>
          <w:rFonts w:ascii="Palatino Linotype" w:hAnsi="Palatino Linotype" w:cs="Tahoma"/>
          <w:bCs/>
          <w:sz w:val="22"/>
          <w:szCs w:val="22"/>
        </w:rPr>
        <w:t xml:space="preserve"> Recurrente, en contra de la respuesta del Sujeto Obligado, en los siguientes términos:</w:t>
      </w:r>
    </w:p>
    <w:p w:rsidRPr="0054626B" w:rsidR="00742953" w:rsidP="00742953" w:rsidRDefault="00742953" w14:paraId="1DD57F02" w14:textId="77777777">
      <w:pPr>
        <w:autoSpaceDE w:val="0"/>
        <w:autoSpaceDN w:val="0"/>
        <w:adjustRightInd w:val="0"/>
        <w:spacing w:line="360" w:lineRule="auto"/>
        <w:ind w:right="-28"/>
        <w:jc w:val="both"/>
        <w:rPr>
          <w:rFonts w:ascii="Palatino Linotype" w:hAnsi="Palatino Linotype" w:cs="Tahoma"/>
          <w:sz w:val="22"/>
          <w:szCs w:val="22"/>
          <w:lang w:val="es-ES"/>
        </w:rPr>
      </w:pPr>
    </w:p>
    <w:p w:rsidRPr="0054626B" w:rsidR="00742953" w:rsidP="00742953" w:rsidRDefault="00742953" w14:paraId="22762FCB" w14:textId="77777777">
      <w:pPr>
        <w:tabs>
          <w:tab w:val="left" w:pos="4667"/>
        </w:tabs>
        <w:spacing w:line="360" w:lineRule="auto"/>
        <w:ind w:left="567" w:right="567"/>
        <w:jc w:val="both"/>
        <w:rPr>
          <w:rFonts w:ascii="Palatino Linotype" w:hAnsi="Palatino Linotype" w:cs="Tahoma"/>
          <w:b/>
          <w:bCs/>
          <w:i/>
        </w:rPr>
      </w:pPr>
      <w:r w:rsidRPr="0054626B">
        <w:rPr>
          <w:rFonts w:ascii="Palatino Linotype" w:hAnsi="Palatino Linotype" w:cs="Tahoma"/>
          <w:b/>
          <w:bCs/>
          <w:i/>
        </w:rPr>
        <w:t>“ACTO IMPUGNADO</w:t>
      </w:r>
    </w:p>
    <w:p w:rsidRPr="0054626B" w:rsidR="00742953" w:rsidP="009E438D" w:rsidRDefault="009E438D" w14:paraId="42951255" w14:textId="32694787">
      <w:pPr>
        <w:tabs>
          <w:tab w:val="left" w:pos="4667"/>
        </w:tabs>
        <w:spacing w:line="360" w:lineRule="auto"/>
        <w:ind w:left="567" w:right="567"/>
        <w:jc w:val="both"/>
        <w:rPr>
          <w:rFonts w:ascii="Palatino Linotype" w:hAnsi="Palatino Linotype" w:cs="Tahoma"/>
          <w:bCs/>
          <w:i/>
          <w:iCs/>
        </w:rPr>
      </w:pPr>
      <w:r w:rsidRPr="0054626B">
        <w:rPr>
          <w:rFonts w:ascii="Palatino Linotype" w:hAnsi="Palatino Linotype"/>
          <w:i/>
          <w:iCs/>
          <w:color w:val="000000"/>
        </w:rPr>
        <w:t xml:space="preserve">CON FUNDAMENTO EN LOS ARTÍCULOS 142 Y 143 FRACCIÓN VI DE LA LEY GENERAL DE TRANSPARENCIA Y ACCESO A LA INFORMACIÓN PÚBLICA; ARTÍCULOS 178 Y 179 FRACCIONES VII DE LA LEY DE TRANSPARENCIA Y ACCESO A LA INFORMACIÓN PÚBLICA DEL ESTADO DE MÉXICO Y </w:t>
      </w:r>
      <w:proofErr w:type="gramStart"/>
      <w:r w:rsidRPr="0054626B">
        <w:rPr>
          <w:rFonts w:ascii="Palatino Linotype" w:hAnsi="Palatino Linotype"/>
          <w:i/>
          <w:iCs/>
          <w:color w:val="000000"/>
        </w:rPr>
        <w:t>MUNICIPIOS</w:t>
      </w:r>
      <w:proofErr w:type="gramEnd"/>
      <w:r w:rsidRPr="0054626B">
        <w:rPr>
          <w:rFonts w:ascii="Palatino Linotype" w:hAnsi="Palatino Linotype"/>
          <w:i/>
          <w:iCs/>
          <w:color w:val="000000"/>
        </w:rPr>
        <w:t xml:space="preserve"> ASÍ COMO EL ARTÍCULO 121 FRACCIÓN I DE LA LEY GENERAL DE ARCHIVOS, ME PERMITO INTERPONER RECURSO DE REVISIÓN POR LA FALTA DE RESPUESTA A UNA SOLICITUD DE ACCESO A LA INFORMACIÓN PÚBLICA</w:t>
      </w:r>
      <w:r w:rsidRPr="0054626B" w:rsidR="00742953">
        <w:rPr>
          <w:rFonts w:ascii="Palatino Linotype" w:hAnsi="Palatino Linotype" w:cs="Tahoma"/>
          <w:bCs/>
          <w:i/>
          <w:iCs/>
        </w:rPr>
        <w:t>.” (Sic.)</w:t>
      </w:r>
    </w:p>
    <w:p w:rsidRPr="0054626B" w:rsidR="00742953" w:rsidP="00742953" w:rsidRDefault="00742953" w14:paraId="6BED2DAE" w14:textId="77777777">
      <w:pPr>
        <w:tabs>
          <w:tab w:val="left" w:pos="4667"/>
        </w:tabs>
        <w:spacing w:line="360" w:lineRule="auto"/>
        <w:ind w:left="567" w:right="567"/>
        <w:jc w:val="both"/>
        <w:rPr>
          <w:rFonts w:ascii="Palatino Linotype" w:hAnsi="Palatino Linotype" w:cs="Tahoma"/>
          <w:bCs/>
          <w:i/>
          <w:iCs/>
          <w:sz w:val="22"/>
          <w:szCs w:val="22"/>
        </w:rPr>
      </w:pPr>
    </w:p>
    <w:p w:rsidRPr="0054626B" w:rsidR="00742953" w:rsidP="00742953" w:rsidRDefault="00742953" w14:paraId="04FE4E25" w14:textId="77777777">
      <w:pPr>
        <w:tabs>
          <w:tab w:val="left" w:pos="4667"/>
        </w:tabs>
        <w:spacing w:line="360" w:lineRule="auto"/>
        <w:ind w:left="567" w:right="567"/>
        <w:jc w:val="both"/>
        <w:rPr>
          <w:rFonts w:ascii="Palatino Linotype" w:hAnsi="Palatino Linotype" w:cs="Tahoma"/>
          <w:b/>
          <w:bCs/>
          <w:i/>
        </w:rPr>
      </w:pPr>
      <w:r w:rsidRPr="0054626B">
        <w:rPr>
          <w:rFonts w:ascii="Palatino Linotype" w:hAnsi="Palatino Linotype" w:cs="Tahoma"/>
          <w:b/>
          <w:bCs/>
          <w:i/>
        </w:rPr>
        <w:t>“RAZONES O MOTIVOS DE LA INCONFORMIDAD</w:t>
      </w:r>
    </w:p>
    <w:p w:rsidRPr="0054626B" w:rsidR="00033B67" w:rsidP="00574140" w:rsidRDefault="009E438D" w14:paraId="0FA7992F" w14:textId="534416FD">
      <w:pPr>
        <w:tabs>
          <w:tab w:val="left" w:pos="4667"/>
        </w:tabs>
        <w:spacing w:line="360" w:lineRule="auto"/>
        <w:ind w:left="567" w:right="567"/>
        <w:jc w:val="both"/>
        <w:rPr>
          <w:rFonts w:ascii="Palatino Linotype" w:hAnsi="Palatino Linotype" w:cs="Tahoma"/>
          <w:i/>
          <w:iCs/>
        </w:rPr>
      </w:pPr>
      <w:r w:rsidRPr="0054626B">
        <w:rPr>
          <w:rFonts w:ascii="Palatino Linotype" w:hAnsi="Palatino Linotype"/>
          <w:i/>
          <w:iCs/>
          <w:color w:val="000000"/>
        </w:rPr>
        <w:t>LA FALTA DE RESPUESTA A UNA SOLICITUD DE ACCESO A LA INFORMACIÓN. (SE ANEXAN 2 ARCHIVOS)</w:t>
      </w:r>
      <w:r w:rsidRPr="0054626B" w:rsidR="00742953">
        <w:rPr>
          <w:rFonts w:ascii="Palatino Linotype" w:hAnsi="Palatino Linotype"/>
          <w:i/>
          <w:iCs/>
          <w:color w:val="000000"/>
        </w:rPr>
        <w:t>.</w:t>
      </w:r>
      <w:r w:rsidRPr="0054626B" w:rsidR="00742953">
        <w:rPr>
          <w:rFonts w:ascii="Palatino Linotype" w:hAnsi="Palatino Linotype" w:cs="Tahoma"/>
          <w:i/>
          <w:iCs/>
        </w:rPr>
        <w:t>” (Sic.)</w:t>
      </w:r>
    </w:p>
    <w:p w:rsidRPr="0054626B" w:rsidR="008B5420" w:rsidP="00742953" w:rsidRDefault="008B5420" w14:paraId="5FA77034" w14:textId="77777777">
      <w:pPr>
        <w:spacing w:line="360" w:lineRule="auto"/>
        <w:jc w:val="both"/>
        <w:rPr>
          <w:rFonts w:ascii="Palatino Linotype" w:hAnsi="Palatino Linotype" w:cs="Tahoma"/>
          <w:b/>
          <w:sz w:val="22"/>
          <w:szCs w:val="22"/>
        </w:rPr>
      </w:pPr>
    </w:p>
    <w:p w:rsidRPr="0054626B" w:rsidR="008B5420" w:rsidP="00742953" w:rsidRDefault="008B5420" w14:paraId="4A46FA2F" w14:textId="20D9EFA1">
      <w:pPr>
        <w:spacing w:line="360" w:lineRule="auto"/>
        <w:jc w:val="both"/>
        <w:rPr>
          <w:rFonts w:ascii="Palatino Linotype" w:hAnsi="Palatino Linotype" w:cs="Tahoma"/>
          <w:bCs/>
          <w:sz w:val="22"/>
          <w:szCs w:val="22"/>
        </w:rPr>
      </w:pPr>
      <w:r w:rsidRPr="0054626B">
        <w:rPr>
          <w:rFonts w:ascii="Palatino Linotype" w:hAnsi="Palatino Linotype" w:cs="Tahoma"/>
          <w:bCs/>
          <w:sz w:val="22"/>
          <w:szCs w:val="22"/>
        </w:rPr>
        <w:t>El Particular adjuntó la digitalización de un escrito libre, mediante el cual ratifica su inconformidad, consistente en la falta de respuesta del Sujeto Obligado.</w:t>
      </w:r>
    </w:p>
    <w:p w:rsidRPr="0054626B" w:rsidR="008B5420" w:rsidP="00742953" w:rsidRDefault="008B5420" w14:paraId="394A9A19" w14:textId="77777777">
      <w:pPr>
        <w:spacing w:line="360" w:lineRule="auto"/>
        <w:jc w:val="both"/>
        <w:rPr>
          <w:rFonts w:ascii="Palatino Linotype" w:hAnsi="Palatino Linotype" w:cs="Tahoma"/>
          <w:b/>
          <w:sz w:val="22"/>
          <w:szCs w:val="22"/>
        </w:rPr>
      </w:pPr>
    </w:p>
    <w:p w:rsidRPr="0054626B" w:rsidR="00742953" w:rsidP="00742953" w:rsidRDefault="00742953" w14:paraId="5161E65D" w14:textId="7481F96C">
      <w:pPr>
        <w:spacing w:line="360" w:lineRule="auto"/>
        <w:jc w:val="both"/>
        <w:rPr>
          <w:rFonts w:ascii="Palatino Linotype" w:hAnsi="Palatino Linotype" w:eastAsia="Batang" w:cs="Tahoma"/>
          <w:b/>
          <w:bCs/>
          <w:sz w:val="22"/>
          <w:szCs w:val="22"/>
        </w:rPr>
      </w:pPr>
      <w:r w:rsidRPr="0054626B">
        <w:rPr>
          <w:rFonts w:ascii="Palatino Linotype" w:hAnsi="Palatino Linotype" w:cs="Tahoma"/>
          <w:b/>
          <w:sz w:val="22"/>
          <w:szCs w:val="22"/>
        </w:rPr>
        <w:t xml:space="preserve">IV. </w:t>
      </w:r>
      <w:r w:rsidRPr="0054626B">
        <w:rPr>
          <w:rFonts w:ascii="Palatino Linotype" w:hAnsi="Palatino Linotype" w:eastAsia="Batang" w:cs="Tahoma"/>
          <w:b/>
          <w:bCs/>
          <w:sz w:val="22"/>
          <w:szCs w:val="22"/>
        </w:rPr>
        <w:t xml:space="preserve">Trámite del </w:t>
      </w:r>
      <w:r w:rsidRPr="0054626B">
        <w:rPr>
          <w:rFonts w:ascii="Palatino Linotype" w:hAnsi="Palatino Linotype" w:cs="Tahoma"/>
          <w:b/>
          <w:sz w:val="22"/>
          <w:szCs w:val="22"/>
        </w:rPr>
        <w:t xml:space="preserve">Recurso de Revisión </w:t>
      </w:r>
      <w:r w:rsidRPr="0054626B">
        <w:rPr>
          <w:rFonts w:ascii="Palatino Linotype" w:hAnsi="Palatino Linotype" w:eastAsia="Batang" w:cs="Tahoma"/>
          <w:b/>
          <w:bCs/>
          <w:sz w:val="22"/>
          <w:szCs w:val="22"/>
        </w:rPr>
        <w:t>ante el Instituto.</w:t>
      </w:r>
    </w:p>
    <w:p w:rsidRPr="0054626B" w:rsidR="00742953" w:rsidP="00742953" w:rsidRDefault="00742953" w14:paraId="33CF6C4E" w14:textId="77777777">
      <w:pPr>
        <w:spacing w:line="360" w:lineRule="auto"/>
        <w:jc w:val="both"/>
        <w:rPr>
          <w:rFonts w:ascii="Palatino Linotype" w:hAnsi="Palatino Linotype" w:eastAsia="Batang" w:cs="Tahoma"/>
          <w:b/>
          <w:bCs/>
          <w:sz w:val="22"/>
          <w:szCs w:val="22"/>
        </w:rPr>
      </w:pPr>
    </w:p>
    <w:p w:rsidRPr="0054626B" w:rsidR="00742953" w:rsidP="00742953" w:rsidRDefault="00742953" w14:paraId="377AC31B" w14:textId="516FFC6D">
      <w:pPr>
        <w:spacing w:line="360" w:lineRule="auto"/>
        <w:jc w:val="both"/>
        <w:rPr>
          <w:rFonts w:ascii="Palatino Linotype" w:hAnsi="Palatino Linotype" w:eastAsia="Batang" w:cs="Tahoma"/>
          <w:bCs/>
          <w:sz w:val="22"/>
          <w:szCs w:val="22"/>
        </w:rPr>
      </w:pPr>
      <w:r w:rsidRPr="0054626B">
        <w:rPr>
          <w:rFonts w:ascii="Palatino Linotype" w:hAnsi="Palatino Linotype" w:eastAsia="Batang" w:cs="Tahoma"/>
          <w:b/>
          <w:bCs/>
          <w:sz w:val="22"/>
          <w:szCs w:val="22"/>
        </w:rPr>
        <w:t xml:space="preserve">a) Turno del </w:t>
      </w:r>
      <w:r w:rsidRPr="0054626B">
        <w:rPr>
          <w:rFonts w:ascii="Palatino Linotype" w:hAnsi="Palatino Linotype" w:cs="Tahoma"/>
          <w:b/>
          <w:sz w:val="22"/>
          <w:szCs w:val="22"/>
        </w:rPr>
        <w:t>Recurso de Revisión</w:t>
      </w:r>
      <w:r w:rsidRPr="0054626B">
        <w:rPr>
          <w:rFonts w:ascii="Palatino Linotype" w:hAnsi="Palatino Linotype" w:eastAsia="Batang" w:cs="Tahoma"/>
          <w:b/>
          <w:bCs/>
          <w:sz w:val="22"/>
          <w:szCs w:val="22"/>
        </w:rPr>
        <w:t xml:space="preserve">. </w:t>
      </w:r>
      <w:r w:rsidRPr="0054626B">
        <w:rPr>
          <w:rFonts w:ascii="Palatino Linotype" w:hAnsi="Palatino Linotype" w:eastAsia="Batang" w:cs="Tahoma"/>
          <w:bCs/>
          <w:sz w:val="22"/>
          <w:szCs w:val="22"/>
        </w:rPr>
        <w:t xml:space="preserve">El veinticinco de febrero de dos mil veintidós, el </w:t>
      </w:r>
      <w:r w:rsidRPr="0054626B">
        <w:rPr>
          <w:rFonts w:ascii="Palatino Linotype" w:hAnsi="Palatino Linotype" w:cs="Tahoma"/>
          <w:sz w:val="22"/>
          <w:szCs w:val="22"/>
          <w:lang w:val="es-ES"/>
        </w:rPr>
        <w:t>Sistema de Acceso a la Información Mexiquense (SAIMEX),</w:t>
      </w:r>
      <w:r w:rsidRPr="0054626B">
        <w:rPr>
          <w:rFonts w:ascii="Palatino Linotype" w:hAnsi="Palatino Linotype" w:eastAsia="Batang" w:cs="Tahoma"/>
          <w:bCs/>
          <w:sz w:val="22"/>
          <w:szCs w:val="22"/>
        </w:rPr>
        <w:t xml:space="preserve"> asignó con número de expediente </w:t>
      </w:r>
      <w:r w:rsidRPr="0054626B">
        <w:rPr>
          <w:rFonts w:ascii="Palatino Linotype" w:hAnsi="Palatino Linotype" w:eastAsia="Batang" w:cs="Tahoma"/>
          <w:b/>
          <w:bCs/>
          <w:sz w:val="22"/>
          <w:szCs w:val="22"/>
        </w:rPr>
        <w:t>019</w:t>
      </w:r>
      <w:r w:rsidRPr="0054626B" w:rsidR="006876E9">
        <w:rPr>
          <w:rFonts w:ascii="Palatino Linotype" w:hAnsi="Palatino Linotype" w:eastAsia="Batang" w:cs="Tahoma"/>
          <w:b/>
          <w:bCs/>
          <w:sz w:val="22"/>
          <w:szCs w:val="22"/>
        </w:rPr>
        <w:t>4</w:t>
      </w:r>
      <w:r w:rsidRPr="0054626B">
        <w:rPr>
          <w:rFonts w:ascii="Palatino Linotype" w:hAnsi="Palatino Linotype" w:eastAsia="Batang" w:cs="Tahoma"/>
          <w:b/>
          <w:bCs/>
          <w:sz w:val="22"/>
          <w:szCs w:val="22"/>
        </w:rPr>
        <w:t xml:space="preserve">6/INFOEM/IP/RR/2022 </w:t>
      </w:r>
      <w:r w:rsidRPr="0054626B">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54626B">
        <w:rPr>
          <w:rFonts w:ascii="Palatino Linotype" w:hAnsi="Palatino Linotype" w:eastAsia="Batang" w:cs="Tahoma"/>
          <w:b/>
          <w:bCs/>
          <w:sz w:val="22"/>
          <w:szCs w:val="22"/>
        </w:rPr>
        <w:t>Comisionado Ponente Luis Gustavo Parra Noriega</w:t>
      </w:r>
      <w:r w:rsidRPr="0054626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54626B" w:rsidR="00742953" w:rsidP="00742953" w:rsidRDefault="00742953" w14:paraId="7B9BA352" w14:textId="77777777">
      <w:pPr>
        <w:spacing w:line="360" w:lineRule="auto"/>
        <w:jc w:val="both"/>
        <w:rPr>
          <w:rFonts w:ascii="Palatino Linotype" w:hAnsi="Palatino Linotype" w:eastAsia="Batang" w:cs="Tahoma"/>
          <w:bCs/>
          <w:sz w:val="22"/>
          <w:szCs w:val="22"/>
        </w:rPr>
      </w:pPr>
    </w:p>
    <w:p w:rsidRPr="0054626B" w:rsidR="00742953" w:rsidP="00742953" w:rsidRDefault="00742953" w14:paraId="1CD569B1" w14:textId="77777777">
      <w:pPr>
        <w:spacing w:line="360" w:lineRule="auto"/>
        <w:jc w:val="both"/>
        <w:rPr>
          <w:rFonts w:ascii="Palatino Linotype" w:hAnsi="Palatino Linotype" w:eastAsia="Batang" w:cs="Tahoma"/>
          <w:bCs/>
          <w:sz w:val="22"/>
          <w:szCs w:val="22"/>
        </w:rPr>
      </w:pPr>
      <w:r w:rsidRPr="0054626B">
        <w:rPr>
          <w:rFonts w:ascii="Palatino Linotype" w:hAnsi="Palatino Linotype" w:eastAsia="Batang" w:cs="Tahoma"/>
          <w:b/>
          <w:bCs/>
          <w:sz w:val="22"/>
          <w:szCs w:val="22"/>
        </w:rPr>
        <w:t xml:space="preserve">b) Admisión del </w:t>
      </w:r>
      <w:r w:rsidRPr="0054626B">
        <w:rPr>
          <w:rFonts w:ascii="Palatino Linotype" w:hAnsi="Palatino Linotype" w:cs="Tahoma"/>
          <w:b/>
          <w:sz w:val="22"/>
          <w:szCs w:val="22"/>
        </w:rPr>
        <w:t>Recurso de Revisión</w:t>
      </w:r>
      <w:r w:rsidRPr="0054626B">
        <w:rPr>
          <w:rFonts w:ascii="Palatino Linotype" w:hAnsi="Palatino Linotype" w:eastAsia="Batang" w:cs="Tahoma"/>
          <w:b/>
          <w:bCs/>
          <w:sz w:val="22"/>
          <w:szCs w:val="22"/>
        </w:rPr>
        <w:t xml:space="preserve">. </w:t>
      </w:r>
      <w:r w:rsidRPr="0054626B">
        <w:rPr>
          <w:rFonts w:ascii="Palatino Linotype" w:hAnsi="Palatino Linotype" w:eastAsia="Batang" w:cs="Tahoma"/>
          <w:bCs/>
          <w:sz w:val="22"/>
          <w:szCs w:val="22"/>
        </w:rPr>
        <w:t>El tres de marzo de dos mil veintidós,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el día siete de marzo, a través del Sistema de Acceso a la Información Mexiquense (SAIMEX), en el que se les otorgó un plazo de siete días hábiles posteriores a la misma, para que manifestaran lo que a su derecho conviniera y formularan alegatos.</w:t>
      </w:r>
    </w:p>
    <w:p w:rsidRPr="0054626B" w:rsidR="00742953" w:rsidP="00742953" w:rsidRDefault="00742953" w14:paraId="42446A2A" w14:textId="77777777">
      <w:pPr>
        <w:spacing w:line="360" w:lineRule="auto"/>
        <w:jc w:val="both"/>
        <w:rPr>
          <w:rFonts w:ascii="Palatino Linotype" w:hAnsi="Palatino Linotype" w:eastAsia="Batang" w:cs="Tahoma"/>
          <w:bCs/>
          <w:sz w:val="22"/>
          <w:szCs w:val="22"/>
        </w:rPr>
      </w:pPr>
    </w:p>
    <w:p w:rsidRPr="0054626B" w:rsidR="00742953" w:rsidP="00742953" w:rsidRDefault="00742953" w14:paraId="55A9B64E" w14:textId="551499DE">
      <w:pPr>
        <w:spacing w:line="360" w:lineRule="auto"/>
        <w:ind w:right="-28"/>
        <w:jc w:val="both"/>
        <w:rPr>
          <w:rFonts w:ascii="Palatino Linotype" w:hAnsi="Palatino Linotype" w:cs="Tahoma"/>
          <w:sz w:val="22"/>
          <w:szCs w:val="22"/>
        </w:rPr>
      </w:pPr>
      <w:r w:rsidRPr="0054626B">
        <w:rPr>
          <w:rFonts w:ascii="Palatino Linotype" w:hAnsi="Palatino Linotype" w:eastAsia="Calibri" w:cs="Tahoma"/>
          <w:b/>
          <w:sz w:val="22"/>
          <w:szCs w:val="22"/>
          <w:lang w:eastAsia="en-US"/>
        </w:rPr>
        <w:t xml:space="preserve">d) </w:t>
      </w:r>
      <w:r w:rsidRPr="0054626B">
        <w:rPr>
          <w:rFonts w:ascii="Palatino Linotype" w:hAnsi="Palatino Linotype" w:cs="Tahoma"/>
          <w:b/>
          <w:sz w:val="22"/>
          <w:szCs w:val="22"/>
        </w:rPr>
        <w:t>Informe Justificado</w:t>
      </w:r>
      <w:r w:rsidRPr="0054626B" w:rsidR="008B5420">
        <w:rPr>
          <w:rFonts w:ascii="Palatino Linotype" w:hAnsi="Palatino Linotype" w:cs="Tahoma"/>
          <w:b/>
          <w:sz w:val="22"/>
          <w:szCs w:val="22"/>
        </w:rPr>
        <w:t xml:space="preserve"> o manifestaciones</w:t>
      </w:r>
      <w:r w:rsidRPr="0054626B">
        <w:rPr>
          <w:rFonts w:ascii="Palatino Linotype" w:hAnsi="Palatino Linotype" w:cs="Tahoma"/>
          <w:b/>
          <w:sz w:val="22"/>
          <w:szCs w:val="22"/>
        </w:rPr>
        <w:t xml:space="preserve">. </w:t>
      </w:r>
      <w:r w:rsidRPr="0054626B">
        <w:rPr>
          <w:rFonts w:ascii="Palatino Linotype" w:hAnsi="Palatino Linotype" w:cs="Tahoma"/>
          <w:bCs/>
          <w:sz w:val="22"/>
          <w:szCs w:val="22"/>
        </w:rPr>
        <w:t>L</w:t>
      </w:r>
      <w:r w:rsidRPr="0054626B">
        <w:rPr>
          <w:rFonts w:ascii="Palatino Linotype" w:hAnsi="Palatino Linotype" w:cs="Tahoma"/>
          <w:sz w:val="22"/>
          <w:szCs w:val="22"/>
        </w:rPr>
        <w:t>as partes fueron omisas en emitir alegatos o manifestaciones.</w:t>
      </w:r>
    </w:p>
    <w:p w:rsidRPr="0054626B" w:rsidR="00742953" w:rsidP="00742953" w:rsidRDefault="00742953" w14:paraId="6AC3C180" w14:textId="77777777">
      <w:pPr>
        <w:spacing w:line="360" w:lineRule="auto"/>
        <w:ind w:right="-28"/>
        <w:contextualSpacing/>
        <w:jc w:val="both"/>
        <w:rPr>
          <w:rFonts w:ascii="Palatino Linotype" w:hAnsi="Palatino Linotype" w:eastAsia="Calibri" w:cs="Tahoma"/>
          <w:bCs/>
          <w:szCs w:val="22"/>
          <w:lang w:eastAsia="en-US"/>
        </w:rPr>
      </w:pPr>
    </w:p>
    <w:p w:rsidRPr="0054626B" w:rsidR="00742953" w:rsidP="00742953" w:rsidRDefault="00742953" w14:paraId="72E32C4E" w14:textId="3D800FB0">
      <w:pPr>
        <w:spacing w:line="360" w:lineRule="auto"/>
        <w:ind w:right="-28"/>
        <w:contextualSpacing/>
        <w:jc w:val="both"/>
        <w:rPr>
          <w:rFonts w:ascii="Palatino Linotype" w:hAnsi="Palatino Linotype" w:cs="Tahoma"/>
          <w:b/>
          <w:bCs/>
          <w:sz w:val="22"/>
          <w:szCs w:val="22"/>
        </w:rPr>
      </w:pPr>
      <w:r w:rsidRPr="0054626B">
        <w:rPr>
          <w:rFonts w:ascii="Palatino Linotype" w:hAnsi="Palatino Linotype" w:cs="Tahoma"/>
          <w:b/>
          <w:bCs/>
          <w:sz w:val="22"/>
          <w:szCs w:val="22"/>
        </w:rPr>
        <w:lastRenderedPageBreak/>
        <w:t xml:space="preserve">e) </w:t>
      </w:r>
      <w:r w:rsidRPr="0054626B">
        <w:rPr>
          <w:rFonts w:ascii="Palatino Linotype" w:hAnsi="Palatino Linotype" w:cs="Tahoma"/>
          <w:b/>
          <w:sz w:val="22"/>
          <w:szCs w:val="22"/>
        </w:rPr>
        <w:t>Cierre de instrucción.</w:t>
      </w:r>
      <w:r w:rsidRPr="0054626B">
        <w:rPr>
          <w:rFonts w:ascii="Palatino Linotype" w:hAnsi="Palatino Linotype" w:cs="Tahoma"/>
          <w:sz w:val="22"/>
          <w:szCs w:val="22"/>
        </w:rPr>
        <w:t xml:space="preserve"> El cuatro de abril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w:t>
      </w:r>
      <w:r w:rsidRPr="0054626B" w:rsidR="00D97BD7">
        <w:rPr>
          <w:rFonts w:ascii="Palatino Linotype" w:hAnsi="Palatino Linotype" w:cs="Tahoma"/>
          <w:sz w:val="22"/>
          <w:szCs w:val="22"/>
        </w:rPr>
        <w:t xml:space="preserve"> el cuál</w:t>
      </w:r>
      <w:r w:rsidRPr="0054626B">
        <w:rPr>
          <w:rFonts w:ascii="Palatino Linotype" w:hAnsi="Palatino Linotype" w:cs="Tahoma"/>
          <w:sz w:val="22"/>
          <w:szCs w:val="22"/>
        </w:rPr>
        <w:t xml:space="preserve"> fue notificado el mismo día, a través del </w:t>
      </w:r>
      <w:r w:rsidRPr="0054626B">
        <w:rPr>
          <w:rFonts w:ascii="Palatino Linotype" w:hAnsi="Palatino Linotype" w:cs="Tahoma"/>
          <w:sz w:val="22"/>
          <w:szCs w:val="22"/>
          <w:lang w:val="es-ES"/>
        </w:rPr>
        <w:t>Sistema de Acceso a la Información Mexiquense (SAIMEX)</w:t>
      </w:r>
      <w:r w:rsidRPr="0054626B">
        <w:rPr>
          <w:rFonts w:ascii="Palatino Linotype" w:hAnsi="Palatino Linotype" w:cs="Tahoma"/>
          <w:sz w:val="22"/>
          <w:szCs w:val="22"/>
        </w:rPr>
        <w:t>.</w:t>
      </w:r>
      <w:r w:rsidRPr="0054626B">
        <w:rPr>
          <w:rFonts w:ascii="Palatino Linotype" w:hAnsi="Palatino Linotype" w:eastAsia="Batang" w:cs="Tahoma"/>
          <w:bCs/>
          <w:sz w:val="22"/>
          <w:szCs w:val="22"/>
        </w:rPr>
        <w:t xml:space="preserve"> </w:t>
      </w:r>
    </w:p>
    <w:p w:rsidRPr="0054626B" w:rsidR="00742953" w:rsidP="00742953" w:rsidRDefault="00742953" w14:paraId="1027A041" w14:textId="77777777">
      <w:pPr>
        <w:spacing w:line="360" w:lineRule="auto"/>
        <w:jc w:val="both"/>
        <w:rPr>
          <w:rFonts w:ascii="Palatino Linotype" w:hAnsi="Palatino Linotype" w:cs="Tahoma"/>
          <w:b/>
          <w:sz w:val="22"/>
          <w:szCs w:val="22"/>
        </w:rPr>
      </w:pPr>
    </w:p>
    <w:p w:rsidRPr="0054626B" w:rsidR="00742953" w:rsidP="00742953" w:rsidRDefault="00742953" w14:paraId="5B3B9116" w14:textId="77777777">
      <w:pPr>
        <w:spacing w:line="360" w:lineRule="auto"/>
        <w:jc w:val="both"/>
        <w:rPr>
          <w:rFonts w:ascii="Palatino Linotype" w:hAnsi="Palatino Linotype" w:cs="Tahoma"/>
          <w:sz w:val="22"/>
          <w:szCs w:val="22"/>
        </w:rPr>
      </w:pPr>
      <w:r w:rsidRPr="0054626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54626B" w:rsidR="00742953" w:rsidP="00742953" w:rsidRDefault="00742953" w14:paraId="1739F108" w14:textId="77777777">
      <w:pPr>
        <w:spacing w:line="360" w:lineRule="auto"/>
        <w:ind w:right="-28"/>
        <w:rPr>
          <w:rFonts w:ascii="Palatino Linotype" w:hAnsi="Palatino Linotype" w:cs="Tahoma"/>
          <w:b/>
          <w:sz w:val="22"/>
          <w:szCs w:val="22"/>
        </w:rPr>
      </w:pPr>
    </w:p>
    <w:p w:rsidRPr="0054626B" w:rsidR="00742953" w:rsidP="00742953" w:rsidRDefault="00742953" w14:paraId="24E072EF" w14:textId="77777777">
      <w:pPr>
        <w:spacing w:line="360" w:lineRule="auto"/>
        <w:ind w:right="-28"/>
        <w:jc w:val="center"/>
        <w:rPr>
          <w:rFonts w:ascii="Palatino Linotype" w:hAnsi="Palatino Linotype" w:cs="Tahoma"/>
          <w:b/>
          <w:sz w:val="22"/>
          <w:szCs w:val="22"/>
          <w:lang w:val="es-ES"/>
        </w:rPr>
      </w:pPr>
      <w:r w:rsidRPr="0054626B">
        <w:rPr>
          <w:rFonts w:ascii="Palatino Linotype" w:hAnsi="Palatino Linotype" w:cs="Tahoma"/>
          <w:b/>
          <w:sz w:val="22"/>
          <w:szCs w:val="22"/>
          <w:lang w:val="es-ES"/>
        </w:rPr>
        <w:t>C O N S I D E R A N D O S</w:t>
      </w:r>
    </w:p>
    <w:p w:rsidRPr="0054626B" w:rsidR="00742953" w:rsidP="00742953" w:rsidRDefault="00742953" w14:paraId="51A6090C" w14:textId="77777777">
      <w:pPr>
        <w:spacing w:line="360" w:lineRule="auto"/>
        <w:ind w:right="-28"/>
        <w:jc w:val="center"/>
        <w:rPr>
          <w:rFonts w:ascii="Palatino Linotype" w:hAnsi="Palatino Linotype" w:cs="Tahoma"/>
          <w:b/>
          <w:sz w:val="22"/>
          <w:szCs w:val="22"/>
          <w:lang w:val="es-ES"/>
        </w:rPr>
      </w:pPr>
    </w:p>
    <w:p w:rsidRPr="0054626B" w:rsidR="00742953" w:rsidP="00742953" w:rsidRDefault="00742953" w14:paraId="69B60379" w14:textId="77777777">
      <w:pPr>
        <w:autoSpaceDE w:val="0"/>
        <w:autoSpaceDN w:val="0"/>
        <w:adjustRightInd w:val="0"/>
        <w:spacing w:line="360" w:lineRule="auto"/>
        <w:ind w:right="-28"/>
        <w:jc w:val="both"/>
        <w:rPr>
          <w:rFonts w:ascii="Palatino Linotype" w:hAnsi="Palatino Linotype" w:cs="Tahoma"/>
          <w:b/>
          <w:sz w:val="22"/>
          <w:szCs w:val="22"/>
          <w:lang w:val="es-ES"/>
        </w:rPr>
      </w:pPr>
      <w:r w:rsidRPr="0054626B">
        <w:rPr>
          <w:rFonts w:ascii="Palatino Linotype" w:hAnsi="Palatino Linotype" w:eastAsia="Calibri" w:cs="Tahoma"/>
          <w:b/>
          <w:color w:val="000000"/>
          <w:sz w:val="22"/>
          <w:szCs w:val="22"/>
          <w:lang w:val="es-ES" w:eastAsia="es-MX"/>
        </w:rPr>
        <w:t>PRIMERO</w:t>
      </w:r>
      <w:r w:rsidRPr="0054626B">
        <w:rPr>
          <w:rFonts w:ascii="Palatino Linotype" w:hAnsi="Palatino Linotype" w:eastAsia="Calibri" w:cs="Tahoma"/>
          <w:color w:val="000000"/>
          <w:sz w:val="22"/>
          <w:szCs w:val="22"/>
          <w:lang w:val="es-ES" w:eastAsia="es-MX"/>
        </w:rPr>
        <w:t xml:space="preserve">. </w:t>
      </w:r>
      <w:r w:rsidRPr="0054626B">
        <w:rPr>
          <w:rFonts w:ascii="Palatino Linotype" w:hAnsi="Palatino Linotype" w:cs="Tahoma"/>
          <w:b/>
          <w:sz w:val="22"/>
          <w:szCs w:val="22"/>
          <w:lang w:val="es-ES"/>
        </w:rPr>
        <w:t>Competencia.</w:t>
      </w:r>
    </w:p>
    <w:p w:rsidRPr="0054626B" w:rsidR="00742953" w:rsidP="00742953" w:rsidRDefault="00742953" w14:paraId="06B02B4D"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54626B" w:rsidR="00742953" w:rsidP="00742953" w:rsidRDefault="00742953" w14:paraId="2F79E37E" w14:textId="77777777">
      <w:pPr>
        <w:spacing w:line="360" w:lineRule="auto"/>
        <w:ind w:right="-28"/>
        <w:jc w:val="both"/>
        <w:rPr>
          <w:rFonts w:ascii="Palatino Linotype" w:hAnsi="Palatino Linotype" w:cs="Tahoma"/>
          <w:color w:val="000000"/>
          <w:sz w:val="22"/>
          <w:szCs w:val="22"/>
        </w:rPr>
      </w:pPr>
      <w:r w:rsidRPr="0054626B">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4626B">
        <w:rPr>
          <w:color w:val="000000"/>
        </w:rPr>
        <w:t xml:space="preserve"> 7°, </w:t>
      </w:r>
      <w:r w:rsidRPr="0054626B">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54626B" w:rsidR="00742953" w:rsidP="00742953" w:rsidRDefault="00742953" w14:paraId="4AEB6BE4"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54626B">
        <w:rPr>
          <w:rFonts w:ascii="Palatino Linotype" w:hAnsi="Palatino Linotype" w:eastAsia="Calibri" w:cs="Tahoma"/>
          <w:b/>
          <w:color w:val="000000"/>
          <w:sz w:val="22"/>
          <w:szCs w:val="22"/>
          <w:lang w:val="es-ES" w:eastAsia="es-MX"/>
        </w:rPr>
        <w:lastRenderedPageBreak/>
        <w:t>SEGUNDO. Causales de improcedencia y sobreseimiento.</w:t>
      </w:r>
    </w:p>
    <w:p w:rsidRPr="0054626B" w:rsidR="00742953" w:rsidP="00742953" w:rsidRDefault="00742953" w14:paraId="4496D4FB" w14:textId="77777777">
      <w:pPr>
        <w:autoSpaceDE w:val="0"/>
        <w:autoSpaceDN w:val="0"/>
        <w:adjustRightInd w:val="0"/>
        <w:spacing w:line="360" w:lineRule="auto"/>
        <w:jc w:val="both"/>
        <w:rPr>
          <w:rFonts w:ascii="Palatino Linotype" w:hAnsi="Palatino Linotype" w:cs="Tahoma"/>
          <w:sz w:val="22"/>
          <w:szCs w:val="22"/>
          <w:lang w:val="es-ES"/>
        </w:rPr>
      </w:pPr>
    </w:p>
    <w:p w:rsidRPr="0054626B" w:rsidR="00742953" w:rsidP="00742953" w:rsidRDefault="00742953" w14:paraId="69758223" w14:textId="77777777">
      <w:pPr>
        <w:autoSpaceDE w:val="0"/>
        <w:autoSpaceDN w:val="0"/>
        <w:adjustRightInd w:val="0"/>
        <w:spacing w:line="360" w:lineRule="auto"/>
        <w:jc w:val="both"/>
        <w:rPr>
          <w:rFonts w:ascii="Palatino Linotype" w:hAnsi="Palatino Linotype" w:cs="Tahoma"/>
          <w:sz w:val="22"/>
          <w:szCs w:val="22"/>
          <w:lang w:val="es-ES"/>
        </w:rPr>
      </w:pPr>
      <w:r w:rsidRPr="0054626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54626B">
        <w:rPr>
          <w:rFonts w:ascii="Palatino Linotype" w:hAnsi="Palatino Linotype" w:cs="Tahoma"/>
          <w:i/>
          <w:sz w:val="22"/>
          <w:szCs w:val="22"/>
          <w:lang w:val="es-ES"/>
        </w:rPr>
        <w:t>litis</w:t>
      </w:r>
      <w:r w:rsidRPr="0054626B">
        <w:rPr>
          <w:rFonts w:ascii="Palatino Linotype" w:hAnsi="Palatino Linotype" w:cs="Tahoma"/>
          <w:sz w:val="22"/>
          <w:szCs w:val="22"/>
          <w:lang w:val="es-ES"/>
        </w:rPr>
        <w:t>, es necesario estudiar las causales de improcedencia y sobreseimiento para determinar lo que en Derecho proceda.</w:t>
      </w:r>
    </w:p>
    <w:p w:rsidRPr="0054626B" w:rsidR="00742953" w:rsidP="00742953" w:rsidRDefault="00742953" w14:paraId="3280DE33"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54626B" w:rsidR="00742953" w:rsidP="00742953" w:rsidRDefault="00742953" w14:paraId="14D915FC"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54626B">
        <w:rPr>
          <w:rFonts w:ascii="Palatino Linotype" w:hAnsi="Palatino Linotype" w:eastAsia="Calibri" w:cs="Tahoma"/>
          <w:b/>
          <w:color w:val="000000"/>
          <w:sz w:val="22"/>
          <w:szCs w:val="22"/>
          <w:lang w:val="es-ES" w:eastAsia="es-MX"/>
        </w:rPr>
        <w:t>Causales de improcedencia.</w:t>
      </w:r>
    </w:p>
    <w:p w:rsidRPr="0054626B" w:rsidR="00742953" w:rsidP="00742953" w:rsidRDefault="00742953" w14:paraId="672D14A6"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54626B" w:rsidR="00742953" w:rsidP="00742953" w:rsidRDefault="00742953" w14:paraId="477E15AC"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54626B">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4626B" w:rsidR="00742953" w:rsidP="00742953" w:rsidRDefault="00742953" w14:paraId="4B123A81"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54626B" w:rsidR="00742953" w:rsidP="00742953" w:rsidRDefault="00742953" w14:paraId="155B4A9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54626B">
        <w:rPr>
          <w:rFonts w:ascii="Palatino Linotype" w:hAnsi="Palatino Linotype" w:cs="Tahoma"/>
          <w:sz w:val="22"/>
          <w:szCs w:val="24"/>
        </w:rPr>
        <w:t>En el presente caso, </w:t>
      </w:r>
      <w:r w:rsidRPr="0054626B">
        <w:rPr>
          <w:rFonts w:ascii="Palatino Linotype" w:hAnsi="Palatino Linotype" w:cs="Tahoma"/>
          <w:b/>
          <w:bCs/>
          <w:sz w:val="22"/>
          <w:szCs w:val="24"/>
        </w:rPr>
        <w:t>no se actualiza ninguna de las causales de improcedencia</w:t>
      </w:r>
      <w:r w:rsidRPr="0054626B">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54626B">
        <w:rPr>
          <w:rFonts w:ascii="Palatino Linotype" w:hAnsi="Palatino Linotype" w:cs="Tahoma"/>
          <w:sz w:val="22"/>
          <w:szCs w:val="22"/>
          <w:lang w:val="es-ES"/>
        </w:rPr>
        <w:t xml:space="preserve">además de que </w:t>
      </w:r>
      <w:r w:rsidRPr="0054626B">
        <w:rPr>
          <w:rFonts w:ascii="Palatino Linotype" w:hAnsi="Palatino Linotype" w:eastAsia="Calibri" w:cs="Tahoma"/>
          <w:color w:val="000000"/>
          <w:sz w:val="22"/>
          <w:szCs w:val="22"/>
          <w:lang w:val="es-ES" w:eastAsia="es-MX"/>
        </w:rPr>
        <w:t>el medio de impugnación fue presentado en tiempo.</w:t>
      </w:r>
    </w:p>
    <w:p w:rsidRPr="0054626B" w:rsidR="00742953" w:rsidP="00742953" w:rsidRDefault="00742953" w14:paraId="6A4979FD"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54626B" w:rsidR="00742953" w:rsidP="00742953" w:rsidRDefault="00742953" w14:paraId="1FD9D7C6" w14:textId="77777777">
      <w:pPr>
        <w:widowControl w:val="0"/>
        <w:spacing w:line="360" w:lineRule="auto"/>
        <w:jc w:val="both"/>
        <w:rPr>
          <w:rFonts w:ascii="Palatino Linotype" w:hAnsi="Palatino Linotype"/>
          <w:color w:val="222222"/>
        </w:rPr>
      </w:pPr>
      <w:r w:rsidRPr="0054626B">
        <w:rPr>
          <w:rFonts w:ascii="Palatino Linotype" w:hAnsi="Palatino Linotype" w:cs="Tahoma"/>
          <w:sz w:val="22"/>
          <w:szCs w:val="22"/>
        </w:rPr>
        <w:t xml:space="preserve">Asimismo, se actualiza la causal de procedencia del Recurso de Revisión señalada en el </w:t>
      </w:r>
      <w:r w:rsidRPr="0054626B">
        <w:rPr>
          <w:rFonts w:ascii="Palatino Linotype" w:hAnsi="Palatino Linotype" w:cs="Tahoma"/>
          <w:sz w:val="22"/>
          <w:szCs w:val="22"/>
        </w:rPr>
        <w:lastRenderedPageBreak/>
        <w:t xml:space="preserve">artículo 179, fracción VII, de la Ley en cita, </w:t>
      </w:r>
      <w:r w:rsidRPr="0054626B">
        <w:rPr>
          <w:rFonts w:ascii="Palatino Linotype" w:hAnsi="Palatino Linotype" w:eastAsia="Calibri" w:cs="Tahoma"/>
          <w:color w:val="000000"/>
          <w:sz w:val="22"/>
          <w:szCs w:val="22"/>
          <w:lang w:eastAsia="es-MX"/>
        </w:rPr>
        <w:t xml:space="preserve">pues la Recurrente se inconformó con </w:t>
      </w:r>
      <w:r w:rsidRPr="0054626B">
        <w:rPr>
          <w:rFonts w:ascii="Palatino Linotype" w:hAnsi="Palatino Linotype" w:cs="Tahoma"/>
          <w:sz w:val="22"/>
          <w:szCs w:val="22"/>
        </w:rPr>
        <w:t>la falta de respuesta a su solicitud de acceso a la información pública.</w:t>
      </w:r>
    </w:p>
    <w:p w:rsidRPr="0054626B" w:rsidR="00742953" w:rsidP="00742953" w:rsidRDefault="00742953" w14:paraId="033779E3" w14:textId="77777777">
      <w:pPr>
        <w:spacing w:line="360" w:lineRule="auto"/>
        <w:ind w:right="-28"/>
        <w:jc w:val="both"/>
        <w:rPr>
          <w:rFonts w:ascii="Palatino Linotype" w:hAnsi="Palatino Linotype" w:eastAsia="Calibri" w:cs="Tahoma"/>
          <w:b/>
          <w:sz w:val="22"/>
          <w:szCs w:val="22"/>
          <w:lang w:val="es-ES" w:eastAsia="es-ES_tradnl"/>
        </w:rPr>
      </w:pPr>
    </w:p>
    <w:p w:rsidRPr="0054626B" w:rsidR="00742953" w:rsidP="00742953" w:rsidRDefault="00742953" w14:paraId="296D8B4D" w14:textId="125FB6A4">
      <w:pPr>
        <w:spacing w:line="360" w:lineRule="auto"/>
        <w:ind w:right="-28"/>
        <w:jc w:val="both"/>
        <w:rPr>
          <w:rFonts w:ascii="Palatino Linotype" w:hAnsi="Palatino Linotype" w:eastAsia="Calibri" w:cs="Tahoma"/>
          <w:b/>
          <w:sz w:val="22"/>
          <w:szCs w:val="22"/>
          <w:lang w:val="es-ES" w:eastAsia="es-ES_tradnl"/>
        </w:rPr>
      </w:pPr>
      <w:r w:rsidRPr="0054626B">
        <w:rPr>
          <w:rFonts w:ascii="Palatino Linotype" w:hAnsi="Palatino Linotype" w:eastAsia="Calibri" w:cs="Tahoma"/>
          <w:b/>
          <w:sz w:val="22"/>
          <w:szCs w:val="22"/>
          <w:lang w:val="es-ES" w:eastAsia="es-ES_tradnl"/>
        </w:rPr>
        <w:t>Causales de sobreseimiento.</w:t>
      </w:r>
    </w:p>
    <w:p w:rsidRPr="0054626B" w:rsidR="008B5420" w:rsidP="00742953" w:rsidRDefault="008B5420" w14:paraId="7CEE65A6" w14:textId="77777777">
      <w:pPr>
        <w:spacing w:line="360" w:lineRule="auto"/>
        <w:ind w:right="-28"/>
        <w:jc w:val="both"/>
        <w:rPr>
          <w:rFonts w:ascii="Palatino Linotype" w:hAnsi="Palatino Linotype" w:eastAsia="Calibri" w:cs="Tahoma"/>
          <w:sz w:val="22"/>
          <w:szCs w:val="22"/>
          <w:lang w:val="es-ES" w:eastAsia="es-ES_tradnl"/>
        </w:rPr>
      </w:pPr>
    </w:p>
    <w:p w:rsidRPr="0054626B" w:rsidR="00742953" w:rsidP="00742953" w:rsidRDefault="00742953" w14:paraId="6A85C535" w14:textId="77777777">
      <w:pPr>
        <w:spacing w:line="360" w:lineRule="auto"/>
        <w:ind w:right="-28"/>
        <w:jc w:val="both"/>
        <w:rPr>
          <w:rFonts w:ascii="Palatino Linotype" w:hAnsi="Palatino Linotype" w:eastAsia="Calibri" w:cs="Tahoma"/>
          <w:sz w:val="22"/>
          <w:szCs w:val="22"/>
          <w:lang w:val="es-ES" w:eastAsia="es-ES_tradnl"/>
        </w:rPr>
      </w:pPr>
      <w:r w:rsidRPr="0054626B">
        <w:rPr>
          <w:rFonts w:ascii="Palatino Linotype" w:hAnsi="Palatino Linotype" w:cs="Tahoma"/>
          <w:sz w:val="22"/>
          <w:szCs w:val="24"/>
        </w:rPr>
        <w:t>Por ser de previo y especial pronunciamiento, este Instituto analiza si se actualiza alguna causal de sobreseimiento.</w:t>
      </w:r>
    </w:p>
    <w:p w:rsidRPr="0054626B" w:rsidR="00742953" w:rsidP="00742953" w:rsidRDefault="00742953" w14:paraId="28EB7C50" w14:textId="77777777">
      <w:pPr>
        <w:spacing w:line="360" w:lineRule="auto"/>
        <w:jc w:val="both"/>
        <w:rPr>
          <w:rFonts w:ascii="Palatino Linotype" w:hAnsi="Palatino Linotype" w:cs="Tahoma"/>
          <w:sz w:val="22"/>
          <w:szCs w:val="24"/>
        </w:rPr>
      </w:pPr>
    </w:p>
    <w:p w:rsidRPr="0054626B" w:rsidR="00742953" w:rsidP="00742953" w:rsidRDefault="00742953" w14:paraId="6D0CDEC7" w14:textId="77777777">
      <w:pPr>
        <w:spacing w:line="360" w:lineRule="auto"/>
        <w:jc w:val="both"/>
        <w:rPr>
          <w:rFonts w:ascii="Palatino Linotype" w:hAnsi="Palatino Linotype" w:cs="Tahoma"/>
          <w:sz w:val="22"/>
          <w:szCs w:val="24"/>
        </w:rPr>
      </w:pPr>
      <w:r w:rsidRPr="0054626B">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54626B" w:rsidR="00742953" w:rsidP="00742953" w:rsidRDefault="00742953" w14:paraId="21CB70B4" w14:textId="77777777">
      <w:pPr>
        <w:spacing w:line="360" w:lineRule="auto"/>
        <w:jc w:val="both"/>
        <w:rPr>
          <w:rFonts w:ascii="Palatino Linotype" w:hAnsi="Palatino Linotype" w:cs="Tahoma"/>
          <w:sz w:val="22"/>
          <w:szCs w:val="24"/>
        </w:rPr>
      </w:pPr>
    </w:p>
    <w:p w:rsidRPr="0054626B" w:rsidR="00742953" w:rsidP="00742953" w:rsidRDefault="00742953" w14:paraId="14AF7F56" w14:textId="77777777">
      <w:pPr>
        <w:spacing w:line="360" w:lineRule="auto"/>
        <w:jc w:val="both"/>
        <w:rPr>
          <w:rFonts w:ascii="Palatino Linotype" w:hAnsi="Palatino Linotype" w:cs="Tahoma"/>
          <w:sz w:val="22"/>
          <w:szCs w:val="24"/>
          <w:lang w:val="es-ES"/>
        </w:rPr>
      </w:pPr>
      <w:r w:rsidRPr="0054626B">
        <w:rPr>
          <w:rFonts w:ascii="Palatino Linotype" w:hAnsi="Palatino Linotype" w:cs="Tahoma"/>
          <w:bCs/>
          <w:sz w:val="22"/>
          <w:szCs w:val="24"/>
          <w:lang w:val="es-ES"/>
        </w:rPr>
        <w:t xml:space="preserve">Por tales motivos, </w:t>
      </w:r>
      <w:r w:rsidRPr="0054626B">
        <w:rPr>
          <w:rFonts w:ascii="Palatino Linotype" w:hAnsi="Palatino Linotype" w:cs="Tahoma"/>
          <w:sz w:val="22"/>
          <w:szCs w:val="24"/>
          <w:lang w:val="es-ES"/>
        </w:rPr>
        <w:t>se considera procedente entrar al fondo del presente asunto.</w:t>
      </w:r>
    </w:p>
    <w:p w:rsidRPr="0054626B" w:rsidR="00742953" w:rsidP="00742953" w:rsidRDefault="00742953" w14:paraId="2BB4C6D5"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54626B" w:rsidR="00742953" w:rsidP="00742953" w:rsidRDefault="00742953" w14:paraId="513CA2E2"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54626B">
        <w:rPr>
          <w:rFonts w:ascii="Palatino Linotype" w:hAnsi="Palatino Linotype" w:eastAsia="Calibri" w:cs="Tahoma"/>
          <w:b/>
          <w:iCs/>
          <w:sz w:val="22"/>
          <w:szCs w:val="22"/>
          <w:lang w:val="es-ES" w:eastAsia="es-ES_tradnl"/>
        </w:rPr>
        <w:t xml:space="preserve">TERCERO. Determinación de la Controversia. </w:t>
      </w:r>
    </w:p>
    <w:p w:rsidRPr="0054626B" w:rsidR="00742953" w:rsidP="00742953" w:rsidRDefault="00742953" w14:paraId="1E419936"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54626B" w:rsidR="00483234" w:rsidP="00483234" w:rsidRDefault="00742953" w14:paraId="66A8F5F9" w14:textId="0C3FBB24">
      <w:pPr>
        <w:tabs>
          <w:tab w:val="left" w:pos="4962"/>
        </w:tabs>
        <w:spacing w:line="360" w:lineRule="auto"/>
        <w:ind w:right="-28"/>
        <w:jc w:val="both"/>
        <w:rPr>
          <w:rFonts w:ascii="Palatino Linotype" w:hAnsi="Palatino Linotype" w:eastAsia="Calibri" w:cs="Tahoma"/>
          <w:iCs/>
          <w:szCs w:val="22"/>
          <w:lang w:val="es-ES" w:eastAsia="es-ES_tradnl"/>
        </w:rPr>
      </w:pPr>
      <w:r w:rsidRPr="0054626B">
        <w:rPr>
          <w:rFonts w:ascii="Palatino Linotype" w:hAnsi="Palatino Linotype" w:eastAsia="Calibri"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sidRPr="0054626B">
        <w:rPr>
          <w:rFonts w:ascii="Palatino Linotype" w:hAnsi="Palatino Linotype" w:eastAsia="Calibri" w:cs="Tahoma"/>
          <w:bCs/>
          <w:sz w:val="22"/>
          <w:szCs w:val="22"/>
          <w:lang w:eastAsia="en-US"/>
        </w:rPr>
        <w:t xml:space="preserve">el Particular </w:t>
      </w:r>
      <w:r w:rsidRPr="0054626B">
        <w:rPr>
          <w:rFonts w:ascii="Palatino Linotype" w:hAnsi="Palatino Linotype" w:eastAsia="Calibri" w:cs="Tahoma"/>
          <w:iCs/>
          <w:sz w:val="22"/>
          <w:szCs w:val="22"/>
          <w:lang w:val="es-ES" w:eastAsia="es-ES_tradnl"/>
        </w:rPr>
        <w:t xml:space="preserve">solicitó </w:t>
      </w:r>
      <w:r w:rsidRPr="0054626B" w:rsidR="00BC55F9">
        <w:rPr>
          <w:rFonts w:ascii="Palatino Linotype" w:hAnsi="Palatino Linotype" w:eastAsia="Calibri" w:cs="Tahoma"/>
          <w:iCs/>
          <w:sz w:val="22"/>
          <w:szCs w:val="22"/>
          <w:lang w:val="es-ES" w:eastAsia="es-ES_tradnl"/>
        </w:rPr>
        <w:t>a través de un cuestionario, con treinta y dos temas, con diversos cuestionamientos, información relacionada con los archivos municipales.</w:t>
      </w:r>
    </w:p>
    <w:p w:rsidRPr="0054626B" w:rsidR="00483234" w:rsidP="00483234" w:rsidRDefault="00483234" w14:paraId="3A0E7E54" w14:textId="77777777">
      <w:pPr>
        <w:tabs>
          <w:tab w:val="left" w:pos="4962"/>
        </w:tabs>
        <w:spacing w:line="360" w:lineRule="auto"/>
        <w:ind w:right="-28"/>
        <w:jc w:val="both"/>
        <w:rPr>
          <w:rFonts w:ascii="Palatino Linotype" w:hAnsi="Palatino Linotype" w:eastAsia="Calibri" w:cs="Tahoma"/>
          <w:iCs/>
          <w:szCs w:val="22"/>
          <w:lang w:val="es-ES" w:eastAsia="es-ES_tradnl"/>
        </w:rPr>
      </w:pPr>
    </w:p>
    <w:p w:rsidRPr="0054626B" w:rsidR="00742953" w:rsidP="00742953" w:rsidRDefault="00742953" w14:paraId="67DFE7C3" w14:textId="77777777">
      <w:pPr>
        <w:autoSpaceDE w:val="0"/>
        <w:autoSpaceDN w:val="0"/>
        <w:adjustRightInd w:val="0"/>
        <w:spacing w:line="360" w:lineRule="auto"/>
        <w:jc w:val="both"/>
        <w:rPr>
          <w:rFonts w:ascii="Palatino Linotype" w:hAnsi="Palatino Linotype" w:eastAsia="Calibri" w:cs="Tahoma"/>
          <w:iCs/>
          <w:sz w:val="22"/>
          <w:szCs w:val="22"/>
          <w:lang w:val="es-ES" w:eastAsia="es-ES_tradnl"/>
        </w:rPr>
      </w:pPr>
      <w:r w:rsidRPr="0054626B">
        <w:rPr>
          <w:rFonts w:ascii="Palatino Linotype" w:hAnsi="Palatino Linotype" w:eastAsia="Calibri"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w:t>
      </w:r>
      <w:r w:rsidRPr="0054626B">
        <w:rPr>
          <w:rFonts w:ascii="Palatino Linotype" w:hAnsi="Palatino Linotype" w:eastAsia="Calibri" w:cs="Tahoma"/>
          <w:iCs/>
          <w:color w:val="000000"/>
          <w:sz w:val="22"/>
          <w:szCs w:val="22"/>
          <w:lang w:val="es-ES" w:eastAsia="en-US"/>
        </w:rPr>
        <w:lastRenderedPageBreak/>
        <w:t xml:space="preserve">Estado de México y Municipios. </w:t>
      </w:r>
      <w:r w:rsidRPr="0054626B">
        <w:rPr>
          <w:rFonts w:ascii="Palatino Linotype" w:hAnsi="Palatino Linotype" w:cs="Tahoma"/>
          <w:iCs/>
          <w:sz w:val="22"/>
          <w:szCs w:val="22"/>
          <w:lang w:val="es-ES"/>
        </w:rPr>
        <w:t>Así las cosas, una vez admitido y notificado el Recurso de Revisión a las partes, éstas fueron omisas en realizar manifestaciones y alegatos.</w:t>
      </w:r>
    </w:p>
    <w:p w:rsidRPr="0054626B" w:rsidR="00742953" w:rsidP="00742953" w:rsidRDefault="00742953" w14:paraId="13CB0AB8"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54626B" w:rsidR="00742953" w:rsidP="00742953" w:rsidRDefault="00742953" w14:paraId="6F66F761" w14:textId="77777777">
      <w:pPr>
        <w:tabs>
          <w:tab w:val="left" w:pos="4962"/>
        </w:tabs>
        <w:spacing w:line="360" w:lineRule="auto"/>
        <w:jc w:val="both"/>
        <w:rPr>
          <w:rFonts w:ascii="Palatino Linotype" w:hAnsi="Palatino Linotype" w:eastAsia="Calibri" w:cs="Tahoma"/>
          <w:bCs/>
          <w:sz w:val="22"/>
          <w:szCs w:val="22"/>
        </w:rPr>
      </w:pPr>
      <w:r w:rsidRPr="0054626B">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54626B">
        <w:rPr>
          <w:rFonts w:ascii="Palatino Linotype" w:hAnsi="Palatino Linotype" w:eastAsia="Calibri" w:cs="Tahoma"/>
          <w:iCs/>
          <w:sz w:val="22"/>
          <w:szCs w:val="22"/>
          <w:lang w:eastAsia="es-ES_tradnl"/>
        </w:rPr>
        <w:t xml:space="preserve">y el escrito </w:t>
      </w:r>
      <w:proofErr w:type="spellStart"/>
      <w:r w:rsidRPr="0054626B">
        <w:rPr>
          <w:rFonts w:ascii="Palatino Linotype" w:hAnsi="Palatino Linotype" w:eastAsia="Calibri" w:cs="Tahoma"/>
          <w:iCs/>
          <w:sz w:val="22"/>
          <w:szCs w:val="22"/>
          <w:lang w:eastAsia="es-ES_tradnl"/>
        </w:rPr>
        <w:t>recursal</w:t>
      </w:r>
      <w:proofErr w:type="spellEnd"/>
      <w:r w:rsidRPr="0054626B">
        <w:rPr>
          <w:rFonts w:ascii="Palatino Linotype" w:hAnsi="Palatino Linotype" w:eastAsia="Calibri" w:cs="Tahoma"/>
          <w:iCs/>
          <w:sz w:val="22"/>
          <w:szCs w:val="22"/>
          <w:lang w:eastAsia="es-ES_tradnl"/>
        </w:rPr>
        <w:t xml:space="preserve">; </w:t>
      </w:r>
      <w:r w:rsidRPr="0054626B">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54626B" w:rsidR="00742953" w:rsidP="00742953" w:rsidRDefault="00742953" w14:paraId="5C2D2977"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54626B" w:rsidR="00742953" w:rsidP="00742953" w:rsidRDefault="00742953" w14:paraId="4B9CA35B" w14:textId="77777777">
      <w:pPr>
        <w:spacing w:line="360" w:lineRule="auto"/>
        <w:ind w:right="-28"/>
        <w:jc w:val="both"/>
        <w:rPr>
          <w:rFonts w:ascii="Palatino Linotype" w:hAnsi="Palatino Linotype" w:cs="Tahoma"/>
          <w:b/>
          <w:sz w:val="22"/>
          <w:szCs w:val="22"/>
        </w:rPr>
      </w:pPr>
      <w:r w:rsidRPr="0054626B">
        <w:rPr>
          <w:rFonts w:ascii="Palatino Linotype" w:hAnsi="Palatino Linotype" w:cs="Tahoma"/>
          <w:b/>
          <w:sz w:val="22"/>
          <w:szCs w:val="22"/>
          <w:lang w:val="es-ES"/>
        </w:rPr>
        <w:t xml:space="preserve">CUARTO. </w:t>
      </w:r>
      <w:r w:rsidRPr="0054626B">
        <w:rPr>
          <w:rFonts w:ascii="Palatino Linotype" w:hAnsi="Palatino Linotype" w:cs="Tahoma"/>
          <w:b/>
          <w:sz w:val="22"/>
          <w:szCs w:val="22"/>
        </w:rPr>
        <w:t>Marco normativo aplicable en materia de transparencia y acceso a la información pública.</w:t>
      </w:r>
    </w:p>
    <w:p w:rsidRPr="0054626B" w:rsidR="00742953" w:rsidP="00742953" w:rsidRDefault="00742953" w14:paraId="5333ADD4" w14:textId="77777777">
      <w:pPr>
        <w:spacing w:line="360" w:lineRule="auto"/>
        <w:ind w:right="-28"/>
        <w:jc w:val="both"/>
        <w:rPr>
          <w:rFonts w:ascii="Palatino Linotype" w:hAnsi="Palatino Linotype" w:cs="Tahoma"/>
          <w:b/>
          <w:sz w:val="22"/>
          <w:szCs w:val="22"/>
        </w:rPr>
      </w:pPr>
    </w:p>
    <w:p w:rsidRPr="0054626B" w:rsidR="00742953" w:rsidP="00742953" w:rsidRDefault="00742953" w14:paraId="00A07AB5"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54626B">
        <w:rPr>
          <w:rFonts w:ascii="Palatino Linotype" w:hAnsi="Palatino Linotype" w:cs="Tahoma"/>
          <w:bCs/>
          <w:iCs/>
          <w:sz w:val="22"/>
          <w:szCs w:val="22"/>
        </w:rPr>
        <w:t>autoridad,</w:t>
      </w:r>
      <w:proofErr w:type="gramEnd"/>
      <w:r w:rsidRPr="0054626B">
        <w:rPr>
          <w:rFonts w:ascii="Palatino Linotype" w:hAnsi="Palatino Linotype" w:cs="Tahoma"/>
          <w:bCs/>
          <w:iCs/>
          <w:sz w:val="22"/>
          <w:szCs w:val="22"/>
        </w:rPr>
        <w:t xml:space="preserve"> es pública y sólo podrá ser reservada temporalmente por razones de interés público.</w:t>
      </w:r>
    </w:p>
    <w:p w:rsidRPr="0054626B" w:rsidR="00742953" w:rsidP="00742953" w:rsidRDefault="00742953" w14:paraId="27901951"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5E280EAB"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4626B" w:rsidR="00742953" w:rsidP="00742953" w:rsidRDefault="00742953" w14:paraId="41C79E16"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220879A0"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4626B" w:rsidR="00742953" w:rsidP="00742953" w:rsidRDefault="00742953" w14:paraId="3A2EBB7A"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2DDB14AF"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54626B" w:rsidR="00742953" w:rsidP="00742953" w:rsidRDefault="00742953" w14:paraId="48B53D7D"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6C04BBED"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54626B" w:rsidR="00742953" w:rsidP="00742953" w:rsidRDefault="00742953" w14:paraId="0CAA52EF"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7D3C5A96"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54626B" w:rsidR="00742953" w:rsidP="00742953" w:rsidRDefault="00742953" w14:paraId="0F6C1C70" w14:textId="77777777">
      <w:pPr>
        <w:spacing w:line="360" w:lineRule="auto"/>
        <w:ind w:right="-28"/>
        <w:jc w:val="both"/>
        <w:rPr>
          <w:rFonts w:ascii="Palatino Linotype" w:hAnsi="Palatino Linotype" w:cs="Tahoma"/>
          <w:bCs/>
          <w:iCs/>
          <w:sz w:val="22"/>
          <w:szCs w:val="22"/>
        </w:rPr>
      </w:pPr>
    </w:p>
    <w:p w:rsidRPr="0054626B" w:rsidR="00742953" w:rsidP="00742953" w:rsidRDefault="00742953" w14:paraId="418BB68D" w14:textId="77777777">
      <w:pPr>
        <w:spacing w:line="360" w:lineRule="auto"/>
        <w:ind w:right="-28"/>
        <w:jc w:val="both"/>
        <w:rPr>
          <w:rFonts w:ascii="Palatino Linotype" w:hAnsi="Palatino Linotype" w:cs="Tahoma"/>
          <w:bCs/>
          <w:iCs/>
          <w:sz w:val="22"/>
          <w:szCs w:val="22"/>
        </w:rPr>
      </w:pPr>
      <w:r w:rsidRPr="0054626B">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4626B" w:rsidR="00742953" w:rsidP="00742953" w:rsidRDefault="00742953" w14:paraId="27E70C1A" w14:textId="77777777">
      <w:pPr>
        <w:spacing w:line="360" w:lineRule="auto"/>
        <w:ind w:right="-28"/>
        <w:jc w:val="both"/>
        <w:rPr>
          <w:rFonts w:ascii="Palatino Linotype" w:hAnsi="Palatino Linotype" w:cs="Tahoma"/>
          <w:b/>
          <w:sz w:val="22"/>
          <w:szCs w:val="22"/>
          <w:lang w:val="es-ES"/>
        </w:rPr>
      </w:pPr>
    </w:p>
    <w:p w:rsidRPr="0054626B" w:rsidR="00742953" w:rsidP="00742953" w:rsidRDefault="00742953" w14:paraId="56E305D5" w14:textId="77777777">
      <w:pPr>
        <w:spacing w:line="360" w:lineRule="auto"/>
        <w:ind w:right="-28"/>
        <w:contextualSpacing/>
        <w:jc w:val="both"/>
        <w:rPr>
          <w:rFonts w:ascii="Palatino Linotype" w:hAnsi="Palatino Linotype" w:cs="Tahoma"/>
          <w:b/>
          <w:sz w:val="22"/>
          <w:szCs w:val="22"/>
        </w:rPr>
      </w:pPr>
      <w:r w:rsidRPr="0054626B">
        <w:rPr>
          <w:rFonts w:ascii="Palatino Linotype" w:hAnsi="Palatino Linotype" w:cs="Tahoma"/>
          <w:b/>
          <w:sz w:val="22"/>
          <w:szCs w:val="22"/>
        </w:rPr>
        <w:t>QUINTO. Estudio de Fondo.</w:t>
      </w:r>
    </w:p>
    <w:p w:rsidRPr="0054626B" w:rsidR="00742953" w:rsidP="00742953" w:rsidRDefault="00742953" w14:paraId="5E63A9EC"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54626B" w:rsidR="00742953" w:rsidP="00742953" w:rsidRDefault="00742953" w14:paraId="307AB201" w14:textId="0F5D05D9">
      <w:pPr>
        <w:spacing w:line="360" w:lineRule="auto"/>
        <w:ind w:right="-28"/>
        <w:contextualSpacing/>
        <w:jc w:val="both"/>
        <w:rPr>
          <w:rFonts w:ascii="Palatino Linotype" w:hAnsi="Palatino Linotype" w:cs="Tahoma"/>
          <w:bCs/>
          <w:iCs/>
          <w:sz w:val="22"/>
          <w:szCs w:val="22"/>
        </w:rPr>
      </w:pPr>
      <w:r w:rsidRPr="0054626B">
        <w:rPr>
          <w:rFonts w:ascii="Palatino Linotype" w:hAnsi="Palatino Linotype" w:cs="Tahoma"/>
          <w:bCs/>
          <w:iCs/>
          <w:sz w:val="22"/>
          <w:szCs w:val="22"/>
        </w:rPr>
        <w:t>Expuestas las posturas de las partes</w:t>
      </w:r>
      <w:r w:rsidRPr="0054626B">
        <w:rPr>
          <w:rFonts w:ascii="Palatino Linotype" w:hAnsi="Palatino Linotype" w:cs="Tahoma"/>
          <w:sz w:val="22"/>
          <w:szCs w:val="22"/>
        </w:rPr>
        <w:t>,</w:t>
      </w:r>
      <w:r w:rsidRPr="0054626B">
        <w:rPr>
          <w:rFonts w:ascii="Palatino Linotype" w:hAnsi="Palatino Linotype" w:cs="Tahoma"/>
          <w:bCs/>
          <w:iCs/>
          <w:sz w:val="22"/>
          <w:szCs w:val="22"/>
        </w:rPr>
        <w:t xml:space="preserve"> se procede a realizar el análisis del agravio hecho valer por el ahora Recurrente, concerniente a la fata de respuesta del Ayuntamiento de T</w:t>
      </w:r>
      <w:r w:rsidRPr="0054626B" w:rsidR="00483234">
        <w:rPr>
          <w:rFonts w:ascii="Palatino Linotype" w:hAnsi="Palatino Linotype" w:cs="Tahoma"/>
          <w:bCs/>
          <w:iCs/>
          <w:sz w:val="22"/>
          <w:szCs w:val="22"/>
        </w:rPr>
        <w:t>epetlixpa</w:t>
      </w:r>
      <w:r w:rsidRPr="0054626B">
        <w:rPr>
          <w:rFonts w:ascii="Palatino Linotype" w:hAnsi="Palatino Linotype" w:cs="Tahoma"/>
          <w:bCs/>
          <w:iCs/>
          <w:sz w:val="22"/>
          <w:szCs w:val="22"/>
        </w:rPr>
        <w:t>, a la solicitud de acceso a la información presentada.</w:t>
      </w:r>
    </w:p>
    <w:p w:rsidRPr="0054626B" w:rsidR="00742953" w:rsidP="00742953" w:rsidRDefault="00742953" w14:paraId="6E0BA016" w14:textId="77777777">
      <w:pPr>
        <w:spacing w:line="360" w:lineRule="auto"/>
        <w:ind w:right="-28"/>
        <w:contextualSpacing/>
        <w:jc w:val="both"/>
        <w:rPr>
          <w:rFonts w:ascii="Palatino Linotype" w:hAnsi="Palatino Linotype" w:cs="Tahoma"/>
          <w:bCs/>
          <w:iCs/>
          <w:sz w:val="22"/>
          <w:szCs w:val="22"/>
        </w:rPr>
      </w:pPr>
    </w:p>
    <w:p w:rsidRPr="0054626B" w:rsidR="00742953" w:rsidP="00742953" w:rsidRDefault="00742953" w14:paraId="4F095005" w14:textId="77777777">
      <w:pPr>
        <w:spacing w:line="360" w:lineRule="auto"/>
        <w:ind w:right="-28"/>
        <w:contextualSpacing/>
        <w:jc w:val="both"/>
        <w:rPr>
          <w:rFonts w:ascii="Palatino Linotype" w:hAnsi="Palatino Linotype" w:cs="Tahoma"/>
          <w:bCs/>
          <w:iCs/>
          <w:color w:val="0D0D0D" w:themeColor="text1" w:themeTint="F2"/>
          <w:sz w:val="22"/>
        </w:rPr>
      </w:pPr>
      <w:r w:rsidRPr="0054626B">
        <w:rPr>
          <w:rFonts w:ascii="Palatino Linotype" w:hAnsi="Palatino Linotype" w:cs="Tahoma"/>
          <w:bCs/>
          <w:iCs/>
          <w:sz w:val="22"/>
          <w:szCs w:val="22"/>
        </w:rPr>
        <w:t xml:space="preserve">En principio resulta necesario señalar los objetivos de la Ley de Transparencia y </w:t>
      </w:r>
      <w:r w:rsidRPr="0054626B">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54626B" w:rsidR="00742953" w:rsidP="00742953" w:rsidRDefault="00742953" w14:paraId="1500C31E" w14:textId="5BF4BF18">
      <w:pPr>
        <w:spacing w:line="360" w:lineRule="auto"/>
        <w:rPr>
          <w:rFonts w:ascii="Palatino Linotype" w:hAnsi="Palatino Linotype" w:cs="Tahoma"/>
          <w:bCs/>
          <w:iCs/>
          <w:color w:val="0D0D0D" w:themeColor="text1" w:themeTint="F2"/>
          <w:sz w:val="22"/>
        </w:rPr>
      </w:pPr>
    </w:p>
    <w:p w:rsidRPr="0054626B" w:rsidR="00C078E9" w:rsidP="00742953" w:rsidRDefault="00C078E9" w14:paraId="5753E956" w14:textId="492B7E7B">
      <w:pPr>
        <w:spacing w:line="360" w:lineRule="auto"/>
        <w:rPr>
          <w:rFonts w:ascii="Palatino Linotype" w:hAnsi="Palatino Linotype" w:cs="Tahoma"/>
          <w:bCs/>
          <w:iCs/>
          <w:color w:val="0D0D0D" w:themeColor="text1" w:themeTint="F2"/>
          <w:sz w:val="22"/>
        </w:rPr>
      </w:pPr>
    </w:p>
    <w:p w:rsidRPr="0054626B" w:rsidR="00C078E9" w:rsidP="00742953" w:rsidRDefault="00C078E9" w14:paraId="24A0004A"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594A063A" w14:textId="77777777">
      <w:pPr>
        <w:numPr>
          <w:ilvl w:val="0"/>
          <w:numId w:val="4"/>
        </w:num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rsidRPr="0054626B" w:rsidR="00742953" w:rsidP="00742953" w:rsidRDefault="00742953" w14:paraId="07DDBEFB"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60F469D7" w14:textId="77777777">
      <w:pPr>
        <w:numPr>
          <w:ilvl w:val="0"/>
          <w:numId w:val="4"/>
        </w:num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Transparentar la gestión pública, mediante la difusión de la información generada por los Sujetos Obligados, y</w:t>
      </w:r>
    </w:p>
    <w:p w:rsidRPr="0054626B" w:rsidR="00742953" w:rsidP="00742953" w:rsidRDefault="00742953" w14:paraId="1B8D41F6"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15284094" w14:textId="77777777">
      <w:pPr>
        <w:numPr>
          <w:ilvl w:val="0"/>
          <w:numId w:val="4"/>
        </w:num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rsidRPr="0054626B" w:rsidR="00742953" w:rsidP="00742953" w:rsidRDefault="00742953" w14:paraId="444228CF"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39246C22" w14:textId="77777777">
      <w:pPr>
        <w:widowControl w:val="0"/>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 xml:space="preserve">Conforme a lo anterior, se deprende que </w:t>
      </w:r>
      <w:r w:rsidRPr="0054626B">
        <w:rPr>
          <w:rFonts w:ascii="Palatino Linotype" w:hAnsi="Palatino Linotype" w:cs="Tahoma"/>
          <w:b/>
          <w:bCs/>
          <w:iCs/>
          <w:color w:val="0D0D0D" w:themeColor="text1" w:themeTint="F2"/>
          <w:sz w:val="22"/>
        </w:rPr>
        <w:t xml:space="preserve">los objetivos de la Ley de la </w:t>
      </w:r>
      <w:proofErr w:type="gramStart"/>
      <w:r w:rsidRPr="0054626B">
        <w:rPr>
          <w:rFonts w:ascii="Palatino Linotype" w:hAnsi="Palatino Linotype" w:cs="Tahoma"/>
          <w:b/>
          <w:bCs/>
          <w:iCs/>
          <w:color w:val="0D0D0D" w:themeColor="text1" w:themeTint="F2"/>
          <w:sz w:val="22"/>
        </w:rPr>
        <w:t>materia,</w:t>
      </w:r>
      <w:proofErr w:type="gramEnd"/>
      <w:r w:rsidRPr="0054626B">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54626B" w:rsidR="00742953" w:rsidP="00742953" w:rsidRDefault="00742953" w14:paraId="45553383" w14:textId="77777777">
      <w:pPr>
        <w:spacing w:line="360" w:lineRule="auto"/>
        <w:jc w:val="both"/>
        <w:rPr>
          <w:rFonts w:ascii="Palatino Linotype" w:hAnsi="Palatino Linotype" w:cs="Tahoma"/>
          <w:bCs/>
          <w:iCs/>
          <w:color w:val="0D0D0D" w:themeColor="text1" w:themeTint="F2"/>
          <w:sz w:val="22"/>
        </w:rPr>
      </w:pPr>
    </w:p>
    <w:p w:rsidRPr="0054626B" w:rsidR="00742953" w:rsidP="00742953" w:rsidRDefault="00742953" w14:paraId="70A5F64A" w14:textId="77777777">
      <w:p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54626B">
        <w:rPr>
          <w:rFonts w:ascii="Palatino Linotype" w:hAnsi="Palatino Linotype" w:cs="Tahoma"/>
          <w:b/>
          <w:bCs/>
          <w:iCs/>
          <w:color w:val="0D0D0D" w:themeColor="text1" w:themeTint="F2"/>
          <w:sz w:val="22"/>
        </w:rPr>
        <w:t>principio de máxima publicidad</w:t>
      </w:r>
      <w:r w:rsidRPr="0054626B">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4626B" w:rsidR="00742953" w:rsidP="00742953" w:rsidRDefault="00742953" w14:paraId="29E65C96" w14:textId="77777777">
      <w:pPr>
        <w:spacing w:line="360" w:lineRule="auto"/>
        <w:jc w:val="both"/>
        <w:rPr>
          <w:rFonts w:ascii="Palatino Linotype" w:hAnsi="Palatino Linotype" w:cs="Tahoma"/>
          <w:bCs/>
          <w:iCs/>
          <w:color w:val="0D0D0D" w:themeColor="text1" w:themeTint="F2"/>
          <w:sz w:val="22"/>
        </w:rPr>
      </w:pPr>
    </w:p>
    <w:p w:rsidRPr="0054626B" w:rsidR="00742953" w:rsidP="00742953" w:rsidRDefault="00742953" w14:paraId="057AA8F5" w14:textId="77777777">
      <w:p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 xml:space="preserve">Para lograr lo anterior, los Sujetos Obligados deben seguir el procedimiento para la atención a las solicitudes de acceso a la información, establecido en los artículos 151, 160, 162, 163, 164, </w:t>
      </w:r>
      <w:r w:rsidRPr="0054626B">
        <w:rPr>
          <w:rFonts w:ascii="Palatino Linotype" w:hAnsi="Palatino Linotype" w:cs="Tahoma"/>
          <w:bCs/>
          <w:iCs/>
          <w:color w:val="0D0D0D" w:themeColor="text1" w:themeTint="F2"/>
          <w:sz w:val="22"/>
        </w:rPr>
        <w:lastRenderedPageBreak/>
        <w:t>165 y 166, de la Ley de Transparencia y Acceso a la Información Pública del Estado de México y Municipios, el cual es el siguiente:</w:t>
      </w:r>
    </w:p>
    <w:p w:rsidRPr="0054626B" w:rsidR="00742953" w:rsidP="00742953" w:rsidRDefault="00742953" w14:paraId="4DB076E6"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05CE42BB" w14:textId="77777777">
      <w:pPr>
        <w:numPr>
          <w:ilvl w:val="0"/>
          <w:numId w:val="5"/>
        </w:num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54626B" w:rsidR="00742953" w:rsidP="00742953" w:rsidRDefault="00742953" w14:paraId="54E2A5FF"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16070BF8" w14:textId="77777777">
      <w:pPr>
        <w:numPr>
          <w:ilvl w:val="0"/>
          <w:numId w:val="5"/>
        </w:numPr>
        <w:spacing w:line="360" w:lineRule="auto"/>
        <w:jc w:val="both"/>
        <w:rPr>
          <w:rFonts w:ascii="Palatino Linotype" w:hAnsi="Palatino Linotype" w:cs="Tahoma"/>
          <w:bCs/>
          <w:iCs/>
          <w:color w:val="0D0D0D" w:themeColor="text1" w:themeTint="F2"/>
          <w:sz w:val="22"/>
        </w:rPr>
      </w:pPr>
      <w:r w:rsidRPr="0054626B">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54626B">
        <w:rPr>
          <w:rFonts w:ascii="Palatino Linotype" w:hAnsi="Palatino Linotype" w:cs="Tahoma"/>
          <w:b/>
          <w:bCs/>
          <w:iCs/>
          <w:color w:val="0D0D0D" w:themeColor="text1" w:themeTint="F2"/>
          <w:sz w:val="22"/>
        </w:rPr>
        <w:t>quince días, contados a partir del día siguiente a la presentación de ésta.</w:t>
      </w:r>
      <w:r w:rsidRPr="0054626B">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rsidRPr="0054626B" w:rsidR="00742953" w:rsidP="00742953" w:rsidRDefault="00742953" w14:paraId="2762E4E3" w14:textId="77777777">
      <w:pPr>
        <w:spacing w:line="360" w:lineRule="auto"/>
        <w:rPr>
          <w:rFonts w:ascii="Palatino Linotype" w:hAnsi="Palatino Linotype" w:cs="Tahoma"/>
          <w:bCs/>
          <w:iCs/>
          <w:color w:val="0D0D0D" w:themeColor="text1" w:themeTint="F2"/>
          <w:sz w:val="22"/>
        </w:rPr>
      </w:pPr>
    </w:p>
    <w:p w:rsidRPr="0054626B" w:rsidR="00742953" w:rsidP="00742953" w:rsidRDefault="00742953" w14:paraId="17F3B05C" w14:textId="77777777">
      <w:pPr>
        <w:numPr>
          <w:ilvl w:val="0"/>
          <w:numId w:val="5"/>
        </w:numPr>
        <w:spacing w:line="360" w:lineRule="auto"/>
        <w:jc w:val="both"/>
        <w:rPr>
          <w:rFonts w:ascii="Palatino Linotype" w:hAnsi="Palatino Linotype" w:cs="Tahoma"/>
          <w:b/>
          <w:bCs/>
          <w:iCs/>
          <w:color w:val="0D0D0D" w:themeColor="text1" w:themeTint="F2"/>
          <w:sz w:val="22"/>
        </w:rPr>
      </w:pPr>
      <w:r w:rsidRPr="0054626B">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4626B">
        <w:rPr>
          <w:rFonts w:ascii="Palatino Linotype" w:hAnsi="Palatino Linotype" w:cs="Tahoma"/>
          <w:b/>
          <w:bCs/>
          <w:iCs/>
          <w:color w:val="0D0D0D" w:themeColor="text1" w:themeTint="F2"/>
          <w:sz w:val="22"/>
        </w:rPr>
        <w:t>que se encuentren en sus archivos o que estén constreñidos a elaborar;</w:t>
      </w:r>
    </w:p>
    <w:p w:rsidRPr="0054626B" w:rsidR="00742953" w:rsidP="00742953" w:rsidRDefault="00742953" w14:paraId="7AC16F5E" w14:textId="77777777">
      <w:pPr>
        <w:spacing w:line="360" w:lineRule="auto"/>
        <w:rPr>
          <w:rFonts w:ascii="Palatino Linotype" w:hAnsi="Palatino Linotype" w:cs="Tahoma"/>
          <w:b/>
          <w:bCs/>
          <w:iCs/>
          <w:color w:val="0D0D0D" w:themeColor="text1" w:themeTint="F2"/>
          <w:sz w:val="22"/>
        </w:rPr>
      </w:pPr>
    </w:p>
    <w:p w:rsidRPr="0054626B" w:rsidR="00742953" w:rsidP="00742953" w:rsidRDefault="00742953" w14:paraId="69DA60F5" w14:textId="77777777">
      <w:pPr>
        <w:numPr>
          <w:ilvl w:val="0"/>
          <w:numId w:val="5"/>
        </w:numPr>
        <w:spacing w:line="360" w:lineRule="auto"/>
        <w:jc w:val="both"/>
        <w:rPr>
          <w:rFonts w:ascii="Palatino Linotype" w:hAnsi="Palatino Linotype" w:cs="Tahoma"/>
          <w:b/>
          <w:bCs/>
          <w:iCs/>
          <w:color w:val="0D0D0D" w:themeColor="text1" w:themeTint="F2"/>
          <w:sz w:val="22"/>
        </w:rPr>
      </w:pPr>
      <w:r w:rsidRPr="0054626B">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54626B" w:rsidR="00742953" w:rsidP="00742953" w:rsidRDefault="00742953" w14:paraId="79C681EC" w14:textId="2937D4ED">
      <w:pPr>
        <w:pStyle w:val="Prrafodelista"/>
        <w:rPr>
          <w:rFonts w:ascii="Palatino Linotype" w:hAnsi="Palatino Linotype" w:cs="Tahoma"/>
          <w:b/>
          <w:bCs/>
          <w:iCs/>
          <w:color w:val="0D0D0D" w:themeColor="text1" w:themeTint="F2"/>
          <w:sz w:val="24"/>
        </w:rPr>
      </w:pPr>
    </w:p>
    <w:p w:rsidRPr="0054626B" w:rsidR="00C078E9" w:rsidP="00742953" w:rsidRDefault="00C078E9" w14:paraId="5DF04ADB" w14:textId="6674ADB1">
      <w:pPr>
        <w:pStyle w:val="Prrafodelista"/>
        <w:rPr>
          <w:rFonts w:ascii="Palatino Linotype" w:hAnsi="Palatino Linotype" w:cs="Tahoma"/>
          <w:b/>
          <w:bCs/>
          <w:iCs/>
          <w:color w:val="0D0D0D" w:themeColor="text1" w:themeTint="F2"/>
          <w:sz w:val="24"/>
        </w:rPr>
      </w:pPr>
    </w:p>
    <w:p w:rsidRPr="0054626B" w:rsidR="00C078E9" w:rsidP="00742953" w:rsidRDefault="00C078E9" w14:paraId="25383BFD" w14:textId="77777777">
      <w:pPr>
        <w:pStyle w:val="Prrafodelista"/>
        <w:rPr>
          <w:rFonts w:ascii="Palatino Linotype" w:hAnsi="Palatino Linotype" w:cs="Tahoma"/>
          <w:b/>
          <w:bCs/>
          <w:iCs/>
          <w:color w:val="0D0D0D" w:themeColor="text1" w:themeTint="F2"/>
          <w:sz w:val="24"/>
        </w:rPr>
      </w:pPr>
    </w:p>
    <w:p w:rsidRPr="0054626B" w:rsidR="00742953" w:rsidP="00742953" w:rsidRDefault="00742953" w14:paraId="4F7342A7" w14:textId="77777777">
      <w:pPr>
        <w:numPr>
          <w:ilvl w:val="0"/>
          <w:numId w:val="5"/>
        </w:numPr>
        <w:spacing w:line="360" w:lineRule="auto"/>
        <w:jc w:val="both"/>
        <w:rPr>
          <w:rFonts w:ascii="Palatino Linotype" w:hAnsi="Palatino Linotype" w:cs="Tahoma"/>
          <w:b/>
          <w:bCs/>
          <w:iCs/>
          <w:color w:val="0D0D0D" w:themeColor="text1" w:themeTint="F2"/>
          <w:sz w:val="22"/>
        </w:rPr>
      </w:pPr>
      <w:r w:rsidRPr="0054626B">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54626B" w:rsidR="00742953" w:rsidP="00742953" w:rsidRDefault="00742953" w14:paraId="513B5DCA" w14:textId="77777777">
      <w:pPr>
        <w:spacing w:line="360" w:lineRule="auto"/>
        <w:jc w:val="both"/>
        <w:rPr>
          <w:rFonts w:ascii="Palatino Linotype" w:hAnsi="Palatino Linotype" w:cs="Tahoma"/>
          <w:b/>
          <w:bCs/>
          <w:iCs/>
          <w:color w:val="0D0D0D" w:themeColor="text1" w:themeTint="F2"/>
          <w:sz w:val="22"/>
        </w:rPr>
      </w:pPr>
    </w:p>
    <w:p w:rsidRPr="0054626B" w:rsidR="00742953" w:rsidP="00742953" w:rsidRDefault="00742953" w14:paraId="6D89FAF4" w14:textId="0C2F76D4">
      <w:pPr>
        <w:spacing w:line="360" w:lineRule="auto"/>
        <w:ind w:right="-28"/>
        <w:contextualSpacing/>
        <w:jc w:val="both"/>
        <w:rPr>
          <w:rFonts w:ascii="Palatino Linotype" w:hAnsi="Palatino Linotype" w:eastAsia="Calibri" w:cs="Tahoma"/>
          <w:b/>
          <w:bCs/>
          <w:color w:val="0D0D0D" w:themeColor="text1" w:themeTint="F2"/>
          <w:sz w:val="22"/>
          <w:lang w:val="es-ES"/>
        </w:rPr>
      </w:pPr>
      <w:r w:rsidRPr="0054626B">
        <w:rPr>
          <w:rFonts w:ascii="Palatino Linotype" w:hAnsi="Palatino Linotype" w:cs="Tahoma"/>
          <w:bCs/>
          <w:iCs/>
          <w:color w:val="0D0D0D" w:themeColor="text1" w:themeTint="F2"/>
          <w:sz w:val="22"/>
        </w:rPr>
        <w:t xml:space="preserve">Establecido lo anterior, es de indicar que el agravio del Recurrente consistió en que, a la fecha de interposición del Recurso de Revisión, el </w:t>
      </w:r>
      <w:r w:rsidRPr="0054626B">
        <w:rPr>
          <w:rFonts w:ascii="Palatino Linotype" w:hAnsi="Palatino Linotype" w:eastAsia="Calibri" w:cs="Tahoma"/>
          <w:color w:val="0D0D0D" w:themeColor="text1" w:themeTint="F2"/>
          <w:sz w:val="22"/>
          <w:szCs w:val="22"/>
          <w:lang w:eastAsia="en-US"/>
        </w:rPr>
        <w:t>Ayuntamiento de Te</w:t>
      </w:r>
      <w:r w:rsidRPr="0054626B" w:rsidR="00483234">
        <w:rPr>
          <w:rFonts w:ascii="Palatino Linotype" w:hAnsi="Palatino Linotype" w:eastAsia="Calibri" w:cs="Tahoma"/>
          <w:color w:val="0D0D0D" w:themeColor="text1" w:themeTint="F2"/>
          <w:sz w:val="22"/>
          <w:szCs w:val="22"/>
          <w:lang w:eastAsia="en-US"/>
        </w:rPr>
        <w:t>petlixpa</w:t>
      </w:r>
      <w:r w:rsidRPr="0054626B">
        <w:rPr>
          <w:rFonts w:ascii="Palatino Linotype" w:hAnsi="Palatino Linotype" w:cs="Tahoma"/>
          <w:iCs/>
          <w:color w:val="0D0D0D" w:themeColor="text1" w:themeTint="F2"/>
          <w:sz w:val="22"/>
        </w:rPr>
        <w:t>,</w:t>
      </w:r>
      <w:r w:rsidRPr="0054626B">
        <w:rPr>
          <w:rFonts w:ascii="Palatino Linotype" w:hAnsi="Palatino Linotype" w:cs="Tahoma"/>
          <w:bCs/>
          <w:iCs/>
          <w:color w:val="0D0D0D" w:themeColor="text1" w:themeTint="F2"/>
          <w:sz w:val="22"/>
        </w:rPr>
        <w:t xml:space="preserve"> no había registrado respuesta al requerimiento de acceso a la información, el cual se presentó el </w:t>
      </w:r>
      <w:r w:rsidRPr="0054626B" w:rsidR="00483234">
        <w:rPr>
          <w:rFonts w:ascii="Palatino Linotype" w:hAnsi="Palatino Linotype" w:eastAsia="Calibri" w:cs="Tahoma"/>
          <w:b/>
          <w:bCs/>
          <w:color w:val="0D0D0D" w:themeColor="text1" w:themeTint="F2"/>
          <w:sz w:val="22"/>
          <w:lang w:val="es-ES"/>
        </w:rPr>
        <w:t>dos de febrero</w:t>
      </w:r>
      <w:r w:rsidRPr="0054626B">
        <w:rPr>
          <w:rFonts w:ascii="Palatino Linotype" w:hAnsi="Palatino Linotype" w:eastAsia="Calibri" w:cs="Tahoma"/>
          <w:b/>
          <w:bCs/>
          <w:color w:val="0D0D0D" w:themeColor="text1" w:themeTint="F2"/>
          <w:sz w:val="22"/>
          <w:lang w:val="es-ES"/>
        </w:rPr>
        <w:t xml:space="preserve"> de dos mil veintidós.</w:t>
      </w:r>
    </w:p>
    <w:p w:rsidRPr="0054626B" w:rsidR="00742953" w:rsidP="00742953" w:rsidRDefault="00742953" w14:paraId="616D440C" w14:textId="77777777">
      <w:pPr>
        <w:spacing w:line="360" w:lineRule="auto"/>
        <w:ind w:right="-28"/>
        <w:contextualSpacing/>
        <w:jc w:val="both"/>
        <w:rPr>
          <w:rFonts w:ascii="Palatino Linotype" w:hAnsi="Palatino Linotype" w:cs="Tahoma"/>
          <w:bCs/>
          <w:iCs/>
          <w:sz w:val="22"/>
          <w:szCs w:val="22"/>
        </w:rPr>
      </w:pPr>
    </w:p>
    <w:p w:rsidRPr="0054626B" w:rsidR="00742953" w:rsidP="00742953" w:rsidRDefault="00742953" w14:paraId="37D85F4B" w14:textId="00FAE0FB">
      <w:pPr>
        <w:spacing w:line="360" w:lineRule="auto"/>
        <w:jc w:val="both"/>
        <w:rPr>
          <w:rFonts w:ascii="Palatino Linotype" w:hAnsi="Palatino Linotype" w:eastAsia="Batang" w:cs="Tahoma"/>
          <w:color w:val="0D0D0D" w:themeColor="text1" w:themeTint="F2"/>
          <w:sz w:val="22"/>
          <w:lang w:val="es-ES"/>
        </w:rPr>
      </w:pPr>
      <w:r w:rsidRPr="0054626B">
        <w:rPr>
          <w:rFonts w:ascii="Palatino Linotype" w:hAnsi="Palatino Linotype" w:eastAsia="Calibri" w:cs="Tahoma"/>
          <w:bCs/>
          <w:color w:val="0D0D0D" w:themeColor="text1" w:themeTint="F2"/>
          <w:sz w:val="22"/>
        </w:rPr>
        <w:t xml:space="preserve">En ese orden de ideas, el plazo con el que contaba el Sujeto Obligado para emitir contestación a las solicitudes </w:t>
      </w:r>
      <w:r w:rsidRPr="0054626B">
        <w:rPr>
          <w:rFonts w:ascii="Palatino Linotype" w:hAnsi="Palatino Linotype" w:eastAsia="Calibri" w:cs="Tahoma"/>
          <w:color w:val="0D0D0D" w:themeColor="text1" w:themeTint="F2"/>
          <w:sz w:val="22"/>
        </w:rPr>
        <w:t xml:space="preserve">comenzó a correr </w:t>
      </w:r>
      <w:r w:rsidRPr="0054626B" w:rsidR="00483234">
        <w:rPr>
          <w:rFonts w:ascii="Palatino Linotype" w:hAnsi="Palatino Linotype" w:eastAsia="Calibri" w:cs="Tahoma"/>
          <w:color w:val="0D0D0D" w:themeColor="text1" w:themeTint="F2"/>
          <w:sz w:val="22"/>
        </w:rPr>
        <w:t>del tres</w:t>
      </w:r>
      <w:r w:rsidRPr="0054626B">
        <w:rPr>
          <w:rFonts w:ascii="Palatino Linotype" w:hAnsi="Palatino Linotype" w:eastAsia="Calibri" w:cs="Tahoma"/>
          <w:color w:val="0D0D0D" w:themeColor="text1" w:themeTint="F2"/>
          <w:sz w:val="22"/>
        </w:rPr>
        <w:t xml:space="preserve"> al veinti</w:t>
      </w:r>
      <w:r w:rsidRPr="0054626B" w:rsidR="00183AA2">
        <w:rPr>
          <w:rFonts w:ascii="Palatino Linotype" w:hAnsi="Palatino Linotype" w:eastAsia="Calibri" w:cs="Tahoma"/>
          <w:color w:val="0D0D0D" w:themeColor="text1" w:themeTint="F2"/>
          <w:sz w:val="22"/>
        </w:rPr>
        <w:t>cuatro</w:t>
      </w:r>
      <w:r w:rsidRPr="0054626B">
        <w:rPr>
          <w:rFonts w:ascii="Palatino Linotype" w:hAnsi="Palatino Linotype" w:eastAsia="Calibri" w:cs="Tahoma"/>
          <w:color w:val="0D0D0D" w:themeColor="text1" w:themeTint="F2"/>
          <w:sz w:val="22"/>
        </w:rPr>
        <w:t xml:space="preserve"> de febrero de la presente anualidad, lo anterior, sin contar los días, cinco, seis, siete, doce, trece, diecinueve y veinte de febrero del presente año, </w:t>
      </w:r>
      <w:r w:rsidRPr="0054626B">
        <w:rPr>
          <w:rFonts w:ascii="Palatino Linotype" w:hAnsi="Palatino Linotype" w:eastAsia="Batang" w:cs="Tahoma"/>
          <w:bCs/>
          <w:color w:val="0D0D0D" w:themeColor="text1" w:themeTint="F2"/>
          <w:sz w:val="22"/>
        </w:rPr>
        <w:t xml:space="preserve">de conformidad con el artículo 3°, fracción X, de la Ley de Transparencia y Acceso a la Información Pública del Estado de México y Municipios y </w:t>
      </w:r>
      <w:bookmarkStart w:name="_Hlk65786947" w:id="2"/>
      <w:r w:rsidRPr="0054626B">
        <w:rPr>
          <w:rFonts w:ascii="Palatino Linotype" w:hAnsi="Palatino Linotype" w:eastAsia="Batang" w:cs="Tahoma"/>
          <w:bCs/>
          <w:color w:val="0D0D0D" w:themeColor="text1" w:themeTint="F2"/>
          <w:sz w:val="22"/>
        </w:rPr>
        <w:t xml:space="preserve">el </w:t>
      </w:r>
      <w:r w:rsidRPr="0054626B">
        <w:rPr>
          <w:rFonts w:ascii="Palatino Linotype" w:hAnsi="Palatino Linotype" w:eastAsia="Batang"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2"/>
      <w:r w:rsidRPr="0054626B">
        <w:rPr>
          <w:rFonts w:ascii="Palatino Linotype" w:hAnsi="Palatino Linotype" w:eastAsia="Batang" w:cs="Tahoma"/>
          <w:color w:val="0D0D0D" w:themeColor="text1" w:themeTint="F2"/>
          <w:sz w:val="22"/>
          <w:lang w:val="es-ES"/>
        </w:rPr>
        <w:t>mil veintidós y enero dos mil veintitrés.</w:t>
      </w:r>
    </w:p>
    <w:p w:rsidRPr="0054626B" w:rsidR="00742953" w:rsidP="00742953" w:rsidRDefault="00742953" w14:paraId="02CC9F69" w14:textId="77777777">
      <w:pPr>
        <w:spacing w:line="360" w:lineRule="auto"/>
        <w:ind w:right="-28"/>
        <w:contextualSpacing/>
        <w:jc w:val="both"/>
        <w:rPr>
          <w:rFonts w:ascii="Palatino Linotype" w:hAnsi="Palatino Linotype" w:cs="Tahoma"/>
          <w:bCs/>
          <w:iCs/>
          <w:sz w:val="22"/>
          <w:szCs w:val="22"/>
        </w:rPr>
      </w:pPr>
    </w:p>
    <w:p w:rsidRPr="0054626B" w:rsidR="00742953" w:rsidP="00742953" w:rsidRDefault="00742953" w14:paraId="7F0C267A" w14:textId="77777777">
      <w:pPr>
        <w:spacing w:line="360" w:lineRule="auto"/>
        <w:jc w:val="both"/>
        <w:rPr>
          <w:rFonts w:ascii="Palatino Linotype" w:hAnsi="Palatino Linotype" w:cs="Tahoma"/>
          <w:color w:val="0D0D0D" w:themeColor="text1" w:themeTint="F2"/>
          <w:sz w:val="22"/>
          <w:szCs w:val="22"/>
          <w:lang w:val="es-ES"/>
        </w:rPr>
      </w:pPr>
      <w:r w:rsidRPr="0054626B">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rsidRPr="0054626B" w:rsidR="00742953" w:rsidP="00742953" w:rsidRDefault="00183AA2" w14:paraId="102D2464" w14:textId="3BE48BD2">
      <w:pPr>
        <w:spacing w:line="360" w:lineRule="auto"/>
        <w:jc w:val="center"/>
        <w:rPr>
          <w:rFonts w:ascii="Palatino Linotype" w:hAnsi="Palatino Linotype" w:cs="Tahoma"/>
          <w:color w:val="0D0D0D" w:themeColor="text1" w:themeTint="F2"/>
          <w:sz w:val="22"/>
          <w:szCs w:val="22"/>
          <w:lang w:val="es-ES"/>
        </w:rPr>
      </w:pPr>
      <w:r w:rsidRPr="0054626B">
        <w:rPr>
          <w:noProof/>
        </w:rPr>
        <w:lastRenderedPageBreak/>
        <w:drawing>
          <wp:inline distT="0" distB="0" distL="0" distR="0" wp14:anchorId="49D4CCB5" wp14:editId="3FDEDFC6">
            <wp:extent cx="3657600" cy="241662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102" t="30679" r="59034" b="36578"/>
                    <a:stretch/>
                  </pic:blipFill>
                  <pic:spPr bwMode="auto">
                    <a:xfrm>
                      <a:off x="0" y="0"/>
                      <a:ext cx="3710230" cy="2451403"/>
                    </a:xfrm>
                    <a:prstGeom prst="rect">
                      <a:avLst/>
                    </a:prstGeom>
                    <a:ln>
                      <a:noFill/>
                    </a:ln>
                    <a:extLst>
                      <a:ext uri="{53640926-AAD7-44D8-BBD7-CCE9431645EC}">
                        <a14:shadowObscured xmlns:a14="http://schemas.microsoft.com/office/drawing/2010/main"/>
                      </a:ext>
                    </a:extLst>
                  </pic:spPr>
                </pic:pic>
              </a:graphicData>
            </a:graphic>
          </wp:inline>
        </w:drawing>
      </w:r>
    </w:p>
    <w:p w:rsidRPr="0054626B" w:rsidR="00742953" w:rsidP="00742953" w:rsidRDefault="00742953" w14:paraId="2ED9C381" w14:textId="77777777">
      <w:pPr>
        <w:spacing w:line="360" w:lineRule="auto"/>
        <w:jc w:val="center"/>
        <w:rPr>
          <w:rFonts w:ascii="Palatino Linotype" w:hAnsi="Palatino Linotype" w:cs="Tahoma"/>
          <w:color w:val="0D0D0D" w:themeColor="text1" w:themeTint="F2"/>
          <w:sz w:val="22"/>
          <w:szCs w:val="22"/>
          <w:lang w:val="es-ES"/>
        </w:rPr>
      </w:pPr>
    </w:p>
    <w:p w:rsidRPr="0054626B" w:rsidR="0033469C" w:rsidP="0033469C" w:rsidRDefault="00742953" w14:paraId="254CE430" w14:textId="77777777">
      <w:pPr>
        <w:tabs>
          <w:tab w:val="left" w:pos="4962"/>
        </w:tabs>
        <w:spacing w:line="360" w:lineRule="auto"/>
        <w:jc w:val="both"/>
        <w:rPr>
          <w:rFonts w:ascii="Palatino Linotype" w:hAnsi="Palatino Linotype" w:eastAsia="Calibri" w:cs="Tahoma"/>
          <w:b/>
          <w:color w:val="000000"/>
          <w:sz w:val="22"/>
          <w:szCs w:val="22"/>
          <w:lang w:eastAsia="en-US"/>
        </w:rPr>
      </w:pPr>
      <w:r w:rsidRPr="0054626B">
        <w:rPr>
          <w:rFonts w:ascii="Palatino Linotype" w:hAnsi="Palatino Linotype" w:cs="Tahoma"/>
          <w:color w:val="0D0D0D" w:themeColor="text1" w:themeTint="F2"/>
          <w:sz w:val="22"/>
          <w:szCs w:val="22"/>
          <w:lang w:val="es-ES"/>
        </w:rPr>
        <w:t>En este sentido se colige que, tal como lo precisó el Recurrente, el Ayuntamiento de Te</w:t>
      </w:r>
      <w:r w:rsidRPr="0054626B" w:rsidR="00183AA2">
        <w:rPr>
          <w:rFonts w:ascii="Palatino Linotype" w:hAnsi="Palatino Linotype" w:cs="Tahoma"/>
          <w:color w:val="0D0D0D" w:themeColor="text1" w:themeTint="F2"/>
          <w:sz w:val="22"/>
          <w:szCs w:val="22"/>
          <w:lang w:val="es-ES"/>
        </w:rPr>
        <w:t>petlixpa</w:t>
      </w:r>
      <w:r w:rsidRPr="0054626B">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54626B">
        <w:rPr>
          <w:rFonts w:ascii="Palatino Linotype" w:hAnsi="Palatino Linotype" w:eastAsia="Calibri" w:cs="Tahoma"/>
          <w:bCs/>
          <w:color w:val="0D0D0D" w:themeColor="text1" w:themeTint="F2"/>
          <w:sz w:val="22"/>
        </w:rPr>
        <w:t xml:space="preserve">Acceso a la Información Pública del Estado de México y Municipios, pues tenía hasta el </w:t>
      </w:r>
      <w:r w:rsidRPr="0054626B">
        <w:rPr>
          <w:rFonts w:ascii="Palatino Linotype" w:hAnsi="Palatino Linotype" w:eastAsia="Calibri" w:cs="Tahoma"/>
          <w:b/>
          <w:bCs/>
          <w:color w:val="0D0D0D" w:themeColor="text1" w:themeTint="F2"/>
          <w:sz w:val="22"/>
        </w:rPr>
        <w:t>veinti</w:t>
      </w:r>
      <w:r w:rsidRPr="0054626B" w:rsidR="00183AA2">
        <w:rPr>
          <w:rFonts w:ascii="Palatino Linotype" w:hAnsi="Palatino Linotype" w:eastAsia="Calibri" w:cs="Tahoma"/>
          <w:b/>
          <w:bCs/>
          <w:color w:val="0D0D0D" w:themeColor="text1" w:themeTint="F2"/>
          <w:sz w:val="22"/>
        </w:rPr>
        <w:t>cuatro</w:t>
      </w:r>
      <w:r w:rsidRPr="0054626B">
        <w:rPr>
          <w:rFonts w:ascii="Palatino Linotype" w:hAnsi="Palatino Linotype" w:eastAsia="Calibri" w:cs="Tahoma"/>
          <w:b/>
          <w:bCs/>
          <w:color w:val="0D0D0D" w:themeColor="text1" w:themeTint="F2"/>
          <w:sz w:val="22"/>
        </w:rPr>
        <w:t xml:space="preserve"> de febrero de dos mil veintidós</w:t>
      </w:r>
      <w:r w:rsidRPr="0054626B">
        <w:rPr>
          <w:rFonts w:ascii="Palatino Linotype" w:hAnsi="Palatino Linotype" w:eastAsia="Calibri" w:cs="Tahoma"/>
          <w:bCs/>
          <w:color w:val="0D0D0D" w:themeColor="text1" w:themeTint="F2"/>
          <w:sz w:val="22"/>
        </w:rPr>
        <w:t xml:space="preserve">, para realizar dicha situación, por lo que es evidente que el agravio es </w:t>
      </w:r>
      <w:r w:rsidRPr="0054626B">
        <w:rPr>
          <w:rFonts w:ascii="Palatino Linotype" w:hAnsi="Palatino Linotype" w:eastAsia="Calibri" w:cs="Tahoma"/>
          <w:b/>
          <w:color w:val="0D0D0D" w:themeColor="text1" w:themeTint="F2"/>
          <w:sz w:val="22"/>
        </w:rPr>
        <w:t>FUNDADO</w:t>
      </w:r>
      <w:r w:rsidRPr="0054626B" w:rsidR="0033469C">
        <w:rPr>
          <w:rFonts w:ascii="Palatino Linotype" w:hAnsi="Palatino Linotype" w:eastAsia="Calibri" w:cs="Tahoma"/>
          <w:b/>
          <w:color w:val="0D0D0D" w:themeColor="text1" w:themeTint="F2"/>
          <w:sz w:val="22"/>
        </w:rPr>
        <w:t xml:space="preserve">, </w:t>
      </w:r>
      <w:r w:rsidRPr="0054626B" w:rsidR="0033469C">
        <w:rPr>
          <w:rFonts w:ascii="Palatino Linotype" w:hAnsi="Palatino Linotype" w:eastAsia="Calibri" w:cs="Tahoma"/>
          <w:b/>
          <w:color w:val="000000"/>
          <w:sz w:val="22"/>
          <w:szCs w:val="22"/>
          <w:lang w:eastAsia="en-US"/>
        </w:rPr>
        <w:t xml:space="preserve">, </w:t>
      </w:r>
      <w:r w:rsidRPr="0054626B" w:rsidR="0033469C">
        <w:rPr>
          <w:rFonts w:ascii="Palatino Linotype" w:hAnsi="Palatino Linotype" w:eastAsia="Calibri" w:cs="Tahoma"/>
          <w:bCs/>
          <w:color w:val="000000"/>
          <w:sz w:val="22"/>
          <w:szCs w:val="22"/>
          <w:lang w:eastAsia="en-US"/>
        </w:rPr>
        <w:t>inclusive a la fecha no ha emitido contestación alguna.</w:t>
      </w:r>
      <w:r w:rsidRPr="0054626B" w:rsidR="0033469C">
        <w:rPr>
          <w:rFonts w:ascii="Palatino Linotype" w:hAnsi="Palatino Linotype" w:eastAsia="Calibri" w:cs="Tahoma"/>
          <w:b/>
          <w:color w:val="000000"/>
          <w:sz w:val="22"/>
          <w:szCs w:val="22"/>
          <w:lang w:eastAsia="en-US"/>
        </w:rPr>
        <w:t xml:space="preserve"> </w:t>
      </w:r>
    </w:p>
    <w:p w:rsidRPr="0054626B" w:rsidR="0033469C" w:rsidP="0033469C" w:rsidRDefault="0033469C" w14:paraId="11DABE50" w14:textId="77777777">
      <w:pPr>
        <w:tabs>
          <w:tab w:val="left" w:pos="4962"/>
        </w:tabs>
        <w:spacing w:line="360" w:lineRule="auto"/>
        <w:jc w:val="both"/>
        <w:rPr>
          <w:rFonts w:ascii="Palatino Linotype" w:hAnsi="Palatino Linotype" w:eastAsia="Calibri" w:cs="Tahoma"/>
          <w:b/>
          <w:color w:val="000000"/>
          <w:sz w:val="22"/>
          <w:szCs w:val="22"/>
          <w:lang w:eastAsia="en-US"/>
        </w:rPr>
      </w:pPr>
    </w:p>
    <w:p w:rsidRPr="0054626B" w:rsidR="0033469C" w:rsidP="0033469C" w:rsidRDefault="0033469C" w14:paraId="0FC3B15F" w14:textId="24B0878A">
      <w:pPr>
        <w:spacing w:line="360" w:lineRule="auto"/>
        <w:jc w:val="both"/>
        <w:rPr>
          <w:rFonts w:ascii="Palatino Linotype" w:hAnsi="Palatino Linotype" w:eastAsia="Calibri" w:cs="Tahoma"/>
          <w:bCs/>
          <w:color w:val="000000" w:themeColor="text1"/>
          <w:sz w:val="22"/>
          <w:szCs w:val="22"/>
          <w:lang w:eastAsia="en-US"/>
        </w:rPr>
      </w:pPr>
      <w:r w:rsidRPr="0054626B">
        <w:rPr>
          <w:rFonts w:ascii="Palatino Linotype" w:hAnsi="Palatino Linotype" w:eastAsia="Calibri" w:cs="Tahoma"/>
          <w:bCs/>
          <w:color w:val="000000" w:themeColor="text1"/>
          <w:sz w:val="22"/>
          <w:szCs w:val="22"/>
          <w:lang w:eastAsia="en-US"/>
        </w:rPr>
        <w:t xml:space="preserve">Con base en lo expuesto, es procedente </w:t>
      </w:r>
      <w:r w:rsidRPr="0054626B">
        <w:rPr>
          <w:rFonts w:ascii="Palatino Linotype" w:hAnsi="Palatino Linotype" w:eastAsia="Calibri" w:cs="Tahoma"/>
          <w:b/>
          <w:bCs/>
          <w:color w:val="000000" w:themeColor="text1"/>
          <w:sz w:val="22"/>
          <w:szCs w:val="22"/>
          <w:lang w:eastAsia="en-US"/>
        </w:rPr>
        <w:t>ORDENAR</w:t>
      </w:r>
      <w:r w:rsidRPr="0054626B">
        <w:rPr>
          <w:rFonts w:ascii="Palatino Linotype" w:hAnsi="Palatino Linotype" w:eastAsia="Calibri" w:cs="Tahoma"/>
          <w:bCs/>
          <w:color w:val="000000" w:themeColor="text1"/>
          <w:sz w:val="22"/>
          <w:szCs w:val="22"/>
          <w:lang w:eastAsia="en-US"/>
        </w:rPr>
        <w:t xml:space="preserve"> al Sujeto Obligado, que emita respuesta que a derecho corresponda, al requerimiento de información; no obstante, para tal circunstancia es necesario analizar si cuenta con competencia para conocer de lo peticionado, re</w:t>
      </w:r>
      <w:r w:rsidRPr="0054626B" w:rsidR="00281F94">
        <w:rPr>
          <w:rFonts w:ascii="Palatino Linotype" w:hAnsi="Palatino Linotype" w:eastAsia="Calibri" w:cs="Tahoma"/>
          <w:bCs/>
          <w:color w:val="000000" w:themeColor="text1"/>
          <w:sz w:val="22"/>
          <w:szCs w:val="22"/>
          <w:lang w:eastAsia="en-US"/>
        </w:rPr>
        <w:t>lacionada con la actividad archivística del Municipio.</w:t>
      </w:r>
    </w:p>
    <w:p w:rsidRPr="0054626B" w:rsidR="00742953" w:rsidP="00742953" w:rsidRDefault="00742953" w14:paraId="732E0806" w14:textId="617846BA">
      <w:pPr>
        <w:spacing w:line="360" w:lineRule="auto"/>
        <w:jc w:val="both"/>
        <w:rPr>
          <w:rFonts w:ascii="Palatino Linotype" w:hAnsi="Palatino Linotype" w:eastAsia="Calibri" w:cs="Tahoma"/>
          <w:b/>
          <w:color w:val="0D0D0D" w:themeColor="text1" w:themeTint="F2"/>
          <w:sz w:val="22"/>
        </w:rPr>
      </w:pPr>
    </w:p>
    <w:p w:rsidRPr="0054626B" w:rsidR="00742953" w:rsidP="00742953" w:rsidRDefault="00281F94" w14:paraId="47F6B80E" w14:textId="5AF1CE7D">
      <w:pPr>
        <w:spacing w:line="360" w:lineRule="auto"/>
        <w:jc w:val="both"/>
        <w:rPr>
          <w:rFonts w:ascii="Palatino Linotype" w:hAnsi="Palatino Linotype" w:cs="Tahoma"/>
          <w:color w:val="0D0D0D" w:themeColor="text1" w:themeTint="F2"/>
          <w:sz w:val="22"/>
          <w:szCs w:val="22"/>
          <w:lang w:val="es-ES"/>
        </w:rPr>
      </w:pPr>
      <w:r w:rsidRPr="0054626B">
        <w:rPr>
          <w:rFonts w:ascii="Palatino Linotype" w:hAnsi="Palatino Linotype" w:cs="Tahoma"/>
          <w:color w:val="0D0D0D" w:themeColor="text1" w:themeTint="F2"/>
          <w:sz w:val="22"/>
          <w:szCs w:val="22"/>
          <w:lang w:val="es-ES"/>
        </w:rPr>
        <w:t>En ese contexto, los artículos 6°, 7°, 8°, 10 y 11</w:t>
      </w:r>
      <w:r w:rsidRPr="0054626B" w:rsidR="001C76C7">
        <w:rPr>
          <w:rFonts w:ascii="Palatino Linotype" w:hAnsi="Palatino Linotype" w:cs="Tahoma"/>
          <w:color w:val="0D0D0D" w:themeColor="text1" w:themeTint="F2"/>
          <w:sz w:val="22"/>
          <w:szCs w:val="22"/>
          <w:lang w:val="es-ES"/>
        </w:rPr>
        <w:t xml:space="preserve">, tanto </w:t>
      </w:r>
      <w:r w:rsidRPr="0054626B">
        <w:rPr>
          <w:rFonts w:ascii="Palatino Linotype" w:hAnsi="Palatino Linotype" w:cs="Tahoma"/>
          <w:color w:val="0D0D0D" w:themeColor="text1" w:themeTint="F2"/>
          <w:sz w:val="22"/>
          <w:szCs w:val="22"/>
          <w:lang w:val="es-ES"/>
        </w:rPr>
        <w:t>de la Ley General de Archivos</w:t>
      </w:r>
      <w:r w:rsidRPr="0054626B" w:rsidR="001C76C7">
        <w:rPr>
          <w:rFonts w:ascii="Palatino Linotype" w:hAnsi="Palatino Linotype" w:cs="Tahoma"/>
          <w:color w:val="0D0D0D" w:themeColor="text1" w:themeTint="F2"/>
          <w:sz w:val="22"/>
          <w:szCs w:val="22"/>
          <w:lang w:val="es-ES"/>
        </w:rPr>
        <w:t>, como de la Ley de Archivos y Administración de Documentos del Estado de México y Municipios</w:t>
      </w:r>
      <w:r w:rsidRPr="0054626B">
        <w:rPr>
          <w:rFonts w:ascii="Palatino Linotype" w:hAnsi="Palatino Linotype" w:cs="Tahoma"/>
          <w:color w:val="0D0D0D" w:themeColor="text1" w:themeTint="F2"/>
          <w:sz w:val="22"/>
          <w:szCs w:val="22"/>
          <w:lang w:val="es-ES"/>
        </w:rPr>
        <w:t>, establecen lo siguiente:</w:t>
      </w:r>
    </w:p>
    <w:p w:rsidRPr="0054626B" w:rsidR="00281F94" w:rsidP="00742953" w:rsidRDefault="00281F94" w14:paraId="5686B5A9" w14:textId="08F40637">
      <w:pPr>
        <w:spacing w:line="360" w:lineRule="auto"/>
        <w:jc w:val="both"/>
        <w:rPr>
          <w:rFonts w:ascii="Palatino Linotype" w:hAnsi="Palatino Linotype" w:cs="Tahoma"/>
          <w:color w:val="0D0D0D" w:themeColor="text1" w:themeTint="F2"/>
          <w:sz w:val="22"/>
          <w:szCs w:val="22"/>
          <w:lang w:val="es-ES"/>
        </w:rPr>
      </w:pPr>
    </w:p>
    <w:p w:rsidRPr="0054626B" w:rsidR="00281F94" w:rsidP="00281F94" w:rsidRDefault="00856126" w14:paraId="149F1C16" w14:textId="057610EE">
      <w:pPr>
        <w:pStyle w:val="Prrafodelista"/>
        <w:numPr>
          <w:ilvl w:val="0"/>
          <w:numId w:val="10"/>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 xml:space="preserve">Toda la información contenida en los documentos de </w:t>
      </w:r>
      <w:r w:rsidRPr="0054626B">
        <w:rPr>
          <w:rFonts w:ascii="Palatino Linotype" w:hAnsi="Palatino Linotype" w:cs="Tahoma"/>
          <w:color w:val="0D0D0D" w:themeColor="text1" w:themeTint="F2"/>
          <w:szCs w:val="22"/>
        </w:rPr>
        <w:t xml:space="preserve">de archivo producidos, obtenidos, adquiridos, transformados o en posesión de los sujetos obligados, será </w:t>
      </w:r>
      <w:r w:rsidRPr="0054626B">
        <w:rPr>
          <w:rFonts w:ascii="Palatino Linotype" w:hAnsi="Palatino Linotype" w:cs="Tahoma"/>
          <w:color w:val="0D0D0D" w:themeColor="text1" w:themeTint="F2"/>
          <w:szCs w:val="22"/>
        </w:rPr>
        <w:lastRenderedPageBreak/>
        <w:t>pública, por lo que, se deberá garantizar la organización, conservación y preservación de los archivos;</w:t>
      </w:r>
    </w:p>
    <w:p w:rsidRPr="0054626B" w:rsidR="00856126" w:rsidP="00856126" w:rsidRDefault="00856126" w14:paraId="1D74276C" w14:textId="77777777">
      <w:pPr>
        <w:pStyle w:val="Prrafodelista"/>
        <w:spacing w:line="360" w:lineRule="auto"/>
        <w:jc w:val="both"/>
        <w:rPr>
          <w:rFonts w:ascii="Palatino Linotype" w:hAnsi="Palatino Linotype" w:cs="Tahoma"/>
          <w:color w:val="0D0D0D" w:themeColor="text1" w:themeTint="F2"/>
          <w:szCs w:val="22"/>
          <w:lang w:val="es-ES"/>
        </w:rPr>
      </w:pPr>
    </w:p>
    <w:p w:rsidRPr="0054626B" w:rsidR="00856126" w:rsidP="00281F94" w:rsidRDefault="00856126" w14:paraId="3D306A98" w14:textId="012A898B">
      <w:pPr>
        <w:pStyle w:val="Prrafodelista"/>
        <w:numPr>
          <w:ilvl w:val="0"/>
          <w:numId w:val="10"/>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 xml:space="preserve">Los sujetos obligados, entre los cuales se encuentran los Municipios, deberán </w:t>
      </w:r>
      <w:r w:rsidRPr="0054626B">
        <w:rPr>
          <w:rFonts w:ascii="Palatino Linotype" w:hAnsi="Palatino Linotype" w:cs="Tahoma"/>
          <w:color w:val="0D0D0D" w:themeColor="text1" w:themeTint="F2"/>
          <w:szCs w:val="22"/>
        </w:rPr>
        <w:t>producir, registrar, organizar y conservar los documentos de archivo;</w:t>
      </w:r>
    </w:p>
    <w:p w:rsidRPr="0054626B" w:rsidR="00856126" w:rsidP="00856126" w:rsidRDefault="00856126" w14:paraId="75CD0278" w14:textId="77777777">
      <w:pPr>
        <w:pStyle w:val="Prrafodelista"/>
        <w:rPr>
          <w:rFonts w:ascii="Palatino Linotype" w:hAnsi="Palatino Linotype" w:cs="Tahoma"/>
          <w:color w:val="0D0D0D" w:themeColor="text1" w:themeTint="F2"/>
          <w:szCs w:val="22"/>
          <w:lang w:val="es-ES"/>
        </w:rPr>
      </w:pPr>
    </w:p>
    <w:p w:rsidRPr="0054626B" w:rsidR="00856126" w:rsidP="00856126" w:rsidRDefault="00856126" w14:paraId="56F04AD0" w14:textId="2F88E3C7">
      <w:pPr>
        <w:pStyle w:val="Prrafodelista"/>
        <w:numPr>
          <w:ilvl w:val="0"/>
          <w:numId w:val="10"/>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Los servidores públicos que concluyan su empleo, cargo o comisión, deberán garantizar la entrega de los archivos, de manera organizada;</w:t>
      </w:r>
    </w:p>
    <w:p w:rsidRPr="0054626B" w:rsidR="00856126" w:rsidP="00856126" w:rsidRDefault="00856126" w14:paraId="0CFAEEBC" w14:textId="77777777">
      <w:pPr>
        <w:pStyle w:val="Prrafodelista"/>
        <w:rPr>
          <w:rFonts w:ascii="Palatino Linotype" w:hAnsi="Palatino Linotype" w:cs="Tahoma"/>
          <w:color w:val="0D0D0D" w:themeColor="text1" w:themeTint="F2"/>
          <w:szCs w:val="22"/>
          <w:lang w:val="es-ES"/>
        </w:rPr>
      </w:pPr>
    </w:p>
    <w:p w:rsidRPr="0054626B" w:rsidR="00856126" w:rsidP="00856126" w:rsidRDefault="00853259" w14:paraId="31971B31" w14:textId="0ABDAA4D">
      <w:pPr>
        <w:pStyle w:val="Prrafodelista"/>
        <w:numPr>
          <w:ilvl w:val="0"/>
          <w:numId w:val="10"/>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Los Sujetos Obligados deberán realizar lo siguiente:</w:t>
      </w:r>
    </w:p>
    <w:p w:rsidRPr="0054626B" w:rsidR="00853259" w:rsidP="00853259" w:rsidRDefault="00853259" w14:paraId="58B42172" w14:textId="77777777">
      <w:pPr>
        <w:pStyle w:val="Prrafodelista"/>
        <w:rPr>
          <w:rFonts w:ascii="Palatino Linotype" w:hAnsi="Palatino Linotype" w:cs="Tahoma"/>
          <w:color w:val="0D0D0D" w:themeColor="text1" w:themeTint="F2"/>
          <w:szCs w:val="22"/>
          <w:lang w:val="es-ES"/>
        </w:rPr>
      </w:pPr>
    </w:p>
    <w:p w:rsidRPr="0054626B" w:rsidR="00853259" w:rsidP="00853259" w:rsidRDefault="00853259" w14:paraId="293B0824" w14:textId="69BD58AC">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rPr>
        <w:t>Administrar, organizar, y conservar los documentos de archivo que produzcan, reciban, obtengan, adquieran, transformen o posean;</w:t>
      </w:r>
    </w:p>
    <w:p w:rsidRPr="0054626B" w:rsidR="00853259" w:rsidP="00853259" w:rsidRDefault="00853259" w14:paraId="1FFFBFD0" w14:textId="77777777">
      <w:pPr>
        <w:pStyle w:val="Prrafodelista"/>
        <w:spacing w:line="360" w:lineRule="auto"/>
        <w:ind w:left="1440"/>
        <w:jc w:val="both"/>
        <w:rPr>
          <w:rFonts w:ascii="Palatino Linotype" w:hAnsi="Palatino Linotype" w:cs="Tahoma"/>
          <w:color w:val="0D0D0D" w:themeColor="text1" w:themeTint="F2"/>
          <w:szCs w:val="22"/>
          <w:lang w:val="es-ES"/>
        </w:rPr>
      </w:pPr>
    </w:p>
    <w:p w:rsidRPr="0054626B" w:rsidR="00853259" w:rsidP="00853259" w:rsidRDefault="00853259" w14:paraId="10CED490" w14:textId="20A540E4">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Establecer un sistema institucional para la administración de sus archivos y llevar a cabo los procesos de gestión documental;</w:t>
      </w:r>
    </w:p>
    <w:p w:rsidRPr="0054626B" w:rsidR="00853259" w:rsidP="00853259" w:rsidRDefault="00853259" w14:paraId="51AAECAA" w14:textId="77777777">
      <w:pPr>
        <w:pStyle w:val="Prrafodelista"/>
        <w:rPr>
          <w:rFonts w:ascii="Palatino Linotype" w:hAnsi="Palatino Linotype" w:cs="Tahoma"/>
          <w:color w:val="0D0D0D" w:themeColor="text1" w:themeTint="F2"/>
          <w:szCs w:val="22"/>
          <w:lang w:val="es-ES"/>
        </w:rPr>
      </w:pPr>
    </w:p>
    <w:p w:rsidRPr="0054626B" w:rsidR="00853259" w:rsidP="00853259" w:rsidRDefault="00853259" w14:paraId="7EB71B9A" w14:textId="28CA8BB2">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lang w:val="es-ES"/>
        </w:rPr>
        <w:t>Integrar los documentos en expedientes;</w:t>
      </w:r>
    </w:p>
    <w:p w:rsidRPr="0054626B" w:rsidR="00853259" w:rsidP="00853259" w:rsidRDefault="00853259" w14:paraId="1984C8DE" w14:textId="77777777">
      <w:pPr>
        <w:pStyle w:val="Prrafodelista"/>
        <w:rPr>
          <w:rFonts w:ascii="Palatino Linotype" w:hAnsi="Palatino Linotype" w:cs="Tahoma"/>
          <w:color w:val="0D0D0D" w:themeColor="text1" w:themeTint="F2"/>
          <w:szCs w:val="22"/>
          <w:lang w:val="es-ES"/>
        </w:rPr>
      </w:pPr>
    </w:p>
    <w:p w:rsidRPr="0054626B" w:rsidR="00853259" w:rsidP="00853259" w:rsidRDefault="00853259" w14:paraId="7D5DFB76" w14:textId="3BEF378F">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rPr>
        <w:t>Conformar un grupo interdisciplinario, que coadyuve en la valoración documental;</w:t>
      </w:r>
    </w:p>
    <w:p w:rsidRPr="0054626B" w:rsidR="00853259" w:rsidP="00853259" w:rsidRDefault="00853259" w14:paraId="402BB5D7" w14:textId="77777777">
      <w:pPr>
        <w:pStyle w:val="Prrafodelista"/>
        <w:rPr>
          <w:rFonts w:ascii="Palatino Linotype" w:hAnsi="Palatino Linotype" w:cs="Tahoma"/>
          <w:color w:val="0D0D0D" w:themeColor="text1" w:themeTint="F2"/>
          <w:szCs w:val="22"/>
          <w:lang w:val="es-ES"/>
        </w:rPr>
      </w:pPr>
    </w:p>
    <w:p w:rsidRPr="0054626B" w:rsidR="00853259" w:rsidP="00853259" w:rsidRDefault="00853259" w14:paraId="63334004" w14:textId="04731228">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rPr>
        <w:t>Destinar los espacios y equipos necesarios para el funcionamiento de sus archivos;</w:t>
      </w:r>
    </w:p>
    <w:p w:rsidRPr="0054626B" w:rsidR="001C76C7" w:rsidP="001C76C7" w:rsidRDefault="001C76C7" w14:paraId="154088EC" w14:textId="77777777">
      <w:pPr>
        <w:pStyle w:val="Prrafodelista"/>
        <w:rPr>
          <w:rFonts w:ascii="Palatino Linotype" w:hAnsi="Palatino Linotype" w:cs="Tahoma"/>
          <w:color w:val="0D0D0D" w:themeColor="text1" w:themeTint="F2"/>
          <w:szCs w:val="22"/>
          <w:lang w:val="es-ES"/>
        </w:rPr>
      </w:pPr>
    </w:p>
    <w:p w:rsidRPr="0054626B" w:rsidR="001C76C7" w:rsidP="00853259" w:rsidRDefault="001C76C7" w14:paraId="4D8C2A53" w14:textId="34074498">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rPr>
        <w:t>Racionalizar la producción, uso, distribución y control de los documentos de archivo, y</w:t>
      </w:r>
    </w:p>
    <w:p w:rsidRPr="0054626B" w:rsidR="001C76C7" w:rsidP="001C76C7" w:rsidRDefault="001C76C7" w14:paraId="5AD673AD" w14:textId="77777777">
      <w:pPr>
        <w:pStyle w:val="Prrafodelista"/>
        <w:rPr>
          <w:rFonts w:ascii="Palatino Linotype" w:hAnsi="Palatino Linotype" w:cs="Tahoma"/>
          <w:color w:val="0D0D0D" w:themeColor="text1" w:themeTint="F2"/>
          <w:szCs w:val="22"/>
          <w:lang w:val="es-ES"/>
        </w:rPr>
      </w:pPr>
    </w:p>
    <w:p w:rsidRPr="0054626B" w:rsidR="001C76C7" w:rsidP="00853259" w:rsidRDefault="001C76C7" w14:paraId="7E173197" w14:textId="1DBF2FE0">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54626B">
        <w:rPr>
          <w:rFonts w:ascii="Palatino Linotype" w:hAnsi="Palatino Linotype" w:cs="Tahoma"/>
          <w:color w:val="0D0D0D" w:themeColor="text1" w:themeTint="F2"/>
          <w:szCs w:val="22"/>
        </w:rPr>
        <w:t>Aplicar métodos y medidas para la organización, protección y conservación de los documentos de archivo.</w:t>
      </w:r>
    </w:p>
    <w:p w:rsidRPr="0054626B" w:rsidR="003D2608" w:rsidP="0076376B" w:rsidRDefault="00D07DEE" w14:paraId="4B4B3D5C" w14:textId="279628A6">
      <w:pPr>
        <w:spacing w:line="360" w:lineRule="auto"/>
        <w:jc w:val="both"/>
        <w:rPr>
          <w:rFonts w:ascii="Palatino Linotype" w:hAnsi="Palatino Linotype" w:cs="Arial"/>
          <w:sz w:val="22"/>
          <w:szCs w:val="22"/>
        </w:rPr>
      </w:pPr>
      <w:r w:rsidRPr="0054626B">
        <w:rPr>
          <w:rFonts w:ascii="Palatino Linotype" w:hAnsi="Palatino Linotype" w:cs="Arial"/>
          <w:sz w:val="22"/>
          <w:szCs w:val="22"/>
        </w:rPr>
        <w:lastRenderedPageBreak/>
        <w:t>Además, el artículo 27 de la Ley General de Archivos, como de la Ley de Archivos y Administración de Documentos del Estado de México y Municipios, establece que los Sujetos Obligados deberán contar con un área Coordinadora de Archivos, encargado de promover las acciones de Gestión Documental y Administración de Archivos.</w:t>
      </w:r>
    </w:p>
    <w:p w:rsidRPr="0054626B" w:rsidR="0033469C" w:rsidP="0076376B" w:rsidRDefault="0033469C" w14:paraId="71612359" w14:textId="3696146E">
      <w:pPr>
        <w:spacing w:line="360" w:lineRule="auto"/>
        <w:jc w:val="both"/>
        <w:rPr>
          <w:rFonts w:ascii="Palatino Linotype" w:hAnsi="Palatino Linotype" w:cs="Arial"/>
          <w:sz w:val="22"/>
          <w:szCs w:val="22"/>
        </w:rPr>
      </w:pPr>
    </w:p>
    <w:p w:rsidRPr="0054626B" w:rsidR="0033469C" w:rsidP="0076376B" w:rsidRDefault="00D07DEE" w14:paraId="369A869F" w14:textId="2008F0F4">
      <w:pPr>
        <w:spacing w:line="360" w:lineRule="auto"/>
        <w:jc w:val="both"/>
        <w:rPr>
          <w:rFonts w:ascii="Palatino Linotype" w:hAnsi="Palatino Linotype" w:cs="Arial"/>
          <w:sz w:val="22"/>
          <w:szCs w:val="22"/>
        </w:rPr>
      </w:pPr>
      <w:r w:rsidRPr="0054626B">
        <w:rPr>
          <w:rFonts w:ascii="Palatino Linotype" w:hAnsi="Palatino Linotype" w:cs="Arial"/>
          <w:sz w:val="22"/>
          <w:szCs w:val="22"/>
        </w:rPr>
        <w:t xml:space="preserve">En ese orden de ideas, el artículo 91, fracción VI, de la Ley Orgánica Municipal del Estado de México y el del Bando Municipal de Policía y Gobierno de Tepetlixpa, del dos mil veintidós, establecen que el Sujeto Obligado cuenta con diversas unidades administrativas para realizar sus funciones, entre las cuales se encuentra la Secretaría del Ayuntamiento, encargada de </w:t>
      </w:r>
      <w:r w:rsidRPr="0054626B" w:rsidR="00273339">
        <w:rPr>
          <w:rFonts w:ascii="Palatino Linotype" w:hAnsi="Palatino Linotype" w:cs="Arial"/>
          <w:sz w:val="22"/>
          <w:szCs w:val="22"/>
        </w:rPr>
        <w:t>administrar y controlar el archivo general del Ayuntamiento.</w:t>
      </w:r>
    </w:p>
    <w:p w:rsidRPr="0054626B" w:rsidR="00742953" w:rsidP="00742953" w:rsidRDefault="00742953" w14:paraId="0F8C5CF6" w14:textId="549B6698">
      <w:pPr>
        <w:pStyle w:val="Prrafodelista"/>
        <w:spacing w:line="360" w:lineRule="auto"/>
        <w:ind w:left="0" w:right="-28"/>
        <w:jc w:val="both"/>
        <w:rPr>
          <w:rFonts w:ascii="Palatino Linotype" w:hAnsi="Palatino Linotype" w:eastAsia="Calibri" w:cs="Tahoma"/>
          <w:bCs/>
          <w:szCs w:val="22"/>
          <w:lang w:eastAsia="en-US"/>
        </w:rPr>
      </w:pPr>
    </w:p>
    <w:p w:rsidRPr="0054626B" w:rsidR="00525B07" w:rsidP="00525B07" w:rsidRDefault="00525B07" w14:paraId="18F5855C" w14:textId="10CAB581">
      <w:pPr>
        <w:spacing w:line="360" w:lineRule="auto"/>
        <w:jc w:val="both"/>
        <w:rPr>
          <w:rFonts w:ascii="Palatino Linotype" w:hAnsi="Palatino Linotype" w:cs="Tahoma"/>
          <w:bCs/>
          <w:sz w:val="22"/>
          <w:szCs w:val="22"/>
          <w:lang w:val="es-ES_tradnl"/>
        </w:rPr>
      </w:pPr>
      <w:r w:rsidRPr="0054626B">
        <w:rPr>
          <w:rFonts w:ascii="Palatino Linotype" w:hAnsi="Palatino Linotype" w:cs="Tahoma"/>
          <w:bCs/>
          <w:sz w:val="22"/>
          <w:szCs w:val="22"/>
          <w:lang w:val="es-ES_tradnl"/>
        </w:rPr>
        <w:t xml:space="preserve">Como se observa, el Sujeto Obligado </w:t>
      </w:r>
      <w:r w:rsidRPr="0054626B">
        <w:rPr>
          <w:rFonts w:ascii="Palatino Linotype" w:hAnsi="Palatino Linotype" w:cs="Tahoma"/>
          <w:b/>
          <w:bCs/>
          <w:sz w:val="22"/>
          <w:szCs w:val="22"/>
          <w:lang w:val="es-ES_tradnl"/>
        </w:rPr>
        <w:t xml:space="preserve">tiene competencia para conocer de la información solicitada, </w:t>
      </w:r>
      <w:r w:rsidRPr="0054626B">
        <w:rPr>
          <w:rFonts w:ascii="Palatino Linotype" w:hAnsi="Palatino Linotype" w:cs="Tahoma"/>
          <w:bCs/>
          <w:sz w:val="22"/>
          <w:szCs w:val="22"/>
          <w:lang w:val="es-ES_tradnl"/>
        </w:rPr>
        <w:t xml:space="preserve">pues el Ayuntamiento debe </w:t>
      </w:r>
      <w:r w:rsidRPr="0054626B">
        <w:rPr>
          <w:rFonts w:ascii="Palatino Linotype" w:hAnsi="Palatino Linotype" w:cs="Tahoma"/>
          <w:color w:val="0D0D0D" w:themeColor="text1" w:themeTint="F2"/>
          <w:szCs w:val="22"/>
        </w:rPr>
        <w:t>producir, registrar, organizar y conservar los documentos de archivo, a través de su Coordinación de Archivos o bien la Secretaría del Ayuntamiento</w:t>
      </w:r>
      <w:r w:rsidRPr="0054626B">
        <w:rPr>
          <w:rFonts w:ascii="Palatino Linotype" w:hAnsi="Palatino Linotype" w:cs="Tahoma"/>
          <w:bCs/>
          <w:sz w:val="22"/>
          <w:szCs w:val="22"/>
          <w:lang w:val="es-ES_tradnl"/>
        </w:rPr>
        <w:t xml:space="preserve">; por lo cual, </w:t>
      </w:r>
      <w:r w:rsidRPr="0054626B">
        <w:rPr>
          <w:rFonts w:ascii="Palatino Linotype" w:hAnsi="Palatino Linotype" w:cs="Tahoma"/>
          <w:bCs/>
          <w:iCs/>
          <w:sz w:val="22"/>
          <w:szCs w:val="22"/>
        </w:rPr>
        <w:t>se considera que, para atender las solicitudes de información, el Sujeto Obligado, deberá realizar una búsqueda exhaustiva y razonable en todas sus áreas competentes, en términos del artículo 162 de la Ley de Transparencia y Acceso a la Información Pública del Estado de México y Municipios,</w:t>
      </w:r>
      <w:r w:rsidRPr="0054626B">
        <w:rPr>
          <w:rFonts w:ascii="Palatino Linotype" w:hAnsi="Palatino Linotype" w:eastAsia="Calibri" w:cs="Tahoma"/>
          <w:bCs/>
          <w:color w:val="000000" w:themeColor="text1"/>
          <w:sz w:val="22"/>
          <w:szCs w:val="22"/>
          <w:lang w:eastAsia="en-US"/>
        </w:rPr>
        <w:t xml:space="preserve"> a efecto de que dé la respuesta que a derecho corresponda y, en su caso, proporcione los documentos que den cuenta de la información solicitada.</w:t>
      </w:r>
    </w:p>
    <w:p w:rsidRPr="0054626B" w:rsidR="00525B07" w:rsidP="00525B07" w:rsidRDefault="00525B07" w14:paraId="1E09D2FF" w14:textId="77777777">
      <w:pPr>
        <w:spacing w:line="360" w:lineRule="auto"/>
        <w:jc w:val="both"/>
        <w:rPr>
          <w:rFonts w:ascii="Palatino Linotype" w:hAnsi="Palatino Linotype" w:cs="Tahoma"/>
          <w:bCs/>
          <w:iCs/>
          <w:sz w:val="22"/>
          <w:szCs w:val="22"/>
        </w:rPr>
      </w:pPr>
    </w:p>
    <w:p w:rsidRPr="0054626B" w:rsidR="00525B07" w:rsidP="00525B07" w:rsidRDefault="00525B07" w14:paraId="79F0396E" w14:textId="77777777">
      <w:pPr>
        <w:spacing w:line="360" w:lineRule="auto"/>
        <w:jc w:val="both"/>
        <w:rPr>
          <w:rFonts w:ascii="Palatino Linotype" w:hAnsi="Palatino Linotype" w:cs="Tahoma"/>
          <w:bCs/>
          <w:iCs/>
          <w:sz w:val="22"/>
          <w:szCs w:val="22"/>
          <w:lang w:val="es-ES"/>
        </w:rPr>
      </w:pPr>
      <w:r w:rsidRPr="0054626B">
        <w:rPr>
          <w:rFonts w:ascii="Palatino Linotype" w:hAnsi="Palatino Linotype" w:cs="Tahoma"/>
          <w:bCs/>
          <w:iCs/>
          <w:sz w:val="22"/>
          <w:szCs w:val="22"/>
          <w:lang w:val="es-ES_tradnl"/>
        </w:rPr>
        <w:t>No pasa desapercibido para este Instituto que las expresiones s, pudieran contener datos personales confidenciales, en términos del artículo 143, fracción I de la Ley de Transparencia y Acceso a la Información Pública del Estado de México; a</w:t>
      </w:r>
      <w:r w:rsidRPr="0054626B">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54626B">
        <w:rPr>
          <w:rFonts w:ascii="Palatino Linotype" w:hAnsi="Palatino Linotype" w:cs="Tahoma"/>
          <w:bCs/>
          <w:iCs/>
          <w:sz w:val="22"/>
          <w:szCs w:val="22"/>
          <w:lang w:val="es-ES"/>
        </w:rPr>
        <w:lastRenderedPageBreak/>
        <w:t>o secciones clasificadas, indicando su contenido de manera genérica y fundando y motivando su clasificación.</w:t>
      </w:r>
    </w:p>
    <w:p w:rsidRPr="0054626B" w:rsidR="00525B07" w:rsidP="00525B07" w:rsidRDefault="00525B07" w14:paraId="0FD82507" w14:textId="77777777">
      <w:pPr>
        <w:spacing w:line="360" w:lineRule="auto"/>
        <w:jc w:val="both"/>
        <w:rPr>
          <w:rFonts w:ascii="Palatino Linotype" w:hAnsi="Palatino Linotype" w:cs="Tahoma"/>
          <w:bCs/>
          <w:iCs/>
          <w:sz w:val="22"/>
          <w:szCs w:val="22"/>
          <w:lang w:val="es-ES"/>
        </w:rPr>
      </w:pPr>
    </w:p>
    <w:p w:rsidRPr="0054626B" w:rsidR="00525B07" w:rsidP="00525B07" w:rsidRDefault="00525B07" w14:paraId="72113EF4" w14:textId="77777777">
      <w:pPr>
        <w:spacing w:line="360" w:lineRule="auto"/>
        <w:jc w:val="both"/>
        <w:rPr>
          <w:rFonts w:ascii="Palatino Linotype" w:hAnsi="Palatino Linotype" w:cs="Tahoma"/>
          <w:bCs/>
          <w:iCs/>
          <w:sz w:val="22"/>
          <w:szCs w:val="22"/>
          <w:lang w:val="es-ES"/>
        </w:rPr>
      </w:pPr>
      <w:r w:rsidRPr="0054626B">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4626B" w:rsidR="00953EFD" w:rsidP="00742953" w:rsidRDefault="00953EFD" w14:paraId="20831A19" w14:textId="77777777">
      <w:pPr>
        <w:spacing w:line="360" w:lineRule="auto"/>
        <w:ind w:right="-28"/>
        <w:jc w:val="both"/>
        <w:rPr>
          <w:rFonts w:ascii="Palatino Linotype" w:hAnsi="Palatino Linotype" w:cs="Tahoma"/>
          <w:b/>
          <w:sz w:val="22"/>
          <w:szCs w:val="22"/>
        </w:rPr>
      </w:pPr>
    </w:p>
    <w:p w:rsidRPr="0054626B" w:rsidR="00742953" w:rsidP="00742953" w:rsidRDefault="00742953" w14:paraId="09A20841" w14:textId="60D32D70">
      <w:pPr>
        <w:spacing w:line="360" w:lineRule="auto"/>
        <w:ind w:right="-28"/>
        <w:jc w:val="both"/>
        <w:rPr>
          <w:rFonts w:ascii="Palatino Linotype" w:hAnsi="Palatino Linotype" w:cs="Tahoma"/>
          <w:b/>
          <w:sz w:val="22"/>
          <w:szCs w:val="22"/>
        </w:rPr>
      </w:pPr>
      <w:r w:rsidRPr="0054626B">
        <w:rPr>
          <w:rFonts w:ascii="Palatino Linotype" w:hAnsi="Palatino Linotype" w:cs="Tahoma"/>
          <w:b/>
          <w:sz w:val="22"/>
          <w:szCs w:val="22"/>
        </w:rPr>
        <w:t xml:space="preserve">SEXTO. Decisión. </w:t>
      </w:r>
    </w:p>
    <w:p w:rsidRPr="0054626B" w:rsidR="00742953" w:rsidP="00742953" w:rsidRDefault="00742953" w14:paraId="28234F0D" w14:textId="0C8F1EC3">
      <w:pPr>
        <w:spacing w:line="360" w:lineRule="auto"/>
        <w:ind w:right="-28"/>
        <w:jc w:val="both"/>
        <w:rPr>
          <w:rFonts w:ascii="Palatino Linotype" w:hAnsi="Palatino Linotype" w:cs="Tahoma"/>
          <w:b/>
          <w:sz w:val="22"/>
          <w:szCs w:val="22"/>
        </w:rPr>
      </w:pPr>
    </w:p>
    <w:p w:rsidRPr="0054626B" w:rsidR="00652A9D" w:rsidP="00652A9D" w:rsidRDefault="00652A9D" w14:paraId="31901B30" w14:textId="34B6F453">
      <w:pPr>
        <w:spacing w:line="360" w:lineRule="auto"/>
        <w:jc w:val="both"/>
        <w:rPr>
          <w:rFonts w:ascii="Palatino Linotype" w:hAnsi="Palatino Linotype" w:cs="Tahoma"/>
          <w:sz w:val="22"/>
          <w:szCs w:val="22"/>
        </w:rPr>
      </w:pPr>
      <w:r w:rsidRPr="0054626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4626B">
        <w:rPr>
          <w:rFonts w:ascii="Palatino Linotype" w:hAnsi="Palatino Linotype" w:cs="Tahoma"/>
          <w:b/>
          <w:bCs/>
          <w:sz w:val="22"/>
          <w:szCs w:val="22"/>
        </w:rPr>
        <w:t>ORDENAR</w:t>
      </w:r>
      <w:r w:rsidRPr="0054626B">
        <w:rPr>
          <w:rFonts w:ascii="Palatino Linotype" w:hAnsi="Palatino Linotype" w:cs="Tahoma"/>
          <w:sz w:val="22"/>
          <w:szCs w:val="22"/>
        </w:rPr>
        <w:t xml:space="preserve"> al Sujeto Obligado,</w:t>
      </w:r>
      <w:r w:rsidRPr="0054626B">
        <w:rPr>
          <w:rFonts w:ascii="Palatino Linotype" w:hAnsi="Palatino Linotype" w:eastAsia="Calibri" w:cs="Tahoma"/>
          <w:sz w:val="22"/>
          <w:szCs w:val="22"/>
          <w:lang w:eastAsia="en-US"/>
        </w:rPr>
        <w:t xml:space="preserve"> a que dé trámite y </w:t>
      </w:r>
      <w:r w:rsidRPr="0054626B">
        <w:rPr>
          <w:rFonts w:ascii="Palatino Linotype" w:hAnsi="Palatino Linotype" w:cs="Tahoma"/>
          <w:sz w:val="22"/>
          <w:szCs w:val="22"/>
        </w:rPr>
        <w:t xml:space="preserve">respuesta a la solicitud de información pública con número </w:t>
      </w:r>
      <w:r w:rsidRPr="0054626B">
        <w:rPr>
          <w:rFonts w:ascii="Palatino Linotype" w:hAnsi="Palatino Linotype" w:cs="Tahoma"/>
          <w:b/>
          <w:bCs/>
          <w:iCs/>
          <w:sz w:val="22"/>
          <w:szCs w:val="22"/>
        </w:rPr>
        <w:t>00019/TEPETLIX/IP/2022.</w:t>
      </w:r>
    </w:p>
    <w:p w:rsidRPr="0054626B" w:rsidR="00652A9D" w:rsidP="00742953" w:rsidRDefault="00652A9D" w14:paraId="699BDE3A" w14:textId="77777777">
      <w:pPr>
        <w:spacing w:line="360" w:lineRule="auto"/>
        <w:ind w:right="-28"/>
        <w:jc w:val="both"/>
        <w:rPr>
          <w:rFonts w:ascii="Palatino Linotype" w:hAnsi="Palatino Linotype" w:cs="Tahoma"/>
          <w:b/>
          <w:sz w:val="22"/>
          <w:szCs w:val="22"/>
        </w:rPr>
      </w:pPr>
    </w:p>
    <w:p w:rsidRPr="0054626B" w:rsidR="00742953" w:rsidP="00742953" w:rsidRDefault="00742953" w14:paraId="0443C8D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4626B">
        <w:rPr>
          <w:rFonts w:ascii="Palatino Linotype" w:hAnsi="Palatino Linotype" w:eastAsia="Calibri" w:cs="Tahoma"/>
          <w:b/>
          <w:bCs/>
          <w:iCs/>
          <w:sz w:val="22"/>
          <w:szCs w:val="22"/>
          <w:lang w:val="es-ES" w:eastAsia="en-US"/>
        </w:rPr>
        <w:t>Términos de la Resolución para conocimiento del Particular.</w:t>
      </w:r>
    </w:p>
    <w:p w:rsidRPr="0054626B" w:rsidR="00742953" w:rsidP="00742953" w:rsidRDefault="00742953" w14:paraId="377C97C8"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54626B" w:rsidR="00652A9D" w:rsidP="00652A9D" w:rsidRDefault="00652A9D" w14:paraId="43EFA6FC"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54626B">
        <w:rPr>
          <w:rFonts w:ascii="Palatino Linotype" w:hAnsi="Palatino Linotype" w:eastAsia="Calibri" w:cs="Tahoma"/>
          <w:bCs/>
          <w:iCs/>
          <w:sz w:val="22"/>
          <w:szCs w:val="22"/>
          <w:lang w:val="es-ES" w:eastAsia="en-US"/>
        </w:rPr>
        <w:t>Se le hace del conocimiento al Particular, que, en el presente caso, se le da la razón, pues el Ayuntamiento de Acolman, no emitió contestación al requerimiento de acceso a la información pública, por ello, deberá dar respuesta a la solicitud de información, y en su caso, entregarle el documento que atienda su pedimento.</w:t>
      </w:r>
    </w:p>
    <w:p w:rsidRPr="0054626B" w:rsidR="00652A9D" w:rsidP="00652A9D" w:rsidRDefault="00652A9D" w14:paraId="5BE5ECF5"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54626B" w:rsidR="00652A9D" w:rsidP="00652A9D" w:rsidRDefault="00652A9D" w14:paraId="1EC063EC" w14:textId="77777777">
      <w:pPr>
        <w:spacing w:line="360" w:lineRule="auto"/>
        <w:jc w:val="both"/>
        <w:rPr>
          <w:rFonts w:ascii="Palatino Linotype" w:hAnsi="Palatino Linotype" w:eastAsia="Calibri" w:cs="Tahoma"/>
          <w:bCs/>
          <w:iCs/>
          <w:sz w:val="22"/>
          <w:szCs w:val="22"/>
          <w:lang w:val="es-ES" w:eastAsia="es-ES_tradnl"/>
        </w:rPr>
      </w:pPr>
      <w:r w:rsidRPr="0054626B">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54626B" w:rsidR="00652A9D" w:rsidP="00652A9D" w:rsidRDefault="00652A9D" w14:paraId="55C6244F" w14:textId="77777777">
      <w:pPr>
        <w:spacing w:line="360" w:lineRule="auto"/>
        <w:jc w:val="both"/>
        <w:rPr>
          <w:rFonts w:ascii="Palatino Linotype" w:hAnsi="Palatino Linotype" w:eastAsia="Calibri" w:cs="Tahoma"/>
          <w:bCs/>
          <w:iCs/>
          <w:sz w:val="22"/>
          <w:szCs w:val="22"/>
          <w:lang w:val="es-ES" w:eastAsia="es-ES_tradnl"/>
        </w:rPr>
      </w:pPr>
    </w:p>
    <w:p w:rsidRPr="0054626B" w:rsidR="00652A9D" w:rsidP="00652A9D" w:rsidRDefault="00652A9D" w14:paraId="2D6BC0CB" w14:textId="77777777">
      <w:pPr>
        <w:spacing w:line="360" w:lineRule="auto"/>
        <w:jc w:val="both"/>
        <w:rPr>
          <w:rFonts w:ascii="Palatino Linotype" w:hAnsi="Palatino Linotype" w:eastAsia="Calibri" w:cs="Tahoma"/>
          <w:bCs/>
          <w:iCs/>
          <w:sz w:val="22"/>
          <w:szCs w:val="22"/>
          <w:lang w:eastAsia="en-US"/>
        </w:rPr>
      </w:pPr>
      <w:r w:rsidRPr="0054626B">
        <w:rPr>
          <w:rFonts w:ascii="Palatino Linotype" w:hAnsi="Palatino Linotype" w:eastAsia="Calibri" w:cs="Tahoma"/>
          <w:bCs/>
          <w:iCs/>
          <w:sz w:val="22"/>
          <w:szCs w:val="22"/>
          <w:lang w:eastAsia="en-US"/>
        </w:rPr>
        <w:lastRenderedPageBreak/>
        <w:t xml:space="preserve">La labor de este </w:t>
      </w:r>
      <w:proofErr w:type="gramStart"/>
      <w:r w:rsidRPr="0054626B">
        <w:rPr>
          <w:rFonts w:ascii="Palatino Linotype" w:hAnsi="Palatino Linotype" w:eastAsia="Calibri" w:cs="Tahoma"/>
          <w:bCs/>
          <w:iCs/>
          <w:sz w:val="22"/>
          <w:szCs w:val="22"/>
          <w:lang w:eastAsia="en-US"/>
        </w:rPr>
        <w:t>Instituto,</w:t>
      </w:r>
      <w:proofErr w:type="gramEnd"/>
      <w:r w:rsidRPr="0054626B">
        <w:rPr>
          <w:rFonts w:ascii="Palatino Linotype" w:hAnsi="Palatino Linotype" w:eastAsia="Calibri" w:cs="Tahoma"/>
          <w:bCs/>
          <w:iCs/>
          <w:sz w:val="22"/>
          <w:szCs w:val="22"/>
          <w:lang w:eastAsia="en-US"/>
        </w:rPr>
        <w:t xml:space="preserve"> es apoyar a la población a acceder a la información pública y garantizar la protección de sus datos personales.</w:t>
      </w:r>
    </w:p>
    <w:p w:rsidRPr="0054626B" w:rsidR="00652A9D" w:rsidP="00742953" w:rsidRDefault="00652A9D" w14:paraId="19B169A3" w14:textId="77777777">
      <w:pPr>
        <w:spacing w:line="360" w:lineRule="auto"/>
        <w:jc w:val="both"/>
        <w:rPr>
          <w:rFonts w:ascii="Palatino Linotype" w:hAnsi="Palatino Linotype" w:cs="Tahoma"/>
          <w:b/>
          <w:bCs/>
          <w:iCs/>
          <w:color w:val="0D0D0D" w:themeColor="text1" w:themeTint="F2"/>
          <w:sz w:val="22"/>
          <w:szCs w:val="22"/>
        </w:rPr>
      </w:pPr>
    </w:p>
    <w:p w:rsidRPr="0054626B" w:rsidR="00742953" w:rsidP="00742953" w:rsidRDefault="00742953" w14:paraId="2F791786" w14:textId="17AB1781">
      <w:pPr>
        <w:spacing w:line="360" w:lineRule="auto"/>
        <w:jc w:val="both"/>
        <w:rPr>
          <w:rFonts w:ascii="Palatino Linotype" w:hAnsi="Palatino Linotype" w:cs="Tahoma"/>
          <w:b/>
          <w:bCs/>
          <w:iCs/>
          <w:color w:val="0D0D0D" w:themeColor="text1" w:themeTint="F2"/>
          <w:sz w:val="22"/>
          <w:szCs w:val="22"/>
        </w:rPr>
      </w:pPr>
      <w:r w:rsidRPr="0054626B">
        <w:rPr>
          <w:rFonts w:ascii="Palatino Linotype" w:hAnsi="Palatino Linotype" w:cs="Tahoma"/>
          <w:b/>
          <w:bCs/>
          <w:iCs/>
          <w:color w:val="0D0D0D" w:themeColor="text1" w:themeTint="F2"/>
          <w:sz w:val="22"/>
          <w:szCs w:val="22"/>
        </w:rPr>
        <w:t xml:space="preserve">SÉPTIMO. Vista a la Contraloría Interna y Órgano de Control y Vigilancia. </w:t>
      </w:r>
    </w:p>
    <w:p w:rsidRPr="0054626B" w:rsidR="00742953" w:rsidP="00742953" w:rsidRDefault="00742953" w14:paraId="538831FE" w14:textId="77777777">
      <w:pPr>
        <w:spacing w:line="360" w:lineRule="auto"/>
        <w:jc w:val="both"/>
        <w:rPr>
          <w:rFonts w:ascii="Palatino Linotype" w:hAnsi="Palatino Linotype" w:cs="Tahoma"/>
          <w:bCs/>
          <w:color w:val="0D0D0D" w:themeColor="text1" w:themeTint="F2"/>
          <w:sz w:val="22"/>
          <w:szCs w:val="22"/>
        </w:rPr>
      </w:pPr>
    </w:p>
    <w:p w:rsidRPr="0054626B" w:rsidR="00742953" w:rsidP="00742953" w:rsidRDefault="00742953" w14:paraId="2AF2AD99" w14:textId="076C757B">
      <w:pPr>
        <w:spacing w:line="360" w:lineRule="auto"/>
        <w:jc w:val="both"/>
        <w:rPr>
          <w:rFonts w:ascii="Palatino Linotype" w:hAnsi="Palatino Linotype" w:cs="Tahoma"/>
          <w:bCs/>
          <w:color w:val="0D0D0D" w:themeColor="text1" w:themeTint="F2"/>
          <w:sz w:val="22"/>
          <w:szCs w:val="22"/>
        </w:rPr>
      </w:pPr>
      <w:r w:rsidRPr="0054626B">
        <w:rPr>
          <w:rFonts w:ascii="Palatino Linotype" w:hAnsi="Palatino Linotype" w:cs="Tahoma"/>
          <w:bCs/>
          <w:color w:val="0D0D0D" w:themeColor="text1" w:themeTint="F2"/>
          <w:sz w:val="22"/>
          <w:szCs w:val="22"/>
        </w:rPr>
        <w:t>En el caso en estudio, ha quedado acreditado que el Ayuntamiento de Te</w:t>
      </w:r>
      <w:r w:rsidRPr="0054626B" w:rsidR="00DB3718">
        <w:rPr>
          <w:rFonts w:ascii="Palatino Linotype" w:hAnsi="Palatino Linotype" w:cs="Tahoma"/>
          <w:bCs/>
          <w:color w:val="0D0D0D" w:themeColor="text1" w:themeTint="F2"/>
          <w:sz w:val="22"/>
          <w:szCs w:val="22"/>
        </w:rPr>
        <w:t>petlixpa</w:t>
      </w:r>
      <w:r w:rsidRPr="0054626B">
        <w:rPr>
          <w:rFonts w:ascii="Palatino Linotype" w:hAnsi="Palatino Linotype" w:eastAsia="Calibri" w:cs="Tahoma"/>
          <w:bCs/>
          <w:color w:val="0D0D0D" w:themeColor="text1" w:themeTint="F2"/>
          <w:sz w:val="22"/>
          <w:szCs w:val="22"/>
        </w:rPr>
        <w:t xml:space="preserve"> </w:t>
      </w:r>
      <w:r w:rsidRPr="0054626B">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rsidRPr="0054626B" w:rsidR="00742953" w:rsidP="00742953" w:rsidRDefault="00742953" w14:paraId="3AFA95A2" w14:textId="77777777">
      <w:pPr>
        <w:spacing w:line="360" w:lineRule="auto"/>
        <w:jc w:val="both"/>
        <w:rPr>
          <w:rFonts w:ascii="Palatino Linotype" w:hAnsi="Palatino Linotype" w:cs="Tahoma"/>
          <w:bCs/>
          <w:color w:val="0D0D0D" w:themeColor="text1" w:themeTint="F2"/>
          <w:sz w:val="22"/>
          <w:szCs w:val="22"/>
        </w:rPr>
      </w:pPr>
    </w:p>
    <w:p w:rsidRPr="0054626B" w:rsidR="00742953" w:rsidP="00742953" w:rsidRDefault="00742953" w14:paraId="3A4B3388" w14:textId="77777777">
      <w:pPr>
        <w:spacing w:line="360" w:lineRule="auto"/>
        <w:jc w:val="both"/>
        <w:rPr>
          <w:rFonts w:ascii="Palatino Linotype" w:hAnsi="Palatino Linotype" w:cs="Tahoma"/>
          <w:bCs/>
          <w:color w:val="0D0D0D" w:themeColor="text1" w:themeTint="F2"/>
          <w:sz w:val="22"/>
          <w:szCs w:val="22"/>
        </w:rPr>
      </w:pPr>
      <w:r w:rsidRPr="0054626B">
        <w:rPr>
          <w:rFonts w:ascii="Palatino Linotype" w:hAnsi="Palatino Linotype" w:cs="Tahoma"/>
          <w:bCs/>
          <w:color w:val="0D0D0D" w:themeColor="text1" w:themeTint="F2"/>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54626B" w:rsidR="00742953" w:rsidP="00742953" w:rsidRDefault="00742953" w14:paraId="7204AD6A" w14:textId="77777777">
      <w:pPr>
        <w:spacing w:line="360" w:lineRule="auto"/>
        <w:jc w:val="both"/>
        <w:rPr>
          <w:rFonts w:ascii="Palatino Linotype" w:hAnsi="Palatino Linotype" w:cs="Tahoma"/>
          <w:bCs/>
          <w:color w:val="0D0D0D" w:themeColor="text1" w:themeTint="F2"/>
          <w:sz w:val="22"/>
          <w:szCs w:val="22"/>
        </w:rPr>
      </w:pPr>
    </w:p>
    <w:p w:rsidRPr="0054626B" w:rsidR="00742953" w:rsidP="00742953" w:rsidRDefault="00742953" w14:paraId="387DA083" w14:textId="77777777">
      <w:pPr>
        <w:spacing w:line="360" w:lineRule="auto"/>
        <w:jc w:val="both"/>
        <w:rPr>
          <w:rFonts w:ascii="Palatino Linotype" w:hAnsi="Palatino Linotype" w:cs="Tahoma"/>
          <w:bCs/>
          <w:color w:val="0D0D0D" w:themeColor="text1" w:themeTint="F2"/>
          <w:sz w:val="22"/>
          <w:szCs w:val="22"/>
        </w:rPr>
      </w:pPr>
      <w:r w:rsidRPr="0054626B">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4626B">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54626B">
        <w:rPr>
          <w:rFonts w:ascii="Palatino Linotype" w:hAnsi="Palatino Linotype" w:cs="Tahoma"/>
          <w:bCs/>
          <w:color w:val="0D0D0D" w:themeColor="text1" w:themeTint="F2"/>
          <w:sz w:val="22"/>
          <w:szCs w:val="22"/>
        </w:rPr>
        <w:t>.</w:t>
      </w:r>
    </w:p>
    <w:p w:rsidRPr="0054626B" w:rsidR="00742953" w:rsidP="00742953" w:rsidRDefault="00742953" w14:paraId="468395BC" w14:textId="2F76251E">
      <w:pPr>
        <w:spacing w:line="360" w:lineRule="auto"/>
        <w:jc w:val="both"/>
        <w:rPr>
          <w:rFonts w:ascii="Palatino Linotype" w:hAnsi="Palatino Linotype" w:eastAsia="Calibri" w:cs="Tahoma"/>
          <w:bCs/>
          <w:iCs/>
          <w:color w:val="0D0D0D" w:themeColor="text1" w:themeTint="F2"/>
          <w:sz w:val="22"/>
          <w:szCs w:val="22"/>
          <w:lang w:eastAsia="en-US"/>
        </w:rPr>
      </w:pPr>
    </w:p>
    <w:p w:rsidRPr="0054626B" w:rsidR="00652A9D" w:rsidP="00742953" w:rsidRDefault="00652A9D" w14:paraId="627AAE16" w14:textId="77777777">
      <w:pPr>
        <w:spacing w:line="360" w:lineRule="auto"/>
        <w:jc w:val="both"/>
        <w:rPr>
          <w:rFonts w:ascii="Palatino Linotype" w:hAnsi="Palatino Linotype" w:eastAsia="Calibri" w:cs="Tahoma"/>
          <w:bCs/>
          <w:iCs/>
          <w:color w:val="0D0D0D" w:themeColor="text1" w:themeTint="F2"/>
          <w:sz w:val="22"/>
          <w:szCs w:val="22"/>
          <w:lang w:eastAsia="en-US"/>
        </w:rPr>
      </w:pPr>
    </w:p>
    <w:p w:rsidRPr="0054626B" w:rsidR="00742953" w:rsidP="00742953" w:rsidRDefault="00742953" w14:paraId="719E1BF7"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54626B">
        <w:rPr>
          <w:rFonts w:ascii="Palatino Linotype" w:hAnsi="Palatino Linotype" w:eastAsia="Calibri" w:cs="Tahoma"/>
          <w:bCs/>
          <w:iCs/>
          <w:color w:val="0D0D0D" w:themeColor="text1" w:themeTint="F2"/>
          <w:sz w:val="22"/>
          <w:szCs w:val="22"/>
          <w:lang w:eastAsia="en-US"/>
        </w:rPr>
        <w:t>Por lo expuesto y fundado, este Pleno:</w:t>
      </w:r>
    </w:p>
    <w:p w:rsidRPr="0054626B" w:rsidR="00742953" w:rsidP="00742953" w:rsidRDefault="00742953" w14:paraId="59A3D541" w14:textId="77777777">
      <w:pPr>
        <w:spacing w:line="360" w:lineRule="auto"/>
        <w:ind w:right="-28"/>
        <w:jc w:val="both"/>
        <w:rPr>
          <w:rFonts w:ascii="Palatino Linotype" w:hAnsi="Palatino Linotype" w:eastAsia="Calibri" w:cs="Tahoma"/>
          <w:bCs/>
          <w:sz w:val="22"/>
          <w:szCs w:val="22"/>
          <w:lang w:eastAsia="en-US"/>
        </w:rPr>
      </w:pPr>
    </w:p>
    <w:p w:rsidRPr="0054626B" w:rsidR="00742953" w:rsidP="00742953" w:rsidRDefault="00742953" w14:paraId="7D3908A2" w14:textId="77777777">
      <w:pPr>
        <w:spacing w:line="360" w:lineRule="auto"/>
        <w:ind w:right="-28"/>
        <w:jc w:val="center"/>
        <w:rPr>
          <w:rFonts w:ascii="Palatino Linotype" w:hAnsi="Palatino Linotype" w:eastAsia="Calibri" w:cs="Tahoma"/>
          <w:b/>
          <w:bCs/>
          <w:sz w:val="22"/>
          <w:szCs w:val="22"/>
          <w:lang w:eastAsia="en-US"/>
        </w:rPr>
      </w:pPr>
      <w:r w:rsidRPr="0054626B">
        <w:rPr>
          <w:rFonts w:ascii="Palatino Linotype" w:hAnsi="Palatino Linotype" w:eastAsia="Calibri" w:cs="Tahoma"/>
          <w:b/>
          <w:bCs/>
          <w:sz w:val="22"/>
          <w:szCs w:val="22"/>
          <w:lang w:eastAsia="en-US"/>
        </w:rPr>
        <w:t>R E S U E L V E</w:t>
      </w:r>
    </w:p>
    <w:p w:rsidRPr="0054626B" w:rsidR="00742953" w:rsidP="00742953" w:rsidRDefault="00742953" w14:paraId="100D2FE2" w14:textId="77777777">
      <w:pPr>
        <w:spacing w:line="360" w:lineRule="auto"/>
        <w:ind w:right="-28"/>
        <w:jc w:val="center"/>
        <w:rPr>
          <w:rFonts w:ascii="Palatino Linotype" w:hAnsi="Palatino Linotype" w:cs="Tahoma"/>
          <w:b/>
          <w:bCs/>
          <w:sz w:val="22"/>
          <w:szCs w:val="22"/>
        </w:rPr>
      </w:pPr>
    </w:p>
    <w:p w:rsidRPr="0054626B" w:rsidR="00742953" w:rsidP="00742953" w:rsidRDefault="00742953" w14:paraId="64F29C7C" w14:textId="2FBD2682">
      <w:pPr>
        <w:spacing w:line="360" w:lineRule="auto"/>
        <w:contextualSpacing/>
        <w:jc w:val="both"/>
        <w:rPr>
          <w:rFonts w:ascii="Palatino Linotype" w:hAnsi="Palatino Linotype" w:eastAsia="Calibri" w:cs="Tahoma"/>
          <w:bCs/>
          <w:color w:val="0D0D0D" w:themeColor="text1" w:themeTint="F2"/>
          <w:sz w:val="22"/>
        </w:rPr>
      </w:pPr>
      <w:r w:rsidRPr="0054626B">
        <w:rPr>
          <w:rFonts w:ascii="Palatino Linotype" w:hAnsi="Palatino Linotype" w:eastAsia="Calibri" w:cs="Tahoma"/>
          <w:b/>
          <w:bCs/>
          <w:iCs/>
          <w:color w:val="0D0D0D" w:themeColor="text1" w:themeTint="F2"/>
          <w:sz w:val="22"/>
          <w:szCs w:val="22"/>
          <w:lang w:eastAsia="en-US"/>
        </w:rPr>
        <w:t xml:space="preserve">PRIMERO. </w:t>
      </w:r>
      <w:r w:rsidRPr="0054626B">
        <w:rPr>
          <w:rFonts w:ascii="Palatino Linotype" w:hAnsi="Palatino Linotype" w:eastAsia="Calibri" w:cs="Tahoma"/>
          <w:bCs/>
          <w:iCs/>
          <w:color w:val="0D0D0D" w:themeColor="text1" w:themeTint="F2"/>
          <w:sz w:val="22"/>
          <w:szCs w:val="22"/>
          <w:lang w:eastAsia="en-US"/>
        </w:rPr>
        <w:t xml:space="preserve">Resultan </w:t>
      </w:r>
      <w:r w:rsidRPr="0054626B">
        <w:rPr>
          <w:rFonts w:ascii="Palatino Linotype" w:hAnsi="Palatino Linotype" w:eastAsia="Calibri" w:cs="Tahoma"/>
          <w:b/>
          <w:bCs/>
          <w:iCs/>
          <w:color w:val="0D0D0D" w:themeColor="text1" w:themeTint="F2"/>
          <w:sz w:val="22"/>
          <w:szCs w:val="22"/>
          <w:lang w:eastAsia="en-US"/>
        </w:rPr>
        <w:t xml:space="preserve">FUNDADAS </w:t>
      </w:r>
      <w:r w:rsidRPr="0054626B">
        <w:rPr>
          <w:rFonts w:ascii="Palatino Linotype" w:hAnsi="Palatino Linotype" w:eastAsia="Calibri" w:cs="Tahoma"/>
          <w:bCs/>
          <w:color w:val="0D0D0D" w:themeColor="text1" w:themeTint="F2"/>
          <w:sz w:val="22"/>
        </w:rPr>
        <w:t xml:space="preserve">las razones o motivos de inconformidad hechos valer por la Particular en el Recurso de Revisión con número </w:t>
      </w:r>
      <w:r w:rsidRPr="0054626B">
        <w:rPr>
          <w:rFonts w:ascii="Palatino Linotype" w:hAnsi="Palatino Linotype" w:cs="Tahoma"/>
          <w:b/>
          <w:color w:val="0D0D0D" w:themeColor="text1" w:themeTint="F2"/>
          <w:sz w:val="22"/>
          <w:szCs w:val="22"/>
        </w:rPr>
        <w:t>0</w:t>
      </w:r>
      <w:r w:rsidRPr="0054626B" w:rsidR="00DB3718">
        <w:rPr>
          <w:rFonts w:ascii="Palatino Linotype" w:hAnsi="Palatino Linotype" w:cs="Tahoma"/>
          <w:b/>
          <w:color w:val="0D0D0D" w:themeColor="text1" w:themeTint="F2"/>
          <w:sz w:val="22"/>
          <w:szCs w:val="22"/>
        </w:rPr>
        <w:t>194</w:t>
      </w:r>
      <w:r w:rsidRPr="0054626B">
        <w:rPr>
          <w:rFonts w:ascii="Palatino Linotype" w:hAnsi="Palatino Linotype" w:cs="Tahoma"/>
          <w:b/>
          <w:color w:val="0D0D0D" w:themeColor="text1" w:themeTint="F2"/>
          <w:sz w:val="22"/>
          <w:szCs w:val="22"/>
        </w:rPr>
        <w:t>6/INFOEM/IP/RR/2022</w:t>
      </w:r>
      <w:r w:rsidRPr="0054626B">
        <w:rPr>
          <w:rFonts w:ascii="Palatino Linotype" w:hAnsi="Palatino Linotype" w:cs="Tahoma"/>
          <w:bCs/>
          <w:color w:val="0D0D0D" w:themeColor="text1" w:themeTint="F2"/>
          <w:sz w:val="22"/>
        </w:rPr>
        <w:t>,</w:t>
      </w:r>
      <w:r w:rsidRPr="0054626B">
        <w:rPr>
          <w:rFonts w:ascii="Palatino Linotype" w:hAnsi="Palatino Linotype" w:cs="Tahoma"/>
          <w:b/>
          <w:color w:val="0D0D0D" w:themeColor="text1" w:themeTint="F2"/>
          <w:sz w:val="22"/>
        </w:rPr>
        <w:t xml:space="preserve"> </w:t>
      </w:r>
      <w:r w:rsidRPr="0054626B">
        <w:rPr>
          <w:rFonts w:ascii="Palatino Linotype" w:hAnsi="Palatino Linotype" w:eastAsia="Calibri" w:cs="Tahoma"/>
          <w:bCs/>
          <w:color w:val="0D0D0D" w:themeColor="text1" w:themeTint="F2"/>
          <w:sz w:val="22"/>
        </w:rPr>
        <w:t xml:space="preserve">en términos del considerando </w:t>
      </w:r>
      <w:r w:rsidRPr="0054626B">
        <w:rPr>
          <w:rFonts w:ascii="Palatino Linotype" w:hAnsi="Palatino Linotype" w:eastAsia="Calibri" w:cs="Tahoma"/>
          <w:b/>
          <w:bCs/>
          <w:color w:val="0D0D0D" w:themeColor="text1" w:themeTint="F2"/>
          <w:sz w:val="22"/>
        </w:rPr>
        <w:t xml:space="preserve">QUINTO </w:t>
      </w:r>
      <w:r w:rsidRPr="0054626B">
        <w:rPr>
          <w:rFonts w:ascii="Palatino Linotype" w:hAnsi="Palatino Linotype" w:eastAsia="Calibri" w:cs="Tahoma"/>
          <w:color w:val="0D0D0D" w:themeColor="text1" w:themeTint="F2"/>
          <w:sz w:val="22"/>
        </w:rPr>
        <w:t>y</w:t>
      </w:r>
      <w:r w:rsidRPr="0054626B">
        <w:rPr>
          <w:rFonts w:ascii="Palatino Linotype" w:hAnsi="Palatino Linotype" w:eastAsia="Calibri" w:cs="Tahoma"/>
          <w:b/>
          <w:bCs/>
          <w:color w:val="0D0D0D" w:themeColor="text1" w:themeTint="F2"/>
          <w:sz w:val="22"/>
        </w:rPr>
        <w:t xml:space="preserve"> SEXTO </w:t>
      </w:r>
      <w:r w:rsidRPr="0054626B">
        <w:rPr>
          <w:rFonts w:ascii="Palatino Linotype" w:hAnsi="Palatino Linotype" w:eastAsia="Calibri" w:cs="Tahoma"/>
          <w:bCs/>
          <w:color w:val="0D0D0D" w:themeColor="text1" w:themeTint="F2"/>
          <w:sz w:val="22"/>
        </w:rPr>
        <w:t>de la presente Resolución.</w:t>
      </w:r>
    </w:p>
    <w:p w:rsidRPr="0054626B" w:rsidR="00742953" w:rsidP="00742953" w:rsidRDefault="00742953" w14:paraId="4A6A2168" w14:textId="77777777">
      <w:pPr>
        <w:spacing w:line="360" w:lineRule="auto"/>
        <w:ind w:right="113"/>
        <w:jc w:val="both"/>
        <w:rPr>
          <w:rFonts w:ascii="Palatino Linotype" w:hAnsi="Palatino Linotype"/>
          <w:iCs/>
          <w:sz w:val="22"/>
          <w:szCs w:val="22"/>
        </w:rPr>
      </w:pPr>
    </w:p>
    <w:p w:rsidRPr="0054626B" w:rsidR="00652A9D" w:rsidP="00652A9D" w:rsidRDefault="00742953" w14:paraId="5D1053F9" w14:textId="668FA33C">
      <w:pPr>
        <w:spacing w:line="360" w:lineRule="auto"/>
        <w:jc w:val="both"/>
        <w:rPr>
          <w:rFonts w:ascii="Palatino Linotype" w:hAnsi="Palatino Linotype" w:cs="Tahoma"/>
          <w:sz w:val="22"/>
          <w:szCs w:val="22"/>
          <w:lang w:val="es-ES"/>
        </w:rPr>
      </w:pPr>
      <w:r w:rsidRPr="0054626B">
        <w:rPr>
          <w:rFonts w:ascii="Palatino Linotype" w:hAnsi="Palatino Linotype" w:eastAsia="Calibri" w:cs="Tahoma"/>
          <w:b/>
          <w:bCs/>
          <w:iCs/>
          <w:color w:val="000000"/>
          <w:sz w:val="22"/>
          <w:szCs w:val="22"/>
          <w:lang w:eastAsia="en-US"/>
        </w:rPr>
        <w:t xml:space="preserve">SEGUNDO. </w:t>
      </w:r>
      <w:r w:rsidRPr="0054626B" w:rsidR="00652A9D">
        <w:rPr>
          <w:rFonts w:ascii="Palatino Linotype" w:hAnsi="Palatino Linotype" w:cs="Tahoma"/>
          <w:sz w:val="22"/>
          <w:szCs w:val="22"/>
          <w:lang w:val="es-ES"/>
        </w:rPr>
        <w:t xml:space="preserve">Se </w:t>
      </w:r>
      <w:r w:rsidRPr="0054626B" w:rsidR="00652A9D">
        <w:rPr>
          <w:rFonts w:ascii="Palatino Linotype" w:hAnsi="Palatino Linotype" w:cs="Tahoma"/>
          <w:b/>
          <w:sz w:val="22"/>
          <w:szCs w:val="22"/>
          <w:lang w:val="es-ES"/>
        </w:rPr>
        <w:t>ORDENA</w:t>
      </w:r>
      <w:r w:rsidRPr="0054626B" w:rsidR="00652A9D">
        <w:rPr>
          <w:rFonts w:ascii="Palatino Linotype" w:hAnsi="Palatino Linotype" w:cs="Tahoma"/>
          <w:sz w:val="22"/>
          <w:szCs w:val="22"/>
          <w:lang w:val="es-ES"/>
        </w:rPr>
        <w:t xml:space="preserve"> al Sujeto Obligado, </w:t>
      </w:r>
      <w:r w:rsidRPr="0054626B" w:rsidR="00652A9D">
        <w:rPr>
          <w:rFonts w:ascii="Palatino Linotype" w:hAnsi="Palatino Linotype" w:cs="Tahoma"/>
          <w:bCs/>
          <w:sz w:val="22"/>
          <w:szCs w:val="22"/>
        </w:rPr>
        <w:t xml:space="preserve">a efecto de que dé trámite a la solicitud de acceso a la información </w:t>
      </w:r>
      <w:r w:rsidRPr="0054626B" w:rsidR="00652A9D">
        <w:rPr>
          <w:rFonts w:ascii="Palatino Linotype" w:hAnsi="Palatino Linotype" w:cs="Tahoma"/>
          <w:b/>
          <w:bCs/>
          <w:sz w:val="22"/>
          <w:szCs w:val="22"/>
        </w:rPr>
        <w:t>00019/TEPETLIX/IP/2022</w:t>
      </w:r>
      <w:r w:rsidRPr="0054626B" w:rsidR="00652A9D">
        <w:rPr>
          <w:rFonts w:ascii="Palatino Linotype" w:hAnsi="Palatino Linotype" w:cs="Tahoma"/>
          <w:sz w:val="22"/>
          <w:szCs w:val="22"/>
          <w:lang w:val="es-ES"/>
        </w:rPr>
        <w:t>, y a través del Sistema de Acceso a la Información Mexiquense (SAIMEX) y correo electrónico, dé la respuesta que conforme a derecho corresponda.</w:t>
      </w:r>
    </w:p>
    <w:p w:rsidRPr="0054626B" w:rsidR="00742953" w:rsidP="00742953" w:rsidRDefault="00742953" w14:paraId="64905CE2" w14:textId="56725D5C">
      <w:pPr>
        <w:spacing w:line="360" w:lineRule="auto"/>
        <w:contextualSpacing/>
        <w:jc w:val="both"/>
        <w:rPr>
          <w:rFonts w:ascii="Palatino Linotype" w:hAnsi="Palatino Linotype" w:eastAsia="Calibri" w:cs="Tahoma"/>
          <w:iCs/>
          <w:color w:val="000000"/>
          <w:sz w:val="22"/>
          <w:szCs w:val="22"/>
          <w:lang w:eastAsia="en-US"/>
        </w:rPr>
      </w:pPr>
    </w:p>
    <w:p w:rsidRPr="0054626B" w:rsidR="00742953" w:rsidP="00742953" w:rsidRDefault="00742953" w14:paraId="01C43357" w14:textId="77777777">
      <w:pPr>
        <w:spacing w:line="360" w:lineRule="auto"/>
        <w:jc w:val="both"/>
        <w:rPr>
          <w:rFonts w:ascii="Palatino Linotype" w:hAnsi="Palatino Linotype" w:eastAsia="Calibri" w:cs="Tahoma"/>
          <w:bCs/>
          <w:iCs/>
          <w:color w:val="0D0D0D" w:themeColor="text1" w:themeTint="F2"/>
          <w:sz w:val="22"/>
        </w:rPr>
      </w:pPr>
      <w:r w:rsidRPr="0054626B">
        <w:rPr>
          <w:rFonts w:ascii="Palatino Linotype" w:hAnsi="Palatino Linotype" w:eastAsia="Calibri" w:cs="Tahoma"/>
          <w:b/>
          <w:bCs/>
          <w:iCs/>
          <w:color w:val="0D0D0D" w:themeColor="text1" w:themeTint="F2"/>
          <w:sz w:val="22"/>
          <w:lang w:val="es-ES"/>
        </w:rPr>
        <w:t>TERCERO</w:t>
      </w:r>
      <w:r w:rsidRPr="0054626B">
        <w:rPr>
          <w:rFonts w:ascii="Palatino Linotype" w:hAnsi="Palatino Linotype" w:eastAsia="Calibri" w:cs="Tahoma"/>
          <w:b/>
          <w:bCs/>
          <w:color w:val="0D0D0D" w:themeColor="text1" w:themeTint="F2"/>
          <w:sz w:val="22"/>
        </w:rPr>
        <w:t xml:space="preserve">. </w:t>
      </w:r>
      <w:r w:rsidRPr="0054626B">
        <w:rPr>
          <w:rFonts w:ascii="Palatino Linotype" w:hAnsi="Palatino Linotype" w:eastAsia="Calibri"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54626B" w:rsidR="00742953" w:rsidP="00742953" w:rsidRDefault="00742953" w14:paraId="5EF24D98" w14:textId="77777777">
      <w:pPr>
        <w:spacing w:line="360" w:lineRule="auto"/>
        <w:jc w:val="both"/>
        <w:rPr>
          <w:rFonts w:ascii="Palatino Linotype" w:hAnsi="Palatino Linotype" w:eastAsia="Calibri" w:cs="Tahoma"/>
          <w:b/>
          <w:bCs/>
          <w:color w:val="0D0D0D" w:themeColor="text1" w:themeTint="F2"/>
          <w:sz w:val="22"/>
        </w:rPr>
      </w:pPr>
    </w:p>
    <w:p w:rsidRPr="0054626B" w:rsidR="00742953" w:rsidP="00742953" w:rsidRDefault="00742953" w14:paraId="1097BAE2" w14:textId="77777777">
      <w:pPr>
        <w:spacing w:line="360" w:lineRule="auto"/>
        <w:jc w:val="both"/>
        <w:rPr>
          <w:rFonts w:ascii="Palatino Linotype" w:hAnsi="Palatino Linotype" w:cs="Tahoma"/>
          <w:color w:val="0D0D0D" w:themeColor="text1" w:themeTint="F2"/>
          <w:sz w:val="22"/>
        </w:rPr>
      </w:pPr>
      <w:r w:rsidRPr="0054626B">
        <w:rPr>
          <w:rFonts w:ascii="Palatino Linotype" w:hAnsi="Palatino Linotype" w:eastAsia="Calibri" w:cs="Tahoma"/>
          <w:b/>
          <w:color w:val="0D0D0D" w:themeColor="text1" w:themeTint="F2"/>
          <w:sz w:val="22"/>
          <w:lang w:eastAsia="es-MX"/>
        </w:rPr>
        <w:t>CUARTO</w:t>
      </w:r>
      <w:r w:rsidRPr="0054626B">
        <w:rPr>
          <w:rFonts w:ascii="Palatino Linotype" w:hAnsi="Palatino Linotype" w:eastAsia="Calibri" w:cs="Tahoma"/>
          <w:b/>
          <w:bCs/>
          <w:color w:val="0D0D0D" w:themeColor="text1" w:themeTint="F2"/>
          <w:sz w:val="22"/>
        </w:rPr>
        <w:t xml:space="preserve">. </w:t>
      </w:r>
      <w:r w:rsidRPr="0054626B">
        <w:rPr>
          <w:rFonts w:ascii="Palatino Linotype" w:hAnsi="Palatino Linotype" w:cs="Tahoma"/>
          <w:b/>
          <w:color w:val="0D0D0D" w:themeColor="text1" w:themeTint="F2"/>
          <w:sz w:val="22"/>
        </w:rPr>
        <w:t xml:space="preserve">NOTIFÍQUESE </w:t>
      </w:r>
      <w:r w:rsidRPr="0054626B">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4626B" w:rsidR="00742953" w:rsidP="00742953" w:rsidRDefault="00742953" w14:paraId="27E9217B" w14:textId="1775790E">
      <w:pPr>
        <w:spacing w:line="360" w:lineRule="auto"/>
        <w:jc w:val="both"/>
        <w:rPr>
          <w:rFonts w:ascii="Palatino Linotype" w:hAnsi="Palatino Linotype" w:cs="Tahoma"/>
          <w:color w:val="0D0D0D" w:themeColor="text1" w:themeTint="F2"/>
          <w:sz w:val="22"/>
        </w:rPr>
      </w:pPr>
    </w:p>
    <w:p w:rsidRPr="0054626B" w:rsidR="00652A9D" w:rsidP="00742953" w:rsidRDefault="00652A9D" w14:paraId="10B1D99E" w14:textId="77777777">
      <w:pPr>
        <w:spacing w:line="360" w:lineRule="auto"/>
        <w:jc w:val="both"/>
        <w:rPr>
          <w:rFonts w:ascii="Palatino Linotype" w:hAnsi="Palatino Linotype" w:cs="Tahoma"/>
          <w:color w:val="0D0D0D" w:themeColor="text1" w:themeTint="F2"/>
          <w:sz w:val="22"/>
        </w:rPr>
      </w:pPr>
    </w:p>
    <w:p w:rsidRPr="0054626B" w:rsidR="00742953" w:rsidP="00742953" w:rsidRDefault="00742953" w14:paraId="35B63A0F" w14:textId="40CF8A46">
      <w:pPr>
        <w:widowControl w:val="0"/>
        <w:spacing w:line="360" w:lineRule="auto"/>
        <w:jc w:val="both"/>
        <w:rPr>
          <w:rFonts w:ascii="Palatino Linotype" w:hAnsi="Palatino Linotype" w:cs="Tahoma"/>
          <w:color w:val="0D0D0D" w:themeColor="text1" w:themeTint="F2"/>
          <w:sz w:val="22"/>
        </w:rPr>
      </w:pPr>
      <w:r w:rsidRPr="0054626B">
        <w:rPr>
          <w:rFonts w:ascii="Palatino Linotype" w:hAnsi="Palatino Linotype" w:eastAsia="Calibri" w:cs="Tahoma"/>
          <w:b/>
          <w:bCs/>
          <w:iCs/>
          <w:color w:val="0D0D0D" w:themeColor="text1" w:themeTint="F2"/>
          <w:sz w:val="22"/>
          <w:lang w:val="es-ES"/>
        </w:rPr>
        <w:t>QUINTO</w:t>
      </w:r>
      <w:r w:rsidRPr="0054626B">
        <w:rPr>
          <w:rFonts w:ascii="Palatino Linotype" w:hAnsi="Palatino Linotype" w:eastAsia="Calibri" w:cs="Tahoma"/>
          <w:bCs/>
          <w:iCs/>
          <w:color w:val="0D0D0D" w:themeColor="text1" w:themeTint="F2"/>
          <w:sz w:val="22"/>
          <w:lang w:val="es-ES"/>
        </w:rPr>
        <w:t>.</w:t>
      </w:r>
      <w:r w:rsidRPr="0054626B">
        <w:rPr>
          <w:rFonts w:ascii="Palatino Linotype" w:hAnsi="Palatino Linotype" w:cs="Tahoma"/>
          <w:b/>
          <w:color w:val="0D0D0D" w:themeColor="text1" w:themeTint="F2"/>
          <w:sz w:val="22"/>
        </w:rPr>
        <w:t>NOTIFÍQUESE</w:t>
      </w:r>
      <w:r w:rsidRPr="0054626B">
        <w:rPr>
          <w:rFonts w:ascii="Palatino Linotype" w:hAnsi="Palatino Linotype" w:cs="Tahoma"/>
          <w:color w:val="0D0D0D" w:themeColor="text1" w:themeTint="F2"/>
          <w:sz w:val="22"/>
        </w:rPr>
        <w:t xml:space="preserve"> al Recurrente la presente Resolución</w:t>
      </w:r>
      <w:r w:rsidRPr="0054626B" w:rsidR="00561C02">
        <w:rPr>
          <w:rFonts w:ascii="Palatino Linotype" w:hAnsi="Palatino Linotype" w:cs="Tahoma"/>
          <w:color w:val="0D0D0D" w:themeColor="text1" w:themeTint="F2"/>
          <w:sz w:val="22"/>
        </w:rPr>
        <w:t xml:space="preserve"> por SAIMEX y correo electrónico</w:t>
      </w:r>
      <w:r w:rsidRPr="0054626B">
        <w:rPr>
          <w:rFonts w:ascii="Palatino Linotype" w:hAnsi="Palatino Linotype" w:cs="Tahoma"/>
          <w:color w:val="0D0D0D" w:themeColor="text1" w:themeTint="F2"/>
          <w:sz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4626B" w:rsidR="00742953" w:rsidP="00742953" w:rsidRDefault="00742953" w14:paraId="2ADE2B24" w14:textId="77777777">
      <w:pPr>
        <w:spacing w:line="360" w:lineRule="auto"/>
        <w:jc w:val="both"/>
        <w:rPr>
          <w:rFonts w:ascii="Palatino Linotype" w:hAnsi="Palatino Linotype" w:eastAsia="Calibri" w:cs="Tahoma"/>
          <w:bCs/>
          <w:color w:val="0D0D0D" w:themeColor="text1" w:themeTint="F2"/>
          <w:sz w:val="22"/>
          <w:lang w:val="es-ES"/>
        </w:rPr>
      </w:pPr>
    </w:p>
    <w:p w:rsidRPr="0054626B" w:rsidR="00742953" w:rsidP="00742953" w:rsidRDefault="00742953" w14:paraId="2829C7D1" w14:textId="77777777">
      <w:pPr>
        <w:spacing w:line="360" w:lineRule="auto"/>
        <w:jc w:val="both"/>
        <w:rPr>
          <w:rFonts w:ascii="Palatino Linotype" w:hAnsi="Palatino Linotype"/>
          <w:color w:val="0D0D0D" w:themeColor="text1" w:themeTint="F2"/>
          <w:sz w:val="22"/>
        </w:rPr>
      </w:pPr>
      <w:r w:rsidRPr="0054626B">
        <w:rPr>
          <w:rFonts w:ascii="Palatino Linotype" w:hAnsi="Palatino Linotype"/>
          <w:b/>
          <w:bCs/>
          <w:color w:val="0D0D0D" w:themeColor="text1" w:themeTint="F2"/>
          <w:sz w:val="22"/>
        </w:rPr>
        <w:t>SEXTO.</w:t>
      </w:r>
      <w:r w:rsidRPr="0054626B">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54626B" w:rsidR="00742953" w:rsidP="00742953" w:rsidRDefault="00742953" w14:paraId="65E35831" w14:textId="77777777">
      <w:pPr>
        <w:spacing w:line="360" w:lineRule="auto"/>
        <w:ind w:right="-93"/>
        <w:jc w:val="both"/>
        <w:rPr>
          <w:rFonts w:ascii="Palatino Linotype" w:hAnsi="Palatino Linotype"/>
          <w:color w:val="0D0D0D" w:themeColor="text1" w:themeTint="F2"/>
          <w:sz w:val="22"/>
          <w:shd w:val="clear" w:color="auto" w:fill="FFFFFF"/>
        </w:rPr>
      </w:pPr>
    </w:p>
    <w:p w:rsidRPr="0054626B" w:rsidR="00742953" w:rsidP="005038F1" w:rsidRDefault="00742953" w14:paraId="5DF9E229" w14:textId="38576C47">
      <w:pPr>
        <w:spacing w:line="360" w:lineRule="auto"/>
        <w:ind w:right="-93"/>
        <w:jc w:val="both"/>
        <w:rPr>
          <w:rFonts w:ascii="Palatino Linotype" w:hAnsi="Palatino Linotype" w:eastAsia="Calibri" w:cs="Tahoma"/>
          <w:bCs/>
          <w:color w:val="0D0D0D" w:themeColor="text1" w:themeTint="F2"/>
          <w:sz w:val="22"/>
        </w:rPr>
      </w:pPr>
      <w:r w:rsidRPr="0054626B">
        <w:rPr>
          <w:rFonts w:ascii="Palatino Linotype" w:hAnsi="Palatino Linotype" w:cs="Tahoma"/>
          <w:b/>
          <w:color w:val="0D0D0D" w:themeColor="text1" w:themeTint="F2"/>
          <w:sz w:val="22"/>
        </w:rPr>
        <w:t xml:space="preserve">SÉPTIMO. </w:t>
      </w:r>
      <w:r w:rsidRPr="0054626B">
        <w:rPr>
          <w:rFonts w:ascii="Palatino Linotype" w:hAnsi="Palatino Linotype" w:eastAsia="Calibri" w:cs="Tahoma"/>
          <w:bCs/>
          <w:color w:val="0D0D0D" w:themeColor="text1" w:themeTint="F2"/>
          <w:sz w:val="22"/>
        </w:rPr>
        <w:t xml:space="preserve">Con fundamento en lo dispuesto en los artículos 190 de la </w:t>
      </w:r>
      <w:r w:rsidRPr="0054626B">
        <w:rPr>
          <w:rFonts w:ascii="Palatino Linotype" w:hAnsi="Palatino Linotype" w:cs="Tahoma"/>
          <w:color w:val="0D0D0D" w:themeColor="text1" w:themeTint="F2"/>
          <w:sz w:val="22"/>
        </w:rPr>
        <w:t xml:space="preserve">Ley de Transparencia y Acceso a la Información Pública del Estado de México y Municipios, gírese </w:t>
      </w:r>
      <w:r w:rsidRPr="0054626B">
        <w:rPr>
          <w:rFonts w:ascii="Palatino Linotype" w:hAnsi="Palatino Linotype" w:eastAsia="Calibri"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54626B">
        <w:rPr>
          <w:rFonts w:ascii="Palatino Linotype" w:hAnsi="Palatino Linotype" w:eastAsia="Calibri" w:cs="Tahoma"/>
          <w:color w:val="0D0D0D" w:themeColor="text1" w:themeTint="F2"/>
          <w:sz w:val="22"/>
        </w:rPr>
        <w:t>SÉPTIMO</w:t>
      </w:r>
      <w:r w:rsidRPr="0054626B">
        <w:rPr>
          <w:rFonts w:ascii="Palatino Linotype" w:hAnsi="Palatino Linotype" w:eastAsia="Calibri" w:cs="Tahoma"/>
          <w:b/>
          <w:bCs/>
          <w:color w:val="0D0D0D" w:themeColor="text1" w:themeTint="F2"/>
          <w:sz w:val="22"/>
        </w:rPr>
        <w:t xml:space="preserve"> </w:t>
      </w:r>
      <w:r w:rsidRPr="0054626B">
        <w:rPr>
          <w:rFonts w:ascii="Palatino Linotype" w:hAnsi="Palatino Linotype" w:eastAsia="Calibri" w:cs="Tahoma"/>
          <w:bCs/>
          <w:color w:val="0D0D0D" w:themeColor="text1" w:themeTint="F2"/>
          <w:sz w:val="22"/>
        </w:rPr>
        <w:t>de la presente Resolución.</w:t>
      </w:r>
    </w:p>
    <w:p w:rsidRPr="0054626B" w:rsidR="004B73C6" w:rsidP="004B73C6" w:rsidRDefault="004B73C6" w14:paraId="21263827" w14:textId="77777777">
      <w:pPr>
        <w:spacing w:line="360" w:lineRule="auto"/>
        <w:jc w:val="both"/>
        <w:rPr>
          <w:rFonts w:ascii="Palatino Linotype" w:hAnsi="Palatino Linotype" w:eastAsia="Calibri" w:cs="Tahoma"/>
          <w:b/>
          <w:bCs/>
          <w:color w:val="000000"/>
          <w:sz w:val="22"/>
          <w:szCs w:val="22"/>
          <w:lang w:eastAsia="es-ES_tradnl"/>
        </w:rPr>
      </w:pPr>
    </w:p>
    <w:p w:rsidR="00742953" w:rsidP="00742953" w:rsidRDefault="00742953" w14:paraId="566636A1" w14:textId="38788B29">
      <w:pPr>
        <w:spacing w:line="360" w:lineRule="auto"/>
        <w:jc w:val="both"/>
        <w:rPr>
          <w:rFonts w:ascii="Palatino Linotype" w:hAnsi="Palatino Linotype" w:eastAsia="Calibri" w:cs="Tahoma"/>
          <w:sz w:val="22"/>
          <w:szCs w:val="22"/>
          <w:lang w:val="es-ES" w:eastAsia="es-ES_tradnl"/>
        </w:rPr>
      </w:pPr>
      <w:r w:rsidRPr="0054626B">
        <w:rPr>
          <w:rFonts w:ascii="Palatino Linotype" w:hAnsi="Palatino Linotype" w:eastAsia="Calibri" w:cs="Tahoma"/>
          <w:sz w:val="22"/>
          <w:szCs w:val="22"/>
          <w:lang w:val="es-ES" w:eastAsia="es-ES_tradnl"/>
        </w:rPr>
        <w:t xml:space="preserve">ASÍ LO RESUELVE, </w:t>
      </w:r>
      <w:r w:rsidRPr="0054626B">
        <w:rPr>
          <w:rFonts w:ascii="Palatino Linotype" w:hAnsi="Palatino Linotype" w:eastAsia="Calibri" w:cs="Tahoma"/>
          <w:b/>
          <w:bCs/>
          <w:sz w:val="22"/>
          <w:szCs w:val="22"/>
          <w:lang w:val="es-ES" w:eastAsia="es-ES_tradnl"/>
        </w:rPr>
        <w:t>POR UNANIMIDAD</w:t>
      </w:r>
      <w:r w:rsidRPr="0054626B">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54626B" w:rsidR="00652A9D">
        <w:rPr>
          <w:rFonts w:ascii="Palatino Linotype" w:hAnsi="Palatino Linotype" w:eastAsia="Calibri" w:cs="Tahoma"/>
          <w:sz w:val="22"/>
          <w:szCs w:val="22"/>
          <w:lang w:val="es-ES" w:eastAsia="es-ES_tradnl"/>
        </w:rPr>
        <w:t>SEXTA</w:t>
      </w:r>
      <w:r w:rsidRPr="0054626B">
        <w:rPr>
          <w:rFonts w:ascii="Palatino Linotype" w:hAnsi="Palatino Linotype" w:eastAsia="Calibri" w:cs="Tahoma"/>
          <w:sz w:val="22"/>
          <w:szCs w:val="22"/>
          <w:lang w:val="es-ES" w:eastAsia="es-ES_tradnl"/>
        </w:rPr>
        <w:t xml:space="preserve"> SESIÓN ORDINARIA, CELEBRADA EL </w:t>
      </w:r>
      <w:r w:rsidRPr="0054626B" w:rsidR="00652A9D">
        <w:rPr>
          <w:rFonts w:ascii="Palatino Linotype" w:hAnsi="Palatino Linotype" w:eastAsia="Calibri" w:cs="Tahoma"/>
          <w:sz w:val="22"/>
          <w:szCs w:val="22"/>
          <w:lang w:val="es-ES" w:eastAsia="es-ES_tradnl"/>
        </w:rPr>
        <w:t>CUATRO DE MAYO</w:t>
      </w:r>
      <w:r w:rsidRPr="0054626B">
        <w:rPr>
          <w:rFonts w:ascii="Palatino Linotype" w:hAnsi="Palatino Linotype" w:eastAsia="Calibri" w:cs="Tahoma"/>
          <w:sz w:val="22"/>
          <w:szCs w:val="22"/>
          <w:lang w:val="es-ES" w:eastAsia="es-ES_tradnl"/>
        </w:rPr>
        <w:t xml:space="preserve"> DE DOS MIL VEINTIDÓS, ANTE EL SECRETARIO TÉCNICO DEL PLENO, ALEXIS TAPIA RAMÍREZ.</w:t>
      </w:r>
    </w:p>
    <w:p w:rsidRPr="00C61C11" w:rsidR="00742953" w:rsidP="00742953" w:rsidRDefault="00742953" w14:paraId="2A4AA25F" w14:textId="77777777">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p w:rsidR="00742953" w:rsidP="00742953" w:rsidRDefault="00742953" w14:paraId="0C43CEDC" w14:textId="77777777"/>
    <w:p w:rsidR="00760812" w:rsidRDefault="00760812" w14:paraId="10F64FEE" w14:textId="77777777"/>
    <w:sectPr w:rsidR="00760812"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3E01" w:rsidP="00742953" w:rsidRDefault="002B3E01" w14:paraId="753AA685" w14:textId="77777777">
      <w:r>
        <w:separator/>
      </w:r>
    </w:p>
  </w:endnote>
  <w:endnote w:type="continuationSeparator" w:id="0">
    <w:p w:rsidR="002B3E01" w:rsidP="00742953" w:rsidRDefault="002B3E01" w14:paraId="0BAC44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54626B" w14:paraId="73C37971" w14:textId="77777777">
            <w:pPr>
              <w:pStyle w:val="Piedepgina"/>
              <w:jc w:val="right"/>
              <w:rPr>
                <w:sz w:val="26"/>
                <w:szCs w:val="26"/>
              </w:rPr>
            </w:pPr>
          </w:p>
          <w:p w:rsidR="003135D1" w:rsidRDefault="00223CEC" w14:paraId="2D16EB5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rsidR="003135D1" w:rsidRDefault="0054626B" w14:paraId="635077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54626B" w14:paraId="034742C8" w14:textId="77777777">
    <w:pPr>
      <w:pStyle w:val="Piedepgina"/>
      <w:jc w:val="right"/>
    </w:pPr>
  </w:p>
  <w:p w:rsidR="003135D1" w:rsidRDefault="0054626B" w14:paraId="5FD9AC6D" w14:textId="77777777">
    <w:pPr>
      <w:pStyle w:val="Piedepgina"/>
      <w:jc w:val="right"/>
    </w:pPr>
  </w:p>
  <w:p w:rsidR="003135D1" w:rsidRDefault="0054626B" w14:paraId="3CB8AD2A" w14:textId="77777777">
    <w:pPr>
      <w:pStyle w:val="Piedepgina"/>
      <w:jc w:val="right"/>
    </w:pPr>
  </w:p>
  <w:p w:rsidR="003135D1" w:rsidRDefault="00223CEC" w14:paraId="13D7ED6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3E01" w:rsidP="00742953" w:rsidRDefault="002B3E01" w14:paraId="61F117F5" w14:textId="77777777">
      <w:r>
        <w:separator/>
      </w:r>
    </w:p>
  </w:footnote>
  <w:footnote w:type="continuationSeparator" w:id="0">
    <w:p w:rsidR="002B3E01" w:rsidP="00742953" w:rsidRDefault="002B3E01" w14:paraId="6697DA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54626B" w14:paraId="62A59D65" w14:textId="77777777">
    <w:pPr>
      <w:pStyle w:val="Encabezado"/>
    </w:pPr>
    <w:r>
      <w:rPr>
        <w:noProof/>
        <w:lang w:eastAsia="es-MX"/>
      </w:rPr>
      <w:pict w14:anchorId="6960BD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54626B" w14:paraId="7A6DE401" w14:textId="77777777">
    <w:pPr>
      <w:tabs>
        <w:tab w:val="left" w:pos="3416"/>
      </w:tabs>
      <w:rPr>
        <w:sz w:val="22"/>
        <w:szCs w:val="22"/>
      </w:rPr>
    </w:pPr>
    <w:r>
      <w:rPr>
        <w:noProof/>
        <w:sz w:val="14"/>
        <w:lang w:eastAsia="es-MX"/>
      </w:rPr>
      <w:pict w14:anchorId="3F451B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01907E5A" w14:textId="77777777">
      <w:trPr>
        <w:trHeight w:val="70"/>
      </w:trPr>
      <w:tc>
        <w:tcPr>
          <w:tcW w:w="2552" w:type="dxa"/>
          <w:shd w:val="clear" w:color="auto" w:fill="auto"/>
        </w:tcPr>
        <w:p w:rsidRPr="005C106F" w:rsidR="008B41A2" w:rsidP="008B41A2" w:rsidRDefault="0054626B" w14:paraId="64D0E18A"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A021B4" w14:paraId="043C2E9A" w14:textId="77777777">
            <w:trPr>
              <w:trHeight w:val="128"/>
            </w:trPr>
            <w:tc>
              <w:tcPr>
                <w:tcW w:w="2408" w:type="dxa"/>
                <w:vAlign w:val="bottom"/>
              </w:tcPr>
              <w:p w:rsidRPr="008B41A2" w:rsidR="008B41A2" w:rsidP="008B41A2" w:rsidRDefault="00223CEC" w14:paraId="3C69499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223CEC" w14:paraId="2E3A0E1D" w14:textId="2E368C4C">
                <w:pPr>
                  <w:tabs>
                    <w:tab w:val="right" w:pos="8838"/>
                  </w:tabs>
                  <w:ind w:left="-28" w:right="683"/>
                  <w:rPr>
                    <w:rFonts w:ascii="Palatino Linotype" w:hAnsi="Palatino Linotype" w:eastAsia="Calibri" w:cs="Tahoma"/>
                    <w:sz w:val="22"/>
                    <w:szCs w:val="22"/>
                  </w:rPr>
                </w:pPr>
                <w:r w:rsidRPr="009245F5">
                  <w:rPr>
                    <w:rFonts w:ascii="Palatino Linotype" w:hAnsi="Palatino Linotype" w:eastAsia="Calibri" w:cs="Tahoma"/>
                    <w:sz w:val="22"/>
                    <w:szCs w:val="22"/>
                    <w:lang w:val="es-MX"/>
                  </w:rPr>
                  <w:t>01</w:t>
                </w:r>
                <w:r w:rsidR="00742953">
                  <w:rPr>
                    <w:rFonts w:ascii="Palatino Linotype" w:hAnsi="Palatino Linotype" w:eastAsia="Calibri" w:cs="Tahoma"/>
                    <w:sz w:val="22"/>
                    <w:szCs w:val="22"/>
                    <w:lang w:val="es-MX"/>
                  </w:rPr>
                  <w:t>946</w:t>
                </w:r>
                <w:r w:rsidRPr="009245F5">
                  <w:rPr>
                    <w:rFonts w:ascii="Palatino Linotype" w:hAnsi="Palatino Linotype" w:eastAsia="Calibri" w:cs="Tahoma"/>
                    <w:sz w:val="22"/>
                    <w:szCs w:val="22"/>
                    <w:lang w:val="es-MX"/>
                  </w:rPr>
                  <w:t>/INFOEM/IP/RR/2022</w:t>
                </w:r>
              </w:p>
            </w:tc>
          </w:tr>
          <w:tr w:rsidR="008B41A2" w:rsidTr="00A021B4" w14:paraId="3C79DFB9" w14:textId="77777777">
            <w:trPr>
              <w:trHeight w:val="251"/>
            </w:trPr>
            <w:tc>
              <w:tcPr>
                <w:tcW w:w="2408" w:type="dxa"/>
              </w:tcPr>
              <w:p w:rsidRPr="008B41A2" w:rsidR="008B41A2" w:rsidP="008B41A2" w:rsidRDefault="00223CEC" w14:paraId="13D4890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223CEC" w14:paraId="5B99F5DC" w14:textId="1E38F932">
                <w:pPr>
                  <w:tabs>
                    <w:tab w:val="right" w:pos="8838"/>
                  </w:tabs>
                  <w:ind w:right="273"/>
                  <w:jc w:val="both"/>
                  <w:rPr>
                    <w:rFonts w:ascii="Palatino Linotype" w:hAnsi="Palatino Linotype" w:eastAsia="Calibri" w:cs="Tahoma"/>
                    <w:sz w:val="22"/>
                    <w:szCs w:val="22"/>
                    <w:lang w:val="es-MX"/>
                  </w:rPr>
                </w:pPr>
                <w:r w:rsidRPr="009245F5">
                  <w:rPr>
                    <w:rFonts w:ascii="Palatino Linotype" w:hAnsi="Palatino Linotype" w:eastAsia="Calibri" w:cs="Tahoma"/>
                    <w:sz w:val="22"/>
                    <w:szCs w:val="22"/>
                    <w:lang w:val="es-MX"/>
                  </w:rPr>
                  <w:t xml:space="preserve">Ayuntamiento de </w:t>
                </w:r>
                <w:r>
                  <w:rPr>
                    <w:rFonts w:ascii="Palatino Linotype" w:hAnsi="Palatino Linotype" w:eastAsia="Calibri" w:cs="Tahoma"/>
                    <w:sz w:val="22"/>
                    <w:szCs w:val="22"/>
                    <w:lang w:val="es-MX"/>
                  </w:rPr>
                  <w:t>Te</w:t>
                </w:r>
                <w:r w:rsidR="00742953">
                  <w:rPr>
                    <w:rFonts w:ascii="Palatino Linotype" w:hAnsi="Palatino Linotype" w:eastAsia="Calibri" w:cs="Tahoma"/>
                    <w:sz w:val="22"/>
                    <w:szCs w:val="22"/>
                    <w:lang w:val="es-MX"/>
                  </w:rPr>
                  <w:t>petlixpa</w:t>
                </w:r>
              </w:p>
            </w:tc>
          </w:tr>
          <w:tr w:rsidR="008B41A2" w:rsidTr="00A021B4" w14:paraId="4681E47D" w14:textId="77777777">
            <w:trPr>
              <w:trHeight w:val="251"/>
            </w:trPr>
            <w:tc>
              <w:tcPr>
                <w:tcW w:w="2408" w:type="dxa"/>
              </w:tcPr>
              <w:p w:rsidRPr="008B41A2" w:rsidR="008B41A2" w:rsidP="008B41A2" w:rsidRDefault="00223CEC" w14:paraId="2A889E24"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223CEC" w14:paraId="56278E10"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54626B" w14:paraId="00275FBD" w14:textId="77777777">
          <w:pPr>
            <w:tabs>
              <w:tab w:val="right" w:pos="8838"/>
            </w:tabs>
            <w:ind w:left="-28"/>
            <w:rPr>
              <w:rFonts w:ascii="Arial" w:hAnsi="Arial" w:eastAsia="Calibri" w:cs="Arial"/>
              <w:b/>
            </w:rPr>
          </w:pPr>
        </w:p>
      </w:tc>
    </w:tr>
  </w:tbl>
  <w:p w:rsidR="003135D1" w:rsidP="000930AE" w:rsidRDefault="0054626B" w14:paraId="1F4BE803" w14:textId="77777777">
    <w:pPr>
      <w:pStyle w:val="Encabezado"/>
      <w:rPr>
        <w:sz w:val="14"/>
      </w:rPr>
    </w:pPr>
  </w:p>
  <w:p w:rsidRPr="00443C6B" w:rsidR="003135D1" w:rsidP="000930AE" w:rsidRDefault="0054626B" w14:paraId="3E108E79"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5419E25F" w14:paraId="7B8F8407" w14:textId="77777777">
      <w:trPr>
        <w:trHeight w:val="302"/>
      </w:trPr>
      <w:tc>
        <w:tcPr>
          <w:tcW w:w="2420" w:type="dxa"/>
          <w:tcMar/>
        </w:tcPr>
        <w:p w:rsidRPr="00D3618F" w:rsidR="003135D1" w:rsidP="00155288" w:rsidRDefault="00223CEC" w14:paraId="5D640FEA"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223CEC" w14:paraId="62C35B39" w14:textId="4E764C44">
          <w:pPr>
            <w:tabs>
              <w:tab w:val="right" w:pos="8838"/>
            </w:tabs>
            <w:ind w:left="-28"/>
            <w:jc w:val="both"/>
            <w:rPr>
              <w:rFonts w:ascii="Palatino Linotype" w:hAnsi="Palatino Linotype" w:eastAsia="Calibri" w:cs="Tahoma"/>
              <w:sz w:val="22"/>
              <w:szCs w:val="22"/>
              <w:lang w:eastAsia="en-US"/>
            </w:rPr>
          </w:pPr>
          <w:r w:rsidRPr="009245F5">
            <w:rPr>
              <w:rFonts w:ascii="Palatino Linotype" w:hAnsi="Palatino Linotype" w:eastAsia="Calibri" w:cs="Tahoma"/>
              <w:sz w:val="22"/>
              <w:szCs w:val="22"/>
              <w:lang w:val="es-MX" w:eastAsia="en-US"/>
            </w:rPr>
            <w:t>0</w:t>
          </w:r>
          <w:r w:rsidR="00742953">
            <w:rPr>
              <w:rFonts w:ascii="Palatino Linotype" w:hAnsi="Palatino Linotype" w:eastAsia="Calibri" w:cs="Tahoma"/>
              <w:sz w:val="22"/>
              <w:szCs w:val="22"/>
              <w:lang w:val="es-MX" w:eastAsia="en-US"/>
            </w:rPr>
            <w:t>194</w:t>
          </w:r>
          <w:r>
            <w:rPr>
              <w:rFonts w:ascii="Palatino Linotype" w:hAnsi="Palatino Linotype" w:eastAsia="Calibri" w:cs="Tahoma"/>
              <w:sz w:val="22"/>
              <w:szCs w:val="22"/>
              <w:lang w:val="es-MX" w:eastAsia="en-US"/>
            </w:rPr>
            <w:t>6</w:t>
          </w:r>
          <w:r w:rsidRPr="009245F5">
            <w:rPr>
              <w:rFonts w:ascii="Palatino Linotype" w:hAnsi="Palatino Linotype" w:eastAsia="Calibri" w:cs="Tahoma"/>
              <w:sz w:val="22"/>
              <w:szCs w:val="22"/>
              <w:lang w:val="es-MX" w:eastAsia="en-US"/>
            </w:rPr>
            <w:t>/INFOEM/IP/RR/2022</w:t>
          </w:r>
        </w:p>
      </w:tc>
    </w:tr>
    <w:tr w:rsidRPr="00264223" w:rsidR="003135D1" w:rsidTr="5419E25F" w14:paraId="743E89AE" w14:textId="77777777">
      <w:trPr>
        <w:trHeight w:val="110"/>
      </w:trPr>
      <w:tc>
        <w:tcPr>
          <w:tcW w:w="2420" w:type="dxa"/>
          <w:tcMar/>
        </w:tcPr>
        <w:p w:rsidRPr="00D3618F" w:rsidR="003135D1" w:rsidP="00D3618F" w:rsidRDefault="00223CEC" w14:paraId="4BC8F714"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5419E25F" w:rsidRDefault="007D01E8" w14:paraId="77BBA1E3" w14:textId="3F63F6D6">
          <w:pPr>
            <w:tabs>
              <w:tab w:val="right" w:pos="8838"/>
            </w:tabs>
            <w:ind w:left="-28"/>
            <w:jc w:val="both"/>
            <w:rPr>
              <w:rFonts w:ascii="Palatino Linotype" w:hAnsi="Palatino Linotype" w:eastAsia="Calibri" w:cs="Tahoma"/>
              <w:sz w:val="22"/>
              <w:szCs w:val="22"/>
              <w:highlight w:val="black"/>
              <w:lang w:val="es-MX" w:eastAsia="en-US"/>
            </w:rPr>
          </w:pPr>
          <w:r w:rsidRPr="5419E25F" w:rsidR="5419E25F">
            <w:rPr>
              <w:rFonts w:ascii="Palatino Linotype" w:hAnsi="Palatino Linotype" w:eastAsia="Calibri" w:cs="Tahoma"/>
              <w:sz w:val="22"/>
              <w:szCs w:val="22"/>
              <w:highlight w:val="black"/>
              <w:lang w:val="es-MX" w:eastAsia="en-US"/>
            </w:rPr>
            <w:t>XXXXXXXXXXXXXXXXX</w:t>
          </w:r>
        </w:p>
      </w:tc>
    </w:tr>
    <w:tr w:rsidRPr="00264223" w:rsidR="003135D1" w:rsidTr="5419E25F" w14:paraId="1219954B" w14:textId="77777777">
      <w:trPr>
        <w:trHeight w:val="248"/>
      </w:trPr>
      <w:tc>
        <w:tcPr>
          <w:tcW w:w="2420" w:type="dxa"/>
          <w:tcMar/>
        </w:tcPr>
        <w:p w:rsidRPr="00D3618F" w:rsidR="003135D1" w:rsidP="00D3618F" w:rsidRDefault="00223CEC" w14:paraId="1E34E11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223CEC" w14:paraId="6DAC9D40" w14:textId="45903C87">
          <w:pPr>
            <w:tabs>
              <w:tab w:val="right" w:pos="8838"/>
            </w:tabs>
            <w:ind w:left="-28"/>
            <w:jc w:val="both"/>
            <w:rPr>
              <w:rFonts w:ascii="Palatino Linotype" w:hAnsi="Palatino Linotype" w:eastAsia="Calibri" w:cs="Tahoma"/>
              <w:sz w:val="22"/>
              <w:szCs w:val="22"/>
              <w:lang w:val="es-MX" w:eastAsia="en-US"/>
            </w:rPr>
          </w:pPr>
          <w:r w:rsidRPr="009245F5">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Te</w:t>
          </w:r>
          <w:r w:rsidR="00742953">
            <w:rPr>
              <w:rFonts w:ascii="Palatino Linotype" w:hAnsi="Palatino Linotype" w:eastAsia="Calibri" w:cs="Tahoma"/>
              <w:sz w:val="22"/>
              <w:szCs w:val="22"/>
              <w:lang w:val="es-MX" w:eastAsia="en-US"/>
            </w:rPr>
            <w:t>petlixpa</w:t>
          </w:r>
        </w:p>
      </w:tc>
    </w:tr>
    <w:tr w:rsidRPr="00264223" w:rsidR="003135D1" w:rsidTr="5419E25F" w14:paraId="56C62395" w14:textId="77777777">
      <w:trPr>
        <w:trHeight w:val="248"/>
      </w:trPr>
      <w:tc>
        <w:tcPr>
          <w:tcW w:w="2420" w:type="dxa"/>
          <w:tcMar/>
        </w:tcPr>
        <w:p w:rsidRPr="00D3618F" w:rsidR="003135D1" w:rsidP="00D3618F" w:rsidRDefault="00223CEC" w14:paraId="7A81073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223CEC" w14:paraId="42FF49FC"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54626B" w14:paraId="0A4FFF92" w14:textId="77777777">
    <w:pPr>
      <w:ind w:right="-312"/>
    </w:pPr>
    <w:r>
      <w:rPr>
        <w:noProof/>
        <w:lang w:eastAsia="es-MX"/>
      </w:rPr>
      <w:pict w14:anchorId="594FBA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55C"/>
    <w:multiLevelType w:val="hybridMultilevel"/>
    <w:tmpl w:val="1D7EB230"/>
    <w:lvl w:ilvl="0" w:tplc="C00296A8">
      <w:start w:val="5"/>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5F632DB2"/>
    <w:multiLevelType w:val="hybridMultilevel"/>
    <w:tmpl w:val="8B140D4C"/>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4" w15:restartNumberingAfterBreak="0">
    <w:nsid w:val="619A1F44"/>
    <w:multiLevelType w:val="multilevel"/>
    <w:tmpl w:val="336C2A3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AF34914"/>
    <w:multiLevelType w:val="hybridMultilevel"/>
    <w:tmpl w:val="9558E3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5242CEE"/>
    <w:multiLevelType w:val="multilevel"/>
    <w:tmpl w:val="AFF4949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96079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731349">
    <w:abstractNumId w:val="2"/>
  </w:num>
  <w:num w:numId="3" w16cid:durableId="1380469993">
    <w:abstractNumId w:val="0"/>
  </w:num>
  <w:num w:numId="4" w16cid:durableId="1275752399">
    <w:abstractNumId w:val="1"/>
  </w:num>
  <w:num w:numId="5" w16cid:durableId="512304140">
    <w:abstractNumId w:val="8"/>
  </w:num>
  <w:num w:numId="6" w16cid:durableId="733430626">
    <w:abstractNumId w:val="9"/>
  </w:num>
  <w:num w:numId="7" w16cid:durableId="1087851432">
    <w:abstractNumId w:val="7"/>
  </w:num>
  <w:num w:numId="8" w16cid:durableId="2009089581">
    <w:abstractNumId w:val="4"/>
  </w:num>
  <w:num w:numId="9" w16cid:durableId="923033575">
    <w:abstractNumId w:val="6"/>
  </w:num>
  <w:num w:numId="10" w16cid:durableId="507018527">
    <w:abstractNumId w:val="5"/>
  </w:num>
  <w:num w:numId="11" w16cid:durableId="77648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53"/>
    <w:rsid w:val="00033B67"/>
    <w:rsid w:val="000621C5"/>
    <w:rsid w:val="00103073"/>
    <w:rsid w:val="00183AA2"/>
    <w:rsid w:val="001C76C7"/>
    <w:rsid w:val="00223CEC"/>
    <w:rsid w:val="00273339"/>
    <w:rsid w:val="00281F94"/>
    <w:rsid w:val="0029613A"/>
    <w:rsid w:val="002A0D8F"/>
    <w:rsid w:val="002B3E01"/>
    <w:rsid w:val="002C58D6"/>
    <w:rsid w:val="0033469C"/>
    <w:rsid w:val="003D2608"/>
    <w:rsid w:val="003F05D4"/>
    <w:rsid w:val="003F4996"/>
    <w:rsid w:val="00455CCE"/>
    <w:rsid w:val="00483234"/>
    <w:rsid w:val="004B73C6"/>
    <w:rsid w:val="004D0BF8"/>
    <w:rsid w:val="005038F1"/>
    <w:rsid w:val="00525B07"/>
    <w:rsid w:val="0054626B"/>
    <w:rsid w:val="00561C02"/>
    <w:rsid w:val="0056546A"/>
    <w:rsid w:val="00574140"/>
    <w:rsid w:val="005E6681"/>
    <w:rsid w:val="00652A9D"/>
    <w:rsid w:val="006876E9"/>
    <w:rsid w:val="00742953"/>
    <w:rsid w:val="00760812"/>
    <w:rsid w:val="0076376B"/>
    <w:rsid w:val="00777006"/>
    <w:rsid w:val="00780B4C"/>
    <w:rsid w:val="007D01E8"/>
    <w:rsid w:val="00853259"/>
    <w:rsid w:val="00856126"/>
    <w:rsid w:val="008B5420"/>
    <w:rsid w:val="008C68C2"/>
    <w:rsid w:val="008E60E1"/>
    <w:rsid w:val="00924B3F"/>
    <w:rsid w:val="00953EFD"/>
    <w:rsid w:val="009E438D"/>
    <w:rsid w:val="009E4CC4"/>
    <w:rsid w:val="00A14372"/>
    <w:rsid w:val="00AC3F59"/>
    <w:rsid w:val="00BC55F9"/>
    <w:rsid w:val="00C078E9"/>
    <w:rsid w:val="00C54F63"/>
    <w:rsid w:val="00D07DEE"/>
    <w:rsid w:val="00D97BD7"/>
    <w:rsid w:val="00DA7607"/>
    <w:rsid w:val="00DB3718"/>
    <w:rsid w:val="00EF7FD9"/>
    <w:rsid w:val="00F74273"/>
    <w:rsid w:val="00F96C4D"/>
    <w:rsid w:val="5419E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62F2"/>
  <w15:chartTrackingRefBased/>
  <w15:docId w15:val="{8663CB20-D4CF-4500-B6A0-36F681E7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953"/>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42953"/>
    <w:pPr>
      <w:tabs>
        <w:tab w:val="center" w:pos="4419"/>
        <w:tab w:val="right" w:pos="8838"/>
      </w:tabs>
    </w:pPr>
  </w:style>
  <w:style w:type="character" w:styleId="EncabezadoCar" w:customStyle="1">
    <w:name w:val="Encabezado Car"/>
    <w:basedOn w:val="Fuentedeprrafopredeter"/>
    <w:link w:val="Encabezado"/>
    <w:uiPriority w:val="99"/>
    <w:rsid w:val="00742953"/>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742953"/>
    <w:pPr>
      <w:tabs>
        <w:tab w:val="center" w:pos="4419"/>
        <w:tab w:val="right" w:pos="8838"/>
      </w:tabs>
    </w:pPr>
  </w:style>
  <w:style w:type="character" w:styleId="PiedepginaCar" w:customStyle="1">
    <w:name w:val="Pie de página Car"/>
    <w:basedOn w:val="Fuentedeprrafopredeter"/>
    <w:link w:val="Piedepgina"/>
    <w:uiPriority w:val="99"/>
    <w:rsid w:val="00742953"/>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2953"/>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42953"/>
    <w:rPr>
      <w:rFonts w:ascii="Century Gothic" w:hAnsi="Century Gothic" w:eastAsia="Times New Roman" w:cs="Times New Roman"/>
      <w:szCs w:val="24"/>
      <w:lang w:eastAsia="es-ES"/>
    </w:rPr>
  </w:style>
  <w:style w:type="table" w:styleId="Tablaconcuadrcula">
    <w:name w:val="Table Grid"/>
    <w:basedOn w:val="Tablanormal"/>
    <w:uiPriority w:val="59"/>
    <w:rsid w:val="00742953"/>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semiHidden/>
    <w:unhideWhenUsed/>
    <w:rsid w:val="00EF7FD9"/>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6376B"/>
    <w:rPr>
      <w:vertAlign w:val="superscript"/>
    </w:rPr>
  </w:style>
  <w:style w:type="paragraph" w:styleId="Textonotapie">
    <w:name w:val="footnote text"/>
    <w:basedOn w:val="Normal"/>
    <w:link w:val="TextonotapieCar"/>
    <w:uiPriority w:val="99"/>
    <w:unhideWhenUsed/>
    <w:rsid w:val="0076376B"/>
    <w:rPr>
      <w:rFonts w:asciiTheme="minorHAnsi" w:hAnsiTheme="minorHAnsi" w:eastAsiaTheme="minorHAnsi" w:cstheme="minorBidi"/>
      <w:lang w:eastAsia="en-US"/>
    </w:rPr>
  </w:style>
  <w:style w:type="character" w:styleId="TextonotapieCar" w:customStyle="1">
    <w:name w:val="Texto nota pie Car"/>
    <w:basedOn w:val="Fuentedeprrafopredeter"/>
    <w:link w:val="Textonotapie"/>
    <w:uiPriority w:val="99"/>
    <w:rsid w:val="0076376B"/>
    <w:rPr>
      <w:sz w:val="20"/>
      <w:szCs w:val="20"/>
    </w:rPr>
  </w:style>
  <w:style w:type="paragraph" w:styleId="INFOEM" w:customStyle="1">
    <w:name w:val="INFOEM"/>
    <w:basedOn w:val="Normal"/>
    <w:qFormat/>
    <w:rsid w:val="00F96C4D"/>
    <w:pPr>
      <w:tabs>
        <w:tab w:val="left" w:pos="5647"/>
      </w:tabs>
      <w:spacing w:before="240" w:after="160" w:line="360" w:lineRule="auto"/>
      <w:ind w:left="851" w:right="851"/>
      <w:jc w:val="both"/>
    </w:pPr>
    <w:rPr>
      <w:rFonts w:ascii="Palatino Linotype" w:hAnsi="Palatino Linotype"/>
      <w:i/>
      <w:sz w:val="22"/>
      <w:szCs w:val="24"/>
      <w:lang w:val="es-ES_tradnl"/>
    </w:rPr>
  </w:style>
  <w:style w:type="paragraph" w:styleId="Textosinformato">
    <w:name w:val="Plain Text"/>
    <w:basedOn w:val="Normal"/>
    <w:link w:val="TextosinformatoCar"/>
    <w:semiHidden/>
    <w:rsid w:val="002A0D8F"/>
    <w:rPr>
      <w:rFonts w:ascii="Bookman Old Style" w:hAnsi="Bookman Old Style"/>
      <w:snapToGrid w:val="0"/>
      <w:lang w:val="es-ES"/>
    </w:rPr>
  </w:style>
  <w:style w:type="character" w:styleId="TextosinformatoCar" w:customStyle="1">
    <w:name w:val="Texto sin formato Car"/>
    <w:basedOn w:val="Fuentedeprrafopredeter"/>
    <w:link w:val="Textosinformato"/>
    <w:semiHidden/>
    <w:rsid w:val="002A0D8F"/>
    <w:rPr>
      <w:rFonts w:ascii="Bookman Old Style" w:hAnsi="Bookman Old Style" w:eastAsia="Times New Roman"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026">
      <w:bodyDiv w:val="1"/>
      <w:marLeft w:val="0"/>
      <w:marRight w:val="0"/>
      <w:marTop w:val="0"/>
      <w:marBottom w:val="0"/>
      <w:divBdr>
        <w:top w:val="none" w:sz="0" w:space="0" w:color="auto"/>
        <w:left w:val="none" w:sz="0" w:space="0" w:color="auto"/>
        <w:bottom w:val="none" w:sz="0" w:space="0" w:color="auto"/>
        <w:right w:val="none" w:sz="0" w:space="0" w:color="auto"/>
      </w:divBdr>
    </w:div>
    <w:div w:id="150803291">
      <w:bodyDiv w:val="1"/>
      <w:marLeft w:val="0"/>
      <w:marRight w:val="0"/>
      <w:marTop w:val="0"/>
      <w:marBottom w:val="0"/>
      <w:divBdr>
        <w:top w:val="none" w:sz="0" w:space="0" w:color="auto"/>
        <w:left w:val="none" w:sz="0" w:space="0" w:color="auto"/>
        <w:bottom w:val="none" w:sz="0" w:space="0" w:color="auto"/>
        <w:right w:val="none" w:sz="0" w:space="0" w:color="auto"/>
      </w:divBdr>
    </w:div>
    <w:div w:id="213081729">
      <w:bodyDiv w:val="1"/>
      <w:marLeft w:val="0"/>
      <w:marRight w:val="0"/>
      <w:marTop w:val="0"/>
      <w:marBottom w:val="0"/>
      <w:divBdr>
        <w:top w:val="none" w:sz="0" w:space="0" w:color="auto"/>
        <w:left w:val="none" w:sz="0" w:space="0" w:color="auto"/>
        <w:bottom w:val="none" w:sz="0" w:space="0" w:color="auto"/>
        <w:right w:val="none" w:sz="0" w:space="0" w:color="auto"/>
      </w:divBdr>
    </w:div>
    <w:div w:id="276913539">
      <w:bodyDiv w:val="1"/>
      <w:marLeft w:val="0"/>
      <w:marRight w:val="0"/>
      <w:marTop w:val="0"/>
      <w:marBottom w:val="0"/>
      <w:divBdr>
        <w:top w:val="none" w:sz="0" w:space="0" w:color="auto"/>
        <w:left w:val="none" w:sz="0" w:space="0" w:color="auto"/>
        <w:bottom w:val="none" w:sz="0" w:space="0" w:color="auto"/>
        <w:right w:val="none" w:sz="0" w:space="0" w:color="auto"/>
      </w:divBdr>
    </w:div>
    <w:div w:id="980385033">
      <w:bodyDiv w:val="1"/>
      <w:marLeft w:val="0"/>
      <w:marRight w:val="0"/>
      <w:marTop w:val="0"/>
      <w:marBottom w:val="0"/>
      <w:divBdr>
        <w:top w:val="none" w:sz="0" w:space="0" w:color="auto"/>
        <w:left w:val="none" w:sz="0" w:space="0" w:color="auto"/>
        <w:bottom w:val="none" w:sz="0" w:space="0" w:color="auto"/>
        <w:right w:val="none" w:sz="0" w:space="0" w:color="auto"/>
      </w:divBdr>
    </w:div>
    <w:div w:id="1110659094">
      <w:bodyDiv w:val="1"/>
      <w:marLeft w:val="0"/>
      <w:marRight w:val="0"/>
      <w:marTop w:val="0"/>
      <w:marBottom w:val="0"/>
      <w:divBdr>
        <w:top w:val="none" w:sz="0" w:space="0" w:color="auto"/>
        <w:left w:val="none" w:sz="0" w:space="0" w:color="auto"/>
        <w:bottom w:val="none" w:sz="0" w:space="0" w:color="auto"/>
        <w:right w:val="none" w:sz="0" w:space="0" w:color="auto"/>
      </w:divBdr>
    </w:div>
    <w:div w:id="1206256728">
      <w:bodyDiv w:val="1"/>
      <w:marLeft w:val="0"/>
      <w:marRight w:val="0"/>
      <w:marTop w:val="0"/>
      <w:marBottom w:val="0"/>
      <w:divBdr>
        <w:top w:val="none" w:sz="0" w:space="0" w:color="auto"/>
        <w:left w:val="none" w:sz="0" w:space="0" w:color="auto"/>
        <w:bottom w:val="none" w:sz="0" w:space="0" w:color="auto"/>
        <w:right w:val="none" w:sz="0" w:space="0" w:color="auto"/>
      </w:divBdr>
    </w:div>
    <w:div w:id="1403990703">
      <w:bodyDiv w:val="1"/>
      <w:marLeft w:val="0"/>
      <w:marRight w:val="0"/>
      <w:marTop w:val="0"/>
      <w:marBottom w:val="0"/>
      <w:divBdr>
        <w:top w:val="none" w:sz="0" w:space="0" w:color="auto"/>
        <w:left w:val="none" w:sz="0" w:space="0" w:color="auto"/>
        <w:bottom w:val="none" w:sz="0" w:space="0" w:color="auto"/>
        <w:right w:val="none" w:sz="0" w:space="0" w:color="auto"/>
      </w:divBdr>
    </w:div>
    <w:div w:id="1817721606">
      <w:bodyDiv w:val="1"/>
      <w:marLeft w:val="0"/>
      <w:marRight w:val="0"/>
      <w:marTop w:val="0"/>
      <w:marBottom w:val="0"/>
      <w:divBdr>
        <w:top w:val="none" w:sz="0" w:space="0" w:color="auto"/>
        <w:left w:val="none" w:sz="0" w:space="0" w:color="auto"/>
        <w:bottom w:val="none" w:sz="0" w:space="0" w:color="auto"/>
        <w:right w:val="none" w:sz="0" w:space="0" w:color="auto"/>
      </w:divBdr>
    </w:div>
    <w:div w:id="1979606085">
      <w:bodyDiv w:val="1"/>
      <w:marLeft w:val="0"/>
      <w:marRight w:val="0"/>
      <w:marTop w:val="0"/>
      <w:marBottom w:val="0"/>
      <w:divBdr>
        <w:top w:val="none" w:sz="0" w:space="0" w:color="auto"/>
        <w:left w:val="none" w:sz="0" w:space="0" w:color="auto"/>
        <w:bottom w:val="none" w:sz="0" w:space="0" w:color="auto"/>
        <w:right w:val="none" w:sz="0" w:space="0" w:color="auto"/>
      </w:divBdr>
    </w:div>
    <w:div w:id="20929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8a4e4f4ac4df470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b54355-1ad4-47cf-a4dd-9fa9eeb68605}"/>
      </w:docPartPr>
      <w:docPartBody>
        <w:p w14:paraId="690B64D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2022-04-27T22:54:00.0000000Z</dcterms:created>
  <dcterms:modified xsi:type="dcterms:W3CDTF">2022-05-20T16:02:37.2294257Z</dcterms:modified>
</coreProperties>
</file>